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7E" w:rsidRPr="00135A15" w:rsidRDefault="00FF4A58" w:rsidP="00697EB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35A15">
        <w:rPr>
          <w:rFonts w:ascii="Arial" w:hAnsi="Arial" w:cs="Arial"/>
          <w:b/>
          <w:sz w:val="28"/>
          <w:szCs w:val="28"/>
        </w:rPr>
        <w:t xml:space="preserve">Change of the </w:t>
      </w:r>
      <w:r w:rsidR="00841BA4" w:rsidRPr="00135A15">
        <w:rPr>
          <w:rFonts w:ascii="Arial" w:hAnsi="Arial" w:cs="Arial"/>
          <w:b/>
          <w:sz w:val="28"/>
          <w:szCs w:val="28"/>
        </w:rPr>
        <w:t xml:space="preserve">headline </w:t>
      </w:r>
      <w:r w:rsidRPr="00135A15">
        <w:rPr>
          <w:rFonts w:ascii="Arial" w:hAnsi="Arial" w:cs="Arial"/>
          <w:b/>
          <w:sz w:val="28"/>
          <w:szCs w:val="28"/>
        </w:rPr>
        <w:t>measure used</w:t>
      </w:r>
      <w:r w:rsidR="008B084C" w:rsidRPr="00135A15">
        <w:rPr>
          <w:rFonts w:ascii="Arial" w:hAnsi="Arial" w:cs="Arial"/>
          <w:b/>
          <w:sz w:val="28"/>
          <w:szCs w:val="28"/>
        </w:rPr>
        <w:t xml:space="preserve"> for the Friends and Family Test (FFT)</w:t>
      </w:r>
    </w:p>
    <w:p w:rsidR="00B611F9" w:rsidRDefault="00B611F9" w:rsidP="008B084C">
      <w:pPr>
        <w:jc w:val="both"/>
        <w:rPr>
          <w:rFonts w:ascii="Arial" w:hAnsi="Arial" w:cs="Arial"/>
          <w:b/>
          <w:sz w:val="24"/>
          <w:szCs w:val="24"/>
        </w:rPr>
      </w:pPr>
    </w:p>
    <w:p w:rsidR="00A70892" w:rsidRPr="008B084C" w:rsidRDefault="00A70892" w:rsidP="008B084C">
      <w:pPr>
        <w:jc w:val="both"/>
        <w:rPr>
          <w:rFonts w:ascii="Arial" w:hAnsi="Arial" w:cs="Arial"/>
          <w:b/>
          <w:sz w:val="24"/>
          <w:szCs w:val="24"/>
        </w:rPr>
      </w:pPr>
      <w:r w:rsidRPr="008B084C">
        <w:rPr>
          <w:rFonts w:ascii="Arial" w:hAnsi="Arial" w:cs="Arial"/>
          <w:b/>
          <w:sz w:val="24"/>
          <w:szCs w:val="24"/>
        </w:rPr>
        <w:t>What is happening?</w:t>
      </w:r>
    </w:p>
    <w:p w:rsidR="00FF4A58" w:rsidRDefault="008B084C" w:rsidP="008B08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review of the FFT was </w:t>
      </w:r>
      <w:r w:rsidR="0067765E">
        <w:rPr>
          <w:rFonts w:ascii="Arial" w:hAnsi="Arial" w:cs="Arial"/>
          <w:sz w:val="24"/>
          <w:szCs w:val="24"/>
        </w:rPr>
        <w:t xml:space="preserve">published </w:t>
      </w:r>
      <w:r>
        <w:rPr>
          <w:rFonts w:ascii="Arial" w:hAnsi="Arial" w:cs="Arial"/>
          <w:sz w:val="24"/>
          <w:szCs w:val="24"/>
        </w:rPr>
        <w:t>in July 2014 and made a number of recommendations. The FFT Review suggested</w:t>
      </w:r>
      <w:r w:rsidR="00AE1230" w:rsidRPr="008B084C">
        <w:rPr>
          <w:rFonts w:ascii="Arial" w:hAnsi="Arial" w:cs="Arial"/>
          <w:sz w:val="24"/>
          <w:szCs w:val="24"/>
        </w:rPr>
        <w:t xml:space="preserve"> that the presentation of the data should move away from using the Net Promoter Score </w:t>
      </w:r>
      <w:r w:rsidR="005263FE" w:rsidRPr="008B084C">
        <w:rPr>
          <w:rFonts w:ascii="Arial" w:hAnsi="Arial" w:cs="Arial"/>
          <w:sz w:val="24"/>
          <w:szCs w:val="24"/>
        </w:rPr>
        <w:t>(NPS)</w:t>
      </w:r>
      <w:r w:rsidR="003E39A0">
        <w:rPr>
          <w:rFonts w:ascii="Arial" w:hAnsi="Arial" w:cs="Arial"/>
          <w:sz w:val="24"/>
          <w:szCs w:val="24"/>
        </w:rPr>
        <w:t xml:space="preserve"> as a headline </w:t>
      </w:r>
      <w:r w:rsidR="00733322">
        <w:rPr>
          <w:rFonts w:ascii="Arial" w:hAnsi="Arial" w:cs="Arial"/>
          <w:sz w:val="24"/>
          <w:szCs w:val="24"/>
        </w:rPr>
        <w:t>score</w:t>
      </w:r>
      <w:r w:rsidR="00F45673">
        <w:rPr>
          <w:rFonts w:ascii="Arial" w:hAnsi="Arial" w:cs="Arial"/>
          <w:sz w:val="24"/>
          <w:szCs w:val="24"/>
        </w:rPr>
        <w:t xml:space="preserve"> and use an alternative measure</w:t>
      </w:r>
      <w:r w:rsidR="005263FE" w:rsidRPr="008B084C">
        <w:rPr>
          <w:rFonts w:ascii="Arial" w:hAnsi="Arial" w:cs="Arial"/>
          <w:sz w:val="24"/>
          <w:szCs w:val="24"/>
        </w:rPr>
        <w:t xml:space="preserve">. </w:t>
      </w:r>
      <w:r w:rsidR="003E39A0">
        <w:rPr>
          <w:rFonts w:ascii="Arial" w:hAnsi="Arial" w:cs="Arial"/>
          <w:sz w:val="24"/>
          <w:szCs w:val="24"/>
        </w:rPr>
        <w:t xml:space="preserve">In line with this recommendation the NHS England </w:t>
      </w:r>
      <w:r w:rsidR="006447A2" w:rsidRPr="008B084C">
        <w:rPr>
          <w:rFonts w:ascii="Arial" w:hAnsi="Arial" w:cs="Arial"/>
          <w:sz w:val="24"/>
          <w:szCs w:val="24"/>
        </w:rPr>
        <w:t xml:space="preserve">statistical </w:t>
      </w:r>
      <w:r w:rsidR="003E39A0">
        <w:rPr>
          <w:rFonts w:ascii="Arial" w:hAnsi="Arial" w:cs="Arial"/>
          <w:sz w:val="24"/>
          <w:szCs w:val="24"/>
        </w:rPr>
        <w:t>publication</w:t>
      </w:r>
      <w:r w:rsidR="006447A2" w:rsidRPr="008B084C">
        <w:rPr>
          <w:rFonts w:ascii="Arial" w:hAnsi="Arial" w:cs="Arial"/>
          <w:sz w:val="24"/>
          <w:szCs w:val="24"/>
        </w:rPr>
        <w:t xml:space="preserve"> will </w:t>
      </w:r>
      <w:r w:rsidR="003E39A0">
        <w:rPr>
          <w:rFonts w:ascii="Arial" w:hAnsi="Arial" w:cs="Arial"/>
          <w:sz w:val="24"/>
          <w:szCs w:val="24"/>
        </w:rPr>
        <w:t>move to using</w:t>
      </w:r>
      <w:r w:rsidR="006447A2" w:rsidRPr="008B084C">
        <w:rPr>
          <w:rFonts w:ascii="Arial" w:hAnsi="Arial" w:cs="Arial"/>
          <w:sz w:val="24"/>
          <w:szCs w:val="24"/>
        </w:rPr>
        <w:t xml:space="preserve"> the percentage</w:t>
      </w:r>
      <w:r w:rsidR="0067765E">
        <w:rPr>
          <w:rFonts w:ascii="Arial" w:hAnsi="Arial" w:cs="Arial"/>
          <w:sz w:val="24"/>
          <w:szCs w:val="24"/>
        </w:rPr>
        <w:t xml:space="preserve"> of respondents</w:t>
      </w:r>
      <w:r w:rsidR="006447A2" w:rsidRPr="008B084C">
        <w:rPr>
          <w:rFonts w:ascii="Arial" w:hAnsi="Arial" w:cs="Arial"/>
          <w:sz w:val="24"/>
          <w:szCs w:val="24"/>
        </w:rPr>
        <w:t xml:space="preserve"> that </w:t>
      </w:r>
      <w:r w:rsidR="0067765E">
        <w:rPr>
          <w:rFonts w:ascii="Arial" w:hAnsi="Arial" w:cs="Arial"/>
          <w:sz w:val="24"/>
          <w:szCs w:val="24"/>
        </w:rPr>
        <w:t xml:space="preserve">would </w:t>
      </w:r>
      <w:r w:rsidR="006447A2" w:rsidRPr="008B084C">
        <w:rPr>
          <w:rFonts w:ascii="Arial" w:hAnsi="Arial" w:cs="Arial"/>
          <w:sz w:val="24"/>
          <w:szCs w:val="24"/>
        </w:rPr>
        <w:t>recommend/</w:t>
      </w:r>
      <w:r w:rsidR="0067765E">
        <w:rPr>
          <w:rFonts w:ascii="Arial" w:hAnsi="Arial" w:cs="Arial"/>
          <w:sz w:val="24"/>
          <w:szCs w:val="24"/>
        </w:rPr>
        <w:t xml:space="preserve">wouldn’t </w:t>
      </w:r>
      <w:r w:rsidR="00F45673" w:rsidRPr="008B084C">
        <w:rPr>
          <w:rFonts w:ascii="Arial" w:hAnsi="Arial" w:cs="Arial"/>
          <w:sz w:val="24"/>
          <w:szCs w:val="24"/>
        </w:rPr>
        <w:t>recomm</w:t>
      </w:r>
      <w:r w:rsidR="00F45673">
        <w:rPr>
          <w:rFonts w:ascii="Arial" w:hAnsi="Arial" w:cs="Arial"/>
          <w:sz w:val="24"/>
          <w:szCs w:val="24"/>
        </w:rPr>
        <w:t>end</w:t>
      </w:r>
      <w:r w:rsidR="003E39A0">
        <w:rPr>
          <w:rFonts w:ascii="Arial" w:hAnsi="Arial" w:cs="Arial"/>
          <w:sz w:val="24"/>
          <w:szCs w:val="24"/>
        </w:rPr>
        <w:t xml:space="preserve"> the service in place of the NPS</w:t>
      </w:r>
      <w:r w:rsidR="006447A2" w:rsidRPr="008B084C">
        <w:rPr>
          <w:rFonts w:ascii="Arial" w:hAnsi="Arial" w:cs="Arial"/>
          <w:sz w:val="24"/>
          <w:szCs w:val="24"/>
        </w:rPr>
        <w:t xml:space="preserve">. </w:t>
      </w:r>
    </w:p>
    <w:p w:rsidR="005F71A7" w:rsidRDefault="005F71A7" w:rsidP="008B084C">
      <w:pPr>
        <w:jc w:val="both"/>
        <w:rPr>
          <w:rFonts w:ascii="Arial" w:hAnsi="Arial" w:cs="Arial"/>
          <w:b/>
          <w:sz w:val="24"/>
          <w:szCs w:val="24"/>
        </w:rPr>
      </w:pPr>
    </w:p>
    <w:p w:rsidR="00FF4A58" w:rsidRDefault="00FF4A58" w:rsidP="008B084C">
      <w:pPr>
        <w:jc w:val="both"/>
        <w:rPr>
          <w:rFonts w:ascii="Arial" w:hAnsi="Arial" w:cs="Arial"/>
          <w:b/>
          <w:sz w:val="24"/>
          <w:szCs w:val="24"/>
        </w:rPr>
      </w:pPr>
      <w:r w:rsidRPr="00FF4A58">
        <w:rPr>
          <w:rFonts w:ascii="Arial" w:hAnsi="Arial" w:cs="Arial"/>
          <w:b/>
          <w:sz w:val="24"/>
          <w:szCs w:val="24"/>
        </w:rPr>
        <w:t>When is this happening?</w:t>
      </w:r>
    </w:p>
    <w:p w:rsidR="00FF4A58" w:rsidRDefault="00FF4A58" w:rsidP="00FF4A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changes will take place for </w:t>
      </w:r>
      <w:r w:rsidR="0067765E">
        <w:rPr>
          <w:rFonts w:ascii="Arial" w:hAnsi="Arial" w:cs="Arial"/>
          <w:sz w:val="24"/>
          <w:szCs w:val="24"/>
        </w:rPr>
        <w:t>the publication on 2</w:t>
      </w:r>
      <w:r w:rsidR="0067765E" w:rsidRPr="00005179">
        <w:rPr>
          <w:rFonts w:ascii="Arial" w:hAnsi="Arial" w:cs="Arial"/>
          <w:sz w:val="24"/>
          <w:szCs w:val="24"/>
          <w:vertAlign w:val="superscript"/>
        </w:rPr>
        <w:t>nd</w:t>
      </w:r>
      <w:r w:rsidR="00677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October. </w:t>
      </w:r>
      <w:r w:rsidR="00F45673">
        <w:rPr>
          <w:rFonts w:ascii="Arial" w:hAnsi="Arial" w:cs="Arial"/>
          <w:sz w:val="24"/>
          <w:szCs w:val="24"/>
        </w:rPr>
        <w:t xml:space="preserve">To allow </w:t>
      </w:r>
      <w:r w:rsidR="006447A2" w:rsidRPr="008B084C">
        <w:rPr>
          <w:rFonts w:ascii="Arial" w:hAnsi="Arial" w:cs="Arial"/>
          <w:sz w:val="24"/>
          <w:szCs w:val="24"/>
        </w:rPr>
        <w:t>users t</w:t>
      </w:r>
      <w:r>
        <w:rPr>
          <w:rFonts w:ascii="Arial" w:hAnsi="Arial" w:cs="Arial"/>
          <w:sz w:val="24"/>
          <w:szCs w:val="24"/>
        </w:rPr>
        <w:t>ime t</w:t>
      </w:r>
      <w:r w:rsidR="00F45673">
        <w:rPr>
          <w:rFonts w:ascii="Arial" w:hAnsi="Arial" w:cs="Arial"/>
          <w:sz w:val="24"/>
          <w:szCs w:val="24"/>
        </w:rPr>
        <w:t>o prepare for the change</w:t>
      </w:r>
      <w:r w:rsidR="006447A2" w:rsidRPr="008B084C">
        <w:rPr>
          <w:rFonts w:ascii="Arial" w:hAnsi="Arial" w:cs="Arial"/>
          <w:sz w:val="24"/>
          <w:szCs w:val="24"/>
        </w:rPr>
        <w:t xml:space="preserve"> th</w:t>
      </w:r>
      <w:r w:rsidR="0035525E">
        <w:rPr>
          <w:rFonts w:ascii="Arial" w:hAnsi="Arial" w:cs="Arial"/>
          <w:sz w:val="24"/>
          <w:szCs w:val="24"/>
        </w:rPr>
        <w:t xml:space="preserve">e October publication will </w:t>
      </w:r>
      <w:r w:rsidR="006447A2" w:rsidRPr="008B084C">
        <w:rPr>
          <w:rFonts w:ascii="Arial" w:hAnsi="Arial" w:cs="Arial"/>
          <w:sz w:val="24"/>
          <w:szCs w:val="24"/>
        </w:rPr>
        <w:t xml:space="preserve">contain </w:t>
      </w:r>
      <w:r w:rsidR="003E39A0">
        <w:rPr>
          <w:rFonts w:ascii="Arial" w:hAnsi="Arial" w:cs="Arial"/>
          <w:sz w:val="24"/>
          <w:szCs w:val="24"/>
        </w:rPr>
        <w:t xml:space="preserve">both </w:t>
      </w:r>
      <w:r w:rsidR="006447A2" w:rsidRPr="008B084C">
        <w:rPr>
          <w:rFonts w:ascii="Arial" w:hAnsi="Arial" w:cs="Arial"/>
          <w:sz w:val="24"/>
          <w:szCs w:val="24"/>
        </w:rPr>
        <w:t>the NPS</w:t>
      </w:r>
      <w:r w:rsidR="003E39A0">
        <w:rPr>
          <w:rFonts w:ascii="Arial" w:hAnsi="Arial" w:cs="Arial"/>
          <w:sz w:val="24"/>
          <w:szCs w:val="24"/>
        </w:rPr>
        <w:t xml:space="preserve"> and percentages, </w:t>
      </w:r>
      <w:r>
        <w:rPr>
          <w:rFonts w:ascii="Arial" w:hAnsi="Arial" w:cs="Arial"/>
          <w:sz w:val="24"/>
          <w:szCs w:val="24"/>
        </w:rPr>
        <w:t xml:space="preserve">however </w:t>
      </w:r>
      <w:r w:rsidR="003E39A0">
        <w:rPr>
          <w:rFonts w:ascii="Arial" w:hAnsi="Arial" w:cs="Arial"/>
          <w:sz w:val="24"/>
          <w:szCs w:val="24"/>
        </w:rPr>
        <w:t>the NPS</w:t>
      </w:r>
      <w:r w:rsidR="006447A2" w:rsidRPr="008B084C">
        <w:rPr>
          <w:rFonts w:ascii="Arial" w:hAnsi="Arial" w:cs="Arial"/>
          <w:sz w:val="24"/>
          <w:szCs w:val="24"/>
        </w:rPr>
        <w:t xml:space="preserve"> will no longer be present in the </w:t>
      </w:r>
      <w:r w:rsidR="00A45146" w:rsidRPr="008B084C">
        <w:rPr>
          <w:rFonts w:ascii="Arial" w:hAnsi="Arial" w:cs="Arial"/>
          <w:sz w:val="24"/>
          <w:szCs w:val="24"/>
        </w:rPr>
        <w:t>publication</w:t>
      </w:r>
      <w:r w:rsidR="0067765E">
        <w:rPr>
          <w:rFonts w:ascii="Arial" w:hAnsi="Arial" w:cs="Arial"/>
          <w:sz w:val="24"/>
          <w:szCs w:val="24"/>
        </w:rPr>
        <w:t xml:space="preserve"> at the end of October</w:t>
      </w:r>
      <w:r w:rsidR="00A45146" w:rsidRPr="008B084C">
        <w:rPr>
          <w:rFonts w:ascii="Arial" w:hAnsi="Arial" w:cs="Arial"/>
          <w:sz w:val="24"/>
          <w:szCs w:val="24"/>
        </w:rPr>
        <w:t>.</w:t>
      </w:r>
      <w:r w:rsidR="000F4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users need to calculate percentage scores on historic data or NPS on future data the formulas outlined further down the document can be used to do this. </w:t>
      </w:r>
    </w:p>
    <w:p w:rsidR="005F71A7" w:rsidRDefault="005F71A7" w:rsidP="008B084C">
      <w:pPr>
        <w:jc w:val="both"/>
        <w:rPr>
          <w:rFonts w:ascii="Arial" w:hAnsi="Arial" w:cs="Arial"/>
          <w:b/>
          <w:sz w:val="24"/>
          <w:szCs w:val="24"/>
        </w:rPr>
      </w:pPr>
    </w:p>
    <w:p w:rsidR="00FF4A58" w:rsidRDefault="00FF4A58" w:rsidP="008B084C">
      <w:pPr>
        <w:jc w:val="both"/>
        <w:rPr>
          <w:rFonts w:ascii="Arial" w:hAnsi="Arial" w:cs="Arial"/>
          <w:b/>
          <w:sz w:val="24"/>
          <w:szCs w:val="24"/>
        </w:rPr>
      </w:pPr>
      <w:r w:rsidRPr="00FF4A58">
        <w:rPr>
          <w:rFonts w:ascii="Arial" w:hAnsi="Arial" w:cs="Arial"/>
          <w:b/>
          <w:sz w:val="24"/>
          <w:szCs w:val="24"/>
        </w:rPr>
        <w:t xml:space="preserve">Does </w:t>
      </w:r>
      <w:r w:rsidR="00841BA4">
        <w:rPr>
          <w:rFonts w:ascii="Arial" w:hAnsi="Arial" w:cs="Arial"/>
          <w:b/>
          <w:sz w:val="24"/>
          <w:szCs w:val="24"/>
        </w:rPr>
        <w:t>this also relate</w:t>
      </w:r>
      <w:r w:rsidRPr="00FF4A58">
        <w:rPr>
          <w:rFonts w:ascii="Arial" w:hAnsi="Arial" w:cs="Arial"/>
          <w:b/>
          <w:sz w:val="24"/>
          <w:szCs w:val="24"/>
        </w:rPr>
        <w:t xml:space="preserve"> to the data available on NHS Choices?</w:t>
      </w:r>
    </w:p>
    <w:p w:rsidR="00FF4A58" w:rsidRPr="00FF4A58" w:rsidRDefault="005F71A7" w:rsidP="008B08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presentation of data on NHS Choices will incrementally move to </w:t>
      </w:r>
      <w:r w:rsidR="0067765E">
        <w:rPr>
          <w:rFonts w:ascii="Arial" w:hAnsi="Arial" w:cs="Arial"/>
          <w:sz w:val="24"/>
          <w:szCs w:val="24"/>
        </w:rPr>
        <w:t xml:space="preserve">showing </w:t>
      </w:r>
      <w:r>
        <w:rPr>
          <w:rFonts w:ascii="Arial" w:hAnsi="Arial" w:cs="Arial"/>
          <w:sz w:val="24"/>
          <w:szCs w:val="24"/>
        </w:rPr>
        <w:t xml:space="preserve">the percentage </w:t>
      </w:r>
      <w:r w:rsidR="0067765E">
        <w:rPr>
          <w:rFonts w:ascii="Arial" w:hAnsi="Arial" w:cs="Arial"/>
          <w:sz w:val="24"/>
          <w:szCs w:val="24"/>
        </w:rPr>
        <w:t xml:space="preserve">of respondents who would </w:t>
      </w:r>
      <w:r>
        <w:rPr>
          <w:rFonts w:ascii="Arial" w:hAnsi="Arial" w:cs="Arial"/>
          <w:sz w:val="24"/>
          <w:szCs w:val="24"/>
        </w:rPr>
        <w:t>recommend</w:t>
      </w:r>
      <w:r w:rsidR="0067765E">
        <w:rPr>
          <w:rFonts w:ascii="Arial" w:hAnsi="Arial" w:cs="Arial"/>
          <w:sz w:val="24"/>
          <w:szCs w:val="24"/>
        </w:rPr>
        <w:t xml:space="preserve"> the service,</w:t>
      </w:r>
      <w:r>
        <w:rPr>
          <w:rFonts w:ascii="Arial" w:hAnsi="Arial" w:cs="Arial"/>
          <w:sz w:val="24"/>
          <w:szCs w:val="24"/>
        </w:rPr>
        <w:t xml:space="preserve"> in place of the NPS</w:t>
      </w:r>
      <w:r w:rsidR="006776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over </w:t>
      </w:r>
      <w:r w:rsidR="00AD5171">
        <w:rPr>
          <w:rFonts w:ascii="Arial" w:hAnsi="Arial" w:cs="Arial"/>
          <w:sz w:val="24"/>
          <w:szCs w:val="24"/>
        </w:rPr>
        <w:t>the coming months</w:t>
      </w:r>
      <w:r>
        <w:rPr>
          <w:rFonts w:ascii="Arial" w:hAnsi="Arial" w:cs="Arial"/>
          <w:sz w:val="24"/>
          <w:szCs w:val="24"/>
        </w:rPr>
        <w:t xml:space="preserve">. As an additional but linked piece of work NHS England is </w:t>
      </w:r>
      <w:r w:rsidR="00AD5171">
        <w:rPr>
          <w:rFonts w:ascii="Arial" w:hAnsi="Arial" w:cs="Arial"/>
          <w:sz w:val="24"/>
          <w:szCs w:val="24"/>
        </w:rPr>
        <w:t>committed</w:t>
      </w:r>
      <w:r>
        <w:rPr>
          <w:rFonts w:ascii="Arial" w:hAnsi="Arial" w:cs="Arial"/>
          <w:sz w:val="24"/>
          <w:szCs w:val="24"/>
        </w:rPr>
        <w:t xml:space="preserve"> to making the FFT data on NHS Choices as useful as possible for patients. To do this NHS England is working with NHS Choices to undertak</w:t>
      </w:r>
      <w:r w:rsidR="0067765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user testing in the </w:t>
      </w:r>
      <w:r w:rsidR="00F834F0">
        <w:rPr>
          <w:rFonts w:ascii="Arial" w:hAnsi="Arial" w:cs="Arial"/>
          <w:sz w:val="24"/>
          <w:szCs w:val="24"/>
        </w:rPr>
        <w:t>autumn</w:t>
      </w:r>
      <w:r>
        <w:rPr>
          <w:rFonts w:ascii="Arial" w:hAnsi="Arial" w:cs="Arial"/>
          <w:sz w:val="24"/>
          <w:szCs w:val="24"/>
        </w:rPr>
        <w:t xml:space="preserve"> </w:t>
      </w:r>
      <w:r w:rsidR="00F834F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decide upon the best long-term format for presenting FFT data on the site.</w:t>
      </w:r>
    </w:p>
    <w:p w:rsidR="007069EF" w:rsidRPr="008B084C" w:rsidRDefault="007069EF" w:rsidP="008B084C">
      <w:pPr>
        <w:jc w:val="both"/>
        <w:rPr>
          <w:rFonts w:ascii="Arial" w:hAnsi="Arial" w:cs="Arial"/>
          <w:sz w:val="24"/>
          <w:szCs w:val="24"/>
        </w:rPr>
      </w:pPr>
    </w:p>
    <w:p w:rsidR="00A45146" w:rsidRPr="008B084C" w:rsidRDefault="00A45146" w:rsidP="008B084C">
      <w:pPr>
        <w:jc w:val="both"/>
        <w:rPr>
          <w:rFonts w:ascii="Arial" w:hAnsi="Arial" w:cs="Arial"/>
          <w:b/>
          <w:sz w:val="24"/>
          <w:szCs w:val="24"/>
        </w:rPr>
      </w:pPr>
      <w:r w:rsidRPr="008B084C">
        <w:rPr>
          <w:rFonts w:ascii="Arial" w:hAnsi="Arial" w:cs="Arial"/>
          <w:b/>
          <w:sz w:val="24"/>
          <w:szCs w:val="24"/>
        </w:rPr>
        <w:t xml:space="preserve">How are the </w:t>
      </w:r>
      <w:r w:rsidR="00733322">
        <w:rPr>
          <w:rFonts w:ascii="Arial" w:hAnsi="Arial" w:cs="Arial"/>
          <w:b/>
          <w:sz w:val="24"/>
          <w:szCs w:val="24"/>
        </w:rPr>
        <w:t xml:space="preserve">different </w:t>
      </w:r>
      <w:r w:rsidR="00B564D9">
        <w:rPr>
          <w:rFonts w:ascii="Arial" w:hAnsi="Arial" w:cs="Arial"/>
          <w:b/>
          <w:sz w:val="24"/>
          <w:szCs w:val="24"/>
        </w:rPr>
        <w:t xml:space="preserve">headline </w:t>
      </w:r>
      <w:r w:rsidRPr="008B084C">
        <w:rPr>
          <w:rFonts w:ascii="Arial" w:hAnsi="Arial" w:cs="Arial"/>
          <w:b/>
          <w:sz w:val="24"/>
          <w:szCs w:val="24"/>
        </w:rPr>
        <w:t>scores calculated?</w:t>
      </w:r>
    </w:p>
    <w:p w:rsidR="00C35A53" w:rsidRDefault="00043105" w:rsidP="008B084C">
      <w:pPr>
        <w:jc w:val="both"/>
        <w:rPr>
          <w:rFonts w:ascii="Arial" w:hAnsi="Arial" w:cs="Arial"/>
          <w:sz w:val="24"/>
          <w:szCs w:val="24"/>
        </w:rPr>
      </w:pPr>
      <w:r w:rsidRPr="008B084C">
        <w:rPr>
          <w:rFonts w:ascii="Arial" w:hAnsi="Arial" w:cs="Arial"/>
          <w:sz w:val="24"/>
          <w:szCs w:val="24"/>
        </w:rPr>
        <w:t xml:space="preserve">The </w:t>
      </w:r>
      <w:r w:rsidR="00B564D9">
        <w:rPr>
          <w:rFonts w:ascii="Arial" w:hAnsi="Arial" w:cs="Arial"/>
          <w:sz w:val="24"/>
          <w:szCs w:val="24"/>
        </w:rPr>
        <w:t xml:space="preserve">present </w:t>
      </w:r>
      <w:r w:rsidR="00C35A53" w:rsidRPr="008B084C">
        <w:rPr>
          <w:rFonts w:ascii="Arial" w:hAnsi="Arial" w:cs="Arial"/>
          <w:sz w:val="24"/>
          <w:szCs w:val="24"/>
        </w:rPr>
        <w:t>Net Promoter Score (NPS)</w:t>
      </w:r>
      <w:r w:rsidR="00B564D9">
        <w:rPr>
          <w:rFonts w:ascii="Arial" w:hAnsi="Arial" w:cs="Arial"/>
          <w:sz w:val="24"/>
          <w:szCs w:val="24"/>
        </w:rPr>
        <w:t xml:space="preserve"> is</w:t>
      </w:r>
      <w:r w:rsidRPr="008B084C">
        <w:rPr>
          <w:rFonts w:ascii="Arial" w:hAnsi="Arial" w:cs="Arial"/>
          <w:sz w:val="24"/>
          <w:szCs w:val="24"/>
        </w:rPr>
        <w:t xml:space="preserve"> calculated using the following formula:</w:t>
      </w:r>
    </w:p>
    <w:p w:rsidR="00E9339C" w:rsidRPr="008B084C" w:rsidRDefault="00E9339C" w:rsidP="008B084C">
      <w:pPr>
        <w:jc w:val="both"/>
        <w:rPr>
          <w:rFonts w:ascii="Arial" w:hAnsi="Arial" w:cs="Arial"/>
          <w:sz w:val="24"/>
          <w:szCs w:val="24"/>
        </w:rPr>
      </w:pPr>
    </w:p>
    <w:p w:rsidR="00955ADE" w:rsidRPr="007069EF" w:rsidRDefault="00955ADE" w:rsidP="008B084C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NPS=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extremely likely-extremely unlikely-unlikely-neither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extremely likely+likely+neither+unlikely+extremely unlikely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</m:t>
          </m:r>
        </m:oMath>
      </m:oMathPara>
    </w:p>
    <w:p w:rsidR="007069EF" w:rsidRPr="00E9339C" w:rsidRDefault="007069EF" w:rsidP="008B084C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E9339C" w:rsidRPr="007069EF" w:rsidRDefault="007069EF" w:rsidP="008B084C">
      <w:pPr>
        <w:jc w:val="both"/>
        <w:rPr>
          <w:rFonts w:ascii="Arial" w:hAnsi="Arial" w:cs="Arial"/>
          <w:sz w:val="24"/>
          <w:szCs w:val="24"/>
        </w:rPr>
      </w:pPr>
      <w:r w:rsidRPr="007069EF">
        <w:rPr>
          <w:rFonts w:ascii="Arial" w:hAnsi="Arial" w:cs="Arial"/>
          <w:sz w:val="24"/>
          <w:szCs w:val="24"/>
        </w:rPr>
        <w:t xml:space="preserve">The percentage measures will be calculated as follows: </w:t>
      </w:r>
    </w:p>
    <w:p w:rsidR="00B564D9" w:rsidRPr="00E9339C" w:rsidRDefault="00E9339C" w:rsidP="008B084C">
      <w:pPr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Recommend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extremely likely+likely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extremely likely+likely+neither+unlikely+extremely unlikely+do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t know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</m:t>
          </m:r>
        </m:oMath>
      </m:oMathPara>
    </w:p>
    <w:p w:rsidR="00E9339C" w:rsidRPr="00E9339C" w:rsidRDefault="00E9339C" w:rsidP="00E9339C">
      <w:pPr>
        <w:jc w:val="both"/>
        <w:rPr>
          <w:rFonts w:ascii="Arial" w:hAnsi="Arial" w:cs="Arial"/>
          <w:sz w:val="20"/>
          <w:szCs w:val="20"/>
        </w:rPr>
      </w:pPr>
    </w:p>
    <w:p w:rsidR="00E9339C" w:rsidRPr="00E9339C" w:rsidRDefault="00E9339C" w:rsidP="00E9339C">
      <w:pPr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Not recommend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extremely unlikely+unlikely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extremely likely+likely+neither+unlikely+extremely unlikely+do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t know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</m:t>
          </m:r>
        </m:oMath>
      </m:oMathPara>
    </w:p>
    <w:p w:rsidR="000F483C" w:rsidRDefault="000F483C" w:rsidP="008B084C">
      <w:pPr>
        <w:jc w:val="both"/>
        <w:rPr>
          <w:rFonts w:ascii="Arial" w:hAnsi="Arial" w:cs="Arial"/>
          <w:sz w:val="24"/>
          <w:szCs w:val="24"/>
        </w:rPr>
      </w:pPr>
    </w:p>
    <w:p w:rsidR="000F483C" w:rsidRDefault="000F483C" w:rsidP="008B084C">
      <w:pPr>
        <w:jc w:val="both"/>
        <w:rPr>
          <w:rFonts w:ascii="Arial" w:hAnsi="Arial" w:cs="Arial"/>
          <w:sz w:val="24"/>
          <w:szCs w:val="24"/>
        </w:rPr>
      </w:pPr>
    </w:p>
    <w:p w:rsidR="00300FA4" w:rsidRPr="008B084C" w:rsidRDefault="00526219" w:rsidP="008B084C">
      <w:pPr>
        <w:jc w:val="both"/>
        <w:rPr>
          <w:rFonts w:ascii="Arial" w:hAnsi="Arial" w:cs="Arial"/>
          <w:b/>
          <w:sz w:val="24"/>
          <w:szCs w:val="24"/>
        </w:rPr>
      </w:pPr>
      <w:r w:rsidRPr="008B084C">
        <w:rPr>
          <w:rFonts w:ascii="Arial" w:hAnsi="Arial" w:cs="Arial"/>
          <w:b/>
          <w:sz w:val="24"/>
          <w:szCs w:val="24"/>
        </w:rPr>
        <w:t xml:space="preserve">How can I find out more </w:t>
      </w:r>
      <w:r w:rsidR="001676DA" w:rsidRPr="008B084C">
        <w:rPr>
          <w:rFonts w:ascii="Arial" w:hAnsi="Arial" w:cs="Arial"/>
          <w:b/>
          <w:sz w:val="24"/>
          <w:szCs w:val="24"/>
        </w:rPr>
        <w:t>details about the different</w:t>
      </w:r>
      <w:r w:rsidRPr="008B084C">
        <w:rPr>
          <w:rFonts w:ascii="Arial" w:hAnsi="Arial" w:cs="Arial"/>
          <w:b/>
          <w:sz w:val="24"/>
          <w:szCs w:val="24"/>
        </w:rPr>
        <w:t xml:space="preserve"> scoring methods?</w:t>
      </w:r>
    </w:p>
    <w:p w:rsidR="00526219" w:rsidRPr="008B084C" w:rsidRDefault="00526219" w:rsidP="008B084C">
      <w:pPr>
        <w:jc w:val="both"/>
        <w:rPr>
          <w:rFonts w:ascii="Arial" w:hAnsi="Arial" w:cs="Arial"/>
          <w:sz w:val="24"/>
          <w:szCs w:val="24"/>
        </w:rPr>
      </w:pPr>
      <w:r w:rsidRPr="008B084C">
        <w:rPr>
          <w:rFonts w:ascii="Arial" w:hAnsi="Arial" w:cs="Arial"/>
          <w:sz w:val="24"/>
          <w:szCs w:val="24"/>
        </w:rPr>
        <w:t>The FFT Review</w:t>
      </w:r>
      <w:r w:rsidR="001676DA" w:rsidRPr="008B084C">
        <w:rPr>
          <w:rFonts w:ascii="Arial" w:hAnsi="Arial" w:cs="Arial"/>
          <w:sz w:val="24"/>
          <w:szCs w:val="24"/>
        </w:rPr>
        <w:t xml:space="preserve"> considered </w:t>
      </w:r>
      <w:r w:rsidRPr="008B084C">
        <w:rPr>
          <w:rFonts w:ascii="Arial" w:hAnsi="Arial" w:cs="Arial"/>
          <w:sz w:val="24"/>
          <w:szCs w:val="24"/>
        </w:rPr>
        <w:t>the qualitative and quantitative aspects of both the NPS and alternatives</w:t>
      </w:r>
      <w:r w:rsidR="000F483C">
        <w:rPr>
          <w:rFonts w:ascii="Arial" w:hAnsi="Arial" w:cs="Arial"/>
          <w:sz w:val="24"/>
          <w:szCs w:val="24"/>
        </w:rPr>
        <w:t xml:space="preserve"> (including percentages)</w:t>
      </w:r>
      <w:r w:rsidR="00841BA4">
        <w:rPr>
          <w:rFonts w:ascii="Arial" w:hAnsi="Arial" w:cs="Arial"/>
          <w:sz w:val="24"/>
          <w:szCs w:val="24"/>
        </w:rPr>
        <w:t>,</w:t>
      </w:r>
      <w:r w:rsidRPr="008B084C">
        <w:rPr>
          <w:rFonts w:ascii="Arial" w:hAnsi="Arial" w:cs="Arial"/>
          <w:sz w:val="24"/>
          <w:szCs w:val="24"/>
        </w:rPr>
        <w:t xml:space="preserve"> further information can be </w:t>
      </w:r>
      <w:r w:rsidR="000F483C">
        <w:rPr>
          <w:rFonts w:ascii="Arial" w:hAnsi="Arial" w:cs="Arial"/>
          <w:sz w:val="24"/>
          <w:szCs w:val="24"/>
        </w:rPr>
        <w:t xml:space="preserve">found by </w:t>
      </w:r>
      <w:r w:rsidRPr="008B084C">
        <w:rPr>
          <w:rFonts w:ascii="Arial" w:hAnsi="Arial" w:cs="Arial"/>
          <w:sz w:val="24"/>
          <w:szCs w:val="24"/>
        </w:rPr>
        <w:t>following the link below:</w:t>
      </w:r>
    </w:p>
    <w:p w:rsidR="006447A2" w:rsidRPr="008B084C" w:rsidRDefault="0015013B" w:rsidP="008B084C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526219" w:rsidRPr="008B084C">
          <w:rPr>
            <w:rStyle w:val="Hyperlink"/>
            <w:rFonts w:ascii="Arial" w:hAnsi="Arial" w:cs="Arial"/>
            <w:sz w:val="24"/>
            <w:szCs w:val="24"/>
          </w:rPr>
          <w:t>http://www.england.nhs.uk/ourwork/pe/fft/fft-test-review/</w:t>
        </w:r>
      </w:hyperlink>
    </w:p>
    <w:p w:rsidR="00372838" w:rsidRPr="008B084C" w:rsidRDefault="00372838" w:rsidP="008B084C">
      <w:pPr>
        <w:jc w:val="both"/>
        <w:rPr>
          <w:rFonts w:ascii="Arial" w:hAnsi="Arial" w:cs="Arial"/>
          <w:sz w:val="24"/>
          <w:szCs w:val="24"/>
        </w:rPr>
      </w:pPr>
    </w:p>
    <w:sectPr w:rsidR="00372838" w:rsidRPr="008B084C" w:rsidSect="00A52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38"/>
    <w:rsid w:val="00005179"/>
    <w:rsid w:val="00043105"/>
    <w:rsid w:val="000F23EF"/>
    <w:rsid w:val="000F483C"/>
    <w:rsid w:val="00135A15"/>
    <w:rsid w:val="0015013B"/>
    <w:rsid w:val="001676DA"/>
    <w:rsid w:val="001F2842"/>
    <w:rsid w:val="00300FA4"/>
    <w:rsid w:val="0035525E"/>
    <w:rsid w:val="00372838"/>
    <w:rsid w:val="003E39A0"/>
    <w:rsid w:val="00526219"/>
    <w:rsid w:val="005263FE"/>
    <w:rsid w:val="005F71A7"/>
    <w:rsid w:val="006447A2"/>
    <w:rsid w:val="0067765E"/>
    <w:rsid w:val="00692EE0"/>
    <w:rsid w:val="00697EB0"/>
    <w:rsid w:val="007069EF"/>
    <w:rsid w:val="00733322"/>
    <w:rsid w:val="007634EC"/>
    <w:rsid w:val="00841BA4"/>
    <w:rsid w:val="00893ADE"/>
    <w:rsid w:val="008B084C"/>
    <w:rsid w:val="00955ADE"/>
    <w:rsid w:val="009B7FF0"/>
    <w:rsid w:val="00A45146"/>
    <w:rsid w:val="00A521BF"/>
    <w:rsid w:val="00A70892"/>
    <w:rsid w:val="00A7719A"/>
    <w:rsid w:val="00AB79F4"/>
    <w:rsid w:val="00AD4486"/>
    <w:rsid w:val="00AD5171"/>
    <w:rsid w:val="00AE1230"/>
    <w:rsid w:val="00B551A0"/>
    <w:rsid w:val="00B564D9"/>
    <w:rsid w:val="00B611F9"/>
    <w:rsid w:val="00B62432"/>
    <w:rsid w:val="00C35A53"/>
    <w:rsid w:val="00E9339C"/>
    <w:rsid w:val="00EA384A"/>
    <w:rsid w:val="00F34CA0"/>
    <w:rsid w:val="00F45673"/>
    <w:rsid w:val="00F51644"/>
    <w:rsid w:val="00F834F0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21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5A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21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5A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and.nhs.uk/ourwork/pe/fft/fft-test-revi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15F8-28F7-4508-A8FF-D13EBD64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Rhea, Simon</dc:creator>
  <cp:lastModifiedBy>Bell, Gavin</cp:lastModifiedBy>
  <cp:revision>2</cp:revision>
  <cp:lastPrinted>2014-09-16T09:45:00Z</cp:lastPrinted>
  <dcterms:created xsi:type="dcterms:W3CDTF">2014-09-22T07:12:00Z</dcterms:created>
  <dcterms:modified xsi:type="dcterms:W3CDTF">2014-09-22T07:12:00Z</dcterms:modified>
</cp:coreProperties>
</file>