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CF060" w14:textId="5847C9A5" w:rsidR="005D71DB" w:rsidRPr="00217CA9" w:rsidRDefault="00B411BD" w:rsidP="00217CA9">
      <w:pPr>
        <w:pStyle w:val="Heading3"/>
        <w:rPr>
          <w:b w:val="0"/>
          <w:color w:val="005EB8"/>
          <w:sz w:val="52"/>
          <w:szCs w:val="52"/>
        </w:rPr>
      </w:pPr>
      <w:bookmarkStart w:id="1" w:name="_Toc19523258"/>
      <w:r w:rsidRPr="00217CA9">
        <w:rPr>
          <w:b w:val="0"/>
          <w:color w:val="005EB8"/>
          <w:sz w:val="52"/>
          <w:szCs w:val="52"/>
        </w:rPr>
        <w:t>The</w:t>
      </w:r>
      <w:r w:rsidR="008777F9" w:rsidRPr="00217CA9">
        <w:rPr>
          <w:b w:val="0"/>
          <w:color w:val="005EB8"/>
          <w:sz w:val="52"/>
          <w:szCs w:val="52"/>
        </w:rPr>
        <w:t xml:space="preserve"> </w:t>
      </w:r>
      <w:r w:rsidRPr="00217CA9">
        <w:rPr>
          <w:b w:val="0"/>
          <w:color w:val="005EB8"/>
          <w:sz w:val="52"/>
          <w:szCs w:val="52"/>
        </w:rPr>
        <w:t xml:space="preserve">NHS provider </w:t>
      </w:r>
      <w:r w:rsidR="008777F9" w:rsidRPr="00217CA9">
        <w:rPr>
          <w:b w:val="0"/>
          <w:color w:val="005EB8"/>
          <w:sz w:val="52"/>
          <w:szCs w:val="52"/>
        </w:rPr>
        <w:t>chair</w:t>
      </w:r>
      <w:bookmarkEnd w:id="1"/>
    </w:p>
    <w:p w14:paraId="075A6490" w14:textId="31FE52E0" w:rsidR="005D71DB" w:rsidRDefault="005D71DB" w:rsidP="005D71DB">
      <w:pPr>
        <w:pStyle w:val="BodyText2"/>
      </w:pPr>
      <w:r>
        <w:t xml:space="preserve">NHS </w:t>
      </w:r>
      <w:r w:rsidR="003A6A46">
        <w:t>t</w:t>
      </w:r>
      <w:r>
        <w:t xml:space="preserve">rusts and </w:t>
      </w:r>
      <w:r w:rsidR="003A6A46">
        <w:t>f</w:t>
      </w:r>
      <w:r>
        <w:t xml:space="preserve">oundation </w:t>
      </w:r>
      <w:r w:rsidR="003A6A46">
        <w:t>t</w:t>
      </w:r>
      <w:r>
        <w:t>rusts are primarily responsible for delivering safe, high quality services and outcomes for patients, service users and the wider community.</w:t>
      </w:r>
    </w:p>
    <w:p w14:paraId="2BE11B74" w14:textId="668ED624" w:rsidR="005D71DB" w:rsidRDefault="005D71DB" w:rsidP="005D71DB">
      <w:pPr>
        <w:pStyle w:val="BodyText2"/>
      </w:pPr>
      <w:r>
        <w:rPr>
          <w:b/>
        </w:rPr>
        <w:t xml:space="preserve">The </w:t>
      </w:r>
      <w:r w:rsidR="003A6A46">
        <w:rPr>
          <w:b/>
        </w:rPr>
        <w:t>c</w:t>
      </w:r>
      <w:r>
        <w:rPr>
          <w:b/>
        </w:rPr>
        <w:t xml:space="preserve">hair has a unique role in leading the NHS </w:t>
      </w:r>
      <w:r w:rsidR="003A6A46">
        <w:rPr>
          <w:b/>
        </w:rPr>
        <w:t>trust board</w:t>
      </w:r>
      <w:r>
        <w:rPr>
          <w:b/>
        </w:rPr>
        <w:t>.</w:t>
      </w:r>
      <w:r>
        <w:t xml:space="preserve"> The role combines the duty to lead effective governance, consistent with the </w:t>
      </w:r>
      <w:hyperlink r:id="rId11">
        <w:r w:rsidRPr="003A6A46">
          <w:t xml:space="preserve">Nolan </w:t>
        </w:r>
        <w:r w:rsidR="003A6A46">
          <w:t>p</w:t>
        </w:r>
        <w:r w:rsidRPr="003A6A46">
          <w:t>rinciples</w:t>
        </w:r>
      </w:hyperlink>
      <w:r>
        <w:t xml:space="preserve"> and </w:t>
      </w:r>
      <w:hyperlink r:id="rId12">
        <w:r w:rsidRPr="003A6A46">
          <w:t>NHS values</w:t>
        </w:r>
      </w:hyperlink>
      <w:r>
        <w:t>, with securing a long-term vision and strategy for the organisation.</w:t>
      </w:r>
    </w:p>
    <w:p w14:paraId="36E5C72C" w14:textId="1C3DFBB7" w:rsidR="005D71DB" w:rsidRDefault="005D71DB" w:rsidP="005D71DB">
      <w:pPr>
        <w:pStyle w:val="BodyText2"/>
      </w:pPr>
      <w:r>
        <w:t xml:space="preserve">Fundamentally, the </w:t>
      </w:r>
      <w:r w:rsidR="003A6A46">
        <w:t>c</w:t>
      </w:r>
      <w:r>
        <w:t xml:space="preserve">hair is responsible for the effective leadership of the </w:t>
      </w:r>
      <w:r w:rsidR="003A6A46">
        <w:t>b</w:t>
      </w:r>
      <w:r>
        <w:t xml:space="preserve">oard (and in </w:t>
      </w:r>
      <w:r w:rsidR="003A6A46">
        <w:t>f</w:t>
      </w:r>
      <w:r>
        <w:t xml:space="preserve">oundation </w:t>
      </w:r>
      <w:r w:rsidR="003A6A46">
        <w:t>t</w:t>
      </w:r>
      <w:r>
        <w:t>rusts</w:t>
      </w:r>
      <w:r w:rsidR="003A6A46">
        <w:t>,</w:t>
      </w:r>
      <w:r>
        <w:t xml:space="preserve"> the </w:t>
      </w:r>
      <w:r w:rsidR="003A6A46">
        <w:t>c</w:t>
      </w:r>
      <w:r>
        <w:t xml:space="preserve">ouncil of </w:t>
      </w:r>
      <w:r w:rsidR="003A6A46">
        <w:t>g</w:t>
      </w:r>
      <w:r>
        <w:t>overnors)</w:t>
      </w:r>
      <w:r w:rsidR="00270EBB">
        <w:t>.</w:t>
      </w:r>
      <w:r>
        <w:t xml:space="preserve"> </w:t>
      </w:r>
      <w:r w:rsidR="00270EBB">
        <w:t>They are</w:t>
      </w:r>
      <w:r>
        <w:t xml:space="preserve"> pivotal in creati</w:t>
      </w:r>
      <w:r w:rsidR="008777F9">
        <w:t>ng</w:t>
      </w:r>
      <w:r>
        <w:t xml:space="preserve"> the conditions necessary for overall </w:t>
      </w:r>
      <w:r w:rsidR="003A6A46">
        <w:t>b</w:t>
      </w:r>
      <w:r>
        <w:t xml:space="preserve">oard and individual </w:t>
      </w:r>
      <w:r w:rsidR="003A6A46">
        <w:t>d</w:t>
      </w:r>
      <w:r>
        <w:t>irector effectiveness.</w:t>
      </w:r>
    </w:p>
    <w:p w14:paraId="0BF7B516" w14:textId="7F895FCD" w:rsidR="005D71DB" w:rsidRDefault="005D71DB" w:rsidP="005D71DB">
      <w:pPr>
        <w:pStyle w:val="BodyText2"/>
      </w:pPr>
      <w:r>
        <w:t>Central to the</w:t>
      </w:r>
      <w:r w:rsidR="008777F9">
        <w:t xml:space="preserve"> chair’s</w:t>
      </w:r>
      <w:r>
        <w:t xml:space="preserve"> role are five key responsibilities:</w:t>
      </w:r>
    </w:p>
    <w:p w14:paraId="38EABF6B" w14:textId="75D90D7E" w:rsidR="005D71DB" w:rsidRDefault="00C3746B" w:rsidP="005D71DB">
      <w:pPr>
        <w:pStyle w:val="BodyText"/>
      </w:pPr>
      <w:r>
        <w:rPr>
          <w:b/>
        </w:rPr>
        <w:t>s</w:t>
      </w:r>
      <w:r w:rsidR="005D71DB">
        <w:rPr>
          <w:b/>
        </w:rPr>
        <w:t>trategic</w:t>
      </w:r>
      <w:r w:rsidR="005D71DB">
        <w:t xml:space="preserve">: </w:t>
      </w:r>
      <w:r w:rsidR="003A6A46">
        <w:t>e</w:t>
      </w:r>
      <w:r w:rsidR="005D71DB">
        <w:t xml:space="preserve">nsuring the </w:t>
      </w:r>
      <w:r w:rsidR="003A6A46">
        <w:t>b</w:t>
      </w:r>
      <w:r w:rsidR="005D71DB">
        <w:t>oard sets the</w:t>
      </w:r>
      <w:r w:rsidR="008777F9">
        <w:t xml:space="preserve"> trust’s</w:t>
      </w:r>
      <w:r w:rsidR="005D71DB">
        <w:t xml:space="preserve"> long</w:t>
      </w:r>
      <w:r w:rsidR="003A6A46">
        <w:t>-</w:t>
      </w:r>
      <w:r w:rsidR="005D71DB">
        <w:t xml:space="preserve">term vision and strategic direction and holding the </w:t>
      </w:r>
      <w:r>
        <w:t>c</w:t>
      </w:r>
      <w:r w:rsidR="005D71DB">
        <w:t xml:space="preserve">hief </w:t>
      </w:r>
      <w:r>
        <w:t>e</w:t>
      </w:r>
      <w:r w:rsidR="005D71DB">
        <w:t xml:space="preserve">xecutive to account for </w:t>
      </w:r>
      <w:r w:rsidR="008777F9">
        <w:t>achieving</w:t>
      </w:r>
      <w:r w:rsidR="005D71DB">
        <w:t xml:space="preserve"> the </w:t>
      </w:r>
      <w:r>
        <w:t>t</w:t>
      </w:r>
      <w:r w:rsidR="005D71DB">
        <w:t>rust’s strategy</w:t>
      </w:r>
    </w:p>
    <w:p w14:paraId="20BE4F14" w14:textId="555CA4AD" w:rsidR="005D71DB" w:rsidRDefault="00C3746B" w:rsidP="005D71DB">
      <w:pPr>
        <w:pStyle w:val="BodyText"/>
      </w:pPr>
      <w:r>
        <w:rPr>
          <w:b/>
        </w:rPr>
        <w:t>p</w:t>
      </w:r>
      <w:r w:rsidR="005D71DB">
        <w:rPr>
          <w:b/>
        </w:rPr>
        <w:t>eople</w:t>
      </w:r>
      <w:r w:rsidR="005D71DB">
        <w:t xml:space="preserve">: </w:t>
      </w:r>
      <w:r>
        <w:t>c</w:t>
      </w:r>
      <w:r w:rsidR="005D71DB">
        <w:t xml:space="preserve">reating the right tone at the top, encouraging </w:t>
      </w:r>
      <w:r w:rsidR="00DA2C23">
        <w:t xml:space="preserve">diversity, </w:t>
      </w:r>
      <w:r w:rsidR="005D71DB">
        <w:t xml:space="preserve">change and innovation, and shaping an </w:t>
      </w:r>
      <w:r w:rsidR="00DA2C23">
        <w:t>inclusive</w:t>
      </w:r>
      <w:r w:rsidR="005D71DB">
        <w:t>, compassionate, patient-centred culture for the organisation</w:t>
      </w:r>
    </w:p>
    <w:p w14:paraId="3FEC78A0" w14:textId="02D04658" w:rsidR="005D71DB" w:rsidRDefault="00C3746B" w:rsidP="005D71DB">
      <w:pPr>
        <w:pStyle w:val="BodyText"/>
      </w:pPr>
      <w:r>
        <w:rPr>
          <w:b/>
        </w:rPr>
        <w:t>p</w:t>
      </w:r>
      <w:r w:rsidR="005D71DB">
        <w:rPr>
          <w:b/>
        </w:rPr>
        <w:t>rofessional acumen</w:t>
      </w:r>
      <w:r w:rsidR="005D71DB">
        <w:t xml:space="preserve">: </w:t>
      </w:r>
      <w:r>
        <w:t>l</w:t>
      </w:r>
      <w:r w:rsidR="005D71DB">
        <w:t xml:space="preserve">eading the </w:t>
      </w:r>
      <w:r>
        <w:t>b</w:t>
      </w:r>
      <w:r w:rsidR="005D71DB">
        <w:t>oard, both in terms of governance and managing relationships internally and externally</w:t>
      </w:r>
    </w:p>
    <w:p w14:paraId="6DDC5B1A" w14:textId="22E7A05F" w:rsidR="005D71DB" w:rsidRDefault="00C3746B" w:rsidP="005D71DB">
      <w:pPr>
        <w:pStyle w:val="BodyText"/>
      </w:pPr>
      <w:r>
        <w:rPr>
          <w:b/>
        </w:rPr>
        <w:t>o</w:t>
      </w:r>
      <w:r w:rsidR="005D71DB">
        <w:rPr>
          <w:b/>
        </w:rPr>
        <w:t>utcomes focus</w:t>
      </w:r>
      <w:r w:rsidR="005D71DB">
        <w:t xml:space="preserve">: </w:t>
      </w:r>
      <w:r>
        <w:t>a</w:t>
      </w:r>
      <w:r w:rsidR="005D71DB">
        <w:t xml:space="preserve">chieving the best sustainable outcomes for patients/ service users </w:t>
      </w:r>
      <w:r w:rsidR="0085738D">
        <w:t xml:space="preserve">by </w:t>
      </w:r>
      <w:r w:rsidR="005D71DB">
        <w:t>encouraging continuous improvement, clinical excellence and value for money</w:t>
      </w:r>
    </w:p>
    <w:p w14:paraId="399FF180" w14:textId="4B2927BD" w:rsidR="005D71DB" w:rsidRDefault="00C3746B" w:rsidP="005D71DB">
      <w:pPr>
        <w:pStyle w:val="BodyText"/>
      </w:pPr>
      <w:r>
        <w:rPr>
          <w:b/>
        </w:rPr>
        <w:t>p</w:t>
      </w:r>
      <w:r w:rsidR="005D71DB">
        <w:rPr>
          <w:b/>
        </w:rPr>
        <w:t>artnerships</w:t>
      </w:r>
      <w:r w:rsidR="005D71DB">
        <w:t xml:space="preserve">: </w:t>
      </w:r>
      <w:r>
        <w:t>b</w:t>
      </w:r>
      <w:r w:rsidR="005D71DB">
        <w:t>uilding system partnerships and balancing organisational governance priorities with system collaboration</w:t>
      </w:r>
      <w:r>
        <w:t>;</w:t>
      </w:r>
      <w:r w:rsidR="005D71DB">
        <w:t xml:space="preserve"> </w:t>
      </w:r>
      <w:r>
        <w:t>t</w:t>
      </w:r>
      <w:r w:rsidR="005D71DB">
        <w:t xml:space="preserve">his role will become increasingly more important as local organisations move to delivering integrated care, prioritising population health in line with the </w:t>
      </w:r>
      <w:hyperlink r:id="rId13">
        <w:r w:rsidR="005D71DB" w:rsidRPr="008777F9">
          <w:t>NHS Long Term Plan</w:t>
        </w:r>
      </w:hyperlink>
      <w:r w:rsidR="005D71DB">
        <w:t>.</w:t>
      </w:r>
      <w:r w:rsidR="006B15BA">
        <w:rPr>
          <w:rStyle w:val="FootnoteReference"/>
        </w:rPr>
        <w:footnoteReference w:id="1"/>
      </w:r>
      <w:r w:rsidR="005D71DB">
        <w:t xml:space="preserve"> </w:t>
      </w:r>
    </w:p>
    <w:p w14:paraId="0411CC52" w14:textId="77777777" w:rsidR="00795053" w:rsidRDefault="00795053" w:rsidP="00795053">
      <w:pPr>
        <w:pStyle w:val="BodyText2"/>
      </w:pPr>
      <w:r>
        <w:rPr>
          <w:b/>
        </w:rPr>
        <w:t xml:space="preserve">The relationship between the chair and the trust’s chief executive is key to the role’s success. </w:t>
      </w:r>
      <w:r>
        <w:t xml:space="preserve">The chair must cultivate an effective working relationship with the chief executive. Many responsibilities in the role description will be discharged </w:t>
      </w:r>
      <w:r>
        <w:lastRenderedPageBreak/>
        <w:t>in partnership with the chief executive. It is important that the chair and chief executive are clear about their individual and shared roles, and their respective responsibilities towards the unitary board.</w:t>
      </w:r>
    </w:p>
    <w:p w14:paraId="67E58ED7" w14:textId="77777777" w:rsidR="00AE3618" w:rsidRDefault="00795053" w:rsidP="00AE3618">
      <w:pPr>
        <w:pStyle w:val="BodyText2"/>
      </w:pPr>
      <w:r>
        <w:t xml:space="preserve">The fundamental difference between these roles is that the chair leads the board and is responsible for the non-executive directors’ effectiveness and the </w:t>
      </w:r>
      <w:proofErr w:type="gramStart"/>
      <w:r>
        <w:t>board as a whole</w:t>
      </w:r>
      <w:proofErr w:type="gramEnd"/>
      <w:r>
        <w:t>. The chief executive leads the organisation and is responsible for managing the executive directors. In foundation trusts, the chair also chairs the council of governors. This special relationship between the chair and the chief executive sets the tone for the whole organisatio</w:t>
      </w:r>
      <w:r w:rsidR="00AE3618">
        <w:t>n.</w:t>
      </w:r>
    </w:p>
    <w:p w14:paraId="54B689BD" w14:textId="77777777" w:rsidR="001E37B4" w:rsidRDefault="00B411BD" w:rsidP="001E37B4">
      <w:pPr>
        <w:pStyle w:val="Heading3"/>
        <w:rPr>
          <w:b w:val="0"/>
          <w:color w:val="005EB8"/>
          <w:sz w:val="52"/>
          <w:szCs w:val="52"/>
        </w:rPr>
      </w:pPr>
      <w:bookmarkStart w:id="2" w:name="_Toc19523260"/>
      <w:r w:rsidRPr="001E37B4">
        <w:rPr>
          <w:b w:val="0"/>
          <w:color w:val="005EB8"/>
          <w:sz w:val="52"/>
          <w:szCs w:val="52"/>
        </w:rPr>
        <w:t>R</w:t>
      </w:r>
      <w:r w:rsidR="00C3746B" w:rsidRPr="001E37B4">
        <w:rPr>
          <w:b w:val="0"/>
          <w:color w:val="005EB8"/>
          <w:sz w:val="52"/>
          <w:szCs w:val="52"/>
        </w:rPr>
        <w:t>ole description</w:t>
      </w:r>
      <w:bookmarkEnd w:id="2"/>
    </w:p>
    <w:p w14:paraId="6DD2586B" w14:textId="4FE30EAB" w:rsidR="005932F2" w:rsidRDefault="006D7FEA" w:rsidP="001E37B4">
      <w:pPr>
        <w:pStyle w:val="BodyText2"/>
      </w:pPr>
      <w:r>
        <w:t>T</w:t>
      </w:r>
      <w:r w:rsidR="00C3746B">
        <w:t>o carry out their role effectively, the chair must cultivate a strong, collaborative relationship with the chief executive</w:t>
      </w:r>
      <w:r w:rsidR="005932F2">
        <w:t xml:space="preserve">. Many responsibilities in this </w:t>
      </w:r>
      <w:r w:rsidR="00C3746B">
        <w:t>role description will be discharged in partnership with the chief executiv</w:t>
      </w:r>
      <w:r w:rsidR="005932F2">
        <w:t xml:space="preserve">e. It is important the </w:t>
      </w:r>
      <w:r w:rsidR="00C3746B">
        <w:t xml:space="preserve">chair and the chief executive are clear </w:t>
      </w:r>
      <w:r>
        <w:t>about</w:t>
      </w:r>
      <w:r w:rsidR="00C3746B">
        <w:t xml:space="preserve"> their individual and shared roles, and their respective responsibilities towards the unitary board. </w:t>
      </w:r>
    </w:p>
    <w:p w14:paraId="70700EE4" w14:textId="7F43871A" w:rsidR="005932F2" w:rsidRDefault="005932F2" w:rsidP="005932F2">
      <w:pPr>
        <w:pStyle w:val="BodyText2"/>
      </w:pPr>
      <w:r>
        <w:t xml:space="preserve">Together, the </w:t>
      </w:r>
      <w:r w:rsidR="00C3746B">
        <w:t xml:space="preserve">chair and the chief executive </w:t>
      </w:r>
      <w:r>
        <w:t xml:space="preserve">set the tone for the whole organisation. They are ultimately responsible for ensuring that the population the </w:t>
      </w:r>
      <w:r w:rsidR="00C3746B">
        <w:t>t</w:t>
      </w:r>
      <w:r>
        <w:t xml:space="preserve">rust </w:t>
      </w:r>
      <w:r w:rsidR="006D7FEA">
        <w:t xml:space="preserve">serves </w:t>
      </w:r>
      <w:r>
        <w:t>and the wider system in which the organisation sits receive the best possible care in a sustainable way.</w:t>
      </w:r>
    </w:p>
    <w:p w14:paraId="6B34F7A8" w14:textId="1D4E4E44" w:rsidR="005932F2" w:rsidRPr="001E37B4" w:rsidRDefault="005932F2" w:rsidP="002925E5">
      <w:pPr>
        <w:pStyle w:val="Heading3"/>
        <w:rPr>
          <w:b w:val="0"/>
          <w:color w:val="005EB8"/>
          <w:sz w:val="52"/>
          <w:szCs w:val="52"/>
        </w:rPr>
      </w:pPr>
      <w:bookmarkStart w:id="3" w:name="_GoBack"/>
      <w:bookmarkEnd w:id="3"/>
      <w:r w:rsidRPr="001E37B4">
        <w:rPr>
          <w:b w:val="0"/>
          <w:color w:val="005EB8"/>
          <w:sz w:val="52"/>
          <w:szCs w:val="52"/>
        </w:rPr>
        <w:t xml:space="preserve">Responsibilities of the </w:t>
      </w:r>
      <w:r w:rsidR="00C3746B" w:rsidRPr="001E37B4">
        <w:rPr>
          <w:b w:val="0"/>
          <w:color w:val="005EB8"/>
          <w:sz w:val="52"/>
          <w:szCs w:val="52"/>
        </w:rPr>
        <w:t>c</w:t>
      </w:r>
      <w:r w:rsidRPr="001E37B4">
        <w:rPr>
          <w:b w:val="0"/>
          <w:color w:val="005EB8"/>
          <w:sz w:val="52"/>
          <w:szCs w:val="52"/>
        </w:rPr>
        <w:t>hair</w:t>
      </w:r>
    </w:p>
    <w:p w14:paraId="6A0DC77D" w14:textId="09497FDC" w:rsidR="005932F2" w:rsidRDefault="005932F2" w:rsidP="005932F2">
      <w:pPr>
        <w:pStyle w:val="BodyText2"/>
        <w:spacing w:after="0"/>
      </w:pPr>
      <w:r>
        <w:t>This detailed description of the</w:t>
      </w:r>
      <w:r w:rsidR="006D7FEA">
        <w:t xml:space="preserve"> chair’s</w:t>
      </w:r>
      <w:r>
        <w:t xml:space="preserve"> role has been aligned with the </w:t>
      </w:r>
      <w:r w:rsidR="00C3746B">
        <w:t>competency f</w:t>
      </w:r>
      <w:r>
        <w:t>ramework</w:t>
      </w:r>
      <w:r w:rsidR="006D7FEA">
        <w:t>’s five domains</w:t>
      </w:r>
      <w:r>
        <w:t>. Whil</w:t>
      </w:r>
      <w:r w:rsidR="00C3746B">
        <w:t>e</w:t>
      </w:r>
      <w:r>
        <w:t xml:space="preserve"> each set of responsibilities has been aligned with the competency domain most relevant to discharging that element of the role,</w:t>
      </w:r>
      <w:r>
        <w:rPr>
          <w:b/>
        </w:rPr>
        <w:t xml:space="preserve"> a good </w:t>
      </w:r>
      <w:r w:rsidR="00C3746B">
        <w:rPr>
          <w:b/>
        </w:rPr>
        <w:t>c</w:t>
      </w:r>
      <w:r>
        <w:rPr>
          <w:b/>
        </w:rPr>
        <w:t>hair will demonstrate competence in all five domains</w:t>
      </w:r>
      <w:r>
        <w:t xml:space="preserve"> </w:t>
      </w:r>
      <w:r>
        <w:rPr>
          <w:b/>
        </w:rPr>
        <w:t>across all their responsibilities</w:t>
      </w:r>
      <w:r>
        <w:t>, maintaining</w:t>
      </w:r>
      <w:r w:rsidR="006D7FEA">
        <w:t>,</w:t>
      </w:r>
      <w:r>
        <w:t xml:space="preserve"> for example</w:t>
      </w:r>
      <w:r w:rsidR="006D7FEA">
        <w:t>,</w:t>
      </w:r>
      <w:r>
        <w:t xml:space="preserve"> </w:t>
      </w:r>
      <w:r w:rsidR="00C3746B">
        <w:t>an outcomes focus while discharging their role as</w:t>
      </w:r>
      <w:r w:rsidR="006D7FEA" w:rsidRPr="006D7FEA">
        <w:t xml:space="preserve"> </w:t>
      </w:r>
      <w:r w:rsidR="006D7FEA">
        <w:t>the board’s</w:t>
      </w:r>
      <w:r w:rsidR="00C3746B">
        <w:t xml:space="preserve"> facilitator.</w:t>
      </w:r>
    </w:p>
    <w:p w14:paraId="2DAAF023" w14:textId="77777777" w:rsidR="005932F2" w:rsidRDefault="005932F2" w:rsidP="005932F2">
      <w:pPr>
        <w:pBdr>
          <w:top w:val="nil"/>
          <w:left w:val="nil"/>
          <w:bottom w:val="nil"/>
          <w:right w:val="nil"/>
          <w:between w:val="nil"/>
        </w:pBdr>
        <w:ind w:left="720"/>
      </w:pPr>
    </w:p>
    <w:p w14:paraId="11CB2D82" w14:textId="77777777" w:rsidR="005932F2" w:rsidRDefault="005932F2" w:rsidP="005932F2">
      <w:pPr>
        <w:numPr>
          <w:ilvl w:val="0"/>
          <w:numId w:val="25"/>
        </w:numPr>
        <w:pBdr>
          <w:top w:val="nil"/>
          <w:left w:val="nil"/>
          <w:bottom w:val="nil"/>
          <w:right w:val="nil"/>
          <w:between w:val="nil"/>
        </w:pBdr>
        <w:spacing w:line="276" w:lineRule="auto"/>
        <w:rPr>
          <w:b/>
        </w:rPr>
      </w:pPr>
      <w:r>
        <w:rPr>
          <w:b/>
        </w:rPr>
        <w:t>Strategic</w:t>
      </w:r>
    </w:p>
    <w:p w14:paraId="3A9D8FF2" w14:textId="77777777" w:rsidR="005932F2" w:rsidRDefault="005932F2" w:rsidP="005932F2">
      <w:pPr>
        <w:pBdr>
          <w:top w:val="nil"/>
          <w:left w:val="nil"/>
          <w:bottom w:val="nil"/>
          <w:right w:val="nil"/>
          <w:between w:val="nil"/>
        </w:pBdr>
        <w:ind w:left="720"/>
        <w:rPr>
          <w:b/>
        </w:rPr>
      </w:pPr>
    </w:p>
    <w:p w14:paraId="49A807D6" w14:textId="1CB0C36D" w:rsidR="005932F2" w:rsidRDefault="005932F2" w:rsidP="005932F2">
      <w:pPr>
        <w:numPr>
          <w:ilvl w:val="1"/>
          <w:numId w:val="25"/>
        </w:numPr>
        <w:pBdr>
          <w:top w:val="nil"/>
          <w:left w:val="nil"/>
          <w:bottom w:val="nil"/>
          <w:right w:val="nil"/>
          <w:between w:val="nil"/>
        </w:pBdr>
        <w:spacing w:after="280" w:line="360" w:lineRule="atLeast"/>
        <w:ind w:left="845" w:hanging="357"/>
      </w:pPr>
      <w:r>
        <w:t xml:space="preserve">In their </w:t>
      </w:r>
      <w:r>
        <w:rPr>
          <w:b/>
        </w:rPr>
        <w:t>strategic leadership</w:t>
      </w:r>
      <w:r>
        <w:t xml:space="preserve"> role, the </w:t>
      </w:r>
      <w:r w:rsidR="00C3746B">
        <w:t>trust c</w:t>
      </w:r>
      <w:r>
        <w:t>hair is responsible for:</w:t>
      </w:r>
    </w:p>
    <w:p w14:paraId="4E417D2D" w14:textId="0C9F197A" w:rsidR="005932F2" w:rsidRDefault="005932F2" w:rsidP="005932F2">
      <w:pPr>
        <w:pStyle w:val="LastBullet"/>
      </w:pPr>
      <w:r>
        <w:t xml:space="preserve">ensuring the </w:t>
      </w:r>
      <w:r w:rsidR="00B31565">
        <w:t xml:space="preserve">whole </w:t>
      </w:r>
      <w:r w:rsidR="00C3746B">
        <w:t>board of directors plays a full part in develop</w:t>
      </w:r>
      <w:r w:rsidR="00B31565">
        <w:t>ing</w:t>
      </w:r>
      <w:r w:rsidR="00C3746B">
        <w:t xml:space="preserve"> and determin</w:t>
      </w:r>
      <w:r w:rsidR="00B31565">
        <w:t>ing</w:t>
      </w:r>
      <w:r w:rsidR="00C3746B">
        <w:t xml:space="preserve"> the trust’s</w:t>
      </w:r>
      <w:r w:rsidR="00C3746B">
        <w:rPr>
          <w:b/>
        </w:rPr>
        <w:t xml:space="preserve"> </w:t>
      </w:r>
      <w:r>
        <w:rPr>
          <w:b/>
        </w:rPr>
        <w:t xml:space="preserve">vision, values, strategy and overall objectives </w:t>
      </w:r>
      <w:r>
        <w:t xml:space="preserve">to </w:t>
      </w:r>
      <w:r>
        <w:lastRenderedPageBreak/>
        <w:t>deliver organisational purpose and sustainabilit</w:t>
      </w:r>
      <w:r w:rsidRPr="00832167">
        <w:t xml:space="preserve">y (and for </w:t>
      </w:r>
      <w:r w:rsidR="00C3746B">
        <w:t>foundation trusts</w:t>
      </w:r>
      <w:r w:rsidR="00B31565">
        <w:t>,</w:t>
      </w:r>
      <w:r w:rsidRPr="00832167">
        <w:t xml:space="preserve"> having regard to the </w:t>
      </w:r>
      <w:r w:rsidR="00C3746B" w:rsidRPr="00832167">
        <w:t>council of govern</w:t>
      </w:r>
      <w:r w:rsidRPr="00832167">
        <w:t>ors</w:t>
      </w:r>
      <w:r w:rsidR="00B31565">
        <w:t>’ views</w:t>
      </w:r>
      <w:r w:rsidRPr="00832167">
        <w:t xml:space="preserve">) </w:t>
      </w:r>
    </w:p>
    <w:p w14:paraId="416BF86C" w14:textId="13479902" w:rsidR="005932F2" w:rsidRDefault="005932F2" w:rsidP="005932F2">
      <w:pPr>
        <w:pStyle w:val="LastBullet"/>
      </w:pPr>
      <w:r>
        <w:t xml:space="preserve">ensuring the </w:t>
      </w:r>
      <w:r w:rsidR="00C3746B">
        <w:t xml:space="preserve">trust’s strategy aligns with the principles </w:t>
      </w:r>
      <w:r>
        <w:t>guid</w:t>
      </w:r>
      <w:r w:rsidR="00B31565">
        <w:t>ing</w:t>
      </w:r>
      <w:r>
        <w:t xml:space="preserve"> the NHS and the NHS values</w:t>
      </w:r>
    </w:p>
    <w:p w14:paraId="66260F3D" w14:textId="558F45A7" w:rsidR="005932F2" w:rsidRDefault="005932F2" w:rsidP="005932F2">
      <w:pPr>
        <w:pStyle w:val="LastBullet"/>
      </w:pPr>
      <w:r>
        <w:t xml:space="preserve">ensuring the </w:t>
      </w:r>
      <w:r w:rsidR="00C3746B">
        <w:t xml:space="preserve">board identifies the key risks the trust </w:t>
      </w:r>
      <w:r>
        <w:t>faces in implementing its strategy; determines its approach and attitude to</w:t>
      </w:r>
      <w:r>
        <w:rPr>
          <w:b/>
        </w:rPr>
        <w:t xml:space="preserve"> providing effective oversight</w:t>
      </w:r>
      <w:r>
        <w:t xml:space="preserve"> of those risks and ensures </w:t>
      </w:r>
      <w:r w:rsidR="00B31565">
        <w:t xml:space="preserve">there are </w:t>
      </w:r>
      <w:r>
        <w:rPr>
          <w:b/>
        </w:rPr>
        <w:t>prudent controls</w:t>
      </w:r>
      <w:r>
        <w:t xml:space="preserve"> to assist in managing risk</w:t>
      </w:r>
    </w:p>
    <w:p w14:paraId="5D23865A" w14:textId="746FF673" w:rsidR="005932F2" w:rsidRDefault="005932F2" w:rsidP="005932F2">
      <w:pPr>
        <w:pStyle w:val="LastBullet"/>
      </w:pPr>
      <w:r>
        <w:t xml:space="preserve">holding the </w:t>
      </w:r>
      <w:r w:rsidR="00C3746B">
        <w:t>chief e</w:t>
      </w:r>
      <w:r>
        <w:t>xecutive to account for deliver</w:t>
      </w:r>
      <w:r w:rsidR="00B31565">
        <w:t xml:space="preserve">ing </w:t>
      </w:r>
      <w:r>
        <w:t xml:space="preserve">the strategy and performance.   </w:t>
      </w:r>
    </w:p>
    <w:p w14:paraId="1ABED1A5" w14:textId="77777777" w:rsidR="005932F2" w:rsidRDefault="005932F2" w:rsidP="005932F2">
      <w:pPr>
        <w:numPr>
          <w:ilvl w:val="0"/>
          <w:numId w:val="25"/>
        </w:numPr>
        <w:pBdr>
          <w:top w:val="nil"/>
          <w:left w:val="nil"/>
          <w:bottom w:val="nil"/>
          <w:right w:val="nil"/>
          <w:between w:val="nil"/>
        </w:pBdr>
        <w:spacing w:line="276" w:lineRule="auto"/>
        <w:rPr>
          <w:b/>
          <w:color w:val="000000"/>
        </w:rPr>
      </w:pPr>
      <w:r>
        <w:rPr>
          <w:b/>
          <w:color w:val="000000"/>
        </w:rPr>
        <w:t>People</w:t>
      </w:r>
    </w:p>
    <w:p w14:paraId="257D5A6B" w14:textId="77777777" w:rsidR="005932F2" w:rsidRDefault="005932F2" w:rsidP="005932F2">
      <w:pPr>
        <w:pBdr>
          <w:top w:val="nil"/>
          <w:left w:val="nil"/>
          <w:bottom w:val="nil"/>
          <w:right w:val="nil"/>
          <w:between w:val="nil"/>
        </w:pBdr>
        <w:ind w:left="720" w:hanging="720"/>
        <w:rPr>
          <w:b/>
          <w:color w:val="000000"/>
        </w:rPr>
      </w:pPr>
    </w:p>
    <w:p w14:paraId="55028C8B" w14:textId="0BEDA501" w:rsidR="005932F2" w:rsidRDefault="005932F2" w:rsidP="005932F2">
      <w:pPr>
        <w:numPr>
          <w:ilvl w:val="1"/>
          <w:numId w:val="25"/>
        </w:numPr>
        <w:pBdr>
          <w:top w:val="nil"/>
          <w:left w:val="nil"/>
          <w:bottom w:val="nil"/>
          <w:right w:val="nil"/>
          <w:between w:val="nil"/>
        </w:pBdr>
        <w:spacing w:after="280" w:line="360" w:lineRule="atLeast"/>
        <w:ind w:left="845" w:hanging="357"/>
      </w:pPr>
      <w:r>
        <w:t xml:space="preserve">In their role </w:t>
      </w:r>
      <w:r>
        <w:rPr>
          <w:b/>
        </w:rPr>
        <w:t xml:space="preserve">shaping organisational culture </w:t>
      </w:r>
      <w:r>
        <w:t xml:space="preserve">and setting the right tone at the top, the </w:t>
      </w:r>
      <w:r w:rsidR="00C3746B">
        <w:t>trust c</w:t>
      </w:r>
      <w:r>
        <w:t>hair is responsible for:</w:t>
      </w:r>
    </w:p>
    <w:p w14:paraId="5DD689E2" w14:textId="482E3F24" w:rsidR="005932F2" w:rsidRDefault="005932F2" w:rsidP="005932F2">
      <w:pPr>
        <w:pStyle w:val="LastBullet"/>
      </w:pPr>
      <w:r>
        <w:t xml:space="preserve">providing visible leadership in developing a </w:t>
      </w:r>
      <w:r>
        <w:rPr>
          <w:b/>
        </w:rPr>
        <w:t>healthy, open and transparent patient-centred culture for the organisation</w:t>
      </w:r>
      <w:r>
        <w:t>, where</w:t>
      </w:r>
      <w:r w:rsidR="00360790">
        <w:t xml:space="preserve"> all staff have equality of opportunity to progress, </w:t>
      </w:r>
      <w:r>
        <w:t xml:space="preserve">the freedom to speak up is encouraged, and ensuring that this culture is reflected and modelled in their own and in the </w:t>
      </w:r>
      <w:r w:rsidR="00C3746B">
        <w:t>b</w:t>
      </w:r>
      <w:r>
        <w:t>oard’s behaviour and decision-making</w:t>
      </w:r>
    </w:p>
    <w:p w14:paraId="0A7497B2" w14:textId="6FC2E9C0" w:rsidR="005932F2" w:rsidRDefault="005932F2" w:rsidP="005932F2">
      <w:pPr>
        <w:pStyle w:val="LastBullet"/>
      </w:pPr>
      <w:r>
        <w:t xml:space="preserve">leading and supporting a </w:t>
      </w:r>
      <w:r>
        <w:rPr>
          <w:b/>
        </w:rPr>
        <w:t>constructive dynamic</w:t>
      </w:r>
      <w:r>
        <w:t xml:space="preserve"> within the </w:t>
      </w:r>
      <w:r w:rsidR="00C3746B">
        <w:t>b</w:t>
      </w:r>
      <w:r>
        <w:t xml:space="preserve">oard, enabling grounded debate with contributions from all </w:t>
      </w:r>
      <w:r w:rsidR="00C3746B">
        <w:t>d</w:t>
      </w:r>
      <w:r>
        <w:t>irectors</w:t>
      </w:r>
    </w:p>
    <w:p w14:paraId="35EC2D0E" w14:textId="3113422F" w:rsidR="005932F2" w:rsidRDefault="005932F2" w:rsidP="005932F2">
      <w:pPr>
        <w:pStyle w:val="LastBullet"/>
      </w:pPr>
      <w:r>
        <w:rPr>
          <w:color w:val="000000"/>
        </w:rPr>
        <w:t xml:space="preserve">promoting the highest standards of </w:t>
      </w:r>
      <w:r>
        <w:rPr>
          <w:b/>
          <w:color w:val="000000"/>
        </w:rPr>
        <w:t>ethics</w:t>
      </w:r>
      <w:r>
        <w:rPr>
          <w:color w:val="000000"/>
        </w:rPr>
        <w:t xml:space="preserve">, </w:t>
      </w:r>
      <w:r>
        <w:rPr>
          <w:b/>
          <w:color w:val="000000"/>
        </w:rPr>
        <w:t xml:space="preserve">integrity, probity and corporate governance </w:t>
      </w:r>
      <w:r>
        <w:rPr>
          <w:color w:val="000000"/>
        </w:rPr>
        <w:t xml:space="preserve">throughout the organisation and particularly </w:t>
      </w:r>
      <w:r w:rsidR="00853DEC">
        <w:rPr>
          <w:color w:val="000000"/>
        </w:rPr>
        <w:t xml:space="preserve">on </w:t>
      </w:r>
      <w:r>
        <w:rPr>
          <w:color w:val="000000"/>
        </w:rPr>
        <w:t xml:space="preserve">the </w:t>
      </w:r>
      <w:r w:rsidR="00C3746B">
        <w:rPr>
          <w:color w:val="000000"/>
        </w:rPr>
        <w:t xml:space="preserve">board </w:t>
      </w:r>
    </w:p>
    <w:p w14:paraId="40893E10" w14:textId="5FB0AFFE" w:rsidR="005932F2" w:rsidRDefault="005932F2" w:rsidP="005932F2">
      <w:pPr>
        <w:pStyle w:val="LastBullet"/>
      </w:pPr>
      <w:r>
        <w:rPr>
          <w:color w:val="000000"/>
        </w:rPr>
        <w:t xml:space="preserve">demonstrating </w:t>
      </w:r>
      <w:r>
        <w:rPr>
          <w:b/>
          <w:color w:val="000000"/>
        </w:rPr>
        <w:t>visible</w:t>
      </w:r>
      <w:r>
        <w:rPr>
          <w:b/>
        </w:rPr>
        <w:t xml:space="preserve"> </w:t>
      </w:r>
      <w:r>
        <w:rPr>
          <w:b/>
          <w:color w:val="000000"/>
        </w:rPr>
        <w:t xml:space="preserve">ethical, compassionate and inclusive personal leadership </w:t>
      </w:r>
      <w:r>
        <w:rPr>
          <w:color w:val="000000"/>
        </w:rPr>
        <w:t xml:space="preserve">by modelling the highest standards of personal behaviour and ensuring the </w:t>
      </w:r>
      <w:r w:rsidR="00C3746B">
        <w:rPr>
          <w:color w:val="000000"/>
        </w:rPr>
        <w:t xml:space="preserve">board </w:t>
      </w:r>
      <w:r>
        <w:rPr>
          <w:color w:val="000000"/>
        </w:rPr>
        <w:t>follows this example</w:t>
      </w:r>
    </w:p>
    <w:p w14:paraId="6C1ECCB1" w14:textId="32ED2888" w:rsidR="005932F2" w:rsidRDefault="005932F2" w:rsidP="005932F2">
      <w:pPr>
        <w:pStyle w:val="LastBullet"/>
      </w:pPr>
      <w:r>
        <w:rPr>
          <w:color w:val="000000"/>
        </w:rPr>
        <w:t xml:space="preserve">ensuring that </w:t>
      </w:r>
      <w:r>
        <w:rPr>
          <w:b/>
          <w:color w:val="000000"/>
        </w:rPr>
        <w:t xml:space="preserve">constructive relationships based on candour, trust and mutual respect </w:t>
      </w:r>
      <w:r>
        <w:rPr>
          <w:color w:val="000000"/>
        </w:rPr>
        <w:t xml:space="preserve">exist between </w:t>
      </w:r>
      <w:r w:rsidR="00C3746B">
        <w:rPr>
          <w:color w:val="000000"/>
        </w:rPr>
        <w:t xml:space="preserve">executive and non-executive </w:t>
      </w:r>
      <w:r w:rsidR="00C3746B" w:rsidRPr="00832167">
        <w:t xml:space="preserve">directors (and for </w:t>
      </w:r>
      <w:r w:rsidR="00C3746B">
        <w:t>foundation trusts</w:t>
      </w:r>
      <w:r w:rsidR="00C3746B" w:rsidRPr="00832167">
        <w:t xml:space="preserve"> between elected and appointed members of the council of governors and between the board and the council</w:t>
      </w:r>
      <w:r w:rsidRPr="00832167">
        <w:t>)</w:t>
      </w:r>
    </w:p>
    <w:p w14:paraId="749F9D2E" w14:textId="4D00B814" w:rsidR="005932F2" w:rsidRDefault="005932F2" w:rsidP="00C3746B">
      <w:pPr>
        <w:pStyle w:val="LastBullet"/>
        <w:spacing w:after="0"/>
      </w:pPr>
      <w:r>
        <w:rPr>
          <w:color w:val="000000"/>
        </w:rPr>
        <w:lastRenderedPageBreak/>
        <w:t xml:space="preserve">developing </w:t>
      </w:r>
      <w:r>
        <w:rPr>
          <w:b/>
          <w:color w:val="000000"/>
        </w:rPr>
        <w:t xml:space="preserve">effective working relationships </w:t>
      </w:r>
      <w:r>
        <w:rPr>
          <w:color w:val="000000"/>
        </w:rPr>
        <w:t xml:space="preserve">with all the </w:t>
      </w:r>
      <w:r w:rsidR="00C3746B">
        <w:t>board</w:t>
      </w:r>
      <w:r w:rsidR="00C3746B">
        <w:rPr>
          <w:color w:val="000000"/>
        </w:rPr>
        <w:t xml:space="preserve"> directors, particular</w:t>
      </w:r>
      <w:r w:rsidR="00853DEC">
        <w:rPr>
          <w:color w:val="000000"/>
        </w:rPr>
        <w:t>ly</w:t>
      </w:r>
      <w:r w:rsidR="00C3746B">
        <w:rPr>
          <w:color w:val="000000"/>
        </w:rPr>
        <w:t xml:space="preserve"> the chief executive, providing support, guid</w:t>
      </w:r>
      <w:r>
        <w:rPr>
          <w:color w:val="000000"/>
        </w:rPr>
        <w:t>ance and advice</w:t>
      </w:r>
      <w:r>
        <w:t>.</w:t>
      </w:r>
    </w:p>
    <w:p w14:paraId="2A5DE9B8" w14:textId="77777777" w:rsidR="005932F2" w:rsidRDefault="005932F2" w:rsidP="005932F2"/>
    <w:p w14:paraId="6FDC02FF" w14:textId="6F67EC5B" w:rsidR="005932F2" w:rsidRDefault="005932F2" w:rsidP="005932F2">
      <w:pPr>
        <w:numPr>
          <w:ilvl w:val="1"/>
          <w:numId w:val="25"/>
        </w:numPr>
        <w:pBdr>
          <w:top w:val="nil"/>
          <w:left w:val="nil"/>
          <w:bottom w:val="nil"/>
          <w:right w:val="nil"/>
          <w:between w:val="nil"/>
        </w:pBdr>
        <w:spacing w:after="280" w:line="360" w:lineRule="atLeast"/>
        <w:ind w:left="845" w:hanging="357"/>
      </w:pPr>
      <w:r>
        <w:t>In their role</w:t>
      </w:r>
      <w:r>
        <w:rPr>
          <w:b/>
        </w:rPr>
        <w:t xml:space="preserve"> developing the </w:t>
      </w:r>
      <w:r w:rsidR="00C3746B">
        <w:rPr>
          <w:b/>
        </w:rPr>
        <w:t>board’s capacity and capability</w:t>
      </w:r>
      <w:r w:rsidR="00C3746B">
        <w:t xml:space="preserve">, the trust chair is responsible </w:t>
      </w:r>
      <w:r>
        <w:t>for:</w:t>
      </w:r>
    </w:p>
    <w:p w14:paraId="666BD198" w14:textId="59D74C68" w:rsidR="005932F2" w:rsidRDefault="005932F2" w:rsidP="005932F2">
      <w:pPr>
        <w:pStyle w:val="LastBullet"/>
      </w:pPr>
      <w:r>
        <w:t xml:space="preserve">ensuring the </w:t>
      </w:r>
      <w:r w:rsidR="00C3746B">
        <w:t>b</w:t>
      </w:r>
      <w:r>
        <w:t xml:space="preserve">oard sees itself as a team, has the </w:t>
      </w:r>
      <w:r>
        <w:rPr>
          <w:b/>
        </w:rPr>
        <w:t>right balance and diversity of skills, knowledge and perspectives</w:t>
      </w:r>
      <w:r>
        <w:t>, and the confidence to challenge on all aspects of clinical and organisational planning</w:t>
      </w:r>
      <w:r w:rsidR="00853DEC">
        <w:t>;</w:t>
      </w:r>
      <w:r>
        <w:t xml:space="preserve"> </w:t>
      </w:r>
      <w:r w:rsidR="00853DEC">
        <w:t xml:space="preserve">this </w:t>
      </w:r>
      <w:r>
        <w:t>includ</w:t>
      </w:r>
      <w:r w:rsidR="00853DEC">
        <w:t>es</w:t>
      </w:r>
      <w:r>
        <w:t>:</w:t>
      </w:r>
    </w:p>
    <w:p w14:paraId="51548FDB" w14:textId="0E4AB28B" w:rsidR="005932F2" w:rsidRDefault="005932F2" w:rsidP="005932F2">
      <w:pPr>
        <w:pStyle w:val="LastBullet2"/>
      </w:pPr>
      <w:r>
        <w:t xml:space="preserve">regularly </w:t>
      </w:r>
      <w:r>
        <w:rPr>
          <w:b/>
        </w:rPr>
        <w:t xml:space="preserve">reviewing the </w:t>
      </w:r>
      <w:r w:rsidR="00853DEC">
        <w:rPr>
          <w:b/>
        </w:rPr>
        <w:t xml:space="preserve">board’s </w:t>
      </w:r>
      <w:r>
        <w:rPr>
          <w:b/>
        </w:rPr>
        <w:t>composition and sustainability</w:t>
      </w:r>
      <w:r>
        <w:t xml:space="preserve"> </w:t>
      </w:r>
      <w:r w:rsidR="00C3746B">
        <w:rPr>
          <w:color w:val="000000"/>
        </w:rPr>
        <w:t>with the ch</w:t>
      </w:r>
      <w:r w:rsidR="00C3746B">
        <w:t>ief executive and the nominations committ</w:t>
      </w:r>
      <w:r>
        <w:t>ee</w:t>
      </w:r>
    </w:p>
    <w:p w14:paraId="341FA405" w14:textId="78D9D392" w:rsidR="005932F2" w:rsidRDefault="005932F2" w:rsidP="005932F2">
      <w:pPr>
        <w:pStyle w:val="LastBullet2"/>
      </w:pPr>
      <w:r>
        <w:rPr>
          <w:color w:val="000000"/>
        </w:rPr>
        <w:t xml:space="preserve">considering </w:t>
      </w:r>
      <w:r>
        <w:rPr>
          <w:b/>
          <w:color w:val="000000"/>
        </w:rPr>
        <w:t xml:space="preserve">succession planning </w:t>
      </w:r>
      <w:r>
        <w:t>(</w:t>
      </w:r>
      <w:r w:rsidRPr="002B39B6">
        <w:t xml:space="preserve">and for </w:t>
      </w:r>
      <w:r w:rsidR="00C3746B">
        <w:t>foundation trusts</w:t>
      </w:r>
      <w:r w:rsidRPr="002B39B6">
        <w:t>, remuneration</w:t>
      </w:r>
      <w:r>
        <w:t>)</w:t>
      </w:r>
      <w:r w:rsidRPr="002B39B6">
        <w:t xml:space="preserve"> for the </w:t>
      </w:r>
      <w:r w:rsidR="00C3746B" w:rsidRPr="002B39B6">
        <w:t xml:space="preserve">board, including attracting and developing future talent (working with the board, council of governors and nominations </w:t>
      </w:r>
      <w:r w:rsidR="00C3746B">
        <w:rPr>
          <w:color w:val="000000"/>
        </w:rPr>
        <w:t xml:space="preserve">and remuneration committees </w:t>
      </w:r>
      <w:r>
        <w:rPr>
          <w:color w:val="000000"/>
        </w:rPr>
        <w:t>as appropriate)</w:t>
      </w:r>
    </w:p>
    <w:p w14:paraId="3CE41707" w14:textId="7882C963" w:rsidR="005932F2" w:rsidRDefault="002E66D1" w:rsidP="005932F2">
      <w:pPr>
        <w:pStyle w:val="LastBullet2"/>
      </w:pPr>
      <w:r>
        <w:rPr>
          <w:color w:val="000000"/>
        </w:rPr>
        <w:t xml:space="preserve">considering the </w:t>
      </w:r>
      <w:r w:rsidRPr="002E66D1">
        <w:rPr>
          <w:b/>
          <w:color w:val="000000"/>
        </w:rPr>
        <w:t>suitability and diversity</w:t>
      </w:r>
      <w:r>
        <w:rPr>
          <w:color w:val="000000"/>
        </w:rPr>
        <w:t xml:space="preserve"> of non-executive directors who are assigned as chairs and members of the board’s committees, such that as far as possible they </w:t>
      </w:r>
      <w:r w:rsidR="005932F2">
        <w:t xml:space="preserve">reflect the </w:t>
      </w:r>
      <w:r w:rsidR="00360790">
        <w:t xml:space="preserve">workforce and </w:t>
      </w:r>
      <w:r>
        <w:t xml:space="preserve">respective </w:t>
      </w:r>
      <w:r w:rsidR="005932F2">
        <w:t xml:space="preserve">communities </w:t>
      </w:r>
      <w:r>
        <w:t>served by the board</w:t>
      </w:r>
    </w:p>
    <w:p w14:paraId="15543EC3" w14:textId="6028F978" w:rsidR="005932F2" w:rsidRDefault="005932F2" w:rsidP="005932F2">
      <w:pPr>
        <w:pStyle w:val="LastBullet2"/>
      </w:pPr>
      <w:r>
        <w:t>where necessary, lead</w:t>
      </w:r>
      <w:r w:rsidR="00853DEC">
        <w:t>ing</w:t>
      </w:r>
      <w:r>
        <w:t xml:space="preserve"> in seeking the removal of </w:t>
      </w:r>
      <w:r w:rsidR="00C3746B">
        <w:t>non-executive directo</w:t>
      </w:r>
      <w:r>
        <w:t>rs</w:t>
      </w:r>
      <w:r w:rsidR="003B205D">
        <w:t xml:space="preserve"> and giving counsel in the removal of executive directors</w:t>
      </w:r>
    </w:p>
    <w:p w14:paraId="5BF882CC" w14:textId="3ACD7891" w:rsidR="005932F2" w:rsidRPr="002B39B6" w:rsidRDefault="005932F2" w:rsidP="005932F2">
      <w:pPr>
        <w:pStyle w:val="LastBullet"/>
      </w:pPr>
      <w:r>
        <w:t>leading on</w:t>
      </w:r>
      <w:r>
        <w:rPr>
          <w:b/>
        </w:rPr>
        <w:t xml:space="preserve"> continual </w:t>
      </w:r>
      <w:r w:rsidR="00F524A4" w:rsidRPr="002B39B6">
        <w:rPr>
          <w:b/>
        </w:rPr>
        <w:t xml:space="preserve">director (and for </w:t>
      </w:r>
      <w:r w:rsidR="00F524A4" w:rsidRPr="00F524A4">
        <w:rPr>
          <w:b/>
        </w:rPr>
        <w:t>foundation trusts</w:t>
      </w:r>
      <w:r w:rsidR="00F524A4" w:rsidRPr="002B39B6">
        <w:rPr>
          <w:b/>
        </w:rPr>
        <w:t xml:space="preserve">, governor) development </w:t>
      </w:r>
      <w:r w:rsidR="00F524A4">
        <w:t xml:space="preserve">of skills, knowledge and familiarity with the organisation and health and social care system, to enable them to carry out their role </w:t>
      </w:r>
      <w:r w:rsidR="00F524A4" w:rsidRPr="002B39B6">
        <w:t>on the board/council effectively</w:t>
      </w:r>
      <w:r w:rsidRPr="002B39B6">
        <w:t>, including through:</w:t>
      </w:r>
    </w:p>
    <w:p w14:paraId="67BEC2A5" w14:textId="2156FA1D" w:rsidR="005932F2" w:rsidRPr="002B39B6" w:rsidRDefault="005932F2" w:rsidP="005932F2">
      <w:pPr>
        <w:pStyle w:val="LastBullet2"/>
      </w:pPr>
      <w:r w:rsidRPr="002B39B6">
        <w:t xml:space="preserve">induction programmes for new </w:t>
      </w:r>
      <w:r w:rsidR="00F524A4">
        <w:t>d</w:t>
      </w:r>
      <w:r w:rsidRPr="002B39B6">
        <w:t>irectors/</w:t>
      </w:r>
      <w:r w:rsidR="00F524A4">
        <w:t>g</w:t>
      </w:r>
      <w:r w:rsidRPr="002B39B6">
        <w:t>overnors</w:t>
      </w:r>
    </w:p>
    <w:p w14:paraId="1C3E1B6B" w14:textId="62B032A5" w:rsidR="005932F2" w:rsidRDefault="005932F2" w:rsidP="005932F2">
      <w:pPr>
        <w:pStyle w:val="LastBullet2"/>
        <w:rPr>
          <w:color w:val="4A86E8"/>
        </w:rPr>
      </w:pPr>
      <w:r w:rsidRPr="002B39B6">
        <w:t xml:space="preserve">ensuring </w:t>
      </w:r>
      <w:r w:rsidRPr="002B39B6">
        <w:rPr>
          <w:b/>
        </w:rPr>
        <w:t>annual evaluation</w:t>
      </w:r>
      <w:r w:rsidRPr="002B39B6">
        <w:t xml:space="preserve"> of the </w:t>
      </w:r>
      <w:r w:rsidR="00F524A4">
        <w:t>b</w:t>
      </w:r>
      <w:r w:rsidRPr="002B39B6">
        <w:t>oard/</w:t>
      </w:r>
      <w:r w:rsidR="00F524A4">
        <w:t>c</w:t>
      </w:r>
      <w:r w:rsidRPr="002B39B6">
        <w:t>ouncil</w:t>
      </w:r>
      <w:r w:rsidR="00853DEC">
        <w:t xml:space="preserve">’s </w:t>
      </w:r>
      <w:r w:rsidR="00853DEC" w:rsidRPr="002B39B6">
        <w:t>performance</w:t>
      </w:r>
      <w:r w:rsidRPr="002B39B6">
        <w:t xml:space="preserve">, the </w:t>
      </w:r>
      <w:r w:rsidR="00F524A4" w:rsidRPr="002B39B6">
        <w:t xml:space="preserve">board’s committees, and the directors/governors in respect of their board/council contribution and development needs, </w:t>
      </w:r>
      <w:r w:rsidR="00F524A4" w:rsidRPr="002B39B6">
        <w:rPr>
          <w:b/>
        </w:rPr>
        <w:t xml:space="preserve">acting on the results </w:t>
      </w:r>
      <w:r w:rsidR="00F524A4" w:rsidRPr="002B39B6">
        <w:t xml:space="preserve">of </w:t>
      </w:r>
      <w:r w:rsidRPr="002B39B6">
        <w:t xml:space="preserve">these evaluations and supporting personal development </w:t>
      </w:r>
      <w:r>
        <w:t>planning</w:t>
      </w:r>
    </w:p>
    <w:p w14:paraId="15AEABCB" w14:textId="2CD667FE" w:rsidR="005932F2" w:rsidRDefault="005932F2" w:rsidP="005932F2">
      <w:pPr>
        <w:pStyle w:val="LastBullet2"/>
      </w:pPr>
      <w:r>
        <w:lastRenderedPageBreak/>
        <w:t xml:space="preserve">taking account of their </w:t>
      </w:r>
      <w:r>
        <w:rPr>
          <w:b/>
        </w:rPr>
        <w:t xml:space="preserve">own development needs </w:t>
      </w:r>
      <w:r>
        <w:t>through, for example, personal reflection, peer learning and mentoring</w:t>
      </w:r>
      <w:r w:rsidR="00360790">
        <w:t>/reverse mentoring</w:t>
      </w:r>
      <w:r>
        <w:t xml:space="preserve"> as part of the wider NHS </w:t>
      </w:r>
      <w:r w:rsidR="00F524A4">
        <w:t>provider c</w:t>
      </w:r>
      <w:r>
        <w:t>hair community</w:t>
      </w:r>
    </w:p>
    <w:p w14:paraId="69014F01" w14:textId="71074BE8" w:rsidR="005932F2" w:rsidRDefault="005932F2" w:rsidP="005932F2">
      <w:pPr>
        <w:pStyle w:val="LastBullet"/>
      </w:pPr>
      <w:r w:rsidRPr="00D77E46">
        <w:t xml:space="preserve">developing a </w:t>
      </w:r>
      <w:r w:rsidR="00F524A4">
        <w:t>b</w:t>
      </w:r>
      <w:r w:rsidRPr="00D77E46">
        <w:t>oard that is genuinely connected to and assured about staff and patient experience, as demonstrated by appropriate feedback and other measures</w:t>
      </w:r>
      <w:r w:rsidR="00360790">
        <w:t>, including the Workforce Race Equality Standard (WRES); Workforce Disability Equality Standard (WDES); and Equality Delivery System (EDS)</w:t>
      </w:r>
      <w:r w:rsidRPr="00D77E46">
        <w:t xml:space="preserve">. </w:t>
      </w:r>
    </w:p>
    <w:p w14:paraId="542AF57A" w14:textId="46AC1340" w:rsidR="005932F2" w:rsidRDefault="005932F2" w:rsidP="005932F2">
      <w:pPr>
        <w:numPr>
          <w:ilvl w:val="0"/>
          <w:numId w:val="25"/>
        </w:numPr>
        <w:pBdr>
          <w:top w:val="nil"/>
          <w:left w:val="nil"/>
          <w:bottom w:val="nil"/>
          <w:right w:val="nil"/>
          <w:between w:val="nil"/>
        </w:pBdr>
        <w:spacing w:line="276" w:lineRule="auto"/>
        <w:rPr>
          <w:b/>
          <w:color w:val="000000"/>
        </w:rPr>
      </w:pPr>
      <w:r>
        <w:rPr>
          <w:b/>
          <w:color w:val="000000"/>
        </w:rPr>
        <w:t>Partnerships</w:t>
      </w:r>
    </w:p>
    <w:p w14:paraId="0F183EE3" w14:textId="77777777" w:rsidR="005932F2" w:rsidRDefault="005932F2" w:rsidP="005932F2">
      <w:pPr>
        <w:pBdr>
          <w:top w:val="nil"/>
          <w:left w:val="nil"/>
          <w:bottom w:val="nil"/>
          <w:right w:val="nil"/>
          <w:between w:val="nil"/>
        </w:pBdr>
        <w:ind w:left="720" w:hanging="720"/>
        <w:rPr>
          <w:b/>
          <w:color w:val="000000"/>
        </w:rPr>
      </w:pPr>
    </w:p>
    <w:p w14:paraId="30313DB8" w14:textId="67042A71" w:rsidR="005932F2" w:rsidRDefault="005932F2" w:rsidP="005932F2">
      <w:pPr>
        <w:numPr>
          <w:ilvl w:val="1"/>
          <w:numId w:val="25"/>
        </w:numPr>
        <w:pBdr>
          <w:top w:val="nil"/>
          <w:left w:val="nil"/>
          <w:bottom w:val="nil"/>
          <w:right w:val="nil"/>
          <w:between w:val="nil"/>
        </w:pBdr>
        <w:spacing w:after="280" w:line="360" w:lineRule="atLeast"/>
        <w:ind w:left="845" w:hanging="357"/>
      </w:pPr>
      <w:r>
        <w:t xml:space="preserve">In their role as an </w:t>
      </w:r>
      <w:r w:rsidR="00F524A4">
        <w:rPr>
          <w:b/>
        </w:rPr>
        <w:t>ambassador</w:t>
      </w:r>
      <w:r w:rsidR="00F524A4">
        <w:t xml:space="preserve">, leading in developing </w:t>
      </w:r>
      <w:r w:rsidR="00F524A4">
        <w:rPr>
          <w:b/>
        </w:rPr>
        <w:t>relationships</w:t>
      </w:r>
      <w:r w:rsidR="00F524A4">
        <w:t xml:space="preserve"> and </w:t>
      </w:r>
      <w:r w:rsidR="00F524A4">
        <w:rPr>
          <w:b/>
        </w:rPr>
        <w:t>partnership working</w:t>
      </w:r>
      <w:r w:rsidR="00F524A4">
        <w:t>, the chair is responsible for:</w:t>
      </w:r>
    </w:p>
    <w:p w14:paraId="6C19789C" w14:textId="1C93CDF8" w:rsidR="005932F2" w:rsidRDefault="00F524A4" w:rsidP="005932F2">
      <w:pPr>
        <w:pStyle w:val="LastBullet"/>
      </w:pPr>
      <w:r>
        <w:t xml:space="preserve">promoting an </w:t>
      </w:r>
      <w:r>
        <w:rPr>
          <w:b/>
        </w:rPr>
        <w:t xml:space="preserve">understanding of the </w:t>
      </w:r>
      <w:r w:rsidR="00E2001F">
        <w:rPr>
          <w:b/>
        </w:rPr>
        <w:t xml:space="preserve">board’s </w:t>
      </w:r>
      <w:r>
        <w:rPr>
          <w:b/>
        </w:rPr>
        <w:t>role</w:t>
      </w:r>
      <w:r>
        <w:t>, and the role of non-executive and executive directors</w:t>
      </w:r>
    </w:p>
    <w:p w14:paraId="2834DE6D" w14:textId="753140D4" w:rsidR="005932F2" w:rsidRDefault="005932F2" w:rsidP="005932F2">
      <w:pPr>
        <w:pStyle w:val="LastBullet"/>
      </w:pPr>
      <w:r>
        <w:t>representing the organisation externally</w:t>
      </w:r>
      <w:r w:rsidR="00F524A4">
        <w:t>,</w:t>
      </w:r>
      <w:r>
        <w:t xml:space="preserve"> developing and facilitating strong partnerships</w:t>
      </w:r>
      <w:r w:rsidR="00F524A4">
        <w:t>,</w:t>
      </w:r>
      <w:r>
        <w:t xml:space="preserve"> and</w:t>
      </w:r>
      <w:r>
        <w:rPr>
          <w:b/>
        </w:rPr>
        <w:t xml:space="preserve"> </w:t>
      </w:r>
      <w:r>
        <w:t>promoting</w:t>
      </w:r>
      <w:r>
        <w:rPr>
          <w:b/>
        </w:rPr>
        <w:t xml:space="preserve"> collaborative, whole-system working </w:t>
      </w:r>
      <w:r>
        <w:t>through engagement with:</w:t>
      </w:r>
    </w:p>
    <w:p w14:paraId="0F45C8DA" w14:textId="77777777" w:rsidR="005932F2" w:rsidRDefault="005932F2" w:rsidP="005932F2">
      <w:pPr>
        <w:pStyle w:val="LastBullet2"/>
      </w:pPr>
      <w:r>
        <w:t>patients and the public</w:t>
      </w:r>
    </w:p>
    <w:p w14:paraId="03371117" w14:textId="54FE4288" w:rsidR="005932F2" w:rsidRDefault="005932F2" w:rsidP="005932F2">
      <w:pPr>
        <w:pStyle w:val="LastBullet2"/>
      </w:pPr>
      <w:r w:rsidRPr="002B39B6">
        <w:t xml:space="preserve">members and governors </w:t>
      </w:r>
      <w:r>
        <w:t>(</w:t>
      </w:r>
      <w:r w:rsidR="00F524A4">
        <w:t>foundation trust</w:t>
      </w:r>
      <w:r>
        <w:t>)</w:t>
      </w:r>
    </w:p>
    <w:p w14:paraId="7297542D" w14:textId="77777777" w:rsidR="005932F2" w:rsidRDefault="005932F2" w:rsidP="005932F2">
      <w:pPr>
        <w:pStyle w:val="LastBullet2"/>
      </w:pPr>
      <w:r>
        <w:t>all staff</w:t>
      </w:r>
    </w:p>
    <w:p w14:paraId="328544BA" w14:textId="77777777" w:rsidR="005932F2" w:rsidRDefault="005932F2" w:rsidP="005932F2">
      <w:pPr>
        <w:pStyle w:val="LastBullet2"/>
      </w:pPr>
      <w:r>
        <w:t>key partners across public, private and voluntary sectors</w:t>
      </w:r>
    </w:p>
    <w:p w14:paraId="3DAA6039" w14:textId="77777777" w:rsidR="005932F2" w:rsidRDefault="005932F2" w:rsidP="005932F2">
      <w:pPr>
        <w:pStyle w:val="LastBullet2"/>
      </w:pPr>
      <w:r>
        <w:t>regulators</w:t>
      </w:r>
    </w:p>
    <w:p w14:paraId="4C3A3D94" w14:textId="79BEAA33" w:rsidR="005932F2" w:rsidRDefault="005932F2" w:rsidP="005932F2">
      <w:pPr>
        <w:pStyle w:val="LastBullet2"/>
      </w:pPr>
      <w:r>
        <w:t xml:space="preserve">other </w:t>
      </w:r>
      <w:r w:rsidR="00F524A4">
        <w:t>c</w:t>
      </w:r>
      <w:r>
        <w:t xml:space="preserve">hairs in the system and the wider NHS </w:t>
      </w:r>
      <w:r w:rsidR="00F524A4">
        <w:t>provider c</w:t>
      </w:r>
      <w:r>
        <w:t>hair community, including where appropriate, through:</w:t>
      </w:r>
    </w:p>
    <w:p w14:paraId="71592C8E" w14:textId="6D515764" w:rsidR="005932F2" w:rsidRDefault="005932F2" w:rsidP="00F524A4">
      <w:pPr>
        <w:pStyle w:val="LastBullet2"/>
        <w:numPr>
          <w:ilvl w:val="3"/>
          <w:numId w:val="39"/>
        </w:numPr>
      </w:pPr>
      <w:r>
        <w:t>integrati</w:t>
      </w:r>
      <w:r w:rsidR="00E2001F">
        <w:t>ng</w:t>
      </w:r>
      <w:r>
        <w:t xml:space="preserve"> with other care providers </w:t>
      </w:r>
    </w:p>
    <w:p w14:paraId="050F42F8" w14:textId="5B064E8D" w:rsidR="005932F2" w:rsidRDefault="005932F2" w:rsidP="00F524A4">
      <w:pPr>
        <w:pStyle w:val="LastBullet2"/>
        <w:numPr>
          <w:ilvl w:val="3"/>
          <w:numId w:val="39"/>
        </w:numPr>
      </w:pPr>
      <w:r>
        <w:t>identif</w:t>
      </w:r>
      <w:r w:rsidR="00E2001F">
        <w:t>ying</w:t>
      </w:r>
      <w:r>
        <w:t>, manag</w:t>
      </w:r>
      <w:r w:rsidR="00E2001F">
        <w:t>ing</w:t>
      </w:r>
      <w:r>
        <w:t xml:space="preserve"> and sharing risks</w:t>
      </w:r>
    </w:p>
    <w:p w14:paraId="3588CF7A" w14:textId="455B1F9A" w:rsidR="005932F2" w:rsidRDefault="005932F2" w:rsidP="00F524A4">
      <w:pPr>
        <w:pStyle w:val="LastBullet2"/>
        <w:numPr>
          <w:ilvl w:val="3"/>
          <w:numId w:val="39"/>
        </w:numPr>
      </w:pPr>
      <w:r>
        <w:t>ensuring decisions benefit the local population, prioritising the needs of the citizens served by the organisation at a system level</w:t>
      </w:r>
    </w:p>
    <w:p w14:paraId="5C8C5BAD" w14:textId="1D12062D" w:rsidR="005932F2" w:rsidRPr="002B39B6" w:rsidRDefault="005932F2" w:rsidP="005932F2">
      <w:pPr>
        <w:pStyle w:val="LastBullet"/>
      </w:pPr>
      <w:r>
        <w:lastRenderedPageBreak/>
        <w:t xml:space="preserve">ensuring that </w:t>
      </w:r>
      <w:r>
        <w:rPr>
          <w:b/>
        </w:rPr>
        <w:t>effective communication with stakeholders</w:t>
      </w:r>
      <w:r>
        <w:t xml:space="preserve"> creates </w:t>
      </w:r>
      <w:r w:rsidR="00F524A4">
        <w:t>b</w:t>
      </w:r>
      <w:r>
        <w:t>oard debate encompassing diverse views</w:t>
      </w:r>
      <w:r w:rsidR="00E2001F">
        <w:t>,</w:t>
      </w:r>
      <w:r>
        <w:t xml:space="preserve"> and giv</w:t>
      </w:r>
      <w:r w:rsidR="00E2001F">
        <w:t>ing</w:t>
      </w:r>
      <w:r>
        <w:t xml:space="preserve"> sufficient time and </w:t>
      </w:r>
      <w:r w:rsidRPr="002B39B6">
        <w:t xml:space="preserve">consideration to </w:t>
      </w:r>
      <w:r w:rsidRPr="002B39B6">
        <w:rPr>
          <w:b/>
        </w:rPr>
        <w:t>complex, contentious or sensitive issues</w:t>
      </w:r>
    </w:p>
    <w:p w14:paraId="0FA5EC51" w14:textId="746E1B95" w:rsidR="005932F2" w:rsidRPr="002B39B6" w:rsidRDefault="005932F2" w:rsidP="005932F2">
      <w:pPr>
        <w:pStyle w:val="LastBullet"/>
        <w:rPr>
          <w:b/>
        </w:rPr>
      </w:pPr>
      <w:r w:rsidRPr="002B39B6">
        <w:t xml:space="preserve">for </w:t>
      </w:r>
      <w:r w:rsidR="00F524A4">
        <w:t>foundation trusts</w:t>
      </w:r>
      <w:r w:rsidRPr="002B39B6">
        <w:t xml:space="preserve">, facilitating the </w:t>
      </w:r>
      <w:r w:rsidR="00F524A4" w:rsidRPr="002B39B6">
        <w:t>council of governors</w:t>
      </w:r>
      <w:r w:rsidR="00E2001F">
        <w:t>’ work</w:t>
      </w:r>
      <w:r w:rsidR="00F524A4" w:rsidRPr="002B39B6">
        <w:t xml:space="preserve"> on </w:t>
      </w:r>
      <w:r w:rsidR="00F524A4" w:rsidRPr="002B39B6">
        <w:rPr>
          <w:b/>
        </w:rPr>
        <w:t>member engagement</w:t>
      </w:r>
      <w:r w:rsidR="00E2001F">
        <w:rPr>
          <w:b/>
        </w:rPr>
        <w:t>,</w:t>
      </w:r>
      <w:r w:rsidR="00F524A4" w:rsidRPr="002B39B6">
        <w:rPr>
          <w:b/>
        </w:rPr>
        <w:t xml:space="preserve"> </w:t>
      </w:r>
      <w:r w:rsidR="00E2001F">
        <w:t>so</w:t>
      </w:r>
      <w:r w:rsidR="00F524A4" w:rsidRPr="002B39B6">
        <w:t xml:space="preserve"> the governors can carry out their statutory duty to represent the interests of trust members and the general public to the trust</w:t>
      </w:r>
    </w:p>
    <w:p w14:paraId="6B67AB8D" w14:textId="3F25176B" w:rsidR="005932F2" w:rsidRDefault="005932F2" w:rsidP="005932F2">
      <w:pPr>
        <w:pStyle w:val="LastBullet"/>
        <w:spacing w:after="0"/>
      </w:pPr>
      <w:r w:rsidRPr="002B39B6">
        <w:t xml:space="preserve">for </w:t>
      </w:r>
      <w:r w:rsidR="00F524A4">
        <w:t>foundation trusts</w:t>
      </w:r>
      <w:r w:rsidRPr="002B39B6">
        <w:t xml:space="preserve">, ensuring that </w:t>
      </w:r>
      <w:r w:rsidR="00F524A4" w:rsidRPr="002B39B6">
        <w:t xml:space="preserve">governors have the dialogue with directors they need to hold the non-executive directors (which includes the trust chair), individually and collectively to account for the </w:t>
      </w:r>
      <w:r w:rsidR="00E2001F">
        <w:t xml:space="preserve">board’s </w:t>
      </w:r>
      <w:r w:rsidR="00F524A4" w:rsidRPr="002B39B6">
        <w:t xml:space="preserve">performance.  </w:t>
      </w:r>
    </w:p>
    <w:p w14:paraId="6072313B" w14:textId="77777777" w:rsidR="00E2001F" w:rsidRPr="00E2001F" w:rsidRDefault="00E2001F" w:rsidP="00E2001F">
      <w:pPr>
        <w:pStyle w:val="BodyText2"/>
      </w:pPr>
    </w:p>
    <w:p w14:paraId="77728558" w14:textId="1DE4F6E8" w:rsidR="005932F2" w:rsidRPr="002B39B6" w:rsidRDefault="005932F2" w:rsidP="005932F2">
      <w:pPr>
        <w:numPr>
          <w:ilvl w:val="0"/>
          <w:numId w:val="25"/>
        </w:numPr>
        <w:pBdr>
          <w:top w:val="nil"/>
          <w:left w:val="nil"/>
          <w:bottom w:val="nil"/>
          <w:right w:val="nil"/>
          <w:between w:val="nil"/>
        </w:pBdr>
        <w:spacing w:line="276" w:lineRule="auto"/>
        <w:rPr>
          <w:b/>
        </w:rPr>
      </w:pPr>
      <w:r>
        <w:rPr>
          <w:b/>
          <w:color w:val="000000"/>
        </w:rPr>
        <w:t xml:space="preserve">Professional </w:t>
      </w:r>
      <w:r w:rsidR="00F524A4">
        <w:rPr>
          <w:b/>
          <w:color w:val="000000"/>
        </w:rPr>
        <w:t>a</w:t>
      </w:r>
      <w:r>
        <w:rPr>
          <w:b/>
          <w:color w:val="000000"/>
        </w:rPr>
        <w:t>cumen</w:t>
      </w:r>
    </w:p>
    <w:p w14:paraId="7F7284B1" w14:textId="77777777" w:rsidR="005932F2" w:rsidRPr="002B39B6" w:rsidRDefault="005932F2" w:rsidP="005932F2">
      <w:pPr>
        <w:pBdr>
          <w:top w:val="nil"/>
          <w:left w:val="nil"/>
          <w:bottom w:val="nil"/>
          <w:right w:val="nil"/>
          <w:between w:val="nil"/>
        </w:pBdr>
        <w:ind w:left="850"/>
      </w:pPr>
    </w:p>
    <w:p w14:paraId="675977A7" w14:textId="0D003A1E" w:rsidR="005932F2" w:rsidRPr="002B39B6" w:rsidRDefault="005932F2" w:rsidP="005932F2">
      <w:pPr>
        <w:numPr>
          <w:ilvl w:val="1"/>
          <w:numId w:val="25"/>
        </w:numPr>
        <w:pBdr>
          <w:top w:val="nil"/>
          <w:left w:val="nil"/>
          <w:bottom w:val="nil"/>
          <w:right w:val="nil"/>
          <w:between w:val="nil"/>
        </w:pBdr>
        <w:spacing w:after="280" w:line="360" w:lineRule="atLeast"/>
        <w:ind w:left="845" w:hanging="357"/>
      </w:pPr>
      <w:r w:rsidRPr="002B39B6">
        <w:t xml:space="preserve">In their role as </w:t>
      </w:r>
      <w:r w:rsidRPr="002B39B6">
        <w:rPr>
          <w:b/>
        </w:rPr>
        <w:t>governance lead</w:t>
      </w:r>
      <w:r w:rsidRPr="002B39B6">
        <w:t xml:space="preserve"> for the </w:t>
      </w:r>
      <w:r w:rsidR="00E2001F">
        <w:t>b</w:t>
      </w:r>
      <w:r w:rsidR="00E2001F" w:rsidRPr="002B39B6">
        <w:t>oard</w:t>
      </w:r>
      <w:r w:rsidR="00E2001F" w:rsidRPr="002B39B6">
        <w:rPr>
          <w:b/>
        </w:rPr>
        <w:t xml:space="preserve"> </w:t>
      </w:r>
      <w:r w:rsidRPr="002B39B6">
        <w:rPr>
          <w:b/>
        </w:rPr>
        <w:t>(and</w:t>
      </w:r>
      <w:r w:rsidR="002331CC">
        <w:rPr>
          <w:b/>
        </w:rPr>
        <w:t xml:space="preserve"> for</w:t>
      </w:r>
      <w:r w:rsidRPr="002B39B6">
        <w:rPr>
          <w:b/>
        </w:rPr>
        <w:t xml:space="preserve"> the </w:t>
      </w:r>
      <w:r w:rsidR="00F524A4" w:rsidRPr="002B39B6">
        <w:rPr>
          <w:b/>
        </w:rPr>
        <w:t>council of governors</w:t>
      </w:r>
      <w:r w:rsidR="002331CC">
        <w:rPr>
          <w:b/>
        </w:rPr>
        <w:t>,</w:t>
      </w:r>
      <w:r w:rsidR="00F524A4" w:rsidRPr="002B39B6">
        <w:rPr>
          <w:b/>
        </w:rPr>
        <w:t xml:space="preserve"> </w:t>
      </w:r>
      <w:r w:rsidR="002331CC">
        <w:rPr>
          <w:b/>
        </w:rPr>
        <w:t>in</w:t>
      </w:r>
      <w:r w:rsidR="002331CC" w:rsidRPr="002B39B6">
        <w:rPr>
          <w:b/>
        </w:rPr>
        <w:t xml:space="preserve"> </w:t>
      </w:r>
      <w:r w:rsidR="00F524A4" w:rsidRPr="00F524A4">
        <w:rPr>
          <w:b/>
        </w:rPr>
        <w:t>foundation trusts</w:t>
      </w:r>
      <w:r w:rsidR="00F524A4" w:rsidRPr="002B39B6">
        <w:rPr>
          <w:b/>
        </w:rPr>
        <w:t>)</w:t>
      </w:r>
      <w:r w:rsidR="00F524A4" w:rsidRPr="002B39B6">
        <w:t>, the chair is resp</w:t>
      </w:r>
      <w:r w:rsidRPr="002B39B6">
        <w:t>onsible for:</w:t>
      </w:r>
    </w:p>
    <w:p w14:paraId="6E503D86" w14:textId="39F28893" w:rsidR="005932F2" w:rsidRPr="002B39B6" w:rsidRDefault="005932F2" w:rsidP="005932F2">
      <w:pPr>
        <w:pStyle w:val="LastBullet"/>
      </w:pPr>
      <w:r w:rsidRPr="002B39B6">
        <w:t xml:space="preserve">making sure the </w:t>
      </w:r>
      <w:r w:rsidR="00F524A4">
        <w:t>b</w:t>
      </w:r>
      <w:r w:rsidRPr="002B39B6">
        <w:t>oard/</w:t>
      </w:r>
      <w:r w:rsidR="00F524A4">
        <w:t>c</w:t>
      </w:r>
      <w:r w:rsidRPr="002B39B6">
        <w:t>ouncil operates effectively</w:t>
      </w:r>
      <w:r w:rsidR="002331CC">
        <w:t xml:space="preserve"> and</w:t>
      </w:r>
      <w:r w:rsidRPr="002B39B6">
        <w:t xml:space="preserve"> understands its own</w:t>
      </w:r>
      <w:r w:rsidRPr="002B39B6">
        <w:rPr>
          <w:b/>
        </w:rPr>
        <w:t xml:space="preserve"> accountability</w:t>
      </w:r>
      <w:r w:rsidRPr="002B39B6">
        <w:t xml:space="preserve"> and compliance with its approved procedures</w:t>
      </w:r>
      <w:r w:rsidR="00F524A4">
        <w:t xml:space="preserve"> –</w:t>
      </w:r>
      <w:r w:rsidRPr="002B39B6">
        <w:t xml:space="preserve"> for example</w:t>
      </w:r>
      <w:r w:rsidR="00F524A4">
        <w:t>,</w:t>
      </w:r>
      <w:r w:rsidRPr="002B39B6">
        <w:t xml:space="preserve"> meeting statutory duties relati</w:t>
      </w:r>
      <w:r w:rsidR="002331CC">
        <w:t>ng</w:t>
      </w:r>
      <w:r w:rsidRPr="002B39B6">
        <w:t xml:space="preserve"> to annual reporting</w:t>
      </w:r>
    </w:p>
    <w:p w14:paraId="17552130" w14:textId="402873AD" w:rsidR="005932F2" w:rsidRPr="002B39B6" w:rsidRDefault="005932F2" w:rsidP="005932F2">
      <w:pPr>
        <w:pStyle w:val="LastBullet"/>
      </w:pPr>
      <w:r w:rsidRPr="002B39B6">
        <w:t xml:space="preserve">personally </w:t>
      </w:r>
      <w:r w:rsidRPr="002B39B6">
        <w:rPr>
          <w:b/>
        </w:rPr>
        <w:t>doing the right thing</w:t>
      </w:r>
      <w:r w:rsidRPr="002B39B6">
        <w:t xml:space="preserve">, ethically and in line with the NHS values, demonstrating this to and expecting the same behaviour from the </w:t>
      </w:r>
      <w:r w:rsidR="00F524A4">
        <w:t>b</w:t>
      </w:r>
      <w:r w:rsidRPr="002B39B6">
        <w:t>oard</w:t>
      </w:r>
    </w:p>
    <w:p w14:paraId="37E6EA4E" w14:textId="55123E8E" w:rsidR="005932F2" w:rsidRPr="002B39B6" w:rsidRDefault="005932F2" w:rsidP="005932F2">
      <w:pPr>
        <w:pStyle w:val="LastBullet"/>
      </w:pPr>
      <w:r w:rsidRPr="002B39B6">
        <w:t xml:space="preserve">leading the </w:t>
      </w:r>
      <w:r w:rsidR="00F524A4">
        <w:t>b</w:t>
      </w:r>
      <w:r w:rsidRPr="002B39B6">
        <w:t xml:space="preserve">oard in </w:t>
      </w:r>
      <w:r w:rsidRPr="002B39B6">
        <w:rPr>
          <w:b/>
        </w:rPr>
        <w:t>establishing effective and ethical decision-making processes</w:t>
      </w:r>
    </w:p>
    <w:p w14:paraId="30B79132" w14:textId="249B61D5" w:rsidR="005932F2" w:rsidRPr="002B39B6" w:rsidRDefault="005932F2" w:rsidP="005932F2">
      <w:pPr>
        <w:pStyle w:val="LastBullet"/>
      </w:pPr>
      <w:r w:rsidRPr="002B39B6">
        <w:rPr>
          <w:b/>
        </w:rPr>
        <w:t xml:space="preserve">setting an integrated </w:t>
      </w:r>
      <w:r w:rsidR="00F524A4">
        <w:rPr>
          <w:b/>
        </w:rPr>
        <w:t>b</w:t>
      </w:r>
      <w:r w:rsidRPr="002B39B6">
        <w:rPr>
          <w:b/>
        </w:rPr>
        <w:t>oard/</w:t>
      </w:r>
      <w:r w:rsidR="00F524A4">
        <w:rPr>
          <w:b/>
        </w:rPr>
        <w:t>c</w:t>
      </w:r>
      <w:r w:rsidRPr="002B39B6">
        <w:rPr>
          <w:b/>
        </w:rPr>
        <w:t>ouncil agenda</w:t>
      </w:r>
      <w:r w:rsidRPr="002B39B6">
        <w:t xml:space="preserve"> relevant to the </w:t>
      </w:r>
      <w:r w:rsidR="002331CC">
        <w:t xml:space="preserve">trust’s </w:t>
      </w:r>
      <w:r w:rsidRPr="002B39B6">
        <w:t>current operating environment and tak</w:t>
      </w:r>
      <w:r w:rsidR="002331CC">
        <w:t>ing</w:t>
      </w:r>
      <w:r w:rsidRPr="002B39B6">
        <w:t xml:space="preserve"> full account of the </w:t>
      </w:r>
      <w:r w:rsidRPr="002B39B6">
        <w:rPr>
          <w:b/>
        </w:rPr>
        <w:t xml:space="preserve">important strategic issues and key risks </w:t>
      </w:r>
      <w:r w:rsidR="002331CC" w:rsidRPr="002331CC">
        <w:t xml:space="preserve">it </w:t>
      </w:r>
      <w:r w:rsidRPr="002331CC">
        <w:t>f</w:t>
      </w:r>
      <w:r w:rsidRPr="002B39B6">
        <w:t>ac</w:t>
      </w:r>
      <w:r w:rsidR="002331CC">
        <w:t>es</w:t>
      </w:r>
      <w:r w:rsidRPr="002B39B6">
        <w:t xml:space="preserve"> </w:t>
      </w:r>
      <w:r>
        <w:t>(</w:t>
      </w:r>
      <w:r w:rsidRPr="002B39B6">
        <w:t xml:space="preserve">and for </w:t>
      </w:r>
      <w:r w:rsidR="00F524A4">
        <w:t>foundation trusts</w:t>
      </w:r>
      <w:r w:rsidR="002331CC">
        <w:t>,</w:t>
      </w:r>
      <w:r w:rsidR="00F524A4" w:rsidRPr="00832167">
        <w:t xml:space="preserve"> </w:t>
      </w:r>
      <w:r w:rsidRPr="002B39B6">
        <w:t xml:space="preserve">aligned with the annual planner for </w:t>
      </w:r>
      <w:r w:rsidR="00F524A4" w:rsidRPr="002B39B6">
        <w:t>council of governors meetings, developed with the lead govern</w:t>
      </w:r>
      <w:r w:rsidRPr="002B39B6">
        <w:t>or</w:t>
      </w:r>
      <w:r>
        <w:t>)</w:t>
      </w:r>
    </w:p>
    <w:p w14:paraId="0D4A035C" w14:textId="1B1AC47A" w:rsidR="005932F2" w:rsidRPr="00F838DB" w:rsidRDefault="005932F2" w:rsidP="005932F2">
      <w:pPr>
        <w:pStyle w:val="LastBullet"/>
      </w:pPr>
      <w:bookmarkStart w:id="4" w:name="_gjdgxs" w:colFirst="0" w:colLast="0"/>
      <w:bookmarkEnd w:id="4"/>
      <w:r w:rsidRPr="00F838DB">
        <w:t xml:space="preserve">ensuring that the </w:t>
      </w:r>
      <w:r w:rsidR="00F524A4">
        <w:t>b</w:t>
      </w:r>
      <w:r w:rsidRPr="00F838DB">
        <w:t>oard/</w:t>
      </w:r>
      <w:r w:rsidR="00F524A4">
        <w:t>c</w:t>
      </w:r>
      <w:r w:rsidRPr="00F838DB">
        <w:t xml:space="preserve">ouncil receives </w:t>
      </w:r>
      <w:r w:rsidRPr="00F838DB">
        <w:rPr>
          <w:b/>
        </w:rPr>
        <w:t>accurate, high quality, timely and clear information</w:t>
      </w:r>
      <w:r w:rsidRPr="00F838DB">
        <w:t xml:space="preserve">, that the related assurance systems are fit for purpose and that there is a good flow of information between the </w:t>
      </w:r>
      <w:r w:rsidR="00F524A4">
        <w:t>b</w:t>
      </w:r>
      <w:r w:rsidRPr="00F838DB">
        <w:t xml:space="preserve">oard, its committees, the </w:t>
      </w:r>
      <w:r w:rsidR="00F524A4">
        <w:t>c</w:t>
      </w:r>
      <w:r w:rsidRPr="00F838DB">
        <w:t>ouncil and senior management</w:t>
      </w:r>
    </w:p>
    <w:p w14:paraId="6B6F8BE1" w14:textId="74BEAD65" w:rsidR="005932F2" w:rsidRPr="00F838DB" w:rsidRDefault="005932F2" w:rsidP="005932F2">
      <w:pPr>
        <w:pStyle w:val="LastBullet"/>
      </w:pPr>
      <w:r w:rsidRPr="00F838DB">
        <w:t xml:space="preserve">ensuring </w:t>
      </w:r>
      <w:r w:rsidR="00F524A4">
        <w:t>b</w:t>
      </w:r>
      <w:r w:rsidRPr="00F838DB">
        <w:t>oard committees are properly constituted and effective</w:t>
      </w:r>
    </w:p>
    <w:p w14:paraId="31561E11" w14:textId="25427A35" w:rsidR="005932F2" w:rsidRPr="00F838DB" w:rsidRDefault="002331CC" w:rsidP="005932F2">
      <w:pPr>
        <w:pStyle w:val="LastBullet"/>
      </w:pPr>
      <w:r>
        <w:lastRenderedPageBreak/>
        <w:t>f</w:t>
      </w:r>
      <w:r w:rsidRPr="00F838DB">
        <w:t xml:space="preserve">or </w:t>
      </w:r>
      <w:r w:rsidR="00F524A4">
        <w:t>foundation trusts</w:t>
      </w:r>
      <w:r w:rsidR="005932F2" w:rsidRPr="00F838DB">
        <w:t xml:space="preserve">: leading the </w:t>
      </w:r>
      <w:r w:rsidR="00F524A4">
        <w:t>b</w:t>
      </w:r>
      <w:r w:rsidR="005932F2" w:rsidRPr="00F838DB">
        <w:t xml:space="preserve">oard in being accountable to governors and leading the </w:t>
      </w:r>
      <w:r w:rsidR="00413E49" w:rsidRPr="00F838DB">
        <w:t xml:space="preserve">council in holding the board </w:t>
      </w:r>
      <w:r w:rsidR="005932F2" w:rsidRPr="00F838DB">
        <w:t>to account.</w:t>
      </w:r>
    </w:p>
    <w:p w14:paraId="68962944" w14:textId="6CFF83EF" w:rsidR="005932F2" w:rsidRPr="00F838DB" w:rsidRDefault="005932F2" w:rsidP="005932F2">
      <w:pPr>
        <w:numPr>
          <w:ilvl w:val="1"/>
          <w:numId w:val="25"/>
        </w:numPr>
        <w:pBdr>
          <w:top w:val="nil"/>
          <w:left w:val="nil"/>
          <w:bottom w:val="nil"/>
          <w:right w:val="nil"/>
          <w:between w:val="nil"/>
        </w:pBdr>
        <w:spacing w:after="280" w:line="360" w:lineRule="atLeast"/>
        <w:ind w:left="845" w:hanging="357"/>
      </w:pPr>
      <w:r w:rsidRPr="00F838DB">
        <w:t xml:space="preserve">In their role as </w:t>
      </w:r>
      <w:r w:rsidRPr="00F838DB">
        <w:rPr>
          <w:b/>
        </w:rPr>
        <w:t>facilitator</w:t>
      </w:r>
      <w:r w:rsidRPr="00F838DB">
        <w:t xml:space="preserve"> of the </w:t>
      </w:r>
      <w:r w:rsidR="00413E49" w:rsidRPr="00F838DB">
        <w:t xml:space="preserve">board (and </w:t>
      </w:r>
      <w:r w:rsidR="002331CC">
        <w:t xml:space="preserve">of </w:t>
      </w:r>
      <w:r w:rsidR="00413E49" w:rsidRPr="00F838DB">
        <w:t xml:space="preserve">the council of governors for </w:t>
      </w:r>
      <w:r w:rsidR="00413E49">
        <w:t>foundation trusts</w:t>
      </w:r>
      <w:r w:rsidR="00413E49" w:rsidRPr="00F838DB">
        <w:t xml:space="preserve">), the chair is responsible </w:t>
      </w:r>
      <w:r w:rsidRPr="00F838DB">
        <w:t>for:</w:t>
      </w:r>
    </w:p>
    <w:p w14:paraId="63B9FCE1" w14:textId="009A8012" w:rsidR="005932F2" w:rsidRPr="00F838DB" w:rsidRDefault="005932F2" w:rsidP="005932F2">
      <w:pPr>
        <w:pStyle w:val="LastBullet"/>
      </w:pPr>
      <w:r w:rsidRPr="00F838DB">
        <w:t>providing the environment for agile debate that considers the big picture</w:t>
      </w:r>
    </w:p>
    <w:p w14:paraId="71272225" w14:textId="0D97B8A7" w:rsidR="005932F2" w:rsidRPr="00F838DB" w:rsidRDefault="005932F2" w:rsidP="005932F2">
      <w:pPr>
        <w:pStyle w:val="LastBullet"/>
      </w:pPr>
      <w:r w:rsidRPr="00F838DB">
        <w:t xml:space="preserve">ensuring the </w:t>
      </w:r>
      <w:r w:rsidR="00413E49">
        <w:t>b</w:t>
      </w:r>
      <w:r w:rsidRPr="00F838DB">
        <w:t>oard/</w:t>
      </w:r>
      <w:r w:rsidR="00413E49">
        <w:t>c</w:t>
      </w:r>
      <w:r w:rsidRPr="00F838DB">
        <w:t xml:space="preserve">ouncil collectively and individually applies </w:t>
      </w:r>
      <w:r w:rsidRPr="00F838DB">
        <w:rPr>
          <w:b/>
        </w:rPr>
        <w:t>sufficient challenge</w:t>
      </w:r>
      <w:r w:rsidRPr="00F838DB">
        <w:t>, balancing the ability to seize opportunities whil</w:t>
      </w:r>
      <w:r w:rsidR="00413E49">
        <w:t>e</w:t>
      </w:r>
      <w:r w:rsidRPr="00F838DB">
        <w:t xml:space="preserve"> retaining robust and transparent decision-making</w:t>
      </w:r>
    </w:p>
    <w:p w14:paraId="0555E08D" w14:textId="06422ED4" w:rsidR="005932F2" w:rsidRPr="00F838DB" w:rsidRDefault="005932F2" w:rsidP="005932F2">
      <w:pPr>
        <w:pStyle w:val="LastBullet"/>
      </w:pPr>
      <w:r w:rsidRPr="00F838DB">
        <w:t>facilitating the</w:t>
      </w:r>
      <w:r w:rsidRPr="00F838DB">
        <w:rPr>
          <w:b/>
        </w:rPr>
        <w:t xml:space="preserve"> effective contribution</w:t>
      </w:r>
      <w:r w:rsidRPr="00F838DB">
        <w:t xml:space="preserve"> of all members of the </w:t>
      </w:r>
      <w:r w:rsidR="00413E49">
        <w:t>b</w:t>
      </w:r>
      <w:r w:rsidRPr="00F838DB">
        <w:t>oard/</w:t>
      </w:r>
      <w:r w:rsidR="00413E49">
        <w:t>c</w:t>
      </w:r>
      <w:r w:rsidRPr="00F838DB">
        <w:t xml:space="preserve">ouncil, drawing on their individual skills, experience and knowledge and in the case of </w:t>
      </w:r>
      <w:r w:rsidR="00413E49" w:rsidRPr="00F838DB">
        <w:t>non-executive directors</w:t>
      </w:r>
      <w:r w:rsidRPr="00F838DB">
        <w:t xml:space="preserve">, their independence </w:t>
      </w:r>
    </w:p>
    <w:p w14:paraId="4A94457B" w14:textId="7A5DB850" w:rsidR="005932F2" w:rsidRPr="00F838DB" w:rsidRDefault="005932F2" w:rsidP="005932F2">
      <w:pPr>
        <w:pStyle w:val="LastBullet"/>
      </w:pPr>
      <w:r w:rsidRPr="00F838DB">
        <w:t xml:space="preserve">working with and supporting the </w:t>
      </w:r>
      <w:r w:rsidR="00413E49" w:rsidRPr="00F838DB">
        <w:rPr>
          <w:b/>
        </w:rPr>
        <w:t xml:space="preserve">trust board secretary </w:t>
      </w:r>
      <w:r w:rsidR="00413E49" w:rsidRPr="00F838DB">
        <w:t>in establishing and maintaining the board’s annual cyc</w:t>
      </w:r>
      <w:r w:rsidRPr="00F838DB">
        <w:t>le of business</w:t>
      </w:r>
    </w:p>
    <w:p w14:paraId="353A6BBB" w14:textId="5863DDAB" w:rsidR="005932F2" w:rsidRPr="00F838DB" w:rsidRDefault="002331CC" w:rsidP="005932F2">
      <w:pPr>
        <w:pStyle w:val="LastBullet"/>
      </w:pPr>
      <w:r>
        <w:t>f</w:t>
      </w:r>
      <w:r w:rsidRPr="00F838DB">
        <w:t xml:space="preserve">or </w:t>
      </w:r>
      <w:r w:rsidR="00413E49">
        <w:t>foundation trusts</w:t>
      </w:r>
      <w:r w:rsidR="005932F2" w:rsidRPr="00F838DB">
        <w:t xml:space="preserve">: liaising with and consulting the </w:t>
      </w:r>
      <w:r w:rsidR="00413E49" w:rsidRPr="00F838DB">
        <w:rPr>
          <w:b/>
        </w:rPr>
        <w:t>senior independent director</w:t>
      </w:r>
      <w:r w:rsidR="0073789B">
        <w:t xml:space="preserve"> (it is an expectation that all NHS trusts</w:t>
      </w:r>
      <w:r w:rsidR="00606236">
        <w:t>,</w:t>
      </w:r>
      <w:r w:rsidR="0073789B">
        <w:t xml:space="preserve"> </w:t>
      </w:r>
      <w:r w:rsidR="00606236">
        <w:t>that</w:t>
      </w:r>
      <w:r w:rsidR="00137101">
        <w:t xml:space="preserve"> have not yet done so</w:t>
      </w:r>
      <w:r w:rsidR="00606236">
        <w:t xml:space="preserve">, </w:t>
      </w:r>
      <w:r w:rsidR="0073789B">
        <w:t xml:space="preserve">will also </w:t>
      </w:r>
      <w:r w:rsidR="00606236">
        <w:t xml:space="preserve">seek </w:t>
      </w:r>
      <w:r w:rsidR="0073789B">
        <w:t>to appoint a senior independent director in the short-medium term)</w:t>
      </w:r>
      <w:r w:rsidR="00413E49" w:rsidRPr="00F838DB">
        <w:t>.</w:t>
      </w:r>
    </w:p>
    <w:p w14:paraId="2D49265A" w14:textId="0468B22E" w:rsidR="005932F2" w:rsidRDefault="005932F2" w:rsidP="005932F2">
      <w:pPr>
        <w:numPr>
          <w:ilvl w:val="0"/>
          <w:numId w:val="25"/>
        </w:numPr>
        <w:pBdr>
          <w:top w:val="nil"/>
          <w:left w:val="nil"/>
          <w:bottom w:val="nil"/>
          <w:right w:val="nil"/>
          <w:between w:val="nil"/>
        </w:pBdr>
        <w:spacing w:line="276" w:lineRule="auto"/>
        <w:rPr>
          <w:b/>
          <w:color w:val="000000"/>
        </w:rPr>
      </w:pPr>
      <w:r>
        <w:rPr>
          <w:b/>
          <w:color w:val="000000"/>
        </w:rPr>
        <w:t xml:space="preserve">Outcomes </w:t>
      </w:r>
      <w:r w:rsidR="00413E49">
        <w:rPr>
          <w:b/>
          <w:color w:val="000000"/>
        </w:rPr>
        <w:t>f</w:t>
      </w:r>
      <w:r>
        <w:rPr>
          <w:b/>
          <w:color w:val="000000"/>
        </w:rPr>
        <w:t>ocus</w:t>
      </w:r>
    </w:p>
    <w:p w14:paraId="6A511C71" w14:textId="77777777" w:rsidR="005932F2" w:rsidRDefault="005932F2" w:rsidP="005932F2">
      <w:pPr>
        <w:pBdr>
          <w:top w:val="nil"/>
          <w:left w:val="nil"/>
          <w:bottom w:val="nil"/>
          <w:right w:val="nil"/>
          <w:between w:val="nil"/>
        </w:pBdr>
        <w:ind w:left="850"/>
      </w:pPr>
    </w:p>
    <w:p w14:paraId="44BCFB69" w14:textId="1D31ECB8" w:rsidR="005932F2" w:rsidRDefault="005932F2" w:rsidP="00311BF1">
      <w:pPr>
        <w:numPr>
          <w:ilvl w:val="1"/>
          <w:numId w:val="25"/>
        </w:numPr>
        <w:pBdr>
          <w:top w:val="nil"/>
          <w:left w:val="nil"/>
          <w:bottom w:val="nil"/>
          <w:right w:val="nil"/>
          <w:between w:val="nil"/>
        </w:pBdr>
        <w:spacing w:after="280" w:line="360" w:lineRule="atLeast"/>
        <w:ind w:left="845" w:hanging="357"/>
      </w:pPr>
      <w:r>
        <w:t xml:space="preserve">In their role as a </w:t>
      </w:r>
      <w:r>
        <w:rPr>
          <w:b/>
        </w:rPr>
        <w:t>catalyst for change</w:t>
      </w:r>
      <w:r>
        <w:t xml:space="preserve">, the </w:t>
      </w:r>
      <w:r w:rsidR="00413E49">
        <w:t>c</w:t>
      </w:r>
      <w:r>
        <w:t>hair is responsible for:</w:t>
      </w:r>
    </w:p>
    <w:p w14:paraId="47D7056E" w14:textId="6342974F" w:rsidR="00AA5D0A" w:rsidRPr="00AA5D0A" w:rsidRDefault="00AA5D0A" w:rsidP="00AA5D0A">
      <w:pPr>
        <w:pStyle w:val="LastBullet"/>
      </w:pPr>
      <w:r>
        <w:t xml:space="preserve">ensuring all board members are well briefed on </w:t>
      </w:r>
      <w:r>
        <w:rPr>
          <w:b/>
        </w:rPr>
        <w:t xml:space="preserve">external context </w:t>
      </w:r>
      <w:r w:rsidRPr="00DB378F">
        <w:t>–</w:t>
      </w:r>
      <w:r>
        <w:rPr>
          <w:b/>
        </w:rPr>
        <w:t xml:space="preserve"> </w:t>
      </w:r>
      <w:r>
        <w:t>eg policy, integration, partnerships and societal trends – and this is reflected in board/c</w:t>
      </w:r>
      <w:r w:rsidRPr="00F838DB">
        <w:t>ouncil debate</w:t>
      </w:r>
    </w:p>
    <w:p w14:paraId="0C9B64E3" w14:textId="4F9BFC64" w:rsidR="00AA5D0A" w:rsidRPr="00AA5D0A" w:rsidRDefault="005932F2" w:rsidP="00AA5D0A">
      <w:pPr>
        <w:pStyle w:val="LastBullet"/>
      </w:pPr>
      <w:r w:rsidRPr="00F838DB">
        <w:t xml:space="preserve">fostering a </w:t>
      </w:r>
      <w:r w:rsidRPr="00F838DB">
        <w:rPr>
          <w:b/>
        </w:rPr>
        <w:t>culture of innovation and learning</w:t>
      </w:r>
      <w:r w:rsidRPr="00F838DB">
        <w:t xml:space="preserve">, by being outward-looking, promoting and embedding innovation, technology and transformation through the </w:t>
      </w:r>
      <w:r w:rsidR="00413E49">
        <w:t>b</w:t>
      </w:r>
      <w:r w:rsidRPr="00F838DB">
        <w:t>oard/</w:t>
      </w:r>
      <w:r w:rsidR="00413E49">
        <w:t>c</w:t>
      </w:r>
      <w:r w:rsidRPr="00F838DB">
        <w:t>ouncil’s business and debate</w:t>
      </w:r>
    </w:p>
    <w:p w14:paraId="740B65B1" w14:textId="03C92052" w:rsidR="005932F2" w:rsidRDefault="005932F2" w:rsidP="00311BF1">
      <w:pPr>
        <w:pStyle w:val="LastBullet"/>
      </w:pPr>
      <w:r>
        <w:t xml:space="preserve">promoting </w:t>
      </w:r>
      <w:r>
        <w:rPr>
          <w:b/>
        </w:rPr>
        <w:t>academic excellence and research</w:t>
      </w:r>
      <w:r>
        <w:t xml:space="preserve"> as a means of taking health and care services forward</w:t>
      </w:r>
    </w:p>
    <w:p w14:paraId="0B7132C7" w14:textId="6292FE3F" w:rsidR="00360790" w:rsidRDefault="005932F2" w:rsidP="00360790">
      <w:pPr>
        <w:pStyle w:val="LastBullet"/>
      </w:pPr>
      <w:r w:rsidRPr="00D77E46">
        <w:t xml:space="preserve">ensuring performance is accurately measured against constitutional and </w:t>
      </w:r>
      <w:r w:rsidR="00413E49">
        <w:t>Care Quality Commission</w:t>
      </w:r>
      <w:r w:rsidRPr="00D77E46">
        <w:t xml:space="preserve"> ‘</w:t>
      </w:r>
      <w:r w:rsidR="00413E49">
        <w:t>w</w:t>
      </w:r>
      <w:r w:rsidRPr="00D77E46">
        <w:t>ell-led’ standards</w:t>
      </w:r>
    </w:p>
    <w:p w14:paraId="5969ABE3" w14:textId="2F3589F1" w:rsidR="00360790" w:rsidRPr="00360790" w:rsidRDefault="00360790" w:rsidP="00360790">
      <w:pPr>
        <w:pStyle w:val="LastBullet"/>
      </w:pPr>
      <w:r w:rsidRPr="00D77E46">
        <w:lastRenderedPageBreak/>
        <w:t xml:space="preserve">ensuring performance </w:t>
      </w:r>
      <w:r>
        <w:t xml:space="preserve">on equality, diversity and inclusion for </w:t>
      </w:r>
      <w:r w:rsidR="00510C35">
        <w:t xml:space="preserve">all </w:t>
      </w:r>
      <w:r>
        <w:t>patients and staff is accurately measured and progressed against national frameworks, including WRES, WDES and EDS</w:t>
      </w:r>
    </w:p>
    <w:p w14:paraId="1496B450" w14:textId="3D2BA7EF" w:rsidR="005932F2" w:rsidRDefault="00AA5D0A" w:rsidP="00360790">
      <w:pPr>
        <w:pStyle w:val="ListBullet"/>
        <w:rPr>
          <w:noProof/>
        </w:rPr>
      </w:pPr>
      <w:r>
        <w:t>above all, ensuring the board maintains an unrelenting interest in and focus</w:t>
      </w:r>
      <w:r w:rsidR="00360790">
        <w:t xml:space="preserve"> </w:t>
      </w:r>
      <w:r>
        <w:t xml:space="preserve">on the continuous improvement </w:t>
      </w:r>
      <w:r w:rsidR="002C6FFC">
        <w:t xml:space="preserve">and </w:t>
      </w:r>
      <w:r w:rsidR="0067581C">
        <w:t>self</w:t>
      </w:r>
      <w:r w:rsidR="0057301A">
        <w:t>-</w:t>
      </w:r>
      <w:r w:rsidR="002C6FFC">
        <w:t xml:space="preserve">assessment </w:t>
      </w:r>
      <w:r>
        <w:t>of patient safety</w:t>
      </w:r>
      <w:r w:rsidR="004D0D3A">
        <w:t>, experience</w:t>
      </w:r>
      <w:r>
        <w:t xml:space="preserve"> and clinical outcomes.</w:t>
      </w:r>
    </w:p>
    <w:sectPr w:rsidR="005932F2" w:rsidSect="00217CA9">
      <w:headerReference w:type="first" r:id="rId14"/>
      <w:pgSz w:w="11907" w:h="16840" w:code="9"/>
      <w:pgMar w:top="1276" w:right="1928" w:bottom="1247" w:left="1077"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2D16F" w14:textId="77777777" w:rsidR="00442131" w:rsidRDefault="00442131" w:rsidP="00FE141F">
      <w:r>
        <w:separator/>
      </w:r>
    </w:p>
  </w:endnote>
  <w:endnote w:type="continuationSeparator" w:id="0">
    <w:p w14:paraId="420BCDD4" w14:textId="77777777" w:rsidR="00442131" w:rsidRDefault="00442131"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698EB" w14:textId="77777777" w:rsidR="00442131" w:rsidRDefault="00442131" w:rsidP="00FE141F">
      <w:bookmarkStart w:id="0" w:name="_Hlk477956115"/>
      <w:bookmarkEnd w:id="0"/>
    </w:p>
  </w:footnote>
  <w:footnote w:type="continuationSeparator" w:id="0">
    <w:p w14:paraId="60B0F0C3" w14:textId="77777777" w:rsidR="00442131" w:rsidRDefault="00442131" w:rsidP="00FE141F"/>
  </w:footnote>
  <w:footnote w:id="1">
    <w:p w14:paraId="04E66045" w14:textId="0AC01E45" w:rsidR="00360790" w:rsidRDefault="00360790">
      <w:pPr>
        <w:pStyle w:val="FootnoteText"/>
      </w:pPr>
      <w:r>
        <w:rPr>
          <w:rStyle w:val="FootnoteReference"/>
        </w:rPr>
        <w:footnoteRef/>
      </w:r>
      <w:r>
        <w:t xml:space="preserve"> </w:t>
      </w:r>
      <w:hyperlink r:id="rId1" w:history="1">
        <w:r w:rsidR="00B23C76" w:rsidRPr="005F2422">
          <w:rPr>
            <w:rStyle w:val="Hyperlink"/>
          </w:rPr>
          <w:t>www.longtermplan.nhs.uk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C6E2" w14:textId="27A0B990" w:rsidR="00217CA9" w:rsidRDefault="00217CA9">
    <w:pPr>
      <w:pStyle w:val="Header"/>
    </w:pPr>
    <w:r w:rsidRPr="00D645ED">
      <w:rPr>
        <w:noProof/>
        <w:lang w:eastAsia="en-GB"/>
      </w:rPr>
      <w:drawing>
        <wp:anchor distT="0" distB="0" distL="114300" distR="114300" simplePos="0" relativeHeight="251659264" behindDoc="1" locked="0" layoutInCell="1" allowOverlap="1" wp14:anchorId="5BFB84E1" wp14:editId="19B65F7D">
          <wp:simplePos x="0" y="0"/>
          <wp:positionH relativeFrom="page">
            <wp:posOffset>5770245</wp:posOffset>
          </wp:positionH>
          <wp:positionV relativeFrom="page">
            <wp:posOffset>387985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CD7E89"/>
    <w:multiLevelType w:val="multilevel"/>
    <w:tmpl w:val="45CE7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48173B1"/>
    <w:multiLevelType w:val="multilevel"/>
    <w:tmpl w:val="5456DF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55C58E6"/>
    <w:multiLevelType w:val="multilevel"/>
    <w:tmpl w:val="705616EE"/>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o"/>
      <w:lvlJc w:val="left"/>
      <w:pPr>
        <w:tabs>
          <w:tab w:val="num" w:pos="1134"/>
        </w:tabs>
        <w:ind w:left="1134" w:hanging="283"/>
      </w:pPr>
      <w:rPr>
        <w:rFonts w:ascii="Courier New" w:hAnsi="Courier New" w:cs="Courier New" w:hint="default"/>
        <w:color w:val="005EB8"/>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B3581A"/>
    <w:multiLevelType w:val="multilevel"/>
    <w:tmpl w:val="3BF8F1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0A5F1D58"/>
    <w:multiLevelType w:val="multilevel"/>
    <w:tmpl w:val="DF1A9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F65E6F"/>
    <w:multiLevelType w:val="multilevel"/>
    <w:tmpl w:val="0C4AE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333946"/>
    <w:multiLevelType w:val="multilevel"/>
    <w:tmpl w:val="C3703B52"/>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4"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936B08"/>
    <w:multiLevelType w:val="multilevel"/>
    <w:tmpl w:val="E34EDB46"/>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o"/>
      <w:lvlJc w:val="left"/>
      <w:pPr>
        <w:tabs>
          <w:tab w:val="num" w:pos="1134"/>
        </w:tabs>
        <w:ind w:left="1134" w:hanging="283"/>
      </w:pPr>
      <w:rPr>
        <w:rFonts w:ascii="Courier New" w:hAnsi="Courier New" w:cs="Courier New"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7F6E8E"/>
    <w:multiLevelType w:val="multilevel"/>
    <w:tmpl w:val="9800C518"/>
    <w:numStyleLink w:val="NHSOutlineLevels"/>
  </w:abstractNum>
  <w:abstractNum w:abstractNumId="19"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622165"/>
    <w:multiLevelType w:val="multilevel"/>
    <w:tmpl w:val="C770B8F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84774F"/>
    <w:multiLevelType w:val="hybridMultilevel"/>
    <w:tmpl w:val="DD3A733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37E344F9"/>
    <w:multiLevelType w:val="multilevel"/>
    <w:tmpl w:val="70C8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0A1C25"/>
    <w:multiLevelType w:val="multilevel"/>
    <w:tmpl w:val="68E23EA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DE000C"/>
    <w:multiLevelType w:val="multilevel"/>
    <w:tmpl w:val="E4A653BA"/>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o"/>
      <w:lvlJc w:val="left"/>
      <w:pPr>
        <w:tabs>
          <w:tab w:val="num" w:pos="1134"/>
        </w:tabs>
        <w:ind w:left="1134" w:hanging="283"/>
      </w:pPr>
      <w:rPr>
        <w:rFonts w:ascii="Courier New" w:hAnsi="Courier New" w:cs="Courier New"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8E5E9F"/>
    <w:multiLevelType w:val="multilevel"/>
    <w:tmpl w:val="8990C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1C60A0"/>
    <w:multiLevelType w:val="multilevel"/>
    <w:tmpl w:val="32CAD0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FBB0D40"/>
    <w:multiLevelType w:val="multilevel"/>
    <w:tmpl w:val="0A828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BB312E"/>
    <w:multiLevelType w:val="multilevel"/>
    <w:tmpl w:val="FA10C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4670FC"/>
    <w:multiLevelType w:val="multilevel"/>
    <w:tmpl w:val="92148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181DAB"/>
    <w:multiLevelType w:val="multilevel"/>
    <w:tmpl w:val="B6E8831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0"/>
  </w:num>
  <w:num w:numId="2">
    <w:abstractNumId w:val="5"/>
  </w:num>
  <w:num w:numId="3">
    <w:abstractNumId w:val="30"/>
  </w:num>
  <w:num w:numId="4">
    <w:abstractNumId w:val="3"/>
  </w:num>
  <w:num w:numId="5">
    <w:abstractNumId w:val="30"/>
  </w:num>
  <w:num w:numId="6">
    <w:abstractNumId w:val="2"/>
  </w:num>
  <w:num w:numId="7">
    <w:abstractNumId w:val="30"/>
  </w:num>
  <w:num w:numId="8">
    <w:abstractNumId w:val="4"/>
  </w:num>
  <w:num w:numId="9">
    <w:abstractNumId w:val="14"/>
  </w:num>
  <w:num w:numId="10">
    <w:abstractNumId w:val="1"/>
  </w:num>
  <w:num w:numId="11">
    <w:abstractNumId w:val="14"/>
  </w:num>
  <w:num w:numId="12">
    <w:abstractNumId w:val="0"/>
  </w:num>
  <w:num w:numId="13">
    <w:abstractNumId w:val="14"/>
  </w:num>
  <w:num w:numId="14">
    <w:abstractNumId w:val="21"/>
  </w:num>
  <w:num w:numId="15">
    <w:abstractNumId w:val="16"/>
  </w:num>
  <w:num w:numId="16">
    <w:abstractNumId w:val="18"/>
  </w:num>
  <w:num w:numId="17">
    <w:abstractNumId w:val="24"/>
    <w:lvlOverride w:ilvl="0">
      <w:lvl w:ilvl="0">
        <w:start w:val="1"/>
        <w:numFmt w:val="bullet"/>
        <w:pStyle w:val="ListBullet"/>
        <w:lvlText w:val="•"/>
        <w:lvlJc w:val="left"/>
        <w:pPr>
          <w:tabs>
            <w:tab w:val="num" w:pos="851"/>
          </w:tabs>
          <w:ind w:left="851" w:hanging="284"/>
        </w:pPr>
        <w:rPr>
          <w:rFonts w:ascii="Arial" w:hAnsi="Arial" w:hint="default"/>
          <w:color w:val="005EB8"/>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6"/>
  </w:num>
  <w:num w:numId="24">
    <w:abstractNumId w:val="29"/>
  </w:num>
  <w:num w:numId="25">
    <w:abstractNumId w:val="32"/>
  </w:num>
  <w:num w:numId="26">
    <w:abstractNumId w:val="10"/>
  </w:num>
  <w:num w:numId="27">
    <w:abstractNumId w:val="23"/>
  </w:num>
  <w:num w:numId="28">
    <w:abstractNumId w:val="31"/>
  </w:num>
  <w:num w:numId="29">
    <w:abstractNumId w:val="28"/>
  </w:num>
  <w:num w:numId="30">
    <w:abstractNumId w:val="6"/>
  </w:num>
  <w:num w:numId="31">
    <w:abstractNumId w:val="12"/>
  </w:num>
  <w:num w:numId="32">
    <w:abstractNumId w:val="20"/>
  </w:num>
  <w:num w:numId="33">
    <w:abstractNumId w:val="13"/>
  </w:num>
  <w:num w:numId="34">
    <w:abstractNumId w:val="9"/>
  </w:num>
  <w:num w:numId="35">
    <w:abstractNumId w:val="7"/>
  </w:num>
  <w:num w:numId="36">
    <w:abstractNumId w:val="27"/>
  </w:num>
  <w:num w:numId="37">
    <w:abstractNumId w:val="15"/>
  </w:num>
  <w:num w:numId="38">
    <w:abstractNumId w:val="25"/>
  </w:num>
  <w:num w:numId="39">
    <w:abstractNumId w:val="8"/>
  </w:num>
  <w:num w:numId="40">
    <w:abstractNumId w:val="24"/>
  </w:num>
  <w:num w:numId="41">
    <w:abstractNumId w:val="22"/>
  </w:num>
  <w:num w:numId="42">
    <w:abstractNumId w:val="16"/>
  </w:num>
  <w:num w:numId="43">
    <w:abstractNumId w:val="16"/>
  </w:num>
  <w:num w:numId="44">
    <w:abstractNumId w:val="1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4DC3"/>
    <w:rsid w:val="000326DC"/>
    <w:rsid w:val="00036E34"/>
    <w:rsid w:val="00076ACB"/>
    <w:rsid w:val="00077D80"/>
    <w:rsid w:val="000A5420"/>
    <w:rsid w:val="000B2F4D"/>
    <w:rsid w:val="000B5074"/>
    <w:rsid w:val="000C58A6"/>
    <w:rsid w:val="000D1D6B"/>
    <w:rsid w:val="001058C6"/>
    <w:rsid w:val="00107BCC"/>
    <w:rsid w:val="00112827"/>
    <w:rsid w:val="00137101"/>
    <w:rsid w:val="0016600B"/>
    <w:rsid w:val="00184A37"/>
    <w:rsid w:val="001A0511"/>
    <w:rsid w:val="001A4BBD"/>
    <w:rsid w:val="001C53FE"/>
    <w:rsid w:val="001E03C5"/>
    <w:rsid w:val="001E37B4"/>
    <w:rsid w:val="001F229E"/>
    <w:rsid w:val="001F5639"/>
    <w:rsid w:val="00203B2C"/>
    <w:rsid w:val="00204179"/>
    <w:rsid w:val="00210FEC"/>
    <w:rsid w:val="00212148"/>
    <w:rsid w:val="00217CA9"/>
    <w:rsid w:val="002331CC"/>
    <w:rsid w:val="002358CE"/>
    <w:rsid w:val="00251B51"/>
    <w:rsid w:val="00267637"/>
    <w:rsid w:val="00270EBB"/>
    <w:rsid w:val="002925E5"/>
    <w:rsid w:val="0029383E"/>
    <w:rsid w:val="002C013C"/>
    <w:rsid w:val="002C3D16"/>
    <w:rsid w:val="002C6FFC"/>
    <w:rsid w:val="002D177B"/>
    <w:rsid w:val="002E0482"/>
    <w:rsid w:val="002E66D1"/>
    <w:rsid w:val="002E7E33"/>
    <w:rsid w:val="00304316"/>
    <w:rsid w:val="00311BF1"/>
    <w:rsid w:val="003145F0"/>
    <w:rsid w:val="003537DD"/>
    <w:rsid w:val="0035489F"/>
    <w:rsid w:val="00360790"/>
    <w:rsid w:val="003A6A46"/>
    <w:rsid w:val="003B205D"/>
    <w:rsid w:val="003C1A0D"/>
    <w:rsid w:val="003D4322"/>
    <w:rsid w:val="003E5C41"/>
    <w:rsid w:val="00413E49"/>
    <w:rsid w:val="00435E14"/>
    <w:rsid w:val="00442131"/>
    <w:rsid w:val="00454F99"/>
    <w:rsid w:val="00463674"/>
    <w:rsid w:val="004772E6"/>
    <w:rsid w:val="004836FD"/>
    <w:rsid w:val="004930E1"/>
    <w:rsid w:val="00494D69"/>
    <w:rsid w:val="00495942"/>
    <w:rsid w:val="004A6352"/>
    <w:rsid w:val="004B2A83"/>
    <w:rsid w:val="004B319B"/>
    <w:rsid w:val="004C4E40"/>
    <w:rsid w:val="004C6B9B"/>
    <w:rsid w:val="004D0D3A"/>
    <w:rsid w:val="004D39CE"/>
    <w:rsid w:val="004D453B"/>
    <w:rsid w:val="004D7643"/>
    <w:rsid w:val="004E7776"/>
    <w:rsid w:val="004F0FA4"/>
    <w:rsid w:val="004F7268"/>
    <w:rsid w:val="00506F10"/>
    <w:rsid w:val="00510C35"/>
    <w:rsid w:val="00512C41"/>
    <w:rsid w:val="00534615"/>
    <w:rsid w:val="00542C19"/>
    <w:rsid w:val="00554409"/>
    <w:rsid w:val="00564AB5"/>
    <w:rsid w:val="00572FCC"/>
    <w:rsid w:val="0057301A"/>
    <w:rsid w:val="00584880"/>
    <w:rsid w:val="005932F2"/>
    <w:rsid w:val="00593EB0"/>
    <w:rsid w:val="005A3AF6"/>
    <w:rsid w:val="005A51D2"/>
    <w:rsid w:val="005B5792"/>
    <w:rsid w:val="005C4B56"/>
    <w:rsid w:val="005D71DB"/>
    <w:rsid w:val="005D7A7C"/>
    <w:rsid w:val="00600F67"/>
    <w:rsid w:val="00606236"/>
    <w:rsid w:val="006113AA"/>
    <w:rsid w:val="00614A93"/>
    <w:rsid w:val="006617BF"/>
    <w:rsid w:val="0067581C"/>
    <w:rsid w:val="006A6F7C"/>
    <w:rsid w:val="006A7A50"/>
    <w:rsid w:val="006B15BA"/>
    <w:rsid w:val="006B30F3"/>
    <w:rsid w:val="006D7FEA"/>
    <w:rsid w:val="00711B18"/>
    <w:rsid w:val="007174CB"/>
    <w:rsid w:val="0073789B"/>
    <w:rsid w:val="00743E2A"/>
    <w:rsid w:val="00765F28"/>
    <w:rsid w:val="00766E88"/>
    <w:rsid w:val="00784C59"/>
    <w:rsid w:val="00795053"/>
    <w:rsid w:val="00796657"/>
    <w:rsid w:val="007A3953"/>
    <w:rsid w:val="007D5D82"/>
    <w:rsid w:val="007E63EC"/>
    <w:rsid w:val="007E6D79"/>
    <w:rsid w:val="00800AE7"/>
    <w:rsid w:val="0080245C"/>
    <w:rsid w:val="00814EED"/>
    <w:rsid w:val="0082617C"/>
    <w:rsid w:val="008366C7"/>
    <w:rsid w:val="00845E20"/>
    <w:rsid w:val="00853DEC"/>
    <w:rsid w:val="00856B87"/>
    <w:rsid w:val="0085738D"/>
    <w:rsid w:val="008744BF"/>
    <w:rsid w:val="00877581"/>
    <w:rsid w:val="008777F9"/>
    <w:rsid w:val="00884177"/>
    <w:rsid w:val="00892C40"/>
    <w:rsid w:val="00895BFC"/>
    <w:rsid w:val="008B07EF"/>
    <w:rsid w:val="008B3B81"/>
    <w:rsid w:val="008D0881"/>
    <w:rsid w:val="008D68A5"/>
    <w:rsid w:val="008D74A3"/>
    <w:rsid w:val="008F22A5"/>
    <w:rsid w:val="009030E3"/>
    <w:rsid w:val="00921CEE"/>
    <w:rsid w:val="00923A7C"/>
    <w:rsid w:val="00944F1F"/>
    <w:rsid w:val="009701CC"/>
    <w:rsid w:val="00983FEA"/>
    <w:rsid w:val="009A3D53"/>
    <w:rsid w:val="009A3EA3"/>
    <w:rsid w:val="009D2A74"/>
    <w:rsid w:val="009D6DDA"/>
    <w:rsid w:val="009F1AFC"/>
    <w:rsid w:val="009F3884"/>
    <w:rsid w:val="00A23025"/>
    <w:rsid w:val="00A3272E"/>
    <w:rsid w:val="00A33657"/>
    <w:rsid w:val="00A817E9"/>
    <w:rsid w:val="00A967F7"/>
    <w:rsid w:val="00AA043A"/>
    <w:rsid w:val="00AA5D0A"/>
    <w:rsid w:val="00AD60EE"/>
    <w:rsid w:val="00AE3618"/>
    <w:rsid w:val="00B23C76"/>
    <w:rsid w:val="00B31565"/>
    <w:rsid w:val="00B3379A"/>
    <w:rsid w:val="00B4013D"/>
    <w:rsid w:val="00B411BD"/>
    <w:rsid w:val="00B43E90"/>
    <w:rsid w:val="00B4451A"/>
    <w:rsid w:val="00B6466E"/>
    <w:rsid w:val="00B9389D"/>
    <w:rsid w:val="00BD07FB"/>
    <w:rsid w:val="00BD51DD"/>
    <w:rsid w:val="00C01797"/>
    <w:rsid w:val="00C22035"/>
    <w:rsid w:val="00C332C7"/>
    <w:rsid w:val="00C3746B"/>
    <w:rsid w:val="00C40470"/>
    <w:rsid w:val="00C5063B"/>
    <w:rsid w:val="00C56903"/>
    <w:rsid w:val="00C962D8"/>
    <w:rsid w:val="00CA3727"/>
    <w:rsid w:val="00CC418F"/>
    <w:rsid w:val="00CC7E9C"/>
    <w:rsid w:val="00CD521E"/>
    <w:rsid w:val="00D1581A"/>
    <w:rsid w:val="00D507EF"/>
    <w:rsid w:val="00D53C4A"/>
    <w:rsid w:val="00D63288"/>
    <w:rsid w:val="00D74A42"/>
    <w:rsid w:val="00DA2C23"/>
    <w:rsid w:val="00DB378F"/>
    <w:rsid w:val="00DB41A2"/>
    <w:rsid w:val="00DC1209"/>
    <w:rsid w:val="00DD0200"/>
    <w:rsid w:val="00DF6CEB"/>
    <w:rsid w:val="00E2001F"/>
    <w:rsid w:val="00E24B18"/>
    <w:rsid w:val="00E3289C"/>
    <w:rsid w:val="00E6578E"/>
    <w:rsid w:val="00E66356"/>
    <w:rsid w:val="00E77198"/>
    <w:rsid w:val="00E93764"/>
    <w:rsid w:val="00EA1CB8"/>
    <w:rsid w:val="00ED0068"/>
    <w:rsid w:val="00EF1C32"/>
    <w:rsid w:val="00F03335"/>
    <w:rsid w:val="00F30F0F"/>
    <w:rsid w:val="00F4069A"/>
    <w:rsid w:val="00F524A4"/>
    <w:rsid w:val="00F70669"/>
    <w:rsid w:val="00F75456"/>
    <w:rsid w:val="00F77C5F"/>
    <w:rsid w:val="00FA060E"/>
    <w:rsid w:val="00FB43ED"/>
    <w:rsid w:val="00FC7066"/>
    <w:rsid w:val="00FD2FE5"/>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15"/>
      </w:numPr>
      <w:spacing w:after="280" w:line="360" w:lineRule="atLeast"/>
    </w:pPr>
  </w:style>
  <w:style w:type="character" w:customStyle="1" w:styleId="BodyTextChar">
    <w:name w:val="Body Text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40"/>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basedOn w:val="Normal"/>
    <w:rsid w:val="00DF6CEB"/>
    <w:pPr>
      <w:autoSpaceDE w:val="0"/>
      <w:autoSpaceDN w:val="0"/>
    </w:pPr>
    <w:rPr>
      <w:rFonts w:cs="Arial"/>
      <w:color w:val="000000"/>
    </w:rPr>
  </w:style>
  <w:style w:type="character" w:styleId="CommentReference">
    <w:name w:val="annotation reference"/>
    <w:basedOn w:val="DefaultParagraphFont"/>
    <w:uiPriority w:val="99"/>
    <w:semiHidden/>
    <w:unhideWhenUsed/>
    <w:rsid w:val="004F0FA4"/>
    <w:rPr>
      <w:sz w:val="16"/>
      <w:szCs w:val="16"/>
    </w:rPr>
  </w:style>
  <w:style w:type="paragraph" w:styleId="CommentText">
    <w:name w:val="annotation text"/>
    <w:basedOn w:val="Normal"/>
    <w:link w:val="CommentTextChar"/>
    <w:uiPriority w:val="99"/>
    <w:semiHidden/>
    <w:unhideWhenUsed/>
    <w:rsid w:val="004F0FA4"/>
    <w:rPr>
      <w:sz w:val="20"/>
      <w:szCs w:val="20"/>
    </w:rPr>
  </w:style>
  <w:style w:type="character" w:customStyle="1" w:styleId="CommentTextChar">
    <w:name w:val="Comment Text Char"/>
    <w:basedOn w:val="DefaultParagraphFont"/>
    <w:link w:val="CommentText"/>
    <w:uiPriority w:val="99"/>
    <w:semiHidden/>
    <w:rsid w:val="004F0FA4"/>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F0FA4"/>
    <w:rPr>
      <w:b/>
      <w:bCs/>
    </w:rPr>
  </w:style>
  <w:style w:type="character" w:customStyle="1" w:styleId="CommentSubjectChar">
    <w:name w:val="Comment Subject Char"/>
    <w:basedOn w:val="CommentTextChar"/>
    <w:link w:val="CommentSubject"/>
    <w:uiPriority w:val="99"/>
    <w:semiHidden/>
    <w:rsid w:val="004F0FA4"/>
    <w:rPr>
      <w:rFonts w:ascii="Arial" w:hAnsi="Arial"/>
      <w:b/>
      <w:bCs/>
      <w:color w:val="231F20"/>
      <w:sz w:val="20"/>
      <w:szCs w:val="20"/>
      <w:lang w:val="en-GB"/>
    </w:rPr>
  </w:style>
  <w:style w:type="paragraph" w:styleId="ListParagraph">
    <w:name w:val="List Paragraph"/>
    <w:basedOn w:val="Normal"/>
    <w:uiPriority w:val="34"/>
    <w:rsid w:val="00AA5D0A"/>
    <w:pPr>
      <w:ind w:left="720"/>
      <w:contextualSpacing/>
    </w:pPr>
  </w:style>
  <w:style w:type="character" w:styleId="UnresolvedMention">
    <w:name w:val="Unresolved Mention"/>
    <w:basedOn w:val="DefaultParagraphFont"/>
    <w:uiPriority w:val="99"/>
    <w:semiHidden/>
    <w:unhideWhenUsed/>
    <w:rsid w:val="00B23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84283">
      <w:bodyDiv w:val="1"/>
      <w:marLeft w:val="0"/>
      <w:marRight w:val="0"/>
      <w:marTop w:val="0"/>
      <w:marBottom w:val="0"/>
      <w:divBdr>
        <w:top w:val="none" w:sz="0" w:space="0" w:color="auto"/>
        <w:left w:val="none" w:sz="0" w:space="0" w:color="auto"/>
        <w:bottom w:val="none" w:sz="0" w:space="0" w:color="auto"/>
        <w:right w:val="none" w:sz="0" w:space="0" w:color="auto"/>
      </w:divBdr>
    </w:div>
    <w:div w:id="15585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gtermplan.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nhs-constitution-for-engla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ongtermplan.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FC56DA90C6444BEEA692472786832" ma:contentTypeVersion="10" ma:contentTypeDescription="Create a new document." ma:contentTypeScope="" ma:versionID="b1f1ccb0b7277444615dc227aa39054f">
  <xsd:schema xmlns:xsd="http://www.w3.org/2001/XMLSchema" xmlns:xs="http://www.w3.org/2001/XMLSchema" xmlns:p="http://schemas.microsoft.com/office/2006/metadata/properties" xmlns:ns3="fed76616-9294-4a8c-86b2-9f6bb1b65724" xmlns:ns4="063600e6-7ce1-43b7-a29e-0e0cc2ac80e5" targetNamespace="http://schemas.microsoft.com/office/2006/metadata/properties" ma:root="true" ma:fieldsID="896431efbd21db5b4f7402cca92ca1b7" ns3:_="" ns4:_="">
    <xsd:import namespace="fed76616-9294-4a8c-86b2-9f6bb1b65724"/>
    <xsd:import namespace="063600e6-7ce1-43b7-a29e-0e0cc2ac80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76616-9294-4a8c-86b2-9f6bb1b6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600e6-7ce1-43b7-a29e-0e0cc2ac8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DAA3-6083-47C9-A787-5481B30E6F23}">
  <ds:schemaRefs>
    <ds:schemaRef ds:uri="http://schemas.microsoft.com/office/infopath/2007/PartnerControls"/>
    <ds:schemaRef ds:uri="http://purl.org/dc/elements/1.1/"/>
    <ds:schemaRef ds:uri="http://schemas.microsoft.com/office/2006/metadata/properties"/>
    <ds:schemaRef ds:uri="063600e6-7ce1-43b7-a29e-0e0cc2ac80e5"/>
    <ds:schemaRef ds:uri="http://purl.org/dc/terms/"/>
    <ds:schemaRef ds:uri="http://schemas.openxmlformats.org/package/2006/metadata/core-properties"/>
    <ds:schemaRef ds:uri="http://schemas.microsoft.com/office/2006/documentManagement/types"/>
    <ds:schemaRef ds:uri="http://purl.org/dc/dcmitype/"/>
    <ds:schemaRef ds:uri="fed76616-9294-4a8c-86b2-9f6bb1b65724"/>
    <ds:schemaRef ds:uri="http://www.w3.org/XML/1998/namespace"/>
  </ds:schemaRefs>
</ds:datastoreItem>
</file>

<file path=customXml/itemProps2.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3.xml><?xml version="1.0" encoding="utf-8"?>
<ds:datastoreItem xmlns:ds="http://schemas.openxmlformats.org/officeDocument/2006/customXml" ds:itemID="{156BE786-F39F-42F2-85BF-19FB07296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76616-9294-4a8c-86b2-9f6bb1b65724"/>
    <ds:schemaRef ds:uri="063600e6-7ce1-43b7-a29e-0e0cc2ac8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8F16F-8136-4D50-8385-264063FB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Ness Clarke</cp:lastModifiedBy>
  <cp:revision>9</cp:revision>
  <cp:lastPrinted>2019-09-26T09:52:00Z</cp:lastPrinted>
  <dcterms:created xsi:type="dcterms:W3CDTF">2019-10-29T16:34:00Z</dcterms:created>
  <dcterms:modified xsi:type="dcterms:W3CDTF">2019-10-29T18:14:00Z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0x010100F3FFC56DA90C6444BEEA692472786832</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