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B965" w14:textId="5DA6E94C" w:rsidR="00263AA8" w:rsidRDefault="00263AA8" w:rsidP="00191405">
      <w:pPr>
        <w:spacing w:before="120" w:after="60"/>
        <w:rPr>
          <w:b/>
        </w:rPr>
      </w:pPr>
    </w:p>
    <w:p w14:paraId="3A67B98E" w14:textId="201E7302" w:rsidR="00263AA8" w:rsidRDefault="00263AA8" w:rsidP="00263AA8">
      <w:pPr>
        <w:tabs>
          <w:tab w:val="left" w:pos="7200"/>
        </w:tabs>
        <w:spacing w:before="120" w:after="60"/>
        <w:rPr>
          <w:b/>
        </w:rPr>
      </w:pPr>
      <w:r>
        <w:rPr>
          <w:b/>
        </w:rPr>
        <w:tab/>
      </w:r>
    </w:p>
    <w:p w14:paraId="7E4E9B2E" w14:textId="77777777" w:rsidR="00263AA8" w:rsidRDefault="00263AA8" w:rsidP="00191405">
      <w:pPr>
        <w:spacing w:before="120" w:after="60"/>
        <w:rPr>
          <w:b/>
        </w:rPr>
      </w:pPr>
    </w:p>
    <w:p w14:paraId="64283F2B" w14:textId="77777777" w:rsidR="005070A2" w:rsidRDefault="005070A2" w:rsidP="005029D4">
      <w:pPr>
        <w:spacing w:before="120" w:after="60"/>
        <w:rPr>
          <w:b/>
        </w:rPr>
      </w:pPr>
    </w:p>
    <w:p w14:paraId="56F8B07E" w14:textId="77777777" w:rsidR="005070A2" w:rsidRPr="005029D4" w:rsidRDefault="005070A2" w:rsidP="005029D4">
      <w:pPr>
        <w:spacing w:after="60"/>
        <w:rPr>
          <w:b/>
          <w:sz w:val="20"/>
        </w:rPr>
      </w:pPr>
    </w:p>
    <w:p w14:paraId="04C11C4A" w14:textId="6C1C588F" w:rsidR="00B227F7" w:rsidRPr="00DC4D9A" w:rsidRDefault="00DC4D9A" w:rsidP="005029D4">
      <w:pPr>
        <w:spacing w:after="60"/>
        <w:rPr>
          <w:b/>
          <w:bCs/>
        </w:rPr>
      </w:pPr>
      <w:r w:rsidRPr="00742B4A">
        <w:rPr>
          <w:b/>
        </w:rPr>
        <w:t>Publications approval reference:</w:t>
      </w:r>
      <w:r w:rsidR="003B676D">
        <w:rPr>
          <w:b/>
        </w:rPr>
        <w:t xml:space="preserve"> </w:t>
      </w:r>
      <w:r w:rsidR="001633F2" w:rsidRPr="001633F2">
        <w:rPr>
          <w:rFonts w:cs="Arial"/>
          <w:b/>
          <w:bCs/>
          <w:color w:val="000000"/>
        </w:rPr>
        <w:t>C1460</w:t>
      </w:r>
      <w:r w:rsidR="003B3F92" w:rsidRPr="001633F2">
        <w:rPr>
          <w:b/>
          <w:bCs/>
        </w:rPr>
        <w:t xml:space="preserve">  </w:t>
      </w:r>
      <w:r w:rsidR="003B3F92">
        <w:rPr>
          <w:b/>
        </w:rPr>
        <w:t xml:space="preserve">                          </w:t>
      </w:r>
      <w:r w:rsidR="00D77DB1">
        <w:rPr>
          <w:b/>
        </w:rPr>
        <w:t xml:space="preserve">          </w:t>
      </w:r>
    </w:p>
    <w:p w14:paraId="7A631A2D" w14:textId="73307ED1" w:rsidR="00917FA4" w:rsidRPr="00E161EA" w:rsidRDefault="00394F70" w:rsidP="00917FA4">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Pa</w:t>
      </w:r>
      <w:r w:rsidRPr="00D57795">
        <w:rPr>
          <w:rFonts w:ascii="Arial" w:hAnsi="Arial" w:cs="Arial"/>
          <w:sz w:val="32"/>
          <w:szCs w:val="32"/>
        </w:rPr>
        <w:t>tient Group Direction</w:t>
      </w:r>
      <w:r w:rsidRPr="00823759">
        <w:rPr>
          <w:rFonts w:ascii="Arial" w:hAnsi="Arial" w:cs="Arial"/>
          <w:sz w:val="32"/>
          <w:szCs w:val="32"/>
        </w:rPr>
        <w:t xml:space="preserve"> </w:t>
      </w:r>
      <w:r>
        <w:rPr>
          <w:rFonts w:ascii="Arial" w:hAnsi="Arial" w:cs="Arial"/>
          <w:sz w:val="32"/>
          <w:szCs w:val="32"/>
        </w:rPr>
        <w:t xml:space="preserve">for </w:t>
      </w:r>
      <w:r w:rsidR="00765DD4">
        <w:rPr>
          <w:rFonts w:ascii="Arial" w:hAnsi="Arial" w:cs="Arial"/>
          <w:sz w:val="32"/>
          <w:szCs w:val="32"/>
        </w:rPr>
        <w:t>COVID-19 mRNA vaccine BNT162b2 (Pfizer/</w:t>
      </w:r>
      <w:r w:rsidR="00765DD4" w:rsidRPr="00823759">
        <w:rPr>
          <w:rFonts w:ascii="Arial" w:hAnsi="Arial" w:cs="Arial"/>
          <w:sz w:val="32"/>
          <w:szCs w:val="32"/>
        </w:rPr>
        <w:t>BioNTech</w:t>
      </w:r>
      <w:r w:rsidR="00765DD4">
        <w:rPr>
          <w:rFonts w:ascii="Arial" w:hAnsi="Arial" w:cs="Arial"/>
          <w:sz w:val="32"/>
          <w:szCs w:val="32"/>
        </w:rPr>
        <w:t>)</w:t>
      </w:r>
    </w:p>
    <w:p w14:paraId="46F019FF" w14:textId="570733CB" w:rsidR="00917FA4" w:rsidRPr="00227880" w:rsidRDefault="00917FA4" w:rsidP="00227880">
      <w:pPr>
        <w:rPr>
          <w:szCs w:val="24"/>
        </w:rPr>
      </w:pPr>
      <w:r w:rsidRPr="00227880">
        <w:rPr>
          <w:szCs w:val="24"/>
        </w:rPr>
        <w:t xml:space="preserve">This </w:t>
      </w:r>
      <w:r w:rsidR="003E2E61" w:rsidRPr="00227880">
        <w:rPr>
          <w:szCs w:val="24"/>
        </w:rPr>
        <w:t>Patient Group Direction (</w:t>
      </w:r>
      <w:r w:rsidRPr="00227880">
        <w:rPr>
          <w:szCs w:val="24"/>
        </w:rPr>
        <w:t>PGD</w:t>
      </w:r>
      <w:r w:rsidR="003E2E61" w:rsidRPr="00227880">
        <w:rPr>
          <w:szCs w:val="24"/>
        </w:rPr>
        <w:t>)</w:t>
      </w:r>
      <w:r w:rsidRPr="00227880">
        <w:rPr>
          <w:szCs w:val="24"/>
        </w:rPr>
        <w:t xml:space="preserve"> is for the administration of </w:t>
      </w:r>
      <w:r w:rsidR="00765DD4" w:rsidRPr="00227880">
        <w:rPr>
          <w:szCs w:val="24"/>
        </w:rPr>
        <w:t>COVID-19 mRNA vaccine BNT162b2</w:t>
      </w:r>
      <w:r w:rsidR="003E2E61" w:rsidRPr="00227880">
        <w:rPr>
          <w:szCs w:val="24"/>
        </w:rPr>
        <w:t xml:space="preserve"> </w:t>
      </w:r>
      <w:r w:rsidRPr="00227880">
        <w:rPr>
          <w:szCs w:val="24"/>
        </w:rPr>
        <w:t xml:space="preserve">to individuals in accordance with the national </w:t>
      </w:r>
      <w:r w:rsidR="00A76284" w:rsidRPr="00227880">
        <w:rPr>
          <w:szCs w:val="24"/>
        </w:rPr>
        <w:t>COVID-19</w:t>
      </w:r>
      <w:r w:rsidRPr="00227880">
        <w:rPr>
          <w:szCs w:val="24"/>
        </w:rPr>
        <w:t xml:space="preserve"> </w:t>
      </w:r>
      <w:r w:rsidR="008971C8" w:rsidRPr="00227880">
        <w:rPr>
          <w:szCs w:val="24"/>
        </w:rPr>
        <w:t>vaccination</w:t>
      </w:r>
      <w:r w:rsidRPr="00227880">
        <w:rPr>
          <w:szCs w:val="24"/>
        </w:rPr>
        <w:t xml:space="preserve"> programme</w:t>
      </w:r>
      <w:r w:rsidR="005070A2">
        <w:rPr>
          <w:szCs w:val="24"/>
        </w:rPr>
        <w:t>.</w:t>
      </w:r>
    </w:p>
    <w:p w14:paraId="042229FA" w14:textId="63A51013" w:rsidR="00917FA4" w:rsidRPr="00227880" w:rsidRDefault="00917FA4" w:rsidP="00227880">
      <w:pPr>
        <w:spacing w:before="120"/>
        <w:ind w:rightChars="34" w:right="82"/>
        <w:rPr>
          <w:szCs w:val="24"/>
        </w:rPr>
      </w:pPr>
      <w:r w:rsidRPr="00227880">
        <w:rPr>
          <w:szCs w:val="24"/>
        </w:rPr>
        <w:t xml:space="preserve">This PGD is for the administration of </w:t>
      </w:r>
      <w:r w:rsidR="00765DD4" w:rsidRPr="00227880">
        <w:rPr>
          <w:szCs w:val="24"/>
        </w:rPr>
        <w:t>COVID-19 mRNA vaccine BNT162b2</w:t>
      </w:r>
      <w:r w:rsidR="003E2E61" w:rsidRPr="00227880">
        <w:rPr>
          <w:szCs w:val="24"/>
        </w:rPr>
        <w:t xml:space="preserve"> </w:t>
      </w:r>
      <w:r w:rsidRPr="00227880">
        <w:rPr>
          <w:szCs w:val="24"/>
        </w:rPr>
        <w:t xml:space="preserve">by registered healthcare practitioners identified in </w:t>
      </w:r>
      <w:hyperlink w:anchor="Section3" w:history="1">
        <w:r w:rsidRPr="00227880">
          <w:rPr>
            <w:rStyle w:val="Hyperlink"/>
            <w:szCs w:val="24"/>
          </w:rPr>
          <w:t>Section 3</w:t>
        </w:r>
      </w:hyperlink>
      <w:r w:rsidR="00D7172A" w:rsidRPr="00227880">
        <w:rPr>
          <w:szCs w:val="24"/>
        </w:rPr>
        <w:t>.</w:t>
      </w:r>
    </w:p>
    <w:p w14:paraId="4E669CBE" w14:textId="0C6E833B" w:rsidR="00C4128D" w:rsidRPr="007B4240" w:rsidRDefault="00C4128D" w:rsidP="00227880">
      <w:pPr>
        <w:pStyle w:val="CommentText"/>
        <w:spacing w:before="120"/>
        <w:rPr>
          <w:sz w:val="24"/>
          <w:szCs w:val="24"/>
        </w:rPr>
      </w:pPr>
      <w:bookmarkStart w:id="0" w:name="_Hlk62739167"/>
      <w:r w:rsidRPr="00227880">
        <w:rPr>
          <w:rStyle w:val="yiv436687422763514114-05042013"/>
          <w:rFonts w:cs="Arial"/>
          <w:sz w:val="24"/>
          <w:szCs w:val="24"/>
          <w:lang w:eastAsia="en-US"/>
        </w:rPr>
        <w:t>The national COVID-19 vaccination programme may also be provided under national protocol or on a patient specific basis (that is by or on the direction of an appropriate independent prescriber). Supply and administration in these instances are not covered by this PGD.</w:t>
      </w:r>
      <w:bookmarkEnd w:id="0"/>
    </w:p>
    <w:p w14:paraId="79901325" w14:textId="69478261" w:rsidR="00B227F7" w:rsidRPr="00227880" w:rsidRDefault="00B227F7" w:rsidP="00227880">
      <w:pPr>
        <w:spacing w:before="120"/>
        <w:ind w:rightChars="-375" w:right="-900"/>
        <w:rPr>
          <w:rFonts w:cs="Arial"/>
          <w:szCs w:val="24"/>
        </w:rPr>
      </w:pPr>
      <w:r w:rsidRPr="00227880">
        <w:rPr>
          <w:rFonts w:cs="Arial"/>
          <w:color w:val="000000"/>
          <w:szCs w:val="24"/>
        </w:rPr>
        <w:t>Reference no:</w:t>
      </w:r>
      <w:r w:rsidRPr="00227880">
        <w:rPr>
          <w:rFonts w:cs="Arial"/>
          <w:color w:val="000000"/>
          <w:szCs w:val="24"/>
        </w:rPr>
        <w:tab/>
      </w:r>
      <w:r w:rsidR="00765DD4" w:rsidRPr="00227880">
        <w:rPr>
          <w:rFonts w:cs="Arial"/>
          <w:color w:val="000000"/>
          <w:szCs w:val="24"/>
        </w:rPr>
        <w:t>COVID-19 mRNA vaccine BNT162b2</w:t>
      </w:r>
      <w:r w:rsidR="004A290A" w:rsidRPr="00227880">
        <w:rPr>
          <w:szCs w:val="24"/>
        </w:rPr>
        <w:t xml:space="preserve"> </w:t>
      </w:r>
      <w:r w:rsidRPr="00227880">
        <w:rPr>
          <w:rFonts w:cs="Arial"/>
          <w:szCs w:val="24"/>
        </w:rPr>
        <w:t>P</w:t>
      </w:r>
      <w:r w:rsidR="00E30508">
        <w:rPr>
          <w:rFonts w:cs="Arial"/>
          <w:szCs w:val="24"/>
        </w:rPr>
        <w:t>G</w:t>
      </w:r>
      <w:r w:rsidRPr="00227880">
        <w:rPr>
          <w:rFonts w:cs="Arial"/>
          <w:szCs w:val="24"/>
        </w:rPr>
        <w:t xml:space="preserve">D </w:t>
      </w:r>
    </w:p>
    <w:p w14:paraId="09291AA6" w14:textId="32A9CD32" w:rsidR="004F3775" w:rsidRPr="00227880" w:rsidRDefault="00B227F7" w:rsidP="00227880">
      <w:pPr>
        <w:ind w:rightChars="-375" w:right="-900"/>
        <w:contextualSpacing/>
        <w:rPr>
          <w:rFonts w:cs="Arial"/>
          <w:szCs w:val="24"/>
        </w:rPr>
      </w:pPr>
      <w:r w:rsidRPr="00227880">
        <w:rPr>
          <w:szCs w:val="24"/>
        </w:rPr>
        <w:t>Version no:</w:t>
      </w:r>
      <w:r w:rsidRPr="00227880">
        <w:rPr>
          <w:rFonts w:cs="Arial"/>
          <w:szCs w:val="24"/>
        </w:rPr>
        <w:t xml:space="preserve"> </w:t>
      </w:r>
      <w:r w:rsidRPr="00227880">
        <w:rPr>
          <w:rFonts w:cs="Arial"/>
          <w:szCs w:val="24"/>
        </w:rPr>
        <w:tab/>
      </w:r>
      <w:r w:rsidRPr="00227880">
        <w:rPr>
          <w:rFonts w:cs="Arial"/>
          <w:szCs w:val="24"/>
        </w:rPr>
        <w:tab/>
        <w:t>v0</w:t>
      </w:r>
      <w:r w:rsidR="005029D4">
        <w:rPr>
          <w:rFonts w:cs="Arial"/>
          <w:szCs w:val="24"/>
        </w:rPr>
        <w:t>6</w:t>
      </w:r>
      <w:r w:rsidR="00011785">
        <w:rPr>
          <w:rFonts w:cs="Arial"/>
          <w:szCs w:val="24"/>
        </w:rPr>
        <w:t>.0</w:t>
      </w:r>
      <w:r w:rsidR="005029D4">
        <w:rPr>
          <w:rFonts w:cs="Arial"/>
          <w:szCs w:val="24"/>
        </w:rPr>
        <w:t>0</w:t>
      </w:r>
    </w:p>
    <w:p w14:paraId="2F61ED6A" w14:textId="22EB63B0" w:rsidR="00B227F7" w:rsidRPr="00227880" w:rsidRDefault="00B227F7" w:rsidP="00227880">
      <w:pPr>
        <w:ind w:rightChars="-375" w:right="-900"/>
        <w:contextualSpacing/>
        <w:rPr>
          <w:rFonts w:cs="Arial"/>
          <w:szCs w:val="24"/>
        </w:rPr>
      </w:pPr>
      <w:r w:rsidRPr="00227880">
        <w:rPr>
          <w:rFonts w:cs="Arial"/>
          <w:szCs w:val="24"/>
        </w:rPr>
        <w:t>Valid from:</w:t>
      </w:r>
      <w:r w:rsidRPr="00227880">
        <w:rPr>
          <w:rFonts w:cs="Arial"/>
          <w:szCs w:val="24"/>
        </w:rPr>
        <w:tab/>
      </w:r>
      <w:r w:rsidRPr="00227880">
        <w:rPr>
          <w:rFonts w:cs="Arial"/>
          <w:szCs w:val="24"/>
        </w:rPr>
        <w:tab/>
      </w:r>
      <w:r w:rsidR="001633F2">
        <w:rPr>
          <w:rFonts w:cs="Arial"/>
          <w:szCs w:val="24"/>
        </w:rPr>
        <w:t>19 November</w:t>
      </w:r>
      <w:r w:rsidR="00EF353C" w:rsidRPr="00227880">
        <w:rPr>
          <w:rFonts w:cs="Arial"/>
          <w:szCs w:val="24"/>
        </w:rPr>
        <w:t xml:space="preserve"> </w:t>
      </w:r>
      <w:r w:rsidRPr="00227880">
        <w:rPr>
          <w:rFonts w:cs="Arial"/>
          <w:szCs w:val="24"/>
        </w:rPr>
        <w:t>20</w:t>
      </w:r>
      <w:r w:rsidR="00917FA4" w:rsidRPr="00227880">
        <w:rPr>
          <w:rFonts w:cs="Arial"/>
          <w:szCs w:val="24"/>
        </w:rPr>
        <w:t>2</w:t>
      </w:r>
      <w:r w:rsidR="007E322A" w:rsidRPr="00227880">
        <w:rPr>
          <w:rFonts w:cs="Arial"/>
          <w:szCs w:val="24"/>
        </w:rPr>
        <w:t>1</w:t>
      </w:r>
    </w:p>
    <w:p w14:paraId="5D9F7239" w14:textId="47190CFD" w:rsidR="00B227F7" w:rsidRPr="00227880" w:rsidRDefault="00B227F7" w:rsidP="00227880">
      <w:pPr>
        <w:ind w:rightChars="-375" w:right="-900"/>
        <w:contextualSpacing/>
        <w:rPr>
          <w:rFonts w:cs="Arial"/>
          <w:b/>
          <w:szCs w:val="24"/>
        </w:rPr>
      </w:pPr>
      <w:r w:rsidRPr="00227880">
        <w:rPr>
          <w:rFonts w:cs="Arial"/>
          <w:szCs w:val="24"/>
        </w:rPr>
        <w:t>Expiry date:</w:t>
      </w:r>
      <w:r w:rsidRPr="00227880">
        <w:rPr>
          <w:rFonts w:cs="Arial"/>
          <w:szCs w:val="24"/>
        </w:rPr>
        <w:tab/>
      </w:r>
      <w:r w:rsidRPr="00227880">
        <w:rPr>
          <w:rFonts w:cs="Arial"/>
          <w:szCs w:val="24"/>
        </w:rPr>
        <w:tab/>
      </w:r>
      <w:r w:rsidR="007B4240">
        <w:rPr>
          <w:rFonts w:cs="Arial"/>
          <w:szCs w:val="24"/>
        </w:rPr>
        <w:t>31 March</w:t>
      </w:r>
      <w:r w:rsidR="007E322A" w:rsidRPr="00227880">
        <w:rPr>
          <w:rFonts w:cs="Arial"/>
          <w:szCs w:val="24"/>
        </w:rPr>
        <w:t xml:space="preserve"> 2022</w:t>
      </w:r>
    </w:p>
    <w:p w14:paraId="67169726" w14:textId="0107F133" w:rsidR="00B227F7" w:rsidRPr="00227880" w:rsidRDefault="00AF6C7C" w:rsidP="00227880">
      <w:pPr>
        <w:spacing w:before="120"/>
        <w:rPr>
          <w:rFonts w:cs="Arial"/>
          <w:b/>
          <w:szCs w:val="24"/>
        </w:rPr>
      </w:pPr>
      <w:r>
        <w:rPr>
          <w:rFonts w:cs="Arial"/>
          <w:b/>
          <w:szCs w:val="24"/>
        </w:rPr>
        <w:t xml:space="preserve">The </w:t>
      </w:r>
      <w:r w:rsidR="005070A2">
        <w:rPr>
          <w:rFonts w:cs="Arial"/>
          <w:b/>
          <w:szCs w:val="24"/>
        </w:rPr>
        <w:t>UK</w:t>
      </w:r>
      <w:r w:rsidR="005070A2" w:rsidRPr="00227880">
        <w:rPr>
          <w:rFonts w:cs="Arial"/>
          <w:b/>
          <w:szCs w:val="24"/>
        </w:rPr>
        <w:t xml:space="preserve"> Health </w:t>
      </w:r>
      <w:r w:rsidR="005070A2">
        <w:rPr>
          <w:rFonts w:cs="Arial"/>
          <w:b/>
          <w:szCs w:val="24"/>
        </w:rPr>
        <w:t>Security Agency</w:t>
      </w:r>
      <w:r w:rsidR="005070A2" w:rsidRPr="00E161EA">
        <w:rPr>
          <w:rFonts w:cs="Arial"/>
          <w:b/>
          <w:szCs w:val="24"/>
        </w:rPr>
        <w:t xml:space="preserve"> </w:t>
      </w:r>
      <w:r w:rsidR="005070A2">
        <w:rPr>
          <w:rFonts w:cs="Arial"/>
          <w:b/>
          <w:szCs w:val="24"/>
        </w:rPr>
        <w:t>(UKHSA</w:t>
      </w:r>
      <w:r w:rsidR="005070A2" w:rsidRPr="00227880">
        <w:rPr>
          <w:rFonts w:cs="Arial"/>
          <w:b/>
          <w:szCs w:val="24"/>
        </w:rPr>
        <w:t xml:space="preserve">) </w:t>
      </w:r>
      <w:r w:rsidR="00B227F7" w:rsidRPr="00227880">
        <w:rPr>
          <w:rFonts w:cs="Arial"/>
          <w:b/>
          <w:szCs w:val="24"/>
        </w:rPr>
        <w:t xml:space="preserve">has developed this PGD </w:t>
      </w:r>
      <w:r w:rsidR="00B34CA8" w:rsidRPr="00227880">
        <w:rPr>
          <w:rFonts w:cs="Arial"/>
          <w:b/>
          <w:szCs w:val="24"/>
        </w:rPr>
        <w:t>for authorisatio</w:t>
      </w:r>
      <w:r w:rsidR="00B864AD" w:rsidRPr="00227880">
        <w:rPr>
          <w:rFonts w:cs="Arial"/>
          <w:b/>
          <w:szCs w:val="24"/>
        </w:rPr>
        <w:t>n</w:t>
      </w:r>
      <w:r w:rsidR="00B34CA8" w:rsidRPr="00227880">
        <w:rPr>
          <w:rFonts w:cs="Arial"/>
          <w:b/>
          <w:szCs w:val="24"/>
        </w:rPr>
        <w:t xml:space="preserve"> by NHS England and NHS Improvement </w:t>
      </w:r>
      <w:r w:rsidR="005070A2">
        <w:rPr>
          <w:rFonts w:cs="Arial"/>
          <w:b/>
          <w:szCs w:val="24"/>
        </w:rPr>
        <w:t xml:space="preserve">(NHSEI) </w:t>
      </w:r>
      <w:r w:rsidR="00B227F7" w:rsidRPr="00227880">
        <w:rPr>
          <w:b/>
          <w:bCs/>
          <w:szCs w:val="24"/>
        </w:rPr>
        <w:t xml:space="preserve">to facilitate the delivery of </w:t>
      </w:r>
      <w:r w:rsidR="00B34CA8" w:rsidRPr="00227880">
        <w:rPr>
          <w:b/>
          <w:bCs/>
          <w:szCs w:val="24"/>
        </w:rPr>
        <w:t xml:space="preserve">the national </w:t>
      </w:r>
      <w:r w:rsidR="008971C8" w:rsidRPr="00227880">
        <w:rPr>
          <w:b/>
          <w:bCs/>
          <w:szCs w:val="24"/>
        </w:rPr>
        <w:t>COVID-19 vaccination</w:t>
      </w:r>
      <w:r w:rsidR="00B227F7" w:rsidRPr="00227880">
        <w:rPr>
          <w:b/>
          <w:bCs/>
          <w:szCs w:val="24"/>
        </w:rPr>
        <w:t xml:space="preserve"> </w:t>
      </w:r>
      <w:r w:rsidR="00B34CA8" w:rsidRPr="00227880">
        <w:rPr>
          <w:b/>
          <w:bCs/>
          <w:szCs w:val="24"/>
        </w:rPr>
        <w:t>programme</w:t>
      </w:r>
      <w:r w:rsidR="00B227F7" w:rsidRPr="00227880">
        <w:rPr>
          <w:b/>
          <w:bCs/>
          <w:szCs w:val="24"/>
        </w:rPr>
        <w:t xml:space="preserve">. </w:t>
      </w:r>
    </w:p>
    <w:p w14:paraId="5781FC74" w14:textId="51A57669" w:rsidR="00B227F7" w:rsidRPr="00227880" w:rsidRDefault="005070A2" w:rsidP="00227880">
      <w:pPr>
        <w:overflowPunct/>
        <w:spacing w:before="120"/>
        <w:textAlignment w:val="auto"/>
        <w:rPr>
          <w:szCs w:val="24"/>
        </w:rPr>
      </w:pPr>
      <w:r>
        <w:rPr>
          <w:rFonts w:cs="Arial"/>
          <w:szCs w:val="24"/>
        </w:rPr>
        <w:t>NHSEI</w:t>
      </w:r>
      <w:r w:rsidR="00B34CA8" w:rsidRPr="00227880">
        <w:rPr>
          <w:rFonts w:cs="Arial"/>
          <w:szCs w:val="24"/>
        </w:rPr>
        <w:t xml:space="preserve"> and those providing services in accordance with</w:t>
      </w:r>
      <w:r w:rsidR="00B227F7" w:rsidRPr="00227880">
        <w:rPr>
          <w:rFonts w:cs="Arial"/>
          <w:szCs w:val="24"/>
        </w:rPr>
        <w:t xml:space="preserve"> this PGD</w:t>
      </w:r>
      <w:r w:rsidR="00006FA0" w:rsidRPr="00227880">
        <w:rPr>
          <w:szCs w:val="24"/>
        </w:rPr>
        <w:t xml:space="preserve"> </w:t>
      </w:r>
      <w:r w:rsidR="00B227F7" w:rsidRPr="00227880">
        <w:rPr>
          <w:szCs w:val="24"/>
        </w:rPr>
        <w:t xml:space="preserve">must not alter, amend or add to the </w:t>
      </w:r>
      <w:r w:rsidR="00B227F7" w:rsidRPr="00227880">
        <w:rPr>
          <w:iCs/>
          <w:szCs w:val="24"/>
        </w:rPr>
        <w:t>clinical</w:t>
      </w:r>
      <w:r w:rsidR="00B227F7" w:rsidRPr="00227880">
        <w:rPr>
          <w:szCs w:val="24"/>
        </w:rPr>
        <w:t xml:space="preserve"> content of this document (sections</w:t>
      </w:r>
      <w:r w:rsidR="00B34CA8" w:rsidRPr="00227880">
        <w:rPr>
          <w:szCs w:val="24"/>
        </w:rPr>
        <w:t xml:space="preserve"> 3,</w:t>
      </w:r>
      <w:r w:rsidR="00B227F7" w:rsidRPr="00227880">
        <w:rPr>
          <w:szCs w:val="24"/>
        </w:rPr>
        <w:t xml:space="preserve"> 4, 5 and 6); such action will invalidate the </w:t>
      </w:r>
      <w:r w:rsidR="00B227F7" w:rsidRPr="00227880">
        <w:rPr>
          <w:iCs/>
          <w:szCs w:val="24"/>
        </w:rPr>
        <w:t>clinical sign-off</w:t>
      </w:r>
      <w:r w:rsidR="00B227F7" w:rsidRPr="00227880">
        <w:rPr>
          <w:szCs w:val="24"/>
        </w:rPr>
        <w:t xml:space="preserve"> with which it is provided. </w:t>
      </w:r>
      <w:hyperlink w:anchor="Section2" w:history="1">
        <w:r w:rsidR="00B34CA8" w:rsidRPr="00227880">
          <w:rPr>
            <w:rStyle w:val="Hyperlink"/>
            <w:szCs w:val="24"/>
          </w:rPr>
          <w:t>S</w:t>
        </w:r>
        <w:r w:rsidR="00B227F7" w:rsidRPr="00227880">
          <w:rPr>
            <w:rStyle w:val="Hyperlink"/>
            <w:szCs w:val="24"/>
          </w:rPr>
          <w:t>ection 2</w:t>
        </w:r>
      </w:hyperlink>
      <w:r w:rsidR="00B227F7" w:rsidRPr="00227880">
        <w:rPr>
          <w:szCs w:val="24"/>
        </w:rPr>
        <w:t xml:space="preserve"> </w:t>
      </w:r>
      <w:r w:rsidR="00B34CA8" w:rsidRPr="00227880">
        <w:rPr>
          <w:szCs w:val="24"/>
        </w:rPr>
        <w:t xml:space="preserve">may be amended </w:t>
      </w:r>
      <w:r w:rsidR="00B864AD" w:rsidRPr="00227880">
        <w:rPr>
          <w:szCs w:val="24"/>
        </w:rPr>
        <w:t xml:space="preserve">only </w:t>
      </w:r>
      <w:r w:rsidR="00B34CA8" w:rsidRPr="00227880">
        <w:rPr>
          <w:szCs w:val="24"/>
        </w:rPr>
        <w:t xml:space="preserve">by </w:t>
      </w:r>
      <w:r w:rsidR="00B864AD" w:rsidRPr="00227880">
        <w:rPr>
          <w:szCs w:val="24"/>
        </w:rPr>
        <w:t>the person(s) authorising the PGD</w:t>
      </w:r>
      <w:r w:rsidR="00556F37" w:rsidRPr="00227880">
        <w:rPr>
          <w:szCs w:val="24"/>
        </w:rPr>
        <w:t>,</w:t>
      </w:r>
      <w:r w:rsidR="00B864AD" w:rsidRPr="00227880">
        <w:rPr>
          <w:szCs w:val="24"/>
        </w:rPr>
        <w:t xml:space="preserve"> </w:t>
      </w:r>
      <w:r w:rsidR="00556F37" w:rsidRPr="00227880">
        <w:rPr>
          <w:rFonts w:cs="Arial"/>
          <w:szCs w:val="24"/>
        </w:rPr>
        <w:t xml:space="preserve">in accordance with </w:t>
      </w:r>
      <w:r w:rsidR="00A333B0" w:rsidRPr="00227880">
        <w:rPr>
          <w:szCs w:val="24"/>
        </w:rPr>
        <w:t>Human Medicines Regulations 2012 (HMR2012)</w:t>
      </w:r>
      <w:r w:rsidR="007E322A" w:rsidRPr="00227880">
        <w:rPr>
          <w:rStyle w:val="FootnoteReference"/>
          <w:szCs w:val="24"/>
        </w:rPr>
        <w:footnoteReference w:id="2"/>
      </w:r>
      <w:r w:rsidR="00A333B0" w:rsidRPr="00227880">
        <w:rPr>
          <w:szCs w:val="24"/>
        </w:rPr>
        <w:t xml:space="preserve"> </w:t>
      </w:r>
      <w:hyperlink r:id="rId11" w:history="1">
        <w:r w:rsidR="00556F37" w:rsidRPr="00227880">
          <w:rPr>
            <w:rStyle w:val="Hyperlink"/>
            <w:rFonts w:cs="Arial"/>
            <w:szCs w:val="24"/>
          </w:rPr>
          <w:t>Schedule 16 Part 2</w:t>
        </w:r>
      </w:hyperlink>
      <w:r w:rsidR="00556F37" w:rsidRPr="00227880">
        <w:rPr>
          <w:rStyle w:val="Hyperlink"/>
          <w:rFonts w:cs="Arial"/>
          <w:szCs w:val="24"/>
        </w:rPr>
        <w:t xml:space="preserve">, </w:t>
      </w:r>
      <w:r w:rsidR="00B864AD" w:rsidRPr="00227880">
        <w:rPr>
          <w:szCs w:val="24"/>
        </w:rPr>
        <w:t xml:space="preserve">on behalf of </w:t>
      </w:r>
      <w:r w:rsidR="0099186D">
        <w:rPr>
          <w:szCs w:val="24"/>
        </w:rPr>
        <w:t>NHSEI</w:t>
      </w:r>
      <w:r w:rsidR="00B864AD" w:rsidRPr="00227880">
        <w:rPr>
          <w:rFonts w:cs="Arial"/>
          <w:szCs w:val="24"/>
        </w:rPr>
        <w:t>.</w:t>
      </w:r>
      <w:r w:rsidR="00B864AD" w:rsidRPr="00227880">
        <w:rPr>
          <w:rFonts w:cs="Arial"/>
          <w:b/>
          <w:szCs w:val="24"/>
        </w:rPr>
        <w:t xml:space="preserve"> </w:t>
      </w:r>
      <w:hyperlink w:anchor="Section7PractitionerAuthorisation" w:history="1">
        <w:r w:rsidR="00B864AD" w:rsidRPr="00227880">
          <w:rPr>
            <w:rStyle w:val="Hyperlink"/>
            <w:szCs w:val="24"/>
          </w:rPr>
          <w:t xml:space="preserve">Section </w:t>
        </w:r>
        <w:r w:rsidR="00B227F7" w:rsidRPr="00227880">
          <w:rPr>
            <w:rStyle w:val="Hyperlink"/>
            <w:szCs w:val="24"/>
          </w:rPr>
          <w:t>7</w:t>
        </w:r>
      </w:hyperlink>
      <w:r w:rsidR="00B227F7" w:rsidRPr="00227880">
        <w:rPr>
          <w:szCs w:val="24"/>
        </w:rPr>
        <w:t xml:space="preserve"> </w:t>
      </w:r>
      <w:r w:rsidR="00B864AD" w:rsidRPr="00227880">
        <w:rPr>
          <w:szCs w:val="24"/>
        </w:rPr>
        <w:t>is to be completed by registered practitioners providing the service and their authorising/line manager.</w:t>
      </w:r>
    </w:p>
    <w:p w14:paraId="25D92E04" w14:textId="7FDCDAAA" w:rsidR="00B227F7" w:rsidRPr="00227880" w:rsidRDefault="00B227F7" w:rsidP="00227880">
      <w:pPr>
        <w:spacing w:before="120" w:after="120"/>
        <w:rPr>
          <w:rFonts w:cs="Arial"/>
          <w:b/>
          <w:bCs/>
          <w:szCs w:val="24"/>
        </w:rPr>
      </w:pPr>
      <w:r w:rsidRPr="00227880">
        <w:rPr>
          <w:szCs w:val="24"/>
        </w:rPr>
        <w:t xml:space="preserve">Operation of this PGD is the responsibility of </w:t>
      </w:r>
      <w:r w:rsidR="005070A2">
        <w:rPr>
          <w:szCs w:val="24"/>
        </w:rPr>
        <w:t>NHSEI</w:t>
      </w:r>
      <w:r w:rsidRPr="00227880">
        <w:rPr>
          <w:szCs w:val="24"/>
        </w:rPr>
        <w:t xml:space="preserve"> and service providers.</w:t>
      </w:r>
      <w:r w:rsidR="00917FA4" w:rsidRPr="00227880">
        <w:rPr>
          <w:szCs w:val="24"/>
        </w:rPr>
        <w:t xml:space="preserve"> The final authorised copy of this PGD should be kept by </w:t>
      </w:r>
      <w:r w:rsidR="005070A2">
        <w:rPr>
          <w:szCs w:val="24"/>
        </w:rPr>
        <w:t>NHSEI</w:t>
      </w:r>
      <w:r w:rsidR="00917FA4" w:rsidRPr="00227880">
        <w:rPr>
          <w:szCs w:val="24"/>
        </w:rPr>
        <w:t xml:space="preserve"> for </w:t>
      </w:r>
      <w:r w:rsidR="00032CD2">
        <w:rPr>
          <w:szCs w:val="24"/>
        </w:rPr>
        <w:t>25</w:t>
      </w:r>
      <w:r w:rsidR="00917FA4" w:rsidRPr="00227880">
        <w:rPr>
          <w:szCs w:val="24"/>
        </w:rPr>
        <w:t xml:space="preserve"> years after the PGD expires. Provider organisations adopting authorised versions of this PGD should also retain copies for the period specified above.   </w:t>
      </w:r>
      <w:r w:rsidR="00917FA4" w:rsidRPr="00227880">
        <w:rPr>
          <w:rFonts w:cs="Arial"/>
          <w:iCs/>
          <w:szCs w:val="24"/>
        </w:rPr>
        <w:t> </w:t>
      </w:r>
    </w:p>
    <w:p w14:paraId="5B8069A0" w14:textId="64EC6A62" w:rsidR="00B864AD" w:rsidRPr="00227880" w:rsidRDefault="00917FA4" w:rsidP="00227880">
      <w:pPr>
        <w:spacing w:before="120" w:after="120"/>
        <w:rPr>
          <w:rFonts w:cs="Arial"/>
          <w:b/>
          <w:bCs/>
          <w:szCs w:val="24"/>
        </w:rPr>
      </w:pPr>
      <w:r w:rsidRPr="00227880">
        <w:rPr>
          <w:rFonts w:cs="Arial"/>
          <w:b/>
          <w:bCs/>
          <w:szCs w:val="24"/>
        </w:rPr>
        <w:t xml:space="preserve">Individual </w:t>
      </w:r>
      <w:r w:rsidR="00B864AD" w:rsidRPr="00227880">
        <w:rPr>
          <w:rFonts w:cs="Arial"/>
          <w:b/>
          <w:bCs/>
          <w:szCs w:val="24"/>
        </w:rPr>
        <w:t xml:space="preserve">registered </w:t>
      </w:r>
      <w:r w:rsidRPr="00227880">
        <w:rPr>
          <w:rFonts w:cs="Arial"/>
          <w:b/>
          <w:bCs/>
          <w:szCs w:val="24"/>
        </w:rPr>
        <w:t>practitioners must be authorised by name</w:t>
      </w:r>
      <w:r w:rsidR="00B864AD" w:rsidRPr="00227880">
        <w:rPr>
          <w:rFonts w:cs="Arial"/>
          <w:b/>
          <w:bCs/>
          <w:szCs w:val="24"/>
        </w:rPr>
        <w:t xml:space="preserve"> to work according to the current version of this PGD by signing section 7. A manager with the relevant level of authority should also provide a counter signature</w:t>
      </w:r>
      <w:r w:rsidR="00501DF3" w:rsidRPr="00227880">
        <w:rPr>
          <w:rFonts w:cs="Arial"/>
          <w:b/>
          <w:bCs/>
          <w:szCs w:val="24"/>
        </w:rPr>
        <w:t>, unless there are contractual arrangements for self-declaration</w:t>
      </w:r>
      <w:r w:rsidR="00B864AD" w:rsidRPr="00227880">
        <w:rPr>
          <w:rFonts w:cs="Arial"/>
          <w:b/>
          <w:bCs/>
          <w:szCs w:val="24"/>
        </w:rPr>
        <w:t>.</w:t>
      </w:r>
    </w:p>
    <w:p w14:paraId="4F91E6CC" w14:textId="6B86F04B" w:rsidR="00917FA4" w:rsidRPr="00227880" w:rsidRDefault="00B864AD" w:rsidP="00213C02">
      <w:pPr>
        <w:spacing w:before="120"/>
        <w:rPr>
          <w:rFonts w:cs="Arial"/>
          <w:color w:val="000000"/>
          <w:szCs w:val="24"/>
        </w:rPr>
      </w:pPr>
      <w:bookmarkStart w:id="1" w:name="_Hlk57376704"/>
      <w:r w:rsidRPr="00227880">
        <w:rPr>
          <w:rFonts w:cs="Arial"/>
          <w:bCs/>
          <w:szCs w:val="24"/>
        </w:rPr>
        <w:t>Providers</w:t>
      </w:r>
      <w:r w:rsidR="00B227F7" w:rsidRPr="00227880">
        <w:rPr>
          <w:rFonts w:cs="Arial"/>
          <w:bCs/>
          <w:szCs w:val="24"/>
        </w:rPr>
        <w:t xml:space="preserve"> must check that they are using the current version of the PGD. Amendments may become necessary prior to the published expiry date. Current versions of PHE</w:t>
      </w:r>
      <w:r w:rsidR="005070A2">
        <w:rPr>
          <w:rFonts w:cs="Arial"/>
          <w:bCs/>
          <w:szCs w:val="24"/>
        </w:rPr>
        <w:t>/UKHSA</w:t>
      </w:r>
      <w:r w:rsidR="00B227F7" w:rsidRPr="00227880">
        <w:rPr>
          <w:rFonts w:cs="Arial"/>
          <w:bCs/>
          <w:szCs w:val="24"/>
        </w:rPr>
        <w:t xml:space="preserve"> </w:t>
      </w:r>
      <w:r w:rsidR="00556F37" w:rsidRPr="00227880">
        <w:rPr>
          <w:rFonts w:cs="Arial"/>
          <w:bCs/>
          <w:szCs w:val="24"/>
        </w:rPr>
        <w:t xml:space="preserve">developed </w:t>
      </w:r>
      <w:r w:rsidR="00161522" w:rsidRPr="00227880">
        <w:rPr>
          <w:rFonts w:cs="Arial"/>
          <w:bCs/>
          <w:szCs w:val="24"/>
        </w:rPr>
        <w:t xml:space="preserve">COVID-19 vaccine </w:t>
      </w:r>
      <w:r w:rsidR="00B227F7" w:rsidRPr="00227880">
        <w:rPr>
          <w:rFonts w:cs="Arial"/>
          <w:bCs/>
          <w:szCs w:val="24"/>
        </w:rPr>
        <w:t>PGD</w:t>
      </w:r>
      <w:r w:rsidR="00556F37" w:rsidRPr="00227880">
        <w:rPr>
          <w:rFonts w:cs="Arial"/>
          <w:bCs/>
          <w:szCs w:val="24"/>
        </w:rPr>
        <w:t>s</w:t>
      </w:r>
      <w:r w:rsidR="00B227F7" w:rsidRPr="00227880">
        <w:rPr>
          <w:rFonts w:cs="Arial"/>
          <w:bCs/>
          <w:szCs w:val="24"/>
        </w:rPr>
        <w:t xml:space="preserve"> can be found </w:t>
      </w:r>
      <w:r w:rsidR="00394F70" w:rsidRPr="00227880">
        <w:rPr>
          <w:rFonts w:cs="Arial"/>
          <w:bCs/>
          <w:szCs w:val="24"/>
        </w:rPr>
        <w:t>via</w:t>
      </w:r>
      <w:r w:rsidR="00B227F7" w:rsidRPr="00227880">
        <w:rPr>
          <w:rFonts w:cs="Arial"/>
          <w:bCs/>
          <w:szCs w:val="24"/>
        </w:rPr>
        <w:t>:</w:t>
      </w:r>
      <w:r w:rsidR="00227880" w:rsidRPr="00227880">
        <w:rPr>
          <w:rFonts w:cs="Arial"/>
          <w:bCs/>
          <w:szCs w:val="24"/>
        </w:rPr>
        <w:t xml:space="preserve"> </w:t>
      </w:r>
      <w:hyperlink r:id="rId12" w:history="1">
        <w:r w:rsidR="004F2FF7" w:rsidRPr="00CC15D8">
          <w:rPr>
            <w:color w:val="0000FF"/>
            <w:u w:val="single"/>
          </w:rPr>
          <w:t>COVID-19 vaccination programme - GOV.UK (www.gov.uk)</w:t>
        </w:r>
      </w:hyperlink>
      <w:r w:rsidR="00B227F7" w:rsidRPr="00227880">
        <w:rPr>
          <w:szCs w:val="24"/>
        </w:rPr>
        <w:t xml:space="preserve"> </w:t>
      </w:r>
    </w:p>
    <w:bookmarkEnd w:id="1"/>
    <w:p w14:paraId="0E9F470E" w14:textId="77777777" w:rsidR="00291345" w:rsidRDefault="00AD3081" w:rsidP="00BB41AE">
      <w:pPr>
        <w:spacing w:before="120"/>
        <w:rPr>
          <w:rStyle w:val="Hyperlink"/>
          <w:rFonts w:cs="Arial"/>
          <w:szCs w:val="24"/>
        </w:rPr>
      </w:pPr>
      <w:r w:rsidRPr="00227880">
        <w:rPr>
          <w:rFonts w:cs="Arial"/>
          <w:bCs/>
          <w:szCs w:val="24"/>
        </w:rPr>
        <w:t>The most current national recommendations should be followed. This may mean that a Patient Specific Direction (PSD) is required to administer the vaccine in line with updated recommendations that are outside the criteria specified in this PGD.</w:t>
      </w:r>
      <w:r w:rsidR="00227880" w:rsidRPr="00227880">
        <w:rPr>
          <w:rFonts w:cs="Arial"/>
          <w:color w:val="000000"/>
          <w:szCs w:val="24"/>
        </w:rPr>
        <w:t xml:space="preserve"> </w:t>
      </w:r>
      <w:r w:rsidR="00B227F7" w:rsidRPr="00227880">
        <w:rPr>
          <w:rFonts w:cs="Arial"/>
          <w:color w:val="000000"/>
          <w:szCs w:val="24"/>
        </w:rPr>
        <w:t>Any concerns regarding the content of this PGD should be addressed to:</w:t>
      </w:r>
      <w:r w:rsidR="00B227F7" w:rsidRPr="00227880">
        <w:rPr>
          <w:szCs w:val="24"/>
        </w:rPr>
        <w:t xml:space="preserve"> </w:t>
      </w:r>
      <w:hyperlink r:id="rId13" w:history="1">
        <w:r w:rsidR="00B227F7" w:rsidRPr="00227880">
          <w:rPr>
            <w:rStyle w:val="Hyperlink"/>
            <w:rFonts w:cs="Arial"/>
            <w:szCs w:val="24"/>
          </w:rPr>
          <w:t>immunisation@phe.gov.uk</w:t>
        </w:r>
      </w:hyperlink>
    </w:p>
    <w:p w14:paraId="295819E4" w14:textId="499C0E8B" w:rsidR="000B0DFE" w:rsidRPr="005029D4" w:rsidRDefault="003B5C38" w:rsidP="00161712">
      <w:pPr>
        <w:overflowPunct/>
        <w:autoSpaceDE/>
        <w:autoSpaceDN/>
        <w:adjustRightInd/>
        <w:spacing w:after="160" w:line="259" w:lineRule="auto"/>
        <w:textAlignment w:val="auto"/>
        <w:rPr>
          <w:color w:val="0000FF"/>
          <w:u w:val="single"/>
        </w:rPr>
      </w:pPr>
      <w:r>
        <w:rPr>
          <w:rFonts w:cs="Arial"/>
          <w:b/>
          <w:szCs w:val="24"/>
          <w:lang w:val="en-US" w:eastAsia="en-US"/>
        </w:rPr>
        <w:br w:type="page"/>
      </w:r>
      <w:r w:rsidR="000B0DFE" w:rsidRPr="00C84E68">
        <w:rPr>
          <w:rFonts w:cs="Arial"/>
          <w:b/>
          <w:szCs w:val="24"/>
          <w:lang w:val="en-US" w:eastAsia="en-US"/>
        </w:rPr>
        <w:lastRenderedPageBreak/>
        <w:t>Change history</w:t>
      </w:r>
    </w:p>
    <w:tbl>
      <w:tblPr>
        <w:tblStyle w:val="TableGrid"/>
        <w:tblW w:w="0" w:type="auto"/>
        <w:tblLook w:val="04A0" w:firstRow="1" w:lastRow="0" w:firstColumn="1" w:lastColumn="0" w:noHBand="0" w:noVBand="1"/>
      </w:tblPr>
      <w:tblGrid>
        <w:gridCol w:w="1317"/>
        <w:gridCol w:w="7719"/>
        <w:gridCol w:w="1420"/>
      </w:tblGrid>
      <w:tr w:rsidR="00F27066" w:rsidRPr="000B0DFE" w14:paraId="2C0CC752" w14:textId="77777777" w:rsidTr="00621E6D">
        <w:tc>
          <w:tcPr>
            <w:tcW w:w="1317" w:type="dxa"/>
            <w:shd w:val="clear" w:color="auto" w:fill="D9D9D9" w:themeFill="background1" w:themeFillShade="D9"/>
          </w:tcPr>
          <w:p w14:paraId="7A0C3DA0" w14:textId="57EFAE37" w:rsidR="000B0DFE" w:rsidRPr="005029D4" w:rsidRDefault="000B0DFE" w:rsidP="00F203BD">
            <w:pPr>
              <w:overflowPunct/>
              <w:autoSpaceDE/>
              <w:autoSpaceDN/>
              <w:adjustRightInd/>
              <w:spacing w:before="120" w:after="160"/>
              <w:jc w:val="left"/>
              <w:textAlignment w:val="auto"/>
            </w:pPr>
            <w:r w:rsidRPr="005029D4">
              <w:rPr>
                <w:b/>
                <w:sz w:val="22"/>
              </w:rPr>
              <w:t xml:space="preserve">Version </w:t>
            </w:r>
          </w:p>
        </w:tc>
        <w:tc>
          <w:tcPr>
            <w:tcW w:w="7719" w:type="dxa"/>
            <w:shd w:val="clear" w:color="auto" w:fill="D9D9D9" w:themeFill="background1" w:themeFillShade="D9"/>
          </w:tcPr>
          <w:p w14:paraId="42A51CBC" w14:textId="5A3852A4" w:rsidR="000B0DFE" w:rsidRPr="005029D4" w:rsidRDefault="000B0DFE" w:rsidP="00F203BD">
            <w:pPr>
              <w:overflowPunct/>
              <w:autoSpaceDE/>
              <w:autoSpaceDN/>
              <w:adjustRightInd/>
              <w:spacing w:before="120" w:after="160"/>
              <w:jc w:val="left"/>
              <w:textAlignment w:val="auto"/>
            </w:pPr>
            <w:r w:rsidRPr="005029D4">
              <w:rPr>
                <w:b/>
                <w:sz w:val="22"/>
              </w:rPr>
              <w:t>Change details</w:t>
            </w:r>
          </w:p>
        </w:tc>
        <w:tc>
          <w:tcPr>
            <w:tcW w:w="1420" w:type="dxa"/>
            <w:shd w:val="clear" w:color="auto" w:fill="D9D9D9" w:themeFill="background1" w:themeFillShade="D9"/>
          </w:tcPr>
          <w:p w14:paraId="534C2AA4" w14:textId="3DC75158" w:rsidR="000B0DFE" w:rsidRPr="005029D4" w:rsidRDefault="000B0DFE" w:rsidP="00F203BD">
            <w:pPr>
              <w:overflowPunct/>
              <w:autoSpaceDE/>
              <w:autoSpaceDN/>
              <w:adjustRightInd/>
              <w:spacing w:before="120" w:after="160"/>
              <w:jc w:val="left"/>
              <w:textAlignment w:val="auto"/>
            </w:pPr>
            <w:r w:rsidRPr="005029D4">
              <w:rPr>
                <w:b/>
                <w:sz w:val="22"/>
              </w:rPr>
              <w:t>Date</w:t>
            </w:r>
          </w:p>
        </w:tc>
      </w:tr>
      <w:tr w:rsidR="000B0DFE" w:rsidRPr="000B0DFE" w14:paraId="4226FA41" w14:textId="77777777" w:rsidTr="00621E6D">
        <w:tc>
          <w:tcPr>
            <w:tcW w:w="1317" w:type="dxa"/>
            <w:shd w:val="clear" w:color="auto" w:fill="auto"/>
          </w:tcPr>
          <w:p w14:paraId="5042F458" w14:textId="4CFDE193" w:rsidR="000B0DFE" w:rsidRPr="005029D4" w:rsidRDefault="000B0DFE" w:rsidP="00046691">
            <w:pPr>
              <w:overflowPunct/>
              <w:autoSpaceDE/>
              <w:autoSpaceDN/>
              <w:adjustRightInd/>
              <w:spacing w:before="120" w:after="160"/>
              <w:jc w:val="left"/>
              <w:textAlignment w:val="auto"/>
              <w:rPr>
                <w:b/>
              </w:rPr>
            </w:pPr>
            <w:r w:rsidRPr="005029D4">
              <w:rPr>
                <w:sz w:val="22"/>
              </w:rPr>
              <w:t>V01.00</w:t>
            </w:r>
          </w:p>
        </w:tc>
        <w:tc>
          <w:tcPr>
            <w:tcW w:w="7719" w:type="dxa"/>
            <w:shd w:val="clear" w:color="auto" w:fill="auto"/>
          </w:tcPr>
          <w:p w14:paraId="33A4BF0B" w14:textId="63D7367F" w:rsidR="000B0DFE" w:rsidRPr="005029D4" w:rsidRDefault="000B0DFE" w:rsidP="00046691">
            <w:pPr>
              <w:overflowPunct/>
              <w:autoSpaceDE/>
              <w:autoSpaceDN/>
              <w:adjustRightInd/>
              <w:spacing w:before="120" w:after="160"/>
              <w:jc w:val="left"/>
              <w:textAlignment w:val="auto"/>
              <w:rPr>
                <w:b/>
              </w:rPr>
            </w:pPr>
            <w:r w:rsidRPr="005029D4">
              <w:rPr>
                <w:sz w:val="22"/>
              </w:rPr>
              <w:t>New PHE PGD template for COVID-19 mRNA vaccine BNT162b2.</w:t>
            </w:r>
          </w:p>
        </w:tc>
        <w:tc>
          <w:tcPr>
            <w:tcW w:w="1420" w:type="dxa"/>
          </w:tcPr>
          <w:p w14:paraId="5241D220" w14:textId="5252A0B8" w:rsidR="000B0DFE" w:rsidRPr="005029D4" w:rsidRDefault="000B0DFE" w:rsidP="00046691">
            <w:pPr>
              <w:overflowPunct/>
              <w:autoSpaceDE/>
              <w:autoSpaceDN/>
              <w:adjustRightInd/>
              <w:spacing w:before="120" w:after="160"/>
              <w:jc w:val="left"/>
              <w:textAlignment w:val="auto"/>
              <w:rPr>
                <w:b/>
              </w:rPr>
            </w:pPr>
            <w:r w:rsidRPr="005029D4">
              <w:rPr>
                <w:sz w:val="22"/>
              </w:rPr>
              <w:t>10/12/2020</w:t>
            </w:r>
          </w:p>
        </w:tc>
      </w:tr>
      <w:tr w:rsidR="000B0DFE" w:rsidRPr="000B0DFE" w14:paraId="5952B4DB" w14:textId="77777777" w:rsidTr="00621E6D">
        <w:tc>
          <w:tcPr>
            <w:tcW w:w="1317" w:type="dxa"/>
            <w:shd w:val="clear" w:color="auto" w:fill="auto"/>
          </w:tcPr>
          <w:p w14:paraId="6C5B6747" w14:textId="48277EED" w:rsidR="000B0DFE" w:rsidRPr="005029D4" w:rsidRDefault="000B0DFE" w:rsidP="00046691">
            <w:pPr>
              <w:overflowPunct/>
              <w:autoSpaceDE/>
              <w:autoSpaceDN/>
              <w:adjustRightInd/>
              <w:spacing w:before="120" w:after="160"/>
              <w:jc w:val="left"/>
              <w:textAlignment w:val="auto"/>
              <w:rPr>
                <w:b/>
              </w:rPr>
            </w:pPr>
            <w:r w:rsidRPr="005029D4">
              <w:rPr>
                <w:sz w:val="22"/>
              </w:rPr>
              <w:t>V02.00</w:t>
            </w:r>
          </w:p>
        </w:tc>
        <w:tc>
          <w:tcPr>
            <w:tcW w:w="7719" w:type="dxa"/>
            <w:shd w:val="clear" w:color="auto" w:fill="auto"/>
          </w:tcPr>
          <w:p w14:paraId="2E3D3852" w14:textId="1AF8ADEA" w:rsidR="000B0DFE" w:rsidRPr="000B0DFE" w:rsidRDefault="000B0DFE" w:rsidP="00046691">
            <w:pPr>
              <w:pStyle w:val="Tabletext"/>
              <w:spacing w:before="120" w:after="0"/>
              <w:jc w:val="left"/>
              <w:rPr>
                <w:rFonts w:cs="Arial"/>
                <w:szCs w:val="22"/>
              </w:rPr>
            </w:pPr>
            <w:r w:rsidRPr="000B0DFE">
              <w:rPr>
                <w:rFonts w:cs="Arial"/>
                <w:szCs w:val="22"/>
              </w:rPr>
              <w:t xml:space="preserve">COVID-19 mRNA vaccine BNT162b2 PGD </w:t>
            </w:r>
            <w:r w:rsidR="00161712">
              <w:rPr>
                <w:rFonts w:cs="Arial"/>
                <w:szCs w:val="22"/>
              </w:rPr>
              <w:t xml:space="preserve">V01.00 </w:t>
            </w:r>
            <w:r w:rsidRPr="000B0DFE">
              <w:rPr>
                <w:rFonts w:cs="Arial"/>
                <w:szCs w:val="22"/>
              </w:rPr>
              <w:t>amended to:</w:t>
            </w:r>
          </w:p>
          <w:p w14:paraId="7DA65CAE"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mention consent, or ‘best-interests’ decision in accordance with the Mental Capacity Act 2005</w:t>
            </w:r>
          </w:p>
          <w:p w14:paraId="723E7692"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footnote that carers are included in priority group 6</w:t>
            </w:r>
          </w:p>
          <w:p w14:paraId="6157A683" w14:textId="77777777" w:rsidR="000B0DFE" w:rsidRPr="000B0DFE" w:rsidRDefault="000B0DFE" w:rsidP="00046691">
            <w:pPr>
              <w:pStyle w:val="Tabletext"/>
              <w:numPr>
                <w:ilvl w:val="0"/>
                <w:numId w:val="14"/>
              </w:numPr>
              <w:spacing w:before="120" w:after="120"/>
              <w:ind w:left="232" w:hanging="232"/>
              <w:contextualSpacing/>
              <w:jc w:val="left"/>
              <w:rPr>
                <w:rFonts w:cs="Arial"/>
                <w:szCs w:val="22"/>
              </w:rPr>
            </w:pPr>
            <w:r w:rsidRPr="000B0DFE">
              <w:rPr>
                <w:rFonts w:cs="Arial"/>
                <w:szCs w:val="22"/>
              </w:rPr>
              <w:t xml:space="preserve">update criteria for exclusion and cautions pertaining to anaphylaxis </w:t>
            </w:r>
          </w:p>
          <w:p w14:paraId="7A9BE9F2"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remove criteria for exclusion and update caution relating to past history of COVID-19 infection</w:t>
            </w:r>
          </w:p>
          <w:p w14:paraId="4A6ADA81"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define minimum dose interval and vaccination in accordance with national recommendations</w:t>
            </w:r>
          </w:p>
          <w:p w14:paraId="004D6ECB"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 xml:space="preserve">update advice for women of childbearing age and remove requirement to </w:t>
            </w:r>
            <w:r w:rsidRPr="000B0DFE">
              <w:rPr>
                <w:rFonts w:eastAsia="Arial" w:cs="Arial"/>
                <w:szCs w:val="22"/>
              </w:rPr>
              <w:t>avoid pregnancy until 2 months after the second dose of vaccine</w:t>
            </w:r>
          </w:p>
          <w:p w14:paraId="35A012C0"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allow for vaccination of breastfeeding women</w:t>
            </w:r>
          </w:p>
          <w:p w14:paraId="3B45CF2C" w14:textId="77777777" w:rsidR="000B0DFE" w:rsidRPr="000B0DFE" w:rsidRDefault="000B0DFE" w:rsidP="00046691">
            <w:pPr>
              <w:pStyle w:val="Tabletext"/>
              <w:numPr>
                <w:ilvl w:val="0"/>
                <w:numId w:val="14"/>
              </w:numPr>
              <w:spacing w:before="120" w:after="120"/>
              <w:ind w:left="231" w:hanging="231"/>
              <w:contextualSpacing/>
              <w:jc w:val="left"/>
              <w:rPr>
                <w:rFonts w:eastAsia="Arial" w:cs="Arial"/>
                <w:szCs w:val="22"/>
              </w:rPr>
            </w:pPr>
            <w:r w:rsidRPr="000B0DFE">
              <w:rPr>
                <w:rFonts w:cs="Arial"/>
                <w:szCs w:val="22"/>
              </w:rPr>
              <w:t>allow for administration of a sixth dose if obtainable from the multidose vial</w:t>
            </w:r>
          </w:p>
          <w:p w14:paraId="0995FC91" w14:textId="6389DF3B" w:rsidR="000B0DFE" w:rsidRPr="000B0DFE" w:rsidRDefault="000B0DFE" w:rsidP="00046691">
            <w:pPr>
              <w:pStyle w:val="Tabletext"/>
              <w:numPr>
                <w:ilvl w:val="0"/>
                <w:numId w:val="14"/>
              </w:numPr>
              <w:spacing w:before="120" w:after="120"/>
              <w:ind w:left="231" w:hanging="231"/>
              <w:contextualSpacing/>
              <w:jc w:val="left"/>
              <w:rPr>
                <w:rFonts w:eastAsia="Arial" w:cs="Arial"/>
                <w:szCs w:val="22"/>
              </w:rPr>
            </w:pPr>
            <w:r w:rsidRPr="000B0DFE">
              <w:rPr>
                <w:rFonts w:eastAsia="Arial" w:cs="Arial"/>
                <w:szCs w:val="22"/>
              </w:rPr>
              <w:t>update supplies section to order via the national appointed supply route for the provider</w:t>
            </w:r>
          </w:p>
        </w:tc>
        <w:tc>
          <w:tcPr>
            <w:tcW w:w="1420" w:type="dxa"/>
          </w:tcPr>
          <w:p w14:paraId="5A06FE32" w14:textId="322EBE31" w:rsidR="000B0DFE" w:rsidRPr="005029D4" w:rsidRDefault="000B0DFE" w:rsidP="00046691">
            <w:pPr>
              <w:overflowPunct/>
              <w:autoSpaceDE/>
              <w:autoSpaceDN/>
              <w:adjustRightInd/>
              <w:spacing w:before="120" w:after="160"/>
              <w:jc w:val="left"/>
              <w:textAlignment w:val="auto"/>
              <w:rPr>
                <w:b/>
              </w:rPr>
            </w:pPr>
            <w:r w:rsidRPr="005029D4">
              <w:rPr>
                <w:sz w:val="22"/>
              </w:rPr>
              <w:t>02/01/2021</w:t>
            </w:r>
          </w:p>
        </w:tc>
      </w:tr>
      <w:tr w:rsidR="000B0DFE" w:rsidRPr="000B0DFE" w14:paraId="089A4C10" w14:textId="77777777" w:rsidTr="00621E6D">
        <w:tc>
          <w:tcPr>
            <w:tcW w:w="1317" w:type="dxa"/>
            <w:shd w:val="clear" w:color="auto" w:fill="auto"/>
          </w:tcPr>
          <w:p w14:paraId="54F11697" w14:textId="71DDD3B7" w:rsidR="000B0DFE" w:rsidRPr="005029D4" w:rsidRDefault="000B0DFE" w:rsidP="00046691">
            <w:pPr>
              <w:overflowPunct/>
              <w:autoSpaceDE/>
              <w:autoSpaceDN/>
              <w:adjustRightInd/>
              <w:spacing w:before="120" w:after="160"/>
              <w:jc w:val="left"/>
              <w:textAlignment w:val="auto"/>
              <w:rPr>
                <w:b/>
              </w:rPr>
            </w:pPr>
            <w:r w:rsidRPr="005029D4">
              <w:rPr>
                <w:sz w:val="22"/>
              </w:rPr>
              <w:t>V03.00</w:t>
            </w:r>
          </w:p>
        </w:tc>
        <w:tc>
          <w:tcPr>
            <w:tcW w:w="7719" w:type="dxa"/>
            <w:shd w:val="clear" w:color="auto" w:fill="auto"/>
          </w:tcPr>
          <w:p w14:paraId="6610182D" w14:textId="626C1841" w:rsidR="000B0DFE" w:rsidRPr="000B0DFE" w:rsidRDefault="000B0DFE" w:rsidP="00046691">
            <w:pPr>
              <w:pStyle w:val="Tabletext"/>
              <w:spacing w:before="120" w:after="0"/>
              <w:jc w:val="left"/>
              <w:rPr>
                <w:rFonts w:cs="Arial"/>
                <w:szCs w:val="22"/>
              </w:rPr>
            </w:pPr>
            <w:r w:rsidRPr="000B0DFE">
              <w:rPr>
                <w:rFonts w:cs="Arial"/>
                <w:szCs w:val="22"/>
              </w:rPr>
              <w:t>COVID-19 mRNA vaccine BNT162b2 PGD</w:t>
            </w:r>
            <w:r w:rsidR="00161712">
              <w:rPr>
                <w:rFonts w:cs="Arial"/>
                <w:szCs w:val="22"/>
              </w:rPr>
              <w:t xml:space="preserve"> V02.00</w:t>
            </w:r>
            <w:r w:rsidRPr="000B0DFE">
              <w:rPr>
                <w:rFonts w:cs="Arial"/>
                <w:szCs w:val="22"/>
              </w:rPr>
              <w:t xml:space="preserve"> amended to:</w:t>
            </w:r>
          </w:p>
          <w:p w14:paraId="127C6A91"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identify the national protocol or patient specific provision as an alternative to use of this PGD</w:t>
            </w:r>
          </w:p>
          <w:p w14:paraId="4A10E596" w14:textId="7EDF2B61"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 xml:space="preserve">cover </w:t>
            </w:r>
            <w:r w:rsidR="001D0245">
              <w:rPr>
                <w:szCs w:val="22"/>
              </w:rPr>
              <w:t>Joint Committee on Vaccination and Immunisation</w:t>
            </w:r>
            <w:r w:rsidR="001D0245" w:rsidRPr="000B0DFE">
              <w:rPr>
                <w:rFonts w:cs="Arial"/>
                <w:szCs w:val="22"/>
              </w:rPr>
              <w:t xml:space="preserve"> </w:t>
            </w:r>
            <w:r w:rsidR="001D0245">
              <w:rPr>
                <w:rFonts w:cs="Arial"/>
                <w:szCs w:val="22"/>
              </w:rPr>
              <w:t>(</w:t>
            </w:r>
            <w:r w:rsidRPr="000B0DFE">
              <w:rPr>
                <w:rFonts w:cs="Arial"/>
                <w:szCs w:val="22"/>
              </w:rPr>
              <w:t>JCVI</w:t>
            </w:r>
            <w:r w:rsidR="001D0245">
              <w:rPr>
                <w:rFonts w:cs="Arial"/>
                <w:szCs w:val="22"/>
              </w:rPr>
              <w:t>)</w:t>
            </w:r>
            <w:r w:rsidRPr="000B0DFE">
              <w:rPr>
                <w:rFonts w:cs="Arial"/>
                <w:szCs w:val="22"/>
              </w:rPr>
              <w:t xml:space="preserve"> recommendations for phase 2</w:t>
            </w:r>
          </w:p>
          <w:p w14:paraId="05448C14"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include vaccination in pregnancy in accordance with the Green Book Chapter 14a, remove additional information on pregnancy and in cautions refer to Chapter 14a</w:t>
            </w:r>
            <w:r w:rsidRPr="000B0DFE" w:rsidDel="00EE3A50">
              <w:rPr>
                <w:rFonts w:cs="Arial"/>
                <w:szCs w:val="22"/>
              </w:rPr>
              <w:t xml:space="preserve"> </w:t>
            </w:r>
            <w:r w:rsidRPr="000B0DFE">
              <w:rPr>
                <w:rFonts w:cs="Arial"/>
                <w:szCs w:val="22"/>
              </w:rPr>
              <w:t xml:space="preserve">and the Royal College of Obstetricians and Gynaecologists (RCOG) decision aid </w:t>
            </w:r>
          </w:p>
          <w:p w14:paraId="31BE93EA"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include JCVI advice for homelessness and detained settings</w:t>
            </w:r>
          </w:p>
          <w:p w14:paraId="773D37C5"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update of criteria for exclusion, cautions and actions if excluded which pertain to anaphylaxis, allergy and reactions to 1</w:t>
            </w:r>
            <w:r w:rsidRPr="000B0DFE">
              <w:rPr>
                <w:rFonts w:cs="Arial"/>
                <w:szCs w:val="22"/>
                <w:vertAlign w:val="superscript"/>
              </w:rPr>
              <w:t>st</w:t>
            </w:r>
            <w:r w:rsidRPr="000B0DFE">
              <w:rPr>
                <w:rFonts w:cs="Arial"/>
                <w:szCs w:val="22"/>
              </w:rPr>
              <w:t xml:space="preserve"> dose</w:t>
            </w:r>
          </w:p>
          <w:p w14:paraId="02917083"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move participation in a clinical trial from the criteria for exclusion section to the caution section</w:t>
            </w:r>
          </w:p>
          <w:p w14:paraId="20961374"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move recommendations for individuals with bleeding disorder to the cautions section</w:t>
            </w:r>
          </w:p>
          <w:p w14:paraId="38751605"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clarify under Name, strength and formulation of drug section that the PGD may be used to administer vaccine that has been pre-prepared in accordance with the manufacturer’s instructions and HMR2012 Regulation 3A</w:t>
            </w:r>
          </w:p>
          <w:p w14:paraId="7EDA963A"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include a paragraph in the legal category section to allow for PGD use to continue should it be provided a marketing authorisation in the future, so long as the PGD remains clinically appropriate</w:t>
            </w:r>
          </w:p>
          <w:p w14:paraId="22C23C2A"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reword advice pertaining to the extraction of full doses from a vial and not pooling excess vaccine</w:t>
            </w:r>
          </w:p>
          <w:p w14:paraId="108ACBF0"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remove specific reference to supply via ImmForm</w:t>
            </w:r>
          </w:p>
          <w:p w14:paraId="37BE5DE6"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remove detail on management of anaphylaxis which is outside the required scope of this PGD</w:t>
            </w:r>
          </w:p>
          <w:p w14:paraId="07938D78" w14:textId="7777777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update key references</w:t>
            </w:r>
          </w:p>
          <w:p w14:paraId="3FFC8150" w14:textId="090B0A37" w:rsidR="000B0DFE" w:rsidRPr="000B0DFE" w:rsidRDefault="000B0DFE" w:rsidP="00046691">
            <w:pPr>
              <w:pStyle w:val="Tabletext"/>
              <w:numPr>
                <w:ilvl w:val="0"/>
                <w:numId w:val="14"/>
              </w:numPr>
              <w:spacing w:before="120" w:after="120"/>
              <w:ind w:left="231" w:hanging="231"/>
              <w:contextualSpacing/>
              <w:jc w:val="left"/>
              <w:rPr>
                <w:rFonts w:cs="Arial"/>
                <w:szCs w:val="22"/>
              </w:rPr>
            </w:pPr>
            <w:r w:rsidRPr="000B0DFE">
              <w:rPr>
                <w:rFonts w:cs="Arial"/>
                <w:szCs w:val="22"/>
              </w:rPr>
              <w:t>remove Appendix A and refer directly to the Green Book Chapter 14a</w:t>
            </w:r>
          </w:p>
        </w:tc>
        <w:tc>
          <w:tcPr>
            <w:tcW w:w="1420" w:type="dxa"/>
          </w:tcPr>
          <w:p w14:paraId="54F9A776" w14:textId="38C2EC16" w:rsidR="000B0DFE" w:rsidRPr="005029D4" w:rsidRDefault="000B0DFE" w:rsidP="00046691">
            <w:pPr>
              <w:overflowPunct/>
              <w:autoSpaceDE/>
              <w:autoSpaceDN/>
              <w:adjustRightInd/>
              <w:spacing w:before="120" w:after="160"/>
              <w:jc w:val="left"/>
              <w:textAlignment w:val="auto"/>
              <w:rPr>
                <w:b/>
              </w:rPr>
            </w:pPr>
            <w:r w:rsidRPr="005029D4">
              <w:rPr>
                <w:sz w:val="22"/>
              </w:rPr>
              <w:t>17/03/2021</w:t>
            </w:r>
          </w:p>
        </w:tc>
      </w:tr>
      <w:tr w:rsidR="000B0DFE" w:rsidRPr="000B0DFE" w14:paraId="6457C364" w14:textId="77777777" w:rsidTr="00621E6D">
        <w:tc>
          <w:tcPr>
            <w:tcW w:w="1317" w:type="dxa"/>
          </w:tcPr>
          <w:p w14:paraId="2DC88F25" w14:textId="77777777" w:rsidR="000B0DFE" w:rsidRDefault="000B0DFE" w:rsidP="00046691">
            <w:pPr>
              <w:overflowPunct/>
              <w:autoSpaceDE/>
              <w:autoSpaceDN/>
              <w:adjustRightInd/>
              <w:spacing w:before="120"/>
              <w:jc w:val="left"/>
              <w:textAlignment w:val="auto"/>
              <w:rPr>
                <w:rFonts w:cs="Arial"/>
                <w:sz w:val="22"/>
                <w:szCs w:val="22"/>
                <w:lang w:val="en-US" w:eastAsia="en-US"/>
              </w:rPr>
            </w:pPr>
            <w:r w:rsidRPr="000B0DFE">
              <w:rPr>
                <w:rFonts w:cs="Arial"/>
                <w:sz w:val="22"/>
                <w:szCs w:val="22"/>
                <w:lang w:val="en-US" w:eastAsia="en-US"/>
              </w:rPr>
              <w:t>V04.00</w:t>
            </w:r>
          </w:p>
          <w:p w14:paraId="5DE9F531" w14:textId="77777777" w:rsidR="00161712" w:rsidRDefault="00161712" w:rsidP="00046691">
            <w:pPr>
              <w:overflowPunct/>
              <w:autoSpaceDE/>
              <w:autoSpaceDN/>
              <w:adjustRightInd/>
              <w:spacing w:before="120"/>
              <w:jc w:val="left"/>
              <w:textAlignment w:val="auto"/>
              <w:rPr>
                <w:rFonts w:cs="Arial"/>
                <w:b/>
                <w:sz w:val="22"/>
                <w:szCs w:val="22"/>
              </w:rPr>
            </w:pPr>
          </w:p>
          <w:p w14:paraId="07421A93" w14:textId="022E717F" w:rsidR="00161712" w:rsidRDefault="00161712" w:rsidP="00046691">
            <w:pPr>
              <w:overflowPunct/>
              <w:autoSpaceDE/>
              <w:autoSpaceDN/>
              <w:adjustRightInd/>
              <w:spacing w:before="120"/>
              <w:jc w:val="left"/>
              <w:textAlignment w:val="auto"/>
              <w:rPr>
                <w:rFonts w:cs="Arial"/>
                <w:bCs/>
                <w:sz w:val="22"/>
                <w:szCs w:val="22"/>
              </w:rPr>
            </w:pPr>
            <w:r w:rsidRPr="00161712">
              <w:rPr>
                <w:rFonts w:cs="Arial"/>
                <w:bCs/>
                <w:sz w:val="22"/>
                <w:szCs w:val="22"/>
              </w:rPr>
              <w:t>Continued</w:t>
            </w:r>
            <w:r>
              <w:rPr>
                <w:rFonts w:cs="Arial"/>
                <w:bCs/>
                <w:sz w:val="22"/>
                <w:szCs w:val="22"/>
              </w:rPr>
              <w:t xml:space="preserve"> over page</w:t>
            </w:r>
          </w:p>
          <w:p w14:paraId="0F7AE74F" w14:textId="77777777" w:rsidR="00161712" w:rsidRDefault="00161712" w:rsidP="00046691">
            <w:pPr>
              <w:overflowPunct/>
              <w:autoSpaceDE/>
              <w:autoSpaceDN/>
              <w:adjustRightInd/>
              <w:spacing w:before="120"/>
              <w:contextualSpacing/>
              <w:jc w:val="left"/>
              <w:textAlignment w:val="auto"/>
              <w:rPr>
                <w:rFonts w:cs="Arial"/>
                <w:bCs/>
                <w:sz w:val="22"/>
                <w:szCs w:val="22"/>
              </w:rPr>
            </w:pPr>
            <w:r>
              <w:rPr>
                <w:rFonts w:cs="Arial"/>
                <w:bCs/>
                <w:sz w:val="22"/>
                <w:szCs w:val="22"/>
              </w:rPr>
              <w:lastRenderedPageBreak/>
              <w:t>V04.00</w:t>
            </w:r>
          </w:p>
          <w:p w14:paraId="2264AE66" w14:textId="010E080B" w:rsidR="00161712" w:rsidRPr="00161712" w:rsidRDefault="00161712" w:rsidP="00046691">
            <w:pPr>
              <w:overflowPunct/>
              <w:autoSpaceDE/>
              <w:autoSpaceDN/>
              <w:adjustRightInd/>
              <w:spacing w:before="120"/>
              <w:contextualSpacing/>
              <w:jc w:val="left"/>
              <w:textAlignment w:val="auto"/>
              <w:rPr>
                <w:rFonts w:cs="Arial"/>
                <w:bCs/>
                <w:sz w:val="22"/>
                <w:szCs w:val="22"/>
              </w:rPr>
            </w:pPr>
            <w:r>
              <w:rPr>
                <w:rFonts w:cs="Arial"/>
                <w:bCs/>
                <w:sz w:val="22"/>
                <w:szCs w:val="22"/>
              </w:rPr>
              <w:t>(continued)</w:t>
            </w:r>
          </w:p>
        </w:tc>
        <w:tc>
          <w:tcPr>
            <w:tcW w:w="7719" w:type="dxa"/>
          </w:tcPr>
          <w:p w14:paraId="274BEC13" w14:textId="4E8C8AAD" w:rsidR="000B0DFE" w:rsidRPr="000B0DFE" w:rsidRDefault="000B0DFE" w:rsidP="00046691">
            <w:pPr>
              <w:keepNext/>
              <w:overflowPunct/>
              <w:autoSpaceDE/>
              <w:autoSpaceDN/>
              <w:adjustRightInd/>
              <w:spacing w:before="120"/>
              <w:jc w:val="left"/>
              <w:textAlignment w:val="auto"/>
              <w:rPr>
                <w:rFonts w:cs="Arial"/>
                <w:sz w:val="22"/>
                <w:szCs w:val="22"/>
                <w:lang w:val="en-US" w:eastAsia="en-US"/>
              </w:rPr>
            </w:pPr>
            <w:r w:rsidRPr="000B0DFE">
              <w:rPr>
                <w:rFonts w:cs="Arial"/>
                <w:sz w:val="22"/>
                <w:szCs w:val="22"/>
                <w:lang w:val="en-US" w:eastAsia="en-US"/>
              </w:rPr>
              <w:lastRenderedPageBreak/>
              <w:t>COVID-19 mRNA vaccine BNT162b2 PGD V0</w:t>
            </w:r>
            <w:r w:rsidR="00161712">
              <w:rPr>
                <w:rFonts w:cs="Arial"/>
                <w:sz w:val="22"/>
                <w:szCs w:val="22"/>
                <w:lang w:val="en-US" w:eastAsia="en-US"/>
              </w:rPr>
              <w:t>3</w:t>
            </w:r>
            <w:r w:rsidRPr="000B0DFE">
              <w:rPr>
                <w:rFonts w:cs="Arial"/>
                <w:sz w:val="22"/>
                <w:szCs w:val="22"/>
                <w:lang w:val="en-US" w:eastAsia="en-US"/>
              </w:rPr>
              <w:t>.00 amended to:</w:t>
            </w:r>
          </w:p>
          <w:p w14:paraId="26AC518F" w14:textId="77777777" w:rsidR="000B0DFE" w:rsidRPr="000B0DFE" w:rsidRDefault="000B0DFE" w:rsidP="00046691">
            <w:pPr>
              <w:numPr>
                <w:ilvl w:val="0"/>
                <w:numId w:val="18"/>
              </w:numPr>
              <w:ind w:left="278" w:hanging="284"/>
              <w:contextualSpacing/>
              <w:jc w:val="left"/>
              <w:rPr>
                <w:rFonts w:cs="Arial"/>
                <w:sz w:val="22"/>
                <w:szCs w:val="22"/>
                <w:lang w:val="en-US" w:eastAsia="en-US"/>
              </w:rPr>
            </w:pPr>
            <w:r w:rsidRPr="000B0DFE">
              <w:rPr>
                <w:rFonts w:cs="Arial"/>
                <w:sz w:val="22"/>
                <w:szCs w:val="22"/>
              </w:rPr>
              <w:t xml:space="preserve">include requirement to </w:t>
            </w:r>
            <w:r w:rsidRPr="000B0DFE">
              <w:rPr>
                <w:rFonts w:cs="Arial"/>
                <w:sz w:val="22"/>
                <w:szCs w:val="22"/>
                <w:lang w:val="en-US" w:eastAsia="en-US"/>
              </w:rPr>
              <w:t xml:space="preserve">have undertaken training to meet the minimum standards in relation to vaccinating those under 18 </w:t>
            </w:r>
          </w:p>
          <w:p w14:paraId="3BC1A311"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lastRenderedPageBreak/>
              <w:t>criteria for inclusion updated to include:</w:t>
            </w:r>
          </w:p>
          <w:p w14:paraId="0E99A9A5" w14:textId="77777777" w:rsidR="000B0DFE" w:rsidRPr="000B0DFE" w:rsidRDefault="000B0DFE" w:rsidP="00046691">
            <w:pPr>
              <w:keepNext/>
              <w:numPr>
                <w:ilvl w:val="0"/>
                <w:numId w:val="19"/>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those aged from 12 years of age with specific underlying health conditions that put them at risk of serious COVID-19 or who expect to share living accommodation with individuals who are immunosuppressed</w:t>
            </w:r>
          </w:p>
          <w:p w14:paraId="380DCE4C" w14:textId="77777777" w:rsidR="000B0DFE" w:rsidRPr="000B0DFE" w:rsidRDefault="000B0DFE" w:rsidP="00046691">
            <w:pPr>
              <w:keepNext/>
              <w:numPr>
                <w:ilvl w:val="0"/>
                <w:numId w:val="19"/>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 xml:space="preserve">those aged 16 and 17 years of age who are frontline health and social care workers or in an at-risk group </w:t>
            </w:r>
          </w:p>
          <w:p w14:paraId="04B00BA9" w14:textId="77777777" w:rsidR="000B0DFE" w:rsidRPr="000B0DFE" w:rsidRDefault="000B0DFE" w:rsidP="00046691">
            <w:pPr>
              <w:keepNext/>
              <w:numPr>
                <w:ilvl w:val="0"/>
                <w:numId w:val="19"/>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other individuals aged 16 and 17 years of age who may receive one dose only</w:t>
            </w:r>
          </w:p>
          <w:p w14:paraId="70BC01E5"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criteria for exclusion amended from 16 to 12 years of age</w:t>
            </w:r>
          </w:p>
          <w:p w14:paraId="77A1B489"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note under criteria for exclusion specifying individuals aged 16 and 17 years of age who are not frontline health and social care workers, or who are not in an at-risk group, are currently eligible for one dose only</w:t>
            </w:r>
          </w:p>
          <w:p w14:paraId="1197DFD6"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additional information under Cautions regarding pregnancy and Guillain-Barre Syndrome</w:t>
            </w:r>
          </w:p>
          <w:p w14:paraId="0A72D628"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dose and frequency of administration updated to reflect recent JCVI and Green Book Chapter 14a advice including dose intervals and one dose only for those aged 16 and 17 who are not frontline health and social care workers, or who are not in an at-risk group</w:t>
            </w:r>
          </w:p>
          <w:p w14:paraId="728E85F5"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addition one dose only for those aged 16 and 17</w:t>
            </w:r>
            <w:r w:rsidRPr="000B0DFE">
              <w:rPr>
                <w:rFonts w:cs="Arial"/>
                <w:sz w:val="22"/>
                <w:szCs w:val="22"/>
              </w:rPr>
              <w:t xml:space="preserve"> </w:t>
            </w:r>
            <w:r w:rsidRPr="000B0DFE">
              <w:rPr>
                <w:rFonts w:cs="Arial"/>
                <w:sz w:val="22"/>
                <w:szCs w:val="22"/>
                <w:lang w:val="en-US" w:eastAsia="en-US"/>
              </w:rPr>
              <w:t xml:space="preserve">who are not frontline health and social care workers, or who are not in an at-risk group to the quantity to be supplied / administered </w:t>
            </w:r>
          </w:p>
          <w:p w14:paraId="60B60881" w14:textId="77777777" w:rsidR="000B0DFE" w:rsidRPr="000B0DFE"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 xml:space="preserve">addition regarding dose intervals with shingles vaccine to drug interactions </w:t>
            </w:r>
          </w:p>
          <w:p w14:paraId="3DC1978F" w14:textId="77777777" w:rsidR="00161712"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0B0DFE">
              <w:rPr>
                <w:rFonts w:cs="Arial"/>
                <w:sz w:val="22"/>
                <w:szCs w:val="22"/>
                <w:lang w:val="en-US" w:eastAsia="en-US"/>
              </w:rPr>
              <w:t xml:space="preserve">addition of myocarditis and pericarditis to identification and management of adverse reactions </w:t>
            </w:r>
          </w:p>
          <w:p w14:paraId="39759E1F" w14:textId="1FBD4FE5" w:rsidR="00161712" w:rsidRPr="00161712" w:rsidRDefault="000B0DFE" w:rsidP="00046691">
            <w:pPr>
              <w:keepNext/>
              <w:numPr>
                <w:ilvl w:val="0"/>
                <w:numId w:val="18"/>
              </w:numPr>
              <w:overflowPunct/>
              <w:autoSpaceDE/>
              <w:autoSpaceDN/>
              <w:adjustRightInd/>
              <w:ind w:left="278" w:hanging="278"/>
              <w:contextualSpacing/>
              <w:jc w:val="left"/>
              <w:textAlignment w:val="auto"/>
              <w:rPr>
                <w:rFonts w:cs="Arial"/>
                <w:sz w:val="22"/>
                <w:szCs w:val="22"/>
                <w:lang w:val="en-US" w:eastAsia="en-US"/>
              </w:rPr>
            </w:pPr>
            <w:r w:rsidRPr="00161712">
              <w:rPr>
                <w:rFonts w:cs="Arial"/>
                <w:sz w:val="22"/>
                <w:szCs w:val="22"/>
                <w:lang w:val="en-US" w:eastAsia="en-US"/>
              </w:rPr>
              <w:t>Under Special considerations / additional information new information on:</w:t>
            </w:r>
            <w:r w:rsidR="00161712" w:rsidRPr="00161712">
              <w:rPr>
                <w:rFonts w:cs="Arial"/>
                <w:sz w:val="22"/>
                <w:szCs w:val="22"/>
                <w:lang w:val="en-US" w:eastAsia="en-US"/>
              </w:rPr>
              <w:t xml:space="preserve"> </w:t>
            </w:r>
          </w:p>
          <w:p w14:paraId="15378DF0" w14:textId="77777777" w:rsidR="00161712" w:rsidRDefault="00161712" w:rsidP="00046691">
            <w:pPr>
              <w:keepNext/>
              <w:numPr>
                <w:ilvl w:val="0"/>
                <w:numId w:val="20"/>
              </w:numPr>
              <w:overflowPunct/>
              <w:autoSpaceDE/>
              <w:autoSpaceDN/>
              <w:adjustRightInd/>
              <w:contextualSpacing/>
              <w:jc w:val="left"/>
              <w:textAlignment w:val="auto"/>
              <w:rPr>
                <w:rFonts w:cs="Arial"/>
                <w:sz w:val="22"/>
                <w:szCs w:val="22"/>
                <w:lang w:val="en-US" w:eastAsia="en-US"/>
              </w:rPr>
            </w:pPr>
            <w:r w:rsidRPr="00161712">
              <w:rPr>
                <w:rFonts w:cs="Arial"/>
                <w:sz w:val="22"/>
                <w:szCs w:val="22"/>
                <w:lang w:val="en-US" w:eastAsia="en-US"/>
              </w:rPr>
              <w:t xml:space="preserve">previous incomplete vaccination </w:t>
            </w:r>
          </w:p>
          <w:p w14:paraId="703FE53F" w14:textId="15E88B60" w:rsidR="00161712" w:rsidRPr="000B0DFE" w:rsidRDefault="00161712" w:rsidP="00046691">
            <w:pPr>
              <w:keepNext/>
              <w:numPr>
                <w:ilvl w:val="0"/>
                <w:numId w:val="20"/>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individuals vaccinated abroad</w:t>
            </w:r>
          </w:p>
          <w:p w14:paraId="5E4AA7DB" w14:textId="77777777" w:rsidR="00161712" w:rsidRPr="000B0DFE" w:rsidRDefault="00161712" w:rsidP="00046691">
            <w:pPr>
              <w:keepNext/>
              <w:numPr>
                <w:ilvl w:val="0"/>
                <w:numId w:val="20"/>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co-administration with other vaccines</w:t>
            </w:r>
          </w:p>
          <w:p w14:paraId="0A77A6ED" w14:textId="18440AF8" w:rsidR="000B0DFE" w:rsidRPr="00161712" w:rsidRDefault="00161712" w:rsidP="00046691">
            <w:pPr>
              <w:keepNext/>
              <w:numPr>
                <w:ilvl w:val="0"/>
                <w:numId w:val="20"/>
              </w:numPr>
              <w:overflowPunct/>
              <w:autoSpaceDE/>
              <w:autoSpaceDN/>
              <w:adjustRightInd/>
              <w:contextualSpacing/>
              <w:jc w:val="left"/>
              <w:textAlignment w:val="auto"/>
              <w:rPr>
                <w:rFonts w:cs="Arial"/>
                <w:sz w:val="22"/>
                <w:szCs w:val="22"/>
                <w:lang w:val="en-US" w:eastAsia="en-US"/>
              </w:rPr>
            </w:pPr>
            <w:r w:rsidRPr="000B0DFE">
              <w:rPr>
                <w:rFonts w:cs="Arial"/>
                <w:sz w:val="22"/>
                <w:szCs w:val="22"/>
                <w:lang w:val="en-US" w:eastAsia="en-US"/>
              </w:rPr>
              <w:t>non-responders and immunosuppression</w:t>
            </w:r>
          </w:p>
          <w:p w14:paraId="0B833575" w14:textId="343AA89A" w:rsidR="000B0DFE" w:rsidRPr="00161712" w:rsidRDefault="000B0DFE" w:rsidP="00046691">
            <w:pPr>
              <w:keepNext/>
              <w:numPr>
                <w:ilvl w:val="0"/>
                <w:numId w:val="18"/>
              </w:numPr>
              <w:overflowPunct/>
              <w:autoSpaceDE/>
              <w:autoSpaceDN/>
              <w:adjustRightInd/>
              <w:spacing w:after="120"/>
              <w:ind w:left="278" w:hanging="278"/>
              <w:jc w:val="left"/>
              <w:textAlignment w:val="auto"/>
              <w:rPr>
                <w:rFonts w:cs="Arial"/>
                <w:sz w:val="22"/>
                <w:szCs w:val="22"/>
                <w:lang w:val="en-US" w:eastAsia="en-US"/>
              </w:rPr>
            </w:pPr>
            <w:r w:rsidRPr="00161712">
              <w:rPr>
                <w:rFonts w:cs="Arial"/>
                <w:sz w:val="22"/>
                <w:szCs w:val="22"/>
                <w:lang w:val="en-US" w:eastAsia="en-US"/>
              </w:rPr>
              <w:t>minor wording changes and additions to standard text for consistency; updated references</w:t>
            </w:r>
          </w:p>
        </w:tc>
        <w:tc>
          <w:tcPr>
            <w:tcW w:w="1420" w:type="dxa"/>
          </w:tcPr>
          <w:p w14:paraId="43A67809" w14:textId="4962E9DF" w:rsidR="000B0DFE" w:rsidRPr="000B0DFE" w:rsidRDefault="000B0DFE" w:rsidP="00046691">
            <w:pPr>
              <w:overflowPunct/>
              <w:autoSpaceDE/>
              <w:autoSpaceDN/>
              <w:adjustRightInd/>
              <w:spacing w:before="120" w:after="160" w:line="259" w:lineRule="auto"/>
              <w:jc w:val="left"/>
              <w:textAlignment w:val="auto"/>
              <w:rPr>
                <w:rFonts w:cs="Arial"/>
                <w:b/>
                <w:sz w:val="22"/>
                <w:szCs w:val="22"/>
              </w:rPr>
            </w:pPr>
            <w:r w:rsidRPr="000B0DFE">
              <w:rPr>
                <w:rFonts w:cs="Arial"/>
                <w:sz w:val="22"/>
                <w:szCs w:val="22"/>
                <w:lang w:val="en-US" w:eastAsia="en-US"/>
              </w:rPr>
              <w:lastRenderedPageBreak/>
              <w:t>06/08/2021</w:t>
            </w:r>
          </w:p>
        </w:tc>
      </w:tr>
      <w:tr w:rsidR="00621E6D" w:rsidRPr="000B0DFE" w14:paraId="589FCF93" w14:textId="77777777" w:rsidTr="00621E6D">
        <w:tc>
          <w:tcPr>
            <w:tcW w:w="1317" w:type="dxa"/>
          </w:tcPr>
          <w:p w14:paraId="3A4FCFE0" w14:textId="5447C10E" w:rsidR="00621E6D" w:rsidRPr="000B0DFE" w:rsidRDefault="00621E6D" w:rsidP="00046691">
            <w:pPr>
              <w:overflowPunct/>
              <w:autoSpaceDE/>
              <w:autoSpaceDN/>
              <w:adjustRightInd/>
              <w:spacing w:before="120" w:after="160" w:line="259" w:lineRule="auto"/>
              <w:jc w:val="left"/>
              <w:textAlignment w:val="auto"/>
              <w:rPr>
                <w:rFonts w:cs="Arial"/>
                <w:bCs/>
                <w:sz w:val="22"/>
                <w:szCs w:val="22"/>
              </w:rPr>
            </w:pPr>
            <w:r w:rsidRPr="000B0DFE">
              <w:rPr>
                <w:rFonts w:cs="Arial"/>
                <w:sz w:val="22"/>
                <w:szCs w:val="22"/>
                <w:lang w:val="en-US" w:eastAsia="en-US"/>
              </w:rPr>
              <w:t>V05.00</w:t>
            </w:r>
          </w:p>
        </w:tc>
        <w:tc>
          <w:tcPr>
            <w:tcW w:w="7719" w:type="dxa"/>
          </w:tcPr>
          <w:p w14:paraId="4103DC73" w14:textId="77777777" w:rsidR="00621E6D" w:rsidRPr="000B0DFE" w:rsidRDefault="00621E6D" w:rsidP="00046691">
            <w:pPr>
              <w:keepNext/>
              <w:overflowPunct/>
              <w:autoSpaceDE/>
              <w:autoSpaceDN/>
              <w:adjustRightInd/>
              <w:spacing w:before="120"/>
              <w:jc w:val="left"/>
              <w:textAlignment w:val="auto"/>
              <w:rPr>
                <w:rFonts w:cs="Arial"/>
                <w:sz w:val="22"/>
                <w:szCs w:val="22"/>
                <w:lang w:val="en-US" w:eastAsia="en-US"/>
              </w:rPr>
            </w:pPr>
            <w:r w:rsidRPr="000B0DFE">
              <w:rPr>
                <w:rFonts w:cs="Arial"/>
                <w:sz w:val="22"/>
                <w:szCs w:val="22"/>
                <w:lang w:val="en-US" w:eastAsia="en-US"/>
              </w:rPr>
              <w:t>COVID-19 mRNA vaccine BNT162b2 PGD V0</w:t>
            </w:r>
            <w:r>
              <w:rPr>
                <w:rFonts w:cs="Arial"/>
                <w:sz w:val="22"/>
                <w:szCs w:val="22"/>
                <w:lang w:val="en-US" w:eastAsia="en-US"/>
              </w:rPr>
              <w:t>4</w:t>
            </w:r>
            <w:r w:rsidRPr="000B0DFE">
              <w:rPr>
                <w:rFonts w:cs="Arial"/>
                <w:sz w:val="22"/>
                <w:szCs w:val="22"/>
                <w:lang w:val="en-US" w:eastAsia="en-US"/>
              </w:rPr>
              <w:t>.00 amended to:</w:t>
            </w:r>
          </w:p>
          <w:p w14:paraId="4C2D0955" w14:textId="77777777" w:rsidR="00621E6D" w:rsidRPr="000B0DFE" w:rsidRDefault="00621E6D" w:rsidP="00046691">
            <w:pPr>
              <w:pStyle w:val="ListParagraph"/>
              <w:numPr>
                <w:ilvl w:val="0"/>
                <w:numId w:val="29"/>
              </w:numPr>
              <w:overflowPunct/>
              <w:spacing w:after="120"/>
              <w:ind w:left="318" w:hanging="284"/>
              <w:jc w:val="left"/>
              <w:textAlignment w:val="auto"/>
              <w:rPr>
                <w:rFonts w:cs="Arial"/>
                <w:sz w:val="22"/>
                <w:szCs w:val="22"/>
              </w:rPr>
            </w:pPr>
            <w:r w:rsidRPr="000B0DFE">
              <w:rPr>
                <w:rFonts w:cs="Arial"/>
                <w:sz w:val="22"/>
                <w:szCs w:val="22"/>
              </w:rPr>
              <w:t>remove specific reference to clinically extremely vulnerable (CEV) individuals as they are covered by the inclusion of those in at risk groups</w:t>
            </w:r>
          </w:p>
          <w:p w14:paraId="76CBEEBF" w14:textId="77777777" w:rsidR="00621E6D" w:rsidRPr="000B0DFE" w:rsidRDefault="00621E6D" w:rsidP="00046691">
            <w:pPr>
              <w:pStyle w:val="ListParagraph"/>
              <w:numPr>
                <w:ilvl w:val="0"/>
                <w:numId w:val="29"/>
              </w:numPr>
              <w:overflowPunct/>
              <w:spacing w:after="120"/>
              <w:ind w:left="318" w:hanging="284"/>
              <w:jc w:val="left"/>
              <w:textAlignment w:val="auto"/>
              <w:rPr>
                <w:rFonts w:cs="Arial"/>
                <w:sz w:val="22"/>
                <w:szCs w:val="22"/>
              </w:rPr>
            </w:pPr>
            <w:r w:rsidRPr="000B0DFE">
              <w:rPr>
                <w:rFonts w:cs="Arial"/>
                <w:sz w:val="22"/>
                <w:szCs w:val="22"/>
              </w:rPr>
              <w:t xml:space="preserve">include individuals aged 12 years to under 16 years of age who are in an at-risk group (see the table ‘Clinical risk groups for children aged 12-15 years’ in </w:t>
            </w:r>
            <w:hyperlink r:id="rId14" w:history="1">
              <w:r w:rsidRPr="000B0DFE">
                <w:rPr>
                  <w:rStyle w:val="Hyperlink"/>
                  <w:rFonts w:cs="Arial"/>
                  <w:sz w:val="22"/>
                  <w:szCs w:val="22"/>
                </w:rPr>
                <w:t>Chapter 14a</w:t>
              </w:r>
            </w:hyperlink>
            <w:r w:rsidRPr="000B0DFE">
              <w:rPr>
                <w:rFonts w:cs="Arial"/>
                <w:sz w:val="22"/>
                <w:szCs w:val="22"/>
              </w:rPr>
              <w:t>)</w:t>
            </w:r>
          </w:p>
          <w:p w14:paraId="089312AC" w14:textId="77777777" w:rsidR="00621E6D" w:rsidRPr="000B0DFE" w:rsidRDefault="00621E6D" w:rsidP="00046691">
            <w:pPr>
              <w:pStyle w:val="ListParagraph"/>
              <w:keepNext/>
              <w:numPr>
                <w:ilvl w:val="0"/>
                <w:numId w:val="29"/>
              </w:numPr>
              <w:overflowPunct/>
              <w:autoSpaceDE/>
              <w:autoSpaceDN/>
              <w:adjustRightInd/>
              <w:ind w:left="318" w:hanging="284"/>
              <w:jc w:val="left"/>
              <w:textAlignment w:val="auto"/>
              <w:rPr>
                <w:rFonts w:cs="Arial"/>
                <w:sz w:val="22"/>
                <w:szCs w:val="22"/>
                <w:lang w:val="en-US" w:eastAsia="en-US"/>
              </w:rPr>
            </w:pPr>
            <w:r w:rsidRPr="000B0DFE">
              <w:rPr>
                <w:rFonts w:cs="Arial"/>
                <w:sz w:val="22"/>
                <w:szCs w:val="22"/>
                <w:lang w:val="en-US" w:eastAsia="en-US"/>
              </w:rPr>
              <w:t>include other individuals from age 12 years to under 18 years of age, who do not meet any of the other criteria for inclusion, as eligible for their first dose of the COVID-19 vaccine</w:t>
            </w:r>
            <w:r w:rsidRPr="000B0DFE" w:rsidDel="00040066">
              <w:rPr>
                <w:rFonts w:cs="Arial"/>
                <w:sz w:val="22"/>
                <w:szCs w:val="22"/>
                <w:lang w:val="en-US" w:eastAsia="en-US"/>
              </w:rPr>
              <w:t xml:space="preserve"> </w:t>
            </w:r>
            <w:r w:rsidRPr="000B0DFE">
              <w:rPr>
                <w:rFonts w:cs="Arial"/>
                <w:sz w:val="22"/>
                <w:szCs w:val="22"/>
                <w:lang w:val="en-US" w:eastAsia="en-US"/>
              </w:rPr>
              <w:t>only</w:t>
            </w:r>
          </w:p>
          <w:p w14:paraId="4ABAA445" w14:textId="77777777" w:rsidR="00F203BD" w:rsidRPr="00F203BD" w:rsidRDefault="00621E6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rPr>
              <w:t>include individuals referred for a third primary dose of COVID-19 vaccine in accordance with patient specific recommendations from their specialist, GP or prescriber</w:t>
            </w:r>
          </w:p>
          <w:p w14:paraId="62A7E18A" w14:textId="1611FA43" w:rsidR="00F203BD" w:rsidRPr="000B0DFE" w:rsidRDefault="00F203B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rPr>
              <w:t>include individuals eligible for a booster (third) dose as part of the national COVID-19 vaccination programme</w:t>
            </w:r>
          </w:p>
          <w:p w14:paraId="5D8444AC" w14:textId="77777777" w:rsidR="00F203BD" w:rsidRPr="000B0DFE" w:rsidRDefault="00F203B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lang w:val="en-US"/>
              </w:rPr>
              <w:t xml:space="preserve">exclude individuals who </w:t>
            </w:r>
            <w:r w:rsidRPr="000B0DFE">
              <w:rPr>
                <w:rFonts w:cs="Arial"/>
                <w:sz w:val="22"/>
                <w:szCs w:val="22"/>
                <w:lang w:val="en-US" w:eastAsia="en-US"/>
              </w:rPr>
              <w:t xml:space="preserve">have experienced myocarditis or pericarditis </w:t>
            </w:r>
            <w:r w:rsidRPr="000B0DFE">
              <w:rPr>
                <w:rFonts w:cs="Arial"/>
                <w:color w:val="000000"/>
                <w:sz w:val="22"/>
                <w:szCs w:val="22"/>
              </w:rPr>
              <w:t>determined as likely to be related to previous COVID-19 vaccination</w:t>
            </w:r>
          </w:p>
          <w:p w14:paraId="364B56A6" w14:textId="77777777" w:rsidR="00F203BD" w:rsidRPr="000B0DFE" w:rsidRDefault="00F203B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lang w:val="en-US" w:eastAsia="en-US"/>
              </w:rPr>
              <w:t>move cautions relating to pregnancy and those involved in clinical trials to the additional information section</w:t>
            </w:r>
          </w:p>
          <w:p w14:paraId="0347E1D2" w14:textId="77777777" w:rsidR="00F203BD" w:rsidRPr="000B0DFE" w:rsidRDefault="00F203B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lang w:val="en-US" w:eastAsia="en-US"/>
              </w:rPr>
              <w:t>update to cautions</w:t>
            </w:r>
          </w:p>
          <w:p w14:paraId="77AEDBA6" w14:textId="77777777" w:rsidR="00F203BD" w:rsidRPr="000B0DFE" w:rsidRDefault="00F203BD" w:rsidP="00F203BD">
            <w:pPr>
              <w:pStyle w:val="ListParagraph"/>
              <w:keepNext/>
              <w:numPr>
                <w:ilvl w:val="0"/>
                <w:numId w:val="29"/>
              </w:numPr>
              <w:overflowPunct/>
              <w:autoSpaceDE/>
              <w:autoSpaceDN/>
              <w:adjustRightInd/>
              <w:spacing w:after="120"/>
              <w:ind w:left="318" w:hanging="284"/>
              <w:jc w:val="left"/>
              <w:textAlignment w:val="auto"/>
              <w:rPr>
                <w:rFonts w:cs="Arial"/>
                <w:sz w:val="22"/>
                <w:szCs w:val="22"/>
                <w:lang w:val="en-US" w:eastAsia="en-US"/>
              </w:rPr>
            </w:pPr>
            <w:r w:rsidRPr="000B0DFE">
              <w:rPr>
                <w:rFonts w:cs="Arial"/>
                <w:sz w:val="22"/>
                <w:szCs w:val="22"/>
                <w:lang w:val="en-US" w:eastAsia="en-US"/>
              </w:rPr>
              <w:t>update the additional information on immunosuppressed individuals, co-administration and incomplete vaccination</w:t>
            </w:r>
          </w:p>
          <w:p w14:paraId="0A2D6F83" w14:textId="77777777" w:rsidR="00F203BD" w:rsidRPr="00621E6D" w:rsidRDefault="00F203BD" w:rsidP="00F203BD">
            <w:pPr>
              <w:pStyle w:val="ListParagraph"/>
              <w:keepNext/>
              <w:numPr>
                <w:ilvl w:val="0"/>
                <w:numId w:val="29"/>
              </w:numPr>
              <w:overflowPunct/>
              <w:autoSpaceDE/>
              <w:autoSpaceDN/>
              <w:adjustRightInd/>
              <w:spacing w:after="120"/>
              <w:ind w:left="318" w:hanging="284"/>
              <w:jc w:val="left"/>
              <w:textAlignment w:val="auto"/>
              <w:rPr>
                <w:rStyle w:val="Hyperlink"/>
                <w:rFonts w:cs="Arial"/>
                <w:color w:val="auto"/>
                <w:sz w:val="22"/>
                <w:szCs w:val="22"/>
                <w:u w:val="none"/>
                <w:lang w:val="en-US" w:eastAsia="en-US"/>
              </w:rPr>
            </w:pPr>
            <w:r w:rsidRPr="000B0DFE">
              <w:rPr>
                <w:rFonts w:cs="Arial"/>
                <w:sz w:val="22"/>
                <w:szCs w:val="22"/>
                <w:lang w:val="en-US" w:eastAsia="en-US"/>
              </w:rPr>
              <w:t xml:space="preserve">remove key references to JCVI statements which are now incorporated into the guidance in </w:t>
            </w:r>
            <w:hyperlink r:id="rId15" w:history="1">
              <w:r w:rsidRPr="000B0DFE">
                <w:rPr>
                  <w:rStyle w:val="Hyperlink"/>
                  <w:rFonts w:cs="Arial"/>
                  <w:sz w:val="22"/>
                  <w:szCs w:val="22"/>
                </w:rPr>
                <w:t>Chapter 14a</w:t>
              </w:r>
            </w:hyperlink>
          </w:p>
          <w:p w14:paraId="22E6A615" w14:textId="0C1BB6E8" w:rsidR="00F203BD" w:rsidRPr="00F203BD" w:rsidRDefault="00F203BD" w:rsidP="00F203BD">
            <w:pPr>
              <w:pStyle w:val="ListParagraph"/>
              <w:numPr>
                <w:ilvl w:val="0"/>
                <w:numId w:val="29"/>
              </w:numPr>
              <w:overflowPunct/>
              <w:ind w:left="318" w:hanging="284"/>
              <w:jc w:val="left"/>
              <w:textAlignment w:val="auto"/>
              <w:rPr>
                <w:rFonts w:cs="Arial"/>
                <w:sz w:val="22"/>
                <w:szCs w:val="22"/>
              </w:rPr>
            </w:pPr>
            <w:r w:rsidRPr="00621E6D">
              <w:rPr>
                <w:rFonts w:cs="Arial"/>
                <w:sz w:val="22"/>
                <w:szCs w:val="22"/>
                <w:lang w:val="en-US" w:eastAsia="en-US"/>
              </w:rPr>
              <w:t>minor wording changes and additions to text for consistency; updated references</w:t>
            </w:r>
          </w:p>
        </w:tc>
        <w:tc>
          <w:tcPr>
            <w:tcW w:w="1420" w:type="dxa"/>
          </w:tcPr>
          <w:p w14:paraId="057E4814" w14:textId="5395B6EE" w:rsidR="001633F2" w:rsidRPr="001633F2" w:rsidRDefault="00621E6D" w:rsidP="00046691">
            <w:pPr>
              <w:overflowPunct/>
              <w:autoSpaceDE/>
              <w:autoSpaceDN/>
              <w:adjustRightInd/>
              <w:spacing w:before="120" w:after="160"/>
              <w:jc w:val="left"/>
              <w:textAlignment w:val="auto"/>
              <w:rPr>
                <w:rFonts w:cs="Arial"/>
                <w:sz w:val="22"/>
                <w:szCs w:val="22"/>
              </w:rPr>
            </w:pPr>
            <w:r w:rsidRPr="000B0DFE">
              <w:rPr>
                <w:rFonts w:cs="Arial"/>
                <w:sz w:val="22"/>
                <w:szCs w:val="22"/>
                <w:lang w:val="en-US" w:eastAsia="en-US"/>
              </w:rPr>
              <w:t>17/09/2021</w:t>
            </w:r>
          </w:p>
        </w:tc>
      </w:tr>
      <w:tr w:rsidR="000B0DFE" w:rsidRPr="000B0DFE" w14:paraId="4FFCABDB" w14:textId="77777777" w:rsidTr="00621E6D">
        <w:tc>
          <w:tcPr>
            <w:tcW w:w="1317" w:type="dxa"/>
          </w:tcPr>
          <w:p w14:paraId="43AEA290" w14:textId="2A64C72B" w:rsidR="000B0DFE" w:rsidRPr="000B0DFE" w:rsidRDefault="000B0DFE" w:rsidP="00046691">
            <w:pPr>
              <w:overflowPunct/>
              <w:autoSpaceDE/>
              <w:autoSpaceDN/>
              <w:adjustRightInd/>
              <w:spacing w:before="120" w:after="160" w:line="259" w:lineRule="auto"/>
              <w:jc w:val="left"/>
              <w:textAlignment w:val="auto"/>
              <w:rPr>
                <w:rFonts w:cs="Arial"/>
                <w:bCs/>
                <w:sz w:val="22"/>
                <w:szCs w:val="22"/>
              </w:rPr>
            </w:pPr>
            <w:r w:rsidRPr="000B0DFE">
              <w:rPr>
                <w:rFonts w:cs="Arial"/>
                <w:bCs/>
                <w:sz w:val="22"/>
                <w:szCs w:val="22"/>
              </w:rPr>
              <w:lastRenderedPageBreak/>
              <w:t>V06.00</w:t>
            </w:r>
          </w:p>
        </w:tc>
        <w:tc>
          <w:tcPr>
            <w:tcW w:w="7719" w:type="dxa"/>
          </w:tcPr>
          <w:p w14:paraId="21F7EBDB" w14:textId="452B8290" w:rsidR="000B0DFE" w:rsidRPr="000B0DFE" w:rsidRDefault="000B0DFE" w:rsidP="00046691">
            <w:pPr>
              <w:keepNext/>
              <w:overflowPunct/>
              <w:autoSpaceDE/>
              <w:autoSpaceDN/>
              <w:adjustRightInd/>
              <w:spacing w:before="120"/>
              <w:jc w:val="left"/>
              <w:textAlignment w:val="auto"/>
              <w:rPr>
                <w:rFonts w:cs="Arial"/>
                <w:sz w:val="22"/>
                <w:szCs w:val="22"/>
                <w:lang w:val="en-US" w:eastAsia="en-US"/>
              </w:rPr>
            </w:pPr>
            <w:r w:rsidRPr="000B0DFE">
              <w:rPr>
                <w:rFonts w:cs="Arial"/>
                <w:sz w:val="22"/>
                <w:szCs w:val="22"/>
                <w:lang w:val="en-US" w:eastAsia="en-US"/>
              </w:rPr>
              <w:t>COVID-19 mRNA vaccine BNT162b2 PGD V05.00 amended to:</w:t>
            </w:r>
          </w:p>
          <w:p w14:paraId="297B0A74" w14:textId="77777777" w:rsidR="00161712" w:rsidRPr="00FC7A76" w:rsidRDefault="00161712" w:rsidP="00046691">
            <w:pPr>
              <w:pStyle w:val="Tabletext"/>
              <w:numPr>
                <w:ilvl w:val="0"/>
                <w:numId w:val="38"/>
              </w:numPr>
              <w:spacing w:after="0"/>
              <w:ind w:left="278" w:hanging="278"/>
              <w:contextualSpacing/>
              <w:jc w:val="left"/>
              <w:rPr>
                <w:szCs w:val="22"/>
              </w:rPr>
            </w:pPr>
            <w:r>
              <w:t>include second dose for individuals 16 and 17 years of age</w:t>
            </w:r>
          </w:p>
          <w:p w14:paraId="704CBDAF" w14:textId="77777777" w:rsidR="00161712" w:rsidRPr="00615B50" w:rsidRDefault="00161712" w:rsidP="00046691">
            <w:pPr>
              <w:pStyle w:val="Tabletext"/>
              <w:numPr>
                <w:ilvl w:val="0"/>
                <w:numId w:val="38"/>
              </w:numPr>
              <w:spacing w:before="120" w:after="0"/>
              <w:ind w:left="278" w:hanging="278"/>
              <w:contextualSpacing/>
              <w:jc w:val="left"/>
              <w:rPr>
                <w:szCs w:val="22"/>
              </w:rPr>
            </w:pPr>
            <w:r>
              <w:t>reword criteria for inclusion</w:t>
            </w:r>
          </w:p>
          <w:p w14:paraId="4B15CF98" w14:textId="77777777" w:rsidR="00161712" w:rsidRPr="00615B50" w:rsidRDefault="00161712" w:rsidP="00046691">
            <w:pPr>
              <w:pStyle w:val="Tabletext"/>
              <w:numPr>
                <w:ilvl w:val="0"/>
                <w:numId w:val="38"/>
              </w:numPr>
              <w:spacing w:before="120" w:after="0"/>
              <w:ind w:left="278" w:hanging="278"/>
              <w:contextualSpacing/>
              <w:jc w:val="left"/>
              <w:rPr>
                <w:szCs w:val="22"/>
              </w:rPr>
            </w:pPr>
            <w:r>
              <w:t>reword criteria for exclusion pertaining to allergic reactions</w:t>
            </w:r>
          </w:p>
          <w:p w14:paraId="1EC9DF26" w14:textId="77777777" w:rsidR="00161712" w:rsidRPr="00FC7A76" w:rsidRDefault="00161712" w:rsidP="00046691">
            <w:pPr>
              <w:pStyle w:val="Tabletext"/>
              <w:numPr>
                <w:ilvl w:val="0"/>
                <w:numId w:val="38"/>
              </w:numPr>
              <w:spacing w:before="120" w:after="0"/>
              <w:ind w:left="278" w:hanging="278"/>
              <w:contextualSpacing/>
              <w:jc w:val="left"/>
              <w:rPr>
                <w:szCs w:val="22"/>
              </w:rPr>
            </w:pPr>
            <w:r>
              <w:t xml:space="preserve">update cautions in line with revisions to </w:t>
            </w:r>
            <w:hyperlink r:id="rId16" w:history="1">
              <w:r w:rsidRPr="00F63E76">
                <w:rPr>
                  <w:rStyle w:val="Hyperlink"/>
                  <w:szCs w:val="22"/>
                </w:rPr>
                <w:t>Chapter 14a</w:t>
              </w:r>
            </w:hyperlink>
          </w:p>
          <w:p w14:paraId="1D6C919B" w14:textId="7578F152" w:rsidR="001D0245" w:rsidRPr="00685EF7" w:rsidRDefault="001D0245" w:rsidP="00046691">
            <w:pPr>
              <w:pStyle w:val="ListParagraph"/>
              <w:numPr>
                <w:ilvl w:val="0"/>
                <w:numId w:val="38"/>
              </w:numPr>
              <w:ind w:left="278" w:hanging="278"/>
              <w:jc w:val="left"/>
              <w:rPr>
                <w:sz w:val="22"/>
                <w:szCs w:val="24"/>
                <w:lang w:val="en-US" w:eastAsia="en-US"/>
              </w:rPr>
            </w:pPr>
            <w:r w:rsidRPr="00685EF7">
              <w:rPr>
                <w:sz w:val="22"/>
                <w:szCs w:val="24"/>
                <w:lang w:val="en-US" w:eastAsia="en-US"/>
              </w:rPr>
              <w:t>re-write dose and frequency of administration section, to identify preferred 12</w:t>
            </w:r>
            <w:r>
              <w:rPr>
                <w:sz w:val="22"/>
                <w:szCs w:val="24"/>
                <w:lang w:val="en-US" w:eastAsia="en-US"/>
              </w:rPr>
              <w:t>-</w:t>
            </w:r>
            <w:r w:rsidRPr="00685EF7">
              <w:rPr>
                <w:sz w:val="22"/>
                <w:szCs w:val="24"/>
                <w:lang w:val="en-US" w:eastAsia="en-US"/>
              </w:rPr>
              <w:t>week interval for those under 18 years of age and not in a risk group, to include a paragraph on minimum intervals post COVID-19 infection and to include minimum intervals for booster vaccination</w:t>
            </w:r>
          </w:p>
          <w:p w14:paraId="054F0BBC" w14:textId="2340AE09" w:rsidR="001D0245" w:rsidRPr="001E3148" w:rsidRDefault="001D0245" w:rsidP="00046691">
            <w:pPr>
              <w:pStyle w:val="Tabletext"/>
              <w:numPr>
                <w:ilvl w:val="0"/>
                <w:numId w:val="38"/>
              </w:numPr>
              <w:spacing w:after="0"/>
              <w:ind w:left="278" w:hanging="278"/>
              <w:contextualSpacing/>
              <w:jc w:val="left"/>
              <w:rPr>
                <w:szCs w:val="22"/>
              </w:rPr>
            </w:pPr>
            <w:r>
              <w:t>include the i</w:t>
            </w:r>
            <w:r w:rsidRPr="00D3273D">
              <w:t xml:space="preserve">nternational </w:t>
            </w:r>
            <w:r>
              <w:t>n</w:t>
            </w:r>
            <w:r w:rsidRPr="00D3273D">
              <w:t>on</w:t>
            </w:r>
            <w:r>
              <w:t>-</w:t>
            </w:r>
            <w:r w:rsidRPr="00D3273D">
              <w:t xml:space="preserve">proprietary </w:t>
            </w:r>
            <w:r>
              <w:t>n</w:t>
            </w:r>
            <w:r w:rsidRPr="00D3273D">
              <w:t>ame</w:t>
            </w:r>
            <w:r>
              <w:t xml:space="preserve"> (INN) tozinameran</w:t>
            </w:r>
          </w:p>
          <w:p w14:paraId="46C15778" w14:textId="77777777" w:rsidR="00161712" w:rsidRPr="00A83810" w:rsidRDefault="00161712" w:rsidP="00046691">
            <w:pPr>
              <w:pStyle w:val="Tabletext"/>
              <w:numPr>
                <w:ilvl w:val="0"/>
                <w:numId w:val="38"/>
              </w:numPr>
              <w:spacing w:after="0"/>
              <w:ind w:left="278" w:hanging="278"/>
              <w:contextualSpacing/>
              <w:jc w:val="left"/>
              <w:rPr>
                <w:szCs w:val="22"/>
              </w:rPr>
            </w:pPr>
            <w:r>
              <w:t>update shelf life from 6 to 9 months</w:t>
            </w:r>
          </w:p>
          <w:p w14:paraId="024575E8" w14:textId="77777777" w:rsidR="00161712" w:rsidRPr="00FC7A76" w:rsidRDefault="00161712" w:rsidP="00046691">
            <w:pPr>
              <w:pStyle w:val="Tabletext"/>
              <w:numPr>
                <w:ilvl w:val="0"/>
                <w:numId w:val="38"/>
              </w:numPr>
              <w:spacing w:before="120" w:after="0"/>
              <w:ind w:left="278" w:hanging="278"/>
              <w:contextualSpacing/>
              <w:jc w:val="left"/>
              <w:rPr>
                <w:szCs w:val="22"/>
              </w:rPr>
            </w:pPr>
            <w:r>
              <w:t xml:space="preserve">update Special considerations/additional information section in line with revisions to </w:t>
            </w:r>
            <w:hyperlink r:id="rId17" w:history="1">
              <w:r w:rsidRPr="00F63E76">
                <w:rPr>
                  <w:rStyle w:val="Hyperlink"/>
                  <w:szCs w:val="22"/>
                </w:rPr>
                <w:t>Chapter 14a</w:t>
              </w:r>
            </w:hyperlink>
          </w:p>
          <w:p w14:paraId="39BC878D" w14:textId="77777777" w:rsidR="00161712" w:rsidRPr="00161712" w:rsidRDefault="00161712" w:rsidP="00046691">
            <w:pPr>
              <w:pStyle w:val="Tabletext"/>
              <w:numPr>
                <w:ilvl w:val="0"/>
                <w:numId w:val="38"/>
              </w:numPr>
              <w:spacing w:before="120" w:after="0"/>
              <w:ind w:left="278" w:hanging="278"/>
              <w:contextualSpacing/>
              <w:jc w:val="left"/>
              <w:rPr>
                <w:szCs w:val="22"/>
              </w:rPr>
            </w:pPr>
            <w:r>
              <w:t>include Appendix A</w:t>
            </w:r>
          </w:p>
          <w:p w14:paraId="1D9F4E13" w14:textId="42866AD0" w:rsidR="000B0DFE" w:rsidRPr="00161712" w:rsidRDefault="00161712" w:rsidP="00046691">
            <w:pPr>
              <w:pStyle w:val="Tabletext"/>
              <w:numPr>
                <w:ilvl w:val="0"/>
                <w:numId w:val="38"/>
              </w:numPr>
              <w:spacing w:after="120"/>
              <w:ind w:left="278" w:hanging="278"/>
              <w:jc w:val="left"/>
              <w:rPr>
                <w:szCs w:val="22"/>
              </w:rPr>
            </w:pPr>
            <w:r w:rsidRPr="003F670D">
              <w:t>minor wording changes and additions to text for consistency</w:t>
            </w:r>
            <w:r>
              <w:t xml:space="preserve"> and to rebrand from PHE to UKHSA</w:t>
            </w:r>
            <w:r w:rsidRPr="003F670D">
              <w:t>; updated references</w:t>
            </w:r>
          </w:p>
        </w:tc>
        <w:tc>
          <w:tcPr>
            <w:tcW w:w="1420" w:type="dxa"/>
          </w:tcPr>
          <w:p w14:paraId="0382E7A1" w14:textId="03615F86" w:rsidR="000B0DFE" w:rsidRPr="000B0DFE" w:rsidRDefault="000B0DFE" w:rsidP="00046691">
            <w:pPr>
              <w:overflowPunct/>
              <w:autoSpaceDE/>
              <w:autoSpaceDN/>
              <w:adjustRightInd/>
              <w:spacing w:before="120" w:after="160"/>
              <w:jc w:val="left"/>
              <w:textAlignment w:val="auto"/>
              <w:rPr>
                <w:rFonts w:cs="Arial"/>
                <w:bCs/>
                <w:sz w:val="22"/>
                <w:szCs w:val="22"/>
              </w:rPr>
            </w:pPr>
            <w:r w:rsidRPr="000B0DFE">
              <w:rPr>
                <w:rFonts w:cs="Arial"/>
                <w:bCs/>
                <w:sz w:val="22"/>
                <w:szCs w:val="22"/>
              </w:rPr>
              <w:t>1</w:t>
            </w:r>
            <w:r w:rsidR="001D0245">
              <w:rPr>
                <w:rFonts w:cs="Arial"/>
                <w:bCs/>
                <w:sz w:val="22"/>
                <w:szCs w:val="22"/>
              </w:rPr>
              <w:t>8</w:t>
            </w:r>
            <w:r w:rsidRPr="000B0DFE">
              <w:rPr>
                <w:rFonts w:cs="Arial"/>
                <w:bCs/>
                <w:sz w:val="22"/>
                <w:szCs w:val="22"/>
              </w:rPr>
              <w:t>/11/2021</w:t>
            </w:r>
          </w:p>
        </w:tc>
      </w:tr>
    </w:tbl>
    <w:p w14:paraId="1DB5FD00" w14:textId="65EBFD0F" w:rsidR="006D7639" w:rsidRDefault="006D7639">
      <w:pPr>
        <w:overflowPunct/>
        <w:autoSpaceDE/>
        <w:autoSpaceDN/>
        <w:adjustRightInd/>
        <w:spacing w:after="160" w:line="259" w:lineRule="auto"/>
        <w:textAlignment w:val="auto"/>
        <w:rPr>
          <w:rFonts w:cs="Arial"/>
          <w:b/>
          <w:szCs w:val="24"/>
        </w:rPr>
      </w:pPr>
    </w:p>
    <w:p w14:paraId="12D66ED9" w14:textId="77777777" w:rsidR="00161712" w:rsidRDefault="00161712">
      <w:pPr>
        <w:overflowPunct/>
        <w:autoSpaceDE/>
        <w:autoSpaceDN/>
        <w:adjustRightInd/>
        <w:spacing w:after="160" w:line="259" w:lineRule="auto"/>
        <w:textAlignment w:val="auto"/>
        <w:rPr>
          <w:rFonts w:cs="Arial"/>
          <w:b/>
          <w:szCs w:val="24"/>
        </w:rPr>
      </w:pPr>
      <w:r>
        <w:rPr>
          <w:rFonts w:cs="Arial"/>
          <w:b/>
          <w:szCs w:val="24"/>
        </w:rPr>
        <w:br w:type="page"/>
      </w:r>
    </w:p>
    <w:p w14:paraId="798ED807" w14:textId="26688581" w:rsidR="00B227F7" w:rsidRPr="00E161EA" w:rsidRDefault="00B227F7" w:rsidP="00B227F7">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78028185" w14:textId="77777777" w:rsidR="00B227F7" w:rsidRPr="00E161EA" w:rsidRDefault="00B227F7" w:rsidP="00B227F7">
      <w:pPr>
        <w:pStyle w:val="Header"/>
        <w:spacing w:line="276" w:lineRule="auto"/>
        <w:rPr>
          <w:rFonts w:ascii="Arial" w:hAnsi="Arial" w:cs="Arial"/>
          <w:szCs w:val="24"/>
        </w:rPr>
      </w:pPr>
    </w:p>
    <w:p w14:paraId="132FCA9F" w14:textId="06508B3F" w:rsidR="00B227F7" w:rsidRPr="00E161EA" w:rsidRDefault="00B227F7" w:rsidP="00B227F7">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sidR="00AF6C7C">
        <w:rPr>
          <w:rFonts w:ascii="Arial" w:hAnsi="Arial" w:cs="Arial"/>
          <w:szCs w:val="24"/>
        </w:rPr>
        <w:t xml:space="preserve">the </w:t>
      </w:r>
      <w:r w:rsidR="00161712">
        <w:rPr>
          <w:rFonts w:ascii="Arial" w:hAnsi="Arial" w:cs="Arial"/>
          <w:szCs w:val="24"/>
        </w:rPr>
        <w:t>UKHSA</w:t>
      </w:r>
      <w:r w:rsidRPr="00E161EA">
        <w:rPr>
          <w:rFonts w:ascii="Arial" w:hAnsi="Arial" w:cs="Arial"/>
          <w:szCs w:val="24"/>
        </w:rPr>
        <w:t>:</w:t>
      </w:r>
    </w:p>
    <w:p w14:paraId="2B7D009E" w14:textId="77777777" w:rsidR="00B227F7" w:rsidRPr="00CB5D91" w:rsidRDefault="00B227F7" w:rsidP="00B227F7">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709"/>
        <w:gridCol w:w="2268"/>
        <w:gridCol w:w="1394"/>
      </w:tblGrid>
      <w:tr w:rsidR="00B227F7" w:rsidRPr="0036347F" w14:paraId="0AA6A32E" w14:textId="77777777" w:rsidTr="00C03876">
        <w:trPr>
          <w:trHeight w:val="549"/>
        </w:trPr>
        <w:tc>
          <w:tcPr>
            <w:tcW w:w="2552" w:type="dxa"/>
            <w:shd w:val="clear" w:color="auto" w:fill="F2F2F2" w:themeFill="background1" w:themeFillShade="F2"/>
            <w:vAlign w:val="center"/>
          </w:tcPr>
          <w:p w14:paraId="758D727B" w14:textId="77777777" w:rsidR="00B227F7" w:rsidRPr="001E0297" w:rsidRDefault="00B227F7" w:rsidP="007B2C02">
            <w:pPr>
              <w:rPr>
                <w:rFonts w:cs="Arial"/>
                <w:color w:val="FF0000"/>
                <w:sz w:val="22"/>
                <w:szCs w:val="22"/>
              </w:rPr>
            </w:pPr>
            <w:r w:rsidRPr="001E0297">
              <w:rPr>
                <w:rFonts w:cs="Arial"/>
                <w:b/>
                <w:sz w:val="22"/>
                <w:szCs w:val="22"/>
              </w:rPr>
              <w:t>Developed by:</w:t>
            </w:r>
          </w:p>
        </w:tc>
        <w:tc>
          <w:tcPr>
            <w:tcW w:w="3709" w:type="dxa"/>
            <w:shd w:val="clear" w:color="auto" w:fill="F2F2F2" w:themeFill="background1" w:themeFillShade="F2"/>
            <w:vAlign w:val="center"/>
          </w:tcPr>
          <w:p w14:paraId="4E6DC4A8" w14:textId="77777777" w:rsidR="00B227F7" w:rsidRPr="001E0297" w:rsidRDefault="00B227F7" w:rsidP="007B2C02">
            <w:pPr>
              <w:rPr>
                <w:rFonts w:cs="Arial"/>
                <w:b/>
                <w:sz w:val="22"/>
                <w:szCs w:val="22"/>
              </w:rPr>
            </w:pPr>
            <w:r w:rsidRPr="001E0297">
              <w:rPr>
                <w:rFonts w:cs="Arial"/>
                <w:b/>
                <w:sz w:val="22"/>
                <w:szCs w:val="22"/>
              </w:rPr>
              <w:t>Name</w:t>
            </w:r>
          </w:p>
        </w:tc>
        <w:tc>
          <w:tcPr>
            <w:tcW w:w="2268" w:type="dxa"/>
            <w:shd w:val="clear" w:color="auto" w:fill="F2F2F2" w:themeFill="background1" w:themeFillShade="F2"/>
            <w:vAlign w:val="center"/>
          </w:tcPr>
          <w:p w14:paraId="641E3121" w14:textId="77777777" w:rsidR="00B227F7" w:rsidRPr="001E0297" w:rsidRDefault="00B227F7" w:rsidP="007B2C02">
            <w:pPr>
              <w:rPr>
                <w:rFonts w:cs="Arial"/>
                <w:b/>
                <w:sz w:val="22"/>
                <w:szCs w:val="22"/>
              </w:rPr>
            </w:pPr>
            <w:r w:rsidRPr="001E0297">
              <w:rPr>
                <w:rFonts w:cs="Arial"/>
                <w:b/>
                <w:sz w:val="22"/>
                <w:szCs w:val="22"/>
              </w:rPr>
              <w:t>Signature</w:t>
            </w:r>
          </w:p>
        </w:tc>
        <w:tc>
          <w:tcPr>
            <w:tcW w:w="1394" w:type="dxa"/>
            <w:shd w:val="clear" w:color="auto" w:fill="F2F2F2" w:themeFill="background1" w:themeFillShade="F2"/>
            <w:vAlign w:val="center"/>
          </w:tcPr>
          <w:p w14:paraId="754F9F7E" w14:textId="77777777" w:rsidR="00B227F7" w:rsidRPr="001E0297" w:rsidRDefault="00B227F7" w:rsidP="007B2C02">
            <w:pPr>
              <w:rPr>
                <w:rFonts w:cs="Arial"/>
                <w:b/>
                <w:sz w:val="22"/>
                <w:szCs w:val="22"/>
              </w:rPr>
            </w:pPr>
            <w:r w:rsidRPr="001E0297">
              <w:rPr>
                <w:rFonts w:cs="Arial"/>
                <w:b/>
                <w:sz w:val="22"/>
                <w:szCs w:val="22"/>
              </w:rPr>
              <w:t>Date</w:t>
            </w:r>
          </w:p>
        </w:tc>
      </w:tr>
      <w:tr w:rsidR="00DE45C8" w:rsidRPr="0036347F" w14:paraId="5F55572A" w14:textId="77777777" w:rsidTr="00C03876">
        <w:trPr>
          <w:trHeight w:val="720"/>
        </w:trPr>
        <w:tc>
          <w:tcPr>
            <w:tcW w:w="2552" w:type="dxa"/>
          </w:tcPr>
          <w:p w14:paraId="5C6799A8" w14:textId="77777777" w:rsidR="00DE45C8" w:rsidRPr="001E0297" w:rsidRDefault="00DE45C8" w:rsidP="00DE45C8">
            <w:pPr>
              <w:pStyle w:val="Heading6"/>
              <w:spacing w:before="60" w:after="60"/>
              <w:jc w:val="left"/>
              <w:rPr>
                <w:rFonts w:ascii="Arial" w:hAnsi="Arial" w:cs="Arial"/>
                <w:i w:val="0"/>
                <w:sz w:val="22"/>
                <w:szCs w:val="22"/>
              </w:rPr>
            </w:pPr>
            <w:r w:rsidRPr="001E0297">
              <w:rPr>
                <w:rFonts w:ascii="Arial" w:hAnsi="Arial" w:cs="Arial"/>
                <w:i w:val="0"/>
                <w:sz w:val="22"/>
                <w:szCs w:val="22"/>
              </w:rPr>
              <w:t>Pharmacist</w:t>
            </w:r>
          </w:p>
          <w:p w14:paraId="0D7EA983" w14:textId="77777777" w:rsidR="00DE45C8" w:rsidRPr="001E0297" w:rsidRDefault="00DE45C8" w:rsidP="00DE45C8">
            <w:pPr>
              <w:spacing w:before="60" w:after="60"/>
              <w:rPr>
                <w:rFonts w:cs="Arial"/>
                <w:sz w:val="22"/>
                <w:szCs w:val="22"/>
              </w:rPr>
            </w:pPr>
            <w:r w:rsidRPr="001E0297">
              <w:rPr>
                <w:rFonts w:cs="Arial"/>
                <w:sz w:val="22"/>
                <w:szCs w:val="22"/>
              </w:rPr>
              <w:t>(Lead Author)</w:t>
            </w:r>
          </w:p>
        </w:tc>
        <w:tc>
          <w:tcPr>
            <w:tcW w:w="3709" w:type="dxa"/>
            <w:shd w:val="clear" w:color="auto" w:fill="auto"/>
          </w:tcPr>
          <w:p w14:paraId="0485FA0C" w14:textId="77777777" w:rsidR="00DE45C8" w:rsidRDefault="00DE45C8" w:rsidP="00DE45C8">
            <w:pPr>
              <w:pStyle w:val="Default"/>
              <w:spacing w:before="60" w:after="60"/>
              <w:rPr>
                <w:sz w:val="22"/>
                <w:szCs w:val="22"/>
              </w:rPr>
            </w:pPr>
            <w:r>
              <w:rPr>
                <w:sz w:val="22"/>
                <w:szCs w:val="22"/>
              </w:rPr>
              <w:t>Elizabeth Graham</w:t>
            </w:r>
          </w:p>
          <w:p w14:paraId="73C0DA10" w14:textId="5BB61FD4" w:rsidR="00DE45C8" w:rsidRPr="00A22165" w:rsidRDefault="00DE45C8" w:rsidP="00DE45C8">
            <w:pPr>
              <w:spacing w:before="60" w:after="60"/>
              <w:rPr>
                <w:rFonts w:cs="Arial"/>
                <w:sz w:val="18"/>
                <w:szCs w:val="18"/>
              </w:rPr>
            </w:pPr>
            <w:r w:rsidRPr="00191405">
              <w:rPr>
                <w:rFonts w:cs="Arial"/>
                <w:sz w:val="18"/>
                <w:szCs w:val="18"/>
              </w:rPr>
              <w:t>Lead Pharmacist Immunisation Services,</w:t>
            </w:r>
            <w:r w:rsidRPr="005C791C">
              <w:rPr>
                <w:sz w:val="18"/>
                <w:szCs w:val="18"/>
              </w:rPr>
              <w:t xml:space="preserve"> Immunisation and Vaccine Preventable Diseases Division</w:t>
            </w:r>
            <w:r>
              <w:rPr>
                <w:sz w:val="18"/>
                <w:szCs w:val="18"/>
              </w:rPr>
              <w:t>,</w:t>
            </w:r>
            <w:r w:rsidRPr="00191405">
              <w:rPr>
                <w:rFonts w:cs="Arial"/>
                <w:sz w:val="18"/>
                <w:szCs w:val="18"/>
              </w:rPr>
              <w:t xml:space="preserve"> </w:t>
            </w:r>
            <w:r>
              <w:rPr>
                <w:rFonts w:cs="Arial"/>
                <w:sz w:val="18"/>
                <w:szCs w:val="18"/>
              </w:rPr>
              <w:t>UKHSA</w:t>
            </w:r>
          </w:p>
        </w:tc>
        <w:tc>
          <w:tcPr>
            <w:tcW w:w="2268" w:type="dxa"/>
          </w:tcPr>
          <w:p w14:paraId="487A83DC" w14:textId="1A296124" w:rsidR="00DE45C8" w:rsidRPr="0036347F" w:rsidRDefault="00DE45C8" w:rsidP="00DE45C8">
            <w:pPr>
              <w:spacing w:before="60" w:after="60"/>
              <w:ind w:left="-108"/>
              <w:rPr>
                <w:rFonts w:cs="Arial"/>
                <w:i/>
                <w:color w:val="FF0000"/>
                <w:sz w:val="22"/>
                <w:szCs w:val="22"/>
              </w:rPr>
            </w:pPr>
            <w:r>
              <w:rPr>
                <w:noProof/>
              </w:rPr>
              <w:drawing>
                <wp:anchor distT="0" distB="0" distL="114300" distR="114300" simplePos="0" relativeHeight="251659264" behindDoc="1" locked="0" layoutInCell="1" allowOverlap="1" wp14:anchorId="40807480" wp14:editId="1B0224D9">
                  <wp:simplePos x="0" y="0"/>
                  <wp:positionH relativeFrom="column">
                    <wp:posOffset>-68448</wp:posOffset>
                  </wp:positionH>
                  <wp:positionV relativeFrom="paragraph">
                    <wp:posOffset>-1797</wp:posOffset>
                  </wp:positionV>
                  <wp:extent cx="1483743" cy="561577"/>
                  <wp:effectExtent l="0" t="0" r="2540" b="0"/>
                  <wp:wrapNone/>
                  <wp:docPr id="8" name="Picture 8" descr="Signature of Elizabeth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94" w:type="dxa"/>
            <w:shd w:val="clear" w:color="auto" w:fill="auto"/>
            <w:vAlign w:val="center"/>
          </w:tcPr>
          <w:p w14:paraId="1F216611" w14:textId="25417D33" w:rsidR="00DE45C8" w:rsidRPr="00141FE3" w:rsidRDefault="00DE45C8" w:rsidP="00DE45C8">
            <w:pPr>
              <w:spacing w:before="60" w:after="60"/>
              <w:rPr>
                <w:rFonts w:cs="Arial"/>
                <w:sz w:val="22"/>
                <w:szCs w:val="22"/>
              </w:rPr>
            </w:pPr>
            <w:r>
              <w:rPr>
                <w:rFonts w:cs="Arial"/>
                <w:sz w:val="22"/>
                <w:szCs w:val="22"/>
              </w:rPr>
              <w:t>18/11/2021</w:t>
            </w:r>
          </w:p>
        </w:tc>
      </w:tr>
      <w:tr w:rsidR="00DE45C8" w:rsidRPr="0036347F" w14:paraId="6D57D798" w14:textId="77777777" w:rsidTr="00C03876">
        <w:trPr>
          <w:trHeight w:val="621"/>
        </w:trPr>
        <w:tc>
          <w:tcPr>
            <w:tcW w:w="2552" w:type="dxa"/>
          </w:tcPr>
          <w:p w14:paraId="4F03019D" w14:textId="74EFE61F" w:rsidR="00DE45C8" w:rsidRPr="00DB5DA1" w:rsidRDefault="00DE45C8" w:rsidP="00DE45C8">
            <w:pPr>
              <w:pStyle w:val="Heading5"/>
              <w:spacing w:before="60" w:after="60"/>
              <w:rPr>
                <w:sz w:val="22"/>
              </w:rPr>
            </w:pPr>
            <w:r w:rsidRPr="001E0297">
              <w:rPr>
                <w:rFonts w:ascii="Arial" w:hAnsi="Arial" w:cs="Arial"/>
                <w:i w:val="0"/>
                <w:sz w:val="22"/>
                <w:szCs w:val="22"/>
              </w:rPr>
              <w:t>Doctor</w:t>
            </w:r>
          </w:p>
        </w:tc>
        <w:tc>
          <w:tcPr>
            <w:tcW w:w="3709" w:type="dxa"/>
            <w:vAlign w:val="center"/>
          </w:tcPr>
          <w:p w14:paraId="4161BCE6" w14:textId="77777777" w:rsidR="00DE45C8" w:rsidRPr="001E0297" w:rsidRDefault="00DE45C8" w:rsidP="00DE45C8">
            <w:pPr>
              <w:spacing w:before="60" w:after="60"/>
              <w:rPr>
                <w:rFonts w:cs="Arial"/>
                <w:sz w:val="22"/>
                <w:szCs w:val="22"/>
              </w:rPr>
            </w:pPr>
            <w:r w:rsidRPr="001E0297">
              <w:rPr>
                <w:rFonts w:cs="Arial"/>
                <w:sz w:val="22"/>
                <w:szCs w:val="22"/>
              </w:rPr>
              <w:t>Mary Ramsay</w:t>
            </w:r>
          </w:p>
          <w:p w14:paraId="454DA12C" w14:textId="47C8A6CE" w:rsidR="00DE45C8" w:rsidRPr="00A22165" w:rsidRDefault="00DE45C8" w:rsidP="00DE45C8">
            <w:pPr>
              <w:spacing w:before="60" w:after="60"/>
              <w:rPr>
                <w:rFonts w:cs="Arial"/>
                <w:color w:val="1F497D"/>
                <w:sz w:val="18"/>
                <w:szCs w:val="18"/>
              </w:rPr>
            </w:pPr>
            <w:r w:rsidRPr="00A22165">
              <w:rPr>
                <w:rFonts w:cs="Arial"/>
                <w:bCs/>
                <w:sz w:val="18"/>
                <w:szCs w:val="18"/>
              </w:rPr>
              <w:t>Consultant Epidemiologist</w:t>
            </w:r>
            <w:r>
              <w:rPr>
                <w:rFonts w:cs="Arial"/>
                <w:bCs/>
                <w:sz w:val="18"/>
                <w:szCs w:val="18"/>
              </w:rPr>
              <w:t>,</w:t>
            </w:r>
            <w:r w:rsidRPr="005C791C">
              <w:rPr>
                <w:sz w:val="18"/>
                <w:szCs w:val="18"/>
              </w:rPr>
              <w:t xml:space="preserve"> Immunisation and Vaccine Preventable Diseases Division</w:t>
            </w:r>
            <w:r>
              <w:rPr>
                <w:sz w:val="18"/>
                <w:szCs w:val="18"/>
              </w:rPr>
              <w:t>,</w:t>
            </w:r>
            <w:r>
              <w:rPr>
                <w:rFonts w:cs="Arial"/>
                <w:bCs/>
                <w:sz w:val="18"/>
                <w:szCs w:val="18"/>
              </w:rPr>
              <w:t xml:space="preserve"> UKHSA</w:t>
            </w:r>
          </w:p>
        </w:tc>
        <w:tc>
          <w:tcPr>
            <w:tcW w:w="2268" w:type="dxa"/>
          </w:tcPr>
          <w:p w14:paraId="4E2CDE57" w14:textId="59AD3B1D" w:rsidR="00DE45C8" w:rsidRPr="0036347F" w:rsidRDefault="00DE45C8" w:rsidP="00DE45C8">
            <w:pPr>
              <w:spacing w:before="60" w:after="60"/>
              <w:rPr>
                <w:rFonts w:cs="Arial"/>
                <w:i/>
                <w:color w:val="FF0000"/>
                <w:sz w:val="22"/>
                <w:szCs w:val="22"/>
              </w:rPr>
            </w:pPr>
            <w:r>
              <w:rPr>
                <w:rFonts w:ascii="Calibri" w:hAnsi="Calibri"/>
                <w:noProof/>
                <w:color w:val="1F497D"/>
              </w:rPr>
              <w:drawing>
                <wp:anchor distT="0" distB="0" distL="114300" distR="114300" simplePos="0" relativeHeight="251660288" behindDoc="1" locked="0" layoutInCell="1" allowOverlap="1" wp14:anchorId="65C1BD05" wp14:editId="547D61D3">
                  <wp:simplePos x="0" y="0"/>
                  <wp:positionH relativeFrom="column">
                    <wp:posOffset>0</wp:posOffset>
                  </wp:positionH>
                  <wp:positionV relativeFrom="paragraph">
                    <wp:posOffset>4445</wp:posOffset>
                  </wp:positionV>
                  <wp:extent cx="1419860" cy="499745"/>
                  <wp:effectExtent l="0" t="0" r="0" b="0"/>
                  <wp:wrapNone/>
                  <wp:docPr id="2" name="Picture 2" descr="Signature of Mary Ram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94" w:type="dxa"/>
            <w:vAlign w:val="center"/>
          </w:tcPr>
          <w:p w14:paraId="2A5A82C7" w14:textId="573FE67A" w:rsidR="00DE45C8" w:rsidRPr="00141FE3" w:rsidRDefault="00DE45C8" w:rsidP="00DE45C8">
            <w:pPr>
              <w:spacing w:before="60" w:after="60"/>
              <w:rPr>
                <w:rFonts w:cs="Arial"/>
                <w:sz w:val="22"/>
                <w:szCs w:val="22"/>
              </w:rPr>
            </w:pPr>
            <w:r>
              <w:rPr>
                <w:rFonts w:cs="Arial"/>
                <w:sz w:val="22"/>
                <w:szCs w:val="22"/>
              </w:rPr>
              <w:t>18/11/2021</w:t>
            </w:r>
          </w:p>
        </w:tc>
      </w:tr>
      <w:tr w:rsidR="00DE45C8" w:rsidRPr="0036347F" w14:paraId="018FEB02" w14:textId="77777777" w:rsidTr="00C03876">
        <w:trPr>
          <w:trHeight w:val="621"/>
        </w:trPr>
        <w:tc>
          <w:tcPr>
            <w:tcW w:w="2552" w:type="dxa"/>
          </w:tcPr>
          <w:p w14:paraId="5DF6D11C" w14:textId="77777777" w:rsidR="00DE45C8" w:rsidRPr="001E0297" w:rsidRDefault="00DE45C8" w:rsidP="00DE45C8">
            <w:pPr>
              <w:pStyle w:val="Heading5"/>
              <w:spacing w:before="60" w:after="60"/>
              <w:rPr>
                <w:rFonts w:ascii="Arial" w:hAnsi="Arial" w:cs="Arial"/>
                <w:i w:val="0"/>
                <w:sz w:val="22"/>
                <w:szCs w:val="22"/>
              </w:rPr>
            </w:pPr>
            <w:r w:rsidRPr="001E0297">
              <w:rPr>
                <w:rFonts w:ascii="Arial" w:hAnsi="Arial" w:cs="Arial"/>
                <w:i w:val="0"/>
                <w:sz w:val="22"/>
                <w:szCs w:val="22"/>
              </w:rPr>
              <w:t>Registered Nurse</w:t>
            </w:r>
          </w:p>
          <w:p w14:paraId="60C118C7" w14:textId="77777777" w:rsidR="00DE45C8" w:rsidRPr="001E0297" w:rsidRDefault="00DE45C8" w:rsidP="00DE45C8">
            <w:pPr>
              <w:spacing w:before="60" w:after="60"/>
              <w:rPr>
                <w:rFonts w:cs="Arial"/>
                <w:sz w:val="22"/>
                <w:szCs w:val="22"/>
              </w:rPr>
            </w:pPr>
            <w:r w:rsidRPr="001E0297">
              <w:rPr>
                <w:rFonts w:cs="Arial"/>
                <w:sz w:val="22"/>
                <w:szCs w:val="22"/>
              </w:rPr>
              <w:t>(Chair of Expert Panel)</w:t>
            </w:r>
          </w:p>
        </w:tc>
        <w:tc>
          <w:tcPr>
            <w:tcW w:w="3709" w:type="dxa"/>
            <w:vAlign w:val="center"/>
          </w:tcPr>
          <w:p w14:paraId="6AE082ED" w14:textId="77777777" w:rsidR="00DE45C8" w:rsidRPr="001E0297" w:rsidRDefault="00DE45C8" w:rsidP="00DE45C8">
            <w:pPr>
              <w:spacing w:before="60" w:after="60"/>
              <w:rPr>
                <w:rFonts w:cs="Arial"/>
                <w:sz w:val="22"/>
                <w:szCs w:val="22"/>
              </w:rPr>
            </w:pPr>
            <w:r w:rsidRPr="001E0297">
              <w:rPr>
                <w:rFonts w:cs="Arial"/>
                <w:sz w:val="22"/>
                <w:szCs w:val="22"/>
              </w:rPr>
              <w:t>David Green</w:t>
            </w:r>
          </w:p>
          <w:p w14:paraId="420BA8DF" w14:textId="5802D8B4" w:rsidR="00DE45C8" w:rsidRPr="00A22165" w:rsidRDefault="00DE45C8" w:rsidP="00DE45C8">
            <w:pPr>
              <w:spacing w:before="60" w:after="60"/>
              <w:rPr>
                <w:color w:val="1F497D"/>
                <w:sz w:val="18"/>
                <w:szCs w:val="18"/>
              </w:rPr>
            </w:pPr>
            <w:r w:rsidRPr="00A22165">
              <w:rPr>
                <w:sz w:val="18"/>
                <w:szCs w:val="18"/>
              </w:rPr>
              <w:t>Nurse Consultant</w:t>
            </w:r>
            <w:r>
              <w:rPr>
                <w:sz w:val="18"/>
                <w:szCs w:val="18"/>
              </w:rPr>
              <w:t>,</w:t>
            </w:r>
            <w:r w:rsidRPr="00A22165">
              <w:rPr>
                <w:sz w:val="18"/>
                <w:szCs w:val="18"/>
              </w:rPr>
              <w:t xml:space="preserve"> </w:t>
            </w:r>
            <w:r w:rsidRPr="005C791C">
              <w:rPr>
                <w:sz w:val="18"/>
                <w:szCs w:val="18"/>
              </w:rPr>
              <w:t>Immunisation and Vaccine Preventable Diseases Division</w:t>
            </w:r>
            <w:r>
              <w:rPr>
                <w:sz w:val="18"/>
                <w:szCs w:val="18"/>
              </w:rPr>
              <w:t>, UKHSA</w:t>
            </w:r>
          </w:p>
        </w:tc>
        <w:tc>
          <w:tcPr>
            <w:tcW w:w="2268" w:type="dxa"/>
          </w:tcPr>
          <w:p w14:paraId="545A46B5" w14:textId="5C27FD4B" w:rsidR="00DE45C8" w:rsidRPr="0036347F" w:rsidRDefault="00DE45C8" w:rsidP="00DE45C8">
            <w:pPr>
              <w:spacing w:before="60" w:after="60"/>
              <w:rPr>
                <w:rFonts w:cs="Arial"/>
                <w:i/>
                <w:color w:val="FF0000"/>
                <w:sz w:val="22"/>
                <w:szCs w:val="22"/>
              </w:rPr>
            </w:pPr>
            <w:r>
              <w:rPr>
                <w:rFonts w:cs="Arial"/>
                <w:noProof/>
                <w:sz w:val="20"/>
              </w:rPr>
              <w:drawing>
                <wp:anchor distT="0" distB="0" distL="114300" distR="114300" simplePos="0" relativeHeight="251661312" behindDoc="1" locked="0" layoutInCell="1" allowOverlap="1" wp14:anchorId="052D1D3C" wp14:editId="2EC74B5C">
                  <wp:simplePos x="0" y="0"/>
                  <wp:positionH relativeFrom="column">
                    <wp:posOffset>-68448</wp:posOffset>
                  </wp:positionH>
                  <wp:positionV relativeFrom="paragraph">
                    <wp:posOffset>-1138</wp:posOffset>
                  </wp:positionV>
                  <wp:extent cx="1423358" cy="513343"/>
                  <wp:effectExtent l="0" t="0" r="5715" b="1270"/>
                  <wp:wrapNone/>
                  <wp:docPr id="31" name="Picture 31" descr="Signature of Dav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394" w:type="dxa"/>
            <w:vAlign w:val="center"/>
          </w:tcPr>
          <w:p w14:paraId="26576379" w14:textId="5E39919D" w:rsidR="00DE45C8" w:rsidRPr="00141FE3" w:rsidRDefault="00DE45C8" w:rsidP="00DE45C8">
            <w:pPr>
              <w:spacing w:before="60" w:after="60"/>
              <w:rPr>
                <w:rFonts w:cs="Arial"/>
                <w:sz w:val="22"/>
                <w:szCs w:val="22"/>
              </w:rPr>
            </w:pPr>
            <w:r>
              <w:rPr>
                <w:rFonts w:cs="Arial"/>
                <w:sz w:val="22"/>
                <w:szCs w:val="22"/>
              </w:rPr>
              <w:t>18/11/2021</w:t>
            </w:r>
          </w:p>
        </w:tc>
      </w:tr>
    </w:tbl>
    <w:p w14:paraId="09375B3C" w14:textId="77777777" w:rsidR="00B227F7" w:rsidRDefault="00B227F7" w:rsidP="00B227F7">
      <w:pPr>
        <w:rPr>
          <w:rFonts w:cs="Arial"/>
          <w:i/>
          <w:sz w:val="16"/>
          <w:szCs w:val="16"/>
        </w:rPr>
      </w:pPr>
    </w:p>
    <w:p w14:paraId="4DD69F1F" w14:textId="626A786C" w:rsidR="000119C9" w:rsidRDefault="000119C9" w:rsidP="00B227F7">
      <w:pPr>
        <w:rPr>
          <w:rFonts w:cs="Arial"/>
          <w:szCs w:val="24"/>
        </w:rPr>
      </w:pPr>
      <w:r>
        <w:rPr>
          <w:rFonts w:cs="Arial"/>
          <w:szCs w:val="24"/>
        </w:rPr>
        <w:t>In addition to the signatories above the working group included:</w:t>
      </w:r>
    </w:p>
    <w:p w14:paraId="3B2E90FD" w14:textId="580D77C8" w:rsidR="000119C9" w:rsidRDefault="000119C9" w:rsidP="00B227F7">
      <w:pPr>
        <w:rPr>
          <w:rFonts w:cs="Arial"/>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513"/>
      </w:tblGrid>
      <w:tr w:rsidR="000119C9" w:rsidRPr="002E6857" w14:paraId="4F272F5B" w14:textId="77777777" w:rsidTr="00484796">
        <w:trPr>
          <w:trHeight w:val="254"/>
        </w:trPr>
        <w:tc>
          <w:tcPr>
            <w:tcW w:w="2439" w:type="dxa"/>
            <w:vAlign w:val="center"/>
          </w:tcPr>
          <w:p w14:paraId="321C54B4" w14:textId="77777777" w:rsidR="000119C9" w:rsidRPr="002E6857" w:rsidRDefault="000119C9" w:rsidP="00B34CA8">
            <w:pPr>
              <w:rPr>
                <w:rFonts w:cs="Arial"/>
                <w:b/>
                <w:sz w:val="22"/>
                <w:szCs w:val="22"/>
              </w:rPr>
            </w:pPr>
            <w:r w:rsidRPr="002E6857">
              <w:rPr>
                <w:rFonts w:cs="Arial"/>
                <w:b/>
                <w:sz w:val="22"/>
                <w:szCs w:val="22"/>
              </w:rPr>
              <w:t>Name</w:t>
            </w:r>
          </w:p>
        </w:tc>
        <w:tc>
          <w:tcPr>
            <w:tcW w:w="7513" w:type="dxa"/>
            <w:vAlign w:val="center"/>
          </w:tcPr>
          <w:p w14:paraId="03EA50B7" w14:textId="77777777" w:rsidR="000119C9" w:rsidRPr="002E6857" w:rsidRDefault="000119C9" w:rsidP="00B34CA8">
            <w:pPr>
              <w:rPr>
                <w:rFonts w:cs="Arial"/>
                <w:b/>
                <w:sz w:val="22"/>
                <w:szCs w:val="22"/>
              </w:rPr>
            </w:pPr>
            <w:r w:rsidRPr="002E6857">
              <w:rPr>
                <w:rFonts w:cs="Arial"/>
                <w:b/>
                <w:sz w:val="22"/>
                <w:szCs w:val="22"/>
              </w:rPr>
              <w:t>Designation</w:t>
            </w:r>
          </w:p>
        </w:tc>
      </w:tr>
      <w:tr w:rsidR="00484796" w:rsidRPr="002E6857" w14:paraId="252C72FF" w14:textId="77777777" w:rsidTr="004C6AE9">
        <w:trPr>
          <w:trHeight w:val="254"/>
        </w:trPr>
        <w:tc>
          <w:tcPr>
            <w:tcW w:w="2439" w:type="dxa"/>
            <w:vAlign w:val="center"/>
          </w:tcPr>
          <w:p w14:paraId="749084E3" w14:textId="0C5CA932" w:rsidR="00484796" w:rsidRDefault="00484796" w:rsidP="00DA1E83">
            <w:pPr>
              <w:pStyle w:val="Default"/>
              <w:spacing w:before="60" w:after="60"/>
              <w:rPr>
                <w:sz w:val="22"/>
                <w:szCs w:val="22"/>
              </w:rPr>
            </w:pPr>
            <w:r w:rsidRPr="00923F36">
              <w:rPr>
                <w:sz w:val="22"/>
                <w:szCs w:val="22"/>
              </w:rPr>
              <w:t>Jane Horsfall</w:t>
            </w:r>
          </w:p>
        </w:tc>
        <w:tc>
          <w:tcPr>
            <w:tcW w:w="7513" w:type="dxa"/>
            <w:vAlign w:val="center"/>
          </w:tcPr>
          <w:p w14:paraId="6746E0D6" w14:textId="41899A74" w:rsidR="00484796" w:rsidRDefault="00484796" w:rsidP="00AE67A4">
            <w:pPr>
              <w:pStyle w:val="Default"/>
              <w:spacing w:before="60" w:after="60"/>
              <w:rPr>
                <w:sz w:val="22"/>
                <w:szCs w:val="22"/>
              </w:rPr>
            </w:pPr>
            <w:r w:rsidRPr="00285E7A">
              <w:rPr>
                <w:sz w:val="22"/>
                <w:szCs w:val="22"/>
              </w:rPr>
              <w:t xml:space="preserve">Senior Policy Manager, </w:t>
            </w:r>
            <w:r w:rsidR="00006FA0">
              <w:rPr>
                <w:sz w:val="22"/>
                <w:szCs w:val="22"/>
              </w:rPr>
              <w:t>Primary Care Group</w:t>
            </w:r>
            <w:r w:rsidRPr="00923F36">
              <w:rPr>
                <w:sz w:val="22"/>
                <w:szCs w:val="22"/>
              </w:rPr>
              <w:t xml:space="preserve">, </w:t>
            </w:r>
            <w:r w:rsidR="0099186D">
              <w:rPr>
                <w:sz w:val="22"/>
                <w:szCs w:val="22"/>
              </w:rPr>
              <w:t>NHSEI</w:t>
            </w:r>
          </w:p>
        </w:tc>
      </w:tr>
      <w:tr w:rsidR="000119C9" w:rsidRPr="002E6857" w14:paraId="0B40C5F0" w14:textId="77777777" w:rsidTr="004C6AE9">
        <w:trPr>
          <w:trHeight w:val="254"/>
        </w:trPr>
        <w:tc>
          <w:tcPr>
            <w:tcW w:w="2439" w:type="dxa"/>
            <w:vAlign w:val="center"/>
          </w:tcPr>
          <w:p w14:paraId="3FB74DC4" w14:textId="288F3C43" w:rsidR="000119C9" w:rsidRPr="002E6857" w:rsidRDefault="000119C9" w:rsidP="00DA1E83">
            <w:pPr>
              <w:pStyle w:val="Default"/>
              <w:spacing w:before="60" w:after="60"/>
              <w:rPr>
                <w:sz w:val="22"/>
                <w:szCs w:val="22"/>
              </w:rPr>
            </w:pPr>
            <w:r>
              <w:rPr>
                <w:sz w:val="22"/>
                <w:szCs w:val="22"/>
              </w:rPr>
              <w:t>Jo Jenkins</w:t>
            </w:r>
          </w:p>
        </w:tc>
        <w:tc>
          <w:tcPr>
            <w:tcW w:w="7513" w:type="dxa"/>
            <w:vAlign w:val="center"/>
          </w:tcPr>
          <w:p w14:paraId="762F2F91" w14:textId="77CEE1AE" w:rsidR="000119C9" w:rsidRPr="002E6857" w:rsidRDefault="00E9244A" w:rsidP="00AE67A4">
            <w:pPr>
              <w:pStyle w:val="Default"/>
              <w:spacing w:before="60" w:after="60"/>
              <w:rPr>
                <w:bCs/>
                <w:sz w:val="22"/>
                <w:szCs w:val="22"/>
              </w:rPr>
            </w:pPr>
            <w:r>
              <w:rPr>
                <w:sz w:val="22"/>
                <w:szCs w:val="22"/>
              </w:rPr>
              <w:t>Specialist Pharmacist (Patient Group Directions), NHS Specialist Pharmacy Service</w:t>
            </w:r>
          </w:p>
        </w:tc>
      </w:tr>
      <w:tr w:rsidR="00484796" w:rsidRPr="0076250F" w14:paraId="413F922E" w14:textId="77777777" w:rsidTr="004C6AE9">
        <w:trPr>
          <w:trHeight w:val="254"/>
        </w:trPr>
        <w:tc>
          <w:tcPr>
            <w:tcW w:w="2439" w:type="dxa"/>
            <w:vAlign w:val="center"/>
          </w:tcPr>
          <w:p w14:paraId="272C4E0C" w14:textId="6C87C026" w:rsidR="00484796" w:rsidRDefault="00484796" w:rsidP="00DA1E83">
            <w:pPr>
              <w:pStyle w:val="Default"/>
              <w:spacing w:before="60" w:after="60"/>
              <w:rPr>
                <w:sz w:val="22"/>
                <w:szCs w:val="22"/>
              </w:rPr>
            </w:pPr>
            <w:r w:rsidRPr="00923F36">
              <w:rPr>
                <w:sz w:val="22"/>
                <w:szCs w:val="22"/>
              </w:rPr>
              <w:t>Jill Loader</w:t>
            </w:r>
          </w:p>
        </w:tc>
        <w:tc>
          <w:tcPr>
            <w:tcW w:w="7513" w:type="dxa"/>
            <w:vAlign w:val="center"/>
          </w:tcPr>
          <w:p w14:paraId="69BAE066" w14:textId="641071B7" w:rsidR="00484796" w:rsidRPr="00D50CE9" w:rsidRDefault="00484796" w:rsidP="00AE67A4">
            <w:pPr>
              <w:spacing w:before="60" w:after="60"/>
              <w:rPr>
                <w:rFonts w:cs="Arial"/>
                <w:sz w:val="22"/>
                <w:szCs w:val="22"/>
              </w:rPr>
            </w:pPr>
            <w:r w:rsidRPr="00285E7A">
              <w:rPr>
                <w:rFonts w:cs="Arial"/>
                <w:sz w:val="22"/>
                <w:szCs w:val="22"/>
              </w:rPr>
              <w:t xml:space="preserve">Deputy Director, </w:t>
            </w:r>
            <w:r w:rsidR="00006FA0">
              <w:rPr>
                <w:rFonts w:cs="Arial"/>
                <w:sz w:val="22"/>
                <w:szCs w:val="22"/>
              </w:rPr>
              <w:t>Primary Care Group</w:t>
            </w:r>
            <w:r w:rsidRPr="00923F36">
              <w:rPr>
                <w:rFonts w:cs="Arial"/>
                <w:sz w:val="22"/>
                <w:szCs w:val="22"/>
              </w:rPr>
              <w:t xml:space="preserve">, </w:t>
            </w:r>
            <w:r w:rsidR="0099186D">
              <w:rPr>
                <w:rFonts w:cs="Arial"/>
                <w:sz w:val="22"/>
                <w:szCs w:val="22"/>
              </w:rPr>
              <w:t>NHSEI</w:t>
            </w:r>
          </w:p>
        </w:tc>
      </w:tr>
      <w:tr w:rsidR="0099186D" w:rsidRPr="0076250F" w14:paraId="7C693D64" w14:textId="77777777" w:rsidTr="004C6AE9">
        <w:trPr>
          <w:trHeight w:val="254"/>
        </w:trPr>
        <w:tc>
          <w:tcPr>
            <w:tcW w:w="2439" w:type="dxa"/>
            <w:vAlign w:val="center"/>
          </w:tcPr>
          <w:p w14:paraId="4EF65031" w14:textId="65E7574A" w:rsidR="0099186D" w:rsidRPr="008333DE" w:rsidRDefault="0099186D" w:rsidP="0099186D">
            <w:pPr>
              <w:pStyle w:val="Default"/>
              <w:spacing w:before="60" w:after="60"/>
              <w:rPr>
                <w:sz w:val="22"/>
                <w:szCs w:val="22"/>
              </w:rPr>
            </w:pPr>
            <w:r>
              <w:rPr>
                <w:sz w:val="22"/>
                <w:szCs w:val="22"/>
              </w:rPr>
              <w:t>Naveen Dosanjh</w:t>
            </w:r>
          </w:p>
        </w:tc>
        <w:tc>
          <w:tcPr>
            <w:tcW w:w="7513" w:type="dxa"/>
          </w:tcPr>
          <w:p w14:paraId="5A6F56FE" w14:textId="003B8960" w:rsidR="0099186D" w:rsidRPr="0076250F" w:rsidRDefault="00AF6C7C" w:rsidP="0099186D">
            <w:pPr>
              <w:spacing w:before="60" w:after="60"/>
              <w:rPr>
                <w:rStyle w:val="st1"/>
                <w:color w:val="000000"/>
                <w:sz w:val="22"/>
                <w:szCs w:val="22"/>
              </w:rPr>
            </w:pPr>
            <w:r w:rsidRPr="005029D4">
              <w:rPr>
                <w:rFonts w:cs="Arial"/>
                <w:sz w:val="22"/>
                <w:szCs w:val="22"/>
              </w:rPr>
              <w:t>Senior Clinical Advisor – Pharmacy, Clinical Workstream (COVID-19 Vaccination Programme), NHSEI</w:t>
            </w:r>
          </w:p>
        </w:tc>
      </w:tr>
      <w:tr w:rsidR="0099186D" w:rsidRPr="002E6857" w14:paraId="1804E7C6" w14:textId="77777777" w:rsidTr="004C6AE9">
        <w:trPr>
          <w:trHeight w:val="254"/>
        </w:trPr>
        <w:tc>
          <w:tcPr>
            <w:tcW w:w="2439" w:type="dxa"/>
            <w:vAlign w:val="center"/>
          </w:tcPr>
          <w:p w14:paraId="15D975BE" w14:textId="4183AB60" w:rsidR="0099186D" w:rsidRPr="00923F36" w:rsidRDefault="0099186D" w:rsidP="0099186D">
            <w:pPr>
              <w:pStyle w:val="Default"/>
              <w:spacing w:before="60" w:after="60"/>
              <w:rPr>
                <w:sz w:val="22"/>
                <w:szCs w:val="22"/>
              </w:rPr>
            </w:pPr>
            <w:r>
              <w:rPr>
                <w:color w:val="auto"/>
                <w:sz w:val="22"/>
                <w:szCs w:val="22"/>
              </w:rPr>
              <w:t>Gul Root</w:t>
            </w:r>
          </w:p>
        </w:tc>
        <w:tc>
          <w:tcPr>
            <w:tcW w:w="7513" w:type="dxa"/>
            <w:vAlign w:val="center"/>
          </w:tcPr>
          <w:p w14:paraId="5286CA1F" w14:textId="520D8965" w:rsidR="0099186D" w:rsidRPr="00285E7A" w:rsidRDefault="0099186D" w:rsidP="0099186D">
            <w:pPr>
              <w:pStyle w:val="Default"/>
              <w:spacing w:before="60" w:after="60"/>
              <w:rPr>
                <w:sz w:val="22"/>
                <w:szCs w:val="22"/>
              </w:rPr>
            </w:pPr>
            <w:r w:rsidRPr="00923F36">
              <w:rPr>
                <w:sz w:val="22"/>
                <w:szCs w:val="22"/>
              </w:rPr>
              <w:t>Principal Pharmaceutical Officer, Department of Health</w:t>
            </w:r>
            <w:r>
              <w:rPr>
                <w:sz w:val="22"/>
                <w:szCs w:val="22"/>
              </w:rPr>
              <w:t xml:space="preserve"> and Social Care and </w:t>
            </w:r>
            <w:r w:rsidRPr="00923F36">
              <w:rPr>
                <w:sz w:val="22"/>
                <w:szCs w:val="22"/>
              </w:rPr>
              <w:t>National lead pharmacy public health</w:t>
            </w:r>
            <w:r>
              <w:rPr>
                <w:sz w:val="22"/>
                <w:szCs w:val="22"/>
              </w:rPr>
              <w:t>, Office for Health Improvement and Disparities</w:t>
            </w:r>
          </w:p>
        </w:tc>
      </w:tr>
    </w:tbl>
    <w:p w14:paraId="221D81FC" w14:textId="67339A4B" w:rsidR="000119C9" w:rsidRDefault="000119C9" w:rsidP="00B227F7">
      <w:pPr>
        <w:rPr>
          <w:rFonts w:cs="Arial"/>
          <w:szCs w:val="24"/>
        </w:rPr>
      </w:pPr>
    </w:p>
    <w:p w14:paraId="2BB3C66B" w14:textId="297AE618" w:rsidR="00B227F7" w:rsidRPr="00E161EA" w:rsidRDefault="00B227F7" w:rsidP="00B227F7">
      <w:pPr>
        <w:rPr>
          <w:rFonts w:cs="Arial"/>
          <w:szCs w:val="24"/>
        </w:rPr>
      </w:pPr>
      <w:r w:rsidRPr="00E161EA">
        <w:rPr>
          <w:rFonts w:cs="Arial"/>
          <w:szCs w:val="24"/>
        </w:rPr>
        <w:t xml:space="preserve">This PGD has been peer reviewed by the </w:t>
      </w:r>
      <w:r w:rsidR="0099186D">
        <w:rPr>
          <w:rFonts w:cs="Arial"/>
          <w:szCs w:val="24"/>
        </w:rPr>
        <w:t>UKHSA</w:t>
      </w:r>
      <w:r w:rsidRPr="00E161EA">
        <w:rPr>
          <w:rFonts w:cs="Arial"/>
          <w:szCs w:val="24"/>
        </w:rPr>
        <w:t xml:space="preserve"> Immunisations PGD Expert Panel in accordance with </w:t>
      </w:r>
      <w:r w:rsidR="00AF6C7C">
        <w:rPr>
          <w:rFonts w:cs="Arial"/>
          <w:szCs w:val="24"/>
        </w:rPr>
        <w:t xml:space="preserve">the </w:t>
      </w:r>
      <w:r w:rsidR="0099186D">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ratified by </w:t>
      </w:r>
      <w:r>
        <w:rPr>
          <w:rFonts w:cs="Arial"/>
          <w:szCs w:val="24"/>
        </w:rPr>
        <w:t xml:space="preserve">the </w:t>
      </w:r>
      <w:r w:rsidR="0099186D">
        <w:rPr>
          <w:rFonts w:cs="Arial"/>
          <w:szCs w:val="24"/>
        </w:rPr>
        <w:t>UKHSA</w:t>
      </w:r>
      <w:r w:rsidRPr="00E161EA">
        <w:rPr>
          <w:rFonts w:cs="Arial"/>
          <w:szCs w:val="24"/>
        </w:rPr>
        <w:t xml:space="preserve"> Medicines </w:t>
      </w:r>
      <w:r w:rsidR="007F34E7">
        <w:rPr>
          <w:rFonts w:cs="Arial"/>
          <w:szCs w:val="24"/>
        </w:rPr>
        <w:t>Governance</w:t>
      </w:r>
      <w:r w:rsidR="007F34E7" w:rsidRPr="00E161EA">
        <w:rPr>
          <w:rFonts w:cs="Arial"/>
          <w:szCs w:val="24"/>
        </w:rPr>
        <w:t xml:space="preserve"> </w:t>
      </w:r>
      <w:r w:rsidRPr="00E161EA">
        <w:rPr>
          <w:rFonts w:cs="Arial"/>
          <w:szCs w:val="24"/>
        </w:rPr>
        <w:t>Group and</w:t>
      </w:r>
      <w:r>
        <w:rPr>
          <w:rFonts w:cs="Arial"/>
          <w:szCs w:val="24"/>
        </w:rPr>
        <w:t xml:space="preserve"> the</w:t>
      </w:r>
      <w:r w:rsidRPr="00E161EA">
        <w:rPr>
          <w:rFonts w:cs="Arial"/>
          <w:szCs w:val="24"/>
        </w:rPr>
        <w:t xml:space="preserve"> </w:t>
      </w:r>
      <w:r w:rsidR="0099186D">
        <w:rPr>
          <w:rFonts w:cs="Arial"/>
          <w:szCs w:val="24"/>
        </w:rPr>
        <w:t>UKHSA</w:t>
      </w:r>
      <w:r w:rsidRPr="009A2DE4">
        <w:rPr>
          <w:rFonts w:cs="Arial"/>
          <w:szCs w:val="24"/>
        </w:rPr>
        <w:t xml:space="preserve"> Quality and Clinical Governance </w:t>
      </w:r>
      <w:r>
        <w:rPr>
          <w:rFonts w:cs="Arial"/>
          <w:szCs w:val="24"/>
        </w:rPr>
        <w:t>Delivery Board</w:t>
      </w:r>
      <w:r w:rsidRPr="00E161EA">
        <w:rPr>
          <w:rFonts w:cs="Arial"/>
          <w:szCs w:val="24"/>
        </w:rPr>
        <w:t>.</w:t>
      </w:r>
    </w:p>
    <w:p w14:paraId="2ACFD000" w14:textId="77777777" w:rsidR="00B227F7" w:rsidRPr="00E161EA" w:rsidRDefault="00B227F7" w:rsidP="00B227F7">
      <w:pPr>
        <w:rPr>
          <w:szCs w:val="24"/>
        </w:rPr>
      </w:pPr>
    </w:p>
    <w:p w14:paraId="016B5906" w14:textId="77777777" w:rsidR="00B227F7" w:rsidRPr="00E161EA" w:rsidRDefault="00B227F7" w:rsidP="00B227F7">
      <w:pPr>
        <w:spacing w:line="276" w:lineRule="auto"/>
        <w:rPr>
          <w:rFonts w:cs="Arial"/>
          <w:b/>
          <w:szCs w:val="24"/>
        </w:rPr>
      </w:pPr>
      <w:r>
        <w:rPr>
          <w:rFonts w:cs="Arial"/>
          <w:b/>
          <w:szCs w:val="24"/>
        </w:rPr>
        <w:t>Expert Panel</w:t>
      </w:r>
    </w:p>
    <w:p w14:paraId="0E42DBD0" w14:textId="77777777" w:rsidR="00B227F7" w:rsidRPr="00E161EA" w:rsidRDefault="00B227F7" w:rsidP="00B227F7">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68"/>
      </w:tblGrid>
      <w:tr w:rsidR="00B227F7" w:rsidRPr="009E0FB8" w14:paraId="00A7960A" w14:textId="77777777" w:rsidTr="000119C9">
        <w:trPr>
          <w:trHeight w:val="254"/>
        </w:trPr>
        <w:tc>
          <w:tcPr>
            <w:tcW w:w="2378" w:type="dxa"/>
            <w:vAlign w:val="center"/>
          </w:tcPr>
          <w:p w14:paraId="35F7853B" w14:textId="77777777" w:rsidR="00B227F7" w:rsidRPr="002E6857" w:rsidRDefault="00B227F7" w:rsidP="007B2C02">
            <w:pPr>
              <w:rPr>
                <w:rFonts w:cs="Arial"/>
                <w:b/>
                <w:sz w:val="22"/>
                <w:szCs w:val="22"/>
              </w:rPr>
            </w:pPr>
            <w:r w:rsidRPr="002E6857">
              <w:rPr>
                <w:rFonts w:cs="Arial"/>
                <w:b/>
                <w:sz w:val="22"/>
                <w:szCs w:val="22"/>
              </w:rPr>
              <w:t>Name</w:t>
            </w:r>
          </w:p>
        </w:tc>
        <w:tc>
          <w:tcPr>
            <w:tcW w:w="7368" w:type="dxa"/>
            <w:vAlign w:val="center"/>
          </w:tcPr>
          <w:p w14:paraId="73BEFAC7" w14:textId="77777777" w:rsidR="00B227F7" w:rsidRPr="002E6857" w:rsidRDefault="00B227F7" w:rsidP="007B2C02">
            <w:pPr>
              <w:rPr>
                <w:rFonts w:cs="Arial"/>
                <w:b/>
                <w:sz w:val="22"/>
                <w:szCs w:val="22"/>
              </w:rPr>
            </w:pPr>
            <w:r w:rsidRPr="002E6857">
              <w:rPr>
                <w:rFonts w:cs="Arial"/>
                <w:b/>
                <w:sz w:val="22"/>
                <w:szCs w:val="22"/>
              </w:rPr>
              <w:t>Designation</w:t>
            </w:r>
          </w:p>
        </w:tc>
      </w:tr>
      <w:tr w:rsidR="00FC09B6" w:rsidRPr="009E0FB8" w14:paraId="3AA81231" w14:textId="77777777" w:rsidTr="004C6AE9">
        <w:trPr>
          <w:trHeight w:val="254"/>
        </w:trPr>
        <w:tc>
          <w:tcPr>
            <w:tcW w:w="2378" w:type="dxa"/>
            <w:vAlign w:val="center"/>
          </w:tcPr>
          <w:p w14:paraId="3833A6EB" w14:textId="77777777" w:rsidR="00FC09B6" w:rsidRPr="008333DE" w:rsidRDefault="00FC09B6" w:rsidP="00FC09B6">
            <w:pPr>
              <w:pStyle w:val="Default"/>
              <w:spacing w:before="60" w:after="60"/>
              <w:rPr>
                <w:sz w:val="22"/>
                <w:szCs w:val="22"/>
              </w:rPr>
            </w:pPr>
            <w:r w:rsidRPr="00DD510B">
              <w:rPr>
                <w:sz w:val="22"/>
                <w:szCs w:val="22"/>
              </w:rPr>
              <w:t>Nicholas Aigbogun</w:t>
            </w:r>
          </w:p>
        </w:tc>
        <w:tc>
          <w:tcPr>
            <w:tcW w:w="7368" w:type="dxa"/>
            <w:vAlign w:val="center"/>
          </w:tcPr>
          <w:p w14:paraId="3097626F" w14:textId="6AD9FD69" w:rsidR="00FC09B6" w:rsidRPr="008333DE" w:rsidRDefault="00FC09B6" w:rsidP="00FC09B6">
            <w:pPr>
              <w:pStyle w:val="Default"/>
              <w:spacing w:before="60" w:after="60"/>
              <w:rPr>
                <w:sz w:val="22"/>
                <w:szCs w:val="22"/>
              </w:rPr>
            </w:pPr>
            <w:r w:rsidRPr="00626654">
              <w:rPr>
                <w:rStyle w:val="st1"/>
                <w:sz w:val="22"/>
                <w:szCs w:val="22"/>
                <w:lang w:eastAsia="en-US"/>
              </w:rPr>
              <w:t xml:space="preserve">Consultant in Communicable Disease Control, </w:t>
            </w:r>
            <w:r w:rsidR="00AE67A4" w:rsidRPr="004C6AE9">
              <w:rPr>
                <w:rStyle w:val="st1"/>
                <w:sz w:val="22"/>
                <w:szCs w:val="22"/>
                <w:lang w:eastAsia="en-US"/>
              </w:rPr>
              <w:t>Yorkshire and Humber Health Protection Team,</w:t>
            </w:r>
            <w:r w:rsidR="00AE67A4" w:rsidRPr="00626654">
              <w:rPr>
                <w:rStyle w:val="st1"/>
                <w:sz w:val="22"/>
                <w:szCs w:val="22"/>
                <w:lang w:eastAsia="en-US"/>
              </w:rPr>
              <w:t xml:space="preserve"> </w:t>
            </w:r>
            <w:r w:rsidR="0099186D">
              <w:rPr>
                <w:rStyle w:val="st1"/>
                <w:sz w:val="22"/>
                <w:szCs w:val="22"/>
                <w:lang w:eastAsia="en-US"/>
              </w:rPr>
              <w:t>U</w:t>
            </w:r>
            <w:r w:rsidR="0099186D">
              <w:rPr>
                <w:rStyle w:val="st1"/>
                <w:sz w:val="22"/>
                <w:szCs w:val="22"/>
              </w:rPr>
              <w:t>KHSA</w:t>
            </w:r>
          </w:p>
        </w:tc>
      </w:tr>
      <w:tr w:rsidR="00572860" w:rsidRPr="009E0FB8" w14:paraId="16F6EC10" w14:textId="77777777" w:rsidTr="004C6AE9">
        <w:trPr>
          <w:trHeight w:val="254"/>
        </w:trPr>
        <w:tc>
          <w:tcPr>
            <w:tcW w:w="2378" w:type="dxa"/>
            <w:vAlign w:val="center"/>
          </w:tcPr>
          <w:p w14:paraId="0534EE44" w14:textId="1FB86913" w:rsidR="00572860" w:rsidRPr="008333DE" w:rsidRDefault="00572860" w:rsidP="007B2C02">
            <w:pPr>
              <w:pStyle w:val="Default"/>
              <w:spacing w:before="60" w:after="60"/>
              <w:rPr>
                <w:sz w:val="22"/>
                <w:szCs w:val="22"/>
              </w:rPr>
            </w:pPr>
            <w:r>
              <w:rPr>
                <w:sz w:val="22"/>
                <w:szCs w:val="22"/>
              </w:rPr>
              <w:t>Sarah Dermont</w:t>
            </w:r>
          </w:p>
        </w:tc>
        <w:tc>
          <w:tcPr>
            <w:tcW w:w="7368" w:type="dxa"/>
            <w:vAlign w:val="center"/>
          </w:tcPr>
          <w:p w14:paraId="5AA56A96" w14:textId="47DB850D" w:rsidR="00572860" w:rsidRPr="008333DE" w:rsidRDefault="00455EA2" w:rsidP="007B2C02">
            <w:pPr>
              <w:pStyle w:val="Default"/>
              <w:spacing w:before="60" w:after="60"/>
              <w:rPr>
                <w:sz w:val="22"/>
                <w:szCs w:val="22"/>
              </w:rPr>
            </w:pPr>
            <w:r w:rsidRPr="00455EA2">
              <w:rPr>
                <w:sz w:val="22"/>
                <w:szCs w:val="22"/>
              </w:rPr>
              <w:t xml:space="preserve">Clinical Project Coordinator and Registered Midwife, NHS Infectious Diseases in Pregnancy Screening Programme, </w:t>
            </w:r>
            <w:r w:rsidR="0099186D">
              <w:rPr>
                <w:sz w:val="22"/>
                <w:szCs w:val="22"/>
              </w:rPr>
              <w:t>NHSEI</w:t>
            </w:r>
          </w:p>
        </w:tc>
      </w:tr>
      <w:tr w:rsidR="00B227F7" w:rsidRPr="009E0FB8" w14:paraId="5A97DFAC" w14:textId="77777777" w:rsidTr="004C6AE9">
        <w:trPr>
          <w:trHeight w:val="254"/>
        </w:trPr>
        <w:tc>
          <w:tcPr>
            <w:tcW w:w="2378" w:type="dxa"/>
            <w:vAlign w:val="center"/>
          </w:tcPr>
          <w:p w14:paraId="5CCEC1C8" w14:textId="77777777" w:rsidR="00B227F7" w:rsidRPr="002E6857" w:rsidRDefault="00B227F7" w:rsidP="007B2C02">
            <w:pPr>
              <w:pStyle w:val="Default"/>
              <w:spacing w:before="60" w:after="60"/>
              <w:rPr>
                <w:sz w:val="22"/>
                <w:szCs w:val="22"/>
              </w:rPr>
            </w:pPr>
            <w:r w:rsidRPr="008333DE">
              <w:rPr>
                <w:sz w:val="22"/>
                <w:szCs w:val="22"/>
              </w:rPr>
              <w:t>Ed Gardner</w:t>
            </w:r>
          </w:p>
        </w:tc>
        <w:tc>
          <w:tcPr>
            <w:tcW w:w="7368" w:type="dxa"/>
            <w:vAlign w:val="center"/>
          </w:tcPr>
          <w:p w14:paraId="02ED09A6" w14:textId="77777777" w:rsidR="00B227F7" w:rsidRPr="002E6857" w:rsidRDefault="00B227F7" w:rsidP="007B2C02">
            <w:pPr>
              <w:pStyle w:val="Default"/>
              <w:spacing w:before="60" w:after="60"/>
              <w:rPr>
                <w:bCs/>
                <w:sz w:val="22"/>
                <w:szCs w:val="22"/>
              </w:rPr>
            </w:pPr>
            <w:r w:rsidRPr="008333DE">
              <w:rPr>
                <w:sz w:val="22"/>
                <w:szCs w:val="22"/>
              </w:rPr>
              <w:t>Advanced Paramedic Practitioner/Emergency Care Practitioner, Medicines Manager, Proactive Care Lead</w:t>
            </w:r>
          </w:p>
        </w:tc>
      </w:tr>
      <w:tr w:rsidR="00B227F7" w:rsidRPr="009E0FB8" w14:paraId="7C380274" w14:textId="77777777" w:rsidTr="004C6AE9">
        <w:trPr>
          <w:trHeight w:val="254"/>
        </w:trPr>
        <w:tc>
          <w:tcPr>
            <w:tcW w:w="2378" w:type="dxa"/>
            <w:vAlign w:val="center"/>
          </w:tcPr>
          <w:p w14:paraId="0F6CB670" w14:textId="77777777" w:rsidR="00B227F7" w:rsidRPr="008333DE" w:rsidRDefault="00B227F7" w:rsidP="007B2C02">
            <w:pPr>
              <w:pStyle w:val="Default"/>
              <w:spacing w:before="60" w:after="60"/>
              <w:rPr>
                <w:sz w:val="22"/>
                <w:szCs w:val="22"/>
              </w:rPr>
            </w:pPr>
            <w:r>
              <w:rPr>
                <w:sz w:val="22"/>
                <w:szCs w:val="22"/>
              </w:rPr>
              <w:t>Michelle Jones</w:t>
            </w:r>
          </w:p>
        </w:tc>
        <w:tc>
          <w:tcPr>
            <w:tcW w:w="7368" w:type="dxa"/>
            <w:vAlign w:val="center"/>
          </w:tcPr>
          <w:p w14:paraId="589F8ED9" w14:textId="4B8C30BE" w:rsidR="00B227F7" w:rsidRPr="0076250F" w:rsidRDefault="0099186D" w:rsidP="007B2C02">
            <w:pPr>
              <w:spacing w:before="60" w:after="60"/>
              <w:rPr>
                <w:rStyle w:val="st1"/>
                <w:color w:val="000000"/>
                <w:sz w:val="22"/>
                <w:szCs w:val="22"/>
              </w:rPr>
            </w:pPr>
            <w:r>
              <w:rPr>
                <w:rStyle w:val="st1"/>
                <w:color w:val="000000"/>
                <w:sz w:val="22"/>
                <w:szCs w:val="22"/>
              </w:rPr>
              <w:t>Principal</w:t>
            </w:r>
            <w:r w:rsidR="00B227F7" w:rsidRPr="0076250F">
              <w:rPr>
                <w:rStyle w:val="st1"/>
                <w:color w:val="000000"/>
                <w:sz w:val="22"/>
                <w:szCs w:val="22"/>
              </w:rPr>
              <w:t xml:space="preserve"> </w:t>
            </w:r>
            <w:r w:rsidR="00B227F7" w:rsidRPr="0076250F">
              <w:rPr>
                <w:rStyle w:val="st1"/>
                <w:rFonts w:cs="Arial"/>
                <w:color w:val="000000"/>
                <w:sz w:val="22"/>
                <w:szCs w:val="22"/>
              </w:rPr>
              <w:t>Medicines</w:t>
            </w:r>
            <w:r w:rsidR="00B227F7" w:rsidRPr="0076250F">
              <w:rPr>
                <w:rStyle w:val="st1"/>
                <w:color w:val="000000"/>
                <w:sz w:val="22"/>
                <w:szCs w:val="22"/>
              </w:rPr>
              <w:t xml:space="preserve"> Optimisation Pharmacist</w:t>
            </w:r>
            <w:r w:rsidR="00B227F7">
              <w:rPr>
                <w:rStyle w:val="st1"/>
                <w:color w:val="000000"/>
                <w:sz w:val="22"/>
                <w:szCs w:val="22"/>
              </w:rPr>
              <w:t xml:space="preserve">, </w:t>
            </w:r>
            <w:r w:rsidR="00B227F7" w:rsidRPr="0076250F">
              <w:rPr>
                <w:rStyle w:val="st1"/>
                <w:color w:val="000000"/>
                <w:sz w:val="22"/>
                <w:szCs w:val="22"/>
              </w:rPr>
              <w:t xml:space="preserve">NHS Bristol North Somerset </w:t>
            </w:r>
            <w:r w:rsidR="003B77E0">
              <w:rPr>
                <w:rStyle w:val="st1"/>
                <w:color w:val="000000"/>
                <w:sz w:val="22"/>
                <w:szCs w:val="22"/>
              </w:rPr>
              <w:t>and</w:t>
            </w:r>
            <w:r w:rsidR="00B227F7" w:rsidRPr="0076250F">
              <w:rPr>
                <w:rStyle w:val="st1"/>
                <w:color w:val="000000"/>
                <w:sz w:val="22"/>
                <w:szCs w:val="22"/>
              </w:rPr>
              <w:t xml:space="preserve"> South Gloucestershire CCG</w:t>
            </w:r>
          </w:p>
        </w:tc>
      </w:tr>
      <w:tr w:rsidR="00B227F7" w:rsidRPr="009E0FB8" w14:paraId="130EC803" w14:textId="77777777" w:rsidTr="004C6AE9">
        <w:trPr>
          <w:trHeight w:val="254"/>
        </w:trPr>
        <w:tc>
          <w:tcPr>
            <w:tcW w:w="2378" w:type="dxa"/>
            <w:vAlign w:val="center"/>
          </w:tcPr>
          <w:p w14:paraId="0BC3245D" w14:textId="77777777" w:rsidR="00B227F7" w:rsidRPr="002E6857" w:rsidRDefault="00B227F7" w:rsidP="007B2C02">
            <w:pPr>
              <w:pStyle w:val="Default"/>
              <w:spacing w:before="60" w:after="60"/>
              <w:rPr>
                <w:color w:val="auto"/>
                <w:sz w:val="22"/>
                <w:szCs w:val="22"/>
              </w:rPr>
            </w:pPr>
            <w:r w:rsidRPr="008333DE">
              <w:rPr>
                <w:sz w:val="22"/>
                <w:szCs w:val="22"/>
              </w:rPr>
              <w:t>Jacqueline Lamberty</w:t>
            </w:r>
          </w:p>
        </w:tc>
        <w:tc>
          <w:tcPr>
            <w:tcW w:w="7368" w:type="dxa"/>
            <w:vAlign w:val="center"/>
          </w:tcPr>
          <w:p w14:paraId="5856BFF4" w14:textId="3D84F6F2" w:rsidR="00B227F7" w:rsidRPr="00AF6C7C" w:rsidRDefault="00B227F7" w:rsidP="007B2C02">
            <w:pPr>
              <w:pStyle w:val="Default"/>
              <w:spacing w:before="60" w:after="60"/>
              <w:rPr>
                <w:color w:val="auto"/>
                <w:sz w:val="22"/>
                <w:szCs w:val="22"/>
              </w:rPr>
            </w:pPr>
            <w:r w:rsidRPr="00AF6C7C">
              <w:rPr>
                <w:rStyle w:val="st1"/>
                <w:sz w:val="22"/>
                <w:szCs w:val="22"/>
              </w:rPr>
              <w:t xml:space="preserve">Lead Pharmacist Medicines </w:t>
            </w:r>
            <w:r w:rsidR="00AF6C7C" w:rsidRPr="00AF6C7C">
              <w:rPr>
                <w:rStyle w:val="st1"/>
                <w:sz w:val="22"/>
                <w:szCs w:val="22"/>
              </w:rPr>
              <w:t>G</w:t>
            </w:r>
            <w:r w:rsidR="00AF6C7C" w:rsidRPr="005029D4">
              <w:rPr>
                <w:rStyle w:val="st1"/>
                <w:sz w:val="22"/>
                <w:szCs w:val="22"/>
              </w:rPr>
              <w:t>overnance</w:t>
            </w:r>
            <w:r w:rsidRPr="00AF6C7C">
              <w:rPr>
                <w:rStyle w:val="st1"/>
                <w:sz w:val="22"/>
                <w:szCs w:val="22"/>
              </w:rPr>
              <w:t xml:space="preserve"> Services, </w:t>
            </w:r>
            <w:r w:rsidR="0099186D" w:rsidRPr="00AF6C7C">
              <w:rPr>
                <w:rStyle w:val="st1"/>
                <w:sz w:val="22"/>
                <w:szCs w:val="22"/>
              </w:rPr>
              <w:t>UKHSA</w:t>
            </w:r>
          </w:p>
        </w:tc>
      </w:tr>
      <w:tr w:rsidR="000119C9" w:rsidRPr="009E0FB8" w14:paraId="759D7833" w14:textId="77777777" w:rsidTr="004C6AE9">
        <w:trPr>
          <w:trHeight w:val="254"/>
        </w:trPr>
        <w:tc>
          <w:tcPr>
            <w:tcW w:w="2378" w:type="dxa"/>
            <w:vAlign w:val="center"/>
          </w:tcPr>
          <w:p w14:paraId="391BE2CC" w14:textId="7DBC7B74" w:rsidR="000119C9" w:rsidRPr="008333DE" w:rsidRDefault="000119C9" w:rsidP="007B2C02">
            <w:pPr>
              <w:pStyle w:val="Default"/>
              <w:spacing w:before="60" w:after="60"/>
              <w:rPr>
                <w:sz w:val="22"/>
                <w:szCs w:val="22"/>
              </w:rPr>
            </w:pPr>
            <w:r w:rsidRPr="008333DE">
              <w:rPr>
                <w:sz w:val="22"/>
                <w:szCs w:val="22"/>
              </w:rPr>
              <w:t>Vanessa MacGregor</w:t>
            </w:r>
          </w:p>
        </w:tc>
        <w:tc>
          <w:tcPr>
            <w:tcW w:w="7368" w:type="dxa"/>
            <w:vAlign w:val="center"/>
          </w:tcPr>
          <w:p w14:paraId="7DD87F6D" w14:textId="31028352" w:rsidR="000119C9" w:rsidRPr="008333DE" w:rsidRDefault="000119C9" w:rsidP="007B2C02">
            <w:pPr>
              <w:pStyle w:val="Default"/>
              <w:spacing w:before="60" w:after="60"/>
              <w:rPr>
                <w:rStyle w:val="st1"/>
                <w:sz w:val="22"/>
                <w:szCs w:val="22"/>
                <w:lang w:eastAsia="en-US"/>
              </w:rPr>
            </w:pPr>
            <w:r w:rsidRPr="008333DE">
              <w:rPr>
                <w:rStyle w:val="st1"/>
                <w:sz w:val="22"/>
                <w:szCs w:val="22"/>
                <w:lang w:eastAsia="en-US"/>
              </w:rPr>
              <w:t>Consultant in Communicable Disease Control, East Midlands Health Protection Team</w:t>
            </w:r>
            <w:r w:rsidR="0099186D">
              <w:rPr>
                <w:rStyle w:val="st1"/>
                <w:sz w:val="22"/>
                <w:szCs w:val="22"/>
                <w:lang w:eastAsia="en-US"/>
              </w:rPr>
              <w:t>, UKHSA</w:t>
            </w:r>
          </w:p>
        </w:tc>
      </w:tr>
      <w:tr w:rsidR="000119C9" w:rsidRPr="009E0FB8" w14:paraId="297E87BF" w14:textId="77777777" w:rsidTr="004C6AE9">
        <w:trPr>
          <w:trHeight w:val="254"/>
        </w:trPr>
        <w:tc>
          <w:tcPr>
            <w:tcW w:w="2378" w:type="dxa"/>
            <w:vAlign w:val="center"/>
          </w:tcPr>
          <w:p w14:paraId="35192341" w14:textId="5B1430DA" w:rsidR="000119C9" w:rsidRPr="002E6857" w:rsidRDefault="000119C9" w:rsidP="007B2C02">
            <w:pPr>
              <w:pStyle w:val="Default"/>
              <w:spacing w:before="60" w:after="60"/>
              <w:rPr>
                <w:color w:val="auto"/>
                <w:sz w:val="22"/>
                <w:szCs w:val="22"/>
              </w:rPr>
            </w:pPr>
            <w:r w:rsidRPr="008333DE">
              <w:rPr>
                <w:sz w:val="22"/>
                <w:szCs w:val="22"/>
              </w:rPr>
              <w:lastRenderedPageBreak/>
              <w:t>Alison Mackenzie</w:t>
            </w:r>
          </w:p>
        </w:tc>
        <w:tc>
          <w:tcPr>
            <w:tcW w:w="7368" w:type="dxa"/>
            <w:vAlign w:val="center"/>
          </w:tcPr>
          <w:p w14:paraId="206A4FA7" w14:textId="2012BDB2" w:rsidR="000119C9" w:rsidRPr="002E6857" w:rsidRDefault="000119C9" w:rsidP="007B2C02">
            <w:pPr>
              <w:pStyle w:val="Default"/>
              <w:spacing w:before="60" w:after="60"/>
              <w:rPr>
                <w:color w:val="auto"/>
                <w:sz w:val="22"/>
                <w:szCs w:val="22"/>
              </w:rPr>
            </w:pPr>
            <w:r w:rsidRPr="008333DE">
              <w:rPr>
                <w:rStyle w:val="st1"/>
                <w:sz w:val="22"/>
                <w:szCs w:val="22"/>
                <w:lang w:eastAsia="en-US"/>
              </w:rPr>
              <w:t>Consultant in Public Health Medicine, Screening and Immunisation Lead</w:t>
            </w:r>
            <w:r w:rsidR="0099186D">
              <w:rPr>
                <w:rStyle w:val="st1"/>
                <w:sz w:val="22"/>
                <w:szCs w:val="22"/>
                <w:lang w:eastAsia="en-US"/>
              </w:rPr>
              <w:t xml:space="preserve"> </w:t>
            </w:r>
            <w:r w:rsidR="0099186D">
              <w:rPr>
                <w:sz w:val="22"/>
                <w:szCs w:val="22"/>
              </w:rPr>
              <w:t>NHSEI</w:t>
            </w:r>
            <w:r w:rsidRPr="008333DE">
              <w:rPr>
                <w:rStyle w:val="st1"/>
                <w:sz w:val="22"/>
                <w:szCs w:val="22"/>
                <w:lang w:eastAsia="en-US"/>
              </w:rPr>
              <w:t xml:space="preserve"> South (South West)</w:t>
            </w:r>
          </w:p>
        </w:tc>
      </w:tr>
      <w:tr w:rsidR="000119C9" w:rsidRPr="009E0FB8" w14:paraId="2F3C7D4E" w14:textId="77777777" w:rsidTr="004C6AE9">
        <w:trPr>
          <w:trHeight w:val="254"/>
        </w:trPr>
        <w:tc>
          <w:tcPr>
            <w:tcW w:w="2378" w:type="dxa"/>
            <w:vAlign w:val="center"/>
          </w:tcPr>
          <w:p w14:paraId="762A6833" w14:textId="25BFAE3D" w:rsidR="000119C9" w:rsidRPr="002E6857" w:rsidRDefault="000119C9" w:rsidP="007B2C02">
            <w:pPr>
              <w:pStyle w:val="Default"/>
              <w:spacing w:before="60" w:after="60"/>
              <w:rPr>
                <w:sz w:val="22"/>
                <w:szCs w:val="22"/>
              </w:rPr>
            </w:pPr>
            <w:r w:rsidRPr="008333DE">
              <w:rPr>
                <w:sz w:val="22"/>
                <w:szCs w:val="22"/>
              </w:rPr>
              <w:t>Gill Marsh</w:t>
            </w:r>
          </w:p>
        </w:tc>
        <w:tc>
          <w:tcPr>
            <w:tcW w:w="7368" w:type="dxa"/>
            <w:vAlign w:val="center"/>
          </w:tcPr>
          <w:p w14:paraId="53EC671C" w14:textId="0A041C7A" w:rsidR="000119C9" w:rsidRPr="002E6857" w:rsidRDefault="00EF353C" w:rsidP="007B2C02">
            <w:pPr>
              <w:pStyle w:val="Default"/>
              <w:spacing w:before="60" w:after="60"/>
              <w:rPr>
                <w:sz w:val="22"/>
                <w:szCs w:val="22"/>
              </w:rPr>
            </w:pPr>
            <w:r>
              <w:rPr>
                <w:sz w:val="22"/>
                <w:szCs w:val="22"/>
              </w:rPr>
              <w:t>Principal</w:t>
            </w:r>
            <w:r w:rsidR="000119C9" w:rsidRPr="008C32A0">
              <w:rPr>
                <w:sz w:val="22"/>
                <w:szCs w:val="22"/>
              </w:rPr>
              <w:t xml:space="preserve"> Screening and Immunisation Manager, Public Health England / </w:t>
            </w:r>
            <w:r w:rsidR="0099186D">
              <w:rPr>
                <w:sz w:val="22"/>
                <w:szCs w:val="22"/>
              </w:rPr>
              <w:t>NHSEI</w:t>
            </w:r>
            <w:r w:rsidR="000119C9" w:rsidRPr="008C32A0" w:rsidDel="008C32A0">
              <w:rPr>
                <w:sz w:val="22"/>
                <w:szCs w:val="22"/>
              </w:rPr>
              <w:t xml:space="preserve"> </w:t>
            </w:r>
            <w:r w:rsidR="000119C9">
              <w:rPr>
                <w:sz w:val="22"/>
                <w:szCs w:val="22"/>
              </w:rPr>
              <w:t>(</w:t>
            </w:r>
            <w:r w:rsidR="000119C9" w:rsidRPr="008C32A0">
              <w:rPr>
                <w:rStyle w:val="st1"/>
                <w:sz w:val="22"/>
                <w:szCs w:val="22"/>
              </w:rPr>
              <w:t>North West</w:t>
            </w:r>
            <w:r w:rsidR="000119C9">
              <w:rPr>
                <w:rStyle w:val="st1"/>
                <w:sz w:val="22"/>
                <w:szCs w:val="22"/>
              </w:rPr>
              <w:t>)</w:t>
            </w:r>
            <w:r w:rsidR="000119C9" w:rsidRPr="008C32A0">
              <w:rPr>
                <w:rStyle w:val="st1"/>
                <w:sz w:val="22"/>
                <w:szCs w:val="22"/>
              </w:rPr>
              <w:t xml:space="preserve"> </w:t>
            </w:r>
          </w:p>
        </w:tc>
      </w:tr>
      <w:tr w:rsidR="000119C9" w:rsidRPr="009E0FB8" w14:paraId="4FD937B1" w14:textId="77777777" w:rsidTr="004C6AE9">
        <w:trPr>
          <w:trHeight w:val="267"/>
        </w:trPr>
        <w:tc>
          <w:tcPr>
            <w:tcW w:w="2378" w:type="dxa"/>
            <w:vAlign w:val="center"/>
          </w:tcPr>
          <w:p w14:paraId="3E9FF4E6" w14:textId="373B9B0C" w:rsidR="000119C9" w:rsidRPr="002E6857" w:rsidRDefault="000119C9" w:rsidP="007B2C02">
            <w:pPr>
              <w:pStyle w:val="Default"/>
              <w:spacing w:before="60" w:after="60"/>
              <w:rPr>
                <w:color w:val="auto"/>
                <w:sz w:val="22"/>
                <w:szCs w:val="22"/>
              </w:rPr>
            </w:pPr>
            <w:r w:rsidRPr="008333DE">
              <w:rPr>
                <w:sz w:val="22"/>
                <w:szCs w:val="22"/>
              </w:rPr>
              <w:t>Lesley McFarlane</w:t>
            </w:r>
          </w:p>
        </w:tc>
        <w:tc>
          <w:tcPr>
            <w:tcW w:w="7368" w:type="dxa"/>
            <w:vAlign w:val="center"/>
          </w:tcPr>
          <w:p w14:paraId="1982F40C" w14:textId="3AFA5D9E" w:rsidR="000119C9" w:rsidRPr="008C32A0" w:rsidRDefault="00EF33B1" w:rsidP="007B2C02">
            <w:pPr>
              <w:spacing w:before="60" w:after="60"/>
              <w:rPr>
                <w:rFonts w:cs="Arial"/>
                <w:bCs/>
                <w:sz w:val="22"/>
                <w:szCs w:val="22"/>
              </w:rPr>
            </w:pPr>
            <w:r w:rsidRPr="00966B93">
              <w:rPr>
                <w:sz w:val="22"/>
                <w:szCs w:val="22"/>
              </w:rPr>
              <w:t>Screening and Immunisation Manager: Clinical (COVID</w:t>
            </w:r>
            <w:r>
              <w:rPr>
                <w:sz w:val="22"/>
                <w:szCs w:val="22"/>
              </w:rPr>
              <w:t>-</w:t>
            </w:r>
            <w:r w:rsidRPr="00966B93">
              <w:rPr>
                <w:sz w:val="22"/>
                <w:szCs w:val="22"/>
              </w:rPr>
              <w:t xml:space="preserve">19 and Influenza), </w:t>
            </w:r>
            <w:r w:rsidR="0099186D">
              <w:rPr>
                <w:sz w:val="22"/>
                <w:szCs w:val="22"/>
              </w:rPr>
              <w:t>NHSEI</w:t>
            </w:r>
            <w:r w:rsidRPr="00966B93">
              <w:rPr>
                <w:sz w:val="22"/>
                <w:szCs w:val="22"/>
              </w:rPr>
              <w:t xml:space="preserve"> (Midlands)</w:t>
            </w:r>
          </w:p>
        </w:tc>
      </w:tr>
      <w:tr w:rsidR="000119C9" w:rsidRPr="009E0FB8" w14:paraId="04CB2484" w14:textId="77777777" w:rsidTr="004C6AE9">
        <w:trPr>
          <w:trHeight w:val="267"/>
        </w:trPr>
        <w:tc>
          <w:tcPr>
            <w:tcW w:w="2378" w:type="dxa"/>
            <w:vAlign w:val="center"/>
          </w:tcPr>
          <w:p w14:paraId="5B3A5824" w14:textId="0DF3C47A" w:rsidR="000119C9" w:rsidRPr="002E6857" w:rsidRDefault="000119C9" w:rsidP="007B2C02">
            <w:pPr>
              <w:pStyle w:val="Default"/>
              <w:spacing w:before="60" w:after="60"/>
              <w:rPr>
                <w:color w:val="auto"/>
                <w:sz w:val="22"/>
                <w:szCs w:val="22"/>
              </w:rPr>
            </w:pPr>
            <w:r>
              <w:rPr>
                <w:sz w:val="22"/>
                <w:szCs w:val="22"/>
              </w:rPr>
              <w:t>Tushar Shah</w:t>
            </w:r>
          </w:p>
        </w:tc>
        <w:tc>
          <w:tcPr>
            <w:tcW w:w="7368" w:type="dxa"/>
            <w:vAlign w:val="center"/>
          </w:tcPr>
          <w:p w14:paraId="68544AEC" w14:textId="6B564931" w:rsidR="000119C9" w:rsidRPr="008C32A0" w:rsidRDefault="000119C9" w:rsidP="007B2C02">
            <w:pPr>
              <w:spacing w:before="60" w:after="60"/>
              <w:rPr>
                <w:rFonts w:cs="Arial"/>
                <w:sz w:val="22"/>
                <w:szCs w:val="22"/>
              </w:rPr>
            </w:pPr>
            <w:r>
              <w:rPr>
                <w:color w:val="000000"/>
                <w:sz w:val="22"/>
                <w:szCs w:val="22"/>
              </w:rPr>
              <w:t xml:space="preserve">Lead </w:t>
            </w:r>
            <w:r w:rsidRPr="00CE7D2B">
              <w:rPr>
                <w:color w:val="000000"/>
                <w:sz w:val="22"/>
                <w:szCs w:val="22"/>
              </w:rPr>
              <w:t xml:space="preserve">Pharmacy Advisor, </w:t>
            </w:r>
            <w:r w:rsidR="0099186D">
              <w:rPr>
                <w:color w:val="000000"/>
                <w:sz w:val="22"/>
                <w:szCs w:val="22"/>
              </w:rPr>
              <w:t>NHSEI</w:t>
            </w:r>
            <w:r w:rsidRPr="008C32A0">
              <w:rPr>
                <w:color w:val="000000"/>
                <w:sz w:val="22"/>
                <w:szCs w:val="22"/>
              </w:rPr>
              <w:t xml:space="preserve"> </w:t>
            </w:r>
            <w:r>
              <w:rPr>
                <w:color w:val="000000"/>
                <w:sz w:val="22"/>
                <w:szCs w:val="22"/>
              </w:rPr>
              <w:t>(</w:t>
            </w:r>
            <w:r w:rsidRPr="00CE7D2B">
              <w:rPr>
                <w:color w:val="000000"/>
                <w:sz w:val="22"/>
                <w:szCs w:val="22"/>
              </w:rPr>
              <w:t>London Region</w:t>
            </w:r>
            <w:r>
              <w:rPr>
                <w:color w:val="000000"/>
                <w:sz w:val="22"/>
                <w:szCs w:val="22"/>
              </w:rPr>
              <w:t>)</w:t>
            </w:r>
            <w:r>
              <w:rPr>
                <w:color w:val="1F497D"/>
              </w:rPr>
              <w:t xml:space="preserve"> </w:t>
            </w:r>
          </w:p>
        </w:tc>
      </w:tr>
    </w:tbl>
    <w:p w14:paraId="7670D30E" w14:textId="77777777" w:rsidR="00B227F7" w:rsidRDefault="00B227F7" w:rsidP="00B227F7">
      <w:pPr>
        <w:overflowPunct/>
        <w:autoSpaceDE/>
        <w:autoSpaceDN/>
        <w:adjustRightInd/>
        <w:jc w:val="center"/>
        <w:textAlignment w:val="auto"/>
        <w:rPr>
          <w:rFonts w:cs="Arial"/>
          <w:b/>
          <w:szCs w:val="24"/>
        </w:rPr>
      </w:pPr>
      <w:r>
        <w:rPr>
          <w:rFonts w:cs="Arial"/>
          <w:b/>
          <w:szCs w:val="24"/>
        </w:rPr>
        <w:br w:type="page"/>
      </w:r>
    </w:p>
    <w:p w14:paraId="615DC77B" w14:textId="56B4C938" w:rsidR="00B227F7" w:rsidRPr="00E161EA" w:rsidRDefault="00B227F7" w:rsidP="00B227F7">
      <w:pPr>
        <w:pStyle w:val="ListParagraph"/>
        <w:numPr>
          <w:ilvl w:val="0"/>
          <w:numId w:val="3"/>
        </w:numPr>
        <w:rPr>
          <w:rFonts w:cs="Arial"/>
          <w:b/>
          <w:szCs w:val="24"/>
        </w:rPr>
      </w:pPr>
      <w:bookmarkStart w:id="2" w:name="Section2"/>
      <w:bookmarkEnd w:id="2"/>
      <w:r w:rsidRPr="00E161EA">
        <w:rPr>
          <w:rFonts w:cs="Arial"/>
          <w:b/>
          <w:szCs w:val="24"/>
        </w:rPr>
        <w:lastRenderedPageBreak/>
        <w:t xml:space="preserve">Organisational </w:t>
      </w:r>
      <w:r>
        <w:rPr>
          <w:rFonts w:cs="Arial"/>
          <w:b/>
          <w:szCs w:val="24"/>
        </w:rPr>
        <w:t>a</w:t>
      </w:r>
      <w:r w:rsidRPr="00E161EA">
        <w:rPr>
          <w:rFonts w:cs="Arial"/>
          <w:b/>
          <w:szCs w:val="24"/>
        </w:rPr>
        <w:t>uthorisation</w:t>
      </w:r>
    </w:p>
    <w:p w14:paraId="735F5B0C" w14:textId="6842D49C" w:rsidR="00284F5F" w:rsidRPr="005D11F6" w:rsidRDefault="00B227F7" w:rsidP="005D11F6">
      <w:pPr>
        <w:spacing w:before="120" w:after="120"/>
        <w:rPr>
          <w:rFonts w:cs="Arial"/>
          <w:szCs w:val="24"/>
        </w:rPr>
      </w:pPr>
      <w:r w:rsidRPr="005D11F6">
        <w:rPr>
          <w:rFonts w:cs="Arial"/>
          <w:szCs w:val="24"/>
        </w:rPr>
        <w:t>The PGD is not legally valid until it has had the relevant organisational authorisation</w:t>
      </w:r>
      <w:r w:rsidR="00284F5F" w:rsidRPr="005D11F6">
        <w:rPr>
          <w:rFonts w:cs="Arial"/>
          <w:szCs w:val="24"/>
        </w:rPr>
        <w:t xml:space="preserve"> </w:t>
      </w:r>
      <w:r w:rsidR="003F7F72" w:rsidRPr="005D11F6">
        <w:rPr>
          <w:rFonts w:cs="Arial"/>
          <w:szCs w:val="24"/>
        </w:rPr>
        <w:t xml:space="preserve">from </w:t>
      </w:r>
      <w:r w:rsidR="0099186D">
        <w:rPr>
          <w:rStyle w:val="yiv436687422763514114-05042013"/>
          <w:rFonts w:cs="Arial"/>
          <w:szCs w:val="24"/>
        </w:rPr>
        <w:t>NHSEI</w:t>
      </w:r>
      <w:r w:rsidR="003F7F72" w:rsidRPr="005D11F6">
        <w:rPr>
          <w:rStyle w:val="yiv436687422763514114-05042013"/>
          <w:rFonts w:cs="Arial"/>
          <w:szCs w:val="24"/>
        </w:rPr>
        <w:t xml:space="preserve"> completed </w:t>
      </w:r>
      <w:r w:rsidR="00284F5F" w:rsidRPr="005D11F6">
        <w:rPr>
          <w:rFonts w:cs="Arial"/>
          <w:szCs w:val="24"/>
        </w:rPr>
        <w:t>below</w:t>
      </w:r>
      <w:r w:rsidRPr="005D11F6">
        <w:rPr>
          <w:rFonts w:cs="Arial"/>
          <w:szCs w:val="24"/>
        </w:rPr>
        <w:t>.</w:t>
      </w:r>
    </w:p>
    <w:p w14:paraId="2E521958" w14:textId="66E34F98" w:rsidR="00476C46" w:rsidRPr="005D11F6" w:rsidRDefault="0099186D" w:rsidP="005D11F6">
      <w:pPr>
        <w:pStyle w:val="CommentText"/>
        <w:spacing w:before="120" w:after="120"/>
        <w:rPr>
          <w:rStyle w:val="yiv436687422763514114-05042013"/>
          <w:rFonts w:cs="Arial"/>
          <w:sz w:val="24"/>
          <w:szCs w:val="24"/>
          <w:lang w:eastAsia="en-US"/>
        </w:rPr>
      </w:pPr>
      <w:r>
        <w:rPr>
          <w:rStyle w:val="yiv436687422763514114-05042013"/>
          <w:rFonts w:cs="Arial"/>
          <w:sz w:val="24"/>
          <w:szCs w:val="24"/>
          <w:lang w:eastAsia="en-US"/>
        </w:rPr>
        <w:t>NHSEI</w:t>
      </w:r>
      <w:r w:rsidR="00284F5F" w:rsidRPr="005D11F6">
        <w:rPr>
          <w:rStyle w:val="yiv436687422763514114-05042013"/>
          <w:rFonts w:cs="Arial"/>
          <w:sz w:val="24"/>
          <w:szCs w:val="24"/>
          <w:lang w:eastAsia="en-US"/>
        </w:rPr>
        <w:t xml:space="preserve"> accepts governance responsibility for this PGD. Any provider delivering the national </w:t>
      </w:r>
      <w:r w:rsidR="00AA755E" w:rsidRPr="005D11F6">
        <w:rPr>
          <w:rStyle w:val="yiv436687422763514114-05042013"/>
          <w:rFonts w:cs="Arial"/>
          <w:sz w:val="24"/>
          <w:szCs w:val="24"/>
          <w:lang w:eastAsia="en-US"/>
        </w:rPr>
        <w:t>COVID-19</w:t>
      </w:r>
      <w:r w:rsidR="00284F5F" w:rsidRPr="005D11F6">
        <w:rPr>
          <w:rStyle w:val="yiv436687422763514114-05042013"/>
          <w:rFonts w:cs="Arial"/>
          <w:sz w:val="24"/>
          <w:szCs w:val="24"/>
          <w:lang w:eastAsia="en-US"/>
        </w:rPr>
        <w:t xml:space="preserve"> </w:t>
      </w:r>
      <w:r w:rsidR="00A8586C">
        <w:rPr>
          <w:rStyle w:val="yiv436687422763514114-05042013"/>
          <w:rFonts w:cs="Arial"/>
          <w:sz w:val="24"/>
          <w:szCs w:val="24"/>
          <w:lang w:eastAsia="en-US"/>
        </w:rPr>
        <w:t>vaccination</w:t>
      </w:r>
      <w:r w:rsidR="00284F5F" w:rsidRPr="005D11F6">
        <w:rPr>
          <w:rStyle w:val="yiv436687422763514114-05042013"/>
          <w:rFonts w:cs="Arial"/>
          <w:sz w:val="24"/>
          <w:szCs w:val="24"/>
          <w:lang w:eastAsia="en-US"/>
        </w:rPr>
        <w:t xml:space="preserve"> programme under </w:t>
      </w:r>
      <w:r w:rsidR="0052506A">
        <w:rPr>
          <w:rStyle w:val="yiv436687422763514114-05042013"/>
          <w:rFonts w:cs="Arial"/>
          <w:sz w:val="24"/>
          <w:szCs w:val="24"/>
          <w:lang w:eastAsia="en-US"/>
        </w:rPr>
        <w:t>PGD</w:t>
      </w:r>
      <w:r w:rsidR="00284F5F" w:rsidRPr="005D11F6">
        <w:rPr>
          <w:rStyle w:val="yiv436687422763514114-05042013"/>
          <w:rFonts w:cs="Arial"/>
          <w:sz w:val="24"/>
          <w:szCs w:val="24"/>
          <w:lang w:eastAsia="en-US"/>
        </w:rPr>
        <w:t xml:space="preserve"> must work strictly within the terms of this PGD</w:t>
      </w:r>
      <w:r w:rsidR="00F7126A">
        <w:rPr>
          <w:rStyle w:val="yiv436687422763514114-05042013"/>
          <w:rFonts w:cs="Arial"/>
          <w:sz w:val="24"/>
          <w:szCs w:val="24"/>
          <w:lang w:eastAsia="en-US"/>
        </w:rPr>
        <w:t xml:space="preserve">, </w:t>
      </w:r>
      <w:r w:rsidR="00F7126A" w:rsidRPr="00E26C8C">
        <w:rPr>
          <w:rStyle w:val="yiv436687422763514114-05042013"/>
          <w:rFonts w:cs="Arial"/>
          <w:sz w:val="24"/>
          <w:szCs w:val="24"/>
          <w:lang w:eastAsia="en-US"/>
        </w:rPr>
        <w:t xml:space="preserve">relevant </w:t>
      </w:r>
      <w:r w:rsidR="00AC74B4" w:rsidRPr="00DD3796">
        <w:rPr>
          <w:rFonts w:cs="Arial"/>
          <w:sz w:val="24"/>
          <w:szCs w:val="24"/>
        </w:rPr>
        <w:t>NHS standard operating procedures</w:t>
      </w:r>
      <w:r w:rsidR="00AC74B4" w:rsidRPr="00E26C8C">
        <w:rPr>
          <w:rFonts w:cs="Arial"/>
          <w:sz w:val="24"/>
          <w:szCs w:val="24"/>
        </w:rPr>
        <w:t xml:space="preserve"> </w:t>
      </w:r>
      <w:r w:rsidR="00F7126A" w:rsidRPr="00E26C8C">
        <w:rPr>
          <w:rStyle w:val="yiv436687422763514114-05042013"/>
          <w:rFonts w:cs="Arial"/>
          <w:sz w:val="24"/>
          <w:szCs w:val="24"/>
          <w:lang w:eastAsia="en-US"/>
        </w:rPr>
        <w:t>(SOPs)</w:t>
      </w:r>
      <w:r w:rsidR="00284F5F" w:rsidRPr="00E26C8C">
        <w:rPr>
          <w:rStyle w:val="yiv436687422763514114-05042013"/>
          <w:rFonts w:cs="Arial"/>
          <w:sz w:val="24"/>
          <w:szCs w:val="24"/>
          <w:lang w:eastAsia="en-US"/>
        </w:rPr>
        <w:t xml:space="preserve"> and contractual arrangement</w:t>
      </w:r>
      <w:r w:rsidR="00476C46" w:rsidRPr="00E26C8C">
        <w:rPr>
          <w:rStyle w:val="yiv436687422763514114-05042013"/>
          <w:rFonts w:cs="Arial"/>
          <w:sz w:val="24"/>
          <w:szCs w:val="24"/>
          <w:lang w:eastAsia="en-US"/>
        </w:rPr>
        <w:t>s</w:t>
      </w:r>
      <w:r w:rsidR="00284F5F" w:rsidRPr="00E26C8C">
        <w:rPr>
          <w:rStyle w:val="yiv436687422763514114-05042013"/>
          <w:rFonts w:cs="Arial"/>
          <w:sz w:val="24"/>
          <w:szCs w:val="24"/>
          <w:lang w:eastAsia="en-US"/>
        </w:rPr>
        <w:t xml:space="preserve"> with the commissioner for the delivery</w:t>
      </w:r>
      <w:r w:rsidR="00284F5F" w:rsidRPr="005D11F6">
        <w:rPr>
          <w:rStyle w:val="yiv436687422763514114-05042013"/>
          <w:rFonts w:cs="Arial"/>
          <w:sz w:val="24"/>
          <w:szCs w:val="24"/>
          <w:lang w:eastAsia="en-US"/>
        </w:rPr>
        <w:t xml:space="preserve"> of the national </w:t>
      </w:r>
      <w:r w:rsidR="0054617E" w:rsidRPr="005D11F6">
        <w:rPr>
          <w:rStyle w:val="yiv436687422763514114-05042013"/>
          <w:rFonts w:cs="Arial"/>
          <w:sz w:val="24"/>
          <w:szCs w:val="24"/>
          <w:lang w:eastAsia="en-US"/>
        </w:rPr>
        <w:t>COV</w:t>
      </w:r>
      <w:r w:rsidR="00BC4760" w:rsidRPr="005D11F6">
        <w:rPr>
          <w:rStyle w:val="yiv436687422763514114-05042013"/>
          <w:rFonts w:cs="Arial"/>
          <w:sz w:val="24"/>
          <w:szCs w:val="24"/>
          <w:lang w:eastAsia="en-US"/>
        </w:rPr>
        <w:t>ID-19</w:t>
      </w:r>
      <w:r w:rsidR="00284F5F" w:rsidRPr="005D11F6">
        <w:rPr>
          <w:rStyle w:val="yiv436687422763514114-05042013"/>
          <w:rFonts w:cs="Arial"/>
          <w:sz w:val="24"/>
          <w:szCs w:val="24"/>
          <w:lang w:eastAsia="en-US"/>
        </w:rPr>
        <w:t xml:space="preserve"> </w:t>
      </w:r>
      <w:r w:rsidR="00A8586C">
        <w:rPr>
          <w:rStyle w:val="yiv436687422763514114-05042013"/>
          <w:rFonts w:cs="Arial"/>
          <w:sz w:val="24"/>
          <w:szCs w:val="24"/>
          <w:lang w:eastAsia="en-US"/>
        </w:rPr>
        <w:t>vaccination</w:t>
      </w:r>
      <w:r w:rsidR="00284F5F" w:rsidRPr="005D11F6">
        <w:rPr>
          <w:rStyle w:val="yiv436687422763514114-05042013"/>
          <w:rFonts w:cs="Arial"/>
          <w:sz w:val="24"/>
          <w:szCs w:val="24"/>
          <w:lang w:eastAsia="en-US"/>
        </w:rPr>
        <w:t xml:space="preserve"> programme.</w:t>
      </w:r>
      <w:r w:rsidR="00476C46" w:rsidRPr="005D11F6">
        <w:rPr>
          <w:rStyle w:val="yiv436687422763514114-05042013"/>
          <w:rFonts w:cs="Arial"/>
          <w:sz w:val="24"/>
          <w:szCs w:val="24"/>
          <w:lang w:eastAsia="en-US"/>
        </w:rPr>
        <w:t xml:space="preserve"> </w:t>
      </w:r>
    </w:p>
    <w:p w14:paraId="64F0421E" w14:textId="39715BC7" w:rsidR="00B227F7" w:rsidRPr="00BF617E" w:rsidRDefault="0099186D" w:rsidP="005D11F6">
      <w:pPr>
        <w:pStyle w:val="Title"/>
        <w:spacing w:before="120" w:after="120"/>
        <w:jc w:val="left"/>
        <w:rPr>
          <w:rStyle w:val="yiv436687422763514114-05042013"/>
          <w:rFonts w:ascii="Arial" w:hAnsi="Arial" w:cs="Arial"/>
          <w:b w:val="0"/>
          <w:sz w:val="22"/>
          <w:szCs w:val="22"/>
        </w:rPr>
      </w:pPr>
      <w:r>
        <w:rPr>
          <w:rStyle w:val="yiv436687422763514114-05042013"/>
          <w:rFonts w:ascii="Arial" w:hAnsi="Arial" w:cs="Arial"/>
          <w:b w:val="0"/>
          <w:szCs w:val="24"/>
        </w:rPr>
        <w:t>NHSEI</w:t>
      </w:r>
      <w:r w:rsidR="003F7F72" w:rsidRPr="005D11F6">
        <w:rPr>
          <w:rStyle w:val="yiv436687422763514114-05042013"/>
          <w:rFonts w:ascii="Arial" w:hAnsi="Arial" w:cs="Arial"/>
          <w:b w:val="0"/>
          <w:szCs w:val="24"/>
        </w:rPr>
        <w:t xml:space="preserve"> </w:t>
      </w:r>
      <w:r w:rsidR="00B227F7" w:rsidRPr="005D11F6">
        <w:rPr>
          <w:rStyle w:val="yiv436687422763514114-05042013"/>
          <w:rFonts w:ascii="Arial" w:hAnsi="Arial" w:cs="Arial"/>
          <w:b w:val="0"/>
          <w:szCs w:val="24"/>
        </w:rPr>
        <w:t xml:space="preserve">authorises this PGD for use by the services or providers </w:t>
      </w:r>
      <w:r w:rsidR="00BC4760" w:rsidRPr="005D11F6">
        <w:rPr>
          <w:rStyle w:val="yiv436687422763514114-05042013"/>
          <w:rFonts w:ascii="Arial" w:hAnsi="Arial" w:cs="Arial"/>
          <w:b w:val="0"/>
          <w:szCs w:val="24"/>
        </w:rPr>
        <w:t xml:space="preserve">delivering the national COVID-19 </w:t>
      </w:r>
      <w:r w:rsidR="00D7172A">
        <w:rPr>
          <w:rStyle w:val="yiv436687422763514114-05042013"/>
          <w:rFonts w:ascii="Arial" w:hAnsi="Arial" w:cs="Arial"/>
          <w:b w:val="0"/>
          <w:szCs w:val="24"/>
        </w:rPr>
        <w:t>vaccination</w:t>
      </w:r>
      <w:r w:rsidR="00BC4760" w:rsidRPr="005D11F6">
        <w:rPr>
          <w:rStyle w:val="yiv436687422763514114-05042013"/>
          <w:rFonts w:ascii="Arial" w:hAnsi="Arial" w:cs="Arial"/>
          <w:b w:val="0"/>
          <w:szCs w:val="24"/>
        </w:rPr>
        <w:t xml:space="preserve"> programme</w:t>
      </w:r>
      <w:r w:rsidR="00336503">
        <w:rPr>
          <w:rStyle w:val="yiv436687422763514114-05042013"/>
          <w:rFonts w:ascii="Arial" w:hAnsi="Arial" w:cs="Arial"/>
          <w:b w:val="0"/>
          <w:szCs w:val="24"/>
        </w:rPr>
        <w:t>.</w:t>
      </w:r>
    </w:p>
    <w:tbl>
      <w:tblPr>
        <w:tblStyle w:val="TableGrid"/>
        <w:tblW w:w="0" w:type="auto"/>
        <w:tblInd w:w="-5" w:type="dxa"/>
        <w:tblLook w:val="04A0" w:firstRow="1" w:lastRow="0" w:firstColumn="1" w:lastColumn="0" w:noHBand="0" w:noVBand="1"/>
      </w:tblPr>
      <w:tblGrid>
        <w:gridCol w:w="3323"/>
        <w:gridCol w:w="2364"/>
        <w:gridCol w:w="2361"/>
        <w:gridCol w:w="2158"/>
      </w:tblGrid>
      <w:tr w:rsidR="00B227F7" w:rsidRPr="001D1F5D" w14:paraId="4E9DD94A" w14:textId="77777777" w:rsidTr="00046691">
        <w:tc>
          <w:tcPr>
            <w:tcW w:w="10206" w:type="dxa"/>
            <w:gridSpan w:val="4"/>
            <w:shd w:val="clear" w:color="auto" w:fill="E7E6E6" w:themeFill="background2"/>
          </w:tcPr>
          <w:p w14:paraId="611A7240" w14:textId="77777777" w:rsidR="00B227F7" w:rsidRPr="00080471" w:rsidRDefault="00B227F7" w:rsidP="007B2C02">
            <w:pPr>
              <w:pStyle w:val="Title"/>
              <w:jc w:val="left"/>
              <w:rPr>
                <w:rFonts w:ascii="Arial" w:hAnsi="Arial" w:cs="Arial"/>
                <w:szCs w:val="24"/>
              </w:rPr>
            </w:pPr>
            <w:bookmarkStart w:id="3" w:name="LimitationsToAuthorisation"/>
            <w:bookmarkEnd w:id="3"/>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B227F7" w:rsidRPr="001D1F5D" w14:paraId="0970678C" w14:textId="77777777" w:rsidTr="00046691">
        <w:tc>
          <w:tcPr>
            <w:tcW w:w="3323" w:type="dxa"/>
            <w:shd w:val="clear" w:color="auto" w:fill="E7E6E6" w:themeFill="background2"/>
          </w:tcPr>
          <w:p w14:paraId="18A5D622" w14:textId="77777777" w:rsidR="00B227F7" w:rsidRPr="00080471" w:rsidRDefault="00B227F7" w:rsidP="007B2C02">
            <w:pPr>
              <w:pStyle w:val="Title"/>
              <w:jc w:val="left"/>
              <w:rPr>
                <w:rFonts w:ascii="Arial" w:hAnsi="Arial" w:cs="Arial"/>
                <w:szCs w:val="24"/>
              </w:rPr>
            </w:pPr>
            <w:r w:rsidRPr="00080471">
              <w:rPr>
                <w:rFonts w:ascii="Arial" w:hAnsi="Arial" w:cs="Arial"/>
                <w:szCs w:val="24"/>
              </w:rPr>
              <w:t>Role</w:t>
            </w:r>
          </w:p>
        </w:tc>
        <w:tc>
          <w:tcPr>
            <w:tcW w:w="2364" w:type="dxa"/>
            <w:shd w:val="clear" w:color="auto" w:fill="E7E6E6" w:themeFill="background2"/>
          </w:tcPr>
          <w:p w14:paraId="2D149F8F" w14:textId="77777777" w:rsidR="00B227F7" w:rsidRPr="00080471" w:rsidRDefault="00B227F7" w:rsidP="007B2C02">
            <w:pPr>
              <w:pStyle w:val="Title"/>
              <w:jc w:val="left"/>
              <w:rPr>
                <w:rFonts w:ascii="Arial" w:hAnsi="Arial" w:cs="Arial"/>
                <w:szCs w:val="24"/>
              </w:rPr>
            </w:pPr>
            <w:r w:rsidRPr="00080471">
              <w:rPr>
                <w:rFonts w:ascii="Arial" w:hAnsi="Arial" w:cs="Arial"/>
                <w:szCs w:val="24"/>
              </w:rPr>
              <w:t xml:space="preserve">Name </w:t>
            </w:r>
          </w:p>
        </w:tc>
        <w:tc>
          <w:tcPr>
            <w:tcW w:w="2361" w:type="dxa"/>
            <w:shd w:val="clear" w:color="auto" w:fill="E7E6E6" w:themeFill="background2"/>
          </w:tcPr>
          <w:p w14:paraId="0B39F630" w14:textId="77777777" w:rsidR="00B227F7" w:rsidRPr="00080471" w:rsidRDefault="00B227F7" w:rsidP="007B2C02">
            <w:pPr>
              <w:pStyle w:val="Title"/>
              <w:jc w:val="left"/>
              <w:rPr>
                <w:rFonts w:ascii="Arial" w:hAnsi="Arial" w:cs="Arial"/>
                <w:szCs w:val="24"/>
              </w:rPr>
            </w:pPr>
            <w:r w:rsidRPr="00080471">
              <w:rPr>
                <w:rFonts w:ascii="Arial" w:hAnsi="Arial" w:cs="Arial"/>
                <w:szCs w:val="24"/>
              </w:rPr>
              <w:t>Sign</w:t>
            </w:r>
          </w:p>
        </w:tc>
        <w:tc>
          <w:tcPr>
            <w:tcW w:w="2158" w:type="dxa"/>
            <w:shd w:val="clear" w:color="auto" w:fill="E7E6E6" w:themeFill="background2"/>
          </w:tcPr>
          <w:p w14:paraId="49A63C9E" w14:textId="77777777" w:rsidR="00B227F7" w:rsidRPr="00080471" w:rsidRDefault="00B227F7" w:rsidP="007B2C02">
            <w:pPr>
              <w:pStyle w:val="Title"/>
              <w:jc w:val="left"/>
              <w:rPr>
                <w:rFonts w:ascii="Arial" w:hAnsi="Arial" w:cs="Arial"/>
                <w:szCs w:val="24"/>
              </w:rPr>
            </w:pPr>
            <w:r w:rsidRPr="00080471">
              <w:rPr>
                <w:rFonts w:ascii="Arial" w:hAnsi="Arial" w:cs="Arial"/>
                <w:szCs w:val="24"/>
              </w:rPr>
              <w:t>Date</w:t>
            </w:r>
          </w:p>
        </w:tc>
      </w:tr>
      <w:tr w:rsidR="00046691" w:rsidRPr="001D1F5D" w14:paraId="01152311" w14:textId="77777777" w:rsidTr="00046691">
        <w:tc>
          <w:tcPr>
            <w:tcW w:w="3323" w:type="dxa"/>
          </w:tcPr>
          <w:p w14:paraId="34870924" w14:textId="4CDAA7CD" w:rsidR="00046691" w:rsidRPr="00D446AA" w:rsidRDefault="00046691" w:rsidP="00046691">
            <w:pPr>
              <w:pStyle w:val="Title"/>
              <w:jc w:val="left"/>
              <w:rPr>
                <w:rFonts w:ascii="Arial" w:hAnsi="Arial" w:cs="Arial"/>
                <w:b w:val="0"/>
                <w:sz w:val="22"/>
                <w:szCs w:val="22"/>
              </w:rPr>
            </w:pPr>
            <w:r w:rsidRPr="00D446AA">
              <w:rPr>
                <w:rFonts w:ascii="Arial" w:hAnsi="Arial" w:cs="Arial"/>
                <w:b w:val="0"/>
                <w:sz w:val="22"/>
                <w:szCs w:val="22"/>
              </w:rPr>
              <w:t>Medical Director</w:t>
            </w:r>
            <w:r>
              <w:rPr>
                <w:rFonts w:ascii="Arial" w:hAnsi="Arial" w:cs="Arial"/>
                <w:b w:val="0"/>
                <w:sz w:val="22"/>
                <w:szCs w:val="22"/>
              </w:rPr>
              <w:t>, COVID-19 Vaccination Programme, NHSEI</w:t>
            </w:r>
          </w:p>
        </w:tc>
        <w:tc>
          <w:tcPr>
            <w:tcW w:w="2364" w:type="dxa"/>
          </w:tcPr>
          <w:p w14:paraId="3B766ABE" w14:textId="1F8BB726" w:rsidR="00046691" w:rsidRPr="001D1F5D" w:rsidRDefault="00046691" w:rsidP="00046691">
            <w:pPr>
              <w:pStyle w:val="Title"/>
              <w:jc w:val="left"/>
              <w:rPr>
                <w:rFonts w:ascii="Arial" w:hAnsi="Arial" w:cs="Arial"/>
                <w:sz w:val="22"/>
                <w:szCs w:val="22"/>
              </w:rPr>
            </w:pPr>
            <w:r w:rsidRPr="0014347D">
              <w:rPr>
                <w:rFonts w:ascii="Arial" w:hAnsi="Arial" w:cs="Arial"/>
                <w:b w:val="0"/>
                <w:sz w:val="22"/>
                <w:szCs w:val="22"/>
              </w:rPr>
              <w:t>Dr Jonathan Leach OBE</w:t>
            </w:r>
            <w:r>
              <w:rPr>
                <w:rFonts w:ascii="Arial" w:hAnsi="Arial" w:cs="Arial"/>
                <w:b w:val="0"/>
                <w:sz w:val="22"/>
                <w:szCs w:val="22"/>
              </w:rPr>
              <w:t xml:space="preserve"> </w:t>
            </w:r>
            <w:r>
              <w:rPr>
                <w:rFonts w:ascii="Arial" w:hAnsi="Arial" w:cs="Arial"/>
                <w:sz w:val="22"/>
                <w:szCs w:val="22"/>
              </w:rPr>
              <w:t xml:space="preserve">      </w:t>
            </w:r>
          </w:p>
        </w:tc>
        <w:tc>
          <w:tcPr>
            <w:tcW w:w="2361" w:type="dxa"/>
          </w:tcPr>
          <w:p w14:paraId="48E9CB7F" w14:textId="2B136D79" w:rsidR="00046691" w:rsidRPr="001D1F5D" w:rsidRDefault="00046691" w:rsidP="00046691">
            <w:pPr>
              <w:pStyle w:val="Title"/>
              <w:jc w:val="left"/>
              <w:rPr>
                <w:rFonts w:ascii="Arial" w:hAnsi="Arial" w:cs="Arial"/>
                <w:sz w:val="22"/>
                <w:szCs w:val="22"/>
              </w:rPr>
            </w:pPr>
            <w:r>
              <w:rPr>
                <w:noProof/>
              </w:rPr>
              <w:drawing>
                <wp:inline distT="0" distB="0" distL="0" distR="0" wp14:anchorId="235B76FA" wp14:editId="06F01B42">
                  <wp:extent cx="825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25649" cy="495389"/>
                          </a:xfrm>
                          <a:prstGeom prst="rect">
                            <a:avLst/>
                          </a:prstGeom>
                          <a:noFill/>
                          <a:ln>
                            <a:noFill/>
                          </a:ln>
                        </pic:spPr>
                      </pic:pic>
                    </a:graphicData>
                  </a:graphic>
                </wp:inline>
              </w:drawing>
            </w:r>
          </w:p>
        </w:tc>
        <w:tc>
          <w:tcPr>
            <w:tcW w:w="2158" w:type="dxa"/>
          </w:tcPr>
          <w:p w14:paraId="4C30A41F" w14:textId="44525C90" w:rsidR="00046691" w:rsidRPr="00CC5EC7" w:rsidRDefault="00046691" w:rsidP="00046691">
            <w:pPr>
              <w:pStyle w:val="Title"/>
              <w:jc w:val="left"/>
              <w:rPr>
                <w:rFonts w:ascii="Arial" w:hAnsi="Arial" w:cs="Arial"/>
                <w:b w:val="0"/>
                <w:bCs/>
                <w:sz w:val="21"/>
                <w:szCs w:val="21"/>
              </w:rPr>
            </w:pPr>
            <w:r>
              <w:rPr>
                <w:rFonts w:ascii="Arial" w:hAnsi="Arial" w:cs="Arial"/>
                <w:b w:val="0"/>
                <w:bCs/>
                <w:sz w:val="21"/>
                <w:szCs w:val="21"/>
              </w:rPr>
              <w:t>19 November 2021</w:t>
            </w:r>
          </w:p>
        </w:tc>
      </w:tr>
    </w:tbl>
    <w:p w14:paraId="22EEE293" w14:textId="77777777" w:rsidR="00B227F7" w:rsidRPr="001D1F5D" w:rsidRDefault="00B227F7" w:rsidP="00B227F7">
      <w:pPr>
        <w:pStyle w:val="Title"/>
        <w:jc w:val="left"/>
        <w:rPr>
          <w:rFonts w:ascii="Arial" w:hAnsi="Arial" w:cs="Arial"/>
          <w:sz w:val="22"/>
          <w:szCs w:val="22"/>
        </w:rPr>
      </w:pPr>
    </w:p>
    <w:p w14:paraId="379C255E" w14:textId="3CA6AEC9" w:rsidR="00BC4760" w:rsidRDefault="00B01374" w:rsidP="00D446AA">
      <w:pPr>
        <w:pStyle w:val="Header"/>
        <w:tabs>
          <w:tab w:val="left" w:pos="720"/>
        </w:tabs>
        <w:spacing w:before="120" w:after="120"/>
        <w:rPr>
          <w:rFonts w:ascii="Arial" w:hAnsi="Arial" w:cs="Arial"/>
          <w:szCs w:val="24"/>
        </w:rPr>
      </w:pPr>
      <w:hyperlink w:anchor="Section7PractitionerAuthorisation" w:history="1">
        <w:r w:rsidR="00B227F7" w:rsidRPr="0065207B">
          <w:rPr>
            <w:rStyle w:val="Hyperlink"/>
            <w:rFonts w:ascii="Arial" w:hAnsi="Arial" w:cs="Arial"/>
            <w:szCs w:val="24"/>
          </w:rPr>
          <w:t>Section 7</w:t>
        </w:r>
      </w:hyperlink>
      <w:r w:rsidR="00B227F7">
        <w:rPr>
          <w:rFonts w:ascii="Arial" w:hAnsi="Arial" w:cs="Arial"/>
          <w:szCs w:val="24"/>
        </w:rPr>
        <w:t xml:space="preserve"> provides a p</w:t>
      </w:r>
      <w:r w:rsidR="00B227F7" w:rsidRPr="00080471">
        <w:rPr>
          <w:rFonts w:ascii="Arial" w:hAnsi="Arial" w:cs="Arial"/>
          <w:szCs w:val="24"/>
        </w:rPr>
        <w:t xml:space="preserve">ractitioner </w:t>
      </w:r>
      <w:r w:rsidR="00B227F7">
        <w:rPr>
          <w:rFonts w:ascii="Arial" w:hAnsi="Arial" w:cs="Arial"/>
          <w:szCs w:val="24"/>
        </w:rPr>
        <w:t>a</w:t>
      </w:r>
      <w:r w:rsidR="00B227F7" w:rsidRPr="00080471">
        <w:rPr>
          <w:rFonts w:ascii="Arial" w:hAnsi="Arial" w:cs="Arial"/>
          <w:szCs w:val="24"/>
        </w:rPr>
        <w:t>uthorisation sheet</w:t>
      </w:r>
      <w:r w:rsidR="00B227F7">
        <w:rPr>
          <w:rFonts w:ascii="Arial" w:hAnsi="Arial" w:cs="Arial"/>
          <w:szCs w:val="24"/>
        </w:rPr>
        <w:t xml:space="preserve">. Individual practitioners must be authorised by name to work to this PGD. Alternative practitioner authorisation </w:t>
      </w:r>
      <w:r w:rsidR="008A0EA1">
        <w:rPr>
          <w:rFonts w:ascii="Arial" w:hAnsi="Arial" w:cs="Arial"/>
          <w:szCs w:val="24"/>
        </w:rPr>
        <w:t>records</w:t>
      </w:r>
      <w:r w:rsidR="00D446AA">
        <w:rPr>
          <w:rFonts w:ascii="Arial" w:hAnsi="Arial" w:cs="Arial"/>
          <w:szCs w:val="24"/>
        </w:rPr>
        <w:t xml:space="preserve">, </w:t>
      </w:r>
      <w:r w:rsidR="008A0EA1">
        <w:rPr>
          <w:rFonts w:ascii="Arial" w:hAnsi="Arial" w:cs="Arial"/>
          <w:szCs w:val="24"/>
        </w:rPr>
        <w:t xml:space="preserve">specifying the PGD and version number, </w:t>
      </w:r>
      <w:r w:rsidR="00B227F7">
        <w:rPr>
          <w:rFonts w:ascii="Arial" w:hAnsi="Arial" w:cs="Arial"/>
          <w:szCs w:val="24"/>
        </w:rPr>
        <w:t xml:space="preserve">may be used where appropriate in accordance with local </w:t>
      </w:r>
      <w:r w:rsidR="004F3775">
        <w:rPr>
          <w:rFonts w:ascii="Arial" w:hAnsi="Arial" w:cs="Arial"/>
          <w:szCs w:val="24"/>
        </w:rPr>
        <w:t>policy</w:t>
      </w:r>
      <w:r w:rsidR="00D446AA">
        <w:rPr>
          <w:rFonts w:ascii="Arial" w:hAnsi="Arial" w:cs="Arial"/>
          <w:szCs w:val="24"/>
        </w:rPr>
        <w:t>. This may include the use of electronic records.</w:t>
      </w:r>
    </w:p>
    <w:p w14:paraId="5BAC0B8C" w14:textId="0D98F869" w:rsidR="00C342EB" w:rsidRPr="00503278" w:rsidRDefault="00C342EB" w:rsidP="00C342EB">
      <w:pPr>
        <w:rPr>
          <w:rFonts w:cs="Arial"/>
        </w:rPr>
      </w:pPr>
      <w:r w:rsidRPr="00E26C8C">
        <w:rPr>
          <w:rFonts w:cs="Arial"/>
          <w:iCs/>
        </w:rPr>
        <w:t xml:space="preserve">Assembly, final preparation and administration of vaccines supplied and administered under this </w:t>
      </w:r>
      <w:r w:rsidR="00AE67A4">
        <w:rPr>
          <w:rFonts w:cs="Arial"/>
          <w:iCs/>
        </w:rPr>
        <w:t>PGD</w:t>
      </w:r>
      <w:r w:rsidR="00AE67A4" w:rsidRPr="00E26C8C">
        <w:rPr>
          <w:rFonts w:cs="Arial"/>
          <w:iCs/>
        </w:rPr>
        <w:t xml:space="preserve"> </w:t>
      </w:r>
      <w:r w:rsidRPr="00E26C8C">
        <w:rPr>
          <w:rFonts w:cs="Arial"/>
          <w:iCs/>
        </w:rPr>
        <w:t>must be subject to NHS governance arrangements and standard operating procedures that ensure that the safety, quality or efficacy of the product is not compromised. The assembly, final preparation and administration of the vaccines must also be in accordance with the instructions for usage that are conditions of the authorisation to supply the product. These conditions for usage are in the Information for UK Healthcare Professionals, published alongside the conditions of authorisation and available at</w:t>
      </w:r>
      <w:r>
        <w:rPr>
          <w:rFonts w:cs="Arial"/>
        </w:rPr>
        <w:t>:</w:t>
      </w:r>
    </w:p>
    <w:bookmarkStart w:id="4" w:name="_Hlk81424327"/>
    <w:p w14:paraId="6D943A07" w14:textId="110B334C" w:rsidR="00B227F7" w:rsidRPr="004854DA" w:rsidRDefault="004854DA" w:rsidP="004854DA">
      <w:pPr>
        <w:pStyle w:val="CommentText"/>
        <w:rPr>
          <w:sz w:val="22"/>
          <w:szCs w:val="22"/>
        </w:rPr>
      </w:pPr>
      <w:r>
        <w:fldChar w:fldCharType="begin"/>
      </w:r>
      <w:r>
        <w:instrText xml:space="preserve"> HYPERLINK "https://www.gov.uk/government/publications/regulatory-approval-of-pfizer-biontech-vaccine-for-covid-19" </w:instrText>
      </w:r>
      <w:r>
        <w:fldChar w:fldCharType="separate"/>
      </w:r>
      <w:r w:rsidRPr="00F21C89">
        <w:rPr>
          <w:color w:val="0000FF"/>
          <w:sz w:val="24"/>
          <w:szCs w:val="24"/>
          <w:u w:val="single"/>
        </w:rPr>
        <w:t>Regulatory approval of Pfizer/BioNTech vaccine for COVID-19 - GOV.UK (www.gov.uk</w:t>
      </w:r>
      <w:r w:rsidRPr="00342B17">
        <w:rPr>
          <w:color w:val="0000FF"/>
          <w:sz w:val="22"/>
          <w:szCs w:val="22"/>
          <w:u w:val="single"/>
        </w:rPr>
        <w:t>)</w:t>
      </w:r>
      <w:r>
        <w:rPr>
          <w:color w:val="0000FF"/>
          <w:sz w:val="22"/>
          <w:szCs w:val="22"/>
          <w:u w:val="single"/>
        </w:rPr>
        <w:fldChar w:fldCharType="end"/>
      </w:r>
      <w:bookmarkEnd w:id="4"/>
    </w:p>
    <w:p w14:paraId="792CE7E1" w14:textId="77777777" w:rsidR="004854DA" w:rsidRDefault="004854DA">
      <w:pPr>
        <w:overflowPunct/>
        <w:autoSpaceDE/>
        <w:autoSpaceDN/>
        <w:adjustRightInd/>
        <w:spacing w:after="160" w:line="259" w:lineRule="auto"/>
        <w:textAlignment w:val="auto"/>
        <w:rPr>
          <w:rFonts w:cs="Arial"/>
          <w:b/>
          <w:szCs w:val="24"/>
        </w:rPr>
      </w:pPr>
      <w:bookmarkStart w:id="5" w:name="Section3"/>
      <w:bookmarkEnd w:id="5"/>
      <w:r>
        <w:rPr>
          <w:rFonts w:cs="Arial"/>
          <w:szCs w:val="24"/>
        </w:rPr>
        <w:br w:type="page"/>
      </w:r>
    </w:p>
    <w:p w14:paraId="6A8305F1" w14:textId="419B2D7D" w:rsidR="00B227F7" w:rsidRDefault="00B227F7" w:rsidP="00B227F7">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3F87E1DE" w14:textId="77777777" w:rsidR="00B227F7" w:rsidRPr="00FE6654" w:rsidRDefault="00B227F7" w:rsidP="00B227F7">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B227F7" w:rsidRPr="00CB5D91" w14:paraId="15A95E94" w14:textId="77777777" w:rsidTr="007B2C02">
        <w:tc>
          <w:tcPr>
            <w:tcW w:w="2970" w:type="dxa"/>
          </w:tcPr>
          <w:p w14:paraId="5AF0CA07" w14:textId="77777777" w:rsidR="00B227F7" w:rsidRPr="00DF40E8" w:rsidRDefault="00B227F7" w:rsidP="007B2C02">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12CEDB1" w14:textId="662A89BA" w:rsidR="005D223C" w:rsidRPr="005D223C" w:rsidRDefault="00FB0F05" w:rsidP="005D223C">
            <w:pPr>
              <w:spacing w:before="120"/>
              <w:rPr>
                <w:sz w:val="22"/>
                <w:szCs w:val="22"/>
              </w:rPr>
            </w:pPr>
            <w:bookmarkStart w:id="6" w:name="_Hlk42690097"/>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23" w:history="1">
              <w:r w:rsidRPr="00FB0F05">
                <w:rPr>
                  <w:rStyle w:val="Hyperlink"/>
                  <w:rFonts w:cs="Arial"/>
                  <w:noProof/>
                  <w:sz w:val="22"/>
                  <w:szCs w:val="22"/>
                </w:rPr>
                <w:t>Patient Group Directions: who can administer them</w:t>
              </w:r>
            </w:hyperlink>
            <w:r w:rsidR="005C7AE5">
              <w:rPr>
                <w:rFonts w:cs="Arial"/>
                <w:noProof/>
                <w:sz w:val="22"/>
                <w:szCs w:val="22"/>
              </w:rPr>
              <w:t>)</w:t>
            </w:r>
            <w:r w:rsidR="005D223C" w:rsidRPr="005D223C">
              <w:rPr>
                <w:sz w:val="22"/>
                <w:szCs w:val="22"/>
              </w:rPr>
              <w:t>:</w:t>
            </w:r>
          </w:p>
          <w:p w14:paraId="33A745BD" w14:textId="77777777" w:rsidR="005D223C" w:rsidRPr="005D223C" w:rsidRDefault="005D223C" w:rsidP="00175B2D">
            <w:pPr>
              <w:pStyle w:val="ListParagraph"/>
              <w:numPr>
                <w:ilvl w:val="0"/>
                <w:numId w:val="7"/>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332B4478" w14:textId="2B852B9E" w:rsidR="005D223C" w:rsidRPr="005D223C" w:rsidRDefault="005D223C" w:rsidP="00175B2D">
            <w:pPr>
              <w:pStyle w:val="ListParagraph"/>
              <w:numPr>
                <w:ilvl w:val="0"/>
                <w:numId w:val="7"/>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w:t>
            </w:r>
          </w:p>
          <w:p w14:paraId="1DEE88A6" w14:textId="77777777" w:rsidR="005D223C" w:rsidRPr="005D223C" w:rsidRDefault="005D223C" w:rsidP="00175B2D">
            <w:pPr>
              <w:pStyle w:val="ListParagraph"/>
              <w:numPr>
                <w:ilvl w:val="0"/>
                <w:numId w:val="7"/>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62FD0A5A" w14:textId="77777777" w:rsidR="005D223C" w:rsidRPr="005D223C" w:rsidRDefault="005D223C" w:rsidP="00175B2D">
            <w:pPr>
              <w:pStyle w:val="ListParagraph"/>
              <w:numPr>
                <w:ilvl w:val="0"/>
                <w:numId w:val="7"/>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2083102D" w14:textId="1FAC1FB4" w:rsidR="005D223C" w:rsidRDefault="005D223C" w:rsidP="00175B2D">
            <w:pPr>
              <w:pStyle w:val="ListParagraph"/>
              <w:numPr>
                <w:ilvl w:val="0"/>
                <w:numId w:val="7"/>
              </w:numPr>
              <w:spacing w:before="120"/>
              <w:ind w:left="324" w:hanging="283"/>
              <w:rPr>
                <w:rFonts w:cs="Arial"/>
                <w:sz w:val="22"/>
                <w:szCs w:val="22"/>
              </w:rPr>
            </w:pPr>
            <w:r w:rsidRPr="005D223C">
              <w:rPr>
                <w:rFonts w:cs="Arial"/>
                <w:noProof/>
                <w:sz w:val="22"/>
                <w:szCs w:val="22"/>
              </w:rPr>
              <w:t>optometrists registered with the General Optical Council.</w:t>
            </w:r>
          </w:p>
          <w:p w14:paraId="5DBC2376" w14:textId="0892B017" w:rsidR="00B227F7" w:rsidRPr="006D38C2" w:rsidRDefault="005C7AE5" w:rsidP="00CE0435">
            <w:pPr>
              <w:spacing w:before="120" w:after="120"/>
              <w:rPr>
                <w:rFonts w:cs="Arial"/>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all</w:t>
            </w:r>
            <w:r w:rsidR="004A1B0E">
              <w:rPr>
                <w:rFonts w:cs="Arial"/>
                <w:sz w:val="22"/>
                <w:szCs w:val="22"/>
              </w:rPr>
              <w:t xml:space="preserve"> of</w:t>
            </w:r>
            <w:r>
              <w:rPr>
                <w:rFonts w:cs="Arial"/>
                <w:sz w:val="22"/>
                <w:szCs w:val="22"/>
              </w:rPr>
              <w:t xml:space="preserve">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Pr>
                <w:rFonts w:cs="Arial"/>
                <w:sz w:val="22"/>
                <w:szCs w:val="22"/>
              </w:rPr>
              <w:t>.</w:t>
            </w:r>
            <w:bookmarkEnd w:id="6"/>
          </w:p>
        </w:tc>
      </w:tr>
      <w:tr w:rsidR="00B227F7" w:rsidRPr="00CB5D91" w14:paraId="5A561534" w14:textId="77777777" w:rsidTr="007B2C02">
        <w:tc>
          <w:tcPr>
            <w:tcW w:w="2970" w:type="dxa"/>
          </w:tcPr>
          <w:p w14:paraId="08BD493C" w14:textId="77777777" w:rsidR="00B227F7" w:rsidRDefault="00B227F7" w:rsidP="007B2C02">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p w14:paraId="3D462727" w14:textId="77777777" w:rsidR="00CD34D4" w:rsidRDefault="00CD34D4" w:rsidP="007B2C02">
            <w:pPr>
              <w:pStyle w:val="Header"/>
              <w:tabs>
                <w:tab w:val="left" w:pos="720"/>
              </w:tabs>
              <w:spacing w:before="120" w:after="120"/>
              <w:rPr>
                <w:rFonts w:ascii="Arial" w:hAnsi="Arial" w:cs="Arial"/>
                <w:b/>
                <w:sz w:val="22"/>
                <w:szCs w:val="22"/>
              </w:rPr>
            </w:pPr>
          </w:p>
          <w:p w14:paraId="3768644C" w14:textId="77777777" w:rsidR="00CD34D4" w:rsidRPr="00CD34D4" w:rsidRDefault="00CD34D4" w:rsidP="007B2C02">
            <w:pPr>
              <w:pStyle w:val="Header"/>
              <w:tabs>
                <w:tab w:val="left" w:pos="720"/>
              </w:tabs>
              <w:spacing w:before="120" w:after="120"/>
              <w:rPr>
                <w:rFonts w:ascii="Arial" w:hAnsi="Arial" w:cs="Arial"/>
                <w:sz w:val="22"/>
                <w:szCs w:val="22"/>
              </w:rPr>
            </w:pPr>
          </w:p>
          <w:p w14:paraId="5AB484C4" w14:textId="77777777" w:rsidR="00CD34D4" w:rsidRDefault="00CD34D4" w:rsidP="00CD34D4">
            <w:pPr>
              <w:pStyle w:val="Header"/>
              <w:tabs>
                <w:tab w:val="left" w:pos="720"/>
              </w:tabs>
              <w:spacing w:before="120" w:after="120"/>
              <w:contextualSpacing/>
              <w:rPr>
                <w:rFonts w:ascii="Arial" w:hAnsi="Arial" w:cs="Arial"/>
                <w:sz w:val="22"/>
                <w:szCs w:val="22"/>
              </w:rPr>
            </w:pPr>
          </w:p>
          <w:p w14:paraId="3AD664F5" w14:textId="77777777" w:rsidR="00CD34D4" w:rsidRDefault="00CD34D4" w:rsidP="00CD34D4">
            <w:pPr>
              <w:pStyle w:val="Header"/>
              <w:tabs>
                <w:tab w:val="left" w:pos="720"/>
              </w:tabs>
              <w:spacing w:before="120" w:after="120"/>
              <w:contextualSpacing/>
              <w:rPr>
                <w:rFonts w:ascii="Arial" w:hAnsi="Arial" w:cs="Arial"/>
                <w:sz w:val="22"/>
                <w:szCs w:val="22"/>
              </w:rPr>
            </w:pPr>
          </w:p>
          <w:p w14:paraId="6BDF9959" w14:textId="77777777" w:rsidR="00CD34D4" w:rsidRDefault="00CD34D4" w:rsidP="00CD34D4">
            <w:pPr>
              <w:pStyle w:val="Header"/>
              <w:tabs>
                <w:tab w:val="left" w:pos="720"/>
              </w:tabs>
              <w:spacing w:before="120" w:after="120"/>
              <w:contextualSpacing/>
              <w:rPr>
                <w:rFonts w:ascii="Arial" w:hAnsi="Arial" w:cs="Arial"/>
                <w:sz w:val="22"/>
                <w:szCs w:val="22"/>
              </w:rPr>
            </w:pPr>
          </w:p>
          <w:p w14:paraId="47B612A4" w14:textId="77777777" w:rsidR="00CD34D4" w:rsidRDefault="00CD34D4" w:rsidP="00CD34D4">
            <w:pPr>
              <w:pStyle w:val="Header"/>
              <w:tabs>
                <w:tab w:val="left" w:pos="720"/>
              </w:tabs>
              <w:spacing w:before="120" w:after="120"/>
              <w:contextualSpacing/>
              <w:rPr>
                <w:rFonts w:ascii="Arial" w:hAnsi="Arial" w:cs="Arial"/>
                <w:sz w:val="22"/>
                <w:szCs w:val="22"/>
              </w:rPr>
            </w:pPr>
          </w:p>
          <w:p w14:paraId="2C63DE14" w14:textId="77777777" w:rsidR="00CD34D4" w:rsidRDefault="00CD34D4" w:rsidP="00CD34D4">
            <w:pPr>
              <w:pStyle w:val="Header"/>
              <w:tabs>
                <w:tab w:val="left" w:pos="720"/>
              </w:tabs>
              <w:spacing w:before="120" w:after="120"/>
              <w:contextualSpacing/>
              <w:rPr>
                <w:rFonts w:ascii="Arial" w:hAnsi="Arial" w:cs="Arial"/>
                <w:sz w:val="22"/>
                <w:szCs w:val="22"/>
              </w:rPr>
            </w:pPr>
          </w:p>
          <w:p w14:paraId="01CAFB50" w14:textId="77777777" w:rsidR="00CD34D4" w:rsidRDefault="00CD34D4" w:rsidP="00CD34D4">
            <w:pPr>
              <w:pStyle w:val="Header"/>
              <w:tabs>
                <w:tab w:val="left" w:pos="720"/>
              </w:tabs>
              <w:spacing w:before="120" w:after="120"/>
              <w:contextualSpacing/>
              <w:rPr>
                <w:rFonts w:ascii="Arial" w:hAnsi="Arial" w:cs="Arial"/>
                <w:sz w:val="22"/>
                <w:szCs w:val="22"/>
              </w:rPr>
            </w:pPr>
          </w:p>
          <w:p w14:paraId="2421573E" w14:textId="77777777" w:rsidR="00CD34D4" w:rsidRDefault="00CD34D4" w:rsidP="00CD34D4">
            <w:pPr>
              <w:pStyle w:val="Header"/>
              <w:tabs>
                <w:tab w:val="left" w:pos="720"/>
              </w:tabs>
              <w:spacing w:before="120" w:after="120"/>
              <w:contextualSpacing/>
              <w:rPr>
                <w:rFonts w:ascii="Arial" w:hAnsi="Arial" w:cs="Arial"/>
                <w:sz w:val="22"/>
                <w:szCs w:val="22"/>
              </w:rPr>
            </w:pPr>
          </w:p>
          <w:p w14:paraId="1D5F618F" w14:textId="77777777" w:rsidR="00CD34D4" w:rsidRDefault="00CD34D4" w:rsidP="00CD34D4">
            <w:pPr>
              <w:pStyle w:val="Header"/>
              <w:tabs>
                <w:tab w:val="left" w:pos="720"/>
              </w:tabs>
              <w:spacing w:before="120" w:after="120"/>
              <w:contextualSpacing/>
              <w:rPr>
                <w:rFonts w:ascii="Arial" w:hAnsi="Arial" w:cs="Arial"/>
                <w:sz w:val="22"/>
                <w:szCs w:val="22"/>
              </w:rPr>
            </w:pPr>
          </w:p>
          <w:p w14:paraId="61D222CB" w14:textId="77777777" w:rsidR="00CD34D4" w:rsidRDefault="00CD34D4" w:rsidP="00CD34D4">
            <w:pPr>
              <w:pStyle w:val="Header"/>
              <w:tabs>
                <w:tab w:val="left" w:pos="720"/>
              </w:tabs>
              <w:spacing w:before="120" w:after="120"/>
              <w:contextualSpacing/>
              <w:rPr>
                <w:rFonts w:ascii="Arial" w:hAnsi="Arial" w:cs="Arial"/>
                <w:sz w:val="22"/>
                <w:szCs w:val="22"/>
              </w:rPr>
            </w:pPr>
          </w:p>
          <w:p w14:paraId="36D97C06" w14:textId="77777777" w:rsidR="00CD34D4" w:rsidRDefault="00CD34D4" w:rsidP="00CD34D4">
            <w:pPr>
              <w:pStyle w:val="Header"/>
              <w:tabs>
                <w:tab w:val="left" w:pos="720"/>
              </w:tabs>
              <w:spacing w:before="120" w:after="120"/>
              <w:contextualSpacing/>
              <w:rPr>
                <w:rFonts w:ascii="Arial" w:hAnsi="Arial" w:cs="Arial"/>
                <w:sz w:val="22"/>
                <w:szCs w:val="22"/>
              </w:rPr>
            </w:pPr>
          </w:p>
          <w:p w14:paraId="1F5EE78B" w14:textId="77777777" w:rsidR="00CD34D4" w:rsidRDefault="00CD34D4" w:rsidP="00CD34D4">
            <w:pPr>
              <w:pStyle w:val="Header"/>
              <w:tabs>
                <w:tab w:val="left" w:pos="720"/>
              </w:tabs>
              <w:spacing w:before="120" w:after="120"/>
              <w:contextualSpacing/>
              <w:rPr>
                <w:rFonts w:ascii="Arial" w:hAnsi="Arial" w:cs="Arial"/>
                <w:sz w:val="22"/>
                <w:szCs w:val="22"/>
              </w:rPr>
            </w:pPr>
          </w:p>
          <w:p w14:paraId="7BBD8906" w14:textId="77777777" w:rsidR="00CD34D4" w:rsidRDefault="00CD34D4" w:rsidP="00CD34D4">
            <w:pPr>
              <w:pStyle w:val="Header"/>
              <w:tabs>
                <w:tab w:val="left" w:pos="720"/>
              </w:tabs>
              <w:spacing w:before="120" w:after="120"/>
              <w:contextualSpacing/>
              <w:rPr>
                <w:rFonts w:ascii="Arial" w:hAnsi="Arial" w:cs="Arial"/>
                <w:sz w:val="22"/>
                <w:szCs w:val="22"/>
              </w:rPr>
            </w:pPr>
          </w:p>
          <w:p w14:paraId="48DD8768" w14:textId="77777777" w:rsidR="00CD34D4" w:rsidRDefault="00CD34D4" w:rsidP="00CD34D4">
            <w:pPr>
              <w:pStyle w:val="Header"/>
              <w:tabs>
                <w:tab w:val="left" w:pos="720"/>
              </w:tabs>
              <w:spacing w:before="120" w:after="120"/>
              <w:contextualSpacing/>
              <w:rPr>
                <w:rFonts w:ascii="Arial" w:hAnsi="Arial" w:cs="Arial"/>
                <w:sz w:val="22"/>
                <w:szCs w:val="22"/>
              </w:rPr>
            </w:pPr>
          </w:p>
          <w:p w14:paraId="2650F12C" w14:textId="77777777" w:rsidR="00CD34D4" w:rsidRDefault="00CD34D4" w:rsidP="00CD34D4">
            <w:pPr>
              <w:pStyle w:val="Header"/>
              <w:tabs>
                <w:tab w:val="left" w:pos="720"/>
              </w:tabs>
              <w:spacing w:before="120" w:after="120"/>
              <w:contextualSpacing/>
              <w:rPr>
                <w:rFonts w:ascii="Arial" w:hAnsi="Arial" w:cs="Arial"/>
                <w:sz w:val="22"/>
                <w:szCs w:val="22"/>
              </w:rPr>
            </w:pPr>
          </w:p>
          <w:p w14:paraId="76D96039" w14:textId="77777777" w:rsidR="00CD34D4" w:rsidRDefault="00CD34D4" w:rsidP="00CD34D4">
            <w:pPr>
              <w:pStyle w:val="Header"/>
              <w:tabs>
                <w:tab w:val="left" w:pos="720"/>
              </w:tabs>
              <w:spacing w:before="120" w:after="120"/>
              <w:contextualSpacing/>
              <w:rPr>
                <w:rFonts w:ascii="Arial" w:hAnsi="Arial" w:cs="Arial"/>
                <w:sz w:val="22"/>
                <w:szCs w:val="22"/>
              </w:rPr>
            </w:pPr>
          </w:p>
          <w:p w14:paraId="0FDA8C1A" w14:textId="77777777" w:rsidR="00CD34D4" w:rsidRDefault="00CD34D4" w:rsidP="00CD34D4">
            <w:pPr>
              <w:pStyle w:val="Header"/>
              <w:tabs>
                <w:tab w:val="left" w:pos="720"/>
              </w:tabs>
              <w:spacing w:before="120" w:after="120"/>
              <w:contextualSpacing/>
              <w:rPr>
                <w:rFonts w:ascii="Arial" w:hAnsi="Arial" w:cs="Arial"/>
                <w:sz w:val="22"/>
                <w:szCs w:val="22"/>
              </w:rPr>
            </w:pPr>
          </w:p>
          <w:p w14:paraId="29EE8E8D" w14:textId="77777777" w:rsidR="00CD34D4" w:rsidRDefault="00CD34D4" w:rsidP="00CD34D4">
            <w:pPr>
              <w:pStyle w:val="Header"/>
              <w:tabs>
                <w:tab w:val="left" w:pos="720"/>
              </w:tabs>
              <w:spacing w:before="120" w:after="120"/>
              <w:contextualSpacing/>
              <w:rPr>
                <w:rFonts w:ascii="Arial" w:hAnsi="Arial" w:cs="Arial"/>
                <w:sz w:val="22"/>
                <w:szCs w:val="22"/>
              </w:rPr>
            </w:pPr>
          </w:p>
          <w:p w14:paraId="7B322DFF" w14:textId="77777777" w:rsidR="00CD34D4" w:rsidRDefault="00CD34D4" w:rsidP="00CD34D4">
            <w:pPr>
              <w:pStyle w:val="Header"/>
              <w:tabs>
                <w:tab w:val="left" w:pos="720"/>
              </w:tabs>
              <w:spacing w:before="120" w:after="120"/>
              <w:contextualSpacing/>
              <w:rPr>
                <w:rFonts w:ascii="Arial" w:hAnsi="Arial" w:cs="Arial"/>
                <w:sz w:val="22"/>
                <w:szCs w:val="22"/>
              </w:rPr>
            </w:pPr>
          </w:p>
          <w:p w14:paraId="6C5EFFD2" w14:textId="77777777" w:rsidR="00CD34D4" w:rsidRDefault="00CD34D4" w:rsidP="00CD34D4">
            <w:pPr>
              <w:pStyle w:val="Header"/>
              <w:tabs>
                <w:tab w:val="left" w:pos="720"/>
              </w:tabs>
              <w:spacing w:before="120" w:after="120"/>
              <w:contextualSpacing/>
              <w:rPr>
                <w:rFonts w:ascii="Arial" w:hAnsi="Arial" w:cs="Arial"/>
                <w:sz w:val="22"/>
                <w:szCs w:val="22"/>
              </w:rPr>
            </w:pPr>
          </w:p>
          <w:p w14:paraId="0E831C01" w14:textId="77777777" w:rsidR="00CD34D4" w:rsidRDefault="00CD34D4" w:rsidP="00CD34D4">
            <w:pPr>
              <w:pStyle w:val="Header"/>
              <w:tabs>
                <w:tab w:val="left" w:pos="720"/>
              </w:tabs>
              <w:spacing w:before="120" w:after="120"/>
              <w:contextualSpacing/>
              <w:rPr>
                <w:rFonts w:ascii="Arial" w:hAnsi="Arial" w:cs="Arial"/>
                <w:sz w:val="22"/>
                <w:szCs w:val="22"/>
              </w:rPr>
            </w:pPr>
          </w:p>
          <w:p w14:paraId="6AF0032E" w14:textId="77777777" w:rsidR="00CD34D4" w:rsidRDefault="00CD34D4" w:rsidP="00CD34D4">
            <w:pPr>
              <w:pStyle w:val="Header"/>
              <w:tabs>
                <w:tab w:val="left" w:pos="720"/>
              </w:tabs>
              <w:spacing w:before="120" w:after="120"/>
              <w:contextualSpacing/>
              <w:rPr>
                <w:rFonts w:ascii="Arial" w:hAnsi="Arial" w:cs="Arial"/>
                <w:sz w:val="22"/>
                <w:szCs w:val="22"/>
              </w:rPr>
            </w:pPr>
          </w:p>
          <w:p w14:paraId="4ABFF39F" w14:textId="77777777" w:rsidR="00CD34D4" w:rsidRDefault="00CD34D4" w:rsidP="00CD34D4">
            <w:pPr>
              <w:pStyle w:val="Header"/>
              <w:tabs>
                <w:tab w:val="left" w:pos="720"/>
              </w:tabs>
              <w:spacing w:before="120" w:after="120"/>
              <w:contextualSpacing/>
              <w:rPr>
                <w:rFonts w:ascii="Arial" w:hAnsi="Arial" w:cs="Arial"/>
                <w:sz w:val="22"/>
                <w:szCs w:val="22"/>
              </w:rPr>
            </w:pPr>
          </w:p>
          <w:p w14:paraId="1AF44422" w14:textId="77777777" w:rsidR="00CD34D4" w:rsidRDefault="00CD34D4" w:rsidP="00CD34D4">
            <w:pPr>
              <w:pStyle w:val="Header"/>
              <w:tabs>
                <w:tab w:val="left" w:pos="720"/>
              </w:tabs>
              <w:spacing w:before="120" w:after="120"/>
              <w:contextualSpacing/>
              <w:rPr>
                <w:rFonts w:ascii="Arial" w:hAnsi="Arial" w:cs="Arial"/>
                <w:sz w:val="22"/>
                <w:szCs w:val="22"/>
              </w:rPr>
            </w:pPr>
          </w:p>
          <w:p w14:paraId="50D1190A" w14:textId="77777777" w:rsidR="00CD34D4" w:rsidRDefault="00CD34D4" w:rsidP="00CD34D4">
            <w:pPr>
              <w:pStyle w:val="Header"/>
              <w:tabs>
                <w:tab w:val="left" w:pos="720"/>
              </w:tabs>
              <w:spacing w:before="120" w:after="120"/>
              <w:contextualSpacing/>
              <w:rPr>
                <w:rFonts w:ascii="Arial" w:hAnsi="Arial" w:cs="Arial"/>
                <w:sz w:val="22"/>
                <w:szCs w:val="22"/>
              </w:rPr>
            </w:pPr>
          </w:p>
          <w:p w14:paraId="0DC4EBC2" w14:textId="77777777" w:rsidR="00CD34D4" w:rsidRDefault="00CD34D4" w:rsidP="00CD34D4">
            <w:pPr>
              <w:pStyle w:val="Header"/>
              <w:tabs>
                <w:tab w:val="left" w:pos="720"/>
              </w:tabs>
              <w:spacing w:before="120" w:after="120"/>
              <w:contextualSpacing/>
              <w:rPr>
                <w:rFonts w:ascii="Arial" w:hAnsi="Arial" w:cs="Arial"/>
                <w:sz w:val="22"/>
                <w:szCs w:val="22"/>
              </w:rPr>
            </w:pPr>
          </w:p>
          <w:p w14:paraId="33B7564E" w14:textId="77777777" w:rsidR="00CD34D4" w:rsidRDefault="00CD34D4" w:rsidP="00CD34D4">
            <w:pPr>
              <w:pStyle w:val="Header"/>
              <w:tabs>
                <w:tab w:val="left" w:pos="720"/>
              </w:tabs>
              <w:spacing w:before="120" w:after="120"/>
              <w:contextualSpacing/>
              <w:rPr>
                <w:rFonts w:ascii="Arial" w:hAnsi="Arial" w:cs="Arial"/>
                <w:sz w:val="22"/>
                <w:szCs w:val="22"/>
              </w:rPr>
            </w:pPr>
          </w:p>
          <w:p w14:paraId="35D36491" w14:textId="77777777" w:rsidR="00CD34D4" w:rsidRDefault="00CD34D4" w:rsidP="00CD34D4">
            <w:pPr>
              <w:pStyle w:val="Header"/>
              <w:tabs>
                <w:tab w:val="left" w:pos="720"/>
              </w:tabs>
              <w:spacing w:before="120" w:after="120"/>
              <w:contextualSpacing/>
              <w:rPr>
                <w:rFonts w:ascii="Arial" w:hAnsi="Arial" w:cs="Arial"/>
                <w:sz w:val="22"/>
                <w:szCs w:val="22"/>
              </w:rPr>
            </w:pPr>
          </w:p>
          <w:p w14:paraId="050EE8D1" w14:textId="77777777" w:rsidR="00CD34D4" w:rsidRDefault="00CD34D4" w:rsidP="00CD34D4">
            <w:pPr>
              <w:pStyle w:val="Header"/>
              <w:tabs>
                <w:tab w:val="left" w:pos="720"/>
              </w:tabs>
              <w:spacing w:before="120" w:after="120"/>
              <w:contextualSpacing/>
              <w:rPr>
                <w:rFonts w:ascii="Arial" w:hAnsi="Arial" w:cs="Arial"/>
                <w:sz w:val="22"/>
                <w:szCs w:val="22"/>
              </w:rPr>
            </w:pPr>
          </w:p>
          <w:p w14:paraId="122AF8BE" w14:textId="77777777" w:rsidR="00CD34D4" w:rsidRDefault="00CD34D4" w:rsidP="00CD34D4">
            <w:pPr>
              <w:pStyle w:val="Header"/>
              <w:tabs>
                <w:tab w:val="left" w:pos="720"/>
              </w:tabs>
              <w:spacing w:before="120" w:after="120"/>
              <w:contextualSpacing/>
              <w:rPr>
                <w:rFonts w:ascii="Arial" w:hAnsi="Arial" w:cs="Arial"/>
                <w:sz w:val="22"/>
                <w:szCs w:val="22"/>
              </w:rPr>
            </w:pPr>
          </w:p>
          <w:p w14:paraId="1D03F68F" w14:textId="0275A851" w:rsidR="00CD34D4" w:rsidRDefault="00CD34D4" w:rsidP="00CD34D4">
            <w:pPr>
              <w:pStyle w:val="Header"/>
              <w:tabs>
                <w:tab w:val="left" w:pos="720"/>
              </w:tabs>
              <w:spacing w:before="120" w:after="120"/>
              <w:contextualSpacing/>
              <w:rPr>
                <w:rFonts w:ascii="Arial" w:hAnsi="Arial" w:cs="Arial"/>
                <w:sz w:val="22"/>
                <w:szCs w:val="22"/>
              </w:rPr>
            </w:pPr>
          </w:p>
          <w:p w14:paraId="76C6EAE3" w14:textId="77777777" w:rsidR="00E56171" w:rsidRDefault="00E56171" w:rsidP="00CD34D4">
            <w:pPr>
              <w:pStyle w:val="Header"/>
              <w:tabs>
                <w:tab w:val="left" w:pos="720"/>
              </w:tabs>
              <w:spacing w:before="120" w:after="120"/>
              <w:contextualSpacing/>
              <w:rPr>
                <w:rFonts w:ascii="Arial" w:hAnsi="Arial" w:cs="Arial"/>
                <w:sz w:val="22"/>
                <w:szCs w:val="22"/>
              </w:rPr>
            </w:pPr>
          </w:p>
          <w:p w14:paraId="30B50992" w14:textId="77777777" w:rsidR="00263AA8" w:rsidRDefault="00263AA8" w:rsidP="00CD34D4">
            <w:pPr>
              <w:pStyle w:val="Header"/>
              <w:tabs>
                <w:tab w:val="left" w:pos="720"/>
              </w:tabs>
              <w:spacing w:before="120" w:after="120"/>
              <w:contextualSpacing/>
              <w:rPr>
                <w:rFonts w:ascii="Arial" w:hAnsi="Arial" w:cs="Arial"/>
                <w:sz w:val="22"/>
                <w:szCs w:val="22"/>
              </w:rPr>
            </w:pPr>
          </w:p>
          <w:p w14:paraId="3040DE96" w14:textId="77777777" w:rsidR="00291345" w:rsidRDefault="00291345" w:rsidP="00CD34D4">
            <w:pPr>
              <w:pStyle w:val="Header"/>
              <w:tabs>
                <w:tab w:val="left" w:pos="720"/>
              </w:tabs>
              <w:spacing w:before="120" w:after="120"/>
              <w:contextualSpacing/>
              <w:rPr>
                <w:rFonts w:ascii="Arial" w:hAnsi="Arial" w:cs="Arial"/>
                <w:sz w:val="22"/>
                <w:szCs w:val="22"/>
              </w:rPr>
            </w:pPr>
          </w:p>
          <w:p w14:paraId="3760A182" w14:textId="0F75AB7F" w:rsidR="00CD34D4" w:rsidRPr="00CD34D4" w:rsidRDefault="00CD34D4" w:rsidP="00CD34D4">
            <w:pPr>
              <w:pStyle w:val="Header"/>
              <w:tabs>
                <w:tab w:val="left" w:pos="720"/>
              </w:tabs>
              <w:spacing w:before="120" w:after="120"/>
              <w:contextualSpacing/>
              <w:rPr>
                <w:rFonts w:ascii="Arial" w:hAnsi="Arial" w:cs="Arial"/>
                <w:sz w:val="22"/>
                <w:szCs w:val="22"/>
              </w:rPr>
            </w:pPr>
            <w:r w:rsidRPr="00CD34D4">
              <w:rPr>
                <w:rFonts w:ascii="Arial" w:hAnsi="Arial" w:cs="Arial"/>
                <w:sz w:val="22"/>
                <w:szCs w:val="22"/>
              </w:rPr>
              <w:t>Continued over page</w:t>
            </w:r>
          </w:p>
          <w:p w14:paraId="4B0E4126" w14:textId="77777777" w:rsidR="00CD34D4" w:rsidRDefault="00CD34D4" w:rsidP="00CD34D4">
            <w:pPr>
              <w:pStyle w:val="Header"/>
              <w:tabs>
                <w:tab w:val="left" w:pos="720"/>
              </w:tabs>
              <w:spacing w:before="120" w:after="120"/>
              <w:contextualSpacing/>
              <w:rPr>
                <w:rFonts w:ascii="Arial" w:hAnsi="Arial" w:cs="Arial"/>
                <w:b/>
                <w:sz w:val="22"/>
                <w:szCs w:val="22"/>
              </w:rPr>
            </w:pPr>
            <w:r w:rsidRPr="00DF40E8">
              <w:rPr>
                <w:rFonts w:ascii="Arial" w:hAnsi="Arial" w:cs="Arial"/>
                <w:b/>
                <w:sz w:val="22"/>
                <w:szCs w:val="22"/>
              </w:rPr>
              <w:lastRenderedPageBreak/>
              <w:t>Additional requirements</w:t>
            </w:r>
          </w:p>
          <w:p w14:paraId="1D9E1F25" w14:textId="241DE3B3" w:rsidR="00CD34D4" w:rsidRPr="00CD34D4" w:rsidRDefault="00CD34D4" w:rsidP="00CD34D4">
            <w:pPr>
              <w:pStyle w:val="Header"/>
              <w:tabs>
                <w:tab w:val="left" w:pos="720"/>
              </w:tabs>
              <w:spacing w:before="120" w:after="120"/>
              <w:contextualSpacing/>
              <w:rPr>
                <w:rFonts w:ascii="Arial" w:hAnsi="Arial" w:cs="Arial"/>
                <w:sz w:val="22"/>
                <w:szCs w:val="22"/>
              </w:rPr>
            </w:pPr>
            <w:r w:rsidRPr="00CD34D4">
              <w:rPr>
                <w:rFonts w:ascii="Arial" w:hAnsi="Arial" w:cs="Arial"/>
                <w:sz w:val="22"/>
                <w:szCs w:val="22"/>
              </w:rPr>
              <w:t>(continued)</w:t>
            </w:r>
          </w:p>
        </w:tc>
        <w:tc>
          <w:tcPr>
            <w:tcW w:w="6953" w:type="dxa"/>
          </w:tcPr>
          <w:p w14:paraId="561D9DF0" w14:textId="23504454" w:rsidR="00B227F7" w:rsidRPr="004C634B" w:rsidRDefault="00B227F7" w:rsidP="007B2C02">
            <w:pPr>
              <w:spacing w:before="120"/>
              <w:contextualSpacing/>
              <w:rPr>
                <w:rFonts w:cs="Arial"/>
                <w:sz w:val="22"/>
              </w:rPr>
            </w:pPr>
            <w:r>
              <w:rPr>
                <w:rFonts w:cs="Arial"/>
                <w:sz w:val="22"/>
              </w:rPr>
              <w:lastRenderedPageBreak/>
              <w:t>Additionally</w:t>
            </w:r>
            <w:r w:rsidR="004F3775">
              <w:rPr>
                <w:rFonts w:cs="Arial"/>
                <w:sz w:val="22"/>
              </w:rPr>
              <w:t>,</w:t>
            </w:r>
            <w:r>
              <w:rPr>
                <w:rFonts w:cs="Arial"/>
                <w:sz w:val="22"/>
              </w:rPr>
              <w:t xml:space="preserve"> practitioners:</w:t>
            </w:r>
          </w:p>
          <w:p w14:paraId="4940F5AD" w14:textId="77777777" w:rsidR="00B227F7" w:rsidRPr="00AF5164" w:rsidRDefault="00B227F7" w:rsidP="007B2C02">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C1DC07E" w14:textId="600A5650"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7C6E8905" w14:textId="77777777" w:rsidR="00B227F7" w:rsidRPr="00E54F90"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24"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 xml:space="preserve">ing </w:t>
            </w:r>
            <w:r>
              <w:rPr>
                <w:rFonts w:ascii="Arial" w:hAnsi="Arial" w:cs="Arial"/>
                <w:sz w:val="22"/>
                <w:szCs w:val="22"/>
              </w:rPr>
              <w:t>PGD</w:t>
            </w:r>
            <w:r w:rsidRPr="00E47B6D">
              <w:rPr>
                <w:rFonts w:ascii="Arial" w:hAnsi="Arial" w:cs="Arial"/>
                <w:sz w:val="22"/>
                <w:szCs w:val="22"/>
              </w:rPr>
              <w:t>s)</w:t>
            </w:r>
          </w:p>
          <w:p w14:paraId="03B6AFAF" w14:textId="62E83CD5" w:rsidR="00274154"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52506A">
              <w:rPr>
                <w:rFonts w:ascii="Arial" w:hAnsi="Arial" w:cs="Arial"/>
                <w:sz w:val="22"/>
                <w:szCs w:val="22"/>
              </w:rPr>
              <w:t>Characteristics (SPC)</w:t>
            </w:r>
            <w:r w:rsidR="00DA6115">
              <w:rPr>
                <w:rFonts w:ascii="Arial" w:hAnsi="Arial" w:cs="Arial"/>
                <w:sz w:val="22"/>
                <w:szCs w:val="22"/>
              </w:rPr>
              <w:t>, should it become licensed</w:t>
            </w:r>
            <w:r w:rsidR="00564997">
              <w:rPr>
                <w:rFonts w:ascii="Arial" w:hAnsi="Arial" w:cs="Arial"/>
                <w:sz w:val="22"/>
                <w:szCs w:val="22"/>
              </w:rPr>
              <w:t>,</w:t>
            </w:r>
            <w:r w:rsidR="00274154" w:rsidRPr="0052506A">
              <w:rPr>
                <w:rFonts w:ascii="Arial" w:hAnsi="Arial" w:cs="Arial"/>
                <w:sz w:val="22"/>
                <w:szCs w:val="22"/>
              </w:rPr>
              <w:t xml:space="preserve"> or </w:t>
            </w:r>
            <w:r w:rsidR="001F7175" w:rsidRPr="0052506A">
              <w:rPr>
                <w:rFonts w:ascii="Arial" w:hAnsi="Arial" w:cs="Arial"/>
                <w:sz w:val="22"/>
                <w:szCs w:val="22"/>
              </w:rPr>
              <w:t xml:space="preserve">the </w:t>
            </w:r>
            <w:hyperlink r:id="rId25" w:history="1">
              <w:r w:rsidR="0052506A">
                <w:rPr>
                  <w:rStyle w:val="Hyperlink"/>
                  <w:rFonts w:ascii="Arial" w:hAnsi="Arial" w:cs="Arial"/>
                  <w:sz w:val="22"/>
                  <w:szCs w:val="22"/>
                </w:rPr>
                <w:t>Regulation 174 Information for UK Healthcare Professionals</w:t>
              </w:r>
            </w:hyperlink>
            <w:r w:rsidR="001F7175" w:rsidRPr="0052506A">
              <w:rPr>
                <w:rFonts w:ascii="Arial" w:hAnsi="Arial" w:cs="Arial"/>
                <w:sz w:val="22"/>
                <w:szCs w:val="22"/>
              </w:rPr>
              <w:t xml:space="preserve"> </w:t>
            </w:r>
            <w:r w:rsidR="00274154" w:rsidRPr="0052506A">
              <w:rPr>
                <w:rFonts w:ascii="Arial" w:hAnsi="Arial" w:cs="Arial"/>
                <w:sz w:val="22"/>
                <w:szCs w:val="22"/>
              </w:rPr>
              <w:t>for</w:t>
            </w:r>
            <w:r w:rsidR="00274154" w:rsidRPr="00C15334">
              <w:rPr>
                <w:rFonts w:ascii="Arial" w:hAnsi="Arial" w:cs="Arial"/>
                <w:sz w:val="22"/>
                <w:szCs w:val="22"/>
              </w:rPr>
              <w:t xml:space="preserve"> the vaccine</w:t>
            </w:r>
            <w:r w:rsidR="001B7B5B" w:rsidRPr="00C15334">
              <w:rPr>
                <w:rFonts w:ascii="Arial" w:hAnsi="Arial" w:cs="Arial"/>
                <w:sz w:val="22"/>
                <w:szCs w:val="22"/>
              </w:rPr>
              <w:t xml:space="preserve"> and familiar with the national recommendations</w:t>
            </w:r>
            <w:r w:rsidR="001B7B5B">
              <w:rPr>
                <w:rFonts w:ascii="Arial" w:hAnsi="Arial" w:cs="Arial"/>
                <w:sz w:val="22"/>
                <w:szCs w:val="22"/>
              </w:rPr>
              <w:t xml:space="preserve"> for the use of this vaccine</w:t>
            </w:r>
          </w:p>
          <w:p w14:paraId="43DF490F" w14:textId="74853F70" w:rsidR="00274154" w:rsidRDefault="00274154"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and alert to changes in relevant chapters of </w:t>
            </w:r>
            <w:r w:rsidR="00B227F7" w:rsidRPr="00394588">
              <w:rPr>
                <w:rFonts w:ascii="Arial" w:hAnsi="Arial" w:cs="Arial"/>
                <w:sz w:val="22"/>
                <w:szCs w:val="22"/>
              </w:rPr>
              <w:t>Immunisation Against Infectious Disease</w:t>
            </w:r>
            <w:r w:rsidR="00A86711">
              <w:rPr>
                <w:rFonts w:ascii="Arial" w:hAnsi="Arial" w:cs="Arial"/>
                <w:sz w:val="22"/>
                <w:szCs w:val="22"/>
              </w:rPr>
              <w:t xml:space="preserve">: </w:t>
            </w:r>
            <w:r w:rsidR="00FC0015">
              <w:rPr>
                <w:rFonts w:ascii="Arial" w:hAnsi="Arial" w:cs="Arial"/>
                <w:sz w:val="22"/>
                <w:szCs w:val="22"/>
              </w:rPr>
              <w:t xml:space="preserve">the </w:t>
            </w:r>
            <w:hyperlink r:id="rId26" w:history="1">
              <w:r w:rsidR="00FC0015">
                <w:rPr>
                  <w:rStyle w:val="Hyperlink"/>
                  <w:rFonts w:ascii="Arial" w:hAnsi="Arial" w:cs="Arial"/>
                  <w:sz w:val="22"/>
                  <w:szCs w:val="22"/>
                </w:rPr>
                <w:t>Green Book</w:t>
              </w:r>
            </w:hyperlink>
          </w:p>
          <w:p w14:paraId="378B908F" w14:textId="3F62BF48" w:rsidR="00B227F7" w:rsidRDefault="00274154" w:rsidP="007738B7">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w:t>
            </w:r>
            <w:r w:rsidRPr="00E26C8C">
              <w:rPr>
                <w:rFonts w:ascii="Arial" w:hAnsi="Arial" w:cs="Arial"/>
                <w:sz w:val="22"/>
                <w:szCs w:val="22"/>
              </w:rPr>
              <w:t xml:space="preserve">familiar with, and alert to changes in the relevant </w:t>
            </w:r>
            <w:r w:rsidR="00AC74B4" w:rsidRPr="00DD3796">
              <w:rPr>
                <w:rFonts w:ascii="Arial" w:hAnsi="Arial" w:cs="Arial"/>
                <w:sz w:val="22"/>
                <w:szCs w:val="22"/>
              </w:rPr>
              <w:t xml:space="preserve">NHS </w:t>
            </w:r>
            <w:r w:rsidR="00032CD2">
              <w:rPr>
                <w:rFonts w:ascii="Arial" w:hAnsi="Arial" w:cs="Arial"/>
                <w:sz w:val="22"/>
                <w:szCs w:val="22"/>
              </w:rPr>
              <w:t>S</w:t>
            </w:r>
            <w:r w:rsidR="00AC74B4" w:rsidRPr="00DD3796">
              <w:rPr>
                <w:rFonts w:ascii="Arial" w:hAnsi="Arial" w:cs="Arial"/>
                <w:sz w:val="22"/>
                <w:szCs w:val="22"/>
              </w:rPr>
              <w:t xml:space="preserve">tandard </w:t>
            </w:r>
            <w:r w:rsidR="00032CD2">
              <w:rPr>
                <w:rFonts w:ascii="Arial" w:hAnsi="Arial" w:cs="Arial"/>
                <w:sz w:val="22"/>
                <w:szCs w:val="22"/>
              </w:rPr>
              <w:t>O</w:t>
            </w:r>
            <w:r w:rsidR="00AC74B4" w:rsidRPr="00DD3796">
              <w:rPr>
                <w:rFonts w:ascii="Arial" w:hAnsi="Arial" w:cs="Arial"/>
                <w:sz w:val="22"/>
                <w:szCs w:val="22"/>
              </w:rPr>
              <w:t xml:space="preserve">perating </w:t>
            </w:r>
            <w:r w:rsidR="00032CD2">
              <w:rPr>
                <w:rFonts w:ascii="Arial" w:hAnsi="Arial" w:cs="Arial"/>
                <w:sz w:val="22"/>
                <w:szCs w:val="22"/>
              </w:rPr>
              <w:t>P</w:t>
            </w:r>
            <w:r w:rsidR="00AC74B4" w:rsidRPr="00DD3796">
              <w:rPr>
                <w:rFonts w:ascii="Arial" w:hAnsi="Arial" w:cs="Arial"/>
                <w:sz w:val="22"/>
                <w:szCs w:val="22"/>
              </w:rPr>
              <w:t>rocedures</w:t>
            </w:r>
            <w:r w:rsidR="00AC74B4" w:rsidRPr="00E26C8C" w:rsidDel="00AC74B4">
              <w:rPr>
                <w:rFonts w:ascii="Arial" w:hAnsi="Arial" w:cs="Arial"/>
                <w:sz w:val="22"/>
                <w:szCs w:val="22"/>
              </w:rPr>
              <w:t xml:space="preserve"> </w:t>
            </w:r>
            <w:r w:rsidR="008B378A" w:rsidRPr="00E26C8C">
              <w:rPr>
                <w:rFonts w:ascii="Arial" w:hAnsi="Arial" w:cs="Arial"/>
                <w:sz w:val="22"/>
                <w:szCs w:val="22"/>
              </w:rPr>
              <w:t>(</w:t>
            </w:r>
            <w:r w:rsidR="005B75DF" w:rsidRPr="00E26C8C">
              <w:rPr>
                <w:rFonts w:ascii="Arial" w:hAnsi="Arial" w:cs="Arial"/>
                <w:sz w:val="22"/>
                <w:szCs w:val="22"/>
              </w:rPr>
              <w:t>SOPs</w:t>
            </w:r>
            <w:r w:rsidR="008B378A" w:rsidRPr="00E26C8C">
              <w:rPr>
                <w:rFonts w:ascii="Arial" w:hAnsi="Arial" w:cs="Arial"/>
                <w:sz w:val="22"/>
                <w:szCs w:val="22"/>
              </w:rPr>
              <w:t>)</w:t>
            </w:r>
            <w:r w:rsidR="005B75DF" w:rsidRPr="00E26C8C">
              <w:rPr>
                <w:rFonts w:ascii="Arial" w:hAnsi="Arial" w:cs="Arial"/>
                <w:sz w:val="22"/>
                <w:szCs w:val="22"/>
              </w:rPr>
              <w:t xml:space="preserve"> and </w:t>
            </w:r>
            <w:r w:rsidRPr="00E26C8C">
              <w:rPr>
                <w:rFonts w:ascii="Arial" w:hAnsi="Arial" w:cs="Arial"/>
                <w:sz w:val="22"/>
                <w:szCs w:val="22"/>
              </w:rPr>
              <w:t>commissioning arrangeme</w:t>
            </w:r>
            <w:r w:rsidR="0054617E" w:rsidRPr="00E26C8C">
              <w:rPr>
                <w:rFonts w:ascii="Arial" w:hAnsi="Arial" w:cs="Arial"/>
                <w:sz w:val="22"/>
                <w:szCs w:val="22"/>
              </w:rPr>
              <w:t>nts</w:t>
            </w:r>
            <w:r w:rsidR="0054617E">
              <w:rPr>
                <w:rFonts w:ascii="Arial" w:hAnsi="Arial" w:cs="Arial"/>
                <w:sz w:val="22"/>
                <w:szCs w:val="22"/>
              </w:rPr>
              <w:t xml:space="preserve"> for the national </w:t>
            </w:r>
            <w:r w:rsidR="0054617E" w:rsidRPr="0054617E">
              <w:rPr>
                <w:rFonts w:ascii="Arial" w:hAnsi="Arial"/>
                <w:sz w:val="22"/>
                <w:szCs w:val="22"/>
              </w:rPr>
              <w:t>COVID-19</w:t>
            </w:r>
            <w:r w:rsidR="0054617E">
              <w:rPr>
                <w:rStyle w:val="yiv436687422763514114-05042013"/>
                <w:rFonts w:cs="Arial"/>
                <w:szCs w:val="24"/>
                <w:lang w:eastAsia="en-US"/>
              </w:rPr>
              <w:t xml:space="preserve"> </w:t>
            </w:r>
            <w:r w:rsidR="00D7172A">
              <w:rPr>
                <w:rFonts w:ascii="Arial" w:hAnsi="Arial" w:cs="Arial"/>
                <w:sz w:val="22"/>
                <w:szCs w:val="22"/>
              </w:rPr>
              <w:t>vaccination</w:t>
            </w:r>
            <w:r>
              <w:rPr>
                <w:rFonts w:ascii="Arial" w:hAnsi="Arial" w:cs="Arial"/>
                <w:sz w:val="22"/>
                <w:szCs w:val="22"/>
              </w:rPr>
              <w:t xml:space="preserve"> p</w:t>
            </w:r>
            <w:r w:rsidR="00B227F7">
              <w:rPr>
                <w:rFonts w:ascii="Arial" w:hAnsi="Arial" w:cs="Arial"/>
                <w:sz w:val="22"/>
                <w:szCs w:val="22"/>
              </w:rPr>
              <w:t>rogramme</w:t>
            </w:r>
          </w:p>
          <w:p w14:paraId="00358EA7" w14:textId="3A325E3C" w:rsidR="00B227F7" w:rsidRDefault="00B227F7" w:rsidP="00823759">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w:t>
            </w:r>
            <w:r w:rsidR="00A96994">
              <w:rPr>
                <w:rFonts w:ascii="Arial" w:hAnsi="Arial" w:cs="Arial"/>
                <w:sz w:val="22"/>
                <w:szCs w:val="22"/>
              </w:rPr>
              <w:t xml:space="preserve"> a</w:t>
            </w:r>
            <w:r w:rsidR="00A96994" w:rsidRPr="00E26C8C">
              <w:rPr>
                <w:rFonts w:ascii="Arial" w:hAnsi="Arial" w:cs="Arial"/>
                <w:sz w:val="22"/>
                <w:szCs w:val="22"/>
              </w:rPr>
              <w:t xml:space="preserve">nd </w:t>
            </w:r>
            <w:r w:rsidR="00AD353B">
              <w:rPr>
                <w:rFonts w:ascii="Arial" w:hAnsi="Arial" w:cs="Arial"/>
                <w:sz w:val="22"/>
                <w:szCs w:val="22"/>
              </w:rPr>
              <w:t>SOPs</w:t>
            </w:r>
            <w:r w:rsidR="00AC74B4">
              <w:rPr>
                <w:rFonts w:ascii="Arial" w:hAnsi="Arial" w:cs="Arial"/>
                <w:sz w:val="22"/>
                <w:szCs w:val="22"/>
              </w:rPr>
              <w:t xml:space="preserve"> </w:t>
            </w:r>
            <w:r w:rsidRPr="00E26C8C">
              <w:rPr>
                <w:rFonts w:ascii="Arial" w:hAnsi="Arial" w:cs="Arial"/>
                <w:sz w:val="22"/>
                <w:szCs w:val="22"/>
              </w:rPr>
              <w:t xml:space="preserve">and in line with </w:t>
            </w:r>
            <w:r>
              <w:rPr>
                <w:rFonts w:ascii="Arial" w:hAnsi="Arial" w:cs="Arial"/>
                <w:sz w:val="22"/>
                <w:szCs w:val="22"/>
              </w:rPr>
              <w:t xml:space="preserve">the </w:t>
            </w:r>
            <w:hyperlink r:id="rId27" w:history="1">
              <w:r w:rsidR="007738B7" w:rsidRPr="007738B7">
                <w:rPr>
                  <w:rStyle w:val="Hyperlink"/>
                  <w:rFonts w:ascii="Arial" w:hAnsi="Arial" w:cs="Arial"/>
                  <w:sz w:val="22"/>
                  <w:szCs w:val="22"/>
                </w:rPr>
                <w:t>Training recommendations for COVID-19 vaccinators</w:t>
              </w:r>
            </w:hyperlink>
            <w:r w:rsidR="00601F5E" w:rsidRPr="00823759">
              <w:t>.</w:t>
            </w:r>
            <w:r w:rsidR="00601F5E" w:rsidRPr="00823759">
              <w:rPr>
                <w:rFonts w:ascii="Arial" w:hAnsi="Arial" w:cs="Arial"/>
                <w:sz w:val="22"/>
                <w:szCs w:val="22"/>
              </w:rPr>
              <w:t xml:space="preserve"> </w:t>
            </w:r>
          </w:p>
          <w:p w14:paraId="17442F75" w14:textId="3EA51C64" w:rsidR="008C0C5D" w:rsidRPr="00D04B35" w:rsidRDefault="008C0C5D" w:rsidP="00823759">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8C0C5D">
              <w:rPr>
                <w:rFonts w:ascii="Arial" w:hAnsi="Arial" w:cs="Arial"/>
                <w:sz w:val="22"/>
                <w:szCs w:val="22"/>
              </w:rPr>
              <w:t xml:space="preserve">must have undertaken training to meet the minimum standards in relation to vaccinating those under 18 as required by national </w:t>
            </w:r>
            <w:r w:rsidR="00263AA8">
              <w:rPr>
                <w:rFonts w:ascii="Arial" w:hAnsi="Arial" w:cs="Arial"/>
                <w:sz w:val="22"/>
                <w:szCs w:val="22"/>
              </w:rPr>
              <w:t>and</w:t>
            </w:r>
            <w:r w:rsidRPr="008C0C5D">
              <w:rPr>
                <w:rFonts w:ascii="Arial" w:hAnsi="Arial" w:cs="Arial"/>
                <w:sz w:val="22"/>
                <w:szCs w:val="22"/>
              </w:rPr>
              <w:t xml:space="preserve"> local policy.</w:t>
            </w:r>
          </w:p>
          <w:p w14:paraId="34637F9C" w14:textId="42BDE1B1" w:rsidR="001B7B5B" w:rsidRPr="001B7B5B" w:rsidRDefault="001B7B5B" w:rsidP="007738B7">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eastAsia="Arial" w:hAnsi="Arial" w:cs="Arial"/>
                <w:sz w:val="22"/>
                <w:szCs w:val="22"/>
              </w:rPr>
              <w:t xml:space="preserve">must have completed the </w:t>
            </w:r>
            <w:hyperlink r:id="rId28" w:history="1">
              <w:r w:rsidR="005B75DF">
                <w:rPr>
                  <w:rStyle w:val="Hyperlink"/>
                  <w:rFonts w:ascii="Arial" w:eastAsia="Arial" w:hAnsi="Arial" w:cs="Arial"/>
                  <w:sz w:val="22"/>
                  <w:szCs w:val="22"/>
                </w:rPr>
                <w:t>national COVID-19 vaccination e-learning programme</w:t>
              </w:r>
            </w:hyperlink>
            <w:r w:rsidR="0005011C">
              <w:rPr>
                <w:rStyle w:val="Hyperlink"/>
                <w:rFonts w:ascii="Arial" w:eastAsia="Arial" w:hAnsi="Arial" w:cs="Arial"/>
                <w:sz w:val="22"/>
                <w:szCs w:val="22"/>
              </w:rPr>
              <w:t>,</w:t>
            </w:r>
            <w:r w:rsidR="00A76284">
              <w:rPr>
                <w:rFonts w:ascii="Arial" w:eastAsia="Arial" w:hAnsi="Arial" w:cs="Arial"/>
                <w:sz w:val="22"/>
                <w:szCs w:val="22"/>
              </w:rPr>
              <w:t xml:space="preserve"> </w:t>
            </w:r>
            <w:r w:rsidR="00DA6115">
              <w:rPr>
                <w:rFonts w:ascii="Arial" w:eastAsia="Arial" w:hAnsi="Arial" w:cs="Arial"/>
                <w:sz w:val="22"/>
                <w:szCs w:val="22"/>
              </w:rPr>
              <w:t>including the relevant vaccine specific session</w:t>
            </w:r>
            <w:r w:rsidR="0005011C">
              <w:rPr>
                <w:rFonts w:ascii="Arial" w:eastAsia="Arial" w:hAnsi="Arial" w:cs="Arial"/>
                <w:sz w:val="22"/>
                <w:szCs w:val="22"/>
              </w:rPr>
              <w:t>,</w:t>
            </w:r>
            <w:r w:rsidR="00DA6115">
              <w:rPr>
                <w:rFonts w:ascii="Arial" w:eastAsia="Arial" w:hAnsi="Arial" w:cs="Arial"/>
                <w:sz w:val="22"/>
                <w:szCs w:val="22"/>
              </w:rPr>
              <w:t xml:space="preserve"> </w:t>
            </w:r>
            <w:r w:rsidR="00A76284">
              <w:rPr>
                <w:rFonts w:ascii="Arial" w:eastAsia="Arial" w:hAnsi="Arial" w:cs="Arial"/>
                <w:sz w:val="22"/>
                <w:szCs w:val="22"/>
              </w:rPr>
              <w:t>and/or locally-provided COVID</w:t>
            </w:r>
            <w:r>
              <w:rPr>
                <w:rFonts w:ascii="Arial" w:eastAsia="Arial" w:hAnsi="Arial" w:cs="Arial"/>
                <w:sz w:val="22"/>
                <w:szCs w:val="22"/>
              </w:rPr>
              <w:t>-19 vaccine training</w:t>
            </w:r>
          </w:p>
          <w:p w14:paraId="21AE41D6" w14:textId="331CB051" w:rsidR="00B227F7" w:rsidRPr="006318C5"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1B7B5B">
              <w:rPr>
                <w:rFonts w:ascii="Arial" w:eastAsia="Arial" w:hAnsi="Arial" w:cs="Arial"/>
                <w:sz w:val="22"/>
                <w:szCs w:val="22"/>
              </w:rPr>
              <w:t xml:space="preserve"> </w:t>
            </w:r>
            <w:r w:rsidR="001B7B5B" w:rsidRPr="001B7B5B">
              <w:rPr>
                <w:rFonts w:ascii="Arial" w:eastAsia="Arial" w:hAnsi="Arial" w:cs="Arial"/>
                <w:sz w:val="22"/>
                <w:szCs w:val="22"/>
              </w:rPr>
              <w:t xml:space="preserve">assess </w:t>
            </w:r>
            <w:r w:rsidR="00AE67A4">
              <w:rPr>
                <w:rFonts w:ascii="Arial" w:eastAsia="Arial" w:hAnsi="Arial" w:cs="Arial"/>
                <w:sz w:val="22"/>
                <w:szCs w:val="22"/>
              </w:rPr>
              <w:t>individuals</w:t>
            </w:r>
            <w:r w:rsidR="001B7B5B" w:rsidRPr="001B7B5B">
              <w:rPr>
                <w:rFonts w:ascii="Arial" w:eastAsia="Arial" w:hAnsi="Arial" w:cs="Arial"/>
                <w:sz w:val="22"/>
                <w:szCs w:val="22"/>
              </w:rPr>
              <w:t xml:space="preserve"> for suitability for </w:t>
            </w:r>
            <w:r w:rsidR="00D7172A">
              <w:rPr>
                <w:rFonts w:ascii="Arial" w:eastAsia="Arial" w:hAnsi="Arial" w:cs="Arial"/>
                <w:sz w:val="22"/>
                <w:szCs w:val="22"/>
              </w:rPr>
              <w:t>vaccination</w:t>
            </w:r>
            <w:r w:rsidR="001B7B5B" w:rsidRPr="001B7B5B">
              <w:rPr>
                <w:rFonts w:ascii="Arial" w:eastAsia="Arial" w:hAnsi="Arial" w:cs="Arial"/>
                <w:sz w:val="22"/>
                <w:szCs w:val="22"/>
              </w:rPr>
              <w:t xml:space="preserve">, identify any contraindications or precautions, obtain informed consent </w:t>
            </w:r>
            <w:r w:rsidR="00CB67A1">
              <w:rPr>
                <w:rFonts w:ascii="Arial" w:eastAsia="Arial" w:hAnsi="Arial" w:cs="Arial"/>
                <w:sz w:val="22"/>
                <w:szCs w:val="22"/>
              </w:rPr>
              <w:t xml:space="preserve">(or ‘best interests’ decision in accordance with the </w:t>
            </w:r>
            <w:hyperlink r:id="rId29" w:history="1">
              <w:r w:rsidR="00032CD2" w:rsidRPr="00C677D8">
                <w:rPr>
                  <w:rStyle w:val="Hyperlink"/>
                  <w:rFonts w:ascii="Arial" w:hAnsi="Arial" w:cs="Arial"/>
                  <w:sz w:val="22"/>
                  <w:szCs w:val="22"/>
                  <w:lang w:val="en-US"/>
                </w:rPr>
                <w:t>Mental Capacity Act 2005</w:t>
              </w:r>
            </w:hyperlink>
            <w:r w:rsidR="00CB67A1">
              <w:rPr>
                <w:rFonts w:ascii="Arial" w:eastAsia="Arial" w:hAnsi="Arial" w:cs="Arial"/>
                <w:sz w:val="22"/>
                <w:szCs w:val="22"/>
              </w:rPr>
              <w:t xml:space="preserve">) </w:t>
            </w:r>
            <w:r w:rsidRPr="006318C5">
              <w:rPr>
                <w:rFonts w:ascii="Arial" w:eastAsia="Arial" w:hAnsi="Arial" w:cs="Arial"/>
                <w:sz w:val="22"/>
                <w:szCs w:val="22"/>
              </w:rPr>
              <w:t>and</w:t>
            </w:r>
            <w:r w:rsidRPr="001B7B5B">
              <w:rPr>
                <w:rFonts w:ascii="Arial" w:eastAsia="Arial" w:hAnsi="Arial" w:cs="Arial"/>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00D7172A">
              <w:rPr>
                <w:rFonts w:ascii="Arial" w:eastAsia="Arial" w:hAnsi="Arial" w:cs="Arial"/>
                <w:sz w:val="22"/>
                <w:szCs w:val="22"/>
              </w:rPr>
              <w:t>vaccination</w:t>
            </w:r>
            <w:r w:rsidR="00820ABD">
              <w:rPr>
                <w:rFonts w:ascii="Arial" w:eastAsia="Arial" w:hAnsi="Arial" w:cs="Arial"/>
                <w:sz w:val="22"/>
                <w:szCs w:val="22"/>
              </w:rPr>
              <w:t>. F</w:t>
            </w:r>
            <w:r w:rsidR="00820ABD" w:rsidRPr="00354833">
              <w:rPr>
                <w:rFonts w:ascii="Arial" w:hAnsi="Arial" w:cs="Arial"/>
                <w:sz w:val="22"/>
                <w:szCs w:val="22"/>
              </w:rPr>
              <w:t>or further information on consent see</w:t>
            </w:r>
            <w:r w:rsidR="00820ABD" w:rsidRPr="00354833">
              <w:rPr>
                <w:rFonts w:ascii="Arial" w:eastAsiaTheme="minorHAnsi" w:hAnsi="Arial" w:cs="Arial"/>
                <w:sz w:val="22"/>
                <w:szCs w:val="22"/>
              </w:rPr>
              <w:t xml:space="preserve"> </w:t>
            </w:r>
            <w:hyperlink r:id="rId30" w:history="1">
              <w:r w:rsidR="00820ABD" w:rsidRPr="005156BF">
                <w:rPr>
                  <w:rStyle w:val="Hyperlink"/>
                  <w:rFonts w:ascii="Arial" w:eastAsiaTheme="minorHAnsi" w:hAnsi="Arial" w:cs="Arial"/>
                  <w:sz w:val="22"/>
                  <w:szCs w:val="22"/>
                </w:rPr>
                <w:t>Chapter 2</w:t>
              </w:r>
            </w:hyperlink>
            <w:r w:rsidR="00820ABD" w:rsidRPr="005156BF">
              <w:rPr>
                <w:rFonts w:ascii="Arial" w:eastAsiaTheme="minorHAnsi" w:hAnsi="Arial" w:cs="Arial"/>
                <w:sz w:val="22"/>
                <w:szCs w:val="22"/>
              </w:rPr>
              <w:t xml:space="preserve"> of ‘</w:t>
            </w:r>
            <w:hyperlink r:id="rId31" w:history="1">
              <w:r w:rsidR="00820ABD" w:rsidRPr="005156BF">
                <w:rPr>
                  <w:rStyle w:val="Hyperlink"/>
                  <w:rFonts w:ascii="Arial" w:eastAsiaTheme="minorHAnsi" w:hAnsi="Arial" w:cs="Arial"/>
                  <w:sz w:val="22"/>
                  <w:szCs w:val="22"/>
                </w:rPr>
                <w:t>The Green Book</w:t>
              </w:r>
            </w:hyperlink>
            <w:r w:rsidR="00820ABD" w:rsidRPr="00354833">
              <w:rPr>
                <w:rStyle w:val="Hyperlink"/>
                <w:rFonts w:ascii="Arial" w:eastAsiaTheme="minorHAnsi" w:hAnsi="Arial" w:cs="Arial"/>
                <w:sz w:val="22"/>
                <w:szCs w:val="22"/>
              </w:rPr>
              <w:t>’</w:t>
            </w:r>
            <w:r w:rsidR="00820ABD">
              <w:rPr>
                <w:rFonts w:eastAsiaTheme="minorHAnsi"/>
              </w:rPr>
              <w:t>.</w:t>
            </w:r>
          </w:p>
          <w:p w14:paraId="352065D1" w14:textId="04E5EFFC"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w:t>
            </w:r>
            <w:r w:rsidR="00351ACB">
              <w:rPr>
                <w:rFonts w:ascii="Arial" w:eastAsia="Arial" w:hAnsi="Arial" w:cs="Arial"/>
                <w:sz w:val="22"/>
                <w:szCs w:val="22"/>
              </w:rPr>
              <w:t xml:space="preserve">correct </w:t>
            </w:r>
            <w:r w:rsidRPr="006318C5">
              <w:rPr>
                <w:rFonts w:ascii="Arial" w:eastAsia="Arial" w:hAnsi="Arial" w:cs="Arial"/>
                <w:sz w:val="22"/>
                <w:szCs w:val="22"/>
              </w:rPr>
              <w:t xml:space="preserve">handling and storage of vaccines, and </w:t>
            </w:r>
            <w:r w:rsidRPr="006318C5">
              <w:rPr>
                <w:rFonts w:ascii="Arial" w:hAnsi="Arial" w:cs="Arial"/>
                <w:sz w:val="22"/>
                <w:szCs w:val="22"/>
              </w:rPr>
              <w:t>management of the cold chain</w:t>
            </w:r>
          </w:p>
          <w:p w14:paraId="2D75B4FC" w14:textId="77777777" w:rsidR="00992877" w:rsidRDefault="0099287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bookmarkStart w:id="8" w:name="_Hlk58066855"/>
            <w:r>
              <w:rPr>
                <w:rFonts w:ascii="Arial" w:hAnsi="Arial" w:cs="Arial"/>
                <w:noProof/>
                <w:sz w:val="22"/>
                <w:szCs w:val="22"/>
              </w:rPr>
              <w:t xml:space="preserve">must be competent in the handling of the vaccine product, procedure for dilution of the vaccine and </w:t>
            </w:r>
            <w:r w:rsidRPr="00100473">
              <w:rPr>
                <w:rFonts w:ascii="Arial" w:hAnsi="Arial" w:cs="Arial"/>
                <w:noProof/>
                <w:sz w:val="22"/>
                <w:szCs w:val="22"/>
              </w:rPr>
              <w:t>us</w:t>
            </w:r>
            <w:r>
              <w:rPr>
                <w:rFonts w:ascii="Arial" w:hAnsi="Arial" w:cs="Arial"/>
                <w:noProof/>
                <w:sz w:val="22"/>
                <w:szCs w:val="22"/>
              </w:rPr>
              <w:t xml:space="preserve">e of </w:t>
            </w:r>
            <w:r w:rsidRPr="00100473">
              <w:rPr>
                <w:rFonts w:ascii="Arial" w:hAnsi="Arial" w:cs="Arial"/>
                <w:noProof/>
                <w:sz w:val="22"/>
                <w:szCs w:val="22"/>
              </w:rPr>
              <w:t>the correct technique for drawing up the correct dose</w:t>
            </w:r>
            <w:bookmarkEnd w:id="8"/>
            <w:r>
              <w:rPr>
                <w:rFonts w:ascii="Arial" w:hAnsi="Arial" w:cs="Arial"/>
                <w:noProof/>
                <w:sz w:val="22"/>
                <w:szCs w:val="22"/>
              </w:rPr>
              <w:t xml:space="preserve"> </w:t>
            </w:r>
          </w:p>
          <w:p w14:paraId="19A3A006" w14:textId="509634D5" w:rsidR="001B7B5B" w:rsidRPr="006318C5" w:rsidRDefault="001B7B5B"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lastRenderedPageBreak/>
              <w:t>must be competent in the intramuscular injection technique</w:t>
            </w:r>
          </w:p>
          <w:p w14:paraId="36EED832" w14:textId="04344B27" w:rsidR="00B227F7"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r w:rsidR="00351ACB">
              <w:rPr>
                <w:rFonts w:ascii="Arial" w:hAnsi="Arial" w:cs="Arial"/>
                <w:sz w:val="22"/>
                <w:szCs w:val="22"/>
              </w:rPr>
              <w:t>,</w:t>
            </w:r>
            <w:r w:rsidR="001F7175">
              <w:rPr>
                <w:rFonts w:ascii="Arial" w:hAnsi="Arial" w:cs="Arial"/>
                <w:sz w:val="22"/>
                <w:szCs w:val="22"/>
              </w:rPr>
              <w:t xml:space="preserve"> </w:t>
            </w:r>
            <w:r w:rsidR="001F7175">
              <w:rPr>
                <w:rFonts w:ascii="Arial" w:hAnsi="Arial" w:cs="Arial"/>
                <w:noProof/>
                <w:sz w:val="22"/>
                <w:szCs w:val="22"/>
              </w:rPr>
              <w:t>have completed basic life support training</w:t>
            </w:r>
            <w:r w:rsidR="001F7175" w:rsidRPr="00821459">
              <w:rPr>
                <w:rFonts w:ascii="Arial" w:hAnsi="Arial" w:cs="Arial"/>
                <w:noProof/>
                <w:sz w:val="22"/>
                <w:szCs w:val="22"/>
              </w:rPr>
              <w:t xml:space="preserve"> and </w:t>
            </w:r>
            <w:r w:rsidR="001F7175">
              <w:rPr>
                <w:rFonts w:ascii="Arial" w:hAnsi="Arial" w:cs="Arial"/>
                <w:noProof/>
                <w:sz w:val="22"/>
                <w:szCs w:val="22"/>
              </w:rPr>
              <w:t xml:space="preserve">be </w:t>
            </w:r>
            <w:r w:rsidR="001F7175" w:rsidRPr="00821459">
              <w:rPr>
                <w:rFonts w:ascii="Arial" w:hAnsi="Arial" w:cs="Arial"/>
                <w:noProof/>
                <w:sz w:val="22"/>
                <w:szCs w:val="22"/>
              </w:rPr>
              <w:t>able to respond appropriately to immediate adverse reactions</w:t>
            </w:r>
          </w:p>
          <w:p w14:paraId="03E8C4C5" w14:textId="7B643A63" w:rsidR="00B227F7" w:rsidRPr="00E26C8C" w:rsidRDefault="00B227F7"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w:t>
            </w:r>
            <w:r w:rsidR="005773E3">
              <w:rPr>
                <w:rFonts w:ascii="Arial" w:hAnsi="Arial" w:cs="Arial"/>
                <w:sz w:val="22"/>
                <w:szCs w:val="22"/>
              </w:rPr>
              <w:t>relevant</w:t>
            </w:r>
            <w:r w:rsidR="005773E3" w:rsidRPr="006318C5">
              <w:rPr>
                <w:rFonts w:ascii="Arial" w:hAnsi="Arial" w:cs="Arial"/>
                <w:sz w:val="22"/>
                <w:szCs w:val="22"/>
              </w:rPr>
              <w:t xml:space="preserve"> </w:t>
            </w:r>
            <w:hyperlink r:id="rId32" w:history="1">
              <w:r w:rsidR="00EC1145" w:rsidRPr="00AF7956">
                <w:rPr>
                  <w:rStyle w:val="Hyperlink"/>
                  <w:rFonts w:ascii="Arial" w:hAnsi="Arial" w:cs="Arial"/>
                  <w:noProof/>
                  <w:sz w:val="22"/>
                  <w:szCs w:val="22"/>
                </w:rPr>
                <w:t>COVID-19 vaccination programme</w:t>
              </w:r>
            </w:hyperlink>
            <w:r w:rsidR="00EC1145">
              <w:rPr>
                <w:rFonts w:ascii="Arial" w:hAnsi="Arial" w:cs="Arial"/>
                <w:noProof/>
                <w:sz w:val="22"/>
                <w:szCs w:val="22"/>
              </w:rPr>
              <w:t xml:space="preserve"> </w:t>
            </w:r>
            <w:r w:rsidRPr="006318C5">
              <w:rPr>
                <w:rFonts w:ascii="Arial" w:hAnsi="Arial" w:cs="Arial"/>
                <w:sz w:val="22"/>
                <w:szCs w:val="22"/>
              </w:rPr>
              <w:t>online resources</w:t>
            </w:r>
            <w:r w:rsidR="005773E3">
              <w:rPr>
                <w:rFonts w:ascii="Arial" w:hAnsi="Arial" w:cs="Arial"/>
                <w:sz w:val="22"/>
                <w:szCs w:val="22"/>
              </w:rPr>
              <w:t xml:space="preserve"> such as the </w:t>
            </w:r>
            <w:hyperlink r:id="rId33" w:history="1">
              <w:r w:rsidR="005773E3" w:rsidRPr="00DE3CCC">
                <w:rPr>
                  <w:rStyle w:val="Hyperlink"/>
                  <w:rFonts w:ascii="Arial" w:hAnsi="Arial" w:cs="Arial"/>
                  <w:sz w:val="22"/>
                  <w:szCs w:val="22"/>
                </w:rPr>
                <w:t>Green Book</w:t>
              </w:r>
            </w:hyperlink>
            <w:r w:rsidR="005773E3">
              <w:rPr>
                <w:rFonts w:ascii="Arial" w:hAnsi="Arial" w:cs="Arial"/>
                <w:sz w:val="22"/>
                <w:szCs w:val="22"/>
              </w:rPr>
              <w:t xml:space="preserve"> and </w:t>
            </w:r>
            <w:hyperlink r:id="rId34" w:history="1">
              <w:r w:rsidR="00D7172A" w:rsidRPr="00E26C8C">
                <w:rPr>
                  <w:rStyle w:val="Hyperlink"/>
                  <w:rFonts w:ascii="Arial" w:hAnsi="Arial" w:cs="Arial"/>
                  <w:sz w:val="22"/>
                  <w:szCs w:val="22"/>
                </w:rPr>
                <w:t>COVID-19 vaccination programme: Information for healthcare practitioners</w:t>
              </w:r>
            </w:hyperlink>
          </w:p>
          <w:p w14:paraId="04686527" w14:textId="3EEE571F" w:rsidR="00714FF9" w:rsidRPr="00E26C8C" w:rsidRDefault="00714FF9" w:rsidP="007B2C02">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E26C8C">
              <w:rPr>
                <w:rFonts w:ascii="Arial" w:hAnsi="Arial" w:cs="Arial"/>
                <w:sz w:val="22"/>
                <w:szCs w:val="22"/>
              </w:rPr>
              <w:t xml:space="preserve">must have been signed off as competent using the </w:t>
            </w:r>
            <w:hyperlink r:id="rId35" w:history="1">
              <w:r w:rsidR="00A76284" w:rsidRPr="00E26C8C">
                <w:rPr>
                  <w:rStyle w:val="Hyperlink"/>
                  <w:rFonts w:ascii="Arial" w:hAnsi="Arial" w:cs="Arial"/>
                  <w:sz w:val="22"/>
                  <w:szCs w:val="22"/>
                </w:rPr>
                <w:t>COVID-19 vaccinator competency assessment tool</w:t>
              </w:r>
            </w:hyperlink>
            <w:r w:rsidR="00C01127" w:rsidRPr="00E26C8C">
              <w:rPr>
                <w:rStyle w:val="Hyperlink"/>
                <w:rFonts w:ascii="Arial" w:hAnsi="Arial" w:cs="Arial"/>
                <w:sz w:val="22"/>
                <w:szCs w:val="22"/>
              </w:rPr>
              <w:t xml:space="preserve"> </w:t>
            </w:r>
            <w:r w:rsidR="00C01127" w:rsidRPr="00E26C8C">
              <w:rPr>
                <w:rFonts w:ascii="Arial" w:hAnsi="Arial" w:cs="Arial"/>
                <w:sz w:val="22"/>
                <w:szCs w:val="22"/>
              </w:rPr>
              <w:t>if new to or returning to immunisation after a prolonged period (more than 12 months) or have used the tool for self-assessment if experienced vaccinator (vaccinated within past 12 month</w:t>
            </w:r>
            <w:r w:rsidR="00336503">
              <w:rPr>
                <w:rFonts w:ascii="Arial" w:hAnsi="Arial" w:cs="Arial"/>
                <w:sz w:val="22"/>
                <w:szCs w:val="22"/>
              </w:rPr>
              <w:t>s</w:t>
            </w:r>
            <w:r w:rsidR="00C01127" w:rsidRPr="00E26C8C">
              <w:rPr>
                <w:rFonts w:ascii="Arial" w:hAnsi="Arial" w:cs="Arial"/>
                <w:sz w:val="22"/>
                <w:szCs w:val="22"/>
              </w:rPr>
              <w:t>)</w:t>
            </w:r>
          </w:p>
          <w:p w14:paraId="13D15B70" w14:textId="51E1D755" w:rsidR="00B227F7" w:rsidRPr="002D2A15" w:rsidRDefault="00B227F7" w:rsidP="007B2C02">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 xml:space="preserve">should fulfil any additional requirements defined by local </w:t>
            </w:r>
            <w:r w:rsidR="00336503">
              <w:rPr>
                <w:rFonts w:ascii="Arial" w:hAnsi="Arial" w:cs="Arial"/>
                <w:sz w:val="22"/>
                <w:szCs w:val="22"/>
              </w:rPr>
              <w:t xml:space="preserve">or national </w:t>
            </w:r>
            <w:r w:rsidRPr="006318C5">
              <w:rPr>
                <w:rFonts w:ascii="Arial" w:hAnsi="Arial" w:cs="Arial"/>
                <w:sz w:val="22"/>
                <w:szCs w:val="22"/>
              </w:rPr>
              <w:t>policy</w:t>
            </w:r>
          </w:p>
          <w:p w14:paraId="61AD8F0F" w14:textId="07061CB1" w:rsidR="00601F5E" w:rsidRPr="007914FD" w:rsidRDefault="00FC0015" w:rsidP="007B2C02">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B227F7" w:rsidRPr="00CB5D91" w14:paraId="7BE0C787" w14:textId="77777777" w:rsidTr="007B2C02">
        <w:tc>
          <w:tcPr>
            <w:tcW w:w="2970" w:type="dxa"/>
          </w:tcPr>
          <w:p w14:paraId="65322349" w14:textId="77777777" w:rsidR="00B227F7" w:rsidRDefault="00B227F7" w:rsidP="007B2C02">
            <w:pPr>
              <w:spacing w:before="120" w:after="120"/>
              <w:rPr>
                <w:rFonts w:cs="Arial"/>
                <w:b/>
                <w:sz w:val="22"/>
                <w:szCs w:val="22"/>
              </w:rPr>
            </w:pPr>
            <w:r w:rsidRPr="00DF40E8">
              <w:rPr>
                <w:rFonts w:cs="Arial"/>
                <w:b/>
                <w:sz w:val="22"/>
                <w:szCs w:val="22"/>
              </w:rPr>
              <w:lastRenderedPageBreak/>
              <w:t>Continued training requirements</w:t>
            </w:r>
          </w:p>
          <w:p w14:paraId="3378552A" w14:textId="2A24E3BB" w:rsidR="00426AD6" w:rsidRPr="006D38C2" w:rsidRDefault="00426AD6" w:rsidP="006D38C2">
            <w:pPr>
              <w:spacing w:before="120" w:after="120"/>
              <w:contextualSpacing/>
              <w:rPr>
                <w:rFonts w:cs="Arial"/>
                <w:sz w:val="22"/>
                <w:szCs w:val="22"/>
              </w:rPr>
            </w:pPr>
          </w:p>
        </w:tc>
        <w:tc>
          <w:tcPr>
            <w:tcW w:w="6953" w:type="dxa"/>
          </w:tcPr>
          <w:p w14:paraId="2A680DF7" w14:textId="5A9068B3" w:rsidR="00B227F7" w:rsidRDefault="00B227F7" w:rsidP="007B2C02">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w:t>
            </w:r>
            <w:r w:rsidR="00D7172A">
              <w:rPr>
                <w:rFonts w:cs="Arial"/>
                <w:sz w:val="22"/>
                <w:szCs w:val="22"/>
              </w:rPr>
              <w:t>vaccination</w:t>
            </w:r>
            <w:r w:rsidRPr="00EC0316">
              <w:rPr>
                <w:rFonts w:cs="Arial"/>
                <w:sz w:val="22"/>
                <w:szCs w:val="22"/>
              </w:rPr>
              <w:t xml:space="preserve"> </w:t>
            </w:r>
            <w:r>
              <w:rPr>
                <w:rFonts w:cs="Arial"/>
                <w:sz w:val="22"/>
                <w:szCs w:val="22"/>
              </w:rPr>
              <w:t>and management of anaphylaxis</w:t>
            </w:r>
            <w:r w:rsidR="00AD3081">
              <w:rPr>
                <w:rFonts w:cs="Arial"/>
                <w:sz w:val="22"/>
                <w:szCs w:val="22"/>
              </w:rPr>
              <w:t>.</w:t>
            </w:r>
          </w:p>
          <w:p w14:paraId="328A3A06" w14:textId="6F9B2782" w:rsidR="00B227F7" w:rsidRPr="002059FF" w:rsidRDefault="00B227F7" w:rsidP="00E26C8C">
            <w:pPr>
              <w:spacing w:before="120" w:after="120"/>
              <w:rPr>
                <w:rFonts w:cs="Arial"/>
                <w:sz w:val="22"/>
                <w:szCs w:val="22"/>
              </w:rPr>
            </w:pPr>
            <w:r>
              <w:rPr>
                <w:rFonts w:cs="Arial"/>
                <w:sz w:val="22"/>
              </w:rPr>
              <w:t>Practitioners</w:t>
            </w:r>
            <w:r w:rsidRPr="004E3683">
              <w:rPr>
                <w:rFonts w:cs="Arial"/>
                <w:sz w:val="22"/>
              </w:rPr>
              <w:t xml:space="preserve"> should be constantly alert to any subsequent recommendations from</w:t>
            </w:r>
            <w:r w:rsidR="00AF6C7C">
              <w:rPr>
                <w:rFonts w:cs="Arial"/>
                <w:sz w:val="22"/>
              </w:rPr>
              <w:t xml:space="preserve"> the</w:t>
            </w:r>
            <w:r w:rsidRPr="004E3683">
              <w:rPr>
                <w:rFonts w:cs="Arial"/>
                <w:sz w:val="22"/>
              </w:rPr>
              <w:t xml:space="preserve"> </w:t>
            </w:r>
            <w:r w:rsidR="0099186D">
              <w:rPr>
                <w:rFonts w:cs="Arial"/>
                <w:sz w:val="22"/>
              </w:rPr>
              <w:t>UKHSA</w:t>
            </w:r>
            <w:r>
              <w:rPr>
                <w:rFonts w:cs="Arial"/>
                <w:sz w:val="22"/>
              </w:rPr>
              <w:t xml:space="preserve"> and/or </w:t>
            </w:r>
            <w:r w:rsidR="0099186D">
              <w:rPr>
                <w:rFonts w:cs="Arial"/>
                <w:sz w:val="22"/>
              </w:rPr>
              <w:t>NHSEI</w:t>
            </w:r>
            <w:r w:rsidR="006626DF">
              <w:rPr>
                <w:rFonts w:cs="Arial"/>
                <w:sz w:val="22"/>
              </w:rPr>
              <w:t xml:space="preserve"> </w:t>
            </w:r>
            <w:r w:rsidRPr="004E3683">
              <w:rPr>
                <w:rFonts w:cs="Arial"/>
                <w:sz w:val="22"/>
              </w:rPr>
              <w:t>and other sources of medicines information</w:t>
            </w:r>
            <w:r>
              <w:rPr>
                <w:rFonts w:cs="Arial"/>
                <w:sz w:val="22"/>
              </w:rPr>
              <w:t xml:space="preserve">. </w:t>
            </w:r>
          </w:p>
        </w:tc>
      </w:tr>
    </w:tbl>
    <w:p w14:paraId="79536D97" w14:textId="77777777" w:rsidR="00B227F7" w:rsidRDefault="00B227F7" w:rsidP="00B227F7">
      <w:pPr>
        <w:rPr>
          <w:rFonts w:cs="Arial"/>
          <w:b/>
          <w:sz w:val="2"/>
          <w:szCs w:val="2"/>
        </w:rPr>
      </w:pPr>
      <w:r>
        <w:rPr>
          <w:rFonts w:cs="Arial"/>
          <w:b/>
          <w:sz w:val="2"/>
          <w:szCs w:val="2"/>
        </w:rPr>
        <w:t xml:space="preserve"> </w:t>
      </w:r>
    </w:p>
    <w:p w14:paraId="10A03B43" w14:textId="720D6AF5" w:rsidR="00CE0435" w:rsidRDefault="00CE0435">
      <w:pPr>
        <w:overflowPunct/>
        <w:autoSpaceDE/>
        <w:autoSpaceDN/>
        <w:adjustRightInd/>
        <w:spacing w:after="160" w:line="259" w:lineRule="auto"/>
        <w:textAlignment w:val="auto"/>
        <w:rPr>
          <w:rFonts w:cs="Arial"/>
          <w:b/>
          <w:sz w:val="2"/>
          <w:szCs w:val="2"/>
        </w:rPr>
      </w:pPr>
      <w:r>
        <w:rPr>
          <w:rFonts w:cs="Arial"/>
          <w:b/>
          <w:sz w:val="2"/>
          <w:szCs w:val="2"/>
        </w:rPr>
        <w:br w:type="page"/>
      </w:r>
    </w:p>
    <w:p w14:paraId="07CD371D" w14:textId="77777777" w:rsidR="00B227F7" w:rsidRDefault="00B227F7" w:rsidP="00B227F7">
      <w:pPr>
        <w:overflowPunct/>
        <w:autoSpaceDE/>
        <w:autoSpaceDN/>
        <w:adjustRightInd/>
        <w:textAlignment w:val="auto"/>
        <w:rPr>
          <w:rFonts w:cs="Arial"/>
          <w:b/>
          <w:sz w:val="2"/>
          <w:szCs w:val="2"/>
        </w:rPr>
      </w:pPr>
    </w:p>
    <w:p w14:paraId="6E0E2120" w14:textId="77777777" w:rsidR="00B227F7" w:rsidRPr="000E478E" w:rsidRDefault="00B227F7" w:rsidP="006D38C2">
      <w:pPr>
        <w:pStyle w:val="ListParagraph"/>
        <w:numPr>
          <w:ilvl w:val="0"/>
          <w:numId w:val="3"/>
        </w:numPr>
        <w:spacing w:before="120"/>
        <w:ind w:left="714" w:hanging="357"/>
        <w:rPr>
          <w:b/>
          <w:szCs w:val="24"/>
        </w:rPr>
      </w:pPr>
      <w:r w:rsidRPr="000E478E">
        <w:rPr>
          <w:b/>
          <w:szCs w:val="24"/>
        </w:rPr>
        <w:t>Clinical condition or situation to which this PGD applies</w:t>
      </w:r>
    </w:p>
    <w:p w14:paraId="2F19B3C6" w14:textId="77777777" w:rsidR="00B227F7" w:rsidRPr="0008353A" w:rsidRDefault="00B227F7" w:rsidP="00B227F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345"/>
      </w:tblGrid>
      <w:tr w:rsidR="00B227F7" w:rsidRPr="00A956FD" w14:paraId="18BAC97F" w14:textId="77777777" w:rsidTr="00994459">
        <w:tc>
          <w:tcPr>
            <w:tcW w:w="2578" w:type="dxa"/>
          </w:tcPr>
          <w:p w14:paraId="0812832E" w14:textId="77777777" w:rsidR="00B227F7" w:rsidRPr="00A956FD" w:rsidRDefault="00B227F7" w:rsidP="007B2C02">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345" w:type="dxa"/>
          </w:tcPr>
          <w:p w14:paraId="1B18928C" w14:textId="618E91C6" w:rsidR="00B227F7" w:rsidRPr="004F4420" w:rsidRDefault="00765DD4" w:rsidP="007B2C02">
            <w:pPr>
              <w:spacing w:before="120" w:after="120"/>
              <w:rPr>
                <w:rFonts w:cs="Arial"/>
                <w:sz w:val="22"/>
                <w:szCs w:val="22"/>
              </w:rPr>
            </w:pPr>
            <w:r>
              <w:rPr>
                <w:rFonts w:cs="Arial"/>
                <w:sz w:val="22"/>
                <w:szCs w:val="22"/>
              </w:rPr>
              <w:t>COVID-19 mRNA vaccine BNT162b2</w:t>
            </w:r>
            <w:r w:rsidR="00B227F7" w:rsidRPr="00AC6CB7">
              <w:rPr>
                <w:rFonts w:cs="Arial"/>
                <w:sz w:val="22"/>
                <w:szCs w:val="22"/>
              </w:rPr>
              <w:t xml:space="preserve"> is indicated for the active immunisation of </w:t>
            </w:r>
            <w:r w:rsidR="00B227F7">
              <w:rPr>
                <w:rFonts w:cs="Arial"/>
                <w:sz w:val="22"/>
                <w:szCs w:val="22"/>
              </w:rPr>
              <w:t>individuals</w:t>
            </w:r>
            <w:r w:rsidR="00B227F7" w:rsidRPr="00AC6CB7">
              <w:rPr>
                <w:rFonts w:cs="Arial"/>
                <w:sz w:val="22"/>
                <w:szCs w:val="22"/>
              </w:rPr>
              <w:t xml:space="preserve"> for the prevention of </w:t>
            </w:r>
            <w:r w:rsidR="003C243F">
              <w:rPr>
                <w:rFonts w:cs="Arial"/>
                <w:sz w:val="22"/>
                <w:szCs w:val="22"/>
              </w:rPr>
              <w:t xml:space="preserve">coronavirus </w:t>
            </w:r>
            <w:r w:rsidR="00A66CA6">
              <w:rPr>
                <w:rFonts w:cs="Arial"/>
                <w:sz w:val="22"/>
                <w:szCs w:val="22"/>
              </w:rPr>
              <w:t xml:space="preserve">disease (COVID-19) caused by the </w:t>
            </w:r>
            <w:r w:rsidR="003C243F">
              <w:rPr>
                <w:rStyle w:val="yiv436687422763514114-05042013"/>
                <w:rFonts w:cs="Arial"/>
                <w:szCs w:val="24"/>
                <w:lang w:eastAsia="en-US"/>
              </w:rPr>
              <w:t>SARS-CoV-2</w:t>
            </w:r>
            <w:r w:rsidR="0054617E">
              <w:rPr>
                <w:rStyle w:val="yiv436687422763514114-05042013"/>
                <w:rFonts w:cs="Arial"/>
                <w:szCs w:val="24"/>
                <w:lang w:eastAsia="en-US"/>
              </w:rPr>
              <w:t xml:space="preserve"> </w:t>
            </w:r>
            <w:r w:rsidR="00A66CA6">
              <w:rPr>
                <w:rFonts w:cs="Arial"/>
                <w:sz w:val="22"/>
                <w:szCs w:val="22"/>
              </w:rPr>
              <w:t>virus</w:t>
            </w:r>
            <w:r w:rsidR="00B227F7" w:rsidRPr="00AC6CB7">
              <w:rPr>
                <w:rFonts w:cs="Arial"/>
                <w:sz w:val="22"/>
                <w:szCs w:val="22"/>
              </w:rPr>
              <w:t xml:space="preserve">, in accordance with the national </w:t>
            </w:r>
            <w:r w:rsidR="00D7172A">
              <w:rPr>
                <w:rFonts w:cs="Arial"/>
                <w:sz w:val="22"/>
                <w:szCs w:val="22"/>
              </w:rPr>
              <w:t>COVID-19 vaccination</w:t>
            </w:r>
            <w:r w:rsidR="00B227F7" w:rsidRPr="00AC6CB7">
              <w:rPr>
                <w:rFonts w:cs="Arial"/>
                <w:sz w:val="22"/>
                <w:szCs w:val="22"/>
              </w:rPr>
              <w:t xml:space="preserve"> programme </w:t>
            </w:r>
            <w:r w:rsidR="00807C6F">
              <w:rPr>
                <w:rFonts w:cs="Arial"/>
                <w:sz w:val="22"/>
                <w:szCs w:val="22"/>
              </w:rPr>
              <w:t xml:space="preserve">(see </w:t>
            </w:r>
            <w:hyperlink r:id="rId36" w:history="1">
              <w:r w:rsidR="00807C6F" w:rsidRPr="00823759">
                <w:rPr>
                  <w:rStyle w:val="Hyperlink"/>
                  <w:rFonts w:cs="Arial"/>
                  <w:sz w:val="22"/>
                  <w:szCs w:val="22"/>
                </w:rPr>
                <w:t>COVID-19 vaccination programme page</w:t>
              </w:r>
            </w:hyperlink>
            <w:r w:rsidR="00807C6F" w:rsidRPr="00823759">
              <w:rPr>
                <w:rFonts w:cs="Arial"/>
                <w:sz w:val="22"/>
                <w:szCs w:val="22"/>
              </w:rPr>
              <w:t>)</w:t>
            </w:r>
            <w:r w:rsidR="00807C6F">
              <w:rPr>
                <w:rFonts w:cs="Arial"/>
                <w:sz w:val="22"/>
                <w:szCs w:val="22"/>
              </w:rPr>
              <w:t xml:space="preserve"> </w:t>
            </w:r>
            <w:r w:rsidR="00B227F7" w:rsidRPr="00AC6CB7">
              <w:rPr>
                <w:rFonts w:cs="Arial"/>
                <w:sz w:val="22"/>
                <w:szCs w:val="22"/>
              </w:rPr>
              <w:t xml:space="preserve">and recommendations given in </w:t>
            </w:r>
            <w:hyperlink r:id="rId37" w:history="1">
              <w:r w:rsidR="00CF5B4E">
                <w:rPr>
                  <w:rStyle w:val="Hyperlink"/>
                  <w:rFonts w:cs="Arial"/>
                  <w:sz w:val="22"/>
                  <w:szCs w:val="22"/>
                </w:rPr>
                <w:t>Chapter 14a</w:t>
              </w:r>
            </w:hyperlink>
            <w:r w:rsidR="00B227F7" w:rsidRPr="00AC6CB7">
              <w:rPr>
                <w:rFonts w:cs="Arial"/>
                <w:sz w:val="22"/>
                <w:szCs w:val="22"/>
              </w:rPr>
              <w:t xml:space="preserve"> of the Immunisation Against Infectious Disease: </w:t>
            </w:r>
            <w:r w:rsidR="00FC0015">
              <w:rPr>
                <w:rFonts w:cs="Arial"/>
                <w:sz w:val="22"/>
                <w:szCs w:val="22"/>
              </w:rPr>
              <w:t>t</w:t>
            </w:r>
            <w:r w:rsidR="00B227F7" w:rsidRPr="00AC6CB7">
              <w:rPr>
                <w:rFonts w:cs="Arial"/>
                <w:sz w:val="22"/>
                <w:szCs w:val="22"/>
              </w:rPr>
              <w:t xml:space="preserve">he </w:t>
            </w:r>
            <w:r w:rsidR="00FC0015">
              <w:rPr>
                <w:rFonts w:cs="Arial"/>
                <w:sz w:val="22"/>
                <w:szCs w:val="22"/>
              </w:rPr>
              <w:t>‘</w:t>
            </w:r>
            <w:r w:rsidR="00B227F7" w:rsidRPr="00AC6CB7">
              <w:rPr>
                <w:rFonts w:cs="Arial"/>
                <w:sz w:val="22"/>
                <w:szCs w:val="22"/>
              </w:rPr>
              <w:t>Green Book</w:t>
            </w:r>
            <w:r w:rsidR="00B227F7">
              <w:rPr>
                <w:rFonts w:cs="Arial"/>
                <w:sz w:val="22"/>
                <w:szCs w:val="22"/>
              </w:rPr>
              <w:t>’</w:t>
            </w:r>
            <w:r w:rsidR="00B227F7" w:rsidRPr="00AC6CB7">
              <w:rPr>
                <w:rFonts w:cs="Arial"/>
                <w:sz w:val="22"/>
                <w:szCs w:val="22"/>
              </w:rPr>
              <w:t xml:space="preserve">, </w:t>
            </w:r>
            <w:r w:rsidR="00B227F7" w:rsidRPr="00A27631">
              <w:rPr>
                <w:sz w:val="22"/>
                <w:szCs w:val="22"/>
              </w:rPr>
              <w:t xml:space="preserve">and subsequent </w:t>
            </w:r>
            <w:r w:rsidR="00B227F7" w:rsidRPr="00A27631">
              <w:rPr>
                <w:rFonts w:cs="Arial"/>
                <w:sz w:val="22"/>
                <w:szCs w:val="22"/>
              </w:rPr>
              <w:t>correspondence</w:t>
            </w:r>
            <w:r w:rsidR="00B227F7">
              <w:rPr>
                <w:sz w:val="22"/>
                <w:szCs w:val="22"/>
              </w:rPr>
              <w:t xml:space="preserve">/publications from </w:t>
            </w:r>
            <w:r w:rsidR="00AF6C7C">
              <w:rPr>
                <w:sz w:val="22"/>
                <w:szCs w:val="22"/>
              </w:rPr>
              <w:t xml:space="preserve">the </w:t>
            </w:r>
            <w:r w:rsidR="0099186D">
              <w:rPr>
                <w:sz w:val="22"/>
                <w:szCs w:val="22"/>
              </w:rPr>
              <w:t>UKHSA</w:t>
            </w:r>
            <w:r w:rsidR="00B227F7">
              <w:rPr>
                <w:sz w:val="22"/>
                <w:szCs w:val="22"/>
              </w:rPr>
              <w:t xml:space="preserve"> and/or </w:t>
            </w:r>
            <w:r w:rsidR="0099186D">
              <w:rPr>
                <w:sz w:val="22"/>
                <w:szCs w:val="22"/>
              </w:rPr>
              <w:t>NHSEI</w:t>
            </w:r>
            <w:r w:rsidR="00B227F7">
              <w:rPr>
                <w:sz w:val="22"/>
                <w:szCs w:val="22"/>
              </w:rPr>
              <w:t xml:space="preserve">. </w:t>
            </w:r>
          </w:p>
        </w:tc>
      </w:tr>
      <w:tr w:rsidR="00B227F7" w:rsidRPr="00A956FD" w14:paraId="11D94155" w14:textId="77777777" w:rsidTr="00994459">
        <w:tc>
          <w:tcPr>
            <w:tcW w:w="2578" w:type="dxa"/>
            <w:tcBorders>
              <w:bottom w:val="single" w:sz="6" w:space="0" w:color="auto"/>
            </w:tcBorders>
          </w:tcPr>
          <w:p w14:paraId="50D0CF4C" w14:textId="77777777" w:rsidR="00B227F7" w:rsidRDefault="00B227F7" w:rsidP="007B2C02">
            <w:pPr>
              <w:spacing w:before="120" w:after="120"/>
              <w:rPr>
                <w:rFonts w:cs="Arial"/>
                <w:b/>
                <w:sz w:val="22"/>
                <w:szCs w:val="22"/>
              </w:rPr>
            </w:pPr>
            <w:r w:rsidRPr="0010300D">
              <w:rPr>
                <w:rFonts w:cs="Arial"/>
                <w:b/>
                <w:sz w:val="22"/>
                <w:szCs w:val="22"/>
              </w:rPr>
              <w:t>Criteria for inclusion</w:t>
            </w:r>
          </w:p>
          <w:p w14:paraId="23F02669" w14:textId="519F2741" w:rsidR="00C46763" w:rsidRPr="00B67E1F" w:rsidRDefault="00C46763" w:rsidP="005029D4">
            <w:pPr>
              <w:contextualSpacing/>
              <w:rPr>
                <w:rFonts w:cs="Arial"/>
                <w:sz w:val="22"/>
                <w:szCs w:val="22"/>
              </w:rPr>
            </w:pPr>
          </w:p>
        </w:tc>
        <w:tc>
          <w:tcPr>
            <w:tcW w:w="7345" w:type="dxa"/>
            <w:tcBorders>
              <w:bottom w:val="single" w:sz="6" w:space="0" w:color="auto"/>
            </w:tcBorders>
            <w:shd w:val="clear" w:color="auto" w:fill="auto"/>
          </w:tcPr>
          <w:p w14:paraId="0CE5A88E" w14:textId="6A9C1C52" w:rsidR="0099186D" w:rsidRPr="00AF6C7C" w:rsidRDefault="00765DD4" w:rsidP="005029D4">
            <w:pPr>
              <w:overflowPunct/>
              <w:spacing w:before="120" w:after="120"/>
              <w:textAlignment w:val="auto"/>
              <w:rPr>
                <w:rFonts w:cs="Arial"/>
                <w:sz w:val="22"/>
                <w:szCs w:val="22"/>
              </w:rPr>
            </w:pPr>
            <w:bookmarkStart w:id="9" w:name="CriteriaForInclusion"/>
            <w:bookmarkStart w:id="10" w:name="_Hlk45811070"/>
            <w:bookmarkEnd w:id="9"/>
            <w:r w:rsidRPr="00AF6C7C">
              <w:rPr>
                <w:rFonts w:cs="Arial"/>
                <w:sz w:val="22"/>
                <w:szCs w:val="22"/>
              </w:rPr>
              <w:t>COVID-19 mRNA vaccine BNT162b2</w:t>
            </w:r>
            <w:r w:rsidR="0011456C" w:rsidRPr="00AF6C7C">
              <w:rPr>
                <w:rFonts w:cs="Arial"/>
                <w:sz w:val="22"/>
                <w:szCs w:val="22"/>
              </w:rPr>
              <w:t xml:space="preserve"> </w:t>
            </w:r>
            <w:r w:rsidR="00B227F7" w:rsidRPr="00AF6C7C">
              <w:rPr>
                <w:rFonts w:eastAsiaTheme="minorHAnsi" w:cs="Arial"/>
                <w:color w:val="000000"/>
                <w:sz w:val="22"/>
                <w:szCs w:val="22"/>
                <w:lang w:eastAsia="en-US"/>
              </w:rPr>
              <w:t>should be offered</w:t>
            </w:r>
            <w:bookmarkEnd w:id="10"/>
            <w:r w:rsidR="0099186D" w:rsidRPr="00AF6C7C">
              <w:rPr>
                <w:rFonts w:eastAsiaTheme="minorHAnsi" w:cs="Arial"/>
                <w:color w:val="000000"/>
                <w:sz w:val="22"/>
                <w:szCs w:val="22"/>
                <w:lang w:eastAsia="en-US"/>
              </w:rPr>
              <w:t xml:space="preserve"> to all </w:t>
            </w:r>
            <w:r w:rsidR="00AF6C7C" w:rsidRPr="00AF6C7C">
              <w:rPr>
                <w:rFonts w:eastAsiaTheme="minorHAnsi" w:cs="Arial"/>
                <w:color w:val="000000"/>
                <w:sz w:val="22"/>
                <w:szCs w:val="22"/>
                <w:lang w:eastAsia="en-US"/>
              </w:rPr>
              <w:t>individuals</w:t>
            </w:r>
            <w:r w:rsidR="0099186D" w:rsidRPr="00AF6C7C">
              <w:rPr>
                <w:rFonts w:eastAsiaTheme="minorHAnsi" w:cs="Arial"/>
                <w:color w:val="000000"/>
                <w:sz w:val="22"/>
                <w:szCs w:val="22"/>
                <w:lang w:eastAsia="en-US"/>
              </w:rPr>
              <w:t xml:space="preserve"> aged 12 years and over in accordance with</w:t>
            </w:r>
            <w:r w:rsidR="0099186D" w:rsidRPr="00DB5DA1">
              <w:rPr>
                <w:rFonts w:eastAsiaTheme="minorHAnsi"/>
                <w:color w:val="000000"/>
                <w:sz w:val="22"/>
                <w:szCs w:val="22"/>
              </w:rPr>
              <w:t xml:space="preserve"> </w:t>
            </w:r>
            <w:r w:rsidR="0099186D" w:rsidRPr="00AF6C7C">
              <w:rPr>
                <w:rFonts w:cs="Arial"/>
                <w:sz w:val="22"/>
                <w:szCs w:val="22"/>
              </w:rPr>
              <w:t xml:space="preserve">the </w:t>
            </w:r>
            <w:bookmarkStart w:id="11" w:name="Priority"/>
            <w:bookmarkStart w:id="12" w:name="_Hlk82803619"/>
            <w:bookmarkEnd w:id="11"/>
            <w:r w:rsidR="0099186D" w:rsidRPr="00AF6C7C">
              <w:rPr>
                <w:rFonts w:cs="Arial"/>
                <w:sz w:val="22"/>
                <w:szCs w:val="22"/>
              </w:rPr>
              <w:t xml:space="preserve">recommendations in </w:t>
            </w:r>
            <w:hyperlink r:id="rId38" w:history="1">
              <w:r w:rsidR="0099186D" w:rsidRPr="00AF6C7C">
                <w:rPr>
                  <w:rStyle w:val="Hyperlink"/>
                  <w:sz w:val="22"/>
                  <w:szCs w:val="22"/>
                </w:rPr>
                <w:t>Chapter 14a</w:t>
              </w:r>
            </w:hyperlink>
            <w:r w:rsidR="0099186D" w:rsidRPr="005029D4">
              <w:rPr>
                <w:sz w:val="22"/>
                <w:szCs w:val="22"/>
              </w:rPr>
              <w:t xml:space="preserve"> of </w:t>
            </w:r>
            <w:r w:rsidR="0099186D" w:rsidRPr="00AF6C7C">
              <w:rPr>
                <w:rFonts w:cs="Arial"/>
                <w:sz w:val="22"/>
                <w:szCs w:val="22"/>
              </w:rPr>
              <w:t>the Green Book.</w:t>
            </w:r>
            <w:r w:rsidR="0099186D" w:rsidRPr="00DB5DA1">
              <w:rPr>
                <w:sz w:val="22"/>
                <w:szCs w:val="22"/>
              </w:rPr>
              <w:t xml:space="preserve"> </w:t>
            </w:r>
          </w:p>
          <w:bookmarkEnd w:id="12"/>
          <w:p w14:paraId="31EAA56E" w14:textId="2679E269" w:rsidR="00FD2D35" w:rsidRPr="00AF6C7C" w:rsidRDefault="0099186D" w:rsidP="005029D4">
            <w:pPr>
              <w:overflowPunct/>
              <w:spacing w:before="120" w:after="120"/>
              <w:textAlignment w:val="auto"/>
              <w:rPr>
                <w:sz w:val="22"/>
                <w:szCs w:val="22"/>
              </w:rPr>
            </w:pPr>
            <w:r w:rsidRPr="00AF6C7C">
              <w:rPr>
                <w:sz w:val="22"/>
                <w:szCs w:val="22"/>
              </w:rPr>
              <w:t xml:space="preserve">Individuals are eligible for different dose schedules based on their age and recognised risk group (see the </w:t>
            </w:r>
            <w:bookmarkStart w:id="13" w:name="_Hlk82803139"/>
            <w:r w:rsidRPr="005029D4">
              <w:fldChar w:fldCharType="begin"/>
            </w:r>
            <w:r w:rsidRPr="005029D4">
              <w:rPr>
                <w:sz w:val="22"/>
                <w:szCs w:val="22"/>
              </w:rPr>
              <w:instrText xml:space="preserve"> HYPERLINK \l "DoseAndFrequencyOfAdministration" </w:instrText>
            </w:r>
            <w:r w:rsidRPr="005029D4">
              <w:fldChar w:fldCharType="separate"/>
            </w:r>
            <w:r w:rsidRPr="00AF6C7C">
              <w:rPr>
                <w:rStyle w:val="Hyperlink"/>
                <w:sz w:val="22"/>
                <w:szCs w:val="22"/>
              </w:rPr>
              <w:t>Dose and frequency of administration</w:t>
            </w:r>
            <w:r w:rsidRPr="005029D4">
              <w:rPr>
                <w:rStyle w:val="Hyperlink"/>
                <w:sz w:val="22"/>
                <w:szCs w:val="22"/>
              </w:rPr>
              <w:fldChar w:fldCharType="end"/>
            </w:r>
            <w:r w:rsidRPr="00AF6C7C">
              <w:rPr>
                <w:sz w:val="22"/>
                <w:szCs w:val="22"/>
              </w:rPr>
              <w:t xml:space="preserve"> section).</w:t>
            </w:r>
            <w:bookmarkEnd w:id="13"/>
          </w:p>
        </w:tc>
      </w:tr>
      <w:tr w:rsidR="00B227F7" w:rsidRPr="00A956FD" w14:paraId="13CF44D0" w14:textId="77777777" w:rsidTr="007E322A">
        <w:tc>
          <w:tcPr>
            <w:tcW w:w="2578" w:type="dxa"/>
            <w:tcBorders>
              <w:bottom w:val="single" w:sz="4" w:space="0" w:color="auto"/>
            </w:tcBorders>
          </w:tcPr>
          <w:p w14:paraId="2A654EBC" w14:textId="111E64E8" w:rsidR="00B227F7" w:rsidRDefault="00B227F7" w:rsidP="007B2C02">
            <w:pPr>
              <w:spacing w:before="120" w:after="120"/>
              <w:rPr>
                <w:rFonts w:cs="Arial"/>
                <w:b/>
                <w:sz w:val="22"/>
                <w:szCs w:val="22"/>
              </w:rPr>
            </w:pPr>
            <w:bookmarkStart w:id="14" w:name="CriteriaForExclusion"/>
            <w:r w:rsidRPr="0010300D">
              <w:rPr>
                <w:rFonts w:cs="Arial"/>
                <w:b/>
                <w:sz w:val="22"/>
                <w:szCs w:val="22"/>
              </w:rPr>
              <w:t>Criteria for exclusion</w:t>
            </w:r>
            <w:bookmarkEnd w:id="14"/>
            <w:r w:rsidRPr="0010300D">
              <w:rPr>
                <w:rStyle w:val="FootnoteReference"/>
                <w:rFonts w:cs="Arial"/>
                <w:b/>
                <w:sz w:val="22"/>
                <w:szCs w:val="22"/>
              </w:rPr>
              <w:footnoteReference w:id="3"/>
            </w:r>
          </w:p>
          <w:p w14:paraId="122D0973" w14:textId="77777777" w:rsidR="00FB2E35" w:rsidRDefault="00FB2E35" w:rsidP="007B2C02">
            <w:pPr>
              <w:spacing w:before="120" w:after="120"/>
              <w:contextualSpacing/>
              <w:rPr>
                <w:rFonts w:cs="Arial"/>
                <w:bCs/>
                <w:sz w:val="22"/>
                <w:szCs w:val="22"/>
              </w:rPr>
            </w:pPr>
          </w:p>
          <w:p w14:paraId="2D4EB4BE" w14:textId="77777777" w:rsidR="00FB2E35" w:rsidRDefault="00FB2E35" w:rsidP="007B2C02">
            <w:pPr>
              <w:spacing w:before="120" w:after="120"/>
              <w:contextualSpacing/>
              <w:rPr>
                <w:rFonts w:cs="Arial"/>
                <w:bCs/>
                <w:sz w:val="22"/>
                <w:szCs w:val="22"/>
              </w:rPr>
            </w:pPr>
          </w:p>
          <w:p w14:paraId="43E92995" w14:textId="62ED14D7" w:rsidR="004037BE" w:rsidRDefault="004037BE" w:rsidP="007B2C02">
            <w:pPr>
              <w:spacing w:before="120" w:after="120"/>
              <w:contextualSpacing/>
              <w:rPr>
                <w:rFonts w:cs="Arial"/>
                <w:bCs/>
                <w:sz w:val="22"/>
                <w:szCs w:val="22"/>
              </w:rPr>
            </w:pPr>
          </w:p>
          <w:p w14:paraId="3C456288" w14:textId="4CE1E0DC" w:rsidR="004037BE" w:rsidRDefault="004037BE" w:rsidP="007B2C02">
            <w:pPr>
              <w:spacing w:before="120" w:after="120"/>
              <w:contextualSpacing/>
              <w:rPr>
                <w:rFonts w:cs="Arial"/>
                <w:bCs/>
                <w:sz w:val="22"/>
                <w:szCs w:val="22"/>
              </w:rPr>
            </w:pPr>
          </w:p>
          <w:p w14:paraId="107C2F84" w14:textId="6A3FF3AA" w:rsidR="004037BE" w:rsidRDefault="004037BE" w:rsidP="007B2C02">
            <w:pPr>
              <w:spacing w:before="120" w:after="120"/>
              <w:contextualSpacing/>
              <w:rPr>
                <w:rFonts w:cs="Arial"/>
                <w:bCs/>
                <w:sz w:val="22"/>
                <w:szCs w:val="22"/>
              </w:rPr>
            </w:pPr>
          </w:p>
          <w:p w14:paraId="3273A696" w14:textId="77777777" w:rsidR="00A84395" w:rsidRDefault="00A84395" w:rsidP="007B2C02">
            <w:pPr>
              <w:spacing w:before="120" w:after="120"/>
              <w:contextualSpacing/>
              <w:rPr>
                <w:rFonts w:cs="Arial"/>
                <w:bCs/>
                <w:sz w:val="22"/>
                <w:szCs w:val="22"/>
              </w:rPr>
            </w:pPr>
          </w:p>
          <w:p w14:paraId="7B512D42" w14:textId="787E331A" w:rsidR="004037BE" w:rsidRDefault="004037BE" w:rsidP="007B2C02">
            <w:pPr>
              <w:spacing w:before="120" w:after="120"/>
              <w:contextualSpacing/>
              <w:rPr>
                <w:rFonts w:cs="Arial"/>
                <w:bCs/>
                <w:sz w:val="22"/>
                <w:szCs w:val="22"/>
              </w:rPr>
            </w:pPr>
          </w:p>
          <w:p w14:paraId="1C7B6A1A" w14:textId="77777777" w:rsidR="00E56171" w:rsidRDefault="00E56171" w:rsidP="007B2C02">
            <w:pPr>
              <w:spacing w:before="120" w:after="120"/>
              <w:contextualSpacing/>
              <w:rPr>
                <w:rFonts w:cs="Arial"/>
                <w:bCs/>
                <w:sz w:val="22"/>
                <w:szCs w:val="22"/>
              </w:rPr>
            </w:pPr>
          </w:p>
          <w:p w14:paraId="75F47ECD" w14:textId="77777777" w:rsidR="00FB2E35" w:rsidRDefault="00FB2E35" w:rsidP="007B2C02">
            <w:pPr>
              <w:spacing w:before="120" w:after="120"/>
              <w:contextualSpacing/>
              <w:rPr>
                <w:rFonts w:cs="Arial"/>
                <w:bCs/>
                <w:sz w:val="22"/>
                <w:szCs w:val="22"/>
              </w:rPr>
            </w:pPr>
          </w:p>
          <w:p w14:paraId="56AC2196" w14:textId="62288089" w:rsidR="00E56F70" w:rsidRPr="0077518F" w:rsidRDefault="00E56F70" w:rsidP="005029D4">
            <w:pPr>
              <w:spacing w:before="120" w:after="120"/>
              <w:contextualSpacing/>
              <w:rPr>
                <w:rFonts w:cs="Arial"/>
                <w:sz w:val="22"/>
                <w:szCs w:val="22"/>
              </w:rPr>
            </w:pPr>
          </w:p>
        </w:tc>
        <w:tc>
          <w:tcPr>
            <w:tcW w:w="7345" w:type="dxa"/>
            <w:tcBorders>
              <w:bottom w:val="single" w:sz="4" w:space="0" w:color="auto"/>
            </w:tcBorders>
            <w:shd w:val="clear" w:color="auto" w:fill="auto"/>
          </w:tcPr>
          <w:p w14:paraId="24914AD0" w14:textId="58F633D8" w:rsidR="00B227F7" w:rsidRPr="004C6AE9" w:rsidRDefault="00B227F7" w:rsidP="004C6AE9">
            <w:pPr>
              <w:pStyle w:val="TableParagraph"/>
              <w:spacing w:before="120" w:after="120"/>
              <w:ind w:right="91"/>
              <w:contextualSpacing/>
              <w:rPr>
                <w:rFonts w:ascii="Arial" w:eastAsia="Arial" w:hAnsi="Arial" w:cs="Arial"/>
              </w:rPr>
            </w:pPr>
            <w:r>
              <w:rPr>
                <w:rFonts w:ascii="Arial" w:hAnsi="Arial" w:cs="Arial"/>
              </w:rPr>
              <w:t>Individuals</w:t>
            </w:r>
            <w:r w:rsidRPr="00AC6CB7">
              <w:rPr>
                <w:rFonts w:ascii="Arial" w:hAnsi="Arial" w:cs="Arial"/>
              </w:rPr>
              <w:t xml:space="preserve"> for whom valid consent</w:t>
            </w:r>
            <w:r w:rsidR="00E84908">
              <w:rPr>
                <w:rFonts w:ascii="Arial" w:hAnsi="Arial" w:cs="Arial"/>
              </w:rPr>
              <w:t>, or ‘best-interests’ decision</w:t>
            </w:r>
            <w:r w:rsidR="00650261">
              <w:rPr>
                <w:rFonts w:ascii="Arial" w:hAnsi="Arial" w:cs="Arial"/>
              </w:rPr>
              <w:t xml:space="preserve"> in accordance with the </w:t>
            </w:r>
            <w:hyperlink r:id="rId39" w:history="1">
              <w:r w:rsidR="004E7320" w:rsidRPr="00C677D8">
                <w:rPr>
                  <w:rStyle w:val="Hyperlink"/>
                  <w:rFonts w:ascii="Arial" w:hAnsi="Arial" w:cs="Arial"/>
                </w:rPr>
                <w:t>Mental Capacity Act 2005</w:t>
              </w:r>
            </w:hyperlink>
            <w:r w:rsidR="00650261">
              <w:rPr>
                <w:rFonts w:ascii="Arial" w:hAnsi="Arial" w:cs="Arial"/>
              </w:rPr>
              <w:t>,</w:t>
            </w:r>
            <w:r w:rsidRPr="00AC6CB7">
              <w:rPr>
                <w:rFonts w:ascii="Arial" w:hAnsi="Arial" w:cs="Arial"/>
              </w:rPr>
              <w:t xml:space="preserve"> has </w:t>
            </w:r>
            <w:r w:rsidR="00650261">
              <w:rPr>
                <w:rFonts w:ascii="Arial" w:hAnsi="Arial" w:cs="Arial"/>
              </w:rPr>
              <w:t xml:space="preserve">not </w:t>
            </w:r>
            <w:r w:rsidRPr="00AC6CB7">
              <w:rPr>
                <w:rFonts w:ascii="Arial" w:hAnsi="Arial" w:cs="Arial"/>
              </w:rPr>
              <w:t xml:space="preserve">been </w:t>
            </w:r>
            <w:r w:rsidR="004E28B9">
              <w:rPr>
                <w:rFonts w:ascii="Arial" w:hAnsi="Arial" w:cs="Arial"/>
              </w:rPr>
              <w:t>obtained</w:t>
            </w:r>
            <w:r w:rsidR="00F802AC">
              <w:rPr>
                <w:rFonts w:ascii="Arial" w:hAnsi="Arial" w:cs="Arial"/>
              </w:rPr>
              <w:t xml:space="preserve"> </w:t>
            </w:r>
            <w:r w:rsidR="00F802AC" w:rsidRPr="00354833">
              <w:rPr>
                <w:rFonts w:ascii="Arial" w:hAnsi="Arial" w:cs="Arial"/>
              </w:rPr>
              <w:t>(for further information on consent see</w:t>
            </w:r>
            <w:r w:rsidR="00F802AC" w:rsidRPr="00354833">
              <w:rPr>
                <w:rFonts w:ascii="Arial" w:eastAsiaTheme="minorHAnsi" w:hAnsi="Arial" w:cs="Arial"/>
              </w:rPr>
              <w:t xml:space="preserve"> </w:t>
            </w:r>
            <w:hyperlink r:id="rId40" w:history="1">
              <w:r w:rsidR="00F802AC" w:rsidRPr="005156BF">
                <w:rPr>
                  <w:rStyle w:val="Hyperlink"/>
                  <w:rFonts w:ascii="Arial" w:eastAsiaTheme="minorHAnsi" w:hAnsi="Arial" w:cs="Arial"/>
                </w:rPr>
                <w:t>Chapter 2</w:t>
              </w:r>
            </w:hyperlink>
            <w:r w:rsidR="00F802AC" w:rsidRPr="005156BF">
              <w:rPr>
                <w:rFonts w:ascii="Arial" w:eastAsiaTheme="minorHAnsi" w:hAnsi="Arial" w:cs="Arial"/>
              </w:rPr>
              <w:t xml:space="preserve"> of ‘</w:t>
            </w:r>
            <w:hyperlink r:id="rId41" w:history="1">
              <w:r w:rsidR="00F802AC" w:rsidRPr="005156BF">
                <w:rPr>
                  <w:rStyle w:val="Hyperlink"/>
                  <w:rFonts w:ascii="Arial" w:eastAsiaTheme="minorHAnsi" w:hAnsi="Arial" w:cs="Arial"/>
                </w:rPr>
                <w:t>The Green Book</w:t>
              </w:r>
            </w:hyperlink>
            <w:r w:rsidR="00F802AC" w:rsidRPr="00354833">
              <w:rPr>
                <w:rStyle w:val="Hyperlink"/>
                <w:rFonts w:ascii="Arial" w:eastAsiaTheme="minorHAnsi" w:hAnsi="Arial" w:cs="Arial"/>
              </w:rPr>
              <w:t>’</w:t>
            </w:r>
            <w:r w:rsidR="00F802AC" w:rsidRPr="00354833">
              <w:rPr>
                <w:rFonts w:ascii="Arial" w:eastAsiaTheme="minorHAnsi" w:hAnsi="Arial" w:cs="Arial"/>
              </w:rPr>
              <w:t>)</w:t>
            </w:r>
            <w:r w:rsidR="00CB67A1">
              <w:rPr>
                <w:rFonts w:ascii="Arial" w:hAnsi="Arial" w:cs="Arial"/>
              </w:rPr>
              <w:t>.</w:t>
            </w:r>
            <w:r w:rsidR="004E28B9">
              <w:rPr>
                <w:rFonts w:ascii="Arial" w:hAnsi="Arial" w:cs="Arial"/>
              </w:rPr>
              <w:t xml:space="preserve"> </w:t>
            </w:r>
            <w:r w:rsidR="009739EF" w:rsidRPr="00916097">
              <w:rPr>
                <w:rFonts w:ascii="Arial" w:hAnsi="Arial" w:cs="Arial"/>
              </w:rPr>
              <w:t xml:space="preserve">The </w:t>
            </w:r>
            <w:hyperlink r:id="rId42" w:history="1">
              <w:r w:rsidR="00BA68F9">
                <w:rPr>
                  <w:rStyle w:val="Hyperlink"/>
                  <w:rFonts w:ascii="Arial" w:eastAsia="Arial" w:hAnsi="Arial" w:cs="Arial"/>
                </w:rPr>
                <w:t>Regulation 174 Information for UK recipients</w:t>
              </w:r>
            </w:hyperlink>
            <w:r w:rsidR="009739EF" w:rsidRPr="00916097">
              <w:rPr>
                <w:rStyle w:val="Hyperlink"/>
                <w:rFonts w:ascii="Arial" w:eastAsia="Arial" w:hAnsi="Arial" w:cs="Arial"/>
                <w:u w:val="none"/>
              </w:rPr>
              <w:t xml:space="preserve"> </w:t>
            </w:r>
            <w:r w:rsidR="009739EF" w:rsidRPr="00034424">
              <w:rPr>
                <w:rFonts w:ascii="Arial" w:eastAsia="Arial" w:hAnsi="Arial" w:cs="Arial"/>
              </w:rPr>
              <w:t>for COVID-19 mRNA vaccine BNT162b2 should be available to inform consent.</w:t>
            </w:r>
          </w:p>
          <w:p w14:paraId="74EFE6CD" w14:textId="50CABC9B" w:rsidR="00B227F7" w:rsidRDefault="00B227F7" w:rsidP="00823759">
            <w:pPr>
              <w:pStyle w:val="Default"/>
              <w:spacing w:before="120"/>
              <w:contextualSpacing/>
              <w:rPr>
                <w:rFonts w:eastAsiaTheme="minorHAnsi"/>
                <w:lang w:eastAsia="en-US"/>
              </w:rPr>
            </w:pPr>
            <w:r>
              <w:rPr>
                <w:sz w:val="22"/>
                <w:szCs w:val="22"/>
                <w:lang w:eastAsia="en-US"/>
              </w:rPr>
              <w:t>Individuals</w:t>
            </w:r>
            <w:r w:rsidRPr="00AC6CB7">
              <w:rPr>
                <w:sz w:val="22"/>
                <w:szCs w:val="22"/>
                <w:lang w:eastAsia="en-US"/>
              </w:rPr>
              <w:t xml:space="preserve"> who:</w:t>
            </w:r>
          </w:p>
          <w:p w14:paraId="60034E07" w14:textId="77777777" w:rsidR="00E56171" w:rsidRDefault="00B227F7" w:rsidP="00E56171">
            <w:pPr>
              <w:numPr>
                <w:ilvl w:val="0"/>
                <w:numId w:val="4"/>
              </w:numPr>
              <w:overflowPunct/>
              <w:ind w:left="319"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are less </w:t>
            </w:r>
            <w:r w:rsidRPr="008368E7">
              <w:rPr>
                <w:rFonts w:eastAsiaTheme="minorHAnsi" w:cs="Arial"/>
                <w:color w:val="000000"/>
                <w:sz w:val="22"/>
                <w:szCs w:val="22"/>
                <w:lang w:eastAsia="en-US"/>
              </w:rPr>
              <w:t xml:space="preserve">than </w:t>
            </w:r>
            <w:r w:rsidR="00BC4584" w:rsidRPr="00CE0435">
              <w:rPr>
                <w:rFonts w:eastAsiaTheme="minorHAnsi" w:cs="Arial"/>
                <w:color w:val="000000"/>
                <w:sz w:val="22"/>
                <w:szCs w:val="22"/>
                <w:lang w:eastAsia="en-US"/>
              </w:rPr>
              <w:t>1</w:t>
            </w:r>
            <w:r w:rsidR="004E7320">
              <w:rPr>
                <w:rFonts w:eastAsiaTheme="minorHAnsi" w:cs="Arial"/>
                <w:color w:val="000000"/>
                <w:sz w:val="22"/>
                <w:szCs w:val="22"/>
                <w:lang w:eastAsia="en-US"/>
              </w:rPr>
              <w:t>2</w:t>
            </w:r>
            <w:r w:rsidR="00BC4584" w:rsidRPr="008368E7">
              <w:rPr>
                <w:rFonts w:eastAsiaTheme="minorHAnsi" w:cs="Arial"/>
                <w:color w:val="000000"/>
                <w:sz w:val="22"/>
                <w:szCs w:val="22"/>
                <w:lang w:eastAsia="en-US"/>
              </w:rPr>
              <w:t xml:space="preserve"> years</w:t>
            </w:r>
            <w:r>
              <w:rPr>
                <w:rFonts w:eastAsiaTheme="minorHAnsi" w:cs="Arial"/>
                <w:color w:val="000000"/>
                <w:sz w:val="22"/>
                <w:szCs w:val="22"/>
                <w:lang w:eastAsia="en-US"/>
              </w:rPr>
              <w:t xml:space="preserve"> </w:t>
            </w:r>
            <w:r w:rsidRPr="00FB2E35">
              <w:rPr>
                <w:rFonts w:eastAsiaTheme="minorHAnsi" w:cs="Arial"/>
                <w:color w:val="000000"/>
                <w:sz w:val="22"/>
                <w:szCs w:val="22"/>
                <w:lang w:eastAsia="en-US"/>
              </w:rPr>
              <w:t>of age</w:t>
            </w:r>
          </w:p>
          <w:p w14:paraId="3DCFBFBC" w14:textId="13269565" w:rsidR="0025515A" w:rsidRPr="00E56171" w:rsidRDefault="00B227F7" w:rsidP="00E56171">
            <w:pPr>
              <w:numPr>
                <w:ilvl w:val="0"/>
                <w:numId w:val="4"/>
              </w:numPr>
              <w:overflowPunct/>
              <w:ind w:left="319" w:hanging="284"/>
              <w:contextualSpacing/>
              <w:textAlignment w:val="auto"/>
              <w:rPr>
                <w:rFonts w:eastAsiaTheme="minorHAnsi" w:cs="Arial"/>
                <w:color w:val="000000"/>
                <w:sz w:val="22"/>
                <w:szCs w:val="22"/>
                <w:lang w:eastAsia="en-US"/>
              </w:rPr>
            </w:pPr>
            <w:r w:rsidRPr="00E56171">
              <w:rPr>
                <w:rFonts w:eastAsiaTheme="minorHAnsi" w:cs="Arial"/>
                <w:color w:val="000000"/>
                <w:sz w:val="22"/>
                <w:szCs w:val="22"/>
                <w:lang w:eastAsia="en-US"/>
              </w:rPr>
              <w:t xml:space="preserve">have had a </w:t>
            </w:r>
            <w:r w:rsidR="00044C91" w:rsidRPr="00E56171">
              <w:rPr>
                <w:rFonts w:eastAsiaTheme="minorHAnsi" w:cs="Arial"/>
                <w:color w:val="000000"/>
                <w:sz w:val="22"/>
                <w:szCs w:val="22"/>
                <w:lang w:eastAsia="en-US"/>
              </w:rPr>
              <w:t>previous systemic allergic</w:t>
            </w:r>
            <w:r w:rsidRPr="00E56171">
              <w:rPr>
                <w:rFonts w:eastAsiaTheme="minorHAnsi" w:cs="Arial"/>
                <w:color w:val="000000"/>
                <w:sz w:val="22"/>
                <w:szCs w:val="22"/>
                <w:lang w:eastAsia="en-US"/>
              </w:rPr>
              <w:t xml:space="preserve"> reaction</w:t>
            </w:r>
            <w:r w:rsidR="00044C91" w:rsidRPr="00E56171">
              <w:rPr>
                <w:rFonts w:eastAsiaTheme="minorHAnsi" w:cs="Arial"/>
                <w:color w:val="000000"/>
                <w:sz w:val="22"/>
                <w:szCs w:val="22"/>
                <w:lang w:eastAsia="en-US"/>
              </w:rPr>
              <w:t xml:space="preserve"> (including immediate onset anaphylaxis)</w:t>
            </w:r>
            <w:r w:rsidRPr="00E56171">
              <w:rPr>
                <w:rFonts w:eastAsiaTheme="minorHAnsi" w:cs="Arial"/>
                <w:color w:val="000000"/>
                <w:sz w:val="22"/>
                <w:szCs w:val="22"/>
                <w:lang w:eastAsia="en-US"/>
              </w:rPr>
              <w:t xml:space="preserve"> to a previous dose of </w:t>
            </w:r>
            <w:r w:rsidR="00BA68F9" w:rsidRPr="00E56171">
              <w:rPr>
                <w:rFonts w:eastAsiaTheme="minorHAnsi" w:cs="Arial"/>
                <w:color w:val="000000"/>
                <w:sz w:val="22"/>
                <w:szCs w:val="22"/>
                <w:lang w:eastAsia="en-US"/>
              </w:rPr>
              <w:t xml:space="preserve">a </w:t>
            </w:r>
            <w:r w:rsidR="00044C91" w:rsidRPr="00E56171">
              <w:rPr>
                <w:rFonts w:eastAsiaTheme="minorHAnsi" w:cs="Arial"/>
                <w:color w:val="000000"/>
                <w:sz w:val="22"/>
                <w:szCs w:val="22"/>
                <w:lang w:eastAsia="en-US"/>
              </w:rPr>
              <w:t>COVID-19 mRNA vaccine or</w:t>
            </w:r>
            <w:r w:rsidRPr="00E56171">
              <w:rPr>
                <w:rFonts w:eastAsiaTheme="minorHAnsi" w:cs="Arial"/>
                <w:color w:val="000000"/>
                <w:sz w:val="22"/>
                <w:szCs w:val="22"/>
                <w:lang w:eastAsia="en-US"/>
              </w:rPr>
              <w:t xml:space="preserve"> to any component </w:t>
            </w:r>
            <w:r w:rsidR="0099186D">
              <w:rPr>
                <w:rFonts w:eastAsiaTheme="minorHAnsi" w:cs="Arial"/>
                <w:color w:val="000000"/>
                <w:sz w:val="22"/>
                <w:szCs w:val="22"/>
                <w:lang w:eastAsia="en-US"/>
              </w:rPr>
              <w:t xml:space="preserve">or residue of the </w:t>
            </w:r>
            <w:r w:rsidR="0099186D" w:rsidRPr="00E56171">
              <w:rPr>
                <w:color w:val="000000"/>
                <w:sz w:val="22"/>
                <w:szCs w:val="22"/>
              </w:rPr>
              <w:t>manufacturing process</w:t>
            </w:r>
            <w:r w:rsidR="0099186D" w:rsidRPr="00FB2E35">
              <w:rPr>
                <w:sz w:val="22"/>
                <w:szCs w:val="22"/>
                <w:vertAlign w:val="superscript"/>
              </w:rPr>
              <w:footnoteReference w:id="4"/>
            </w:r>
            <w:r w:rsidR="0099186D" w:rsidRPr="00E56171">
              <w:rPr>
                <w:color w:val="000000"/>
                <w:sz w:val="22"/>
                <w:szCs w:val="22"/>
              </w:rPr>
              <w:t xml:space="preserve"> </w:t>
            </w:r>
            <w:r w:rsidR="00766D09">
              <w:rPr>
                <w:color w:val="000000"/>
                <w:sz w:val="22"/>
                <w:szCs w:val="22"/>
              </w:rPr>
              <w:t>in</w:t>
            </w:r>
            <w:r w:rsidRPr="00E56171">
              <w:rPr>
                <w:rFonts w:eastAsiaTheme="minorHAnsi" w:cs="Arial"/>
                <w:color w:val="000000"/>
                <w:sz w:val="22"/>
                <w:szCs w:val="22"/>
                <w:lang w:eastAsia="en-US"/>
              </w:rPr>
              <w:t xml:space="preserve"> the </w:t>
            </w:r>
            <w:r w:rsidR="004E7320" w:rsidRPr="00E56171">
              <w:rPr>
                <w:rFonts w:eastAsia="Arial" w:cs="Arial"/>
                <w:sz w:val="22"/>
                <w:szCs w:val="22"/>
              </w:rPr>
              <w:t xml:space="preserve">COVID-19 mRNA </w:t>
            </w:r>
            <w:r w:rsidRPr="00E56171">
              <w:rPr>
                <w:rFonts w:eastAsiaTheme="minorHAnsi"/>
                <w:sz w:val="22"/>
              </w:rPr>
              <w:t>vaccine</w:t>
            </w:r>
            <w:r w:rsidR="004E7320" w:rsidRPr="00E56171">
              <w:rPr>
                <w:rFonts w:eastAsia="Arial" w:cs="Arial"/>
                <w:sz w:val="22"/>
                <w:szCs w:val="22"/>
              </w:rPr>
              <w:t xml:space="preserve"> BNT162b2</w:t>
            </w:r>
          </w:p>
          <w:p w14:paraId="2A817C40" w14:textId="4A3E0F25" w:rsidR="0025515A" w:rsidRPr="00E56171" w:rsidRDefault="0025515A" w:rsidP="00E56171">
            <w:pPr>
              <w:numPr>
                <w:ilvl w:val="0"/>
                <w:numId w:val="4"/>
              </w:numPr>
              <w:overflowPunct/>
              <w:spacing w:before="120"/>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have a </w:t>
            </w:r>
            <w:r w:rsidRPr="00E56171">
              <w:rPr>
                <w:rFonts w:eastAsiaTheme="minorHAnsi" w:cs="Arial"/>
                <w:color w:val="000000"/>
                <w:sz w:val="22"/>
                <w:szCs w:val="22"/>
                <w:lang w:eastAsia="en-US"/>
              </w:rPr>
              <w:t xml:space="preserve">history of prior allergic reaction to COVID-19 vaccine that required medical </w:t>
            </w:r>
            <w:r w:rsidR="00766D09">
              <w:rPr>
                <w:rFonts w:eastAsiaTheme="minorHAnsi" w:cs="Arial"/>
                <w:color w:val="000000"/>
                <w:sz w:val="22"/>
                <w:szCs w:val="22"/>
                <w:lang w:eastAsia="en-US"/>
              </w:rPr>
              <w:t>intervention in hospital</w:t>
            </w:r>
          </w:p>
          <w:p w14:paraId="5BDC422D" w14:textId="50AD7C2C" w:rsidR="00431069" w:rsidRPr="00FB2E35" w:rsidRDefault="00431069" w:rsidP="007B4240">
            <w:pPr>
              <w:pStyle w:val="ListParagraph"/>
              <w:widowControl w:val="0"/>
              <w:numPr>
                <w:ilvl w:val="0"/>
                <w:numId w:val="4"/>
              </w:numPr>
              <w:overflowPunct/>
              <w:ind w:left="318" w:hanging="284"/>
              <w:textAlignment w:val="auto"/>
              <w:rPr>
                <w:rFonts w:eastAsiaTheme="minorHAnsi" w:cs="Arial"/>
                <w:color w:val="000000"/>
                <w:sz w:val="22"/>
                <w:szCs w:val="22"/>
                <w:lang w:eastAsia="en-US"/>
              </w:rPr>
            </w:pPr>
            <w:r w:rsidRPr="00FB2E35">
              <w:rPr>
                <w:rFonts w:eastAsiaTheme="minorHAnsi" w:cs="Arial"/>
                <w:color w:val="000000"/>
                <w:sz w:val="22"/>
                <w:szCs w:val="22"/>
                <w:lang w:eastAsia="en-US"/>
              </w:rPr>
              <w:t>have a history of immediate anaphylaxis to multiple, different drug classes, with the trigger unidentified (this may indicate</w:t>
            </w:r>
            <w:r w:rsidR="0039721E" w:rsidRPr="00FB2E35">
              <w:rPr>
                <w:rFonts w:eastAsiaTheme="minorHAnsi" w:cs="Arial"/>
                <w:color w:val="000000"/>
                <w:sz w:val="22"/>
                <w:szCs w:val="22"/>
                <w:lang w:eastAsia="en-US"/>
              </w:rPr>
              <w:t xml:space="preserve"> polyethylene glycol</w:t>
            </w:r>
            <w:r w:rsidRPr="00FB2E35">
              <w:rPr>
                <w:rFonts w:eastAsiaTheme="minorHAnsi" w:cs="Arial"/>
                <w:color w:val="000000"/>
                <w:sz w:val="22"/>
                <w:szCs w:val="22"/>
                <w:lang w:eastAsia="en-US"/>
              </w:rPr>
              <w:t xml:space="preserve"> </w:t>
            </w:r>
            <w:r w:rsidR="0039721E" w:rsidRPr="00FB2E35">
              <w:rPr>
                <w:rFonts w:eastAsiaTheme="minorHAnsi" w:cs="Arial"/>
                <w:color w:val="000000"/>
                <w:sz w:val="22"/>
                <w:szCs w:val="22"/>
                <w:lang w:eastAsia="en-US"/>
              </w:rPr>
              <w:t>(</w:t>
            </w:r>
            <w:r w:rsidRPr="00FB2E35">
              <w:rPr>
                <w:rFonts w:eastAsiaTheme="minorHAnsi" w:cs="Arial"/>
                <w:color w:val="000000"/>
                <w:sz w:val="22"/>
                <w:szCs w:val="22"/>
                <w:lang w:eastAsia="en-US"/>
              </w:rPr>
              <w:t>PEG</w:t>
            </w:r>
            <w:r w:rsidR="0039721E" w:rsidRPr="00FB2E35">
              <w:rPr>
                <w:rFonts w:eastAsiaTheme="minorHAnsi" w:cs="Arial"/>
                <w:color w:val="000000"/>
                <w:sz w:val="22"/>
                <w:szCs w:val="22"/>
                <w:lang w:eastAsia="en-US"/>
              </w:rPr>
              <w:t>)</w:t>
            </w:r>
            <w:r w:rsidRPr="00FB2E35">
              <w:rPr>
                <w:rFonts w:eastAsiaTheme="minorHAnsi" w:cs="Arial"/>
                <w:color w:val="000000"/>
                <w:sz w:val="22"/>
                <w:szCs w:val="22"/>
                <w:lang w:eastAsia="en-US"/>
              </w:rPr>
              <w:t xml:space="preserve"> allergy)</w:t>
            </w:r>
          </w:p>
          <w:p w14:paraId="2BE3AF7C" w14:textId="276B76B4" w:rsidR="00431069" w:rsidRPr="00FB2E35" w:rsidRDefault="0039721E" w:rsidP="007B4240">
            <w:pPr>
              <w:pStyle w:val="ListParagraph"/>
              <w:widowControl w:val="0"/>
              <w:numPr>
                <w:ilvl w:val="0"/>
                <w:numId w:val="4"/>
              </w:numPr>
              <w:overflowPunct/>
              <w:ind w:left="318" w:hanging="284"/>
              <w:textAlignment w:val="auto"/>
              <w:rPr>
                <w:rFonts w:eastAsiaTheme="minorHAnsi" w:cs="Arial"/>
                <w:color w:val="000000"/>
                <w:sz w:val="22"/>
                <w:szCs w:val="22"/>
                <w:lang w:eastAsia="en-US"/>
              </w:rPr>
            </w:pPr>
            <w:r w:rsidRPr="00FB2E35">
              <w:rPr>
                <w:rFonts w:eastAsiaTheme="minorHAnsi" w:cs="Arial"/>
                <w:color w:val="000000"/>
                <w:sz w:val="22"/>
                <w:szCs w:val="22"/>
                <w:lang w:eastAsia="en-US"/>
              </w:rPr>
              <w:t xml:space="preserve">have a </w:t>
            </w:r>
            <w:r w:rsidR="00431069" w:rsidRPr="00FB2E35">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58CFFA8B" w14:textId="6636D7C6" w:rsidR="00431069" w:rsidRPr="00FB2E35" w:rsidRDefault="0039721E" w:rsidP="007B4240">
            <w:pPr>
              <w:pStyle w:val="ListParagraph"/>
              <w:widowControl w:val="0"/>
              <w:numPr>
                <w:ilvl w:val="0"/>
                <w:numId w:val="4"/>
              </w:numPr>
              <w:overflowPunct/>
              <w:ind w:left="318" w:hanging="284"/>
              <w:textAlignment w:val="auto"/>
              <w:rPr>
                <w:rFonts w:eastAsiaTheme="minorHAnsi" w:cs="Arial"/>
                <w:color w:val="000000"/>
                <w:sz w:val="22"/>
                <w:szCs w:val="22"/>
                <w:lang w:eastAsia="en-US"/>
              </w:rPr>
            </w:pPr>
            <w:r w:rsidRPr="00FB2E35">
              <w:rPr>
                <w:rFonts w:eastAsiaTheme="minorHAnsi" w:cs="Arial"/>
                <w:color w:val="000000"/>
                <w:sz w:val="22"/>
                <w:szCs w:val="22"/>
                <w:lang w:eastAsia="en-US"/>
              </w:rPr>
              <w:t xml:space="preserve">have </w:t>
            </w:r>
            <w:r w:rsidR="00431069" w:rsidRPr="00FB2E35">
              <w:rPr>
                <w:rFonts w:eastAsiaTheme="minorHAnsi" w:cs="Arial"/>
                <w:color w:val="000000"/>
                <w:sz w:val="22"/>
                <w:szCs w:val="22"/>
                <w:lang w:eastAsia="en-US"/>
              </w:rPr>
              <w:t>history of idiopathic anaphylaxis</w:t>
            </w:r>
          </w:p>
          <w:p w14:paraId="4E297B2E" w14:textId="3FFC6FC2" w:rsidR="004B006E" w:rsidRPr="006D7639" w:rsidRDefault="004B006E" w:rsidP="007B4240">
            <w:pPr>
              <w:numPr>
                <w:ilvl w:val="0"/>
                <w:numId w:val="4"/>
              </w:numPr>
              <w:overflowPunct/>
              <w:spacing w:after="120"/>
              <w:ind w:left="319" w:hanging="284"/>
              <w:contextualSpacing/>
              <w:textAlignment w:val="auto"/>
              <w:rPr>
                <w:rFonts w:eastAsiaTheme="minorHAnsi" w:cs="Arial"/>
                <w:color w:val="FF0000"/>
                <w:sz w:val="22"/>
                <w:szCs w:val="22"/>
                <w:lang w:eastAsia="en-US"/>
              </w:rPr>
            </w:pPr>
            <w:r>
              <w:rPr>
                <w:color w:val="000000"/>
                <w:sz w:val="22"/>
                <w:szCs w:val="22"/>
              </w:rPr>
              <w:t xml:space="preserve">have experienced </w:t>
            </w:r>
            <w:r w:rsidRPr="004B006E">
              <w:rPr>
                <w:color w:val="000000"/>
                <w:sz w:val="22"/>
                <w:szCs w:val="22"/>
              </w:rPr>
              <w:t xml:space="preserve">myocarditis </w:t>
            </w:r>
            <w:r>
              <w:rPr>
                <w:color w:val="000000"/>
                <w:sz w:val="22"/>
                <w:szCs w:val="22"/>
              </w:rPr>
              <w:t>or</w:t>
            </w:r>
            <w:r w:rsidRPr="004B006E">
              <w:rPr>
                <w:color w:val="000000"/>
                <w:sz w:val="22"/>
                <w:szCs w:val="22"/>
              </w:rPr>
              <w:t xml:space="preserve"> pericarditis</w:t>
            </w:r>
            <w:r>
              <w:rPr>
                <w:color w:val="000000"/>
                <w:sz w:val="22"/>
                <w:szCs w:val="22"/>
              </w:rPr>
              <w:t xml:space="preserve"> </w:t>
            </w:r>
            <w:r w:rsidR="006701FE">
              <w:rPr>
                <w:color w:val="000000"/>
                <w:sz w:val="22"/>
                <w:szCs w:val="22"/>
              </w:rPr>
              <w:t>determined as likely to be r</w:t>
            </w:r>
            <w:r w:rsidR="00052AD3">
              <w:rPr>
                <w:color w:val="000000"/>
                <w:sz w:val="22"/>
                <w:szCs w:val="22"/>
              </w:rPr>
              <w:t>elated to previous</w:t>
            </w:r>
            <w:r>
              <w:rPr>
                <w:color w:val="000000"/>
                <w:sz w:val="22"/>
                <w:szCs w:val="22"/>
              </w:rPr>
              <w:t xml:space="preserve"> COVID-19 vaccination</w:t>
            </w:r>
          </w:p>
          <w:p w14:paraId="0E346B7E" w14:textId="0382DB73" w:rsidR="00B227F7" w:rsidRPr="00823759" w:rsidRDefault="00B227F7" w:rsidP="007B4240">
            <w:pPr>
              <w:numPr>
                <w:ilvl w:val="0"/>
                <w:numId w:val="4"/>
              </w:numPr>
              <w:overflowPunct/>
              <w:spacing w:after="120"/>
              <w:ind w:left="319" w:hanging="284"/>
              <w:contextualSpacing/>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 xml:space="preserve">presence of a minor infection is not a contraindication for </w:t>
            </w:r>
            <w:r w:rsidR="00D7172A">
              <w:rPr>
                <w:rFonts w:cs="Arial"/>
                <w:sz w:val="22"/>
                <w:szCs w:val="22"/>
              </w:rPr>
              <w:t>vaccination</w:t>
            </w:r>
            <w:r>
              <w:rPr>
                <w:rFonts w:cs="Arial"/>
                <w:sz w:val="22"/>
                <w:szCs w:val="22"/>
              </w:rPr>
              <w:t>)</w:t>
            </w:r>
          </w:p>
          <w:p w14:paraId="59B51ABA" w14:textId="1BECBCBD" w:rsidR="00591AE5" w:rsidRPr="006E0D68" w:rsidRDefault="001B5C0A" w:rsidP="00E56171">
            <w:pPr>
              <w:numPr>
                <w:ilvl w:val="0"/>
                <w:numId w:val="4"/>
              </w:numPr>
              <w:overflowPunct/>
              <w:spacing w:after="120"/>
              <w:ind w:left="318" w:hanging="284"/>
              <w:textAlignment w:val="auto"/>
              <w:rPr>
                <w:rFonts w:eastAsiaTheme="minorHAnsi"/>
                <w:color w:val="FF0000"/>
                <w:sz w:val="22"/>
              </w:rPr>
            </w:pPr>
            <w:r>
              <w:rPr>
                <w:rFonts w:cs="Arial"/>
                <w:sz w:val="22"/>
                <w:szCs w:val="22"/>
              </w:rPr>
              <w:t xml:space="preserve">have received a </w:t>
            </w:r>
            <w:r w:rsidR="00027613">
              <w:rPr>
                <w:rFonts w:cs="Arial"/>
                <w:sz w:val="22"/>
                <w:szCs w:val="22"/>
              </w:rPr>
              <w:t xml:space="preserve">full </w:t>
            </w:r>
            <w:r>
              <w:rPr>
                <w:rFonts w:cs="Arial"/>
                <w:sz w:val="22"/>
                <w:szCs w:val="22"/>
              </w:rPr>
              <w:t xml:space="preserve">dose of COVID-19 vaccine in the preceding </w:t>
            </w:r>
            <w:r w:rsidRPr="001B5C0A">
              <w:rPr>
                <w:rFonts w:cs="Arial"/>
                <w:sz w:val="22"/>
                <w:szCs w:val="22"/>
              </w:rPr>
              <w:t>2</w:t>
            </w:r>
            <w:r w:rsidR="00543F84">
              <w:rPr>
                <w:rFonts w:cs="Arial"/>
                <w:sz w:val="22"/>
                <w:szCs w:val="22"/>
              </w:rPr>
              <w:t>1</w:t>
            </w:r>
            <w:r w:rsidRPr="001B5C0A">
              <w:rPr>
                <w:rFonts w:cs="Arial"/>
                <w:sz w:val="22"/>
                <w:szCs w:val="22"/>
              </w:rPr>
              <w:t xml:space="preserve"> days </w:t>
            </w:r>
            <w:bookmarkStart w:id="15" w:name="MHRAExclusionAdvice"/>
            <w:bookmarkEnd w:id="15"/>
          </w:p>
        </w:tc>
      </w:tr>
      <w:tr w:rsidR="00B227F7" w:rsidRPr="00A956FD" w14:paraId="43749CC1" w14:textId="77777777" w:rsidTr="00285873">
        <w:trPr>
          <w:trHeight w:val="981"/>
        </w:trPr>
        <w:tc>
          <w:tcPr>
            <w:tcW w:w="2578" w:type="dxa"/>
          </w:tcPr>
          <w:p w14:paraId="118FA0FA" w14:textId="42B3205F" w:rsidR="00B227F7" w:rsidRPr="00C06B6B" w:rsidRDefault="00B227F7" w:rsidP="007B2C02">
            <w:pPr>
              <w:spacing w:before="120" w:after="120"/>
              <w:rPr>
                <w:rFonts w:cs="Arial"/>
                <w:b/>
                <w:sz w:val="22"/>
                <w:szCs w:val="22"/>
              </w:rPr>
            </w:pPr>
            <w:bookmarkStart w:id="16" w:name="Cautions"/>
            <w:r w:rsidRPr="00C06B6B">
              <w:rPr>
                <w:rFonts w:cs="Arial"/>
                <w:b/>
                <w:sz w:val="22"/>
                <w:szCs w:val="22"/>
              </w:rPr>
              <w:t>Cautions</w:t>
            </w:r>
            <w:r w:rsidR="00417CE4" w:rsidRPr="00C06B6B">
              <w:rPr>
                <w:rFonts w:cs="Arial"/>
                <w:b/>
                <w:sz w:val="22"/>
                <w:szCs w:val="22"/>
              </w:rPr>
              <w:t>,</w:t>
            </w:r>
            <w:r w:rsidRPr="00C06B6B">
              <w:rPr>
                <w:rFonts w:cs="Arial"/>
                <w:b/>
                <w:sz w:val="22"/>
                <w:szCs w:val="22"/>
              </w:rPr>
              <w:t xml:space="preserve"> </w:t>
            </w:r>
            <w:bookmarkEnd w:id="16"/>
            <w:r w:rsidRPr="00C06B6B">
              <w:rPr>
                <w:rFonts w:cs="Arial"/>
                <w:b/>
                <w:sz w:val="22"/>
                <w:szCs w:val="22"/>
              </w:rPr>
              <w:t>including any relevant action to be taken</w:t>
            </w:r>
          </w:p>
          <w:p w14:paraId="75B56F0A" w14:textId="77777777" w:rsidR="00CE0435" w:rsidRPr="00C06B6B" w:rsidRDefault="00CE0435" w:rsidP="00CE0435">
            <w:pPr>
              <w:spacing w:before="120" w:after="120"/>
              <w:contextualSpacing/>
              <w:rPr>
                <w:rFonts w:cs="Arial"/>
                <w:sz w:val="22"/>
                <w:szCs w:val="22"/>
              </w:rPr>
            </w:pPr>
          </w:p>
          <w:p w14:paraId="3598A911" w14:textId="77777777" w:rsidR="004037BE" w:rsidRDefault="004037BE" w:rsidP="005029D4">
            <w:pPr>
              <w:contextualSpacing/>
              <w:rPr>
                <w:rFonts w:cs="Arial"/>
                <w:sz w:val="22"/>
                <w:szCs w:val="22"/>
              </w:rPr>
            </w:pPr>
          </w:p>
          <w:p w14:paraId="714726C0" w14:textId="4D043601" w:rsidR="00C34E29" w:rsidRPr="00C06B6B" w:rsidRDefault="0020405B" w:rsidP="00994459">
            <w:pPr>
              <w:contextualSpacing/>
              <w:rPr>
                <w:rFonts w:cs="Arial"/>
                <w:sz w:val="22"/>
                <w:szCs w:val="22"/>
              </w:rPr>
            </w:pPr>
            <w:r w:rsidRPr="00C06B6B">
              <w:rPr>
                <w:rFonts w:cs="Arial"/>
                <w:sz w:val="22"/>
                <w:szCs w:val="22"/>
              </w:rPr>
              <w:t>Continued over page</w:t>
            </w:r>
          </w:p>
          <w:p w14:paraId="172CE877" w14:textId="77777777" w:rsidR="0020405B" w:rsidRPr="00C06B6B" w:rsidRDefault="0020405B" w:rsidP="00994459">
            <w:pPr>
              <w:spacing w:before="120" w:after="120"/>
              <w:contextualSpacing/>
              <w:rPr>
                <w:rFonts w:cs="Arial"/>
                <w:b/>
                <w:sz w:val="22"/>
                <w:szCs w:val="22"/>
              </w:rPr>
            </w:pPr>
            <w:r w:rsidRPr="00C06B6B">
              <w:rPr>
                <w:rFonts w:cs="Arial"/>
                <w:b/>
                <w:sz w:val="22"/>
                <w:szCs w:val="22"/>
              </w:rPr>
              <w:lastRenderedPageBreak/>
              <w:t>Cautions, including any relevant action to be taken</w:t>
            </w:r>
          </w:p>
          <w:p w14:paraId="7A6AB8B8" w14:textId="7FB259E5" w:rsidR="00C34E29" w:rsidRDefault="0020405B" w:rsidP="0020405B">
            <w:pPr>
              <w:spacing w:before="120" w:after="120"/>
              <w:contextualSpacing/>
              <w:rPr>
                <w:rFonts w:cs="Arial"/>
                <w:sz w:val="22"/>
                <w:szCs w:val="22"/>
              </w:rPr>
            </w:pPr>
            <w:r w:rsidRPr="00C06B6B">
              <w:rPr>
                <w:rFonts w:cs="Arial"/>
                <w:sz w:val="22"/>
                <w:szCs w:val="22"/>
              </w:rPr>
              <w:t>(continued)</w:t>
            </w:r>
          </w:p>
          <w:p w14:paraId="782FA6D7" w14:textId="7BA59075" w:rsidR="00766D09" w:rsidRDefault="00766D09" w:rsidP="0020405B">
            <w:pPr>
              <w:spacing w:before="120" w:after="120"/>
              <w:contextualSpacing/>
              <w:rPr>
                <w:rFonts w:cs="Arial"/>
                <w:sz w:val="22"/>
                <w:szCs w:val="22"/>
              </w:rPr>
            </w:pPr>
          </w:p>
          <w:p w14:paraId="16C6E050" w14:textId="77777777" w:rsidR="00766D09" w:rsidRDefault="00766D09" w:rsidP="005029D4">
            <w:pPr>
              <w:contextualSpacing/>
              <w:rPr>
                <w:rFonts w:cs="Arial"/>
                <w:sz w:val="22"/>
                <w:szCs w:val="22"/>
              </w:rPr>
            </w:pPr>
          </w:p>
          <w:p w14:paraId="771A9DA0" w14:textId="77777777" w:rsidR="00766D09" w:rsidRDefault="00766D09" w:rsidP="005029D4">
            <w:pPr>
              <w:contextualSpacing/>
              <w:rPr>
                <w:rFonts w:cs="Arial"/>
                <w:sz w:val="22"/>
                <w:szCs w:val="22"/>
              </w:rPr>
            </w:pPr>
          </w:p>
          <w:p w14:paraId="3D78ED0B" w14:textId="77777777" w:rsidR="00766D09" w:rsidRDefault="00766D09" w:rsidP="00766D09">
            <w:pPr>
              <w:contextualSpacing/>
              <w:rPr>
                <w:rFonts w:cs="Arial"/>
                <w:sz w:val="22"/>
                <w:szCs w:val="22"/>
              </w:rPr>
            </w:pPr>
          </w:p>
          <w:p w14:paraId="75586E59" w14:textId="77777777" w:rsidR="00766D09" w:rsidRDefault="00766D09" w:rsidP="00766D09">
            <w:pPr>
              <w:contextualSpacing/>
              <w:rPr>
                <w:rFonts w:cs="Arial"/>
                <w:sz w:val="22"/>
                <w:szCs w:val="22"/>
              </w:rPr>
            </w:pPr>
          </w:p>
          <w:p w14:paraId="5AE70C68" w14:textId="77777777" w:rsidR="00766D09" w:rsidRDefault="00766D09" w:rsidP="00766D09">
            <w:pPr>
              <w:contextualSpacing/>
              <w:rPr>
                <w:rFonts w:cs="Arial"/>
                <w:sz w:val="22"/>
                <w:szCs w:val="22"/>
              </w:rPr>
            </w:pPr>
          </w:p>
          <w:p w14:paraId="1861D475" w14:textId="77777777" w:rsidR="00766D09" w:rsidRDefault="00766D09" w:rsidP="00766D09">
            <w:pPr>
              <w:contextualSpacing/>
              <w:rPr>
                <w:rFonts w:cs="Arial"/>
                <w:sz w:val="22"/>
                <w:szCs w:val="22"/>
              </w:rPr>
            </w:pPr>
          </w:p>
          <w:p w14:paraId="7D0C88CD" w14:textId="77777777" w:rsidR="00766D09" w:rsidRDefault="00766D09" w:rsidP="00766D09">
            <w:pPr>
              <w:contextualSpacing/>
              <w:rPr>
                <w:rFonts w:cs="Arial"/>
                <w:sz w:val="22"/>
                <w:szCs w:val="22"/>
              </w:rPr>
            </w:pPr>
          </w:p>
          <w:p w14:paraId="5B8981C5" w14:textId="77777777" w:rsidR="00766D09" w:rsidRDefault="00766D09" w:rsidP="00766D09">
            <w:pPr>
              <w:contextualSpacing/>
              <w:rPr>
                <w:rFonts w:cs="Arial"/>
                <w:sz w:val="22"/>
                <w:szCs w:val="22"/>
              </w:rPr>
            </w:pPr>
          </w:p>
          <w:p w14:paraId="680A39B7" w14:textId="77777777" w:rsidR="00766D09" w:rsidRDefault="00766D09" w:rsidP="00766D09">
            <w:pPr>
              <w:contextualSpacing/>
              <w:rPr>
                <w:rFonts w:cs="Arial"/>
                <w:sz w:val="22"/>
                <w:szCs w:val="22"/>
              </w:rPr>
            </w:pPr>
          </w:p>
          <w:p w14:paraId="39BE01FC" w14:textId="77777777" w:rsidR="00766D09" w:rsidRDefault="00766D09" w:rsidP="00766D09">
            <w:pPr>
              <w:contextualSpacing/>
              <w:rPr>
                <w:rFonts w:cs="Arial"/>
                <w:sz w:val="22"/>
                <w:szCs w:val="22"/>
              </w:rPr>
            </w:pPr>
          </w:p>
          <w:p w14:paraId="5815238A" w14:textId="77777777" w:rsidR="00766D09" w:rsidRDefault="00766D09" w:rsidP="00766D09">
            <w:pPr>
              <w:contextualSpacing/>
              <w:rPr>
                <w:rFonts w:cs="Arial"/>
                <w:sz w:val="22"/>
                <w:szCs w:val="22"/>
              </w:rPr>
            </w:pPr>
          </w:p>
          <w:p w14:paraId="4FA8F5D6" w14:textId="77777777" w:rsidR="00766D09" w:rsidRDefault="00766D09" w:rsidP="00766D09">
            <w:pPr>
              <w:contextualSpacing/>
              <w:rPr>
                <w:rFonts w:cs="Arial"/>
                <w:sz w:val="22"/>
                <w:szCs w:val="22"/>
              </w:rPr>
            </w:pPr>
          </w:p>
          <w:p w14:paraId="3B07C8F9" w14:textId="77777777" w:rsidR="00766D09" w:rsidRDefault="00766D09" w:rsidP="00766D09">
            <w:pPr>
              <w:contextualSpacing/>
              <w:rPr>
                <w:rFonts w:cs="Arial"/>
                <w:sz w:val="22"/>
                <w:szCs w:val="22"/>
              </w:rPr>
            </w:pPr>
          </w:p>
          <w:p w14:paraId="3AA86971" w14:textId="77777777" w:rsidR="00766D09" w:rsidRDefault="00766D09" w:rsidP="00766D09">
            <w:pPr>
              <w:contextualSpacing/>
              <w:rPr>
                <w:rFonts w:cs="Arial"/>
                <w:sz w:val="22"/>
                <w:szCs w:val="22"/>
              </w:rPr>
            </w:pPr>
          </w:p>
          <w:p w14:paraId="1B7B94FC" w14:textId="77777777" w:rsidR="00766D09" w:rsidRDefault="00766D09" w:rsidP="00766D09">
            <w:pPr>
              <w:contextualSpacing/>
              <w:rPr>
                <w:rFonts w:cs="Arial"/>
                <w:sz w:val="22"/>
                <w:szCs w:val="22"/>
              </w:rPr>
            </w:pPr>
          </w:p>
          <w:p w14:paraId="398E41DD" w14:textId="77777777" w:rsidR="00766D09" w:rsidRDefault="00766D09" w:rsidP="00766D09">
            <w:pPr>
              <w:contextualSpacing/>
              <w:rPr>
                <w:rFonts w:cs="Arial"/>
                <w:sz w:val="22"/>
                <w:szCs w:val="22"/>
              </w:rPr>
            </w:pPr>
          </w:p>
          <w:p w14:paraId="04C9ACB6" w14:textId="77777777" w:rsidR="00766D09" w:rsidRDefault="00766D09" w:rsidP="00766D09">
            <w:pPr>
              <w:contextualSpacing/>
              <w:rPr>
                <w:rFonts w:cs="Arial"/>
                <w:sz w:val="22"/>
                <w:szCs w:val="22"/>
              </w:rPr>
            </w:pPr>
          </w:p>
          <w:p w14:paraId="6420C0CD" w14:textId="77777777" w:rsidR="00766D09" w:rsidRDefault="00766D09" w:rsidP="00766D09">
            <w:pPr>
              <w:contextualSpacing/>
              <w:rPr>
                <w:rFonts w:cs="Arial"/>
                <w:sz w:val="22"/>
                <w:szCs w:val="22"/>
              </w:rPr>
            </w:pPr>
          </w:p>
          <w:p w14:paraId="7DEA0EE7" w14:textId="77777777" w:rsidR="00766D09" w:rsidRDefault="00766D09" w:rsidP="00766D09">
            <w:pPr>
              <w:contextualSpacing/>
              <w:rPr>
                <w:rFonts w:cs="Arial"/>
                <w:sz w:val="22"/>
                <w:szCs w:val="22"/>
              </w:rPr>
            </w:pPr>
          </w:p>
          <w:p w14:paraId="26EA26A6" w14:textId="77777777" w:rsidR="00766D09" w:rsidRDefault="00766D09" w:rsidP="00766D09">
            <w:pPr>
              <w:contextualSpacing/>
              <w:rPr>
                <w:rFonts w:cs="Arial"/>
                <w:sz w:val="22"/>
                <w:szCs w:val="22"/>
              </w:rPr>
            </w:pPr>
          </w:p>
          <w:p w14:paraId="565A2FD9" w14:textId="77777777" w:rsidR="00766D09" w:rsidRDefault="00766D09" w:rsidP="00766D09">
            <w:pPr>
              <w:contextualSpacing/>
              <w:rPr>
                <w:rFonts w:cs="Arial"/>
                <w:sz w:val="22"/>
                <w:szCs w:val="22"/>
              </w:rPr>
            </w:pPr>
          </w:p>
          <w:p w14:paraId="288DAB5E" w14:textId="77777777" w:rsidR="00766D09" w:rsidRDefault="00766D09" w:rsidP="00766D09">
            <w:pPr>
              <w:contextualSpacing/>
              <w:rPr>
                <w:rFonts w:cs="Arial"/>
                <w:sz w:val="22"/>
                <w:szCs w:val="22"/>
              </w:rPr>
            </w:pPr>
          </w:p>
          <w:p w14:paraId="7204CA39" w14:textId="77777777" w:rsidR="00766D09" w:rsidRDefault="00766D09" w:rsidP="00766D09">
            <w:pPr>
              <w:contextualSpacing/>
              <w:rPr>
                <w:rFonts w:cs="Arial"/>
                <w:sz w:val="22"/>
                <w:szCs w:val="22"/>
              </w:rPr>
            </w:pPr>
          </w:p>
          <w:p w14:paraId="699CF5CD" w14:textId="77777777" w:rsidR="00766D09" w:rsidRDefault="00766D09" w:rsidP="00766D09">
            <w:pPr>
              <w:contextualSpacing/>
              <w:rPr>
                <w:rFonts w:cs="Arial"/>
                <w:sz w:val="22"/>
                <w:szCs w:val="22"/>
              </w:rPr>
            </w:pPr>
          </w:p>
          <w:p w14:paraId="0F95921A" w14:textId="77777777" w:rsidR="00766D09" w:rsidRDefault="00766D09" w:rsidP="00766D09">
            <w:pPr>
              <w:contextualSpacing/>
              <w:rPr>
                <w:rFonts w:cs="Arial"/>
                <w:sz w:val="22"/>
                <w:szCs w:val="22"/>
              </w:rPr>
            </w:pPr>
          </w:p>
          <w:p w14:paraId="7CE47635" w14:textId="77777777" w:rsidR="00766D09" w:rsidRDefault="00766D09" w:rsidP="00766D09">
            <w:pPr>
              <w:contextualSpacing/>
              <w:rPr>
                <w:rFonts w:cs="Arial"/>
                <w:sz w:val="22"/>
                <w:szCs w:val="22"/>
              </w:rPr>
            </w:pPr>
          </w:p>
          <w:p w14:paraId="4FD6A615" w14:textId="77777777" w:rsidR="00766D09" w:rsidRDefault="00766D09" w:rsidP="00766D09">
            <w:pPr>
              <w:contextualSpacing/>
              <w:rPr>
                <w:rFonts w:cs="Arial"/>
                <w:sz w:val="22"/>
                <w:szCs w:val="22"/>
              </w:rPr>
            </w:pPr>
          </w:p>
          <w:p w14:paraId="50B0F3D8" w14:textId="77777777" w:rsidR="00766D09" w:rsidRDefault="00766D09" w:rsidP="00766D09">
            <w:pPr>
              <w:contextualSpacing/>
              <w:rPr>
                <w:rFonts w:cs="Arial"/>
                <w:sz w:val="22"/>
                <w:szCs w:val="22"/>
              </w:rPr>
            </w:pPr>
          </w:p>
          <w:p w14:paraId="7DB87985" w14:textId="77777777" w:rsidR="00766D09" w:rsidRDefault="00766D09" w:rsidP="00766D09">
            <w:pPr>
              <w:contextualSpacing/>
              <w:rPr>
                <w:rFonts w:cs="Arial"/>
                <w:sz w:val="22"/>
                <w:szCs w:val="22"/>
              </w:rPr>
            </w:pPr>
          </w:p>
          <w:p w14:paraId="0888AC34" w14:textId="77777777" w:rsidR="00766D09" w:rsidRDefault="00766D09" w:rsidP="00766D09">
            <w:pPr>
              <w:contextualSpacing/>
              <w:rPr>
                <w:rFonts w:cs="Arial"/>
                <w:sz w:val="22"/>
                <w:szCs w:val="22"/>
              </w:rPr>
            </w:pPr>
          </w:p>
          <w:p w14:paraId="6B63501E" w14:textId="77777777" w:rsidR="00766D09" w:rsidRDefault="00766D09" w:rsidP="00766D09">
            <w:pPr>
              <w:contextualSpacing/>
              <w:rPr>
                <w:rFonts w:cs="Arial"/>
                <w:sz w:val="22"/>
                <w:szCs w:val="22"/>
              </w:rPr>
            </w:pPr>
          </w:p>
          <w:p w14:paraId="5BEDEE96" w14:textId="77777777" w:rsidR="00766D09" w:rsidRDefault="00766D09" w:rsidP="00766D09">
            <w:pPr>
              <w:contextualSpacing/>
              <w:rPr>
                <w:rFonts w:cs="Arial"/>
                <w:sz w:val="22"/>
                <w:szCs w:val="22"/>
              </w:rPr>
            </w:pPr>
          </w:p>
          <w:p w14:paraId="22A71A1B" w14:textId="77777777" w:rsidR="00766D09" w:rsidRDefault="00766D09" w:rsidP="00766D09">
            <w:pPr>
              <w:contextualSpacing/>
              <w:rPr>
                <w:rFonts w:cs="Arial"/>
                <w:sz w:val="22"/>
                <w:szCs w:val="22"/>
              </w:rPr>
            </w:pPr>
          </w:p>
          <w:p w14:paraId="6A507C9F" w14:textId="77777777" w:rsidR="00766D09" w:rsidRDefault="00766D09" w:rsidP="00766D09">
            <w:pPr>
              <w:contextualSpacing/>
              <w:rPr>
                <w:rFonts w:cs="Arial"/>
                <w:sz w:val="22"/>
                <w:szCs w:val="22"/>
              </w:rPr>
            </w:pPr>
          </w:p>
          <w:p w14:paraId="5790992D" w14:textId="77777777" w:rsidR="00766D09" w:rsidRDefault="00766D09" w:rsidP="00766D09">
            <w:pPr>
              <w:contextualSpacing/>
              <w:rPr>
                <w:rFonts w:cs="Arial"/>
                <w:sz w:val="22"/>
                <w:szCs w:val="22"/>
              </w:rPr>
            </w:pPr>
          </w:p>
          <w:p w14:paraId="05E2B236" w14:textId="77777777" w:rsidR="00766D09" w:rsidRDefault="00766D09" w:rsidP="00766D09">
            <w:pPr>
              <w:contextualSpacing/>
              <w:rPr>
                <w:rFonts w:cs="Arial"/>
                <w:sz w:val="22"/>
                <w:szCs w:val="22"/>
              </w:rPr>
            </w:pPr>
          </w:p>
          <w:p w14:paraId="53361F3C" w14:textId="77777777" w:rsidR="00766D09" w:rsidRDefault="00766D09" w:rsidP="00766D09">
            <w:pPr>
              <w:contextualSpacing/>
              <w:rPr>
                <w:rFonts w:cs="Arial"/>
                <w:sz w:val="22"/>
                <w:szCs w:val="22"/>
              </w:rPr>
            </w:pPr>
          </w:p>
          <w:p w14:paraId="1ABEB822" w14:textId="77777777" w:rsidR="00766D09" w:rsidRDefault="00766D09" w:rsidP="00766D09">
            <w:pPr>
              <w:contextualSpacing/>
              <w:rPr>
                <w:rFonts w:cs="Arial"/>
                <w:sz w:val="22"/>
                <w:szCs w:val="22"/>
              </w:rPr>
            </w:pPr>
          </w:p>
          <w:p w14:paraId="2A618D6E" w14:textId="77777777" w:rsidR="00766D09" w:rsidRDefault="00766D09" w:rsidP="00766D09">
            <w:pPr>
              <w:contextualSpacing/>
              <w:rPr>
                <w:rFonts w:cs="Arial"/>
                <w:sz w:val="22"/>
                <w:szCs w:val="22"/>
              </w:rPr>
            </w:pPr>
          </w:p>
          <w:p w14:paraId="4CD4AF25" w14:textId="77777777" w:rsidR="00766D09" w:rsidRDefault="00766D09" w:rsidP="00766D09">
            <w:pPr>
              <w:contextualSpacing/>
              <w:rPr>
                <w:rFonts w:cs="Arial"/>
                <w:sz w:val="22"/>
                <w:szCs w:val="22"/>
              </w:rPr>
            </w:pPr>
          </w:p>
          <w:p w14:paraId="178F95D4" w14:textId="77777777" w:rsidR="00766D09" w:rsidRDefault="00766D09" w:rsidP="00766D09">
            <w:pPr>
              <w:contextualSpacing/>
              <w:rPr>
                <w:rFonts w:cs="Arial"/>
                <w:sz w:val="22"/>
                <w:szCs w:val="22"/>
              </w:rPr>
            </w:pPr>
          </w:p>
          <w:p w14:paraId="4036040C" w14:textId="77777777" w:rsidR="00766D09" w:rsidRDefault="00766D09" w:rsidP="00766D09">
            <w:pPr>
              <w:contextualSpacing/>
              <w:rPr>
                <w:rFonts w:cs="Arial"/>
                <w:sz w:val="22"/>
                <w:szCs w:val="22"/>
              </w:rPr>
            </w:pPr>
          </w:p>
          <w:p w14:paraId="655651F4" w14:textId="77777777" w:rsidR="00766D09" w:rsidRDefault="00766D09" w:rsidP="00766D09">
            <w:pPr>
              <w:contextualSpacing/>
              <w:rPr>
                <w:rFonts w:cs="Arial"/>
                <w:sz w:val="22"/>
                <w:szCs w:val="22"/>
              </w:rPr>
            </w:pPr>
          </w:p>
          <w:p w14:paraId="0E583937" w14:textId="77777777" w:rsidR="00766D09" w:rsidRDefault="00766D09" w:rsidP="00766D09">
            <w:pPr>
              <w:contextualSpacing/>
              <w:rPr>
                <w:rFonts w:cs="Arial"/>
                <w:sz w:val="22"/>
                <w:szCs w:val="22"/>
              </w:rPr>
            </w:pPr>
          </w:p>
          <w:p w14:paraId="7D773E88" w14:textId="77777777" w:rsidR="00766D09" w:rsidRDefault="00766D09" w:rsidP="00766D09">
            <w:pPr>
              <w:contextualSpacing/>
              <w:rPr>
                <w:rFonts w:cs="Arial"/>
                <w:sz w:val="22"/>
                <w:szCs w:val="22"/>
              </w:rPr>
            </w:pPr>
          </w:p>
          <w:p w14:paraId="349AC541" w14:textId="77777777" w:rsidR="00766D09" w:rsidRDefault="00766D09" w:rsidP="00766D09">
            <w:pPr>
              <w:contextualSpacing/>
              <w:rPr>
                <w:rFonts w:cs="Arial"/>
                <w:sz w:val="22"/>
                <w:szCs w:val="22"/>
              </w:rPr>
            </w:pPr>
          </w:p>
          <w:p w14:paraId="546B8D16" w14:textId="77777777" w:rsidR="00766D09" w:rsidRDefault="00766D09" w:rsidP="00766D09">
            <w:pPr>
              <w:contextualSpacing/>
              <w:rPr>
                <w:rFonts w:cs="Arial"/>
                <w:sz w:val="22"/>
                <w:szCs w:val="22"/>
              </w:rPr>
            </w:pPr>
          </w:p>
          <w:p w14:paraId="3797489D" w14:textId="77777777" w:rsidR="00766D09" w:rsidRDefault="00766D09" w:rsidP="00766D09">
            <w:pPr>
              <w:contextualSpacing/>
              <w:rPr>
                <w:rFonts w:cs="Arial"/>
                <w:sz w:val="22"/>
                <w:szCs w:val="22"/>
              </w:rPr>
            </w:pPr>
          </w:p>
          <w:p w14:paraId="6953050A" w14:textId="77777777" w:rsidR="00766D09" w:rsidRDefault="00766D09" w:rsidP="00766D09">
            <w:pPr>
              <w:contextualSpacing/>
              <w:rPr>
                <w:rFonts w:cs="Arial"/>
                <w:sz w:val="22"/>
                <w:szCs w:val="22"/>
              </w:rPr>
            </w:pPr>
          </w:p>
          <w:p w14:paraId="4BC0EF38" w14:textId="77777777" w:rsidR="00766D09" w:rsidRDefault="00766D09" w:rsidP="00766D09">
            <w:pPr>
              <w:contextualSpacing/>
              <w:rPr>
                <w:rFonts w:cs="Arial"/>
                <w:sz w:val="22"/>
                <w:szCs w:val="22"/>
              </w:rPr>
            </w:pPr>
          </w:p>
          <w:p w14:paraId="5569A42F" w14:textId="77777777" w:rsidR="00766D09" w:rsidRDefault="00766D09" w:rsidP="00766D09">
            <w:pPr>
              <w:contextualSpacing/>
              <w:rPr>
                <w:rFonts w:cs="Arial"/>
                <w:sz w:val="22"/>
                <w:szCs w:val="22"/>
              </w:rPr>
            </w:pPr>
          </w:p>
          <w:p w14:paraId="5166C23C" w14:textId="77777777" w:rsidR="00766D09" w:rsidRDefault="00766D09" w:rsidP="00766D09">
            <w:pPr>
              <w:contextualSpacing/>
              <w:rPr>
                <w:rFonts w:cs="Arial"/>
                <w:sz w:val="22"/>
                <w:szCs w:val="22"/>
              </w:rPr>
            </w:pPr>
          </w:p>
          <w:p w14:paraId="3FA8F376" w14:textId="50CC8713" w:rsidR="00766D09" w:rsidRPr="00C06B6B" w:rsidRDefault="00766D09" w:rsidP="00766D09">
            <w:pPr>
              <w:contextualSpacing/>
              <w:rPr>
                <w:rFonts w:cs="Arial"/>
                <w:sz w:val="22"/>
                <w:szCs w:val="22"/>
              </w:rPr>
            </w:pPr>
            <w:r w:rsidRPr="00C06B6B">
              <w:rPr>
                <w:rFonts w:cs="Arial"/>
                <w:sz w:val="22"/>
                <w:szCs w:val="22"/>
              </w:rPr>
              <w:t>Continued over page</w:t>
            </w:r>
          </w:p>
          <w:p w14:paraId="4F90CF08" w14:textId="77777777" w:rsidR="00766D09" w:rsidRPr="00C06B6B" w:rsidRDefault="00766D09" w:rsidP="00766D09">
            <w:pPr>
              <w:spacing w:before="120" w:after="120"/>
              <w:contextualSpacing/>
              <w:rPr>
                <w:rFonts w:cs="Arial"/>
                <w:b/>
                <w:sz w:val="22"/>
                <w:szCs w:val="22"/>
              </w:rPr>
            </w:pPr>
            <w:r w:rsidRPr="00C06B6B">
              <w:rPr>
                <w:rFonts w:cs="Arial"/>
                <w:b/>
                <w:sz w:val="22"/>
                <w:szCs w:val="22"/>
              </w:rPr>
              <w:lastRenderedPageBreak/>
              <w:t>Cautions, including any relevant action to be taken</w:t>
            </w:r>
          </w:p>
          <w:p w14:paraId="01634598" w14:textId="77777777" w:rsidR="00766D09" w:rsidRPr="00C06B6B" w:rsidRDefault="00766D09" w:rsidP="00766D09">
            <w:pPr>
              <w:spacing w:before="120" w:after="120"/>
              <w:contextualSpacing/>
              <w:rPr>
                <w:rFonts w:cs="Arial"/>
                <w:sz w:val="22"/>
                <w:szCs w:val="22"/>
              </w:rPr>
            </w:pPr>
            <w:r w:rsidRPr="00C06B6B">
              <w:rPr>
                <w:rFonts w:cs="Arial"/>
                <w:sz w:val="22"/>
                <w:szCs w:val="22"/>
              </w:rPr>
              <w:t>(continued)</w:t>
            </w:r>
          </w:p>
          <w:p w14:paraId="19A3E586" w14:textId="77777777" w:rsidR="00766D09" w:rsidRPr="00C06B6B" w:rsidRDefault="00766D09" w:rsidP="0020405B">
            <w:pPr>
              <w:spacing w:before="120" w:after="120"/>
              <w:contextualSpacing/>
              <w:rPr>
                <w:rFonts w:cs="Arial"/>
                <w:sz w:val="22"/>
                <w:szCs w:val="22"/>
              </w:rPr>
            </w:pPr>
          </w:p>
          <w:p w14:paraId="2B4C7F0C" w14:textId="77777777" w:rsidR="00C34E29" w:rsidRPr="00C06B6B" w:rsidRDefault="00C34E29" w:rsidP="00CE0435">
            <w:pPr>
              <w:spacing w:before="120" w:after="120"/>
              <w:contextualSpacing/>
              <w:rPr>
                <w:rFonts w:cs="Arial"/>
                <w:sz w:val="22"/>
                <w:szCs w:val="22"/>
              </w:rPr>
            </w:pPr>
          </w:p>
          <w:p w14:paraId="51822D60" w14:textId="77777777" w:rsidR="00C34E29" w:rsidRPr="00C06B6B" w:rsidRDefault="00C34E29" w:rsidP="00CE0435">
            <w:pPr>
              <w:spacing w:before="120" w:after="120"/>
              <w:contextualSpacing/>
              <w:rPr>
                <w:rFonts w:cs="Arial"/>
                <w:sz w:val="22"/>
                <w:szCs w:val="22"/>
              </w:rPr>
            </w:pPr>
          </w:p>
          <w:p w14:paraId="303A72ED" w14:textId="77777777" w:rsidR="00C34E29" w:rsidRPr="00C06B6B" w:rsidRDefault="00C34E29" w:rsidP="00CE0435">
            <w:pPr>
              <w:spacing w:before="120" w:after="120"/>
              <w:contextualSpacing/>
              <w:rPr>
                <w:rFonts w:cs="Arial"/>
                <w:sz w:val="22"/>
                <w:szCs w:val="22"/>
              </w:rPr>
            </w:pPr>
          </w:p>
          <w:p w14:paraId="1AC8B191" w14:textId="4D76CB71" w:rsidR="00B227F7" w:rsidRPr="00C06B6B" w:rsidRDefault="00B227F7" w:rsidP="00F802AC">
            <w:pPr>
              <w:contextualSpacing/>
              <w:rPr>
                <w:rFonts w:cs="Arial"/>
                <w:sz w:val="22"/>
                <w:szCs w:val="22"/>
              </w:rPr>
            </w:pPr>
          </w:p>
        </w:tc>
        <w:tc>
          <w:tcPr>
            <w:tcW w:w="7345" w:type="dxa"/>
          </w:tcPr>
          <w:p w14:paraId="3AA0310D" w14:textId="774A9BE1" w:rsidR="000E6837" w:rsidRPr="00C06B6B" w:rsidRDefault="00766D09">
            <w:pPr>
              <w:widowControl w:val="0"/>
              <w:overflowPunct/>
              <w:spacing w:before="120" w:after="120"/>
              <w:textAlignment w:val="auto"/>
              <w:rPr>
                <w:rFonts w:eastAsiaTheme="minorHAnsi" w:cs="Arial"/>
                <w:color w:val="000000"/>
                <w:sz w:val="22"/>
                <w:szCs w:val="22"/>
                <w:lang w:eastAsia="en-US"/>
              </w:rPr>
            </w:pPr>
            <w:r w:rsidRPr="00C06B6B">
              <w:rPr>
                <w:rFonts w:eastAsiaTheme="minorHAnsi" w:cs="Arial"/>
                <w:color w:val="000000"/>
                <w:sz w:val="22"/>
                <w:szCs w:val="22"/>
                <w:lang w:eastAsia="en-US"/>
              </w:rPr>
              <w:lastRenderedPageBreak/>
              <w:t>Facilities for management of anaphylaxis should be available at all vaccination sites.</w:t>
            </w:r>
            <w:r>
              <w:rPr>
                <w:rFonts w:eastAsiaTheme="minorHAnsi" w:cs="Arial"/>
                <w:color w:val="000000"/>
                <w:sz w:val="22"/>
                <w:szCs w:val="22"/>
                <w:lang w:eastAsia="en-US"/>
              </w:rPr>
              <w:t xml:space="preserve"> R</w:t>
            </w:r>
            <w:r w:rsidR="00E248F9" w:rsidRPr="00C06B6B">
              <w:rPr>
                <w:rFonts w:eastAsiaTheme="minorHAnsi" w:cs="Arial"/>
                <w:color w:val="000000"/>
                <w:sz w:val="22"/>
                <w:szCs w:val="22"/>
                <w:lang w:eastAsia="en-US"/>
              </w:rPr>
              <w:t xml:space="preserve">ecipients of COVID-19 mRNA vaccine BNT162b2 should </w:t>
            </w:r>
            <w:r w:rsidR="004A1B0E" w:rsidRPr="00C06B6B">
              <w:rPr>
                <w:rFonts w:eastAsiaTheme="minorHAnsi" w:cs="Arial"/>
                <w:color w:val="000000"/>
                <w:sz w:val="22"/>
                <w:szCs w:val="22"/>
                <w:lang w:eastAsia="en-US"/>
              </w:rPr>
              <w:t xml:space="preserve">be </w:t>
            </w:r>
            <w:r w:rsidR="00E248F9" w:rsidRPr="00C06B6B">
              <w:rPr>
                <w:rFonts w:eastAsiaTheme="minorHAnsi" w:cs="Arial"/>
                <w:color w:val="000000"/>
                <w:sz w:val="22"/>
                <w:szCs w:val="22"/>
                <w:lang w:eastAsia="en-US"/>
              </w:rPr>
              <w:t>kept for observation and monitored for a minimum of 15 minutes.</w:t>
            </w:r>
          </w:p>
          <w:p w14:paraId="3EF716C4" w14:textId="7F6BA0E5" w:rsidR="000829FA" w:rsidRPr="00C06B6B" w:rsidRDefault="00EE7DD7">
            <w:pPr>
              <w:widowControl w:val="0"/>
              <w:overflowPunct/>
              <w:spacing w:before="120" w:after="120"/>
              <w:textAlignment w:val="auto"/>
              <w:rPr>
                <w:rFonts w:eastAsiaTheme="minorHAnsi" w:cs="Arial"/>
                <w:color w:val="000000"/>
                <w:sz w:val="22"/>
                <w:szCs w:val="22"/>
                <w:lang w:eastAsia="en-US"/>
              </w:rPr>
            </w:pPr>
            <w:r w:rsidRPr="00C06B6B">
              <w:rPr>
                <w:rFonts w:eastAsiaTheme="minorHAnsi" w:cs="Arial"/>
                <w:color w:val="000000"/>
                <w:sz w:val="22"/>
                <w:szCs w:val="22"/>
                <w:lang w:eastAsia="en-US"/>
              </w:rPr>
              <w:t xml:space="preserve">Where individuals experienced a possible </w:t>
            </w:r>
            <w:r w:rsidR="00B20002" w:rsidRPr="00C06B6B">
              <w:rPr>
                <w:rFonts w:eastAsiaTheme="minorHAnsi" w:cs="Arial"/>
                <w:color w:val="000000"/>
                <w:sz w:val="22"/>
                <w:szCs w:val="22"/>
                <w:lang w:eastAsia="en-US"/>
              </w:rPr>
              <w:t xml:space="preserve">allergic </w:t>
            </w:r>
            <w:r w:rsidRPr="00C06B6B">
              <w:rPr>
                <w:rFonts w:eastAsiaTheme="minorHAnsi" w:cs="Arial"/>
                <w:color w:val="000000"/>
                <w:sz w:val="22"/>
                <w:szCs w:val="22"/>
                <w:lang w:eastAsia="en-US"/>
              </w:rPr>
              <w:t xml:space="preserve">reaction to a dose of COVID-19 vaccine follow the guidance in </w:t>
            </w:r>
            <w:hyperlink r:id="rId43" w:history="1">
              <w:r w:rsidR="003B2F58" w:rsidRPr="006B74CD">
                <w:rPr>
                  <w:rStyle w:val="Hyperlink"/>
                  <w:rFonts w:cs="Arial"/>
                  <w:sz w:val="22"/>
                  <w:szCs w:val="22"/>
                </w:rPr>
                <w:t>Chapter 14a</w:t>
              </w:r>
            </w:hyperlink>
            <w:r w:rsidRPr="00C06B6B">
              <w:rPr>
                <w:rFonts w:eastAsiaTheme="minorHAnsi" w:cs="Arial"/>
                <w:color w:val="000000"/>
                <w:sz w:val="22"/>
                <w:szCs w:val="22"/>
                <w:lang w:eastAsia="en-US"/>
              </w:rPr>
              <w:t xml:space="preserve"> of the Green Book </w:t>
            </w:r>
            <w:r w:rsidRPr="00C06B6B">
              <w:rPr>
                <w:rFonts w:eastAsiaTheme="minorHAnsi" w:cs="Arial"/>
                <w:color w:val="000000"/>
                <w:sz w:val="22"/>
                <w:szCs w:val="22"/>
                <w:lang w:eastAsia="en-US"/>
              </w:rPr>
              <w:lastRenderedPageBreak/>
              <w:t xml:space="preserve">in relation to the administration of subsequent doses. </w:t>
            </w:r>
          </w:p>
          <w:p w14:paraId="5A85C166" w14:textId="1521934B" w:rsidR="0064161B" w:rsidRPr="00C06B6B" w:rsidRDefault="000829FA">
            <w:pPr>
              <w:widowControl w:val="0"/>
              <w:overflowPunct/>
              <w:spacing w:before="120" w:after="120"/>
              <w:textAlignment w:val="auto"/>
              <w:rPr>
                <w:rFonts w:eastAsiaTheme="minorHAnsi" w:cs="Arial"/>
                <w:color w:val="000000"/>
                <w:sz w:val="22"/>
                <w:szCs w:val="22"/>
                <w:lang w:eastAsia="en-US"/>
              </w:rPr>
            </w:pPr>
            <w:r w:rsidRPr="00C06B6B">
              <w:rPr>
                <w:rFonts w:eastAsiaTheme="minorHAnsi" w:cs="Arial"/>
                <w:color w:val="000000"/>
                <w:sz w:val="22"/>
                <w:szCs w:val="22"/>
                <w:lang w:eastAsia="en-US"/>
              </w:rPr>
              <w:t xml:space="preserve">Individuals with non-allergic reactions (vasovagal episodes, non-urticarial skin reaction or non-specific symptoms) to a COVID-19 vaccine can receive </w:t>
            </w:r>
            <w:r w:rsidR="006701FE">
              <w:rPr>
                <w:rFonts w:eastAsiaTheme="minorHAnsi" w:cs="Arial"/>
                <w:color w:val="000000"/>
                <w:sz w:val="22"/>
                <w:szCs w:val="22"/>
                <w:lang w:eastAsia="en-US"/>
              </w:rPr>
              <w:t>subsequent</w:t>
            </w:r>
            <w:r w:rsidRPr="00C06B6B">
              <w:rPr>
                <w:rFonts w:eastAsiaTheme="minorHAnsi" w:cs="Arial"/>
                <w:color w:val="000000"/>
                <w:sz w:val="22"/>
                <w:szCs w:val="22"/>
                <w:lang w:eastAsia="en-US"/>
              </w:rPr>
              <w:t xml:space="preserve"> dose</w:t>
            </w:r>
            <w:r w:rsidR="006701FE">
              <w:rPr>
                <w:rFonts w:eastAsiaTheme="minorHAnsi" w:cs="Arial"/>
                <w:color w:val="000000"/>
                <w:sz w:val="22"/>
                <w:szCs w:val="22"/>
                <w:lang w:eastAsia="en-US"/>
              </w:rPr>
              <w:t>s</w:t>
            </w:r>
            <w:r w:rsidRPr="00C06B6B">
              <w:rPr>
                <w:rFonts w:eastAsiaTheme="minorHAnsi" w:cs="Arial"/>
                <w:color w:val="000000"/>
                <w:sz w:val="22"/>
                <w:szCs w:val="22"/>
                <w:lang w:eastAsia="en-US"/>
              </w:rPr>
              <w:t xml:space="preserve"> of vaccine in any vaccination setting.</w:t>
            </w:r>
          </w:p>
          <w:p w14:paraId="738703E5" w14:textId="714D8916" w:rsidR="00FE5ADA" w:rsidRPr="00C06B6B" w:rsidRDefault="00E25E68">
            <w:pPr>
              <w:widowControl w:val="0"/>
              <w:overflowPunct/>
              <w:spacing w:before="120" w:after="120"/>
              <w:textAlignment w:val="auto"/>
              <w:rPr>
                <w:rFonts w:cs="Arial"/>
                <w:sz w:val="22"/>
                <w:szCs w:val="22"/>
                <w:lang w:val="en"/>
              </w:rPr>
            </w:pPr>
            <w:r w:rsidRPr="00C06B6B">
              <w:rPr>
                <w:rFonts w:cs="Arial"/>
                <w:sz w:val="22"/>
                <w:szCs w:val="22"/>
              </w:rPr>
              <w:t xml:space="preserve">Syncope (fainting) </w:t>
            </w:r>
            <w:r w:rsidRPr="00C06B6B">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371C51FD" w14:textId="78A7FC52" w:rsidR="00257D08" w:rsidRDefault="00C47B19" w:rsidP="004E7320">
            <w:pPr>
              <w:widowControl w:val="0"/>
              <w:overflowPunct/>
              <w:spacing w:before="120" w:after="120"/>
              <w:textAlignment w:val="auto"/>
              <w:rPr>
                <w:rFonts w:cs="Arial"/>
                <w:sz w:val="22"/>
                <w:szCs w:val="22"/>
              </w:rPr>
            </w:pPr>
            <w:bookmarkStart w:id="17" w:name="CautionPregnancy"/>
            <w:bookmarkEnd w:id="17"/>
            <w:r w:rsidRPr="00C06B6B">
              <w:rPr>
                <w:rFonts w:cs="Arial"/>
                <w:sz w:val="22"/>
                <w:szCs w:val="22"/>
                <w:lang w:val="en-US"/>
              </w:rPr>
              <w:t xml:space="preserve">Individuals with a bleeding disorder may develop a haematoma at the injection site. </w:t>
            </w:r>
            <w:bookmarkStart w:id="18" w:name="_Hlk62739333"/>
            <w:r w:rsidRPr="00C06B6B">
              <w:rPr>
                <w:rFonts w:cs="Arial"/>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w:t>
            </w:r>
            <w:bookmarkStart w:id="19" w:name="_Hlk63345668"/>
            <w:r w:rsidRPr="00C06B6B">
              <w:rPr>
                <w:rFonts w:cs="Arial"/>
                <w:sz w:val="22"/>
                <w:szCs w:val="22"/>
              </w:rPr>
              <w:t xml:space="preserve">If in any doubt, consult with the clinician responsible for prescribing or monitoring the individual’s anticoagulant therapy. </w:t>
            </w:r>
            <w:bookmarkEnd w:id="19"/>
            <w:r w:rsidRPr="00C06B6B">
              <w:rPr>
                <w:rFonts w:cs="Arial"/>
                <w:sz w:val="22"/>
                <w:szCs w:val="22"/>
              </w:rPr>
              <w:t>The individual/</w:t>
            </w:r>
            <w:r w:rsidR="00AF6C7C">
              <w:rPr>
                <w:rFonts w:cs="Arial"/>
                <w:sz w:val="22"/>
                <w:szCs w:val="22"/>
              </w:rPr>
              <w:t>parent/</w:t>
            </w:r>
            <w:r w:rsidRPr="00C06B6B">
              <w:rPr>
                <w:rFonts w:cs="Arial"/>
                <w:sz w:val="22"/>
                <w:szCs w:val="22"/>
              </w:rPr>
              <w:t xml:space="preserve">carer should be informed about the risk of haematoma from the injection.  </w:t>
            </w:r>
          </w:p>
          <w:bookmarkEnd w:id="18"/>
          <w:p w14:paraId="149C2016" w14:textId="5B2E918D" w:rsidR="00EB5551" w:rsidRPr="00766D09" w:rsidRDefault="00EB5551" w:rsidP="005029D4">
            <w:pPr>
              <w:pStyle w:val="CommentText"/>
              <w:rPr>
                <w:sz w:val="22"/>
                <w:szCs w:val="22"/>
              </w:rPr>
            </w:pPr>
            <w:r w:rsidRPr="00EB5551">
              <w:rPr>
                <w:rFonts w:cs="Arial"/>
                <w:sz w:val="22"/>
                <w:szCs w:val="22"/>
              </w:rPr>
              <w:t xml:space="preserve">Very rare reports have </w:t>
            </w:r>
            <w:r w:rsidRPr="00B56DB5">
              <w:rPr>
                <w:rFonts w:cs="Arial"/>
                <w:sz w:val="22"/>
                <w:szCs w:val="22"/>
              </w:rPr>
              <w:t xml:space="preserve">been received of </w:t>
            </w:r>
            <w:r w:rsidR="00143CB9" w:rsidRPr="000028EA">
              <w:rPr>
                <w:color w:val="000000"/>
                <w:sz w:val="22"/>
                <w:szCs w:val="22"/>
              </w:rPr>
              <w:t>Guillain-Barre Syndrome (</w:t>
            </w:r>
            <w:r w:rsidRPr="00B56DB5">
              <w:rPr>
                <w:rFonts w:cs="Arial"/>
                <w:sz w:val="22"/>
                <w:szCs w:val="22"/>
              </w:rPr>
              <w:t>GBS</w:t>
            </w:r>
            <w:r w:rsidR="00143CB9" w:rsidRPr="00B56DB5">
              <w:rPr>
                <w:rFonts w:cs="Arial"/>
                <w:sz w:val="22"/>
                <w:szCs w:val="22"/>
              </w:rPr>
              <w:t>)</w:t>
            </w:r>
            <w:r w:rsidRPr="00B56DB5">
              <w:rPr>
                <w:rFonts w:cs="Arial"/>
                <w:sz w:val="22"/>
                <w:szCs w:val="22"/>
              </w:rPr>
              <w:t xml:space="preserve"> following COVID-19 v</w:t>
            </w:r>
            <w:r w:rsidRPr="00EB5551">
              <w:rPr>
                <w:rFonts w:cs="Arial"/>
                <w:sz w:val="22"/>
                <w:szCs w:val="22"/>
              </w:rPr>
              <w:t>accination</w:t>
            </w:r>
            <w:r>
              <w:rPr>
                <w:rFonts w:cs="Arial"/>
                <w:sz w:val="22"/>
                <w:szCs w:val="22"/>
              </w:rPr>
              <w:t xml:space="preserve"> (further information is available in </w:t>
            </w:r>
            <w:hyperlink r:id="rId44" w:history="1">
              <w:r w:rsidR="00AD353B" w:rsidRPr="006B74CD">
                <w:rPr>
                  <w:rStyle w:val="Hyperlink"/>
                  <w:rFonts w:cs="Arial"/>
                  <w:sz w:val="22"/>
                  <w:szCs w:val="22"/>
                </w:rPr>
                <w:t>Chapter 14a</w:t>
              </w:r>
            </w:hyperlink>
            <w:r>
              <w:rPr>
                <w:rFonts w:cs="Arial"/>
                <w:sz w:val="22"/>
                <w:szCs w:val="22"/>
              </w:rPr>
              <w:t>). H</w:t>
            </w:r>
            <w:r w:rsidRPr="00EB5551">
              <w:rPr>
                <w:rFonts w:cs="Arial"/>
                <w:sz w:val="22"/>
                <w:szCs w:val="22"/>
              </w:rPr>
              <w:t xml:space="preserve">ealthcare professionals should be alert to the signs and symptoms of GBS to ensure correct diagnosis and to rule out other causes, in order to initiate adequate supportive care and treatment. Individuals who have a history of GBS should be vaccinated as recommended for their age and underlying risk status. </w:t>
            </w:r>
            <w:r w:rsidR="00766D09" w:rsidRPr="00DA4B07">
              <w:rPr>
                <w:rFonts w:cs="Frutiger 45 Light"/>
                <w:color w:val="000000"/>
                <w:sz w:val="22"/>
                <w:szCs w:val="22"/>
              </w:rPr>
              <w:t>In those who are diagnosed with GBS after the first dose of vaccine, the balance of risk benefit is in favour of completing a full COVID-19 vaccination schedule.  On a precautionary basis, however, where GBS occurs within six weeks of an Astra Zeneca vaccine, for any future doses Pfizer or Moderna COVID-19 vaccines are preferred. Where GBS occurs following either of the mRNA vaccines, further vaccination can proceed as normal, once recovered.</w:t>
            </w:r>
          </w:p>
          <w:p w14:paraId="7A70049C" w14:textId="048E605C" w:rsidR="00E25E68" w:rsidRPr="00C06B6B" w:rsidRDefault="00E25E68" w:rsidP="00766D09">
            <w:pPr>
              <w:spacing w:before="120" w:after="120"/>
              <w:rPr>
                <w:rFonts w:eastAsiaTheme="minorHAnsi" w:cs="Arial"/>
                <w:b/>
                <w:sz w:val="22"/>
                <w:szCs w:val="22"/>
                <w:lang w:eastAsia="en-US"/>
              </w:rPr>
            </w:pPr>
            <w:bookmarkStart w:id="20" w:name="CautionsHistoryOfInfection"/>
            <w:bookmarkEnd w:id="20"/>
            <w:r w:rsidRPr="00C06B6B">
              <w:rPr>
                <w:rFonts w:eastAsiaTheme="minorHAnsi" w:cs="Arial"/>
                <w:b/>
                <w:sz w:val="22"/>
                <w:szCs w:val="22"/>
                <w:lang w:eastAsia="en-US"/>
              </w:rPr>
              <w:t>Past history of COVID-19 infection</w:t>
            </w:r>
          </w:p>
          <w:p w14:paraId="366DDE77" w14:textId="6D94719C" w:rsidR="00E25E68" w:rsidRPr="00C06B6B" w:rsidRDefault="00E25E68">
            <w:pPr>
              <w:spacing w:before="120" w:after="120"/>
              <w:rPr>
                <w:rFonts w:eastAsiaTheme="minorHAnsi" w:cs="Arial"/>
                <w:sz w:val="22"/>
                <w:szCs w:val="22"/>
                <w:lang w:eastAsia="en-US"/>
              </w:rPr>
            </w:pPr>
            <w:r w:rsidRPr="00C06B6B">
              <w:rPr>
                <w:rFonts w:eastAsiaTheme="minorHAnsi" w:cs="Arial"/>
                <w:sz w:val="22"/>
                <w:szCs w:val="22"/>
                <w:lang w:eastAsia="en-US"/>
              </w:rPr>
              <w:t xml:space="preserve">There is no </w:t>
            </w:r>
            <w:r w:rsidR="00766D09">
              <w:rPr>
                <w:rFonts w:eastAsiaTheme="minorHAnsi" w:cs="Arial"/>
                <w:sz w:val="22"/>
                <w:szCs w:val="22"/>
                <w:lang w:eastAsia="en-US"/>
              </w:rPr>
              <w:t xml:space="preserve">convincing </w:t>
            </w:r>
            <w:r w:rsidRPr="00C06B6B">
              <w:rPr>
                <w:rFonts w:eastAsiaTheme="minorHAnsi" w:cs="Arial"/>
                <w:sz w:val="22"/>
                <w:szCs w:val="22"/>
                <w:lang w:eastAsia="en-US"/>
              </w:rPr>
              <w:t>evidence of any safety concerns from vaccinating individuals with a past histor</w:t>
            </w:r>
            <w:r w:rsidR="005E2BC3" w:rsidRPr="00C06B6B">
              <w:rPr>
                <w:rFonts w:eastAsiaTheme="minorHAnsi" w:cs="Arial"/>
                <w:sz w:val="22"/>
                <w:szCs w:val="22"/>
                <w:lang w:eastAsia="en-US"/>
              </w:rPr>
              <w:t>y</w:t>
            </w:r>
            <w:r w:rsidRPr="00C06B6B">
              <w:rPr>
                <w:rFonts w:eastAsiaTheme="minorHAnsi" w:cs="Arial"/>
                <w:sz w:val="22"/>
                <w:szCs w:val="22"/>
                <w:lang w:eastAsia="en-US"/>
              </w:rPr>
              <w:t xml:space="preserve"> of COVID-19 infection, or with detectable COVID-19 antibody. </w:t>
            </w:r>
          </w:p>
          <w:p w14:paraId="2FFC5692" w14:textId="1795C2EE" w:rsidR="00E25E68" w:rsidRPr="00C06B6B" w:rsidRDefault="00E25E68">
            <w:pPr>
              <w:spacing w:before="120" w:after="120"/>
              <w:rPr>
                <w:rFonts w:eastAsiaTheme="minorHAnsi" w:cs="Arial"/>
                <w:sz w:val="22"/>
                <w:szCs w:val="22"/>
                <w:lang w:eastAsia="en-US"/>
              </w:rPr>
            </w:pPr>
            <w:r w:rsidRPr="00C06B6B">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confusing the differential diagnosis. As clinical deterioration can occur up to two weeks after infection, vaccination </w:t>
            </w:r>
            <w:r w:rsidR="001D0245">
              <w:rPr>
                <w:rFonts w:eastAsiaTheme="minorHAnsi" w:cs="Arial"/>
                <w:sz w:val="22"/>
                <w:szCs w:val="22"/>
                <w:lang w:eastAsia="en-US"/>
              </w:rPr>
              <w:t xml:space="preserve">of adults and high risk children </w:t>
            </w:r>
            <w:r w:rsidRPr="00C06B6B">
              <w:rPr>
                <w:rFonts w:eastAsiaTheme="minorHAnsi" w:cs="Arial"/>
                <w:sz w:val="22"/>
                <w:szCs w:val="22"/>
                <w:lang w:eastAsia="en-US"/>
              </w:rPr>
              <w:t xml:space="preserve">should be deferred until clinical recovery </w:t>
            </w:r>
            <w:r w:rsidR="00285873" w:rsidRPr="00C06B6B">
              <w:rPr>
                <w:rFonts w:eastAsiaTheme="minorHAnsi" w:cs="Arial"/>
                <w:sz w:val="22"/>
                <w:szCs w:val="22"/>
                <w:lang w:eastAsia="en-US"/>
              </w:rPr>
              <w:t>to around</w:t>
            </w:r>
            <w:r w:rsidRPr="00C06B6B">
              <w:rPr>
                <w:rFonts w:eastAsiaTheme="minorHAnsi" w:cs="Arial"/>
                <w:sz w:val="22"/>
                <w:szCs w:val="22"/>
                <w:lang w:eastAsia="en-US"/>
              </w:rPr>
              <w:t xml:space="preserve"> four weeks after onset of symptoms or four weeks from the first </w:t>
            </w:r>
            <w:r w:rsidR="00285873" w:rsidRPr="00C06B6B">
              <w:rPr>
                <w:rFonts w:eastAsiaTheme="minorHAnsi" w:cs="Arial"/>
                <w:sz w:val="22"/>
                <w:szCs w:val="22"/>
                <w:lang w:eastAsia="en-US"/>
              </w:rPr>
              <w:t xml:space="preserve">confirmed </w:t>
            </w:r>
            <w:r w:rsidRPr="00C06B6B">
              <w:rPr>
                <w:rFonts w:eastAsiaTheme="minorHAnsi" w:cs="Arial"/>
                <w:sz w:val="22"/>
                <w:szCs w:val="22"/>
                <w:lang w:eastAsia="en-US"/>
              </w:rPr>
              <w:t xml:space="preserve">positive specimen in those who are asymptomatic. </w:t>
            </w:r>
            <w:r w:rsidR="00766D09" w:rsidRPr="00DA4B07">
              <w:rPr>
                <w:rFonts w:eastAsiaTheme="minorHAnsi" w:cs="Arial"/>
                <w:color w:val="000000"/>
                <w:sz w:val="22"/>
                <w:szCs w:val="22"/>
                <w:lang w:eastAsia="en-US"/>
              </w:rPr>
              <w:t>In younger people, protection from natural infection is likely to be high for a period of months, and vaccination in those recently infected may increase the chance of side effects. Therefore</w:t>
            </w:r>
            <w:r w:rsidR="00766D09">
              <w:rPr>
                <w:rFonts w:eastAsiaTheme="minorHAnsi" w:cs="Arial"/>
                <w:color w:val="000000"/>
                <w:sz w:val="22"/>
                <w:szCs w:val="22"/>
                <w:lang w:eastAsia="en-US"/>
              </w:rPr>
              <w:t>,</w:t>
            </w:r>
            <w:r w:rsidR="00766D09" w:rsidRPr="00DA4B07">
              <w:rPr>
                <w:rFonts w:eastAsiaTheme="minorHAnsi" w:cs="Arial"/>
                <w:color w:val="000000"/>
                <w:sz w:val="22"/>
                <w:szCs w:val="22"/>
                <w:lang w:eastAsia="en-US"/>
              </w:rPr>
              <w:t xml:space="preserve"> vaccination should ideally be deferred till at least twelve weeks from onset (or sample date) in children and </w:t>
            </w:r>
            <w:r w:rsidR="00766D09" w:rsidRPr="00DA4B07">
              <w:rPr>
                <w:rFonts w:eastAsiaTheme="minorHAnsi" w:cs="Arial"/>
                <w:color w:val="000000"/>
                <w:sz w:val="22"/>
                <w:szCs w:val="22"/>
                <w:lang w:eastAsia="en-US"/>
              </w:rPr>
              <w:lastRenderedPageBreak/>
              <w:t xml:space="preserve">young people under 18 years who </w:t>
            </w:r>
            <w:r w:rsidR="00766D09" w:rsidRPr="008F6527">
              <w:rPr>
                <w:rFonts w:eastAsiaTheme="minorHAnsi" w:cs="Arial"/>
                <w:color w:val="000000"/>
                <w:sz w:val="22"/>
                <w:szCs w:val="22"/>
                <w:lang w:eastAsia="en-US"/>
              </w:rPr>
              <w:t xml:space="preserve">are not in </w:t>
            </w:r>
            <w:r w:rsidR="001D0245">
              <w:rPr>
                <w:rFonts w:eastAsiaTheme="minorHAnsi" w:cs="Arial"/>
                <w:color w:val="000000"/>
                <w:sz w:val="22"/>
                <w:szCs w:val="22"/>
                <w:lang w:eastAsia="en-US"/>
              </w:rPr>
              <w:t xml:space="preserve">high </w:t>
            </w:r>
            <w:r w:rsidR="00766D09" w:rsidRPr="008F6527">
              <w:rPr>
                <w:rFonts w:eastAsiaTheme="minorHAnsi" w:cs="Arial"/>
                <w:color w:val="000000"/>
                <w:sz w:val="22"/>
                <w:szCs w:val="22"/>
                <w:lang w:eastAsia="en-US"/>
              </w:rPr>
              <w:t>risk groups</w:t>
            </w:r>
            <w:r w:rsidR="00282B5B">
              <w:rPr>
                <w:rFonts w:eastAsiaTheme="minorHAnsi" w:cs="Arial"/>
                <w:color w:val="000000"/>
                <w:sz w:val="22"/>
                <w:szCs w:val="22"/>
                <w:lang w:eastAsia="en-US"/>
              </w:rPr>
              <w:t xml:space="preserve"> (see the </w:t>
            </w:r>
            <w:hyperlink w:anchor="DoseAndFrequencyOfAdministration" w:history="1">
              <w:r w:rsidR="00282B5B" w:rsidRPr="00282B5B">
                <w:rPr>
                  <w:rStyle w:val="Hyperlink"/>
                  <w:rFonts w:eastAsiaTheme="minorHAnsi" w:cs="Arial"/>
                  <w:sz w:val="22"/>
                  <w:szCs w:val="22"/>
                  <w:lang w:eastAsia="en-US"/>
                </w:rPr>
                <w:t>Dose and frequency of administration</w:t>
              </w:r>
            </w:hyperlink>
            <w:r w:rsidR="00282B5B">
              <w:rPr>
                <w:rFonts w:eastAsiaTheme="minorHAnsi" w:cs="Arial"/>
                <w:color w:val="000000"/>
                <w:sz w:val="22"/>
                <w:szCs w:val="22"/>
                <w:lang w:eastAsia="en-US"/>
              </w:rPr>
              <w:t xml:space="preserve"> section)</w:t>
            </w:r>
            <w:r w:rsidR="00766D09" w:rsidRPr="008F6527">
              <w:rPr>
                <w:rFonts w:eastAsiaTheme="minorHAnsi" w:cs="Arial"/>
                <w:color w:val="000000"/>
                <w:sz w:val="22"/>
                <w:szCs w:val="22"/>
                <w:lang w:eastAsia="en-US"/>
              </w:rPr>
              <w:t xml:space="preserve">. This includes children and young people who developed </w:t>
            </w:r>
            <w:r w:rsidR="00766D09" w:rsidRPr="00766E35">
              <w:rPr>
                <w:rFonts w:cs="Frutiger 45 Light"/>
                <w:color w:val="000000"/>
                <w:sz w:val="22"/>
                <w:szCs w:val="22"/>
              </w:rPr>
              <w:t>Paediatric multisystem inflammatory syndrome temporally associated with SARS-CoV-2 infection</w:t>
            </w:r>
            <w:r w:rsidR="00766D09" w:rsidRPr="008F6527">
              <w:rPr>
                <w:rFonts w:eastAsiaTheme="minorHAnsi" w:cs="Arial"/>
                <w:color w:val="000000"/>
                <w:sz w:val="22"/>
                <w:szCs w:val="22"/>
                <w:lang w:eastAsia="en-US"/>
              </w:rPr>
              <w:t xml:space="preserve"> (PIMS</w:t>
            </w:r>
            <w:r w:rsidR="00766D09" w:rsidRPr="006E0453">
              <w:rPr>
                <w:rFonts w:eastAsiaTheme="minorHAnsi" w:cs="Arial"/>
                <w:color w:val="000000"/>
                <w:sz w:val="22"/>
                <w:szCs w:val="22"/>
                <w:lang w:eastAsia="en-US"/>
              </w:rPr>
              <w:t>-TS)</w:t>
            </w:r>
            <w:r w:rsidR="00766D09" w:rsidRPr="004870FE">
              <w:rPr>
                <w:rFonts w:eastAsiaTheme="minorHAnsi" w:cs="Arial"/>
                <w:color w:val="000000"/>
                <w:sz w:val="22"/>
                <w:szCs w:val="22"/>
                <w:lang w:eastAsia="en-US"/>
              </w:rPr>
              <w:t xml:space="preserve"> and then become eligible for vaccination. Current advice in PIMS-TS cases</w:t>
            </w:r>
            <w:r w:rsidR="00766D09" w:rsidRPr="00DA4B07">
              <w:rPr>
                <w:rFonts w:eastAsiaTheme="minorHAnsi" w:cs="Arial"/>
                <w:color w:val="000000"/>
                <w:sz w:val="22"/>
                <w:szCs w:val="22"/>
                <w:lang w:eastAsia="en-US"/>
              </w:rPr>
              <w:t xml:space="preserve"> suggests that an interval of 12 weeks should be observed, although earlier administration can be considered in those at risk of infection and/or who are fully recovered.</w:t>
            </w:r>
            <w:r w:rsidR="001D0245">
              <w:rPr>
                <w:rFonts w:eastAsiaTheme="minorHAnsi" w:cs="Arial"/>
                <w:color w:val="000000"/>
                <w:sz w:val="22"/>
                <w:szCs w:val="22"/>
                <w:lang w:eastAsia="en-US"/>
              </w:rPr>
              <w:t xml:space="preserve"> Such earlier vaccination should be on a patient specific basis and is not covered by this PGD.</w:t>
            </w:r>
          </w:p>
          <w:p w14:paraId="109C3488" w14:textId="76D3F03A" w:rsidR="00B227F7" w:rsidRPr="006B74CD" w:rsidRDefault="0086672D">
            <w:pPr>
              <w:pStyle w:val="CommentText"/>
              <w:spacing w:before="120" w:after="120"/>
              <w:rPr>
                <w:rFonts w:cs="Arial"/>
                <w:sz w:val="22"/>
                <w:szCs w:val="22"/>
              </w:rPr>
            </w:pPr>
            <w:r w:rsidRPr="006B74CD">
              <w:rPr>
                <w:rFonts w:cs="Arial"/>
                <w:sz w:val="22"/>
                <w:szCs w:val="22"/>
              </w:rPr>
              <w:t xml:space="preserve">Having prolonged COVID-19 symptoms is not a contraindication to receiving COVID-19 vaccine but </w:t>
            </w:r>
            <w:r w:rsidR="008D3726" w:rsidRPr="006B74CD">
              <w:rPr>
                <w:rFonts w:cs="Arial"/>
                <w:sz w:val="22"/>
                <w:szCs w:val="22"/>
              </w:rPr>
              <w:t xml:space="preserve">if the </w:t>
            </w:r>
            <w:r w:rsidR="00F42F83" w:rsidRPr="006B74CD">
              <w:rPr>
                <w:rFonts w:cs="Arial"/>
                <w:sz w:val="22"/>
                <w:szCs w:val="22"/>
              </w:rPr>
              <w:t>individual</w:t>
            </w:r>
            <w:r w:rsidR="008D3726" w:rsidRPr="006B74CD">
              <w:rPr>
                <w:rFonts w:cs="Arial"/>
                <w:sz w:val="22"/>
                <w:szCs w:val="22"/>
              </w:rPr>
              <w:t xml:space="preserve"> is seriously debilitated, still under active investigation, or has evidence of recent deterioration,</w:t>
            </w:r>
            <w:r w:rsidRPr="006B74CD">
              <w:rPr>
                <w:rFonts w:cs="Arial"/>
                <w:sz w:val="22"/>
                <w:szCs w:val="22"/>
              </w:rPr>
              <w:t xml:space="preserve"> deferral of vaccination may be considered to avoid incorrect attribution of any change in the person’s underlying condition to the vaccine.</w:t>
            </w:r>
          </w:p>
          <w:p w14:paraId="6116D728" w14:textId="3970FF33" w:rsidR="00383FCA" w:rsidRPr="006B74CD" w:rsidRDefault="00383FCA">
            <w:pPr>
              <w:overflowPunct/>
              <w:spacing w:before="120" w:after="120"/>
              <w:textAlignment w:val="auto"/>
              <w:rPr>
                <w:rFonts w:cs="Arial"/>
                <w:b/>
                <w:sz w:val="22"/>
                <w:szCs w:val="22"/>
              </w:rPr>
            </w:pPr>
            <w:bookmarkStart w:id="21" w:name="VaccineSurveillance"/>
            <w:bookmarkEnd w:id="21"/>
            <w:r w:rsidRPr="006B74CD">
              <w:rPr>
                <w:rFonts w:cs="Arial"/>
                <w:b/>
                <w:sz w:val="22"/>
                <w:szCs w:val="22"/>
              </w:rPr>
              <w:t>Vaccine Surveillance</w:t>
            </w:r>
          </w:p>
          <w:p w14:paraId="352E11FB" w14:textId="0DB9D673" w:rsidR="00743FC8" w:rsidRPr="006B74CD" w:rsidRDefault="00383FCA" w:rsidP="000028EA">
            <w:pPr>
              <w:overflowPunct/>
              <w:spacing w:before="120" w:after="120"/>
              <w:textAlignment w:val="auto"/>
              <w:rPr>
                <w:rFonts w:cs="Arial"/>
                <w:sz w:val="22"/>
                <w:szCs w:val="22"/>
                <w:highlight w:val="yellow"/>
              </w:rPr>
            </w:pPr>
            <w:r w:rsidRPr="006B74CD">
              <w:rPr>
                <w:rFonts w:cs="Arial"/>
                <w:sz w:val="22"/>
                <w:szCs w:val="22"/>
              </w:rPr>
              <w:t xml:space="preserve">The UK regulator will maintain real-time surveillance post deployment of COVID-19 vaccines in the UK. In response to any safety signals, </w:t>
            </w:r>
            <w:r w:rsidR="00766D09" w:rsidRPr="0090432E">
              <w:rPr>
                <w:rFonts w:eastAsia="Arial" w:cs="Arial"/>
                <w:sz w:val="22"/>
                <w:szCs w:val="22"/>
              </w:rPr>
              <w:t>the Medicines and Healthcare products Regulatory Agency</w:t>
            </w:r>
            <w:r w:rsidR="00766D09" w:rsidRPr="00AB1170">
              <w:rPr>
                <w:rFonts w:cs="Arial"/>
                <w:sz w:val="22"/>
                <w:szCs w:val="22"/>
              </w:rPr>
              <w:t xml:space="preserve"> </w:t>
            </w:r>
            <w:r w:rsidR="00766D09">
              <w:rPr>
                <w:rFonts w:cs="Arial"/>
                <w:sz w:val="22"/>
                <w:szCs w:val="22"/>
              </w:rPr>
              <w:t>(</w:t>
            </w:r>
            <w:r w:rsidRPr="006B74CD">
              <w:rPr>
                <w:rFonts w:cs="Arial"/>
                <w:sz w:val="22"/>
                <w:szCs w:val="22"/>
              </w:rPr>
              <w:t>MHRA</w:t>
            </w:r>
            <w:r w:rsidR="00766D09">
              <w:rPr>
                <w:rFonts w:cs="Arial"/>
                <w:sz w:val="22"/>
                <w:szCs w:val="22"/>
              </w:rPr>
              <w:t>)</w:t>
            </w:r>
            <w:r w:rsidRPr="006B74CD">
              <w:rPr>
                <w:rFonts w:cs="Arial"/>
                <w:sz w:val="22"/>
                <w:szCs w:val="22"/>
              </w:rPr>
              <w:t xml:space="preserve"> may provide temporary advice or make substantive amendments to the authorised conditions of the vaccine product’s supply in the UK. </w:t>
            </w:r>
            <w:r w:rsidR="00BA68F9" w:rsidRPr="006B74CD">
              <w:rPr>
                <w:rFonts w:cs="Arial"/>
                <w:sz w:val="22"/>
                <w:szCs w:val="22"/>
              </w:rPr>
              <w:t>Administration</w:t>
            </w:r>
            <w:r w:rsidRPr="006B74CD">
              <w:rPr>
                <w:rFonts w:cs="Arial"/>
                <w:sz w:val="22"/>
                <w:szCs w:val="22"/>
              </w:rPr>
              <w:t xml:space="preserve"> under this PGD must be in accordance with </w:t>
            </w:r>
            <w:r w:rsidR="008075C8" w:rsidRPr="006B74CD">
              <w:rPr>
                <w:rFonts w:cs="Arial"/>
                <w:sz w:val="22"/>
                <w:szCs w:val="22"/>
              </w:rPr>
              <w:t xml:space="preserve">the most up-to-date </w:t>
            </w:r>
            <w:r w:rsidR="00C34E29" w:rsidRPr="006B74CD">
              <w:rPr>
                <w:rFonts w:cs="Arial"/>
                <w:sz w:val="22"/>
                <w:szCs w:val="22"/>
              </w:rPr>
              <w:t xml:space="preserve">advice or </w:t>
            </w:r>
            <w:r w:rsidRPr="006B74CD">
              <w:rPr>
                <w:rFonts w:cs="Arial"/>
                <w:sz w:val="22"/>
                <w:szCs w:val="22"/>
              </w:rPr>
              <w:t>amendments (see</w:t>
            </w:r>
            <w:r w:rsidR="008075C8" w:rsidRPr="006B74CD">
              <w:rPr>
                <w:rFonts w:cs="Arial"/>
                <w:sz w:val="22"/>
                <w:szCs w:val="22"/>
              </w:rPr>
              <w:t xml:space="preserve"> Green Book </w:t>
            </w:r>
            <w:hyperlink r:id="rId45" w:history="1">
              <w:r w:rsidR="00B8009C" w:rsidRPr="006B74CD">
                <w:rPr>
                  <w:rStyle w:val="Hyperlink"/>
                  <w:rFonts w:cs="Arial"/>
                  <w:sz w:val="22"/>
                  <w:szCs w:val="22"/>
                </w:rPr>
                <w:t>Chapter 14a</w:t>
              </w:r>
            </w:hyperlink>
            <w:r w:rsidR="00B8009C" w:rsidRPr="00C06B6B">
              <w:rPr>
                <w:rStyle w:val="Hyperlink"/>
                <w:rFonts w:cs="Arial"/>
                <w:sz w:val="22"/>
                <w:szCs w:val="22"/>
              </w:rPr>
              <w:t xml:space="preserve"> </w:t>
            </w:r>
            <w:r w:rsidR="008075C8" w:rsidRPr="00C06B6B">
              <w:rPr>
                <w:rFonts w:cs="Arial"/>
                <w:sz w:val="22"/>
                <w:szCs w:val="22"/>
              </w:rPr>
              <w:t>and</w:t>
            </w:r>
            <w:r w:rsidRPr="00C06B6B">
              <w:rPr>
                <w:rFonts w:cs="Arial"/>
                <w:sz w:val="22"/>
                <w:szCs w:val="22"/>
              </w:rPr>
              <w:t xml:space="preserve"> </w:t>
            </w:r>
            <w:hyperlink r:id="rId46" w:history="1">
              <w:r w:rsidR="007941D2" w:rsidRPr="006B74CD">
                <w:rPr>
                  <w:rStyle w:val="Hyperlink"/>
                  <w:rFonts w:cs="Arial"/>
                  <w:sz w:val="22"/>
                  <w:szCs w:val="22"/>
                </w:rPr>
                <w:t>Regulatory approval of Pfizer/</w:t>
              </w:r>
              <w:r w:rsidRPr="006B74CD">
                <w:rPr>
                  <w:rStyle w:val="Hyperlink"/>
                  <w:rFonts w:cs="Arial"/>
                  <w:sz w:val="22"/>
                  <w:szCs w:val="22"/>
                </w:rPr>
                <w:t>BioNTech vaccine for COVID-19</w:t>
              </w:r>
            </w:hyperlink>
            <w:r w:rsidR="00F42F83" w:rsidRPr="00C06B6B">
              <w:rPr>
                <w:rStyle w:val="Hyperlink"/>
                <w:rFonts w:cs="Arial"/>
                <w:color w:val="auto"/>
                <w:sz w:val="22"/>
                <w:szCs w:val="22"/>
                <w:u w:val="none"/>
              </w:rPr>
              <w:t>)</w:t>
            </w:r>
            <w:r w:rsidR="008075C8" w:rsidRPr="00C06B6B">
              <w:rPr>
                <w:rStyle w:val="Hyperlink"/>
                <w:rFonts w:cs="Arial"/>
                <w:color w:val="auto"/>
                <w:sz w:val="22"/>
                <w:szCs w:val="22"/>
                <w:u w:val="none"/>
              </w:rPr>
              <w:t>.</w:t>
            </w:r>
            <w:r w:rsidR="00D33DA7">
              <w:t xml:space="preserve"> </w:t>
            </w:r>
            <w:r w:rsidR="00D33DA7" w:rsidRPr="00D33DA7">
              <w:rPr>
                <w:rStyle w:val="Hyperlink"/>
                <w:rFonts w:cs="Arial"/>
                <w:color w:val="auto"/>
                <w:sz w:val="22"/>
                <w:szCs w:val="22"/>
                <w:u w:val="none"/>
              </w:rPr>
              <w:t xml:space="preserve">These documents take precedence for the purposes of compliance with this </w:t>
            </w:r>
            <w:r w:rsidR="00D33DA7">
              <w:rPr>
                <w:rStyle w:val="Hyperlink"/>
                <w:rFonts w:cs="Arial"/>
                <w:color w:val="auto"/>
                <w:sz w:val="22"/>
                <w:szCs w:val="22"/>
                <w:u w:val="none"/>
              </w:rPr>
              <w:t>PGD</w:t>
            </w:r>
            <w:r w:rsidR="00D33DA7" w:rsidRPr="00D33DA7">
              <w:rPr>
                <w:rStyle w:val="Hyperlink"/>
                <w:rFonts w:cs="Arial"/>
                <w:color w:val="auto"/>
                <w:sz w:val="22"/>
                <w:szCs w:val="22"/>
                <w:u w:val="none"/>
              </w:rPr>
              <w:t xml:space="preserve">, if there is a delay in updating other provisions of this </w:t>
            </w:r>
            <w:r w:rsidR="00D33DA7">
              <w:rPr>
                <w:rStyle w:val="Hyperlink"/>
                <w:rFonts w:cs="Arial"/>
                <w:color w:val="auto"/>
                <w:sz w:val="22"/>
                <w:szCs w:val="22"/>
                <w:u w:val="none"/>
              </w:rPr>
              <w:t xml:space="preserve">PGD </w:t>
            </w:r>
            <w:r w:rsidR="00D33DA7" w:rsidRPr="00D33DA7">
              <w:rPr>
                <w:rStyle w:val="Hyperlink"/>
                <w:rFonts w:cs="Arial"/>
                <w:color w:val="auto"/>
                <w:sz w:val="22"/>
                <w:szCs w:val="22"/>
                <w:u w:val="none"/>
              </w:rPr>
              <w:t>that cut across them.</w:t>
            </w:r>
          </w:p>
        </w:tc>
      </w:tr>
      <w:tr w:rsidR="00B227F7" w:rsidRPr="00C16D85" w14:paraId="115F9C4C" w14:textId="77777777" w:rsidTr="00994459">
        <w:tc>
          <w:tcPr>
            <w:tcW w:w="2578" w:type="dxa"/>
          </w:tcPr>
          <w:p w14:paraId="6BAE7865" w14:textId="19E13D58" w:rsidR="00B227F7" w:rsidRDefault="00B227F7" w:rsidP="007B2C02">
            <w:pPr>
              <w:pStyle w:val="Header"/>
              <w:tabs>
                <w:tab w:val="clear" w:pos="4153"/>
                <w:tab w:val="clear" w:pos="8306"/>
              </w:tabs>
              <w:spacing w:before="120" w:after="120"/>
              <w:rPr>
                <w:rFonts w:ascii="Arial" w:hAnsi="Arial" w:cs="Arial"/>
                <w:b/>
                <w:sz w:val="22"/>
                <w:szCs w:val="22"/>
              </w:rPr>
            </w:pPr>
            <w:bookmarkStart w:id="22" w:name="ActionIfExcluded"/>
            <w:bookmarkEnd w:id="22"/>
            <w:r w:rsidRPr="00E34432">
              <w:rPr>
                <w:rFonts w:ascii="Arial" w:hAnsi="Arial" w:cs="Arial"/>
                <w:b/>
                <w:sz w:val="22"/>
                <w:szCs w:val="22"/>
              </w:rPr>
              <w:lastRenderedPageBreak/>
              <w:t>Action to be taken if the patient is excluded</w:t>
            </w:r>
          </w:p>
          <w:p w14:paraId="16BA5626"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42C8CDB6"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10499634"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056C00D0"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7C09871C"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231A5B8E"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6E21DB9C"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35294CC1" w14:textId="77777777" w:rsidR="00211EA1" w:rsidRDefault="00211EA1" w:rsidP="007B2C02">
            <w:pPr>
              <w:pStyle w:val="Header"/>
              <w:tabs>
                <w:tab w:val="clear" w:pos="4153"/>
                <w:tab w:val="clear" w:pos="8306"/>
              </w:tabs>
              <w:spacing w:before="120" w:after="120"/>
              <w:rPr>
                <w:rFonts w:ascii="Arial" w:hAnsi="Arial" w:cs="Arial"/>
                <w:bCs/>
                <w:sz w:val="22"/>
                <w:szCs w:val="22"/>
              </w:rPr>
            </w:pPr>
          </w:p>
          <w:p w14:paraId="76AE2CA6" w14:textId="77777777" w:rsidR="00A84395" w:rsidRDefault="00A84395" w:rsidP="00A84395">
            <w:pPr>
              <w:contextualSpacing/>
              <w:rPr>
                <w:rFonts w:cs="Arial"/>
                <w:sz w:val="22"/>
                <w:szCs w:val="22"/>
              </w:rPr>
            </w:pPr>
          </w:p>
          <w:p w14:paraId="2CB62323" w14:textId="77777777" w:rsidR="00A84395" w:rsidRDefault="00A84395" w:rsidP="00A84395">
            <w:pPr>
              <w:contextualSpacing/>
              <w:rPr>
                <w:rFonts w:cs="Arial"/>
                <w:sz w:val="22"/>
                <w:szCs w:val="22"/>
              </w:rPr>
            </w:pPr>
          </w:p>
          <w:p w14:paraId="4B7461ED" w14:textId="77777777" w:rsidR="00A84395" w:rsidRDefault="00A84395" w:rsidP="00A84395">
            <w:pPr>
              <w:contextualSpacing/>
              <w:rPr>
                <w:rFonts w:cs="Arial"/>
                <w:sz w:val="22"/>
                <w:szCs w:val="22"/>
              </w:rPr>
            </w:pPr>
          </w:p>
          <w:p w14:paraId="35D2353A" w14:textId="77777777" w:rsidR="00A84395" w:rsidRDefault="00A84395" w:rsidP="00A84395">
            <w:pPr>
              <w:contextualSpacing/>
              <w:rPr>
                <w:rFonts w:cs="Arial"/>
                <w:sz w:val="22"/>
                <w:szCs w:val="22"/>
              </w:rPr>
            </w:pPr>
          </w:p>
          <w:p w14:paraId="211BED4B" w14:textId="77777777" w:rsidR="00A84395" w:rsidRDefault="00A84395" w:rsidP="00A84395">
            <w:pPr>
              <w:contextualSpacing/>
              <w:rPr>
                <w:rFonts w:cs="Arial"/>
                <w:sz w:val="22"/>
                <w:szCs w:val="22"/>
              </w:rPr>
            </w:pPr>
          </w:p>
          <w:p w14:paraId="75AAB2F7" w14:textId="77777777" w:rsidR="00A84395" w:rsidRDefault="00A84395" w:rsidP="00A84395">
            <w:pPr>
              <w:contextualSpacing/>
              <w:rPr>
                <w:rFonts w:cs="Arial"/>
                <w:sz w:val="22"/>
                <w:szCs w:val="22"/>
              </w:rPr>
            </w:pPr>
          </w:p>
          <w:p w14:paraId="1BBF83B8" w14:textId="7BB9EB09" w:rsidR="00A84395" w:rsidRDefault="00A84395" w:rsidP="00A84395">
            <w:pPr>
              <w:contextualSpacing/>
              <w:rPr>
                <w:rFonts w:cs="Arial"/>
                <w:sz w:val="22"/>
                <w:szCs w:val="22"/>
              </w:rPr>
            </w:pPr>
          </w:p>
          <w:p w14:paraId="267ABCD2" w14:textId="4DAA8434" w:rsidR="00766D09" w:rsidRDefault="00766D09" w:rsidP="00A84395">
            <w:pPr>
              <w:contextualSpacing/>
              <w:rPr>
                <w:rFonts w:cs="Arial"/>
                <w:sz w:val="22"/>
                <w:szCs w:val="22"/>
              </w:rPr>
            </w:pPr>
          </w:p>
          <w:p w14:paraId="219E9669" w14:textId="5BFCF39D" w:rsidR="00766D09" w:rsidRDefault="00766D09" w:rsidP="00A84395">
            <w:pPr>
              <w:contextualSpacing/>
              <w:rPr>
                <w:rFonts w:cs="Arial"/>
                <w:sz w:val="22"/>
                <w:szCs w:val="22"/>
              </w:rPr>
            </w:pPr>
          </w:p>
          <w:p w14:paraId="121AB417" w14:textId="257B98F8" w:rsidR="00766D09" w:rsidRDefault="00766D09" w:rsidP="00A84395">
            <w:pPr>
              <w:contextualSpacing/>
              <w:rPr>
                <w:rFonts w:cs="Arial"/>
                <w:sz w:val="22"/>
                <w:szCs w:val="22"/>
              </w:rPr>
            </w:pPr>
          </w:p>
          <w:p w14:paraId="11A827EE" w14:textId="7B109406" w:rsidR="00766D09" w:rsidRDefault="00766D09" w:rsidP="00A84395">
            <w:pPr>
              <w:contextualSpacing/>
              <w:rPr>
                <w:rFonts w:cs="Arial"/>
                <w:sz w:val="22"/>
                <w:szCs w:val="22"/>
              </w:rPr>
            </w:pPr>
          </w:p>
          <w:p w14:paraId="460B9DB8" w14:textId="46AE7947" w:rsidR="00766D09" w:rsidRDefault="00766D09" w:rsidP="00A84395">
            <w:pPr>
              <w:contextualSpacing/>
              <w:rPr>
                <w:rFonts w:cs="Arial"/>
                <w:sz w:val="22"/>
                <w:szCs w:val="22"/>
              </w:rPr>
            </w:pPr>
          </w:p>
          <w:p w14:paraId="2E6F860A" w14:textId="07760108" w:rsidR="00766D09" w:rsidRDefault="00766D09" w:rsidP="00A84395">
            <w:pPr>
              <w:contextualSpacing/>
              <w:rPr>
                <w:rFonts w:cs="Arial"/>
                <w:sz w:val="22"/>
                <w:szCs w:val="22"/>
              </w:rPr>
            </w:pPr>
          </w:p>
          <w:p w14:paraId="6E014211" w14:textId="415085C7" w:rsidR="00766D09" w:rsidRDefault="00766D09" w:rsidP="00A84395">
            <w:pPr>
              <w:contextualSpacing/>
              <w:rPr>
                <w:rFonts w:cs="Arial"/>
                <w:sz w:val="22"/>
                <w:szCs w:val="22"/>
              </w:rPr>
            </w:pPr>
          </w:p>
          <w:p w14:paraId="49290A05" w14:textId="77777777" w:rsidR="00766D09" w:rsidRDefault="00766D09" w:rsidP="00A84395">
            <w:pPr>
              <w:contextualSpacing/>
              <w:rPr>
                <w:rFonts w:cs="Arial"/>
                <w:sz w:val="22"/>
                <w:szCs w:val="22"/>
              </w:rPr>
            </w:pPr>
          </w:p>
          <w:p w14:paraId="44CFD26C" w14:textId="30A096A2" w:rsidR="00A84395" w:rsidRPr="00C06B6B" w:rsidRDefault="00A84395" w:rsidP="00A84395">
            <w:pPr>
              <w:contextualSpacing/>
              <w:rPr>
                <w:rFonts w:cs="Arial"/>
                <w:sz w:val="22"/>
                <w:szCs w:val="22"/>
              </w:rPr>
            </w:pPr>
            <w:r w:rsidRPr="00C06B6B">
              <w:rPr>
                <w:rFonts w:cs="Arial"/>
                <w:sz w:val="22"/>
                <w:szCs w:val="22"/>
              </w:rPr>
              <w:t>Continued over page</w:t>
            </w:r>
          </w:p>
          <w:p w14:paraId="68A33C11" w14:textId="77777777" w:rsidR="00A84395" w:rsidRDefault="00A84395" w:rsidP="000028EA">
            <w:pPr>
              <w:pStyle w:val="Header"/>
              <w:tabs>
                <w:tab w:val="clear" w:pos="4153"/>
                <w:tab w:val="clear" w:pos="8306"/>
              </w:tabs>
              <w:rPr>
                <w:rFonts w:ascii="Arial" w:hAnsi="Arial" w:cs="Arial"/>
                <w:b/>
                <w:sz w:val="22"/>
                <w:szCs w:val="22"/>
              </w:rPr>
            </w:pPr>
            <w:r w:rsidRPr="00E34432">
              <w:rPr>
                <w:rFonts w:ascii="Arial" w:hAnsi="Arial" w:cs="Arial"/>
                <w:b/>
                <w:sz w:val="22"/>
                <w:szCs w:val="22"/>
              </w:rPr>
              <w:lastRenderedPageBreak/>
              <w:t>Action to be taken if the patient is excluded</w:t>
            </w:r>
          </w:p>
          <w:p w14:paraId="36B50151" w14:textId="7CCC907E" w:rsidR="0068102D" w:rsidRDefault="00A84395" w:rsidP="0020405B">
            <w:pPr>
              <w:contextualSpacing/>
              <w:rPr>
                <w:rFonts w:cs="Arial"/>
                <w:sz w:val="22"/>
                <w:szCs w:val="22"/>
              </w:rPr>
            </w:pPr>
            <w:r w:rsidRPr="00C06B6B">
              <w:rPr>
                <w:rFonts w:cs="Arial"/>
                <w:sz w:val="22"/>
                <w:szCs w:val="22"/>
              </w:rPr>
              <w:t>(continued)</w:t>
            </w:r>
          </w:p>
          <w:p w14:paraId="0C20DCA4" w14:textId="7F719D12" w:rsidR="00B227F7" w:rsidRPr="00E34432" w:rsidRDefault="00B227F7" w:rsidP="00994459">
            <w:pPr>
              <w:pStyle w:val="Header"/>
              <w:tabs>
                <w:tab w:val="clear" w:pos="4153"/>
                <w:tab w:val="clear" w:pos="8306"/>
              </w:tabs>
              <w:contextualSpacing/>
              <w:rPr>
                <w:rFonts w:ascii="Arial" w:hAnsi="Arial" w:cs="Arial"/>
                <w:sz w:val="22"/>
                <w:szCs w:val="22"/>
              </w:rPr>
            </w:pPr>
          </w:p>
        </w:tc>
        <w:tc>
          <w:tcPr>
            <w:tcW w:w="7345" w:type="dxa"/>
            <w:shd w:val="clear" w:color="auto" w:fill="auto"/>
          </w:tcPr>
          <w:p w14:paraId="7B220831" w14:textId="44A3BF43" w:rsidR="00850A5E" w:rsidRPr="00282B5B" w:rsidRDefault="00850A5E" w:rsidP="00850A5E">
            <w:pPr>
              <w:pStyle w:val="TableParagraph"/>
              <w:spacing w:before="120" w:after="120"/>
              <w:rPr>
                <w:rFonts w:ascii="Arial" w:eastAsiaTheme="minorHAnsi" w:hAnsi="Arial" w:cs="Arial"/>
              </w:rPr>
            </w:pPr>
            <w:r w:rsidRPr="00282B5B">
              <w:rPr>
                <w:rFonts w:ascii="Arial" w:eastAsia="Arial" w:hAnsi="Arial" w:cs="Arial"/>
              </w:rPr>
              <w:lastRenderedPageBreak/>
              <w:t>The</w:t>
            </w:r>
            <w:r w:rsidRPr="00282B5B">
              <w:rPr>
                <w:rFonts w:ascii="Arial" w:eastAsia="Arial" w:hAnsi="Arial" w:cs="Arial"/>
                <w:spacing w:val="23"/>
              </w:rPr>
              <w:t xml:space="preserve"> </w:t>
            </w:r>
            <w:r w:rsidRPr="00282B5B">
              <w:rPr>
                <w:rFonts w:ascii="Arial" w:eastAsia="Arial" w:hAnsi="Arial" w:cs="Arial"/>
              </w:rPr>
              <w:t>risk</w:t>
            </w:r>
            <w:r w:rsidRPr="00282B5B">
              <w:rPr>
                <w:rFonts w:ascii="Arial" w:eastAsia="Arial" w:hAnsi="Arial" w:cs="Arial"/>
                <w:spacing w:val="4"/>
              </w:rPr>
              <w:t xml:space="preserve"> </w:t>
            </w:r>
            <w:r w:rsidRPr="00282B5B">
              <w:rPr>
                <w:rFonts w:ascii="Arial" w:eastAsia="Arial" w:hAnsi="Arial" w:cs="Arial"/>
              </w:rPr>
              <w:t>to</w:t>
            </w:r>
            <w:r w:rsidRPr="00282B5B">
              <w:rPr>
                <w:rFonts w:ascii="Arial" w:eastAsia="Arial" w:hAnsi="Arial" w:cs="Arial"/>
                <w:spacing w:val="8"/>
              </w:rPr>
              <w:t xml:space="preserve"> </w:t>
            </w:r>
            <w:r w:rsidRPr="00282B5B">
              <w:rPr>
                <w:rFonts w:ascii="Arial" w:eastAsia="Arial" w:hAnsi="Arial" w:cs="Arial"/>
              </w:rPr>
              <w:t>the</w:t>
            </w:r>
            <w:r w:rsidRPr="00282B5B">
              <w:rPr>
                <w:rFonts w:ascii="Arial" w:eastAsia="Arial" w:hAnsi="Arial" w:cs="Arial"/>
                <w:spacing w:val="20"/>
              </w:rPr>
              <w:t xml:space="preserve"> </w:t>
            </w:r>
            <w:r w:rsidRPr="00282B5B">
              <w:rPr>
                <w:rFonts w:ascii="Arial" w:eastAsia="Arial" w:hAnsi="Arial" w:cs="Arial"/>
              </w:rPr>
              <w:t>individual</w:t>
            </w:r>
            <w:r w:rsidRPr="00282B5B">
              <w:rPr>
                <w:rFonts w:ascii="Arial" w:eastAsia="Arial" w:hAnsi="Arial" w:cs="Arial"/>
                <w:spacing w:val="14"/>
              </w:rPr>
              <w:t xml:space="preserve"> </w:t>
            </w:r>
            <w:r w:rsidRPr="00282B5B">
              <w:rPr>
                <w:rFonts w:ascii="Arial" w:eastAsia="Arial" w:hAnsi="Arial" w:cs="Arial"/>
              </w:rPr>
              <w:t>of</w:t>
            </w:r>
            <w:r w:rsidRPr="00282B5B">
              <w:rPr>
                <w:rFonts w:ascii="Arial" w:eastAsia="Arial" w:hAnsi="Arial" w:cs="Arial"/>
                <w:spacing w:val="15"/>
              </w:rPr>
              <w:t xml:space="preserve"> </w:t>
            </w:r>
            <w:r w:rsidRPr="00282B5B">
              <w:rPr>
                <w:rFonts w:ascii="Arial" w:eastAsia="Arial" w:hAnsi="Arial" w:cs="Arial"/>
              </w:rPr>
              <w:t>not</w:t>
            </w:r>
            <w:r w:rsidRPr="00282B5B">
              <w:rPr>
                <w:rFonts w:ascii="Arial" w:eastAsia="Arial" w:hAnsi="Arial" w:cs="Arial"/>
                <w:spacing w:val="12"/>
              </w:rPr>
              <w:t xml:space="preserve"> </w:t>
            </w:r>
            <w:r w:rsidRPr="00282B5B">
              <w:rPr>
                <w:rFonts w:ascii="Arial" w:eastAsia="Arial" w:hAnsi="Arial" w:cs="Arial"/>
              </w:rPr>
              <w:t>being</w:t>
            </w:r>
            <w:r w:rsidRPr="00282B5B">
              <w:rPr>
                <w:rFonts w:ascii="Arial" w:eastAsia="Arial" w:hAnsi="Arial" w:cs="Arial"/>
                <w:spacing w:val="12"/>
              </w:rPr>
              <w:t xml:space="preserve"> </w:t>
            </w:r>
            <w:r w:rsidRPr="00282B5B">
              <w:rPr>
                <w:rFonts w:ascii="Arial" w:eastAsia="Arial" w:hAnsi="Arial" w:cs="Arial"/>
              </w:rPr>
              <w:t>immunised</w:t>
            </w:r>
            <w:r w:rsidRPr="00282B5B">
              <w:rPr>
                <w:rFonts w:ascii="Arial" w:eastAsia="Arial" w:hAnsi="Arial" w:cs="Arial"/>
                <w:spacing w:val="20"/>
              </w:rPr>
              <w:t xml:space="preserve"> </w:t>
            </w:r>
            <w:r w:rsidRPr="00282B5B">
              <w:rPr>
                <w:rFonts w:ascii="Arial" w:eastAsia="Arial" w:hAnsi="Arial" w:cs="Arial"/>
              </w:rPr>
              <w:t>must</w:t>
            </w:r>
            <w:r w:rsidRPr="00282B5B">
              <w:rPr>
                <w:rFonts w:ascii="Arial" w:eastAsia="Arial" w:hAnsi="Arial" w:cs="Arial"/>
                <w:spacing w:val="15"/>
              </w:rPr>
              <w:t xml:space="preserve"> </w:t>
            </w:r>
            <w:r w:rsidRPr="00282B5B">
              <w:rPr>
                <w:rFonts w:ascii="Arial" w:eastAsia="Arial" w:hAnsi="Arial" w:cs="Arial"/>
              </w:rPr>
              <w:t>be</w:t>
            </w:r>
            <w:r w:rsidRPr="00282B5B">
              <w:rPr>
                <w:rFonts w:ascii="Arial" w:eastAsia="Arial" w:hAnsi="Arial" w:cs="Arial"/>
                <w:spacing w:val="5"/>
              </w:rPr>
              <w:t xml:space="preserve"> </w:t>
            </w:r>
            <w:r w:rsidRPr="00282B5B">
              <w:rPr>
                <w:rFonts w:ascii="Arial" w:eastAsia="Arial" w:hAnsi="Arial" w:cs="Arial"/>
              </w:rPr>
              <w:t xml:space="preserve">considered. </w:t>
            </w:r>
            <w:r w:rsidRPr="00282B5B">
              <w:rPr>
                <w:rFonts w:ascii="Arial" w:eastAsiaTheme="minorHAnsi" w:hAnsi="Arial" w:cs="Arial"/>
                <w:color w:val="000000"/>
              </w:rPr>
              <w:t xml:space="preserve">The indications for risk groups are not exhaustive, and the healthcare practitioner should consider the risk of </w:t>
            </w:r>
            <w:r w:rsidRPr="00282B5B">
              <w:rPr>
                <w:rStyle w:val="yiv436687422763514114-05042013"/>
                <w:rFonts w:ascii="Arial" w:hAnsi="Arial" w:cs="Arial"/>
              </w:rPr>
              <w:t>COVID-19</w:t>
            </w:r>
            <w:r w:rsidRPr="00282B5B">
              <w:rPr>
                <w:rFonts w:ascii="Arial" w:eastAsiaTheme="minorHAnsi" w:hAnsi="Arial" w:cs="Arial"/>
                <w:color w:val="000000"/>
              </w:rPr>
              <w:t xml:space="preserve"> exacerbating any underlying disease </w:t>
            </w:r>
            <w:r w:rsidRPr="00282B5B">
              <w:rPr>
                <w:rFonts w:ascii="Arial" w:eastAsiaTheme="minorHAnsi" w:hAnsi="Arial" w:cs="Arial"/>
              </w:rPr>
              <w:t xml:space="preserve">that an individual may have, as well as the risk of serious illness from </w:t>
            </w:r>
            <w:r w:rsidR="00F42F83" w:rsidRPr="00282B5B">
              <w:rPr>
                <w:rFonts w:ascii="Arial" w:eastAsiaTheme="minorHAnsi" w:hAnsi="Arial" w:cs="Arial"/>
              </w:rPr>
              <w:t>COVID-19</w:t>
            </w:r>
            <w:r w:rsidRPr="00282B5B">
              <w:rPr>
                <w:rFonts w:ascii="Arial" w:eastAsiaTheme="minorHAnsi" w:hAnsi="Arial" w:cs="Arial"/>
              </w:rPr>
              <w:t xml:space="preserve"> itself. Where appropriate, such individuals should be referred for assessment of clinical risk. Where risk is identified as equivalent to those currently eligible for immunisation, vaccination may be provided by an appropriate prescriber or on a patient specific basis, under a PSD.</w:t>
            </w:r>
          </w:p>
          <w:p w14:paraId="0AAFE0B1" w14:textId="3411B2B9" w:rsidR="005916C9" w:rsidRPr="00282B5B" w:rsidRDefault="009940DB" w:rsidP="00994459">
            <w:pPr>
              <w:overflowPunct/>
              <w:spacing w:before="120" w:after="120"/>
              <w:textAlignment w:val="auto"/>
              <w:rPr>
                <w:rFonts w:cs="Arial"/>
                <w:sz w:val="22"/>
                <w:szCs w:val="22"/>
              </w:rPr>
            </w:pPr>
            <w:r w:rsidRPr="00282B5B">
              <w:rPr>
                <w:rFonts w:cs="Arial"/>
                <w:sz w:val="22"/>
                <w:szCs w:val="22"/>
              </w:rPr>
              <w:t>For i</w:t>
            </w:r>
            <w:r w:rsidR="00387073" w:rsidRPr="00282B5B">
              <w:rPr>
                <w:rFonts w:cs="Arial"/>
                <w:sz w:val="22"/>
                <w:szCs w:val="22"/>
              </w:rPr>
              <w:t xml:space="preserve">ndividuals who have had </w:t>
            </w:r>
            <w:r w:rsidR="00BD3F71" w:rsidRPr="00282B5B">
              <w:rPr>
                <w:rFonts w:cs="Arial"/>
                <w:sz w:val="22"/>
                <w:szCs w:val="22"/>
              </w:rPr>
              <w:t xml:space="preserve">a </w:t>
            </w:r>
            <w:r w:rsidR="00387073" w:rsidRPr="00282B5B">
              <w:rPr>
                <w:rFonts w:eastAsiaTheme="minorHAnsi" w:cs="Arial"/>
                <w:sz w:val="22"/>
                <w:szCs w:val="22"/>
                <w:lang w:eastAsia="en-US"/>
              </w:rPr>
              <w:t xml:space="preserve">previous systemic allergic reaction (including immediate onset anaphylaxis) to </w:t>
            </w:r>
            <w:r w:rsidR="009B70C9" w:rsidRPr="00282B5B">
              <w:rPr>
                <w:rFonts w:eastAsiaTheme="minorHAnsi" w:cs="Arial"/>
                <w:color w:val="000000"/>
                <w:sz w:val="22"/>
                <w:szCs w:val="22"/>
                <w:lang w:eastAsia="en-US"/>
              </w:rPr>
              <w:t xml:space="preserve">a previous dose of </w:t>
            </w:r>
            <w:r w:rsidR="009B70C9" w:rsidRPr="00282B5B">
              <w:rPr>
                <w:rFonts w:cs="Arial"/>
                <w:sz w:val="22"/>
                <w:szCs w:val="22"/>
              </w:rPr>
              <w:t>COVID-19 mRNA vaccine</w:t>
            </w:r>
            <w:r w:rsidRPr="00282B5B">
              <w:rPr>
                <w:rFonts w:cs="Arial"/>
                <w:sz w:val="22"/>
                <w:szCs w:val="22"/>
              </w:rPr>
              <w:t>,</w:t>
            </w:r>
            <w:r w:rsidR="00BA0B9F" w:rsidRPr="00282B5B">
              <w:rPr>
                <w:rFonts w:cs="Arial"/>
                <w:sz w:val="22"/>
                <w:szCs w:val="22"/>
              </w:rPr>
              <w:t xml:space="preserve"> or any component of the vaccine</w:t>
            </w:r>
            <w:r w:rsidR="00EF0CDA" w:rsidRPr="00282B5B">
              <w:rPr>
                <w:rFonts w:cs="Arial"/>
                <w:sz w:val="22"/>
                <w:szCs w:val="22"/>
              </w:rPr>
              <w:t>,</w:t>
            </w:r>
            <w:r w:rsidR="00B75036" w:rsidRPr="00282B5B">
              <w:rPr>
                <w:rFonts w:cs="Arial"/>
                <w:sz w:val="22"/>
                <w:szCs w:val="22"/>
              </w:rPr>
              <w:t xml:space="preserve"> </w:t>
            </w:r>
            <w:r w:rsidRPr="00282B5B">
              <w:rPr>
                <w:rFonts w:cs="Arial"/>
                <w:sz w:val="22"/>
                <w:szCs w:val="22"/>
              </w:rPr>
              <w:t xml:space="preserve">advice should be sought from an </w:t>
            </w:r>
            <w:r w:rsidR="007E346D" w:rsidRPr="00282B5B">
              <w:rPr>
                <w:rFonts w:cs="Arial"/>
                <w:sz w:val="22"/>
                <w:szCs w:val="22"/>
              </w:rPr>
              <w:t>a</w:t>
            </w:r>
            <w:r w:rsidRPr="00282B5B">
              <w:rPr>
                <w:rFonts w:cs="Arial"/>
                <w:sz w:val="22"/>
                <w:szCs w:val="22"/>
              </w:rPr>
              <w:t xml:space="preserve">llergy </w:t>
            </w:r>
            <w:r w:rsidR="007E346D" w:rsidRPr="00282B5B">
              <w:rPr>
                <w:rFonts w:cs="Arial"/>
                <w:sz w:val="22"/>
                <w:szCs w:val="22"/>
              </w:rPr>
              <w:t>s</w:t>
            </w:r>
            <w:r w:rsidRPr="00282B5B">
              <w:rPr>
                <w:rFonts w:cs="Arial"/>
                <w:sz w:val="22"/>
                <w:szCs w:val="22"/>
              </w:rPr>
              <w:t>pecialist.</w:t>
            </w:r>
          </w:p>
          <w:p w14:paraId="604AFA89" w14:textId="77777777" w:rsidR="00081B7F" w:rsidRPr="00282B5B" w:rsidRDefault="00081B7F" w:rsidP="00081B7F">
            <w:pPr>
              <w:widowControl w:val="0"/>
              <w:overflowPunct/>
              <w:spacing w:before="120"/>
              <w:textAlignment w:val="auto"/>
              <w:rPr>
                <w:rFonts w:eastAsiaTheme="minorHAnsi" w:cs="Arial"/>
                <w:color w:val="000000"/>
                <w:sz w:val="22"/>
                <w:szCs w:val="22"/>
                <w:lang w:eastAsia="en-US"/>
              </w:rPr>
            </w:pPr>
            <w:r w:rsidRPr="00282B5B">
              <w:rPr>
                <w:rFonts w:eastAsiaTheme="minorHAnsi" w:cs="Arial"/>
                <w:color w:val="000000"/>
                <w:sz w:val="22"/>
                <w:szCs w:val="22"/>
                <w:lang w:eastAsia="en-US"/>
              </w:rPr>
              <w:t xml:space="preserve">Special precautions as described in </w:t>
            </w:r>
            <w:hyperlink r:id="rId47" w:history="1">
              <w:r w:rsidRPr="00282B5B">
                <w:rPr>
                  <w:rStyle w:val="Hyperlink"/>
                  <w:sz w:val="22"/>
                  <w:szCs w:val="22"/>
                </w:rPr>
                <w:t>Chapter 14a</w:t>
              </w:r>
            </w:hyperlink>
            <w:r w:rsidRPr="00282B5B">
              <w:rPr>
                <w:rFonts w:eastAsiaTheme="minorHAnsi" w:cs="Arial"/>
                <w:color w:val="000000"/>
                <w:sz w:val="22"/>
                <w:szCs w:val="22"/>
                <w:lang w:eastAsia="en-US"/>
              </w:rPr>
              <w:t>, and consideration of the possibility of undiagnosed PEG-allergy, is required for individuals with:</w:t>
            </w:r>
          </w:p>
          <w:p w14:paraId="44643CB3" w14:textId="17FD38E8" w:rsidR="0025515A" w:rsidRPr="00282B5B" w:rsidRDefault="0025515A" w:rsidP="000028EA">
            <w:pPr>
              <w:pStyle w:val="ListParagraph"/>
              <w:numPr>
                <w:ilvl w:val="0"/>
                <w:numId w:val="15"/>
              </w:numPr>
              <w:ind w:left="461"/>
              <w:rPr>
                <w:rFonts w:eastAsiaTheme="minorHAnsi" w:cs="Arial"/>
                <w:color w:val="000000"/>
                <w:sz w:val="22"/>
                <w:szCs w:val="22"/>
                <w:lang w:eastAsia="en-US"/>
              </w:rPr>
            </w:pPr>
            <w:r w:rsidRPr="00282B5B">
              <w:rPr>
                <w:rFonts w:eastAsiaTheme="minorHAnsi" w:cs="Arial"/>
                <w:color w:val="000000"/>
                <w:sz w:val="22"/>
                <w:szCs w:val="22"/>
                <w:lang w:eastAsia="en-US"/>
              </w:rPr>
              <w:t xml:space="preserve">history of prior allergic reaction to COVID-19 vaccine that required medical </w:t>
            </w:r>
            <w:r w:rsidR="00766D09" w:rsidRPr="00282B5B">
              <w:rPr>
                <w:rFonts w:eastAsiaTheme="minorHAnsi" w:cs="Arial"/>
                <w:color w:val="000000"/>
                <w:sz w:val="22"/>
                <w:szCs w:val="22"/>
                <w:lang w:eastAsia="en-US"/>
              </w:rPr>
              <w:t>intervention in hospital</w:t>
            </w:r>
          </w:p>
          <w:p w14:paraId="377A3E66" w14:textId="44088B97" w:rsidR="00081B7F" w:rsidRPr="00282B5B" w:rsidRDefault="00081B7F" w:rsidP="000028EA">
            <w:pPr>
              <w:pStyle w:val="ListParagraph"/>
              <w:widowControl w:val="0"/>
              <w:numPr>
                <w:ilvl w:val="0"/>
                <w:numId w:val="15"/>
              </w:numPr>
              <w:overflowPunct/>
              <w:spacing w:after="120"/>
              <w:ind w:left="461"/>
              <w:textAlignment w:val="auto"/>
              <w:rPr>
                <w:rFonts w:eastAsiaTheme="minorHAnsi" w:cs="Arial"/>
                <w:color w:val="000000"/>
                <w:sz w:val="22"/>
                <w:szCs w:val="22"/>
                <w:lang w:eastAsia="en-US"/>
              </w:rPr>
            </w:pPr>
            <w:r w:rsidRPr="00282B5B">
              <w:rPr>
                <w:rFonts w:eastAsiaTheme="minorHAnsi" w:cs="Arial"/>
                <w:color w:val="000000"/>
                <w:sz w:val="22"/>
                <w:szCs w:val="22"/>
                <w:lang w:eastAsia="en-US"/>
              </w:rPr>
              <w:t>history of immediate anaphylaxis to multiple, different drug classes, with the trigger unidentified (this may indicate PEG allergy)</w:t>
            </w:r>
          </w:p>
          <w:p w14:paraId="67B8A6B8" w14:textId="77777777" w:rsidR="00081B7F" w:rsidRPr="00282B5B" w:rsidRDefault="00081B7F" w:rsidP="000028EA">
            <w:pPr>
              <w:pStyle w:val="ListParagraph"/>
              <w:widowControl w:val="0"/>
              <w:numPr>
                <w:ilvl w:val="0"/>
                <w:numId w:val="15"/>
              </w:numPr>
              <w:overflowPunct/>
              <w:spacing w:before="120" w:after="120"/>
              <w:ind w:left="461"/>
              <w:textAlignment w:val="auto"/>
              <w:rPr>
                <w:rFonts w:eastAsiaTheme="minorHAnsi" w:cs="Arial"/>
                <w:color w:val="000000"/>
                <w:sz w:val="22"/>
                <w:szCs w:val="22"/>
                <w:lang w:eastAsia="en-US"/>
              </w:rPr>
            </w:pPr>
            <w:r w:rsidRPr="00282B5B">
              <w:rPr>
                <w:rFonts w:eastAsiaTheme="minorHAnsi" w:cs="Arial"/>
                <w:color w:val="000000"/>
                <w:sz w:val="22"/>
                <w:szCs w:val="22"/>
                <w:lang w:eastAsia="en-US"/>
              </w:rPr>
              <w:t>history of anaphylaxis to a vaccine, injected antibody preparation or a medicine likely to contain PEG (such as depot steroid injection, laxative)</w:t>
            </w:r>
          </w:p>
          <w:p w14:paraId="31E0CE9D" w14:textId="77777777" w:rsidR="00081B7F" w:rsidRPr="00282B5B" w:rsidRDefault="00081B7F" w:rsidP="00317170">
            <w:pPr>
              <w:pStyle w:val="ListParagraph"/>
              <w:widowControl w:val="0"/>
              <w:numPr>
                <w:ilvl w:val="0"/>
                <w:numId w:val="15"/>
              </w:numPr>
              <w:overflowPunct/>
              <w:spacing w:before="120"/>
              <w:ind w:left="460" w:hanging="284"/>
              <w:textAlignment w:val="auto"/>
              <w:rPr>
                <w:rFonts w:eastAsiaTheme="minorHAnsi" w:cs="Arial"/>
                <w:color w:val="000000"/>
                <w:sz w:val="22"/>
                <w:szCs w:val="22"/>
                <w:lang w:eastAsia="en-US"/>
              </w:rPr>
            </w:pPr>
            <w:r w:rsidRPr="00282B5B">
              <w:rPr>
                <w:rFonts w:eastAsiaTheme="minorHAnsi" w:cs="Arial"/>
                <w:color w:val="000000"/>
                <w:sz w:val="22"/>
                <w:szCs w:val="22"/>
                <w:lang w:eastAsia="en-US"/>
              </w:rPr>
              <w:t>history of idiopathic anaphylaxis</w:t>
            </w:r>
          </w:p>
          <w:p w14:paraId="18633AD9" w14:textId="58006F21" w:rsidR="00081B7F" w:rsidRPr="00282B5B" w:rsidRDefault="00081B7F" w:rsidP="00081B7F">
            <w:pPr>
              <w:widowControl w:val="0"/>
              <w:overflowPunct/>
              <w:spacing w:after="120"/>
              <w:textAlignment w:val="auto"/>
              <w:rPr>
                <w:rFonts w:eastAsiaTheme="minorHAnsi" w:cs="Arial"/>
                <w:color w:val="000000"/>
                <w:sz w:val="22"/>
                <w:szCs w:val="22"/>
                <w:lang w:eastAsia="en-US"/>
              </w:rPr>
            </w:pPr>
            <w:r w:rsidRPr="00282B5B">
              <w:rPr>
                <w:rFonts w:eastAsiaTheme="minorHAnsi" w:cs="Arial"/>
                <w:color w:val="000000"/>
                <w:sz w:val="22"/>
                <w:szCs w:val="22"/>
                <w:lang w:eastAsia="en-US"/>
              </w:rPr>
              <w:t xml:space="preserve">Such individuals should not be vaccinated with COVID-19 mRNA vaccine BNT162b2, except on the expert advice of an allergy specialist and under a PSD. </w:t>
            </w:r>
          </w:p>
          <w:p w14:paraId="560B0A37" w14:textId="1A15364D" w:rsidR="00052AD3" w:rsidRPr="00282B5B" w:rsidRDefault="00052AD3" w:rsidP="00C16D85">
            <w:pPr>
              <w:pStyle w:val="TableParagraph"/>
              <w:spacing w:before="120" w:after="120"/>
              <w:rPr>
                <w:rFonts w:ascii="Arial" w:eastAsia="Arial" w:hAnsi="Arial" w:cs="Arial"/>
              </w:rPr>
            </w:pPr>
            <w:r w:rsidRPr="00282B5B">
              <w:rPr>
                <w:rFonts w:ascii="Arial" w:eastAsia="Arial" w:hAnsi="Arial" w:cs="Arial"/>
              </w:rPr>
              <w:t>Individuals who have experienced</w:t>
            </w:r>
            <w:r w:rsidRPr="00282B5B">
              <w:t xml:space="preserve"> </w:t>
            </w:r>
            <w:r w:rsidRPr="00282B5B">
              <w:rPr>
                <w:rFonts w:ascii="Arial" w:eastAsia="Arial" w:hAnsi="Arial" w:cs="Arial"/>
              </w:rPr>
              <w:t xml:space="preserve">myocarditis or pericarditis following COVID-19 vaccination should be assessed by an appropriate clinician to determine whether it is likely to be vaccine related. As the mechanism of </w:t>
            </w:r>
            <w:r w:rsidRPr="00282B5B">
              <w:rPr>
                <w:rFonts w:ascii="Arial" w:eastAsia="Arial" w:hAnsi="Arial" w:cs="Arial"/>
              </w:rPr>
              <w:lastRenderedPageBreak/>
              <w:t xml:space="preserve">action and risk of recurrence of myocarditis and pericarditis are being investigated, the current advice is that an individual’s second or subsequent doses should be deferred </w:t>
            </w:r>
            <w:r w:rsidR="00766D09" w:rsidRPr="00282B5B">
              <w:rPr>
                <w:rFonts w:ascii="Arial" w:eastAsia="Arial" w:hAnsi="Arial" w:cs="Arial"/>
              </w:rPr>
              <w:t>pending further investigation. Following investigation any subsequent dose should be provided by an appropriate prescriber or on a patient specific basis, under a PSD.</w:t>
            </w:r>
          </w:p>
          <w:p w14:paraId="049AA48B" w14:textId="7DBCFB8B" w:rsidR="006B6AF6" w:rsidRPr="00282B5B" w:rsidRDefault="006B6AF6" w:rsidP="00C16D85">
            <w:pPr>
              <w:pStyle w:val="TableParagraph"/>
              <w:spacing w:before="120" w:after="120"/>
              <w:rPr>
                <w:rFonts w:ascii="Arial" w:eastAsia="Arial" w:hAnsi="Arial" w:cs="Arial"/>
              </w:rPr>
            </w:pPr>
            <w:r w:rsidRPr="00282B5B">
              <w:rPr>
                <w:rFonts w:ascii="Arial" w:eastAsia="Arial" w:hAnsi="Arial" w:cs="Arial"/>
              </w:rPr>
              <w:t>In case of postponement due to acute illness, advise when the individual</w:t>
            </w:r>
            <w:r w:rsidR="00C16D85" w:rsidRPr="00282B5B">
              <w:rPr>
                <w:rFonts w:ascii="Arial" w:eastAsia="Arial" w:hAnsi="Arial" w:cs="Arial"/>
              </w:rPr>
              <w:t xml:space="preserve"> </w:t>
            </w:r>
            <w:r w:rsidRPr="00282B5B">
              <w:rPr>
                <w:rFonts w:ascii="Arial" w:eastAsia="Arial" w:hAnsi="Arial" w:cs="Arial"/>
              </w:rPr>
              <w:t xml:space="preserve">can be vaccinated and </w:t>
            </w:r>
            <w:r w:rsidR="002030B2" w:rsidRPr="00282B5B">
              <w:rPr>
                <w:rFonts w:ascii="Arial" w:eastAsia="Arial" w:hAnsi="Arial" w:cs="Arial"/>
              </w:rPr>
              <w:t xml:space="preserve">if </w:t>
            </w:r>
            <w:r w:rsidR="00213C02" w:rsidRPr="00282B5B">
              <w:rPr>
                <w:rFonts w:ascii="Arial" w:eastAsia="Arial" w:hAnsi="Arial" w:cs="Arial"/>
              </w:rPr>
              <w:t>possible,</w:t>
            </w:r>
            <w:r w:rsidR="002030B2" w:rsidRPr="00282B5B">
              <w:rPr>
                <w:rFonts w:ascii="Arial" w:eastAsia="Arial" w:hAnsi="Arial" w:cs="Arial"/>
              </w:rPr>
              <w:t xml:space="preserve"> </w:t>
            </w:r>
            <w:r w:rsidRPr="00282B5B">
              <w:rPr>
                <w:rFonts w:ascii="Arial" w:eastAsia="Arial" w:hAnsi="Arial" w:cs="Arial"/>
              </w:rPr>
              <w:t>ensure another appointment is arranged.</w:t>
            </w:r>
          </w:p>
          <w:p w14:paraId="0871D0B0" w14:textId="4D317FBC" w:rsidR="00B227F7" w:rsidRPr="00282B5B" w:rsidRDefault="00B227F7" w:rsidP="007B2C02">
            <w:pPr>
              <w:pStyle w:val="TableParagraph"/>
              <w:spacing w:before="120" w:after="120"/>
              <w:rPr>
                <w:rFonts w:ascii="Arial" w:eastAsia="Arial" w:hAnsi="Arial" w:cs="Arial"/>
              </w:rPr>
            </w:pPr>
            <w:r w:rsidRPr="00282B5B">
              <w:rPr>
                <w:rFonts w:ascii="Arial" w:eastAsia="Arial" w:hAnsi="Arial" w:cs="Arial"/>
              </w:rPr>
              <w:t>Document the reason for exclusion and any action taken</w:t>
            </w:r>
            <w:r w:rsidR="00072E39" w:rsidRPr="00282B5B">
              <w:rPr>
                <w:rFonts w:ascii="Arial" w:eastAsia="Arial" w:hAnsi="Arial" w:cs="Arial"/>
              </w:rPr>
              <w:t>.</w:t>
            </w:r>
          </w:p>
        </w:tc>
      </w:tr>
      <w:tr w:rsidR="00B227F7" w:rsidRPr="00A956FD" w14:paraId="444ECEEC" w14:textId="77777777" w:rsidTr="00994459">
        <w:tc>
          <w:tcPr>
            <w:tcW w:w="2578" w:type="dxa"/>
          </w:tcPr>
          <w:p w14:paraId="1B3CF609" w14:textId="77777777" w:rsidR="00B227F7" w:rsidRDefault="00B227F7" w:rsidP="007B2C02">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Action to be taken if the patient or carer declines treatment</w:t>
            </w:r>
          </w:p>
          <w:p w14:paraId="38BCC740" w14:textId="77777777" w:rsidR="00E56F70" w:rsidRDefault="00E56F70" w:rsidP="007B2C02">
            <w:pPr>
              <w:pStyle w:val="Header"/>
              <w:tabs>
                <w:tab w:val="left" w:pos="720"/>
              </w:tabs>
              <w:spacing w:before="120" w:after="120"/>
              <w:rPr>
                <w:rFonts w:ascii="Arial" w:hAnsi="Arial" w:cs="Arial"/>
                <w:b/>
                <w:sz w:val="22"/>
                <w:szCs w:val="22"/>
              </w:rPr>
            </w:pPr>
          </w:p>
          <w:p w14:paraId="29A38F10" w14:textId="77777777" w:rsidR="00E56F70" w:rsidRDefault="00E56F70" w:rsidP="00E56F70">
            <w:pPr>
              <w:contextualSpacing/>
              <w:rPr>
                <w:rFonts w:cs="Arial"/>
                <w:sz w:val="22"/>
                <w:szCs w:val="22"/>
              </w:rPr>
            </w:pPr>
          </w:p>
          <w:p w14:paraId="1BFBD778" w14:textId="0529D2DD" w:rsidR="00E56F70" w:rsidRPr="002E447F" w:rsidRDefault="00E56F70" w:rsidP="00E56F70">
            <w:pPr>
              <w:pStyle w:val="Header"/>
              <w:tabs>
                <w:tab w:val="left" w:pos="720"/>
              </w:tabs>
              <w:spacing w:before="120" w:after="120"/>
              <w:rPr>
                <w:rFonts w:ascii="Arial" w:hAnsi="Arial" w:cs="Arial"/>
                <w:b/>
                <w:sz w:val="22"/>
                <w:szCs w:val="22"/>
              </w:rPr>
            </w:pPr>
          </w:p>
        </w:tc>
        <w:tc>
          <w:tcPr>
            <w:tcW w:w="7345" w:type="dxa"/>
          </w:tcPr>
          <w:p w14:paraId="53527A92" w14:textId="2E051861" w:rsidR="00373184" w:rsidRPr="000028EA" w:rsidRDefault="00B227F7" w:rsidP="000028EA">
            <w:pPr>
              <w:pStyle w:val="Header"/>
              <w:tabs>
                <w:tab w:val="clear" w:pos="4153"/>
                <w:tab w:val="clear" w:pos="8306"/>
              </w:tabs>
              <w:spacing w:before="120" w:after="120"/>
              <w:rPr>
                <w:rFonts w:cs="Arial"/>
                <w:sz w:val="22"/>
                <w:szCs w:val="22"/>
              </w:rPr>
            </w:pPr>
            <w:r w:rsidRPr="006701FE">
              <w:rPr>
                <w:rFonts w:ascii="Arial" w:hAnsi="Arial" w:cs="Arial"/>
                <w:sz w:val="22"/>
                <w:szCs w:val="22"/>
                <w:lang w:val="en-US"/>
              </w:rPr>
              <w:t>Informed consent, from the individual or a person legally able to act on the person’s behalf, must be obtained for each administration</w:t>
            </w:r>
            <w:r w:rsidR="00B42118" w:rsidRPr="006701FE">
              <w:rPr>
                <w:rFonts w:ascii="Arial" w:hAnsi="Arial" w:cs="Arial"/>
                <w:sz w:val="22"/>
                <w:szCs w:val="22"/>
                <w:lang w:val="en-US"/>
              </w:rPr>
              <w:t xml:space="preserve"> and recorded appropriately</w:t>
            </w:r>
            <w:r w:rsidRPr="006701FE">
              <w:rPr>
                <w:rFonts w:ascii="Arial" w:hAnsi="Arial" w:cs="Arial"/>
                <w:sz w:val="22"/>
                <w:szCs w:val="22"/>
                <w:lang w:val="en-US"/>
              </w:rPr>
              <w:t>.</w:t>
            </w:r>
            <w:r w:rsidR="00650261" w:rsidRPr="006701FE">
              <w:rPr>
                <w:rFonts w:ascii="Arial" w:hAnsi="Arial" w:cs="Arial"/>
                <w:sz w:val="22"/>
                <w:szCs w:val="22"/>
                <w:lang w:val="en-US"/>
              </w:rPr>
              <w:t xml:space="preserve"> Where a person lacks the capacity,</w:t>
            </w:r>
            <w:r w:rsidR="003E0223" w:rsidRPr="006701FE">
              <w:rPr>
                <w:rFonts w:ascii="Arial" w:hAnsi="Arial" w:cs="Arial"/>
                <w:sz w:val="22"/>
                <w:szCs w:val="22"/>
                <w:lang w:val="en-US"/>
              </w:rPr>
              <w:t xml:space="preserve"> in accordance with the </w:t>
            </w:r>
            <w:hyperlink r:id="rId48" w:history="1">
              <w:r w:rsidR="004E7320" w:rsidRPr="006701FE">
                <w:rPr>
                  <w:rStyle w:val="Hyperlink"/>
                  <w:rFonts w:ascii="Arial" w:hAnsi="Arial" w:cs="Arial"/>
                  <w:sz w:val="22"/>
                  <w:szCs w:val="22"/>
                  <w:lang w:val="en-US"/>
                </w:rPr>
                <w:t>Mental Capacity Act 2005</w:t>
              </w:r>
            </w:hyperlink>
            <w:r w:rsidR="003E0223" w:rsidRPr="006701FE">
              <w:rPr>
                <w:rFonts w:ascii="Arial" w:hAnsi="Arial" w:cs="Arial"/>
                <w:sz w:val="22"/>
                <w:szCs w:val="22"/>
                <w:lang w:val="en-US"/>
              </w:rPr>
              <w:t>,</w:t>
            </w:r>
            <w:r w:rsidR="00650261" w:rsidRPr="006701FE">
              <w:rPr>
                <w:rFonts w:ascii="Arial" w:hAnsi="Arial" w:cs="Arial"/>
                <w:sz w:val="22"/>
                <w:szCs w:val="22"/>
                <w:lang w:val="en-US"/>
              </w:rPr>
              <w:t xml:space="preserve"> a decision</w:t>
            </w:r>
            <w:r w:rsidR="003E0223" w:rsidRPr="006701FE">
              <w:rPr>
                <w:rFonts w:ascii="Arial" w:hAnsi="Arial" w:cs="Arial"/>
                <w:sz w:val="22"/>
                <w:szCs w:val="22"/>
                <w:lang w:val="en-US"/>
              </w:rPr>
              <w:t xml:space="preserve"> to vaccinate may be made </w:t>
            </w:r>
            <w:r w:rsidR="00650261" w:rsidRPr="006701FE">
              <w:rPr>
                <w:rFonts w:ascii="Arial" w:hAnsi="Arial" w:cs="Arial"/>
                <w:sz w:val="22"/>
                <w:szCs w:val="22"/>
                <w:lang w:val="en-US"/>
              </w:rPr>
              <w:t xml:space="preserve">in </w:t>
            </w:r>
            <w:r w:rsidR="003E0223" w:rsidRPr="006701FE">
              <w:rPr>
                <w:rFonts w:ascii="Arial" w:hAnsi="Arial" w:cs="Arial"/>
                <w:sz w:val="22"/>
                <w:szCs w:val="22"/>
                <w:lang w:val="en-US"/>
              </w:rPr>
              <w:t>the individual</w:t>
            </w:r>
            <w:r w:rsidR="005D5BDB" w:rsidRPr="006701FE">
              <w:rPr>
                <w:rFonts w:ascii="Arial" w:hAnsi="Arial" w:cs="Arial"/>
                <w:sz w:val="22"/>
                <w:szCs w:val="22"/>
                <w:lang w:val="en-US"/>
              </w:rPr>
              <w:t>’</w:t>
            </w:r>
            <w:r w:rsidR="003E0223" w:rsidRPr="006701FE">
              <w:rPr>
                <w:rFonts w:ascii="Arial" w:hAnsi="Arial" w:cs="Arial"/>
                <w:sz w:val="22"/>
                <w:szCs w:val="22"/>
                <w:lang w:val="en-US"/>
              </w:rPr>
              <w:t>s</w:t>
            </w:r>
            <w:r w:rsidR="00650261" w:rsidRPr="006701FE">
              <w:rPr>
                <w:rFonts w:ascii="Arial" w:hAnsi="Arial" w:cs="Arial"/>
                <w:sz w:val="22"/>
                <w:szCs w:val="22"/>
                <w:lang w:val="en-US"/>
              </w:rPr>
              <w:t xml:space="preserve"> best interests.</w:t>
            </w:r>
            <w:r w:rsidR="006701FE" w:rsidRPr="006701FE">
              <w:rPr>
                <w:rFonts w:ascii="Arial" w:hAnsi="Arial" w:cs="Arial"/>
                <w:sz w:val="22"/>
                <w:szCs w:val="22"/>
                <w:lang w:val="en-US"/>
              </w:rPr>
              <w:t xml:space="preserve">  </w:t>
            </w:r>
            <w:r w:rsidR="006701FE" w:rsidRPr="006701FE">
              <w:rPr>
                <w:rFonts w:ascii="Arial" w:eastAsia="Arial" w:hAnsi="Arial" w:cs="Arial"/>
                <w:sz w:val="22"/>
                <w:szCs w:val="22"/>
              </w:rPr>
              <w:t>F</w:t>
            </w:r>
            <w:r w:rsidR="006701FE" w:rsidRPr="006701FE">
              <w:rPr>
                <w:rFonts w:ascii="Arial" w:hAnsi="Arial" w:cs="Arial"/>
                <w:sz w:val="22"/>
                <w:szCs w:val="22"/>
              </w:rPr>
              <w:t>or further information on consent see</w:t>
            </w:r>
            <w:r w:rsidR="006701FE" w:rsidRPr="006701FE">
              <w:rPr>
                <w:rFonts w:ascii="Arial" w:eastAsiaTheme="minorHAnsi" w:hAnsi="Arial" w:cs="Arial"/>
                <w:sz w:val="22"/>
                <w:szCs w:val="22"/>
              </w:rPr>
              <w:t xml:space="preserve"> </w:t>
            </w:r>
            <w:hyperlink r:id="rId49" w:history="1">
              <w:r w:rsidR="006701FE" w:rsidRPr="006701FE">
                <w:rPr>
                  <w:rStyle w:val="Hyperlink"/>
                  <w:rFonts w:ascii="Arial" w:eastAsiaTheme="minorHAnsi" w:hAnsi="Arial" w:cs="Arial"/>
                  <w:sz w:val="22"/>
                  <w:szCs w:val="22"/>
                </w:rPr>
                <w:t>Chapter 2</w:t>
              </w:r>
            </w:hyperlink>
            <w:r w:rsidR="006701FE" w:rsidRPr="006701FE">
              <w:rPr>
                <w:rFonts w:ascii="Arial" w:eastAsiaTheme="minorHAnsi" w:hAnsi="Arial" w:cs="Arial"/>
                <w:sz w:val="22"/>
                <w:szCs w:val="22"/>
              </w:rPr>
              <w:t xml:space="preserve"> of ‘</w:t>
            </w:r>
            <w:hyperlink r:id="rId50" w:history="1">
              <w:r w:rsidR="006701FE" w:rsidRPr="006701FE">
                <w:rPr>
                  <w:rStyle w:val="Hyperlink"/>
                  <w:rFonts w:ascii="Arial" w:eastAsiaTheme="minorHAnsi" w:hAnsi="Arial" w:cs="Arial"/>
                  <w:sz w:val="22"/>
                  <w:szCs w:val="22"/>
                </w:rPr>
                <w:t>The Green Book</w:t>
              </w:r>
            </w:hyperlink>
            <w:r w:rsidR="006701FE" w:rsidRPr="006701FE">
              <w:rPr>
                <w:rStyle w:val="Hyperlink"/>
                <w:rFonts w:ascii="Arial" w:eastAsiaTheme="minorHAnsi" w:hAnsi="Arial" w:cs="Arial"/>
                <w:sz w:val="22"/>
                <w:szCs w:val="22"/>
              </w:rPr>
              <w:t>’</w:t>
            </w:r>
            <w:r w:rsidR="006701FE" w:rsidRPr="000028EA">
              <w:rPr>
                <w:rFonts w:ascii="Arial" w:eastAsiaTheme="minorHAnsi" w:hAnsi="Arial" w:cs="Arial"/>
                <w:sz w:val="22"/>
                <w:szCs w:val="22"/>
              </w:rPr>
              <w:t>.</w:t>
            </w:r>
          </w:p>
          <w:p w14:paraId="53C27968" w14:textId="538937FB" w:rsidR="00B227F7" w:rsidRPr="00A33792" w:rsidRDefault="00B227F7" w:rsidP="00E26C8C">
            <w:pPr>
              <w:spacing w:before="120"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w:t>
            </w:r>
            <w:r w:rsidR="00AF6C7C">
              <w:rPr>
                <w:rFonts w:cs="Arial"/>
                <w:sz w:val="22"/>
                <w:szCs w:val="22"/>
                <w:lang w:val="en-US"/>
              </w:rPr>
              <w:t>parent/</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4D014206" w14:textId="77B3C102" w:rsidR="00B227F7" w:rsidRPr="00C11CF5" w:rsidRDefault="00B227F7" w:rsidP="007B2C02">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00E26C8C">
              <w:rPr>
                <w:rFonts w:cs="Arial"/>
                <w:sz w:val="22"/>
                <w:szCs w:val="22"/>
              </w:rPr>
              <w:t xml:space="preserve">decision reached. </w:t>
            </w:r>
          </w:p>
        </w:tc>
      </w:tr>
      <w:tr w:rsidR="00B227F7" w:rsidRPr="00A956FD" w14:paraId="53552E45" w14:textId="77777777" w:rsidTr="00994459">
        <w:tc>
          <w:tcPr>
            <w:tcW w:w="2578" w:type="dxa"/>
          </w:tcPr>
          <w:p w14:paraId="1E651F69" w14:textId="1EB212F6" w:rsidR="00B227F7" w:rsidRPr="002E447F" w:rsidRDefault="00B227F7" w:rsidP="006B74CD">
            <w:pPr>
              <w:spacing w:before="120" w:after="120"/>
              <w:rPr>
                <w:rFonts w:cs="Arial"/>
                <w:b/>
                <w:sz w:val="22"/>
                <w:szCs w:val="22"/>
              </w:rPr>
            </w:pPr>
            <w:r w:rsidRPr="002E447F">
              <w:rPr>
                <w:rFonts w:cs="Arial"/>
                <w:b/>
                <w:sz w:val="22"/>
                <w:szCs w:val="22"/>
              </w:rPr>
              <w:t>Arrangements for referral</w:t>
            </w:r>
          </w:p>
        </w:tc>
        <w:tc>
          <w:tcPr>
            <w:tcW w:w="7345" w:type="dxa"/>
          </w:tcPr>
          <w:p w14:paraId="2872B34C" w14:textId="77777777" w:rsidR="00B227F7" w:rsidRPr="00C11CF5" w:rsidRDefault="00B227F7" w:rsidP="007B2C02">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220C0186" w14:textId="77777777" w:rsidR="00211EA1" w:rsidRDefault="00211EA1" w:rsidP="00211EA1">
      <w:pPr>
        <w:pStyle w:val="ListParagraph"/>
        <w:overflowPunct/>
        <w:autoSpaceDE/>
        <w:autoSpaceDN/>
        <w:adjustRightInd/>
        <w:textAlignment w:val="auto"/>
        <w:rPr>
          <w:rFonts w:cs="Arial"/>
          <w:b/>
          <w:szCs w:val="24"/>
        </w:rPr>
      </w:pPr>
    </w:p>
    <w:p w14:paraId="2D3C6587" w14:textId="2DFEDD87" w:rsidR="00211EA1" w:rsidRDefault="00211EA1" w:rsidP="00211EA1">
      <w:pPr>
        <w:pStyle w:val="ListParagraph"/>
        <w:overflowPunct/>
        <w:autoSpaceDE/>
        <w:autoSpaceDN/>
        <w:adjustRightInd/>
        <w:textAlignment w:val="auto"/>
        <w:rPr>
          <w:rFonts w:cs="Arial"/>
          <w:b/>
          <w:szCs w:val="24"/>
        </w:rPr>
      </w:pPr>
    </w:p>
    <w:p w14:paraId="25855B56" w14:textId="77777777" w:rsidR="00303FA3" w:rsidRDefault="00303FA3" w:rsidP="000028EA">
      <w:pPr>
        <w:pStyle w:val="ListParagraph"/>
        <w:overflowPunct/>
        <w:autoSpaceDE/>
        <w:autoSpaceDN/>
        <w:adjustRightInd/>
        <w:textAlignment w:val="auto"/>
        <w:rPr>
          <w:rFonts w:cs="Arial"/>
          <w:b/>
          <w:szCs w:val="24"/>
        </w:rPr>
      </w:pPr>
    </w:p>
    <w:p w14:paraId="6C3C5DB4" w14:textId="3C9ACFD0" w:rsidR="00211EA1" w:rsidRDefault="00211EA1" w:rsidP="00211EA1">
      <w:pPr>
        <w:overflowPunct/>
        <w:autoSpaceDE/>
        <w:autoSpaceDN/>
        <w:adjustRightInd/>
        <w:ind w:left="360"/>
        <w:textAlignment w:val="auto"/>
        <w:rPr>
          <w:rFonts w:cs="Arial"/>
          <w:b/>
          <w:szCs w:val="24"/>
        </w:rPr>
      </w:pPr>
    </w:p>
    <w:p w14:paraId="1A2321DA" w14:textId="77777777" w:rsidR="004037BE" w:rsidRDefault="004037BE" w:rsidP="00211EA1">
      <w:pPr>
        <w:overflowPunct/>
        <w:autoSpaceDE/>
        <w:autoSpaceDN/>
        <w:adjustRightInd/>
        <w:ind w:left="360"/>
        <w:textAlignment w:val="auto"/>
        <w:rPr>
          <w:rFonts w:cs="Arial"/>
          <w:b/>
          <w:szCs w:val="24"/>
        </w:rPr>
      </w:pPr>
    </w:p>
    <w:p w14:paraId="690A34D9" w14:textId="77777777" w:rsidR="006D7639" w:rsidRDefault="006D7639">
      <w:pPr>
        <w:overflowPunct/>
        <w:autoSpaceDE/>
        <w:autoSpaceDN/>
        <w:adjustRightInd/>
        <w:spacing w:after="160" w:line="259" w:lineRule="auto"/>
        <w:textAlignment w:val="auto"/>
        <w:rPr>
          <w:rFonts w:cs="Arial"/>
          <w:b/>
          <w:szCs w:val="24"/>
        </w:rPr>
      </w:pPr>
      <w:r>
        <w:rPr>
          <w:rFonts w:cs="Arial"/>
          <w:b/>
          <w:szCs w:val="24"/>
        </w:rPr>
        <w:br w:type="page"/>
      </w:r>
    </w:p>
    <w:p w14:paraId="12DDADD5" w14:textId="43C14894" w:rsidR="00B227F7" w:rsidRPr="002E447F" w:rsidRDefault="00B227F7" w:rsidP="00B227F7">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Description of treatment</w:t>
      </w:r>
    </w:p>
    <w:p w14:paraId="5D62705C" w14:textId="77777777" w:rsidR="00B227F7" w:rsidRPr="00A956FD" w:rsidRDefault="00B227F7" w:rsidP="00B227F7">
      <w:pPr>
        <w:pStyle w:val="ListParagraph"/>
        <w:overflowPunct/>
        <w:autoSpaceDE/>
        <w:autoSpaceDN/>
        <w:adjustRightInd/>
        <w:textAlignment w:val="auto"/>
        <w:rPr>
          <w:rFonts w:cs="Arial"/>
          <w:b/>
          <w:color w:val="FF0000"/>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513"/>
      </w:tblGrid>
      <w:tr w:rsidR="00B227F7" w:rsidRPr="00A956FD" w14:paraId="0CD2A55B" w14:textId="77777777" w:rsidTr="009B16D6">
        <w:tc>
          <w:tcPr>
            <w:tcW w:w="2722" w:type="dxa"/>
          </w:tcPr>
          <w:p w14:paraId="247D6B2A" w14:textId="299E6451" w:rsidR="00B227F7" w:rsidRPr="00A956FD" w:rsidRDefault="00B227F7" w:rsidP="007B2C02">
            <w:pPr>
              <w:spacing w:before="120" w:after="120"/>
              <w:rPr>
                <w:rFonts w:cs="Arial"/>
                <w:b/>
                <w:color w:val="FF0000"/>
                <w:sz w:val="22"/>
                <w:szCs w:val="22"/>
              </w:rPr>
            </w:pPr>
            <w:r w:rsidRPr="002E447F">
              <w:rPr>
                <w:rFonts w:cs="Arial"/>
                <w:b/>
                <w:sz w:val="22"/>
                <w:szCs w:val="22"/>
              </w:rPr>
              <w:t xml:space="preserve">Name, strength </w:t>
            </w:r>
            <w:r w:rsidR="003B77E0">
              <w:rPr>
                <w:rFonts w:cs="Arial"/>
                <w:b/>
                <w:sz w:val="22"/>
                <w:szCs w:val="22"/>
              </w:rPr>
              <w:t xml:space="preserve">and </w:t>
            </w:r>
            <w:r w:rsidRPr="002E447F">
              <w:rPr>
                <w:rFonts w:cs="Arial"/>
                <w:b/>
                <w:sz w:val="22"/>
                <w:szCs w:val="22"/>
              </w:rPr>
              <w:t>formulation of drug</w:t>
            </w:r>
          </w:p>
        </w:tc>
        <w:tc>
          <w:tcPr>
            <w:tcW w:w="7513" w:type="dxa"/>
          </w:tcPr>
          <w:p w14:paraId="4A09F693" w14:textId="179113B4" w:rsidR="00333FD5" w:rsidRDefault="00A76284" w:rsidP="007B2C02">
            <w:pPr>
              <w:shd w:val="clear" w:color="auto" w:fill="FFFFFF"/>
              <w:overflowPunct/>
              <w:autoSpaceDE/>
              <w:autoSpaceDN/>
              <w:adjustRightInd/>
              <w:spacing w:before="120"/>
              <w:textAlignment w:val="auto"/>
              <w:rPr>
                <w:sz w:val="22"/>
                <w:szCs w:val="22"/>
              </w:rPr>
            </w:pPr>
            <w:r>
              <w:rPr>
                <w:sz w:val="22"/>
                <w:szCs w:val="22"/>
              </w:rPr>
              <w:t>COVID</w:t>
            </w:r>
            <w:r w:rsidR="00831F46">
              <w:rPr>
                <w:sz w:val="22"/>
                <w:szCs w:val="22"/>
              </w:rPr>
              <w:t xml:space="preserve">-19 mRNA vaccine </w:t>
            </w:r>
            <w:r w:rsidR="004864DC" w:rsidRPr="00F23F67">
              <w:rPr>
                <w:sz w:val="22"/>
                <w:szCs w:val="22"/>
              </w:rPr>
              <w:t>BNT162b2</w:t>
            </w:r>
            <w:r w:rsidR="003E2E61">
              <w:rPr>
                <w:sz w:val="22"/>
                <w:szCs w:val="22"/>
              </w:rPr>
              <w:t xml:space="preserve"> concentrate for </w:t>
            </w:r>
            <w:r w:rsidR="007D5ACD">
              <w:rPr>
                <w:sz w:val="22"/>
                <w:szCs w:val="22"/>
              </w:rPr>
              <w:t xml:space="preserve">solution </w:t>
            </w:r>
            <w:r w:rsidR="003E2E61">
              <w:rPr>
                <w:sz w:val="22"/>
                <w:szCs w:val="22"/>
              </w:rPr>
              <w:t>for injection</w:t>
            </w:r>
            <w:r w:rsidR="00373184">
              <w:rPr>
                <w:sz w:val="22"/>
                <w:szCs w:val="22"/>
              </w:rPr>
              <w:t xml:space="preserve">, </w:t>
            </w:r>
            <w:r w:rsidR="007D5ACD">
              <w:rPr>
                <w:sz w:val="22"/>
                <w:szCs w:val="22"/>
              </w:rPr>
              <w:t>presented as a</w:t>
            </w:r>
            <w:r w:rsidR="00F23F67" w:rsidRPr="007D5ACD">
              <w:rPr>
                <w:sz w:val="22"/>
                <w:szCs w:val="22"/>
              </w:rPr>
              <w:t xml:space="preserve"> multidose vial</w:t>
            </w:r>
            <w:r w:rsidR="00333FD5">
              <w:rPr>
                <w:sz w:val="22"/>
                <w:szCs w:val="22"/>
              </w:rPr>
              <w:t>.</w:t>
            </w:r>
          </w:p>
          <w:p w14:paraId="31E389D2" w14:textId="760CDE72" w:rsidR="005E1C74" w:rsidRDefault="007D5ACD" w:rsidP="007B2C02">
            <w:pPr>
              <w:shd w:val="clear" w:color="auto" w:fill="FFFFFF"/>
              <w:overflowPunct/>
              <w:autoSpaceDE/>
              <w:autoSpaceDN/>
              <w:adjustRightInd/>
              <w:spacing w:before="120"/>
              <w:textAlignment w:val="auto"/>
              <w:rPr>
                <w:sz w:val="22"/>
                <w:szCs w:val="22"/>
              </w:rPr>
            </w:pPr>
            <w:r w:rsidRPr="007D5ACD">
              <w:rPr>
                <w:sz w:val="22"/>
                <w:szCs w:val="22"/>
              </w:rPr>
              <w:t xml:space="preserve">1 vial (0.45ml) contains </w:t>
            </w:r>
            <w:r w:rsidR="0020561A">
              <w:rPr>
                <w:sz w:val="22"/>
                <w:szCs w:val="22"/>
              </w:rPr>
              <w:t>6</w:t>
            </w:r>
            <w:r w:rsidRPr="007D5ACD">
              <w:rPr>
                <w:sz w:val="22"/>
                <w:szCs w:val="22"/>
              </w:rPr>
              <w:t xml:space="preserve"> doses of 30micrograms of </w:t>
            </w:r>
            <w:r w:rsidR="000451D5">
              <w:rPr>
                <w:sz w:val="22"/>
                <w:szCs w:val="22"/>
              </w:rPr>
              <w:t xml:space="preserve">tozinameran, a </w:t>
            </w:r>
            <w:r w:rsidRPr="007D5ACD">
              <w:rPr>
                <w:sz w:val="22"/>
                <w:szCs w:val="22"/>
              </w:rPr>
              <w:t>BNT162b2 RNA (embedded in lipid nanoparticles).</w:t>
            </w:r>
          </w:p>
          <w:p w14:paraId="07CD2058" w14:textId="77777777" w:rsidR="00A966A8" w:rsidRPr="00F80146" w:rsidRDefault="00A966A8" w:rsidP="00A966A8">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Pr>
                <w:sz w:val="22"/>
                <w:szCs w:val="22"/>
              </w:rPr>
              <w:t xml:space="preserve">alternatively </w:t>
            </w:r>
            <w:r w:rsidRPr="005E1C74">
              <w:rPr>
                <w:sz w:val="22"/>
                <w:szCs w:val="22"/>
              </w:rPr>
              <w:t>be labelled:</w:t>
            </w:r>
          </w:p>
          <w:p w14:paraId="635E73EF" w14:textId="77777777" w:rsidR="00A966A8" w:rsidRPr="00F80146" w:rsidRDefault="00A966A8" w:rsidP="00317170">
            <w:pPr>
              <w:pStyle w:val="ListParagraph"/>
              <w:numPr>
                <w:ilvl w:val="0"/>
                <w:numId w:val="13"/>
              </w:numPr>
              <w:rPr>
                <w:rFonts w:cs="Arial"/>
                <w:sz w:val="22"/>
                <w:szCs w:val="22"/>
              </w:rPr>
            </w:pPr>
            <w:r w:rsidRPr="00F80146">
              <w:rPr>
                <w:rFonts w:cs="Arial"/>
                <w:sz w:val="22"/>
                <w:szCs w:val="22"/>
              </w:rPr>
              <w:t>BNT162b2</w:t>
            </w:r>
            <w:r>
              <w:rPr>
                <w:rFonts w:cs="Arial"/>
                <w:sz w:val="22"/>
                <w:szCs w:val="22"/>
              </w:rPr>
              <w:t xml:space="preserve"> (SARS-COV-2-mRNA vaccine), or</w:t>
            </w:r>
          </w:p>
          <w:p w14:paraId="33E20F82" w14:textId="1DA469A7" w:rsidR="00B25B4F" w:rsidRPr="007B4240" w:rsidRDefault="00A966A8" w:rsidP="00317170">
            <w:pPr>
              <w:pStyle w:val="ListParagraph"/>
              <w:numPr>
                <w:ilvl w:val="0"/>
                <w:numId w:val="13"/>
              </w:numPr>
              <w:rPr>
                <w:rFonts w:cs="Arial"/>
                <w:sz w:val="22"/>
                <w:szCs w:val="22"/>
              </w:rPr>
            </w:pPr>
            <w:r w:rsidRPr="00F80146">
              <w:rPr>
                <w:rFonts w:cs="Arial"/>
                <w:sz w:val="22"/>
                <w:szCs w:val="22"/>
              </w:rPr>
              <w:t>Pfizer-BioNTech COVID</w:t>
            </w:r>
            <w:r>
              <w:rPr>
                <w:rFonts w:cs="Arial"/>
                <w:sz w:val="22"/>
                <w:szCs w:val="22"/>
              </w:rPr>
              <w:t>-19</w:t>
            </w:r>
            <w:r w:rsidRPr="00F80146">
              <w:rPr>
                <w:rFonts w:cs="Arial"/>
                <w:sz w:val="22"/>
                <w:szCs w:val="22"/>
              </w:rPr>
              <w:t xml:space="preserve"> vaccine</w:t>
            </w:r>
            <w:r w:rsidRPr="007D6589">
              <w:rPr>
                <w:color w:val="FF0000"/>
                <w:sz w:val="12"/>
                <w:szCs w:val="12"/>
                <w:lang w:val="en"/>
              </w:rPr>
              <w:t xml:space="preserve">    </w:t>
            </w:r>
          </w:p>
          <w:p w14:paraId="0286EA2E" w14:textId="31A5B1A4" w:rsidR="00B227F7" w:rsidRPr="00E92545" w:rsidRDefault="00B25B4F" w:rsidP="00213C02">
            <w:pPr>
              <w:spacing w:before="120" w:after="120"/>
              <w:rPr>
                <w:color w:val="FF0000"/>
                <w:sz w:val="2"/>
                <w:szCs w:val="2"/>
                <w:lang w:val="en"/>
              </w:rPr>
            </w:pPr>
            <w:r>
              <w:rPr>
                <w:sz w:val="22"/>
                <w:szCs w:val="22"/>
                <w:lang w:val="en"/>
              </w:rPr>
              <w:t xml:space="preserve">Note: </w:t>
            </w:r>
            <w:r w:rsidR="008F699D">
              <w:rPr>
                <w:sz w:val="22"/>
                <w:szCs w:val="22"/>
                <w:lang w:val="en"/>
              </w:rPr>
              <w:t>Where appropriate to the delivery model, t</w:t>
            </w:r>
            <w:r>
              <w:rPr>
                <w:sz w:val="22"/>
                <w:szCs w:val="22"/>
                <w:lang w:val="en"/>
              </w:rPr>
              <w:t xml:space="preserve">his PGD may also be used for the administration of vaccine that has been prepared (diluted) </w:t>
            </w:r>
            <w:r w:rsidR="00BA68F9">
              <w:rPr>
                <w:sz w:val="22"/>
                <w:szCs w:val="22"/>
                <w:lang w:val="en"/>
              </w:rPr>
              <w:t xml:space="preserve">by another person </w:t>
            </w:r>
            <w:r>
              <w:rPr>
                <w:sz w:val="22"/>
                <w:szCs w:val="22"/>
                <w:lang w:val="en"/>
              </w:rPr>
              <w:t>in accordance with the manufacturer’s instructions and Human Medicines Regulation 3A</w:t>
            </w:r>
            <w:r w:rsidR="008F699D">
              <w:rPr>
                <w:sz w:val="22"/>
                <w:szCs w:val="22"/>
                <w:lang w:val="en"/>
              </w:rPr>
              <w:t xml:space="preserve"> (</w:t>
            </w:r>
            <w:hyperlink r:id="rId51" w:history="1">
              <w:r w:rsidR="00A15BF8" w:rsidRPr="004469D3">
                <w:rPr>
                  <w:rStyle w:val="Hyperlink"/>
                  <w:rFonts w:cs="Arial"/>
                  <w:sz w:val="22"/>
                  <w:szCs w:val="22"/>
                </w:rPr>
                <w:t>UK Statutory Instrument 2020 No. 1594</w:t>
              </w:r>
            </w:hyperlink>
            <w:r w:rsidR="008F699D">
              <w:rPr>
                <w:sz w:val="22"/>
                <w:szCs w:val="22"/>
                <w:lang w:val="en"/>
              </w:rPr>
              <w:t>)</w:t>
            </w:r>
            <w:r w:rsidR="004E7320">
              <w:rPr>
                <w:sz w:val="22"/>
                <w:szCs w:val="22"/>
                <w:lang w:val="en"/>
              </w:rPr>
              <w:t xml:space="preserve">, that is prepared </w:t>
            </w:r>
            <w:r w:rsidR="004E7320" w:rsidRPr="00A23FAB">
              <w:rPr>
                <w:sz w:val="22"/>
                <w:szCs w:val="22"/>
                <w:lang w:val="en"/>
              </w:rPr>
              <w:t>by or under the supervision of a doctor, a registered nurse or a pharmacist</w:t>
            </w:r>
            <w:r w:rsidR="004E7320">
              <w:rPr>
                <w:sz w:val="22"/>
                <w:szCs w:val="22"/>
                <w:lang w:val="en"/>
              </w:rPr>
              <w:t>.</w:t>
            </w:r>
          </w:p>
        </w:tc>
      </w:tr>
      <w:tr w:rsidR="00B227F7" w:rsidRPr="00A956FD" w14:paraId="632C8910" w14:textId="77777777" w:rsidTr="009B16D6">
        <w:tc>
          <w:tcPr>
            <w:tcW w:w="2722" w:type="dxa"/>
          </w:tcPr>
          <w:p w14:paraId="081E41D9" w14:textId="77777777" w:rsidR="00B227F7" w:rsidRPr="00EC1908" w:rsidRDefault="00B227F7" w:rsidP="007B2C02">
            <w:pPr>
              <w:spacing w:before="120" w:after="120"/>
              <w:rPr>
                <w:rFonts w:cs="Arial"/>
                <w:b/>
                <w:sz w:val="22"/>
                <w:szCs w:val="22"/>
              </w:rPr>
            </w:pPr>
            <w:r w:rsidRPr="00EC1908">
              <w:rPr>
                <w:rFonts w:cs="Arial"/>
                <w:b/>
                <w:sz w:val="22"/>
                <w:szCs w:val="22"/>
              </w:rPr>
              <w:t>Legal category</w:t>
            </w:r>
          </w:p>
        </w:tc>
        <w:tc>
          <w:tcPr>
            <w:tcW w:w="7513" w:type="dxa"/>
          </w:tcPr>
          <w:p w14:paraId="71A89F99" w14:textId="14F9C680" w:rsidR="00CE0435" w:rsidRPr="00B56DB5" w:rsidRDefault="00765DD4" w:rsidP="00F23F67">
            <w:pPr>
              <w:pStyle w:val="CommentText"/>
              <w:spacing w:before="120" w:after="120"/>
              <w:rPr>
                <w:sz w:val="22"/>
                <w:szCs w:val="22"/>
              </w:rPr>
            </w:pPr>
            <w:r w:rsidRPr="00B56DB5">
              <w:rPr>
                <w:rFonts w:cs="Arial"/>
                <w:sz w:val="22"/>
                <w:szCs w:val="22"/>
              </w:rPr>
              <w:t>COVID-19 mRNA vaccine BNT162b2</w:t>
            </w:r>
            <w:r w:rsidR="003E2E61" w:rsidRPr="00B56DB5">
              <w:rPr>
                <w:rFonts w:cs="Arial"/>
                <w:sz w:val="22"/>
                <w:szCs w:val="22"/>
              </w:rPr>
              <w:t xml:space="preserve"> </w:t>
            </w:r>
            <w:r w:rsidR="00831F46" w:rsidRPr="00B56DB5">
              <w:rPr>
                <w:sz w:val="22"/>
                <w:szCs w:val="22"/>
              </w:rPr>
              <w:t xml:space="preserve">has been </w:t>
            </w:r>
            <w:r w:rsidR="00B575CF" w:rsidRPr="00B56DB5">
              <w:rPr>
                <w:sz w:val="22"/>
                <w:szCs w:val="22"/>
              </w:rPr>
              <w:t xml:space="preserve">provided temporary authorisation </w:t>
            </w:r>
            <w:r w:rsidR="00140F56" w:rsidRPr="00B56DB5">
              <w:rPr>
                <w:sz w:val="22"/>
                <w:szCs w:val="22"/>
              </w:rPr>
              <w:t xml:space="preserve">by the Medicines </w:t>
            </w:r>
            <w:r w:rsidR="003B77E0" w:rsidRPr="00B56DB5">
              <w:rPr>
                <w:sz w:val="22"/>
                <w:szCs w:val="22"/>
              </w:rPr>
              <w:t>and</w:t>
            </w:r>
            <w:r w:rsidR="00140F56" w:rsidRPr="00B56DB5">
              <w:rPr>
                <w:sz w:val="22"/>
                <w:szCs w:val="22"/>
              </w:rPr>
              <w:t xml:space="preserve"> Healthcare products Regulatory Agency (MHRA) </w:t>
            </w:r>
            <w:r w:rsidR="00B575CF" w:rsidRPr="00B56DB5">
              <w:rPr>
                <w:sz w:val="22"/>
                <w:szCs w:val="22"/>
              </w:rPr>
              <w:t>for</w:t>
            </w:r>
            <w:r w:rsidR="003F7A71" w:rsidRPr="00B56DB5">
              <w:rPr>
                <w:sz w:val="22"/>
                <w:szCs w:val="22"/>
              </w:rPr>
              <w:t xml:space="preserve"> supply in </w:t>
            </w:r>
            <w:r w:rsidR="007C014F" w:rsidRPr="00B56DB5">
              <w:rPr>
                <w:sz w:val="22"/>
                <w:szCs w:val="22"/>
              </w:rPr>
              <w:t xml:space="preserve">the UK </w:t>
            </w:r>
            <w:r w:rsidR="00140F56" w:rsidRPr="00B56DB5">
              <w:rPr>
                <w:sz w:val="22"/>
                <w:szCs w:val="22"/>
              </w:rPr>
              <w:t>under regulation 174</w:t>
            </w:r>
            <w:r w:rsidR="00B575CF" w:rsidRPr="00B56DB5">
              <w:rPr>
                <w:sz w:val="22"/>
                <w:szCs w:val="22"/>
              </w:rPr>
              <w:t xml:space="preserve"> and 174A</w:t>
            </w:r>
            <w:r w:rsidR="00831F46" w:rsidRPr="00B56DB5">
              <w:rPr>
                <w:sz w:val="22"/>
                <w:szCs w:val="22"/>
              </w:rPr>
              <w:t xml:space="preserve"> of HMR 2012</w:t>
            </w:r>
            <w:r w:rsidR="00F23F67" w:rsidRPr="00B56DB5">
              <w:rPr>
                <w:sz w:val="22"/>
                <w:szCs w:val="22"/>
              </w:rPr>
              <w:t xml:space="preserve">, </w:t>
            </w:r>
            <w:r w:rsidR="00424F75" w:rsidRPr="00B56DB5">
              <w:rPr>
                <w:sz w:val="22"/>
                <w:szCs w:val="22"/>
              </w:rPr>
              <w:t>see</w:t>
            </w:r>
            <w:r w:rsidR="00CE0435" w:rsidRPr="00B56DB5">
              <w:rPr>
                <w:sz w:val="22"/>
                <w:szCs w:val="22"/>
              </w:rPr>
              <w:t xml:space="preserve"> </w:t>
            </w:r>
            <w:hyperlink r:id="rId52" w:history="1">
              <w:r w:rsidR="000202B2" w:rsidRPr="00B56DB5">
                <w:rPr>
                  <w:color w:val="0000FF"/>
                  <w:sz w:val="22"/>
                  <w:szCs w:val="22"/>
                  <w:u w:val="single"/>
                </w:rPr>
                <w:t>Regulatory approval of Pfizer/BioNTech vaccine for COVID-19 - GOV.UK (www.gov.uk)</w:t>
              </w:r>
            </w:hyperlink>
            <w:r w:rsidR="00213C02" w:rsidRPr="00B56DB5">
              <w:rPr>
                <w:sz w:val="22"/>
                <w:szCs w:val="22"/>
              </w:rPr>
              <w:t>.</w:t>
            </w:r>
          </w:p>
          <w:p w14:paraId="496F30FE" w14:textId="55FCD523" w:rsidR="00373184" w:rsidRPr="00B56DB5" w:rsidRDefault="00831F46" w:rsidP="00F23F67">
            <w:pPr>
              <w:pStyle w:val="CommentText"/>
              <w:spacing w:before="120" w:after="120"/>
              <w:rPr>
                <w:sz w:val="22"/>
                <w:szCs w:val="22"/>
              </w:rPr>
            </w:pPr>
            <w:r w:rsidRPr="00B56DB5">
              <w:rPr>
                <w:sz w:val="22"/>
                <w:szCs w:val="22"/>
              </w:rPr>
              <w:t xml:space="preserve">In accordance with the </w:t>
            </w:r>
            <w:hyperlink r:id="rId53" w:history="1">
              <w:r w:rsidRPr="00B56DB5">
                <w:rPr>
                  <w:rStyle w:val="Hyperlink"/>
                  <w:sz w:val="22"/>
                  <w:szCs w:val="22"/>
                </w:rPr>
                <w:t>UK Statutory Instrument 2020 No. 1125, The Human Medicines (Coronavirus and Influenza) (Amendment) Regulations 2020</w:t>
              </w:r>
            </w:hyperlink>
            <w:r w:rsidRPr="00B56DB5">
              <w:rPr>
                <w:sz w:val="22"/>
                <w:szCs w:val="22"/>
              </w:rPr>
              <w:t xml:space="preserve">, a PGD may now be used to supply and/or administer a medicine authorised under regulation 174. </w:t>
            </w:r>
          </w:p>
          <w:p w14:paraId="3DC36979" w14:textId="77777777" w:rsidR="00831F46" w:rsidRPr="00B56DB5" w:rsidRDefault="00CE1D4F" w:rsidP="00F23F67">
            <w:pPr>
              <w:pStyle w:val="CommentText"/>
              <w:spacing w:before="120" w:after="120"/>
              <w:rPr>
                <w:sz w:val="22"/>
                <w:szCs w:val="22"/>
              </w:rPr>
            </w:pPr>
            <w:r w:rsidRPr="00B56DB5">
              <w:rPr>
                <w:rFonts w:cs="Arial"/>
                <w:sz w:val="22"/>
                <w:szCs w:val="22"/>
              </w:rPr>
              <w:t xml:space="preserve">COVID-19 mRNA vaccine BNT162b2 </w:t>
            </w:r>
            <w:r w:rsidR="00831F46" w:rsidRPr="00B56DB5">
              <w:rPr>
                <w:sz w:val="22"/>
                <w:szCs w:val="22"/>
              </w:rPr>
              <w:t>is categorised as a prescription only medicine (POM).</w:t>
            </w:r>
          </w:p>
          <w:p w14:paraId="0BD0C544" w14:textId="38A1243B" w:rsidR="00E42DC2" w:rsidRPr="00B56DB5" w:rsidRDefault="00E42DC2" w:rsidP="00F23F67">
            <w:pPr>
              <w:pStyle w:val="CommentText"/>
              <w:spacing w:before="120" w:after="120"/>
              <w:rPr>
                <w:sz w:val="22"/>
                <w:szCs w:val="22"/>
              </w:rPr>
            </w:pPr>
            <w:r w:rsidRPr="00B56DB5">
              <w:rPr>
                <w:sz w:val="22"/>
                <w:szCs w:val="22"/>
              </w:rPr>
              <w:t xml:space="preserve">Note: For administration of Comirnaty COVID-19 mRNA vaccine, which has been granted a conditional marketing authorisation, see the </w:t>
            </w:r>
            <w:hyperlink r:id="rId54" w:history="1">
              <w:r w:rsidR="002421EE" w:rsidRPr="00B56DB5">
                <w:rPr>
                  <w:rStyle w:val="Hyperlink"/>
                  <w:sz w:val="22"/>
                  <w:szCs w:val="22"/>
                </w:rPr>
                <w:t>Patient Group Direction for Comirnaty COVID-19 mRNA vaccine</w:t>
              </w:r>
            </w:hyperlink>
          </w:p>
        </w:tc>
      </w:tr>
      <w:tr w:rsidR="00B227F7" w:rsidRPr="00A956FD" w14:paraId="19BC055C" w14:textId="77777777" w:rsidTr="009B16D6">
        <w:tc>
          <w:tcPr>
            <w:tcW w:w="2722" w:type="dxa"/>
          </w:tcPr>
          <w:p w14:paraId="3E930910" w14:textId="28B06983" w:rsidR="00F34254" w:rsidRPr="006D38C2" w:rsidRDefault="00B227F7" w:rsidP="00F34254">
            <w:pPr>
              <w:spacing w:before="120" w:after="120"/>
              <w:rPr>
                <w:rFonts w:cs="Arial"/>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2C043855" w14:textId="4598A205" w:rsidR="00890E07" w:rsidRPr="006D38C2" w:rsidRDefault="00890E07" w:rsidP="006D38C2">
            <w:pPr>
              <w:contextualSpacing/>
              <w:rPr>
                <w:rFonts w:cs="Arial"/>
                <w:sz w:val="22"/>
                <w:szCs w:val="22"/>
              </w:rPr>
            </w:pPr>
          </w:p>
        </w:tc>
        <w:tc>
          <w:tcPr>
            <w:tcW w:w="7513" w:type="dxa"/>
          </w:tcPr>
          <w:p w14:paraId="29CF88B3" w14:textId="30B2A86A" w:rsidR="00747477" w:rsidRPr="00E65629" w:rsidRDefault="00F34254" w:rsidP="007B2C02">
            <w:pPr>
              <w:spacing w:before="120" w:after="120"/>
              <w:rPr>
                <w:rFonts w:cs="Arial"/>
                <w:sz w:val="22"/>
                <w:szCs w:val="22"/>
              </w:rPr>
            </w:pPr>
            <w:r>
              <w:rPr>
                <w:rFonts w:cs="Arial"/>
                <w:sz w:val="22"/>
                <w:szCs w:val="22"/>
              </w:rPr>
              <w:t>A</w:t>
            </w:r>
            <w:r w:rsidR="009B0842" w:rsidRPr="00E65629">
              <w:rPr>
                <w:rFonts w:cs="Arial"/>
                <w:sz w:val="22"/>
                <w:szCs w:val="22"/>
              </w:rPr>
              <w:t xml:space="preserve">s a </w:t>
            </w:r>
            <w:r>
              <w:rPr>
                <w:rFonts w:cs="Arial"/>
                <w:sz w:val="22"/>
                <w:szCs w:val="22"/>
              </w:rPr>
              <w:t xml:space="preserve">new </w:t>
            </w:r>
            <w:r w:rsidR="009B0842" w:rsidRPr="00E65629">
              <w:rPr>
                <w:rFonts w:cs="Arial"/>
                <w:sz w:val="22"/>
                <w:szCs w:val="22"/>
              </w:rPr>
              <w:t xml:space="preserve">vaccine </w:t>
            </w:r>
            <w:r w:rsidR="00E65629">
              <w:rPr>
                <w:rFonts w:cs="Arial"/>
                <w:sz w:val="22"/>
                <w:szCs w:val="22"/>
              </w:rPr>
              <w:t xml:space="preserve">product, </w:t>
            </w:r>
            <w:r w:rsidR="009B0842" w:rsidRPr="00E65629">
              <w:rPr>
                <w:rFonts w:cs="Arial"/>
                <w:sz w:val="22"/>
                <w:szCs w:val="22"/>
              </w:rPr>
              <w:t>MHRA ha</w:t>
            </w:r>
            <w:r w:rsidR="00060E38">
              <w:rPr>
                <w:rFonts w:cs="Arial"/>
                <w:sz w:val="22"/>
                <w:szCs w:val="22"/>
              </w:rPr>
              <w:t>s</w:t>
            </w:r>
            <w:r w:rsidR="009B0842" w:rsidRPr="00E65629">
              <w:rPr>
                <w:rFonts w:cs="Arial"/>
                <w:sz w:val="22"/>
                <w:szCs w:val="22"/>
              </w:rPr>
              <w:t xml:space="preserve"> a specific interest in the reporting of adverse drug reactions for this product</w:t>
            </w:r>
            <w:r w:rsidR="007B4240">
              <w:rPr>
                <w:rFonts w:cs="Arial"/>
                <w:sz w:val="22"/>
                <w:szCs w:val="22"/>
              </w:rPr>
              <w:t>.</w:t>
            </w:r>
          </w:p>
        </w:tc>
      </w:tr>
      <w:tr w:rsidR="00B227F7" w:rsidRPr="00A956FD" w14:paraId="39B411F4" w14:textId="77777777" w:rsidTr="009B16D6">
        <w:tc>
          <w:tcPr>
            <w:tcW w:w="2722" w:type="dxa"/>
          </w:tcPr>
          <w:p w14:paraId="7EDCD8B2" w14:textId="77777777" w:rsidR="00B227F7" w:rsidRDefault="00B227F7" w:rsidP="007B2C02">
            <w:pPr>
              <w:spacing w:before="120" w:after="120"/>
              <w:rPr>
                <w:rFonts w:cs="Arial"/>
                <w:b/>
                <w:sz w:val="22"/>
                <w:szCs w:val="22"/>
              </w:rPr>
            </w:pPr>
            <w:bookmarkStart w:id="23" w:name="OffLabel"/>
            <w:r w:rsidRPr="00090CE1">
              <w:rPr>
                <w:rFonts w:cs="Arial"/>
                <w:b/>
                <w:sz w:val="22"/>
                <w:szCs w:val="22"/>
              </w:rPr>
              <w:t>Off-label use</w:t>
            </w:r>
            <w:bookmarkEnd w:id="23"/>
          </w:p>
          <w:p w14:paraId="33DCC4C8" w14:textId="77777777" w:rsidR="00A44702" w:rsidRDefault="00A44702" w:rsidP="00A44702">
            <w:pPr>
              <w:spacing w:before="120" w:after="120"/>
              <w:contextualSpacing/>
              <w:rPr>
                <w:rFonts w:cs="Arial"/>
                <w:sz w:val="22"/>
                <w:szCs w:val="22"/>
              </w:rPr>
            </w:pPr>
          </w:p>
          <w:p w14:paraId="5D265517" w14:textId="766B9EEA" w:rsidR="00A44702" w:rsidRPr="00090CE1" w:rsidRDefault="00A44702" w:rsidP="006D38C2">
            <w:pPr>
              <w:spacing w:before="120" w:after="120"/>
              <w:contextualSpacing/>
              <w:rPr>
                <w:rFonts w:cs="Arial"/>
                <w:b/>
                <w:sz w:val="22"/>
                <w:szCs w:val="22"/>
              </w:rPr>
            </w:pPr>
          </w:p>
        </w:tc>
        <w:tc>
          <w:tcPr>
            <w:tcW w:w="7513" w:type="dxa"/>
          </w:tcPr>
          <w:p w14:paraId="34011182" w14:textId="0ECD25EC" w:rsidR="006971BD" w:rsidRDefault="00765DD4" w:rsidP="007B2C02">
            <w:pPr>
              <w:spacing w:before="120" w:after="120"/>
              <w:rPr>
                <w:rFonts w:cs="Arial"/>
                <w:sz w:val="22"/>
                <w:szCs w:val="22"/>
                <w:lang w:val="en"/>
              </w:rPr>
            </w:pPr>
            <w:r>
              <w:rPr>
                <w:sz w:val="22"/>
                <w:szCs w:val="22"/>
              </w:rPr>
              <w:t>COVID-19 mRNA vaccine BNT162b2</w:t>
            </w:r>
            <w:r w:rsidR="003E2E61">
              <w:rPr>
                <w:sz w:val="22"/>
                <w:szCs w:val="22"/>
              </w:rPr>
              <w:t xml:space="preserve"> </w:t>
            </w:r>
            <w:r w:rsidR="009F0AB8" w:rsidRPr="00F34254">
              <w:rPr>
                <w:rFonts w:cs="Arial"/>
                <w:sz w:val="22"/>
                <w:szCs w:val="22"/>
                <w:lang w:val="en"/>
              </w:rPr>
              <w:t xml:space="preserve">is supplied in the UK in accordance with regulation 174. </w:t>
            </w:r>
          </w:p>
          <w:p w14:paraId="520234E5" w14:textId="42A4161A" w:rsidR="00EA39BA" w:rsidRPr="00823759" w:rsidRDefault="009F0AB8" w:rsidP="007B2C02">
            <w:pPr>
              <w:spacing w:before="120" w:after="120"/>
              <w:rPr>
                <w:rFonts w:cs="Arial"/>
                <w:iCs/>
                <w:sz w:val="22"/>
                <w:szCs w:val="22"/>
              </w:rPr>
            </w:pPr>
            <w:r w:rsidRPr="00F34254">
              <w:rPr>
                <w:rFonts w:cs="Arial"/>
                <w:sz w:val="22"/>
                <w:szCs w:val="22"/>
                <w:lang w:val="en"/>
              </w:rPr>
              <w:t xml:space="preserve">As </w:t>
            </w:r>
            <w:r w:rsidR="00B227F7" w:rsidRPr="00F34254">
              <w:rPr>
                <w:rFonts w:cs="Arial"/>
                <w:sz w:val="22"/>
                <w:szCs w:val="22"/>
                <w:lang w:val="en"/>
              </w:rPr>
              <w:t xml:space="preserve">part of the consent process, </w:t>
            </w:r>
            <w:r w:rsidR="00373184">
              <w:rPr>
                <w:rFonts w:cs="Arial"/>
                <w:sz w:val="22"/>
                <w:szCs w:val="22"/>
                <w:lang w:val="en"/>
              </w:rPr>
              <w:t xml:space="preserve">healthcare professionals must </w:t>
            </w:r>
            <w:r w:rsidR="00B227F7" w:rsidRPr="00F34254">
              <w:rPr>
                <w:rFonts w:cs="Arial"/>
                <w:sz w:val="22"/>
                <w:szCs w:val="22"/>
                <w:lang w:val="en"/>
              </w:rPr>
              <w:t>inform the individual/</w:t>
            </w:r>
            <w:r w:rsidR="00AF6C7C">
              <w:rPr>
                <w:rFonts w:cs="Arial"/>
                <w:sz w:val="22"/>
                <w:szCs w:val="22"/>
                <w:lang w:val="en"/>
              </w:rPr>
              <w:t>parent/</w:t>
            </w:r>
            <w:r w:rsidR="00B227F7" w:rsidRPr="00F34254">
              <w:rPr>
                <w:rFonts w:cs="Arial"/>
                <w:sz w:val="22"/>
                <w:szCs w:val="22"/>
                <w:lang w:val="en"/>
              </w:rPr>
              <w:t>carer that th</w:t>
            </w:r>
            <w:r w:rsidRPr="00F34254">
              <w:rPr>
                <w:rFonts w:cs="Arial"/>
                <w:sz w:val="22"/>
                <w:szCs w:val="22"/>
                <w:lang w:val="en"/>
              </w:rPr>
              <w:t>is</w:t>
            </w:r>
            <w:r w:rsidR="00B227F7" w:rsidRPr="006971BD">
              <w:rPr>
                <w:rFonts w:cs="Arial"/>
                <w:iCs/>
                <w:sz w:val="22"/>
                <w:szCs w:val="22"/>
              </w:rPr>
              <w:t xml:space="preserve"> vaccine</w:t>
            </w:r>
            <w:r w:rsidR="00760CAA" w:rsidRPr="00AC3EE1">
              <w:rPr>
                <w:rFonts w:cs="Arial"/>
                <w:sz w:val="22"/>
                <w:szCs w:val="22"/>
                <w:lang w:val="en"/>
              </w:rPr>
              <w:t xml:space="preserve"> </w:t>
            </w:r>
            <w:r w:rsidR="00760CAA">
              <w:rPr>
                <w:rFonts w:cs="Arial"/>
                <w:sz w:val="22"/>
                <w:szCs w:val="22"/>
                <w:lang w:val="en"/>
              </w:rPr>
              <w:t>has been authorised for temporary supply in the UK by the</w:t>
            </w:r>
            <w:r w:rsidR="00072E39">
              <w:rPr>
                <w:rFonts w:cs="Arial"/>
                <w:sz w:val="22"/>
                <w:szCs w:val="22"/>
                <w:lang w:val="en"/>
              </w:rPr>
              <w:t xml:space="preserve"> regulator,</w:t>
            </w:r>
            <w:r w:rsidR="00760CAA">
              <w:rPr>
                <w:rFonts w:cs="Arial"/>
                <w:sz w:val="22"/>
                <w:szCs w:val="22"/>
                <w:lang w:val="en"/>
              </w:rPr>
              <w:t xml:space="preserve"> MHRA</w:t>
            </w:r>
            <w:r w:rsidR="00072E39">
              <w:rPr>
                <w:rFonts w:cs="Arial"/>
                <w:sz w:val="22"/>
                <w:szCs w:val="22"/>
                <w:lang w:val="en"/>
              </w:rPr>
              <w:t>,</w:t>
            </w:r>
            <w:r w:rsidR="00760CAA">
              <w:rPr>
                <w:rFonts w:cs="Arial"/>
                <w:sz w:val="22"/>
                <w:szCs w:val="22"/>
                <w:lang w:val="en"/>
              </w:rPr>
              <w:t xml:space="preserve"> </w:t>
            </w:r>
            <w:r w:rsidR="00760CAA" w:rsidRPr="00F34254">
              <w:rPr>
                <w:rFonts w:cs="Arial"/>
                <w:sz w:val="22"/>
                <w:szCs w:val="22"/>
                <w:lang w:val="en"/>
              </w:rPr>
              <w:t>and that it</w:t>
            </w:r>
            <w:r w:rsidR="00B227F7" w:rsidRPr="00B575CF">
              <w:rPr>
                <w:rFonts w:cs="Arial"/>
                <w:iCs/>
                <w:sz w:val="22"/>
                <w:szCs w:val="22"/>
              </w:rPr>
              <w:t xml:space="preserve"> is being </w:t>
            </w:r>
            <w:r w:rsidR="00B227F7" w:rsidRPr="00F34254">
              <w:rPr>
                <w:rFonts w:cs="Arial"/>
                <w:sz w:val="22"/>
                <w:szCs w:val="22"/>
                <w:lang w:val="en"/>
              </w:rPr>
              <w:t>offered in accordance with national guidance</w:t>
            </w:r>
            <w:r w:rsidR="00760CAA">
              <w:rPr>
                <w:rFonts w:cs="Arial"/>
                <w:sz w:val="22"/>
                <w:szCs w:val="22"/>
                <w:lang w:val="en"/>
              </w:rPr>
              <w:t>.</w:t>
            </w:r>
            <w:r w:rsidR="00BA68F9">
              <w:rPr>
                <w:rFonts w:cs="Arial"/>
                <w:sz w:val="22"/>
                <w:szCs w:val="22"/>
                <w:lang w:val="en"/>
              </w:rPr>
              <w:t xml:space="preserve"> </w:t>
            </w:r>
            <w:r w:rsidR="00BA68F9" w:rsidRPr="00AD2849">
              <w:rPr>
                <w:rFonts w:cs="Arial"/>
                <w:sz w:val="22"/>
                <w:szCs w:val="22"/>
              </w:rPr>
              <w:t xml:space="preserve">The </w:t>
            </w:r>
            <w:hyperlink r:id="rId55" w:history="1">
              <w:r w:rsidR="00BA68F9" w:rsidRPr="00AD2849">
                <w:rPr>
                  <w:rStyle w:val="Hyperlink"/>
                  <w:rFonts w:eastAsia="Arial" w:cs="Arial"/>
                  <w:sz w:val="22"/>
                  <w:szCs w:val="22"/>
                </w:rPr>
                <w:t>Regulation 174 Information for UK recipients</w:t>
              </w:r>
            </w:hyperlink>
            <w:r w:rsidR="00BA68F9" w:rsidRPr="00AD2849">
              <w:rPr>
                <w:rStyle w:val="Hyperlink"/>
                <w:rFonts w:eastAsia="Arial" w:cs="Arial"/>
                <w:sz w:val="22"/>
                <w:szCs w:val="22"/>
              </w:rPr>
              <w:t xml:space="preserve"> </w:t>
            </w:r>
            <w:r w:rsidR="00BA68F9" w:rsidRPr="00AD2849">
              <w:rPr>
                <w:rFonts w:eastAsia="Arial" w:cs="Arial"/>
                <w:sz w:val="22"/>
                <w:szCs w:val="22"/>
              </w:rPr>
              <w:t xml:space="preserve">for </w:t>
            </w:r>
            <w:r w:rsidR="00BA68F9" w:rsidRPr="00AD2849">
              <w:rPr>
                <w:rFonts w:cs="Arial"/>
                <w:sz w:val="22"/>
                <w:szCs w:val="22"/>
              </w:rPr>
              <w:t>COVID-19 mRNA Vaccine BNT162b2</w:t>
            </w:r>
            <w:r w:rsidR="00BA68F9" w:rsidRPr="00AD2849">
              <w:rPr>
                <w:rFonts w:eastAsia="Arial" w:cs="Arial"/>
                <w:sz w:val="22"/>
                <w:szCs w:val="22"/>
              </w:rPr>
              <w:t xml:space="preserve"> should be available to inform consent</w:t>
            </w:r>
            <w:r w:rsidR="00BA68F9">
              <w:rPr>
                <w:rFonts w:eastAsia="Arial" w:cs="Arial"/>
                <w:sz w:val="22"/>
                <w:szCs w:val="22"/>
              </w:rPr>
              <w:t>.</w:t>
            </w:r>
          </w:p>
        </w:tc>
      </w:tr>
      <w:tr w:rsidR="00B227F7" w:rsidRPr="00A956FD" w14:paraId="02D98942" w14:textId="77777777" w:rsidTr="009B16D6">
        <w:tc>
          <w:tcPr>
            <w:tcW w:w="2722" w:type="dxa"/>
          </w:tcPr>
          <w:p w14:paraId="66A7FEAA" w14:textId="0B9F6D6A" w:rsidR="00B227F7" w:rsidRDefault="00B227F7" w:rsidP="007B2C02">
            <w:pPr>
              <w:spacing w:before="120" w:after="120"/>
              <w:rPr>
                <w:rFonts w:cs="Arial"/>
                <w:sz w:val="22"/>
                <w:szCs w:val="22"/>
              </w:rPr>
            </w:pPr>
            <w:bookmarkStart w:id="24" w:name="RouteOfAdministrationFluad"/>
            <w:bookmarkEnd w:id="24"/>
            <w:r w:rsidRPr="00090CE1">
              <w:rPr>
                <w:rFonts w:cs="Arial"/>
                <w:b/>
                <w:sz w:val="22"/>
                <w:szCs w:val="22"/>
              </w:rPr>
              <w:t>Route / method of administration</w:t>
            </w:r>
          </w:p>
          <w:p w14:paraId="55E19B9E" w14:textId="77777777" w:rsidR="00B227F7" w:rsidRDefault="00B227F7" w:rsidP="007B2C02">
            <w:pPr>
              <w:spacing w:before="120" w:after="120"/>
              <w:contextualSpacing/>
              <w:rPr>
                <w:rFonts w:cs="Arial"/>
                <w:sz w:val="22"/>
                <w:szCs w:val="22"/>
              </w:rPr>
            </w:pPr>
          </w:p>
          <w:p w14:paraId="53B182EC" w14:textId="77777777" w:rsidR="00317170" w:rsidRDefault="00317170" w:rsidP="006B74CD">
            <w:pPr>
              <w:spacing w:before="120"/>
              <w:rPr>
                <w:rFonts w:cs="Arial"/>
                <w:sz w:val="22"/>
                <w:szCs w:val="22"/>
              </w:rPr>
            </w:pPr>
          </w:p>
          <w:p w14:paraId="6515C6FA" w14:textId="5C3F7D37" w:rsidR="00317170" w:rsidRDefault="00317170" w:rsidP="006B74CD">
            <w:pPr>
              <w:spacing w:before="120"/>
              <w:rPr>
                <w:rFonts w:cs="Arial"/>
                <w:sz w:val="22"/>
                <w:szCs w:val="22"/>
              </w:rPr>
            </w:pPr>
          </w:p>
          <w:p w14:paraId="0AB39AC0" w14:textId="34B27870" w:rsidR="00303FA3" w:rsidRDefault="00303FA3" w:rsidP="006B74CD">
            <w:pPr>
              <w:spacing w:before="120"/>
              <w:rPr>
                <w:rFonts w:cs="Arial"/>
                <w:sz w:val="22"/>
                <w:szCs w:val="22"/>
              </w:rPr>
            </w:pPr>
          </w:p>
          <w:p w14:paraId="3DC34218" w14:textId="77777777" w:rsidR="00A36A13" w:rsidRDefault="00A36A13" w:rsidP="006B74CD">
            <w:pPr>
              <w:spacing w:before="120"/>
              <w:rPr>
                <w:rFonts w:cs="Arial"/>
                <w:sz w:val="22"/>
                <w:szCs w:val="22"/>
              </w:rPr>
            </w:pPr>
          </w:p>
          <w:p w14:paraId="5F7AEA35" w14:textId="77777777" w:rsidR="00A84395" w:rsidRDefault="00A84395" w:rsidP="006B74CD">
            <w:pPr>
              <w:spacing w:before="120"/>
              <w:rPr>
                <w:rFonts w:cs="Arial"/>
                <w:sz w:val="22"/>
                <w:szCs w:val="22"/>
              </w:rPr>
            </w:pPr>
          </w:p>
          <w:p w14:paraId="6210A535" w14:textId="19A13C1A" w:rsidR="00E26C8C" w:rsidRPr="00E26C8C" w:rsidRDefault="00E26C8C" w:rsidP="006B74CD">
            <w:pPr>
              <w:spacing w:before="120"/>
              <w:rPr>
                <w:rFonts w:cs="Arial"/>
                <w:sz w:val="22"/>
                <w:szCs w:val="22"/>
              </w:rPr>
            </w:pPr>
            <w:r w:rsidRPr="00E26C8C">
              <w:rPr>
                <w:rFonts w:cs="Arial"/>
                <w:sz w:val="22"/>
                <w:szCs w:val="22"/>
              </w:rPr>
              <w:t>Continued over page</w:t>
            </w:r>
          </w:p>
          <w:p w14:paraId="620D8960" w14:textId="701B4AC7" w:rsidR="00E26C8C" w:rsidRDefault="00E26C8C" w:rsidP="00E26C8C">
            <w:pPr>
              <w:spacing w:before="120" w:after="120"/>
              <w:contextualSpacing/>
              <w:rPr>
                <w:rFonts w:cs="Arial"/>
                <w:sz w:val="22"/>
                <w:szCs w:val="22"/>
              </w:rPr>
            </w:pPr>
            <w:r w:rsidRPr="00090CE1">
              <w:rPr>
                <w:rFonts w:cs="Arial"/>
                <w:b/>
                <w:sz w:val="22"/>
                <w:szCs w:val="22"/>
              </w:rPr>
              <w:lastRenderedPageBreak/>
              <w:t>Route / method of administration</w:t>
            </w:r>
          </w:p>
          <w:p w14:paraId="7D8D5F3A" w14:textId="0B52A6DD" w:rsidR="00B227F7" w:rsidRDefault="00E26C8C" w:rsidP="00E26C8C">
            <w:pPr>
              <w:spacing w:before="120" w:after="120"/>
              <w:contextualSpacing/>
              <w:rPr>
                <w:rFonts w:cs="Arial"/>
                <w:sz w:val="22"/>
                <w:szCs w:val="22"/>
              </w:rPr>
            </w:pPr>
            <w:r>
              <w:rPr>
                <w:rFonts w:cs="Arial"/>
                <w:sz w:val="22"/>
                <w:szCs w:val="22"/>
              </w:rPr>
              <w:t>(continued)</w:t>
            </w:r>
          </w:p>
          <w:p w14:paraId="338B407D" w14:textId="77777777" w:rsidR="00B227F7" w:rsidRDefault="00B227F7" w:rsidP="007B2C02">
            <w:pPr>
              <w:spacing w:before="120" w:after="120"/>
              <w:contextualSpacing/>
              <w:rPr>
                <w:rFonts w:cs="Arial"/>
                <w:sz w:val="22"/>
                <w:szCs w:val="22"/>
              </w:rPr>
            </w:pPr>
          </w:p>
          <w:p w14:paraId="0035BE2D" w14:textId="77777777" w:rsidR="00B227F7" w:rsidRDefault="00B227F7" w:rsidP="007B2C02">
            <w:pPr>
              <w:spacing w:before="120" w:after="120"/>
              <w:contextualSpacing/>
              <w:rPr>
                <w:rFonts w:cs="Arial"/>
                <w:sz w:val="22"/>
                <w:szCs w:val="22"/>
              </w:rPr>
            </w:pPr>
          </w:p>
          <w:p w14:paraId="31C3F5C9" w14:textId="6BC7CEC3" w:rsidR="00B227F7" w:rsidRPr="00C53C63" w:rsidRDefault="00B227F7" w:rsidP="003D1D60">
            <w:pPr>
              <w:spacing w:before="120" w:after="120"/>
              <w:contextualSpacing/>
              <w:rPr>
                <w:color w:val="FF0000"/>
                <w:sz w:val="22"/>
              </w:rPr>
            </w:pPr>
          </w:p>
        </w:tc>
        <w:tc>
          <w:tcPr>
            <w:tcW w:w="7513" w:type="dxa"/>
          </w:tcPr>
          <w:p w14:paraId="51991F1C" w14:textId="77777777" w:rsidR="00EA1880" w:rsidRPr="003D1D60" w:rsidRDefault="00EA1880" w:rsidP="00EA1880">
            <w:pPr>
              <w:shd w:val="clear" w:color="auto" w:fill="FFFFFF"/>
              <w:overflowPunct/>
              <w:autoSpaceDE/>
              <w:autoSpaceDN/>
              <w:adjustRightInd/>
              <w:spacing w:before="120" w:after="120"/>
              <w:textAlignment w:val="auto"/>
              <w:rPr>
                <w:rFonts w:cs="Arial"/>
                <w:sz w:val="22"/>
                <w:szCs w:val="22"/>
              </w:rPr>
            </w:pPr>
            <w:r w:rsidRPr="003D1D60">
              <w:rPr>
                <w:rFonts w:cs="Arial"/>
                <w:sz w:val="22"/>
                <w:szCs w:val="22"/>
              </w:rPr>
              <w:lastRenderedPageBreak/>
              <w:t>COVID-19 mRNA vaccine BNT162b2 is for administration by intramuscular injection only, preferably into deltoid region of the upper arm.</w:t>
            </w:r>
          </w:p>
          <w:p w14:paraId="59F54EDA" w14:textId="1D5747D3" w:rsidR="001125CE" w:rsidRPr="003D1D60" w:rsidRDefault="00A632DB" w:rsidP="007B2C02">
            <w:pPr>
              <w:shd w:val="clear" w:color="auto" w:fill="FFFFFF"/>
              <w:overflowPunct/>
              <w:autoSpaceDE/>
              <w:autoSpaceDN/>
              <w:adjustRightInd/>
              <w:spacing w:before="120" w:after="120"/>
              <w:textAlignment w:val="auto"/>
              <w:rPr>
                <w:rFonts w:cs="Arial"/>
                <w:sz w:val="22"/>
                <w:szCs w:val="22"/>
              </w:rPr>
            </w:pPr>
            <w:r w:rsidRPr="003D1D60">
              <w:rPr>
                <w:rFonts w:cs="Arial"/>
                <w:sz w:val="22"/>
                <w:szCs w:val="22"/>
              </w:rPr>
              <w:t>Using aseptic technique, t</w:t>
            </w:r>
            <w:r w:rsidR="009859E5" w:rsidRPr="003D1D60">
              <w:rPr>
                <w:rFonts w:cs="Arial"/>
                <w:sz w:val="22"/>
                <w:szCs w:val="22"/>
              </w:rPr>
              <w:t xml:space="preserve">hawed </w:t>
            </w:r>
            <w:r w:rsidR="00765DD4" w:rsidRPr="004878EA">
              <w:rPr>
                <w:rFonts w:cs="Arial"/>
                <w:sz w:val="22"/>
                <w:szCs w:val="22"/>
              </w:rPr>
              <w:t>COVID-19 mRNA vaccine BNT162b2</w:t>
            </w:r>
            <w:r w:rsidR="003E2E61" w:rsidRPr="004878EA">
              <w:rPr>
                <w:rFonts w:cs="Arial"/>
                <w:sz w:val="22"/>
                <w:szCs w:val="22"/>
              </w:rPr>
              <w:t xml:space="preserve"> </w:t>
            </w:r>
            <w:r w:rsidR="00F34254" w:rsidRPr="004878EA">
              <w:rPr>
                <w:rFonts w:cs="Arial"/>
                <w:sz w:val="22"/>
                <w:szCs w:val="22"/>
              </w:rPr>
              <w:t xml:space="preserve">requires dilution </w:t>
            </w:r>
            <w:r w:rsidR="00216CB3" w:rsidRPr="00954F73">
              <w:rPr>
                <w:rFonts w:cs="Arial"/>
                <w:sz w:val="22"/>
                <w:szCs w:val="22"/>
              </w:rPr>
              <w:t>in its original</w:t>
            </w:r>
            <w:r w:rsidR="00F34254" w:rsidRPr="005B6589">
              <w:rPr>
                <w:rFonts w:cs="Arial"/>
                <w:sz w:val="22"/>
                <w:szCs w:val="22"/>
              </w:rPr>
              <w:t xml:space="preserve"> vial with 1.8m</w:t>
            </w:r>
            <w:r w:rsidR="000E6DB5" w:rsidRPr="00947CE2">
              <w:rPr>
                <w:rFonts w:cs="Arial"/>
                <w:sz w:val="22"/>
                <w:szCs w:val="22"/>
              </w:rPr>
              <w:t>l</w:t>
            </w:r>
            <w:r w:rsidR="00F34254" w:rsidRPr="00B17774">
              <w:rPr>
                <w:rFonts w:cs="Arial"/>
                <w:sz w:val="22"/>
                <w:szCs w:val="22"/>
              </w:rPr>
              <w:t xml:space="preserve"> of </w:t>
            </w:r>
            <w:r w:rsidR="00373184" w:rsidRPr="00B17774">
              <w:rPr>
                <w:rFonts w:cs="Arial"/>
                <w:sz w:val="22"/>
                <w:szCs w:val="22"/>
              </w:rPr>
              <w:t xml:space="preserve">unpreserved </w:t>
            </w:r>
            <w:r w:rsidR="00F34254" w:rsidRPr="00B17774">
              <w:rPr>
                <w:rFonts w:cs="Arial"/>
                <w:sz w:val="22"/>
                <w:szCs w:val="22"/>
              </w:rPr>
              <w:t>sodium chloride 0.9%</w:t>
            </w:r>
            <w:r w:rsidR="009859E5" w:rsidRPr="00B17774">
              <w:rPr>
                <w:rFonts w:cs="Arial"/>
                <w:sz w:val="22"/>
                <w:szCs w:val="22"/>
              </w:rPr>
              <w:t xml:space="preserve"> solution for injection</w:t>
            </w:r>
            <w:r w:rsidR="00F34254" w:rsidRPr="00857890">
              <w:rPr>
                <w:rFonts w:cs="Arial"/>
                <w:sz w:val="22"/>
                <w:szCs w:val="22"/>
              </w:rPr>
              <w:t xml:space="preserve">, prior to </w:t>
            </w:r>
            <w:r w:rsidR="00F34254" w:rsidRPr="00336503">
              <w:rPr>
                <w:rFonts w:cs="Arial"/>
                <w:sz w:val="22"/>
                <w:szCs w:val="22"/>
              </w:rPr>
              <w:t>withdrawing a 0.3m</w:t>
            </w:r>
            <w:r w:rsidR="000E6DB5" w:rsidRPr="003D1D60">
              <w:rPr>
                <w:rFonts w:cs="Arial"/>
                <w:sz w:val="22"/>
                <w:szCs w:val="22"/>
              </w:rPr>
              <w:t>l</w:t>
            </w:r>
            <w:r w:rsidR="00F34254" w:rsidRPr="003D1D60">
              <w:rPr>
                <w:rFonts w:cs="Arial"/>
                <w:sz w:val="22"/>
                <w:szCs w:val="22"/>
              </w:rPr>
              <w:t xml:space="preserve"> dose</w:t>
            </w:r>
            <w:r w:rsidR="009436BC">
              <w:rPr>
                <w:rFonts w:cs="Arial"/>
                <w:sz w:val="22"/>
                <w:szCs w:val="22"/>
              </w:rPr>
              <w:t xml:space="preserve"> for administration</w:t>
            </w:r>
            <w:r w:rsidR="00E76515" w:rsidRPr="003D1D60">
              <w:rPr>
                <w:rFonts w:cs="Arial"/>
                <w:sz w:val="22"/>
                <w:szCs w:val="22"/>
              </w:rPr>
              <w:t xml:space="preserve">. </w:t>
            </w:r>
            <w:r w:rsidR="00F34254" w:rsidRPr="003D1D60">
              <w:rPr>
                <w:rFonts w:cs="Arial"/>
                <w:sz w:val="22"/>
                <w:szCs w:val="22"/>
              </w:rPr>
              <w:t xml:space="preserve"> </w:t>
            </w:r>
          </w:p>
          <w:p w14:paraId="2C22741F" w14:textId="11465607" w:rsidR="009859E5" w:rsidRPr="00B17774" w:rsidRDefault="00D82FA2" w:rsidP="007B2C02">
            <w:pPr>
              <w:shd w:val="clear" w:color="auto" w:fill="FFFFFF"/>
              <w:overflowPunct/>
              <w:autoSpaceDE/>
              <w:autoSpaceDN/>
              <w:adjustRightInd/>
              <w:spacing w:before="120" w:after="120"/>
              <w:textAlignment w:val="auto"/>
              <w:rPr>
                <w:rFonts w:cs="Arial"/>
                <w:sz w:val="22"/>
                <w:szCs w:val="22"/>
              </w:rPr>
            </w:pPr>
            <w:r w:rsidRPr="003D1D60">
              <w:rPr>
                <w:rFonts w:cs="Arial"/>
                <w:sz w:val="22"/>
                <w:szCs w:val="22"/>
              </w:rPr>
              <w:t xml:space="preserve">Vaccine should be prepared in accordance with </w:t>
            </w:r>
            <w:r w:rsidR="00E76515" w:rsidRPr="003D1D60">
              <w:rPr>
                <w:rFonts w:cs="Arial"/>
                <w:sz w:val="22"/>
                <w:szCs w:val="22"/>
              </w:rPr>
              <w:t xml:space="preserve">the </w:t>
            </w:r>
            <w:r w:rsidR="00E365ED" w:rsidRPr="003D1D60">
              <w:rPr>
                <w:rFonts w:cs="Arial"/>
                <w:sz w:val="22"/>
                <w:szCs w:val="22"/>
              </w:rPr>
              <w:t>manufacturer</w:t>
            </w:r>
            <w:r w:rsidR="000A1617" w:rsidRPr="003D1D60">
              <w:rPr>
                <w:rFonts w:cs="Arial"/>
                <w:sz w:val="22"/>
                <w:szCs w:val="22"/>
              </w:rPr>
              <w:t>’</w:t>
            </w:r>
            <w:r w:rsidR="00E365ED" w:rsidRPr="003D1D60">
              <w:rPr>
                <w:rFonts w:cs="Arial"/>
                <w:sz w:val="22"/>
                <w:szCs w:val="22"/>
              </w:rPr>
              <w:t xml:space="preserve">s recommendations (see </w:t>
            </w:r>
            <w:hyperlink r:id="rId56" w:history="1">
              <w:r w:rsidR="0052506A" w:rsidRPr="007B4240">
                <w:rPr>
                  <w:rStyle w:val="Hyperlink"/>
                  <w:sz w:val="22"/>
                  <w:szCs w:val="22"/>
                </w:rPr>
                <w:t>Regulation 174 Information for UK Healthcare Professionals</w:t>
              </w:r>
            </w:hyperlink>
            <w:r w:rsidR="00E365ED" w:rsidRPr="007B4240">
              <w:rPr>
                <w:rFonts w:cs="Arial"/>
                <w:sz w:val="22"/>
                <w:szCs w:val="22"/>
              </w:rPr>
              <w:t>)</w:t>
            </w:r>
            <w:r w:rsidR="00E76515" w:rsidRPr="003D1D60">
              <w:rPr>
                <w:rFonts w:cs="Arial"/>
                <w:sz w:val="22"/>
                <w:szCs w:val="22"/>
              </w:rPr>
              <w:t xml:space="preserve"> </w:t>
            </w:r>
            <w:r w:rsidRPr="003D1D60">
              <w:rPr>
                <w:rFonts w:cs="Arial"/>
                <w:sz w:val="22"/>
                <w:szCs w:val="22"/>
              </w:rPr>
              <w:t>and</w:t>
            </w:r>
            <w:r w:rsidRPr="004878EA">
              <w:rPr>
                <w:rFonts w:cs="Arial"/>
                <w:sz w:val="22"/>
                <w:szCs w:val="22"/>
              </w:rPr>
              <w:t xml:space="preserve"> </w:t>
            </w:r>
            <w:r w:rsidR="00AC74B4" w:rsidRPr="004878EA">
              <w:rPr>
                <w:rFonts w:cs="Arial"/>
                <w:sz w:val="22"/>
                <w:szCs w:val="22"/>
              </w:rPr>
              <w:t xml:space="preserve">NHS standard operating procedures </w:t>
            </w:r>
            <w:r w:rsidRPr="004878EA">
              <w:rPr>
                <w:rFonts w:cs="Arial"/>
                <w:sz w:val="22"/>
                <w:szCs w:val="22"/>
              </w:rPr>
              <w:t>for the service.</w:t>
            </w:r>
            <w:r w:rsidR="007B4240">
              <w:rPr>
                <w:rFonts w:cs="Arial"/>
                <w:sz w:val="22"/>
                <w:szCs w:val="22"/>
              </w:rPr>
              <w:t xml:space="preserve"> </w:t>
            </w:r>
            <w:r w:rsidR="00E365ED" w:rsidRPr="00947CE2">
              <w:rPr>
                <w:rFonts w:cs="Arial"/>
                <w:sz w:val="22"/>
                <w:szCs w:val="22"/>
              </w:rPr>
              <w:t>Gently invert the dilute</w:t>
            </w:r>
            <w:r w:rsidR="00E365ED" w:rsidRPr="00B17774">
              <w:rPr>
                <w:rFonts w:cs="Arial"/>
                <w:sz w:val="22"/>
                <w:szCs w:val="22"/>
              </w:rPr>
              <w:t xml:space="preserve">d solution 10 times. </w:t>
            </w:r>
            <w:r w:rsidR="009859E5" w:rsidRPr="00B17774">
              <w:rPr>
                <w:rFonts w:cs="Arial"/>
                <w:sz w:val="22"/>
                <w:szCs w:val="22"/>
              </w:rPr>
              <w:t>Do not shake</w:t>
            </w:r>
            <w:r w:rsidR="00E76515" w:rsidRPr="00B17774">
              <w:rPr>
                <w:rFonts w:cs="Arial"/>
                <w:sz w:val="22"/>
                <w:szCs w:val="22"/>
              </w:rPr>
              <w:t xml:space="preserve"> the vaccine.</w:t>
            </w:r>
          </w:p>
          <w:p w14:paraId="004B78FC" w14:textId="2E6E7731" w:rsidR="00D050CC" w:rsidRPr="003D1D60" w:rsidRDefault="00F34254" w:rsidP="00E26C8C">
            <w:pPr>
              <w:spacing w:after="120" w:line="250" w:lineRule="auto"/>
              <w:rPr>
                <w:rFonts w:cs="Arial"/>
                <w:sz w:val="22"/>
                <w:szCs w:val="22"/>
              </w:rPr>
            </w:pPr>
            <w:r w:rsidRPr="00336503">
              <w:rPr>
                <w:rFonts w:cs="Arial"/>
                <w:sz w:val="22"/>
                <w:szCs w:val="22"/>
              </w:rPr>
              <w:lastRenderedPageBreak/>
              <w:t>Inspect vi</w:t>
            </w:r>
            <w:r w:rsidRPr="003D1D60">
              <w:rPr>
                <w:rFonts w:cs="Arial"/>
                <w:sz w:val="22"/>
                <w:szCs w:val="22"/>
              </w:rPr>
              <w:t xml:space="preserve">sually prior to administration and ensure appearance is consistent with the description in the </w:t>
            </w:r>
            <w:hyperlink r:id="rId57" w:history="1">
              <w:r w:rsidR="00775CBB" w:rsidRPr="003D1D60">
                <w:rPr>
                  <w:rStyle w:val="Hyperlink"/>
                  <w:sz w:val="22"/>
                  <w:szCs w:val="22"/>
                </w:rPr>
                <w:t>Regulation 174 Information for UK Healthcare Professionals</w:t>
              </w:r>
            </w:hyperlink>
            <w:r w:rsidR="009859E5" w:rsidRPr="003D1D60">
              <w:rPr>
                <w:rFonts w:cs="Arial"/>
                <w:sz w:val="22"/>
                <w:szCs w:val="22"/>
              </w:rPr>
              <w:t>, that is an off-white solution</w:t>
            </w:r>
            <w:r w:rsidR="00E76515" w:rsidRPr="003D1D60">
              <w:rPr>
                <w:rFonts w:cs="Arial"/>
                <w:sz w:val="22"/>
                <w:szCs w:val="22"/>
              </w:rPr>
              <w:t xml:space="preserve"> </w:t>
            </w:r>
            <w:r w:rsidR="009859E5" w:rsidRPr="004878EA">
              <w:rPr>
                <w:rFonts w:cs="Arial"/>
                <w:sz w:val="22"/>
                <w:szCs w:val="22"/>
              </w:rPr>
              <w:t>with no particulates visible</w:t>
            </w:r>
            <w:r w:rsidRPr="004878EA">
              <w:rPr>
                <w:rFonts w:cs="Arial"/>
                <w:sz w:val="22"/>
                <w:szCs w:val="22"/>
              </w:rPr>
              <w:t>.</w:t>
            </w:r>
            <w:r w:rsidR="00E365ED" w:rsidRPr="00947CE2">
              <w:rPr>
                <w:rFonts w:cs="Arial"/>
                <w:sz w:val="22"/>
                <w:szCs w:val="22"/>
              </w:rPr>
              <w:t xml:space="preserve"> </w:t>
            </w:r>
            <w:r w:rsidR="00E365ED" w:rsidRPr="00B17774">
              <w:rPr>
                <w:rFonts w:cs="Arial"/>
                <w:sz w:val="22"/>
                <w:szCs w:val="22"/>
              </w:rPr>
              <w:t>Discard the vaccine if particulates or discolouration are present</w:t>
            </w:r>
            <w:r w:rsidR="00E365ED" w:rsidRPr="00336503">
              <w:rPr>
                <w:rFonts w:cs="Arial"/>
                <w:sz w:val="22"/>
                <w:szCs w:val="22"/>
              </w:rPr>
              <w:t>.</w:t>
            </w:r>
          </w:p>
          <w:p w14:paraId="10465C7A" w14:textId="1E8CC29C" w:rsidR="00E365ED" w:rsidRPr="003D1D60" w:rsidRDefault="00E365ED" w:rsidP="00E26C8C">
            <w:pPr>
              <w:spacing w:after="120"/>
              <w:rPr>
                <w:rFonts w:cs="Arial"/>
                <w:sz w:val="22"/>
                <w:szCs w:val="22"/>
              </w:rPr>
            </w:pPr>
            <w:r w:rsidRPr="003D1D60">
              <w:rPr>
                <w:rFonts w:cs="Arial"/>
                <w:sz w:val="22"/>
                <w:szCs w:val="22"/>
              </w:rPr>
              <w:t>Check product name</w:t>
            </w:r>
            <w:r w:rsidR="000A1617" w:rsidRPr="003D1D60">
              <w:rPr>
                <w:rFonts w:cs="Arial"/>
                <w:sz w:val="22"/>
                <w:szCs w:val="22"/>
              </w:rPr>
              <w:t>,</w:t>
            </w:r>
            <w:r w:rsidRPr="003D1D60">
              <w:rPr>
                <w:rFonts w:cs="Arial"/>
                <w:sz w:val="22"/>
                <w:szCs w:val="22"/>
              </w:rPr>
              <w:t xml:space="preserve"> batch number and expiry date prior to administration.</w:t>
            </w:r>
          </w:p>
          <w:p w14:paraId="7B157FEC" w14:textId="6F34794B" w:rsidR="0020561A" w:rsidRPr="003D1D60" w:rsidRDefault="00632BFF" w:rsidP="007B4240">
            <w:pPr>
              <w:spacing w:before="120" w:after="120"/>
              <w:rPr>
                <w:rFonts w:cs="Arial"/>
                <w:sz w:val="22"/>
                <w:szCs w:val="22"/>
              </w:rPr>
            </w:pPr>
            <w:r w:rsidRPr="002930AA">
              <w:rPr>
                <w:rFonts w:cs="Arial"/>
                <w:sz w:val="22"/>
                <w:szCs w:val="22"/>
              </w:rPr>
              <w:t xml:space="preserve">In order to extract at least 6 doses from a single vial, low dead-volume syringes and/or needles should be used. </w:t>
            </w:r>
            <w:r w:rsidR="00775CBB" w:rsidRPr="00336503">
              <w:rPr>
                <w:rFonts w:cs="Arial"/>
                <w:sz w:val="22"/>
                <w:szCs w:val="22"/>
              </w:rPr>
              <w:t xml:space="preserve">Each dose must contain </w:t>
            </w:r>
            <w:r w:rsidR="00775CBB" w:rsidRPr="003D1D60">
              <w:rPr>
                <w:rFonts w:cs="Arial"/>
                <w:sz w:val="22"/>
                <w:szCs w:val="22"/>
              </w:rPr>
              <w:t xml:space="preserve">0.3ml of vaccine. If the amount of vaccine remaining in the vial cannot provide a full dose of 0.3ml, discard the vial and any excess volume. Do not pool excess vaccine from multiple vials. Any unused vaccine should be discarded 6 hours after dilution. </w:t>
            </w:r>
          </w:p>
        </w:tc>
      </w:tr>
      <w:tr w:rsidR="00B227F7" w:rsidRPr="00A956FD" w14:paraId="33FA5681" w14:textId="77777777" w:rsidTr="009B16D6">
        <w:tc>
          <w:tcPr>
            <w:tcW w:w="2722" w:type="dxa"/>
          </w:tcPr>
          <w:p w14:paraId="2D368410" w14:textId="77777777" w:rsidR="00B227F7" w:rsidRDefault="00B227F7" w:rsidP="00F34254">
            <w:pPr>
              <w:pStyle w:val="Header"/>
              <w:tabs>
                <w:tab w:val="clear" w:pos="4153"/>
                <w:tab w:val="clear" w:pos="8306"/>
              </w:tabs>
              <w:spacing w:before="120" w:after="120"/>
              <w:contextualSpacing/>
              <w:rPr>
                <w:rFonts w:ascii="Arial" w:hAnsi="Arial" w:cs="Arial"/>
                <w:b/>
                <w:sz w:val="22"/>
                <w:szCs w:val="22"/>
              </w:rPr>
            </w:pPr>
            <w:bookmarkStart w:id="25" w:name="DoseAndFrequencyOfAdministration"/>
            <w:bookmarkEnd w:id="25"/>
            <w:r w:rsidRPr="00A202D7">
              <w:rPr>
                <w:rFonts w:ascii="Arial" w:hAnsi="Arial" w:cs="Arial"/>
                <w:b/>
                <w:sz w:val="22"/>
                <w:szCs w:val="22"/>
              </w:rPr>
              <w:lastRenderedPageBreak/>
              <w:t>Dose and frequency of administration</w:t>
            </w:r>
          </w:p>
          <w:p w14:paraId="454A897F"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554248BA"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1D56A1E5"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16072884"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356C17F6"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420DF09F"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1E2F86AD"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76F199E4"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6289980D"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7EABA73B"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74AE3FF6"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2391A7AF"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51BF7196"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0C9F0EF9"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3272C713" w14:textId="77777777" w:rsidR="00211EA1" w:rsidRDefault="00211EA1" w:rsidP="00F34254">
            <w:pPr>
              <w:pStyle w:val="Header"/>
              <w:tabs>
                <w:tab w:val="clear" w:pos="4153"/>
                <w:tab w:val="clear" w:pos="8306"/>
              </w:tabs>
              <w:spacing w:before="120" w:after="120"/>
              <w:contextualSpacing/>
              <w:rPr>
                <w:rFonts w:ascii="Arial" w:hAnsi="Arial" w:cs="Arial"/>
                <w:bCs/>
                <w:sz w:val="22"/>
                <w:szCs w:val="22"/>
              </w:rPr>
            </w:pPr>
          </w:p>
          <w:p w14:paraId="72179012" w14:textId="77777777" w:rsidR="00A84395" w:rsidRDefault="00A84395" w:rsidP="00A84395">
            <w:pPr>
              <w:contextualSpacing/>
              <w:rPr>
                <w:rFonts w:cs="Arial"/>
                <w:sz w:val="22"/>
                <w:szCs w:val="22"/>
              </w:rPr>
            </w:pPr>
          </w:p>
          <w:p w14:paraId="2CE292BD" w14:textId="77777777" w:rsidR="00A84395" w:rsidRDefault="00A84395" w:rsidP="00A84395">
            <w:pPr>
              <w:contextualSpacing/>
              <w:rPr>
                <w:rFonts w:cs="Arial"/>
                <w:sz w:val="22"/>
                <w:szCs w:val="22"/>
              </w:rPr>
            </w:pPr>
          </w:p>
          <w:p w14:paraId="05FB4D4F" w14:textId="77777777" w:rsidR="00A84395" w:rsidRDefault="00A84395" w:rsidP="00A84395">
            <w:pPr>
              <w:contextualSpacing/>
              <w:rPr>
                <w:rFonts w:cs="Arial"/>
                <w:sz w:val="22"/>
                <w:szCs w:val="22"/>
              </w:rPr>
            </w:pPr>
          </w:p>
          <w:p w14:paraId="4215A460" w14:textId="77777777" w:rsidR="00A84395" w:rsidRDefault="00A84395" w:rsidP="00A84395">
            <w:pPr>
              <w:contextualSpacing/>
              <w:rPr>
                <w:rFonts w:cs="Arial"/>
                <w:sz w:val="22"/>
                <w:szCs w:val="22"/>
              </w:rPr>
            </w:pPr>
          </w:p>
          <w:p w14:paraId="3A2BD574" w14:textId="77777777" w:rsidR="00A84395" w:rsidRDefault="00A84395" w:rsidP="00A84395">
            <w:pPr>
              <w:contextualSpacing/>
              <w:rPr>
                <w:rFonts w:cs="Arial"/>
                <w:sz w:val="22"/>
                <w:szCs w:val="22"/>
              </w:rPr>
            </w:pPr>
          </w:p>
          <w:p w14:paraId="62901DE7" w14:textId="77777777" w:rsidR="00A84395" w:rsidRDefault="00A84395" w:rsidP="00A84395">
            <w:pPr>
              <w:contextualSpacing/>
              <w:rPr>
                <w:rFonts w:cs="Arial"/>
                <w:sz w:val="22"/>
                <w:szCs w:val="22"/>
              </w:rPr>
            </w:pPr>
          </w:p>
          <w:p w14:paraId="73347D8D" w14:textId="77777777" w:rsidR="00A84395" w:rsidRDefault="00A84395" w:rsidP="00A84395">
            <w:pPr>
              <w:contextualSpacing/>
              <w:rPr>
                <w:rFonts w:cs="Arial"/>
                <w:sz w:val="22"/>
                <w:szCs w:val="22"/>
              </w:rPr>
            </w:pPr>
          </w:p>
          <w:p w14:paraId="7C16C9BA" w14:textId="77777777" w:rsidR="00A84395" w:rsidRDefault="00A84395" w:rsidP="00A84395">
            <w:pPr>
              <w:contextualSpacing/>
              <w:rPr>
                <w:rFonts w:cs="Arial"/>
                <w:sz w:val="22"/>
                <w:szCs w:val="22"/>
              </w:rPr>
            </w:pPr>
          </w:p>
          <w:p w14:paraId="411E74FC" w14:textId="77777777" w:rsidR="00A84395" w:rsidRDefault="00A84395" w:rsidP="00A84395">
            <w:pPr>
              <w:contextualSpacing/>
              <w:rPr>
                <w:rFonts w:cs="Arial"/>
                <w:sz w:val="22"/>
                <w:szCs w:val="22"/>
              </w:rPr>
            </w:pPr>
          </w:p>
          <w:p w14:paraId="2890622E" w14:textId="77777777" w:rsidR="00A84395" w:rsidRDefault="00A84395" w:rsidP="00A84395">
            <w:pPr>
              <w:contextualSpacing/>
              <w:rPr>
                <w:rFonts w:cs="Arial"/>
                <w:sz w:val="22"/>
                <w:szCs w:val="22"/>
              </w:rPr>
            </w:pPr>
          </w:p>
          <w:p w14:paraId="6EEB4E62" w14:textId="77777777" w:rsidR="00A84395" w:rsidRDefault="00A84395" w:rsidP="00A84395">
            <w:pPr>
              <w:contextualSpacing/>
              <w:rPr>
                <w:rFonts w:cs="Arial"/>
                <w:sz w:val="22"/>
                <w:szCs w:val="22"/>
              </w:rPr>
            </w:pPr>
          </w:p>
          <w:p w14:paraId="10E6A908" w14:textId="77777777" w:rsidR="00A84395" w:rsidRDefault="00A84395" w:rsidP="00A84395">
            <w:pPr>
              <w:contextualSpacing/>
              <w:rPr>
                <w:rFonts w:cs="Arial"/>
                <w:sz w:val="22"/>
                <w:szCs w:val="22"/>
              </w:rPr>
            </w:pPr>
          </w:p>
          <w:p w14:paraId="28E640D9" w14:textId="77777777" w:rsidR="00A84395" w:rsidRDefault="00A84395" w:rsidP="00A84395">
            <w:pPr>
              <w:contextualSpacing/>
              <w:rPr>
                <w:rFonts w:cs="Arial"/>
                <w:sz w:val="22"/>
                <w:szCs w:val="22"/>
              </w:rPr>
            </w:pPr>
          </w:p>
          <w:p w14:paraId="0FF745A9" w14:textId="77777777" w:rsidR="00A84395" w:rsidRDefault="00A84395" w:rsidP="00A84395">
            <w:pPr>
              <w:contextualSpacing/>
              <w:rPr>
                <w:rFonts w:cs="Arial"/>
                <w:sz w:val="22"/>
                <w:szCs w:val="22"/>
              </w:rPr>
            </w:pPr>
          </w:p>
          <w:p w14:paraId="46990371" w14:textId="44AF0DD0" w:rsidR="00E56171" w:rsidRDefault="00E56171" w:rsidP="00A84395">
            <w:pPr>
              <w:contextualSpacing/>
              <w:rPr>
                <w:rFonts w:cs="Arial"/>
                <w:sz w:val="22"/>
                <w:szCs w:val="22"/>
              </w:rPr>
            </w:pPr>
          </w:p>
          <w:p w14:paraId="0AB1B7D0" w14:textId="77777777" w:rsidR="00E56171" w:rsidRDefault="00E56171" w:rsidP="00A84395">
            <w:pPr>
              <w:contextualSpacing/>
              <w:rPr>
                <w:rFonts w:cs="Arial"/>
                <w:sz w:val="22"/>
                <w:szCs w:val="22"/>
              </w:rPr>
            </w:pPr>
          </w:p>
          <w:p w14:paraId="7999C874" w14:textId="77777777" w:rsidR="00A84395" w:rsidRDefault="00A84395" w:rsidP="00A84395">
            <w:pPr>
              <w:contextualSpacing/>
              <w:rPr>
                <w:rFonts w:cs="Arial"/>
                <w:sz w:val="22"/>
                <w:szCs w:val="22"/>
              </w:rPr>
            </w:pPr>
          </w:p>
          <w:p w14:paraId="69304810" w14:textId="77777777" w:rsidR="00E76001" w:rsidRDefault="00E76001" w:rsidP="000028EA">
            <w:pPr>
              <w:contextualSpacing/>
              <w:rPr>
                <w:rFonts w:cs="Arial"/>
                <w:sz w:val="22"/>
                <w:szCs w:val="22"/>
              </w:rPr>
            </w:pPr>
          </w:p>
          <w:p w14:paraId="2BE5AC1F" w14:textId="77777777" w:rsidR="00E76001" w:rsidRDefault="00E76001" w:rsidP="000028EA">
            <w:pPr>
              <w:contextualSpacing/>
              <w:rPr>
                <w:rFonts w:cs="Arial"/>
                <w:sz w:val="22"/>
                <w:szCs w:val="22"/>
              </w:rPr>
            </w:pPr>
          </w:p>
          <w:p w14:paraId="5F886050" w14:textId="77777777" w:rsidR="00E76001" w:rsidRDefault="00E76001" w:rsidP="000028EA">
            <w:pPr>
              <w:contextualSpacing/>
              <w:rPr>
                <w:rFonts w:cs="Arial"/>
                <w:sz w:val="22"/>
                <w:szCs w:val="22"/>
              </w:rPr>
            </w:pPr>
          </w:p>
          <w:p w14:paraId="5CE23F08" w14:textId="77777777" w:rsidR="00E76001" w:rsidRDefault="00E76001" w:rsidP="000028EA">
            <w:pPr>
              <w:contextualSpacing/>
              <w:rPr>
                <w:rFonts w:cs="Arial"/>
                <w:sz w:val="22"/>
                <w:szCs w:val="22"/>
              </w:rPr>
            </w:pPr>
          </w:p>
          <w:p w14:paraId="7E79C9CD" w14:textId="77777777" w:rsidR="00E76001" w:rsidRDefault="00E76001" w:rsidP="000028EA">
            <w:pPr>
              <w:contextualSpacing/>
              <w:rPr>
                <w:rFonts w:cs="Arial"/>
                <w:sz w:val="22"/>
                <w:szCs w:val="22"/>
              </w:rPr>
            </w:pPr>
          </w:p>
          <w:p w14:paraId="266A9B71" w14:textId="77777777" w:rsidR="00E76001" w:rsidRDefault="00E76001" w:rsidP="000028EA">
            <w:pPr>
              <w:contextualSpacing/>
              <w:rPr>
                <w:rFonts w:cs="Arial"/>
                <w:sz w:val="22"/>
                <w:szCs w:val="22"/>
              </w:rPr>
            </w:pPr>
          </w:p>
          <w:p w14:paraId="5E7DF4EE" w14:textId="315E90E8" w:rsidR="00E76001" w:rsidRDefault="00E76001" w:rsidP="000028EA">
            <w:pPr>
              <w:contextualSpacing/>
              <w:rPr>
                <w:rFonts w:cs="Arial"/>
                <w:sz w:val="22"/>
                <w:szCs w:val="22"/>
              </w:rPr>
            </w:pPr>
          </w:p>
          <w:p w14:paraId="13E9D446" w14:textId="0C81398E" w:rsidR="000451D5" w:rsidRDefault="000451D5" w:rsidP="000028EA">
            <w:pPr>
              <w:contextualSpacing/>
              <w:rPr>
                <w:rFonts w:cs="Arial"/>
                <w:sz w:val="22"/>
                <w:szCs w:val="22"/>
              </w:rPr>
            </w:pPr>
          </w:p>
          <w:p w14:paraId="5489B1EF" w14:textId="77777777" w:rsidR="000451D5" w:rsidRDefault="000451D5" w:rsidP="000028EA">
            <w:pPr>
              <w:contextualSpacing/>
              <w:rPr>
                <w:rFonts w:cs="Arial"/>
                <w:sz w:val="22"/>
                <w:szCs w:val="22"/>
              </w:rPr>
            </w:pPr>
          </w:p>
          <w:p w14:paraId="532B5DF4" w14:textId="62D9F44C" w:rsidR="00A84395" w:rsidRPr="00E26C8C" w:rsidRDefault="00A84395" w:rsidP="000028EA">
            <w:pPr>
              <w:contextualSpacing/>
              <w:rPr>
                <w:rFonts w:cs="Arial"/>
                <w:sz w:val="22"/>
                <w:szCs w:val="22"/>
              </w:rPr>
            </w:pPr>
            <w:r w:rsidRPr="00E26C8C">
              <w:rPr>
                <w:rFonts w:cs="Arial"/>
                <w:sz w:val="22"/>
                <w:szCs w:val="22"/>
              </w:rPr>
              <w:t>Continued over page</w:t>
            </w:r>
          </w:p>
          <w:p w14:paraId="2C608A7A" w14:textId="77777777" w:rsidR="00A84395" w:rsidRDefault="00A84395" w:rsidP="000028EA">
            <w:pPr>
              <w:pStyle w:val="Header"/>
              <w:tabs>
                <w:tab w:val="clear" w:pos="4153"/>
                <w:tab w:val="clear" w:pos="8306"/>
              </w:tabs>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1ADBD240" w14:textId="77777777" w:rsidR="00211EA1" w:rsidRDefault="00A84395" w:rsidP="000028EA">
            <w:pPr>
              <w:rPr>
                <w:rFonts w:cs="Arial"/>
                <w:sz w:val="22"/>
                <w:szCs w:val="22"/>
              </w:rPr>
            </w:pPr>
            <w:r>
              <w:rPr>
                <w:rFonts w:cs="Arial"/>
                <w:sz w:val="22"/>
                <w:szCs w:val="22"/>
              </w:rPr>
              <w:t>(continued)</w:t>
            </w:r>
          </w:p>
          <w:p w14:paraId="517D629E" w14:textId="77777777" w:rsidR="00A36A13" w:rsidRDefault="00A36A13" w:rsidP="000028EA">
            <w:pPr>
              <w:rPr>
                <w:rFonts w:cs="Arial"/>
                <w:sz w:val="22"/>
                <w:szCs w:val="22"/>
              </w:rPr>
            </w:pPr>
          </w:p>
          <w:p w14:paraId="1133502D" w14:textId="77777777" w:rsidR="00A36A13" w:rsidRDefault="00A36A13" w:rsidP="000028EA">
            <w:pPr>
              <w:rPr>
                <w:rFonts w:cs="Arial"/>
                <w:sz w:val="22"/>
                <w:szCs w:val="22"/>
              </w:rPr>
            </w:pPr>
          </w:p>
          <w:p w14:paraId="68818021" w14:textId="77777777" w:rsidR="00A36A13" w:rsidRDefault="00A36A13" w:rsidP="000028EA">
            <w:pPr>
              <w:rPr>
                <w:rFonts w:cs="Arial"/>
                <w:sz w:val="22"/>
                <w:szCs w:val="22"/>
              </w:rPr>
            </w:pPr>
          </w:p>
          <w:p w14:paraId="43E09167" w14:textId="77777777" w:rsidR="00A36A13" w:rsidRDefault="00A36A13" w:rsidP="000028EA">
            <w:pPr>
              <w:rPr>
                <w:rFonts w:cs="Arial"/>
                <w:sz w:val="22"/>
                <w:szCs w:val="22"/>
              </w:rPr>
            </w:pPr>
          </w:p>
          <w:p w14:paraId="6E1EC1CD" w14:textId="77777777" w:rsidR="00A36A13" w:rsidRDefault="00A36A13" w:rsidP="000028EA">
            <w:pPr>
              <w:rPr>
                <w:rFonts w:cs="Arial"/>
                <w:sz w:val="22"/>
                <w:szCs w:val="22"/>
              </w:rPr>
            </w:pPr>
          </w:p>
          <w:p w14:paraId="1C2CD6F3" w14:textId="77777777" w:rsidR="00A36A13" w:rsidRDefault="00A36A13" w:rsidP="000028EA">
            <w:pPr>
              <w:rPr>
                <w:rFonts w:cs="Arial"/>
                <w:sz w:val="22"/>
                <w:szCs w:val="22"/>
              </w:rPr>
            </w:pPr>
          </w:p>
          <w:p w14:paraId="2A58E316" w14:textId="77777777" w:rsidR="00A36A13" w:rsidRDefault="00A36A13" w:rsidP="000028EA">
            <w:pPr>
              <w:rPr>
                <w:rFonts w:cs="Arial"/>
                <w:sz w:val="22"/>
                <w:szCs w:val="22"/>
              </w:rPr>
            </w:pPr>
          </w:p>
          <w:p w14:paraId="1187AD73" w14:textId="77777777" w:rsidR="00A36A13" w:rsidRDefault="00A36A13" w:rsidP="000028EA">
            <w:pPr>
              <w:rPr>
                <w:rFonts w:cs="Arial"/>
                <w:sz w:val="22"/>
                <w:szCs w:val="22"/>
              </w:rPr>
            </w:pPr>
          </w:p>
          <w:p w14:paraId="6B5F0CDD" w14:textId="77777777" w:rsidR="00A36A13" w:rsidRDefault="00A36A13" w:rsidP="000028EA">
            <w:pPr>
              <w:rPr>
                <w:rFonts w:cs="Arial"/>
                <w:sz w:val="22"/>
                <w:szCs w:val="22"/>
              </w:rPr>
            </w:pPr>
          </w:p>
          <w:p w14:paraId="3F66AF74" w14:textId="77777777" w:rsidR="00A36A13" w:rsidRDefault="00A36A13" w:rsidP="000028EA">
            <w:pPr>
              <w:rPr>
                <w:rFonts w:cs="Arial"/>
                <w:sz w:val="22"/>
                <w:szCs w:val="22"/>
              </w:rPr>
            </w:pPr>
          </w:p>
          <w:p w14:paraId="18103863" w14:textId="77777777" w:rsidR="00A36A13" w:rsidRDefault="00A36A13" w:rsidP="000028EA">
            <w:pPr>
              <w:rPr>
                <w:rFonts w:cs="Arial"/>
                <w:sz w:val="22"/>
                <w:szCs w:val="22"/>
              </w:rPr>
            </w:pPr>
          </w:p>
          <w:p w14:paraId="31BC0FE3" w14:textId="77777777" w:rsidR="00A36A13" w:rsidRDefault="00A36A13" w:rsidP="000028EA">
            <w:pPr>
              <w:rPr>
                <w:rFonts w:cs="Arial"/>
                <w:sz w:val="22"/>
                <w:szCs w:val="22"/>
              </w:rPr>
            </w:pPr>
          </w:p>
          <w:p w14:paraId="01E57082" w14:textId="77777777" w:rsidR="00A36A13" w:rsidRDefault="00A36A13" w:rsidP="000028EA">
            <w:pPr>
              <w:rPr>
                <w:rFonts w:cs="Arial"/>
                <w:sz w:val="22"/>
                <w:szCs w:val="22"/>
              </w:rPr>
            </w:pPr>
          </w:p>
          <w:p w14:paraId="2C6A9D9C" w14:textId="5EF825F8" w:rsidR="00A36A13" w:rsidRDefault="00A36A13" w:rsidP="000028EA">
            <w:pPr>
              <w:rPr>
                <w:rFonts w:cs="Arial"/>
                <w:sz w:val="22"/>
                <w:szCs w:val="22"/>
              </w:rPr>
            </w:pPr>
          </w:p>
          <w:p w14:paraId="70D57F1F" w14:textId="497AB4E8" w:rsidR="00A36A13" w:rsidRDefault="00A36A13" w:rsidP="000028EA">
            <w:pPr>
              <w:rPr>
                <w:rFonts w:cs="Arial"/>
                <w:sz w:val="22"/>
                <w:szCs w:val="22"/>
              </w:rPr>
            </w:pPr>
          </w:p>
          <w:p w14:paraId="037B10CF" w14:textId="23409796" w:rsidR="00A36A13" w:rsidRDefault="00A36A13" w:rsidP="000028EA">
            <w:pPr>
              <w:rPr>
                <w:rFonts w:cs="Arial"/>
                <w:sz w:val="22"/>
                <w:szCs w:val="22"/>
              </w:rPr>
            </w:pPr>
          </w:p>
          <w:p w14:paraId="00042CCA" w14:textId="3B36E5F3" w:rsidR="00A36A13" w:rsidRDefault="00A36A13" w:rsidP="000028EA">
            <w:pPr>
              <w:rPr>
                <w:rFonts w:cs="Arial"/>
                <w:sz w:val="22"/>
                <w:szCs w:val="22"/>
              </w:rPr>
            </w:pPr>
          </w:p>
          <w:p w14:paraId="44206755" w14:textId="2A28F73B" w:rsidR="00A36A13" w:rsidRDefault="00A36A13" w:rsidP="000028EA">
            <w:pPr>
              <w:rPr>
                <w:rFonts w:cs="Arial"/>
                <w:sz w:val="22"/>
                <w:szCs w:val="22"/>
              </w:rPr>
            </w:pPr>
          </w:p>
          <w:p w14:paraId="00A153A0" w14:textId="4811D5A6" w:rsidR="00A36A13" w:rsidRDefault="00A36A13" w:rsidP="000028EA">
            <w:pPr>
              <w:rPr>
                <w:rFonts w:cs="Arial"/>
                <w:sz w:val="22"/>
                <w:szCs w:val="22"/>
              </w:rPr>
            </w:pPr>
          </w:p>
          <w:p w14:paraId="6F3E27CE" w14:textId="3E8A01B9" w:rsidR="00A36A13" w:rsidRDefault="00A36A13" w:rsidP="000028EA">
            <w:pPr>
              <w:rPr>
                <w:rFonts w:cs="Arial"/>
                <w:sz w:val="22"/>
                <w:szCs w:val="22"/>
              </w:rPr>
            </w:pPr>
          </w:p>
          <w:p w14:paraId="4F70E1A9" w14:textId="388DE6DD" w:rsidR="00A36A13" w:rsidRDefault="00A36A13" w:rsidP="000028EA">
            <w:pPr>
              <w:rPr>
                <w:rFonts w:cs="Arial"/>
                <w:sz w:val="22"/>
                <w:szCs w:val="22"/>
              </w:rPr>
            </w:pPr>
          </w:p>
          <w:p w14:paraId="36DE774A" w14:textId="0F9324E8" w:rsidR="00A36A13" w:rsidRDefault="00A36A13" w:rsidP="000028EA">
            <w:pPr>
              <w:rPr>
                <w:rFonts w:cs="Arial"/>
                <w:sz w:val="22"/>
                <w:szCs w:val="22"/>
              </w:rPr>
            </w:pPr>
          </w:p>
          <w:p w14:paraId="1AFB95A6" w14:textId="40A8D214" w:rsidR="00A36A13" w:rsidRDefault="00A36A13" w:rsidP="000028EA">
            <w:pPr>
              <w:rPr>
                <w:rFonts w:cs="Arial"/>
                <w:sz w:val="22"/>
                <w:szCs w:val="22"/>
              </w:rPr>
            </w:pPr>
          </w:p>
          <w:p w14:paraId="27901BC3" w14:textId="5E85E127" w:rsidR="00A36A13" w:rsidRDefault="00A36A13" w:rsidP="000028EA">
            <w:pPr>
              <w:rPr>
                <w:rFonts w:cs="Arial"/>
                <w:sz w:val="22"/>
                <w:szCs w:val="22"/>
              </w:rPr>
            </w:pPr>
          </w:p>
          <w:p w14:paraId="511B82CA" w14:textId="27754F42" w:rsidR="00A36A13" w:rsidRDefault="00A36A13" w:rsidP="000028EA">
            <w:pPr>
              <w:rPr>
                <w:rFonts w:cs="Arial"/>
                <w:sz w:val="22"/>
                <w:szCs w:val="22"/>
              </w:rPr>
            </w:pPr>
          </w:p>
          <w:p w14:paraId="5A6E6294" w14:textId="57C8AC2B" w:rsidR="00A36A13" w:rsidRDefault="00A36A13" w:rsidP="000028EA">
            <w:pPr>
              <w:rPr>
                <w:rFonts w:cs="Arial"/>
                <w:sz w:val="22"/>
                <w:szCs w:val="22"/>
              </w:rPr>
            </w:pPr>
          </w:p>
          <w:p w14:paraId="4881D6BF" w14:textId="38183128" w:rsidR="00A36A13" w:rsidRDefault="00A36A13" w:rsidP="000028EA">
            <w:pPr>
              <w:rPr>
                <w:rFonts w:cs="Arial"/>
                <w:sz w:val="22"/>
                <w:szCs w:val="22"/>
              </w:rPr>
            </w:pPr>
          </w:p>
          <w:p w14:paraId="1322A838" w14:textId="339C3A45" w:rsidR="00A36A13" w:rsidRDefault="00A36A13" w:rsidP="000028EA">
            <w:pPr>
              <w:rPr>
                <w:rFonts w:cs="Arial"/>
                <w:sz w:val="22"/>
                <w:szCs w:val="22"/>
              </w:rPr>
            </w:pPr>
          </w:p>
          <w:p w14:paraId="0B743F50" w14:textId="05AD962A" w:rsidR="00A36A13" w:rsidRDefault="00A36A13" w:rsidP="000028EA">
            <w:pPr>
              <w:rPr>
                <w:rFonts w:cs="Arial"/>
                <w:sz w:val="22"/>
                <w:szCs w:val="22"/>
              </w:rPr>
            </w:pPr>
          </w:p>
          <w:p w14:paraId="6F668247" w14:textId="4AA0C066" w:rsidR="00A36A13" w:rsidRDefault="00A36A13" w:rsidP="000028EA">
            <w:pPr>
              <w:rPr>
                <w:rFonts w:cs="Arial"/>
                <w:sz w:val="22"/>
                <w:szCs w:val="22"/>
              </w:rPr>
            </w:pPr>
          </w:p>
          <w:p w14:paraId="1401E465" w14:textId="27A3BA47" w:rsidR="00A36A13" w:rsidRDefault="00A36A13" w:rsidP="000028EA">
            <w:pPr>
              <w:rPr>
                <w:rFonts w:cs="Arial"/>
                <w:sz w:val="22"/>
                <w:szCs w:val="22"/>
              </w:rPr>
            </w:pPr>
          </w:p>
          <w:p w14:paraId="4F2E097D" w14:textId="342ED621" w:rsidR="00A36A13" w:rsidRDefault="00A36A13" w:rsidP="000028EA">
            <w:pPr>
              <w:rPr>
                <w:rFonts w:cs="Arial"/>
                <w:sz w:val="22"/>
                <w:szCs w:val="22"/>
              </w:rPr>
            </w:pPr>
          </w:p>
          <w:p w14:paraId="03D9820A" w14:textId="4A5E6923" w:rsidR="00A36A13" w:rsidRDefault="00A36A13" w:rsidP="000028EA">
            <w:pPr>
              <w:rPr>
                <w:rFonts w:cs="Arial"/>
                <w:sz w:val="22"/>
                <w:szCs w:val="22"/>
              </w:rPr>
            </w:pPr>
          </w:p>
          <w:p w14:paraId="22F443B3" w14:textId="0FD5F7A8" w:rsidR="00A36A13" w:rsidRDefault="00A36A13" w:rsidP="000028EA">
            <w:pPr>
              <w:rPr>
                <w:rFonts w:cs="Arial"/>
                <w:sz w:val="22"/>
                <w:szCs w:val="22"/>
              </w:rPr>
            </w:pPr>
          </w:p>
          <w:p w14:paraId="1E8AA267" w14:textId="47851000" w:rsidR="00A36A13" w:rsidRDefault="00A36A13" w:rsidP="000028EA">
            <w:pPr>
              <w:rPr>
                <w:rFonts w:cs="Arial"/>
                <w:sz w:val="22"/>
                <w:szCs w:val="22"/>
              </w:rPr>
            </w:pPr>
          </w:p>
          <w:p w14:paraId="56C3ADE2" w14:textId="2BF2A7CC" w:rsidR="00A36A13" w:rsidRDefault="00A36A13" w:rsidP="000028EA">
            <w:pPr>
              <w:rPr>
                <w:rFonts w:cs="Arial"/>
                <w:sz w:val="22"/>
                <w:szCs w:val="22"/>
              </w:rPr>
            </w:pPr>
          </w:p>
          <w:p w14:paraId="171BF7C8" w14:textId="26FD6FC0" w:rsidR="00A36A13" w:rsidRDefault="00A36A13" w:rsidP="000028EA">
            <w:pPr>
              <w:rPr>
                <w:rFonts w:cs="Arial"/>
                <w:sz w:val="22"/>
                <w:szCs w:val="22"/>
              </w:rPr>
            </w:pPr>
          </w:p>
          <w:p w14:paraId="63B4E626" w14:textId="2DEE31FF" w:rsidR="00A36A13" w:rsidRDefault="00A36A13" w:rsidP="000028EA">
            <w:pPr>
              <w:rPr>
                <w:rFonts w:cs="Arial"/>
                <w:sz w:val="22"/>
                <w:szCs w:val="22"/>
              </w:rPr>
            </w:pPr>
          </w:p>
          <w:p w14:paraId="2600D696" w14:textId="0934EEE5" w:rsidR="00A36A13" w:rsidRDefault="00A36A13" w:rsidP="000028EA">
            <w:pPr>
              <w:rPr>
                <w:rFonts w:cs="Arial"/>
                <w:sz w:val="22"/>
                <w:szCs w:val="22"/>
              </w:rPr>
            </w:pPr>
          </w:p>
          <w:p w14:paraId="4EBD75B9" w14:textId="555A0C54" w:rsidR="00A36A13" w:rsidRDefault="00A36A13" w:rsidP="000028EA">
            <w:pPr>
              <w:rPr>
                <w:rFonts w:cs="Arial"/>
                <w:sz w:val="22"/>
                <w:szCs w:val="22"/>
              </w:rPr>
            </w:pPr>
          </w:p>
          <w:p w14:paraId="7A97CF59" w14:textId="2CFA8B8F" w:rsidR="00A36A13" w:rsidRDefault="00A36A13" w:rsidP="000028EA">
            <w:pPr>
              <w:rPr>
                <w:rFonts w:cs="Arial"/>
                <w:sz w:val="22"/>
                <w:szCs w:val="22"/>
              </w:rPr>
            </w:pPr>
          </w:p>
          <w:p w14:paraId="22C8BB1A" w14:textId="09BE993C" w:rsidR="00A36A13" w:rsidRDefault="00A36A13" w:rsidP="000028EA">
            <w:pPr>
              <w:rPr>
                <w:rFonts w:cs="Arial"/>
                <w:sz w:val="22"/>
                <w:szCs w:val="22"/>
              </w:rPr>
            </w:pPr>
          </w:p>
          <w:p w14:paraId="70093C88" w14:textId="2D640DEA" w:rsidR="00A36A13" w:rsidRDefault="00A36A13" w:rsidP="000028EA">
            <w:pPr>
              <w:rPr>
                <w:rFonts w:cs="Arial"/>
                <w:sz w:val="22"/>
                <w:szCs w:val="22"/>
              </w:rPr>
            </w:pPr>
          </w:p>
          <w:p w14:paraId="7276A20C" w14:textId="4C33909B" w:rsidR="00A36A13" w:rsidRDefault="00A36A13" w:rsidP="000028EA">
            <w:pPr>
              <w:rPr>
                <w:rFonts w:cs="Arial"/>
                <w:sz w:val="22"/>
                <w:szCs w:val="22"/>
              </w:rPr>
            </w:pPr>
          </w:p>
          <w:p w14:paraId="713F7A06" w14:textId="2B3931B7" w:rsidR="00A36A13" w:rsidRDefault="00A36A13" w:rsidP="000028EA">
            <w:pPr>
              <w:rPr>
                <w:rFonts w:cs="Arial"/>
                <w:sz w:val="22"/>
                <w:szCs w:val="22"/>
              </w:rPr>
            </w:pPr>
          </w:p>
          <w:p w14:paraId="4C3504EF" w14:textId="290B1B4B" w:rsidR="00A36A13" w:rsidRDefault="00A36A13" w:rsidP="000028EA">
            <w:pPr>
              <w:rPr>
                <w:rFonts w:cs="Arial"/>
                <w:sz w:val="22"/>
                <w:szCs w:val="22"/>
              </w:rPr>
            </w:pPr>
          </w:p>
          <w:p w14:paraId="2A22D740" w14:textId="15A88546" w:rsidR="00A36A13" w:rsidRDefault="00A36A13" w:rsidP="000028EA">
            <w:pPr>
              <w:rPr>
                <w:rFonts w:cs="Arial"/>
                <w:sz w:val="22"/>
                <w:szCs w:val="22"/>
              </w:rPr>
            </w:pPr>
          </w:p>
          <w:p w14:paraId="7D0D8BCB" w14:textId="0BB8E1E3" w:rsidR="00A36A13" w:rsidRDefault="00A36A13" w:rsidP="000028EA">
            <w:pPr>
              <w:rPr>
                <w:rFonts w:cs="Arial"/>
                <w:sz w:val="22"/>
                <w:szCs w:val="22"/>
              </w:rPr>
            </w:pPr>
          </w:p>
          <w:p w14:paraId="4EBE6DBF" w14:textId="7A851FA2" w:rsidR="00A36A13" w:rsidRDefault="00A36A13" w:rsidP="000028EA">
            <w:pPr>
              <w:rPr>
                <w:rFonts w:cs="Arial"/>
                <w:sz w:val="22"/>
                <w:szCs w:val="22"/>
              </w:rPr>
            </w:pPr>
          </w:p>
          <w:p w14:paraId="3D30DAE6" w14:textId="164A86FE" w:rsidR="00A36A13" w:rsidRDefault="00A36A13" w:rsidP="000028EA">
            <w:pPr>
              <w:rPr>
                <w:rFonts w:cs="Arial"/>
                <w:sz w:val="22"/>
                <w:szCs w:val="22"/>
              </w:rPr>
            </w:pPr>
          </w:p>
          <w:p w14:paraId="44298528" w14:textId="77777777" w:rsidR="00A36A13" w:rsidRDefault="00A36A13" w:rsidP="000028EA">
            <w:pPr>
              <w:rPr>
                <w:rFonts w:cs="Arial"/>
                <w:sz w:val="22"/>
                <w:szCs w:val="22"/>
              </w:rPr>
            </w:pPr>
          </w:p>
          <w:p w14:paraId="112D43D0" w14:textId="77777777" w:rsidR="00A36A13" w:rsidRPr="00E26C8C" w:rsidRDefault="00A36A13" w:rsidP="00A36A13">
            <w:pPr>
              <w:contextualSpacing/>
              <w:rPr>
                <w:rFonts w:cs="Arial"/>
                <w:sz w:val="22"/>
                <w:szCs w:val="22"/>
              </w:rPr>
            </w:pPr>
            <w:r w:rsidRPr="00E26C8C">
              <w:rPr>
                <w:rFonts w:cs="Arial"/>
                <w:sz w:val="22"/>
                <w:szCs w:val="22"/>
              </w:rPr>
              <w:t>Continued over page</w:t>
            </w:r>
          </w:p>
          <w:p w14:paraId="108F49BF" w14:textId="77777777" w:rsidR="00A36A13" w:rsidRDefault="00A36A13" w:rsidP="00A36A13">
            <w:pPr>
              <w:pStyle w:val="Header"/>
              <w:tabs>
                <w:tab w:val="clear" w:pos="4153"/>
                <w:tab w:val="clear" w:pos="8306"/>
              </w:tabs>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6D918E45" w14:textId="640CED4A" w:rsidR="00A36A13" w:rsidRPr="00211EA1" w:rsidDel="00DE6557" w:rsidRDefault="00A36A13" w:rsidP="00A36A13">
            <w:pPr>
              <w:rPr>
                <w:rFonts w:cs="Arial"/>
                <w:bCs/>
                <w:sz w:val="22"/>
                <w:szCs w:val="22"/>
              </w:rPr>
            </w:pPr>
            <w:r>
              <w:rPr>
                <w:rFonts w:cs="Arial"/>
                <w:sz w:val="22"/>
                <w:szCs w:val="22"/>
              </w:rPr>
              <w:t>(continued)</w:t>
            </w:r>
          </w:p>
        </w:tc>
        <w:tc>
          <w:tcPr>
            <w:tcW w:w="7513" w:type="dxa"/>
          </w:tcPr>
          <w:p w14:paraId="46AFA02C" w14:textId="30874E70" w:rsidR="00E76001" w:rsidRPr="005029D4" w:rsidRDefault="00E76001" w:rsidP="00E76001">
            <w:pPr>
              <w:overflowPunct/>
              <w:spacing w:before="120" w:after="120"/>
              <w:textAlignment w:val="auto"/>
              <w:rPr>
                <w:rFonts w:cs="Arial"/>
                <w:b/>
                <w:bCs/>
                <w:sz w:val="22"/>
                <w:szCs w:val="22"/>
              </w:rPr>
            </w:pPr>
            <w:bookmarkStart w:id="26" w:name="_Hlk87267574"/>
            <w:r w:rsidRPr="005029D4">
              <w:rPr>
                <w:rFonts w:cs="Arial"/>
                <w:sz w:val="22"/>
                <w:szCs w:val="22"/>
              </w:rPr>
              <w:lastRenderedPageBreak/>
              <w:t>A dose of COVID-19 mRNA vaccine BNT162b2 is 0.3ml and contains 30micrograms of COVID-19 mRNA vaccine in 0.3ml.</w:t>
            </w:r>
          </w:p>
          <w:p w14:paraId="5AA09E7C" w14:textId="3DAAE881" w:rsidR="00E76001" w:rsidRPr="005029D4" w:rsidRDefault="00E76001" w:rsidP="00E76001">
            <w:pPr>
              <w:spacing w:before="120" w:after="120"/>
              <w:rPr>
                <w:rFonts w:cs="Arial"/>
                <w:sz w:val="22"/>
                <w:szCs w:val="22"/>
              </w:rPr>
            </w:pPr>
            <w:bookmarkStart w:id="27" w:name="_Hlk87267630"/>
            <w:bookmarkEnd w:id="26"/>
            <w:r w:rsidRPr="005029D4">
              <w:rPr>
                <w:rFonts w:cs="Arial"/>
                <w:sz w:val="22"/>
                <w:szCs w:val="22"/>
              </w:rPr>
              <w:t>The two-dose primary course consists of 30micrograms in 0.3ml followed</w:t>
            </w:r>
            <w:r w:rsidR="00112702" w:rsidRPr="005029D4">
              <w:rPr>
                <w:rFonts w:cs="Arial"/>
                <w:sz w:val="22"/>
                <w:szCs w:val="22"/>
              </w:rPr>
              <w:t>, after an interval of at least 21 days,</w:t>
            </w:r>
            <w:r w:rsidRPr="005029D4">
              <w:rPr>
                <w:rFonts w:cs="Arial"/>
                <w:sz w:val="22"/>
                <w:szCs w:val="22"/>
              </w:rPr>
              <w:t xml:space="preserve"> by a second dose of 30micrograms in 0.3ml. However, the programme schedule, including both the number of doses and the intervals between them, should be administered in accordance with official national guidance which is set out in </w:t>
            </w:r>
            <w:hyperlink r:id="rId58" w:history="1">
              <w:r w:rsidRPr="005029D4">
                <w:rPr>
                  <w:rStyle w:val="Hyperlink"/>
                  <w:rFonts w:cs="Arial"/>
                  <w:sz w:val="22"/>
                  <w:szCs w:val="22"/>
                </w:rPr>
                <w:t>Chapter 14a</w:t>
              </w:r>
            </w:hyperlink>
            <w:r w:rsidRPr="005029D4">
              <w:rPr>
                <w:rFonts w:cs="Arial"/>
                <w:sz w:val="22"/>
                <w:szCs w:val="22"/>
              </w:rPr>
              <w:t xml:space="preserve"> of the Green Book and summarised below</w:t>
            </w:r>
            <w:bookmarkEnd w:id="27"/>
            <w:r w:rsidRPr="005029D4">
              <w:rPr>
                <w:rFonts w:cs="Arial"/>
                <w:sz w:val="22"/>
                <w:szCs w:val="22"/>
              </w:rPr>
              <w:t xml:space="preserve"> and in a table at </w:t>
            </w:r>
            <w:hyperlink w:anchor="AppendixA" w:history="1">
              <w:r w:rsidRPr="005029D4">
                <w:rPr>
                  <w:rStyle w:val="Hyperlink"/>
                  <w:rFonts w:cs="Arial"/>
                  <w:sz w:val="22"/>
                  <w:szCs w:val="22"/>
                </w:rPr>
                <w:t>Appendix A</w:t>
              </w:r>
            </w:hyperlink>
            <w:r w:rsidRPr="005029D4">
              <w:rPr>
                <w:rFonts w:cs="Arial"/>
                <w:sz w:val="22"/>
                <w:szCs w:val="22"/>
              </w:rPr>
              <w:t>.</w:t>
            </w:r>
          </w:p>
          <w:p w14:paraId="5EECE777" w14:textId="1F14643F" w:rsidR="00E76001" w:rsidRPr="005029D4" w:rsidRDefault="00E76001" w:rsidP="005029D4">
            <w:pPr>
              <w:pStyle w:val="Pa3"/>
              <w:spacing w:after="160"/>
              <w:rPr>
                <w:rFonts w:cs="Arial"/>
                <w:color w:val="000000"/>
                <w:sz w:val="22"/>
                <w:szCs w:val="22"/>
              </w:rPr>
            </w:pPr>
            <w:r w:rsidRPr="005029D4">
              <w:rPr>
                <w:rFonts w:ascii="Arial" w:hAnsi="Arial" w:cs="Arial"/>
                <w:color w:val="000000"/>
                <w:sz w:val="22"/>
                <w:szCs w:val="22"/>
              </w:rPr>
              <w:t xml:space="preserve">For both adenovirus vector and mRNA vaccines, there is evidence of better immune response and/or protection where longer intervals between doses in the primary schedule are used. </w:t>
            </w:r>
          </w:p>
          <w:p w14:paraId="4178BA10" w14:textId="23B0C615" w:rsidR="00E76001" w:rsidRPr="005029D4" w:rsidRDefault="00E76001" w:rsidP="005029D4">
            <w:pPr>
              <w:pStyle w:val="Pa3"/>
              <w:spacing w:after="160"/>
              <w:rPr>
                <w:rFonts w:cs="Arial"/>
                <w:color w:val="000000"/>
                <w:sz w:val="22"/>
                <w:szCs w:val="22"/>
              </w:rPr>
            </w:pPr>
            <w:r w:rsidRPr="005029D4">
              <w:rPr>
                <w:rFonts w:ascii="Arial" w:hAnsi="Arial" w:cs="Arial"/>
                <w:sz w:val="22"/>
                <w:szCs w:val="22"/>
              </w:rPr>
              <w:t xml:space="preserve">Based on this evidence, longer intervals are likely to provide more durable protection. JCVI is currently recommending a minimum interval of eight weeks between doses of all the available COVID-19 vaccines where a two-dose primary schedule is used for adults and for children at high risk. Operationally, this consistent interval should be used for all vaccines with a two-dose primary schedule to avoid confusion and simplify booking and will help to ensure a good balance between achieving rapid and long-lasting protection. </w:t>
            </w:r>
          </w:p>
          <w:p w14:paraId="4F86DEFD" w14:textId="1ACE23BA" w:rsidR="00E76001" w:rsidRPr="005029D4" w:rsidRDefault="00E76001" w:rsidP="00E76001">
            <w:pPr>
              <w:rPr>
                <w:rFonts w:cs="Arial"/>
                <w:sz w:val="22"/>
                <w:szCs w:val="22"/>
              </w:rPr>
            </w:pPr>
            <w:r w:rsidRPr="005029D4">
              <w:rPr>
                <w:rFonts w:cs="Arial"/>
                <w:sz w:val="22"/>
                <w:szCs w:val="22"/>
              </w:rPr>
              <w:t xml:space="preserve">For those under 18 </w:t>
            </w:r>
            <w:r w:rsidR="000451D5">
              <w:rPr>
                <w:rFonts w:cs="Arial"/>
                <w:sz w:val="22"/>
                <w:szCs w:val="22"/>
              </w:rPr>
              <w:t xml:space="preserve">years </w:t>
            </w:r>
            <w:r w:rsidRPr="005029D4">
              <w:rPr>
                <w:rFonts w:cs="Arial"/>
                <w:sz w:val="22"/>
                <w:szCs w:val="22"/>
              </w:rPr>
              <w:t xml:space="preserve">who are not in a </w:t>
            </w:r>
            <w:r w:rsidR="00A36A13" w:rsidRPr="005029D4">
              <w:rPr>
                <w:rFonts w:cs="Arial"/>
                <w:sz w:val="22"/>
                <w:szCs w:val="22"/>
              </w:rPr>
              <w:t xml:space="preserve">high </w:t>
            </w:r>
            <w:r w:rsidRPr="005029D4">
              <w:rPr>
                <w:rFonts w:cs="Arial"/>
                <w:sz w:val="22"/>
                <w:szCs w:val="22"/>
              </w:rPr>
              <w:t>risk group a 12-week interval is preferred</w:t>
            </w:r>
            <w:r w:rsidR="00282B5B" w:rsidRPr="005029D4">
              <w:rPr>
                <w:rFonts w:cs="Arial"/>
                <w:sz w:val="22"/>
                <w:szCs w:val="22"/>
              </w:rPr>
              <w:t xml:space="preserve"> (see </w:t>
            </w:r>
            <w:hyperlink w:anchor="TwelveWeekInterval" w:history="1">
              <w:r w:rsidR="00282B5B" w:rsidRPr="005029D4">
                <w:rPr>
                  <w:rStyle w:val="Hyperlink"/>
                  <w:rFonts w:cs="Arial"/>
                  <w:sz w:val="22"/>
                  <w:szCs w:val="22"/>
                </w:rPr>
                <w:t>below</w:t>
              </w:r>
            </w:hyperlink>
            <w:r w:rsidR="00282B5B" w:rsidRPr="005029D4">
              <w:rPr>
                <w:rFonts w:cs="Arial"/>
                <w:sz w:val="22"/>
                <w:szCs w:val="22"/>
              </w:rPr>
              <w:t xml:space="preserve"> and </w:t>
            </w:r>
            <w:hyperlink w:anchor="AppendixA" w:history="1">
              <w:r w:rsidR="00282B5B" w:rsidRPr="005029D4">
                <w:rPr>
                  <w:rStyle w:val="Hyperlink"/>
                  <w:rFonts w:cs="Arial"/>
                  <w:sz w:val="22"/>
                  <w:szCs w:val="22"/>
                </w:rPr>
                <w:t>Appendix</w:t>
              </w:r>
              <w:r w:rsidR="00B07B08" w:rsidRPr="005029D4">
                <w:rPr>
                  <w:rStyle w:val="Hyperlink"/>
                  <w:rFonts w:cs="Arial"/>
                  <w:sz w:val="22"/>
                  <w:szCs w:val="22"/>
                </w:rPr>
                <w:t xml:space="preserve"> </w:t>
              </w:r>
              <w:r w:rsidR="00282B5B" w:rsidRPr="005029D4">
                <w:rPr>
                  <w:rStyle w:val="Hyperlink"/>
                  <w:rFonts w:cs="Arial"/>
                  <w:sz w:val="22"/>
                  <w:szCs w:val="22"/>
                </w:rPr>
                <w:t>A</w:t>
              </w:r>
            </w:hyperlink>
            <w:r w:rsidR="00282B5B" w:rsidRPr="005029D4">
              <w:rPr>
                <w:rFonts w:cs="Arial"/>
                <w:sz w:val="22"/>
                <w:szCs w:val="22"/>
              </w:rPr>
              <w:t>)</w:t>
            </w:r>
            <w:r w:rsidRPr="005029D4">
              <w:rPr>
                <w:rFonts w:cs="Arial"/>
                <w:sz w:val="22"/>
                <w:szCs w:val="22"/>
              </w:rPr>
              <w:t xml:space="preserve">. This is based on precautionary advice from the JCVI based on emerging evidence of a lower rate of myocarditis in countries that use a longer schedule. </w:t>
            </w:r>
          </w:p>
          <w:p w14:paraId="04256E53" w14:textId="77777777" w:rsidR="00E76001" w:rsidRPr="005029D4" w:rsidRDefault="00E76001" w:rsidP="00E76001">
            <w:pPr>
              <w:spacing w:before="120" w:after="120"/>
              <w:rPr>
                <w:rFonts w:cs="Arial"/>
                <w:sz w:val="22"/>
                <w:szCs w:val="22"/>
              </w:rPr>
            </w:pPr>
            <w:r w:rsidRPr="005029D4">
              <w:rPr>
                <w:rFonts w:cs="Arial"/>
                <w:color w:val="000000"/>
                <w:sz w:val="22"/>
                <w:szCs w:val="22"/>
              </w:rPr>
              <w:t xml:space="preserve">The main exception to the eight-week lower interval would be those about to commence immunosuppressive treatment. </w:t>
            </w:r>
            <w:r w:rsidRPr="005029D4">
              <w:rPr>
                <w:rFonts w:cs="Arial"/>
                <w:sz w:val="22"/>
                <w:szCs w:val="22"/>
              </w:rPr>
              <w:t>In these individuals, the licensed minimal interval of at least 21 days may be followed to enable the vaccine to be given whilst their immune system is better able to respond.</w:t>
            </w:r>
          </w:p>
          <w:p w14:paraId="2B061489" w14:textId="0AE2C743" w:rsidR="00E76001" w:rsidRDefault="00E76001" w:rsidP="005029D4">
            <w:pPr>
              <w:spacing w:before="120" w:after="120"/>
              <w:rPr>
                <w:rFonts w:cs="Arial"/>
                <w:color w:val="000000"/>
                <w:sz w:val="22"/>
                <w:szCs w:val="22"/>
              </w:rPr>
            </w:pPr>
            <w:r w:rsidRPr="005029D4">
              <w:rPr>
                <w:rFonts w:cs="Arial"/>
                <w:sz w:val="22"/>
                <w:szCs w:val="22"/>
              </w:rPr>
              <w:t>I</w:t>
            </w:r>
            <w:r w:rsidRPr="005029D4">
              <w:rPr>
                <w:rFonts w:cs="Arial"/>
                <w:color w:val="000000"/>
                <w:sz w:val="22"/>
                <w:szCs w:val="22"/>
              </w:rPr>
              <w:t xml:space="preserve">f an interval longer than the recommended interval is left between doses, the second dose should still be given (using the same vaccine as was given for the first dose if possible, </w:t>
            </w:r>
            <w:r w:rsidRPr="005029D4">
              <w:rPr>
                <w:rFonts w:cs="Arial"/>
                <w:sz w:val="22"/>
                <w:szCs w:val="22"/>
              </w:rPr>
              <w:t xml:space="preserve">see </w:t>
            </w:r>
            <w:hyperlink w:anchor="AdditionalInformationIncompleteVacc" w:history="1">
              <w:r w:rsidRPr="005029D4">
                <w:rPr>
                  <w:rStyle w:val="Hyperlink"/>
                  <w:rFonts w:cs="Arial"/>
                  <w:sz w:val="22"/>
                  <w:szCs w:val="22"/>
                </w:rPr>
                <w:t>Additional Information</w:t>
              </w:r>
            </w:hyperlink>
            <w:r w:rsidRPr="005029D4">
              <w:rPr>
                <w:rFonts w:cs="Arial"/>
                <w:color w:val="000000"/>
                <w:sz w:val="22"/>
                <w:szCs w:val="22"/>
              </w:rPr>
              <w:t>). The course does not need to be restarted.</w:t>
            </w:r>
          </w:p>
          <w:p w14:paraId="24ED8203" w14:textId="77777777" w:rsidR="000451D5" w:rsidRPr="00650A9B" w:rsidRDefault="000451D5" w:rsidP="000451D5">
            <w:pPr>
              <w:spacing w:before="120" w:after="120"/>
              <w:rPr>
                <w:rFonts w:cs="Frutiger 45 Light"/>
                <w:b/>
                <w:bCs/>
                <w:color w:val="000000"/>
                <w:sz w:val="22"/>
                <w:szCs w:val="22"/>
              </w:rPr>
            </w:pPr>
            <w:r w:rsidRPr="00650A9B">
              <w:rPr>
                <w:rFonts w:cs="Frutiger 45 Light"/>
                <w:b/>
                <w:bCs/>
                <w:color w:val="000000"/>
                <w:sz w:val="22"/>
                <w:szCs w:val="22"/>
              </w:rPr>
              <w:t xml:space="preserve">Interval post </w:t>
            </w:r>
            <w:r w:rsidRPr="00650A9B">
              <w:rPr>
                <w:rFonts w:cs="Arial"/>
                <w:b/>
                <w:bCs/>
                <w:sz w:val="22"/>
                <w:szCs w:val="22"/>
              </w:rPr>
              <w:t>SARS-CoV-2 infection</w:t>
            </w:r>
          </w:p>
          <w:p w14:paraId="46A17B17" w14:textId="23DE222B" w:rsidR="000451D5" w:rsidRPr="00380F39" w:rsidRDefault="000451D5" w:rsidP="000451D5">
            <w:pPr>
              <w:pStyle w:val="CommentText"/>
              <w:rPr>
                <w:rFonts w:eastAsiaTheme="minorHAnsi" w:cs="Arial"/>
                <w:color w:val="000000"/>
                <w:sz w:val="22"/>
                <w:szCs w:val="22"/>
                <w:lang w:eastAsia="en-US"/>
              </w:rPr>
            </w:pPr>
            <w:r w:rsidRPr="00380F39">
              <w:rPr>
                <w:rFonts w:cs="Arial"/>
                <w:sz w:val="22"/>
                <w:szCs w:val="22"/>
              </w:rPr>
              <w:t xml:space="preserve">For individuals who have had proven SARS-CoV-2 infection (see </w:t>
            </w:r>
            <w:hyperlink w:anchor="CautionsHistoryOfInfection" w:history="1">
              <w:r w:rsidRPr="00380F39">
                <w:rPr>
                  <w:rStyle w:val="Hyperlink"/>
                  <w:sz w:val="22"/>
                  <w:szCs w:val="22"/>
                </w:rPr>
                <w:t>Cautions</w:t>
              </w:r>
            </w:hyperlink>
            <w:r w:rsidRPr="00380F39">
              <w:rPr>
                <w:rFonts w:cs="Arial"/>
                <w:sz w:val="22"/>
                <w:szCs w:val="22"/>
              </w:rPr>
              <w:t>),</w:t>
            </w:r>
            <w:r w:rsidRPr="00380F39">
              <w:rPr>
                <w:sz w:val="22"/>
                <w:szCs w:val="22"/>
              </w:rPr>
              <w:t xml:space="preserve"> any subsequent COVID-19 vaccination shoul</w:t>
            </w:r>
            <w:r w:rsidRPr="00380F39">
              <w:rPr>
                <w:rFonts w:eastAsiaTheme="minorHAnsi" w:cs="Arial"/>
                <w:color w:val="000000"/>
                <w:sz w:val="22"/>
                <w:szCs w:val="22"/>
                <w:lang w:eastAsia="en-US"/>
              </w:rPr>
              <w:t>d ideally be deferred until:</w:t>
            </w:r>
          </w:p>
          <w:p w14:paraId="3BFBFE91" w14:textId="77777777" w:rsidR="000451D5" w:rsidRPr="00650A9B" w:rsidRDefault="000451D5" w:rsidP="00621E6D">
            <w:pPr>
              <w:pStyle w:val="CommentText"/>
              <w:numPr>
                <w:ilvl w:val="0"/>
                <w:numId w:val="40"/>
              </w:numPr>
              <w:ind w:left="319" w:hanging="284"/>
              <w:rPr>
                <w:sz w:val="22"/>
                <w:szCs w:val="22"/>
              </w:rPr>
            </w:pPr>
            <w:r w:rsidRPr="00380F39">
              <w:rPr>
                <w:rFonts w:eastAsiaTheme="minorHAnsi" w:cs="Arial"/>
                <w:color w:val="000000"/>
                <w:sz w:val="22"/>
                <w:szCs w:val="22"/>
                <w:lang w:eastAsia="en-US"/>
              </w:rPr>
              <w:t>at least twelve weeks from onset (or sample date) for those under 18 years of age who are not in a risk group</w:t>
            </w:r>
          </w:p>
          <w:p w14:paraId="7224F1BB" w14:textId="77777777" w:rsidR="000451D5" w:rsidRPr="00621E6D" w:rsidRDefault="000451D5" w:rsidP="000451D5">
            <w:pPr>
              <w:pStyle w:val="CommentText"/>
              <w:numPr>
                <w:ilvl w:val="0"/>
                <w:numId w:val="40"/>
              </w:numPr>
              <w:spacing w:after="120"/>
              <w:ind w:left="319" w:hanging="284"/>
              <w:rPr>
                <w:sz w:val="22"/>
                <w:szCs w:val="22"/>
              </w:rPr>
            </w:pPr>
            <w:r w:rsidRPr="00650A9B">
              <w:rPr>
                <w:rFonts w:eastAsiaTheme="minorHAnsi" w:cs="Arial"/>
                <w:color w:val="000000"/>
                <w:sz w:val="22"/>
                <w:szCs w:val="22"/>
                <w:lang w:eastAsia="en-US"/>
              </w:rPr>
              <w:t>at least four weeks from onset (or sample date) for individuals in a risk group and all those over 18 years of age</w:t>
            </w:r>
          </w:p>
          <w:p w14:paraId="3903037F" w14:textId="68AA8E60" w:rsidR="000451D5" w:rsidRPr="00621E6D" w:rsidRDefault="000451D5" w:rsidP="00621E6D">
            <w:pPr>
              <w:pStyle w:val="CommentText"/>
              <w:spacing w:after="120"/>
              <w:ind w:left="35"/>
              <w:rPr>
                <w:sz w:val="22"/>
                <w:szCs w:val="22"/>
              </w:rPr>
            </w:pPr>
            <w:r w:rsidRPr="00621E6D">
              <w:rPr>
                <w:rFonts w:eastAsiaTheme="minorHAnsi" w:cs="Arial"/>
                <w:color w:val="000000"/>
                <w:sz w:val="22"/>
                <w:szCs w:val="22"/>
                <w:lang w:eastAsia="en-US"/>
              </w:rPr>
              <w:t>Administration at intervals less than this is not covered by this PGD.</w:t>
            </w:r>
          </w:p>
          <w:p w14:paraId="234E8FF5" w14:textId="77777777" w:rsidR="00E76001" w:rsidRPr="005029D4" w:rsidRDefault="00E76001" w:rsidP="00E76001">
            <w:pPr>
              <w:spacing w:before="120" w:after="120"/>
              <w:rPr>
                <w:rFonts w:cs="Arial"/>
                <w:b/>
                <w:bCs/>
                <w:sz w:val="22"/>
                <w:szCs w:val="22"/>
              </w:rPr>
            </w:pPr>
            <w:r w:rsidRPr="005029D4">
              <w:rPr>
                <w:rFonts w:cs="Arial"/>
                <w:b/>
                <w:bCs/>
                <w:sz w:val="22"/>
                <w:szCs w:val="22"/>
              </w:rPr>
              <w:lastRenderedPageBreak/>
              <w:t>Primary course for individuals at higher risk</w:t>
            </w:r>
          </w:p>
          <w:p w14:paraId="17F568B9" w14:textId="77777777" w:rsidR="00E76001" w:rsidRPr="005029D4" w:rsidRDefault="00E76001" w:rsidP="00E76001">
            <w:pPr>
              <w:spacing w:before="120"/>
              <w:rPr>
                <w:rFonts w:cs="Arial"/>
                <w:sz w:val="22"/>
                <w:szCs w:val="22"/>
              </w:rPr>
            </w:pPr>
            <w:r w:rsidRPr="005029D4">
              <w:rPr>
                <w:rFonts w:cs="Arial"/>
                <w:sz w:val="22"/>
                <w:szCs w:val="22"/>
              </w:rPr>
              <w:t>The primary course for individuals at higher risk is recommended to be scheduled as follows:</w:t>
            </w:r>
          </w:p>
          <w:p w14:paraId="08688945" w14:textId="77777777" w:rsidR="00E76001" w:rsidRPr="005029D4" w:rsidRDefault="00E76001" w:rsidP="00E76001">
            <w:pPr>
              <w:pStyle w:val="ListParagraph"/>
              <w:keepNext/>
              <w:numPr>
                <w:ilvl w:val="0"/>
                <w:numId w:val="29"/>
              </w:numPr>
              <w:overflowPunct/>
              <w:autoSpaceDE/>
              <w:autoSpaceDN/>
              <w:adjustRightInd/>
              <w:ind w:left="318" w:hanging="284"/>
              <w:textAlignment w:val="auto"/>
              <w:rPr>
                <w:rFonts w:cs="Arial"/>
                <w:sz w:val="22"/>
                <w:szCs w:val="22"/>
                <w:lang w:val="en-US" w:eastAsia="en-US"/>
              </w:rPr>
            </w:pPr>
            <w:r w:rsidRPr="005029D4">
              <w:rPr>
                <w:rFonts w:cs="Arial"/>
                <w:sz w:val="22"/>
                <w:szCs w:val="22"/>
                <w:lang w:val="en-US" w:eastAsia="en-US"/>
              </w:rPr>
              <w:t>individuals 12 years and over sharing living accommodation with an immunosuppressed individual of any age should receive a two-dose primary course at a recommended 8-week minimum interval</w:t>
            </w:r>
          </w:p>
          <w:p w14:paraId="2D66E0ED" w14:textId="1F8DC11F" w:rsidR="00E76001" w:rsidRPr="005029D4" w:rsidRDefault="00E76001" w:rsidP="00E76001">
            <w:pPr>
              <w:pStyle w:val="ListParagraph"/>
              <w:keepNext/>
              <w:numPr>
                <w:ilvl w:val="0"/>
                <w:numId w:val="29"/>
              </w:numPr>
              <w:overflowPunct/>
              <w:autoSpaceDE/>
              <w:autoSpaceDN/>
              <w:adjustRightInd/>
              <w:ind w:left="319" w:hanging="284"/>
              <w:textAlignment w:val="auto"/>
              <w:rPr>
                <w:rFonts w:cs="Arial"/>
                <w:sz w:val="22"/>
                <w:szCs w:val="22"/>
                <w:lang w:val="en-US" w:eastAsia="en-US"/>
              </w:rPr>
            </w:pPr>
            <w:r w:rsidRPr="005029D4">
              <w:rPr>
                <w:rFonts w:cs="Arial"/>
                <w:sz w:val="22"/>
                <w:szCs w:val="22"/>
                <w:lang w:val="en-US" w:eastAsia="en-US"/>
              </w:rPr>
              <w:t>individuals 12 years and over in an at-risk group</w:t>
            </w:r>
            <w:r w:rsidR="00A36A13" w:rsidRPr="005029D4">
              <w:rPr>
                <w:rStyle w:val="FootnoteReference"/>
                <w:rFonts w:cs="Arial"/>
                <w:sz w:val="22"/>
                <w:szCs w:val="22"/>
                <w:lang w:val="en-US" w:eastAsia="en-US"/>
              </w:rPr>
              <w:footnoteReference w:id="5"/>
            </w:r>
            <w:r w:rsidRPr="005029D4">
              <w:rPr>
                <w:rFonts w:cs="Arial"/>
                <w:sz w:val="22"/>
                <w:szCs w:val="22"/>
                <w:lang w:val="en-US" w:eastAsia="en-US"/>
              </w:rPr>
              <w:t xml:space="preserve"> and those from 16 years of age working in health and social care should receive a two-dose primary course at a recommended 8-week minimum interval. A third primary dose is recommended for those who have severe immunosuppression in proximity to their first or second COVID-19 doses.</w:t>
            </w:r>
          </w:p>
          <w:p w14:paraId="3E18256B" w14:textId="4770EE53" w:rsidR="00E76001" w:rsidRPr="005029D4" w:rsidRDefault="00E76001" w:rsidP="005029D4">
            <w:pPr>
              <w:pStyle w:val="ListParagraph"/>
              <w:keepNext/>
              <w:numPr>
                <w:ilvl w:val="0"/>
                <w:numId w:val="29"/>
              </w:numPr>
              <w:overflowPunct/>
              <w:autoSpaceDE/>
              <w:autoSpaceDN/>
              <w:adjustRightInd/>
              <w:ind w:left="318" w:hanging="284"/>
              <w:textAlignment w:val="auto"/>
              <w:rPr>
                <w:rFonts w:cs="Arial"/>
                <w:sz w:val="22"/>
                <w:szCs w:val="22"/>
                <w:lang w:val="en-US"/>
              </w:rPr>
            </w:pPr>
            <w:r w:rsidRPr="005029D4">
              <w:rPr>
                <w:rFonts w:cs="Arial"/>
                <w:sz w:val="22"/>
                <w:szCs w:val="22"/>
                <w:lang w:val="en-US" w:eastAsia="en-US"/>
              </w:rPr>
              <w:t>individuals</w:t>
            </w:r>
            <w:bookmarkStart w:id="28" w:name="_Hlk81429161"/>
            <w:r w:rsidRPr="005029D4">
              <w:rPr>
                <w:rFonts w:cs="Arial"/>
                <w:sz w:val="22"/>
                <w:szCs w:val="22"/>
                <w:lang w:val="en-US"/>
              </w:rPr>
              <w:t xml:space="preserve"> 12 years and over who had severe immunosuppression in proximity to their first or second COVID-19 doses in the primary schedule </w:t>
            </w:r>
            <w:r w:rsidRPr="005029D4">
              <w:rPr>
                <w:rFonts w:cs="Arial"/>
                <w:sz w:val="22"/>
                <w:szCs w:val="22"/>
                <w:lang w:val="en-US" w:eastAsia="en-US"/>
              </w:rPr>
              <w:t xml:space="preserve">should receive a three-dose primary course at a recommended 8-week minimum interval </w:t>
            </w:r>
            <w:r w:rsidRPr="005029D4">
              <w:rPr>
                <w:rFonts w:cs="Arial"/>
                <w:sz w:val="22"/>
                <w:szCs w:val="22"/>
                <w:lang w:val="en-US"/>
              </w:rPr>
              <w:t>(</w:t>
            </w:r>
            <w:r w:rsidRPr="005029D4">
              <w:rPr>
                <w:rFonts w:eastAsiaTheme="minorHAnsi" w:cs="Arial"/>
                <w:color w:val="000000"/>
                <w:sz w:val="22"/>
                <w:szCs w:val="22"/>
                <w:lang w:eastAsia="en-US"/>
              </w:rPr>
              <w:t>see ‘Box: Criteria for a third primary dose of COVID-19 vaccine’</w:t>
            </w:r>
            <w:r w:rsidRPr="005029D4">
              <w:rPr>
                <w:rFonts w:eastAsiaTheme="minorHAnsi" w:cs="Arial"/>
                <w:b/>
                <w:bCs/>
                <w:color w:val="000000"/>
                <w:sz w:val="22"/>
                <w:szCs w:val="22"/>
                <w:lang w:eastAsia="en-US"/>
              </w:rPr>
              <w:t xml:space="preserve"> </w:t>
            </w:r>
            <w:r w:rsidRPr="005029D4">
              <w:rPr>
                <w:rFonts w:cs="Arial"/>
                <w:sz w:val="22"/>
                <w:szCs w:val="22"/>
              </w:rPr>
              <w:t xml:space="preserve">in </w:t>
            </w:r>
            <w:hyperlink r:id="rId59" w:history="1">
              <w:r w:rsidRPr="005029D4">
                <w:rPr>
                  <w:rStyle w:val="Hyperlink"/>
                  <w:rFonts w:cs="Arial"/>
                  <w:sz w:val="22"/>
                  <w:szCs w:val="22"/>
                </w:rPr>
                <w:t>Chapter 14a</w:t>
              </w:r>
            </w:hyperlink>
            <w:r w:rsidRPr="005029D4">
              <w:rPr>
                <w:rFonts w:eastAsiaTheme="minorHAnsi" w:cs="Arial"/>
                <w:color w:val="000000"/>
                <w:sz w:val="22"/>
                <w:szCs w:val="22"/>
                <w:lang w:eastAsia="en-US"/>
              </w:rPr>
              <w:t>)</w:t>
            </w:r>
            <w:r w:rsidRPr="005029D4">
              <w:rPr>
                <w:rFonts w:cs="Arial"/>
                <w:sz w:val="22"/>
                <w:szCs w:val="22"/>
                <w:lang w:val="en-US"/>
              </w:rPr>
              <w:t xml:space="preserve">. The decision on the timing of the third dose should be undertaken by the specialist involved in the care of the individual. The third dose should be given ideally at least 8 weeks after the second dose, with special attention paid to current or planned immunosuppressive therapies (see </w:t>
            </w:r>
            <w:hyperlink w:anchor="AdditionalInformation" w:history="1">
              <w:r w:rsidRPr="005029D4">
                <w:rPr>
                  <w:rStyle w:val="Hyperlink"/>
                  <w:rFonts w:cs="Arial"/>
                  <w:sz w:val="22"/>
                  <w:szCs w:val="22"/>
                  <w:lang w:val="en-US"/>
                </w:rPr>
                <w:t>Additional information</w:t>
              </w:r>
            </w:hyperlink>
            <w:bookmarkEnd w:id="28"/>
            <w:r w:rsidRPr="005029D4">
              <w:rPr>
                <w:rFonts w:cs="Arial"/>
                <w:sz w:val="22"/>
                <w:szCs w:val="22"/>
                <w:lang w:val="en-US" w:eastAsia="en-US"/>
              </w:rPr>
              <w:t xml:space="preserve"> section).</w:t>
            </w:r>
            <w:r w:rsidRPr="005029D4">
              <w:rPr>
                <w:rFonts w:cs="Arial"/>
                <w:sz w:val="22"/>
                <w:szCs w:val="22"/>
              </w:rPr>
              <w:t xml:space="preserve"> </w:t>
            </w:r>
            <w:r w:rsidRPr="005029D4">
              <w:rPr>
                <w:rFonts w:cs="Arial"/>
                <w:sz w:val="22"/>
                <w:szCs w:val="22"/>
                <w:lang w:val="en-US" w:eastAsia="en-US"/>
              </w:rPr>
              <w:t>This group of individuals will also require a booster dose to extend protection from their primary course. Boosters are expected to be required from six months after the third dose, although JCVI will advise on optimal timing after evidence from trials in these populations become available.</w:t>
            </w:r>
          </w:p>
          <w:p w14:paraId="3F604E77" w14:textId="3DE04B3B" w:rsidR="00E76001" w:rsidRPr="005029D4" w:rsidRDefault="00282B5B" w:rsidP="00E76001">
            <w:pPr>
              <w:spacing w:before="120" w:after="120"/>
              <w:rPr>
                <w:rFonts w:cs="Arial"/>
                <w:b/>
                <w:bCs/>
                <w:sz w:val="22"/>
                <w:szCs w:val="22"/>
              </w:rPr>
            </w:pPr>
            <w:r w:rsidRPr="005029D4">
              <w:rPr>
                <w:rFonts w:cs="Arial"/>
                <w:b/>
                <w:bCs/>
                <w:sz w:val="22"/>
                <w:szCs w:val="22"/>
              </w:rPr>
              <w:t>I</w:t>
            </w:r>
            <w:r w:rsidR="00E76001" w:rsidRPr="005029D4">
              <w:rPr>
                <w:rFonts w:cs="Arial"/>
                <w:b/>
                <w:bCs/>
                <w:sz w:val="22"/>
                <w:szCs w:val="22"/>
              </w:rPr>
              <w:t>ndividuals who are not at higher risk</w:t>
            </w:r>
          </w:p>
          <w:p w14:paraId="6CAF07D7" w14:textId="77777777" w:rsidR="00E76001" w:rsidRPr="005029D4" w:rsidRDefault="00E76001" w:rsidP="00E76001">
            <w:pPr>
              <w:spacing w:before="120"/>
              <w:rPr>
                <w:rFonts w:cs="Arial"/>
                <w:sz w:val="22"/>
                <w:szCs w:val="22"/>
              </w:rPr>
            </w:pPr>
            <w:r w:rsidRPr="005029D4">
              <w:rPr>
                <w:rFonts w:cs="Arial"/>
                <w:sz w:val="22"/>
                <w:szCs w:val="22"/>
              </w:rPr>
              <w:t>The primary course for individuals who are not at higher risk is recommended to be scheduled as follows:</w:t>
            </w:r>
          </w:p>
          <w:p w14:paraId="11CCB06E" w14:textId="46885717" w:rsidR="00E76001" w:rsidRPr="005029D4" w:rsidRDefault="00E76001" w:rsidP="00E76001">
            <w:pPr>
              <w:pStyle w:val="ListParagraph"/>
              <w:numPr>
                <w:ilvl w:val="0"/>
                <w:numId w:val="29"/>
              </w:numPr>
              <w:spacing w:after="120"/>
              <w:ind w:left="324" w:hanging="284"/>
              <w:rPr>
                <w:rFonts w:cs="Arial"/>
                <w:sz w:val="22"/>
                <w:szCs w:val="22"/>
              </w:rPr>
            </w:pPr>
            <w:r w:rsidRPr="005029D4">
              <w:rPr>
                <w:rFonts w:cs="Arial"/>
                <w:sz w:val="22"/>
                <w:szCs w:val="22"/>
                <w:lang w:val="en-US" w:eastAsia="en-US"/>
              </w:rPr>
              <w:t>individuals 12 to 15 years of age and not in a recognised risk group can receive their first dose, as recommended by the Chief Medical Officers. A decision on when to offer the second dose to healthy children is pending further evidence on the safety of a second dose in this age group</w:t>
            </w:r>
          </w:p>
          <w:p w14:paraId="74992009" w14:textId="7D044C67" w:rsidR="00E76001" w:rsidRPr="005029D4" w:rsidRDefault="00E76001" w:rsidP="00E76001">
            <w:pPr>
              <w:pStyle w:val="ListParagraph"/>
              <w:numPr>
                <w:ilvl w:val="0"/>
                <w:numId w:val="29"/>
              </w:numPr>
              <w:spacing w:after="120"/>
              <w:ind w:left="324" w:hanging="284"/>
              <w:rPr>
                <w:rFonts w:cs="Arial"/>
                <w:sz w:val="22"/>
                <w:szCs w:val="22"/>
              </w:rPr>
            </w:pPr>
            <w:bookmarkStart w:id="29" w:name="TwelveWeekInterval"/>
            <w:bookmarkEnd w:id="29"/>
            <w:r w:rsidRPr="005029D4">
              <w:rPr>
                <w:rFonts w:cs="Arial"/>
                <w:sz w:val="22"/>
                <w:szCs w:val="22"/>
              </w:rPr>
              <w:t xml:space="preserve">individuals 16 and 17 years of age and not in </w:t>
            </w:r>
            <w:r w:rsidR="00DB5DA1" w:rsidRPr="005029D4">
              <w:rPr>
                <w:rFonts w:cs="Arial"/>
                <w:sz w:val="22"/>
                <w:szCs w:val="22"/>
              </w:rPr>
              <w:t xml:space="preserve">a </w:t>
            </w:r>
            <w:r w:rsidRPr="005029D4">
              <w:rPr>
                <w:rFonts w:cs="Arial"/>
                <w:sz w:val="22"/>
                <w:szCs w:val="22"/>
              </w:rPr>
              <w:t xml:space="preserve">recognised risk group nor working in health and social care </w:t>
            </w:r>
            <w:r w:rsidRPr="005029D4">
              <w:rPr>
                <w:rFonts w:cs="Arial"/>
                <w:sz w:val="22"/>
                <w:szCs w:val="22"/>
                <w:lang w:val="en-US" w:eastAsia="en-US"/>
              </w:rPr>
              <w:t>should receive a two-dose primary course at a recommended 12-week minimum interval</w:t>
            </w:r>
            <w:r w:rsidR="00A36A13" w:rsidRPr="005029D4">
              <w:rPr>
                <w:rStyle w:val="FootnoteReference"/>
                <w:rFonts w:cs="Arial"/>
                <w:sz w:val="22"/>
                <w:szCs w:val="22"/>
                <w:lang w:val="en-US" w:eastAsia="en-US"/>
              </w:rPr>
              <w:footnoteReference w:id="6"/>
            </w:r>
          </w:p>
          <w:p w14:paraId="316EDC53" w14:textId="28F410F1" w:rsidR="00E76001" w:rsidRPr="005029D4" w:rsidRDefault="00E76001" w:rsidP="00E76001">
            <w:pPr>
              <w:pStyle w:val="ListParagraph"/>
              <w:numPr>
                <w:ilvl w:val="0"/>
                <w:numId w:val="29"/>
              </w:numPr>
              <w:spacing w:after="120"/>
              <w:ind w:left="324" w:hanging="284"/>
              <w:rPr>
                <w:rFonts w:cs="Arial"/>
                <w:sz w:val="22"/>
                <w:szCs w:val="22"/>
              </w:rPr>
            </w:pPr>
            <w:r w:rsidRPr="005029D4">
              <w:rPr>
                <w:rFonts w:cs="Arial"/>
                <w:sz w:val="22"/>
                <w:szCs w:val="22"/>
              </w:rPr>
              <w:t xml:space="preserve">individuals 18 years of age and over and not in </w:t>
            </w:r>
            <w:r w:rsidR="00DB5DA1" w:rsidRPr="005029D4">
              <w:rPr>
                <w:rFonts w:cs="Arial"/>
                <w:sz w:val="22"/>
                <w:szCs w:val="22"/>
              </w:rPr>
              <w:t xml:space="preserve">a </w:t>
            </w:r>
            <w:r w:rsidRPr="005029D4">
              <w:rPr>
                <w:rFonts w:cs="Arial"/>
                <w:sz w:val="22"/>
                <w:szCs w:val="22"/>
              </w:rPr>
              <w:t xml:space="preserve">recognised risk group </w:t>
            </w:r>
            <w:r w:rsidRPr="005029D4">
              <w:rPr>
                <w:rFonts w:cs="Arial"/>
                <w:sz w:val="22"/>
                <w:szCs w:val="22"/>
                <w:lang w:val="en-US" w:eastAsia="en-US"/>
              </w:rPr>
              <w:t>should receive a two-dose primary course at a recommended 8-week minimum interval</w:t>
            </w:r>
          </w:p>
          <w:p w14:paraId="05073B17" w14:textId="77777777" w:rsidR="00E76001" w:rsidRPr="005029D4" w:rsidRDefault="00E76001" w:rsidP="00E76001">
            <w:pPr>
              <w:pStyle w:val="CommentText"/>
              <w:spacing w:before="120" w:after="120"/>
              <w:rPr>
                <w:rFonts w:eastAsiaTheme="minorHAnsi" w:cs="Arial"/>
                <w:b/>
                <w:bCs/>
                <w:color w:val="000000"/>
                <w:sz w:val="22"/>
                <w:szCs w:val="22"/>
                <w:lang w:eastAsia="en-US"/>
              </w:rPr>
            </w:pPr>
            <w:bookmarkStart w:id="31" w:name="_Hlk87267848"/>
            <w:r w:rsidRPr="005029D4">
              <w:rPr>
                <w:rFonts w:eastAsiaTheme="minorHAnsi" w:cs="Arial"/>
                <w:b/>
                <w:bCs/>
                <w:color w:val="000000"/>
                <w:sz w:val="22"/>
                <w:szCs w:val="22"/>
                <w:lang w:eastAsia="en-US"/>
              </w:rPr>
              <w:t>Booster vaccination</w:t>
            </w:r>
          </w:p>
          <w:p w14:paraId="01729A28" w14:textId="06D2D3FE" w:rsidR="00E76001" w:rsidRPr="005029D4" w:rsidRDefault="00E76001" w:rsidP="00E76001">
            <w:pPr>
              <w:overflowPunct/>
              <w:spacing w:after="160" w:line="241" w:lineRule="atLeast"/>
              <w:textAlignment w:val="auto"/>
              <w:rPr>
                <w:rFonts w:eastAsiaTheme="minorHAnsi" w:cs="Arial"/>
                <w:color w:val="000000"/>
                <w:sz w:val="22"/>
                <w:szCs w:val="22"/>
                <w:lang w:eastAsia="en-US"/>
              </w:rPr>
            </w:pPr>
            <w:r w:rsidRPr="005029D4">
              <w:rPr>
                <w:rFonts w:eastAsiaTheme="minorHAnsi" w:cs="Arial"/>
                <w:color w:val="000000"/>
                <w:sz w:val="22"/>
                <w:szCs w:val="22"/>
                <w:lang w:eastAsia="en-US"/>
              </w:rPr>
              <w:t xml:space="preserve">A booster (third) dose should be offered to individuals </w:t>
            </w:r>
            <w:r w:rsidRPr="005029D4">
              <w:rPr>
                <w:rFonts w:cs="Arial"/>
                <w:sz w:val="22"/>
                <w:szCs w:val="22"/>
              </w:rPr>
              <w:t xml:space="preserve">eligible for a booster (third) dose as part of the national COVID-19 vaccination programme in accordance with the recommendations from the </w:t>
            </w:r>
            <w:hyperlink r:id="rId60" w:history="1">
              <w:r w:rsidRPr="005029D4">
                <w:rPr>
                  <w:rStyle w:val="Hyperlink"/>
                  <w:rFonts w:cs="Arial"/>
                  <w:sz w:val="22"/>
                  <w:szCs w:val="22"/>
                </w:rPr>
                <w:t>JCVI</w:t>
              </w:r>
            </w:hyperlink>
            <w:r w:rsidRPr="005029D4">
              <w:rPr>
                <w:rFonts w:cs="Arial"/>
                <w:sz w:val="22"/>
                <w:szCs w:val="22"/>
              </w:rPr>
              <w:t xml:space="preserve"> and </w:t>
            </w:r>
            <w:hyperlink r:id="rId61" w:history="1">
              <w:r w:rsidRPr="005029D4">
                <w:rPr>
                  <w:rStyle w:val="Hyperlink"/>
                  <w:rFonts w:cs="Arial"/>
                  <w:sz w:val="22"/>
                  <w:szCs w:val="22"/>
                </w:rPr>
                <w:t>Chapter 14a</w:t>
              </w:r>
            </w:hyperlink>
            <w:r w:rsidRPr="005029D4">
              <w:rPr>
                <w:rStyle w:val="Hyperlink"/>
                <w:rFonts w:cs="Arial"/>
                <w:sz w:val="22"/>
                <w:szCs w:val="22"/>
              </w:rPr>
              <w:t xml:space="preserve"> </w:t>
            </w:r>
            <w:r w:rsidRPr="005029D4">
              <w:rPr>
                <w:rFonts w:cs="Arial"/>
                <w:sz w:val="22"/>
                <w:szCs w:val="22"/>
              </w:rPr>
              <w:t>of the Green Book.</w:t>
            </w:r>
            <w:r w:rsidRPr="005029D4">
              <w:rPr>
                <w:rFonts w:eastAsiaTheme="minorHAnsi" w:cs="Arial"/>
                <w:color w:val="000000"/>
                <w:sz w:val="22"/>
                <w:szCs w:val="22"/>
                <w:lang w:eastAsia="en-US"/>
              </w:rPr>
              <w:t xml:space="preserve"> </w:t>
            </w:r>
          </w:p>
          <w:p w14:paraId="249097DF" w14:textId="77777777" w:rsidR="00E76001" w:rsidRPr="005029D4" w:rsidRDefault="00E76001" w:rsidP="00E76001">
            <w:pPr>
              <w:pStyle w:val="Pa3"/>
              <w:spacing w:after="160"/>
              <w:rPr>
                <w:rFonts w:ascii="Arial" w:eastAsiaTheme="minorHAnsi" w:hAnsi="Arial" w:cs="Arial"/>
                <w:color w:val="000000"/>
                <w:sz w:val="22"/>
                <w:szCs w:val="22"/>
              </w:rPr>
            </w:pPr>
            <w:r w:rsidRPr="005029D4">
              <w:rPr>
                <w:rFonts w:ascii="Arial" w:eastAsiaTheme="minorHAnsi" w:hAnsi="Arial" w:cs="Arial"/>
                <w:color w:val="000000"/>
                <w:sz w:val="22"/>
                <w:szCs w:val="22"/>
              </w:rPr>
              <w:t xml:space="preserve">The JCVI is recommending that booster vaccines are scheduled at a six-month interval from completing the primary course. This interval will automatically help to prioritise older and more vulnerable patients. </w:t>
            </w:r>
          </w:p>
          <w:p w14:paraId="5A1F0759" w14:textId="77777777" w:rsidR="00E76001" w:rsidRPr="005029D4" w:rsidRDefault="00E76001" w:rsidP="00E76001">
            <w:pPr>
              <w:overflowPunct/>
              <w:spacing w:line="241" w:lineRule="atLeast"/>
              <w:textAlignment w:val="auto"/>
              <w:rPr>
                <w:rFonts w:eastAsiaTheme="minorHAnsi" w:cs="Arial"/>
                <w:color w:val="000000"/>
                <w:sz w:val="22"/>
                <w:szCs w:val="22"/>
                <w:lang w:eastAsia="en-US"/>
              </w:rPr>
            </w:pPr>
            <w:r w:rsidRPr="005029D4">
              <w:rPr>
                <w:rFonts w:eastAsiaTheme="minorHAnsi" w:cs="Arial"/>
                <w:color w:val="000000"/>
                <w:sz w:val="22"/>
                <w:szCs w:val="22"/>
                <w:lang w:eastAsia="en-US"/>
              </w:rPr>
              <w:t xml:space="preserve">For operational reasons, administration may be brought forward to a minimum of five months in certain circumstances including: </w:t>
            </w:r>
          </w:p>
          <w:p w14:paraId="7369D5A8" w14:textId="77777777" w:rsidR="00E76001" w:rsidRPr="005029D4" w:rsidRDefault="00E76001" w:rsidP="00E76001">
            <w:pPr>
              <w:pStyle w:val="ListParagraph"/>
              <w:numPr>
                <w:ilvl w:val="0"/>
                <w:numId w:val="39"/>
              </w:numPr>
              <w:overflowPunct/>
              <w:ind w:left="324" w:hanging="284"/>
              <w:textAlignment w:val="auto"/>
              <w:rPr>
                <w:rFonts w:eastAsiaTheme="minorHAnsi" w:cs="Arial"/>
                <w:color w:val="000000"/>
                <w:sz w:val="22"/>
                <w:szCs w:val="22"/>
                <w:lang w:eastAsia="en-US"/>
              </w:rPr>
            </w:pPr>
            <w:r w:rsidRPr="005029D4">
              <w:rPr>
                <w:rFonts w:eastAsiaTheme="minorHAnsi" w:cs="Arial"/>
                <w:color w:val="000000"/>
                <w:sz w:val="22"/>
                <w:szCs w:val="22"/>
                <w:lang w:eastAsia="en-US"/>
              </w:rPr>
              <w:lastRenderedPageBreak/>
              <w:t xml:space="preserve">in a care home setting to enable all residents to be vaccinated in the same session </w:t>
            </w:r>
          </w:p>
          <w:p w14:paraId="3E367AFA" w14:textId="77777777" w:rsidR="00E76001" w:rsidRPr="005029D4" w:rsidRDefault="00E76001" w:rsidP="00E76001">
            <w:pPr>
              <w:pStyle w:val="ListParagraph"/>
              <w:numPr>
                <w:ilvl w:val="0"/>
                <w:numId w:val="39"/>
              </w:numPr>
              <w:overflowPunct/>
              <w:ind w:left="324" w:hanging="284"/>
              <w:textAlignment w:val="auto"/>
              <w:rPr>
                <w:rFonts w:eastAsiaTheme="minorHAnsi" w:cs="Arial"/>
                <w:color w:val="000000"/>
                <w:sz w:val="22"/>
                <w:szCs w:val="22"/>
                <w:lang w:eastAsia="en-US"/>
              </w:rPr>
            </w:pPr>
            <w:r w:rsidRPr="005029D4">
              <w:rPr>
                <w:rFonts w:eastAsiaTheme="minorHAnsi" w:cs="Arial"/>
                <w:color w:val="000000"/>
                <w:sz w:val="22"/>
                <w:szCs w:val="22"/>
                <w:lang w:eastAsia="en-US"/>
              </w:rPr>
              <w:t xml:space="preserve">where an otherwise eligible individual attends for another reason (for example to receive influenza vaccine) </w:t>
            </w:r>
          </w:p>
          <w:p w14:paraId="543297E7" w14:textId="0869E9B0" w:rsidR="0020683D" w:rsidRPr="005029D4" w:rsidRDefault="00E76001" w:rsidP="005029D4">
            <w:pPr>
              <w:pStyle w:val="CommentText"/>
              <w:spacing w:before="120" w:after="120"/>
              <w:rPr>
                <w:rFonts w:eastAsiaTheme="minorHAnsi" w:cs="Arial"/>
                <w:color w:val="000000"/>
                <w:sz w:val="22"/>
                <w:szCs w:val="22"/>
              </w:rPr>
            </w:pPr>
            <w:r w:rsidRPr="005029D4">
              <w:rPr>
                <w:rFonts w:eastAsiaTheme="minorHAnsi" w:cs="Arial"/>
                <w:color w:val="000000"/>
                <w:sz w:val="22"/>
                <w:szCs w:val="22"/>
                <w:lang w:eastAsia="en-US"/>
              </w:rPr>
              <w:t>For those about to receive immunosuppressive treatment the booster may be brought forward to a minimum of four months (~120 days) to avoid giving the booster when the immune system is less able to respond.</w:t>
            </w:r>
            <w:bookmarkEnd w:id="31"/>
          </w:p>
        </w:tc>
      </w:tr>
      <w:tr w:rsidR="00B227F7" w:rsidRPr="00A956FD" w14:paraId="7BA7FD87" w14:textId="77777777" w:rsidTr="009B16D6">
        <w:tc>
          <w:tcPr>
            <w:tcW w:w="2722" w:type="dxa"/>
            <w:tcBorders>
              <w:bottom w:val="single" w:sz="4" w:space="0" w:color="auto"/>
            </w:tcBorders>
          </w:tcPr>
          <w:p w14:paraId="25D567AF" w14:textId="77777777" w:rsidR="00B227F7" w:rsidRPr="0000216F" w:rsidRDefault="00B227F7" w:rsidP="007B2C02">
            <w:pPr>
              <w:spacing w:before="120" w:after="120"/>
              <w:rPr>
                <w:rFonts w:cs="Arial"/>
                <w:b/>
                <w:sz w:val="22"/>
                <w:szCs w:val="22"/>
              </w:rPr>
            </w:pPr>
            <w:r w:rsidRPr="0000216F">
              <w:rPr>
                <w:rFonts w:cs="Arial"/>
                <w:b/>
                <w:sz w:val="22"/>
                <w:szCs w:val="22"/>
              </w:rPr>
              <w:lastRenderedPageBreak/>
              <w:t>Duration of treatment</w:t>
            </w:r>
          </w:p>
        </w:tc>
        <w:tc>
          <w:tcPr>
            <w:tcW w:w="7513" w:type="dxa"/>
            <w:tcBorders>
              <w:bottom w:val="single" w:sz="4" w:space="0" w:color="auto"/>
            </w:tcBorders>
          </w:tcPr>
          <w:p w14:paraId="5D861387" w14:textId="130CC1C4" w:rsidR="006E4A32" w:rsidRPr="007762BD" w:rsidRDefault="001462A5" w:rsidP="007B2C02">
            <w:pPr>
              <w:spacing w:before="120" w:after="120"/>
              <w:rPr>
                <w:color w:val="FF0000"/>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tc>
      </w:tr>
      <w:tr w:rsidR="00B227F7" w:rsidRPr="00A956FD" w14:paraId="79129B8C" w14:textId="77777777" w:rsidTr="009B16D6">
        <w:tc>
          <w:tcPr>
            <w:tcW w:w="2722" w:type="dxa"/>
            <w:tcBorders>
              <w:bottom w:val="single" w:sz="4" w:space="0" w:color="auto"/>
            </w:tcBorders>
          </w:tcPr>
          <w:p w14:paraId="76B61BED" w14:textId="77777777" w:rsidR="00B227F7" w:rsidRPr="0000216F" w:rsidRDefault="00B227F7" w:rsidP="007B2C02">
            <w:pPr>
              <w:spacing w:before="120" w:after="120"/>
              <w:rPr>
                <w:rFonts w:cs="Arial"/>
                <w:b/>
                <w:sz w:val="22"/>
                <w:szCs w:val="22"/>
              </w:rPr>
            </w:pPr>
            <w:r w:rsidRPr="0000216F">
              <w:rPr>
                <w:rFonts w:cs="Arial"/>
                <w:b/>
                <w:sz w:val="22"/>
                <w:szCs w:val="22"/>
              </w:rPr>
              <w:t>Quantity to be supplied / administered</w:t>
            </w:r>
          </w:p>
        </w:tc>
        <w:tc>
          <w:tcPr>
            <w:tcW w:w="7513" w:type="dxa"/>
            <w:tcBorders>
              <w:bottom w:val="single" w:sz="4" w:space="0" w:color="auto"/>
            </w:tcBorders>
          </w:tcPr>
          <w:p w14:paraId="435A44EA" w14:textId="68547AB4" w:rsidR="004037BE" w:rsidRPr="000028EA" w:rsidRDefault="001462A5" w:rsidP="007B2C02">
            <w:pPr>
              <w:spacing w:before="120" w:after="120"/>
              <w:rPr>
                <w:sz w:val="22"/>
              </w:rPr>
            </w:pPr>
            <w:r>
              <w:rPr>
                <w:rFonts w:cs="Arial"/>
                <w:sz w:val="22"/>
                <w:szCs w:val="22"/>
              </w:rPr>
              <w:t>Administer 30micrograms in 0.3</w:t>
            </w:r>
            <w:r w:rsidRPr="00132994">
              <w:rPr>
                <w:rFonts w:cs="Arial"/>
                <w:sz w:val="22"/>
                <w:szCs w:val="22"/>
              </w:rPr>
              <w:t>ml</w:t>
            </w:r>
            <w:r w:rsidR="00CF1262">
              <w:rPr>
                <w:rFonts w:cs="Arial"/>
                <w:sz w:val="22"/>
                <w:szCs w:val="22"/>
              </w:rPr>
              <w:t xml:space="preserve"> per dose</w:t>
            </w:r>
          </w:p>
        </w:tc>
      </w:tr>
      <w:tr w:rsidR="00B227F7" w:rsidRPr="00A956FD" w14:paraId="78019AF4" w14:textId="77777777" w:rsidTr="009B16D6">
        <w:tc>
          <w:tcPr>
            <w:tcW w:w="2722" w:type="dxa"/>
            <w:tcBorders>
              <w:bottom w:val="single" w:sz="4" w:space="0" w:color="auto"/>
            </w:tcBorders>
          </w:tcPr>
          <w:p w14:paraId="59E64231" w14:textId="5AE3CD26" w:rsidR="00B227F7" w:rsidRDefault="00B227F7" w:rsidP="007B2C02">
            <w:pPr>
              <w:spacing w:before="120" w:after="120"/>
              <w:rPr>
                <w:rFonts w:cs="Arial"/>
                <w:b/>
                <w:sz w:val="22"/>
                <w:szCs w:val="22"/>
              </w:rPr>
            </w:pPr>
            <w:bookmarkStart w:id="32" w:name="Supplies"/>
            <w:bookmarkEnd w:id="32"/>
            <w:r w:rsidRPr="0000216F">
              <w:rPr>
                <w:rFonts w:cs="Arial"/>
                <w:b/>
                <w:sz w:val="22"/>
                <w:szCs w:val="22"/>
              </w:rPr>
              <w:t>Supplies</w:t>
            </w:r>
          </w:p>
          <w:p w14:paraId="1AF79B97" w14:textId="77777777" w:rsidR="002018A9" w:rsidRDefault="002018A9" w:rsidP="002018A9">
            <w:pPr>
              <w:spacing w:before="120" w:after="120"/>
              <w:contextualSpacing/>
              <w:rPr>
                <w:rFonts w:cs="Arial"/>
                <w:sz w:val="22"/>
                <w:szCs w:val="22"/>
              </w:rPr>
            </w:pPr>
          </w:p>
          <w:p w14:paraId="79A2C1C4" w14:textId="1CDC2717" w:rsidR="0068102D" w:rsidRDefault="0068102D" w:rsidP="00C84E68">
            <w:pPr>
              <w:spacing w:before="120" w:after="120"/>
              <w:contextualSpacing/>
              <w:rPr>
                <w:rFonts w:cs="Arial"/>
                <w:sz w:val="22"/>
                <w:szCs w:val="22"/>
              </w:rPr>
            </w:pPr>
          </w:p>
          <w:p w14:paraId="65AF99CE" w14:textId="257F34F9" w:rsidR="00B227F7" w:rsidRPr="00D12FEF" w:rsidRDefault="00B227F7" w:rsidP="00C84E68">
            <w:pPr>
              <w:spacing w:before="120" w:after="120"/>
              <w:contextualSpacing/>
              <w:rPr>
                <w:rFonts w:cs="Arial"/>
                <w:sz w:val="22"/>
                <w:szCs w:val="22"/>
              </w:rPr>
            </w:pPr>
          </w:p>
        </w:tc>
        <w:tc>
          <w:tcPr>
            <w:tcW w:w="7513" w:type="dxa"/>
            <w:tcBorders>
              <w:bottom w:val="single" w:sz="4" w:space="0" w:color="auto"/>
            </w:tcBorders>
          </w:tcPr>
          <w:p w14:paraId="1CA29B52" w14:textId="1C1FF1FA" w:rsidR="0035502B" w:rsidRPr="0051647D" w:rsidRDefault="0051647D" w:rsidP="00336503">
            <w:pPr>
              <w:shd w:val="clear" w:color="auto" w:fill="FFFFFF"/>
              <w:spacing w:before="120" w:after="120"/>
              <w:rPr>
                <w:rFonts w:eastAsiaTheme="minorHAnsi" w:cs="Arial"/>
                <w:sz w:val="22"/>
                <w:szCs w:val="22"/>
                <w:lang w:eastAsia="en-US"/>
              </w:rPr>
            </w:pPr>
            <w:bookmarkStart w:id="33" w:name="_Hlk60504008"/>
            <w:r w:rsidRPr="0051647D">
              <w:rPr>
                <w:rFonts w:eastAsiaTheme="minorHAnsi" w:cs="Arial"/>
                <w:sz w:val="22"/>
                <w:szCs w:val="22"/>
                <w:lang w:eastAsia="en-US"/>
              </w:rPr>
              <w:t>Providers should order</w:t>
            </w:r>
            <w:r w:rsidR="00AA5C51">
              <w:rPr>
                <w:rFonts w:eastAsiaTheme="minorHAnsi" w:cs="Arial"/>
                <w:sz w:val="22"/>
                <w:szCs w:val="22"/>
                <w:lang w:eastAsia="en-US"/>
              </w:rPr>
              <w:t>/receive</w:t>
            </w:r>
            <w:r w:rsidRPr="0051647D">
              <w:rPr>
                <w:rFonts w:eastAsiaTheme="minorHAnsi" w:cs="Arial"/>
                <w:sz w:val="22"/>
                <w:szCs w:val="22"/>
                <w:lang w:eastAsia="en-US"/>
              </w:rPr>
              <w:t xml:space="preserve"> COVID-19 vaccines via the national appointed supply route for the provider.</w:t>
            </w:r>
            <w:r w:rsidR="00AA5C51" w:rsidRPr="0051647D" w:rsidDel="00AA5C51">
              <w:rPr>
                <w:rFonts w:eastAsiaTheme="minorHAnsi" w:cs="Arial"/>
                <w:sz w:val="22"/>
                <w:szCs w:val="22"/>
                <w:lang w:eastAsia="en-US"/>
              </w:rPr>
              <w:t xml:space="preserve"> </w:t>
            </w:r>
          </w:p>
          <w:bookmarkEnd w:id="33"/>
          <w:p w14:paraId="07AC4C8E" w14:textId="78F64E15" w:rsidR="00B227F7" w:rsidRPr="007762BD" w:rsidRDefault="00AC74B4" w:rsidP="00213C02">
            <w:pPr>
              <w:shd w:val="clear" w:color="auto" w:fill="FFFFFF"/>
              <w:spacing w:before="120" w:after="120"/>
              <w:rPr>
                <w:rFonts w:cs="TimesNewRomanPS"/>
                <w:color w:val="FF0000"/>
              </w:rPr>
            </w:pPr>
            <w:r w:rsidRPr="00DD3796">
              <w:rPr>
                <w:rFonts w:cs="Arial"/>
                <w:sz w:val="22"/>
                <w:szCs w:val="22"/>
              </w:rPr>
              <w:t>NHS standard operating procedures</w:t>
            </w:r>
            <w:r>
              <w:rPr>
                <w:rFonts w:cs="Arial"/>
                <w:sz w:val="22"/>
                <w:szCs w:val="22"/>
              </w:rPr>
              <w:t xml:space="preserve"> </w:t>
            </w:r>
            <w:r w:rsidR="00C343AC" w:rsidRPr="00CF71D0">
              <w:rPr>
                <w:rFonts w:cs="Arial"/>
                <w:sz w:val="22"/>
                <w:szCs w:val="22"/>
              </w:rPr>
              <w:t xml:space="preserve">should be followed for appropriate </w:t>
            </w:r>
            <w:r w:rsidR="0051647D">
              <w:rPr>
                <w:rFonts w:cs="Arial"/>
                <w:sz w:val="22"/>
                <w:szCs w:val="22"/>
              </w:rPr>
              <w:t xml:space="preserve">ordering, </w:t>
            </w:r>
            <w:r w:rsidR="00C343AC" w:rsidRPr="00CF71D0">
              <w:rPr>
                <w:rFonts w:cs="Arial"/>
                <w:sz w:val="22"/>
                <w:szCs w:val="22"/>
              </w:rPr>
              <w:t xml:space="preserve">storage, handling, preparation, administration and waste minimisation of </w:t>
            </w:r>
            <w:r w:rsidR="00C343AC">
              <w:rPr>
                <w:rFonts w:cs="Arial"/>
                <w:sz w:val="22"/>
                <w:szCs w:val="22"/>
              </w:rPr>
              <w:t>COVID-19 mRNA Vaccine BNT162b2</w:t>
            </w:r>
            <w:r w:rsidR="00C343AC" w:rsidRPr="00CF71D0">
              <w:rPr>
                <w:rFonts w:cs="Arial"/>
                <w:sz w:val="22"/>
                <w:szCs w:val="22"/>
              </w:rPr>
              <w:t>, which ensure use is in</w:t>
            </w:r>
            <w:r w:rsidR="00C343AC" w:rsidRPr="008B3FC3">
              <w:rPr>
                <w:rFonts w:cs="Arial"/>
                <w:sz w:val="22"/>
                <w:szCs w:val="22"/>
              </w:rPr>
              <w:t xml:space="preserve"> accordance with</w:t>
            </w:r>
            <w:r w:rsidR="00C343AC" w:rsidRPr="00CF71D0">
              <w:rPr>
                <w:rFonts w:cs="Arial"/>
                <w:sz w:val="22"/>
                <w:szCs w:val="22"/>
              </w:rPr>
              <w:t xml:space="preserve"> </w:t>
            </w:r>
            <w:hyperlink r:id="rId62" w:history="1">
              <w:r w:rsidR="00C343AC">
                <w:rPr>
                  <w:rStyle w:val="Hyperlink"/>
                  <w:rFonts w:cs="Arial"/>
                  <w:sz w:val="22"/>
                  <w:szCs w:val="22"/>
                </w:rPr>
                <w:t>Regulation 174 Information for UK Healthcare Professionals</w:t>
              </w:r>
            </w:hyperlink>
            <w:r w:rsidR="00C343AC" w:rsidRPr="00E26C8C">
              <w:rPr>
                <w:rStyle w:val="Hyperlink"/>
                <w:rFonts w:cs="Arial"/>
                <w:sz w:val="22"/>
                <w:szCs w:val="22"/>
                <w:u w:val="none"/>
              </w:rPr>
              <w:t xml:space="preserve"> </w:t>
            </w:r>
            <w:r w:rsidR="00C343AC" w:rsidRPr="00CF71D0">
              <w:rPr>
                <w:rFonts w:cs="Arial"/>
                <w:sz w:val="22"/>
                <w:szCs w:val="22"/>
              </w:rPr>
              <w:t>and</w:t>
            </w:r>
            <w:r w:rsidR="00C343AC" w:rsidRPr="008B3FC3">
              <w:rPr>
                <w:rFonts w:cs="Arial"/>
                <w:sz w:val="22"/>
                <w:szCs w:val="22"/>
              </w:rPr>
              <w:t xml:space="preserve"> </w:t>
            </w:r>
            <w:hyperlink r:id="rId63" w:history="1">
              <w:r w:rsidR="00C343AC">
                <w:rPr>
                  <w:rStyle w:val="Hyperlink"/>
                  <w:rFonts w:cs="Arial"/>
                  <w:sz w:val="22"/>
                  <w:szCs w:val="22"/>
                </w:rPr>
                <w:t>Conditions of Authorisation for Pfizer/BioNTech COVID-19 vaccine BNT162b2</w:t>
              </w:r>
            </w:hyperlink>
            <w:r w:rsidR="00C343AC" w:rsidRPr="00CF71D0">
              <w:rPr>
                <w:rStyle w:val="Hyperlink"/>
                <w:rFonts w:cs="Arial"/>
                <w:sz w:val="22"/>
                <w:szCs w:val="22"/>
              </w:rPr>
              <w:t>.</w:t>
            </w:r>
          </w:p>
        </w:tc>
      </w:tr>
      <w:tr w:rsidR="00B227F7" w:rsidRPr="00A956FD" w14:paraId="7ACCCFC7" w14:textId="77777777" w:rsidTr="009B16D6">
        <w:tc>
          <w:tcPr>
            <w:tcW w:w="2722" w:type="dxa"/>
            <w:tcBorders>
              <w:bottom w:val="single" w:sz="4" w:space="0" w:color="auto"/>
            </w:tcBorders>
          </w:tcPr>
          <w:p w14:paraId="40B2E739" w14:textId="77777777" w:rsidR="00B227F7" w:rsidRDefault="00B227F7" w:rsidP="007B2C02">
            <w:pPr>
              <w:spacing w:before="120" w:after="120"/>
              <w:rPr>
                <w:rFonts w:cs="Arial"/>
                <w:b/>
                <w:sz w:val="22"/>
                <w:szCs w:val="22"/>
              </w:rPr>
            </w:pPr>
            <w:bookmarkStart w:id="34" w:name="Storage"/>
            <w:bookmarkEnd w:id="34"/>
            <w:r w:rsidRPr="00260762">
              <w:rPr>
                <w:rFonts w:cs="Arial"/>
                <w:b/>
                <w:sz w:val="22"/>
                <w:szCs w:val="22"/>
              </w:rPr>
              <w:t>Storage</w:t>
            </w:r>
          </w:p>
          <w:p w14:paraId="6E0D3759" w14:textId="77777777" w:rsidR="0035502B" w:rsidRDefault="0035502B" w:rsidP="0035502B">
            <w:pPr>
              <w:spacing w:before="120" w:after="120"/>
              <w:contextualSpacing/>
              <w:rPr>
                <w:rFonts w:cs="Arial"/>
                <w:sz w:val="22"/>
                <w:szCs w:val="22"/>
              </w:rPr>
            </w:pPr>
          </w:p>
          <w:p w14:paraId="0E66729F" w14:textId="77777777" w:rsidR="0035502B" w:rsidRDefault="0035502B" w:rsidP="0035502B">
            <w:pPr>
              <w:spacing w:before="120" w:after="120"/>
              <w:contextualSpacing/>
              <w:rPr>
                <w:rFonts w:cs="Arial"/>
                <w:sz w:val="22"/>
                <w:szCs w:val="22"/>
              </w:rPr>
            </w:pPr>
          </w:p>
          <w:p w14:paraId="63F58C33" w14:textId="77777777" w:rsidR="0035502B" w:rsidRDefault="0035502B" w:rsidP="0035502B">
            <w:pPr>
              <w:spacing w:before="120" w:after="120"/>
              <w:contextualSpacing/>
              <w:rPr>
                <w:rFonts w:cs="Arial"/>
                <w:sz w:val="22"/>
                <w:szCs w:val="22"/>
              </w:rPr>
            </w:pPr>
          </w:p>
          <w:p w14:paraId="794A7A6C" w14:textId="77777777" w:rsidR="00E56171" w:rsidRDefault="00E56171" w:rsidP="00E56171">
            <w:pPr>
              <w:contextualSpacing/>
              <w:rPr>
                <w:rFonts w:cs="Arial"/>
                <w:sz w:val="22"/>
                <w:szCs w:val="22"/>
              </w:rPr>
            </w:pPr>
          </w:p>
          <w:p w14:paraId="2F9E0A39" w14:textId="77777777" w:rsidR="00E56171" w:rsidRDefault="00E56171" w:rsidP="00E56171">
            <w:pPr>
              <w:contextualSpacing/>
              <w:rPr>
                <w:rFonts w:cs="Arial"/>
                <w:sz w:val="22"/>
                <w:szCs w:val="22"/>
              </w:rPr>
            </w:pPr>
          </w:p>
          <w:p w14:paraId="22CCF657" w14:textId="77777777" w:rsidR="00E56171" w:rsidRDefault="00E56171" w:rsidP="00E56171">
            <w:pPr>
              <w:contextualSpacing/>
              <w:rPr>
                <w:rFonts w:cs="Arial"/>
                <w:sz w:val="22"/>
                <w:szCs w:val="22"/>
              </w:rPr>
            </w:pPr>
          </w:p>
          <w:p w14:paraId="747E60BD" w14:textId="77777777" w:rsidR="00E56171" w:rsidRDefault="00E56171" w:rsidP="00E56171">
            <w:pPr>
              <w:contextualSpacing/>
              <w:rPr>
                <w:rFonts w:cs="Arial"/>
                <w:sz w:val="22"/>
                <w:szCs w:val="22"/>
              </w:rPr>
            </w:pPr>
          </w:p>
          <w:p w14:paraId="7BD5A3BA" w14:textId="77777777" w:rsidR="00E56171" w:rsidRDefault="00E56171" w:rsidP="00E56171">
            <w:pPr>
              <w:contextualSpacing/>
              <w:rPr>
                <w:rFonts w:cs="Arial"/>
                <w:sz w:val="22"/>
                <w:szCs w:val="22"/>
              </w:rPr>
            </w:pPr>
          </w:p>
          <w:p w14:paraId="1962B093" w14:textId="77777777" w:rsidR="00E56171" w:rsidRDefault="00E56171" w:rsidP="00E56171">
            <w:pPr>
              <w:contextualSpacing/>
              <w:rPr>
                <w:rFonts w:cs="Arial"/>
                <w:sz w:val="22"/>
                <w:szCs w:val="22"/>
              </w:rPr>
            </w:pPr>
          </w:p>
          <w:p w14:paraId="3C8BC09B" w14:textId="77777777" w:rsidR="00E56171" w:rsidRDefault="00E56171" w:rsidP="00E56171">
            <w:pPr>
              <w:contextualSpacing/>
              <w:rPr>
                <w:rFonts w:cs="Arial"/>
                <w:sz w:val="22"/>
                <w:szCs w:val="22"/>
              </w:rPr>
            </w:pPr>
          </w:p>
          <w:p w14:paraId="455DECFB" w14:textId="77777777" w:rsidR="00E56171" w:rsidRDefault="00E56171" w:rsidP="00E56171">
            <w:pPr>
              <w:contextualSpacing/>
              <w:rPr>
                <w:rFonts w:cs="Arial"/>
                <w:sz w:val="22"/>
                <w:szCs w:val="22"/>
              </w:rPr>
            </w:pPr>
          </w:p>
          <w:p w14:paraId="5CD6358A" w14:textId="77777777" w:rsidR="00E56171" w:rsidRDefault="00E56171" w:rsidP="00E56171">
            <w:pPr>
              <w:contextualSpacing/>
              <w:rPr>
                <w:rFonts w:cs="Arial"/>
                <w:sz w:val="22"/>
                <w:szCs w:val="22"/>
              </w:rPr>
            </w:pPr>
          </w:p>
          <w:p w14:paraId="06307952" w14:textId="77777777" w:rsidR="00E56171" w:rsidRDefault="00E56171" w:rsidP="00E56171">
            <w:pPr>
              <w:contextualSpacing/>
              <w:rPr>
                <w:rFonts w:cs="Arial"/>
                <w:sz w:val="22"/>
                <w:szCs w:val="22"/>
              </w:rPr>
            </w:pPr>
          </w:p>
          <w:p w14:paraId="153F6AD3" w14:textId="77777777" w:rsidR="00E56171" w:rsidRDefault="00E56171" w:rsidP="00E56171">
            <w:pPr>
              <w:contextualSpacing/>
              <w:rPr>
                <w:rFonts w:cs="Arial"/>
                <w:sz w:val="22"/>
                <w:szCs w:val="22"/>
              </w:rPr>
            </w:pPr>
          </w:p>
          <w:p w14:paraId="2868D95D" w14:textId="77777777" w:rsidR="00E56171" w:rsidRDefault="00E56171" w:rsidP="00E56171">
            <w:pPr>
              <w:contextualSpacing/>
              <w:rPr>
                <w:rFonts w:cs="Arial"/>
                <w:sz w:val="22"/>
                <w:szCs w:val="22"/>
              </w:rPr>
            </w:pPr>
          </w:p>
          <w:p w14:paraId="748B50D5" w14:textId="77777777" w:rsidR="00E56171" w:rsidRDefault="00E56171" w:rsidP="00E56171">
            <w:pPr>
              <w:contextualSpacing/>
              <w:rPr>
                <w:rFonts w:cs="Arial"/>
                <w:sz w:val="22"/>
                <w:szCs w:val="22"/>
              </w:rPr>
            </w:pPr>
          </w:p>
          <w:p w14:paraId="2F752423" w14:textId="77777777" w:rsidR="00E56171" w:rsidRDefault="00E56171" w:rsidP="00E56171">
            <w:pPr>
              <w:contextualSpacing/>
              <w:rPr>
                <w:rFonts w:cs="Arial"/>
                <w:sz w:val="22"/>
                <w:szCs w:val="22"/>
              </w:rPr>
            </w:pPr>
          </w:p>
          <w:p w14:paraId="39EEFF7A" w14:textId="77777777" w:rsidR="00E56171" w:rsidRDefault="00E56171" w:rsidP="00E56171">
            <w:pPr>
              <w:contextualSpacing/>
              <w:rPr>
                <w:rFonts w:cs="Arial"/>
                <w:sz w:val="22"/>
                <w:szCs w:val="22"/>
              </w:rPr>
            </w:pPr>
          </w:p>
          <w:p w14:paraId="41524A5B" w14:textId="77777777" w:rsidR="00E56171" w:rsidRDefault="00E56171" w:rsidP="00E56171">
            <w:pPr>
              <w:contextualSpacing/>
              <w:rPr>
                <w:rFonts w:cs="Arial"/>
                <w:sz w:val="22"/>
                <w:szCs w:val="22"/>
              </w:rPr>
            </w:pPr>
          </w:p>
          <w:p w14:paraId="21CAD6DC" w14:textId="77777777" w:rsidR="00E56171" w:rsidRDefault="00E56171" w:rsidP="00E56171">
            <w:pPr>
              <w:contextualSpacing/>
              <w:rPr>
                <w:rFonts w:cs="Arial"/>
                <w:sz w:val="22"/>
                <w:szCs w:val="22"/>
              </w:rPr>
            </w:pPr>
          </w:p>
          <w:p w14:paraId="36354A21" w14:textId="77777777" w:rsidR="00E56171" w:rsidRDefault="00E56171" w:rsidP="00E56171">
            <w:pPr>
              <w:contextualSpacing/>
              <w:rPr>
                <w:rFonts w:cs="Arial"/>
                <w:sz w:val="22"/>
                <w:szCs w:val="22"/>
              </w:rPr>
            </w:pPr>
          </w:p>
          <w:p w14:paraId="32892C53" w14:textId="77777777" w:rsidR="00E56171" w:rsidRDefault="00E56171" w:rsidP="00E56171">
            <w:pPr>
              <w:contextualSpacing/>
              <w:rPr>
                <w:rFonts w:cs="Arial"/>
                <w:sz w:val="22"/>
                <w:szCs w:val="22"/>
              </w:rPr>
            </w:pPr>
          </w:p>
          <w:p w14:paraId="7C876602" w14:textId="77777777" w:rsidR="00E56171" w:rsidRDefault="00E56171" w:rsidP="00E56171">
            <w:pPr>
              <w:contextualSpacing/>
              <w:rPr>
                <w:rFonts w:cs="Arial"/>
                <w:sz w:val="22"/>
                <w:szCs w:val="22"/>
              </w:rPr>
            </w:pPr>
          </w:p>
          <w:p w14:paraId="737D0F92" w14:textId="77777777" w:rsidR="00E56171" w:rsidRDefault="00E56171" w:rsidP="00E56171">
            <w:pPr>
              <w:contextualSpacing/>
              <w:rPr>
                <w:rFonts w:cs="Arial"/>
                <w:sz w:val="22"/>
                <w:szCs w:val="22"/>
              </w:rPr>
            </w:pPr>
          </w:p>
          <w:p w14:paraId="26D87AE7" w14:textId="72F58BDF" w:rsidR="0035502B" w:rsidRPr="00260762" w:rsidRDefault="0035502B" w:rsidP="00E56171">
            <w:pPr>
              <w:spacing w:before="120" w:after="120"/>
              <w:contextualSpacing/>
              <w:rPr>
                <w:rFonts w:cs="Arial"/>
                <w:b/>
                <w:sz w:val="22"/>
                <w:szCs w:val="22"/>
              </w:rPr>
            </w:pPr>
          </w:p>
        </w:tc>
        <w:tc>
          <w:tcPr>
            <w:tcW w:w="7513" w:type="dxa"/>
            <w:tcBorders>
              <w:bottom w:val="single" w:sz="4" w:space="0" w:color="auto"/>
            </w:tcBorders>
          </w:tcPr>
          <w:p w14:paraId="65F61DBD" w14:textId="09F73669" w:rsidR="001125CE" w:rsidRDefault="00765DD4" w:rsidP="00C37797">
            <w:pPr>
              <w:overflowPunct/>
              <w:spacing w:before="120" w:after="120"/>
              <w:textAlignment w:val="auto"/>
              <w:rPr>
                <w:rFonts w:eastAsiaTheme="minorHAnsi" w:cs="Arial"/>
                <w:color w:val="000000"/>
                <w:sz w:val="22"/>
                <w:szCs w:val="22"/>
                <w:lang w:eastAsia="en-US"/>
              </w:rPr>
            </w:pPr>
            <w:r>
              <w:rPr>
                <w:rFonts w:cs="Arial"/>
                <w:sz w:val="22"/>
                <w:szCs w:val="22"/>
              </w:rPr>
              <w:t>COVID-19 mRNA vaccine BNT162b2</w:t>
            </w:r>
            <w:r w:rsidR="003E2E61">
              <w:rPr>
                <w:rFonts w:cs="Arial"/>
                <w:sz w:val="22"/>
                <w:szCs w:val="22"/>
              </w:rPr>
              <w:t xml:space="preserve"> </w:t>
            </w:r>
            <w:r w:rsidR="00ED3846">
              <w:rPr>
                <w:rFonts w:cs="Arial"/>
                <w:sz w:val="22"/>
                <w:szCs w:val="22"/>
              </w:rPr>
              <w:t xml:space="preserve">is supplied </w:t>
            </w:r>
            <w:r w:rsidR="00795B24">
              <w:rPr>
                <w:rFonts w:cs="Arial"/>
                <w:sz w:val="22"/>
                <w:szCs w:val="22"/>
              </w:rPr>
              <w:t xml:space="preserve">from the manufacturer </w:t>
            </w:r>
            <w:r w:rsidR="00ED3846">
              <w:rPr>
                <w:rFonts w:cs="Arial"/>
                <w:sz w:val="22"/>
                <w:szCs w:val="22"/>
              </w:rPr>
              <w:t>as a multiple-dose vial of frozen</w:t>
            </w:r>
            <w:r w:rsidR="0026397E">
              <w:rPr>
                <w:rFonts w:cs="Arial"/>
                <w:sz w:val="22"/>
                <w:szCs w:val="22"/>
              </w:rPr>
              <w:t>,</w:t>
            </w:r>
            <w:r w:rsidR="00ED3846">
              <w:rPr>
                <w:rFonts w:cs="Arial"/>
                <w:sz w:val="22"/>
                <w:szCs w:val="22"/>
              </w:rPr>
              <w:t xml:space="preserve"> </w:t>
            </w:r>
            <w:r w:rsidR="0026397E">
              <w:rPr>
                <w:rFonts w:cs="Arial"/>
                <w:sz w:val="22"/>
                <w:szCs w:val="22"/>
              </w:rPr>
              <w:t>preservative-free</w:t>
            </w:r>
            <w:r w:rsidR="00344FC9">
              <w:rPr>
                <w:rFonts w:cs="Arial"/>
                <w:sz w:val="22"/>
                <w:szCs w:val="22"/>
              </w:rPr>
              <w:t xml:space="preserve"> </w:t>
            </w:r>
            <w:r w:rsidR="00216CB3">
              <w:rPr>
                <w:rFonts w:cs="Arial"/>
                <w:sz w:val="22"/>
                <w:szCs w:val="22"/>
              </w:rPr>
              <w:t>concentrate</w:t>
            </w:r>
            <w:r w:rsidR="00066B2C">
              <w:rPr>
                <w:rFonts w:cs="Arial"/>
                <w:sz w:val="22"/>
                <w:szCs w:val="22"/>
              </w:rPr>
              <w:t>,</w:t>
            </w:r>
            <w:r w:rsidR="0026397E">
              <w:rPr>
                <w:rFonts w:cs="Arial"/>
                <w:sz w:val="22"/>
                <w:szCs w:val="22"/>
              </w:rPr>
              <w:t xml:space="preserve"> which </w:t>
            </w:r>
            <w:r w:rsidR="00B52745" w:rsidRPr="00C37797">
              <w:rPr>
                <w:rFonts w:cs="Arial"/>
                <w:sz w:val="22"/>
                <w:szCs w:val="22"/>
              </w:rPr>
              <w:t>require</w:t>
            </w:r>
            <w:r w:rsidR="0026397E">
              <w:rPr>
                <w:rFonts w:cs="Arial"/>
                <w:sz w:val="22"/>
                <w:szCs w:val="22"/>
              </w:rPr>
              <w:t>s</w:t>
            </w:r>
            <w:r w:rsidR="00B52745" w:rsidRPr="00C37797">
              <w:rPr>
                <w:rFonts w:cs="Arial"/>
                <w:sz w:val="22"/>
                <w:szCs w:val="22"/>
              </w:rPr>
              <w:t xml:space="preserve"> storage in an ult</w:t>
            </w:r>
            <w:r w:rsidR="00C37797" w:rsidRPr="00C37797">
              <w:rPr>
                <w:rFonts w:cs="Arial"/>
                <w:sz w:val="22"/>
                <w:szCs w:val="22"/>
              </w:rPr>
              <w:t>ra-</w:t>
            </w:r>
            <w:r w:rsidR="00B52745" w:rsidRPr="00C37797">
              <w:rPr>
                <w:rFonts w:cs="Arial"/>
                <w:sz w:val="22"/>
                <w:szCs w:val="22"/>
              </w:rPr>
              <w:t xml:space="preserve">low temperature freezer at </w:t>
            </w:r>
            <w:r w:rsidR="0026397E" w:rsidRPr="00ED5DB0">
              <w:rPr>
                <w:rFonts w:cs="Arial"/>
                <w:sz w:val="22"/>
                <w:szCs w:val="22"/>
              </w:rPr>
              <w:t>-</w:t>
            </w:r>
            <w:r w:rsidR="008D20E6">
              <w:rPr>
                <w:rFonts w:cs="Arial"/>
                <w:sz w:val="22"/>
                <w:szCs w:val="22"/>
              </w:rPr>
              <w:t>80</w:t>
            </w:r>
            <w:r w:rsidR="00B52745" w:rsidRPr="00C37797">
              <w:rPr>
                <w:rFonts w:eastAsiaTheme="minorHAnsi" w:cs="Arial"/>
                <w:color w:val="000000"/>
                <w:sz w:val="22"/>
                <w:szCs w:val="22"/>
                <w:lang w:eastAsia="en-US"/>
              </w:rPr>
              <w:t xml:space="preserve">°C </w:t>
            </w:r>
            <w:r w:rsidR="008D20E6">
              <w:rPr>
                <w:rFonts w:eastAsiaTheme="minorHAnsi" w:cs="Arial"/>
                <w:color w:val="000000"/>
                <w:sz w:val="22"/>
                <w:szCs w:val="22"/>
                <w:lang w:eastAsia="en-US"/>
              </w:rPr>
              <w:t>to -60</w:t>
            </w:r>
            <w:r w:rsidR="00B52745" w:rsidRPr="00C37797">
              <w:rPr>
                <w:rFonts w:eastAsiaTheme="minorHAnsi" w:cs="Arial"/>
                <w:color w:val="000000"/>
                <w:sz w:val="22"/>
                <w:szCs w:val="22"/>
                <w:lang w:eastAsia="en-US"/>
              </w:rPr>
              <w:t>°C</w:t>
            </w:r>
            <w:r w:rsidR="008D20E6">
              <w:rPr>
                <w:rFonts w:eastAsiaTheme="minorHAnsi" w:cs="Arial"/>
                <w:color w:val="000000"/>
                <w:sz w:val="22"/>
                <w:szCs w:val="22"/>
                <w:lang w:eastAsia="en-US"/>
              </w:rPr>
              <w:t xml:space="preserve"> or a thermal container at -90</w:t>
            </w:r>
            <w:r w:rsidR="008D20E6" w:rsidRPr="00C37797">
              <w:rPr>
                <w:rFonts w:eastAsiaTheme="minorHAnsi" w:cs="Arial"/>
                <w:color w:val="000000"/>
                <w:sz w:val="22"/>
                <w:szCs w:val="22"/>
                <w:lang w:eastAsia="en-US"/>
              </w:rPr>
              <w:t>°C</w:t>
            </w:r>
            <w:r w:rsidR="008D20E6">
              <w:rPr>
                <w:rFonts w:eastAsiaTheme="minorHAnsi" w:cs="Arial"/>
                <w:color w:val="000000"/>
                <w:sz w:val="22"/>
                <w:szCs w:val="22"/>
                <w:lang w:eastAsia="en-US"/>
              </w:rPr>
              <w:t xml:space="preserve"> to -60</w:t>
            </w:r>
            <w:r w:rsidR="008D20E6" w:rsidRPr="00C37797">
              <w:rPr>
                <w:rFonts w:eastAsiaTheme="minorHAnsi" w:cs="Arial"/>
                <w:color w:val="000000"/>
                <w:sz w:val="22"/>
                <w:szCs w:val="22"/>
                <w:lang w:eastAsia="en-US"/>
              </w:rPr>
              <w:t>°C</w:t>
            </w:r>
            <w:r w:rsidR="008D20E6">
              <w:rPr>
                <w:rFonts w:eastAsiaTheme="minorHAnsi" w:cs="Arial"/>
                <w:color w:val="000000"/>
                <w:sz w:val="22"/>
                <w:szCs w:val="22"/>
                <w:lang w:eastAsia="en-US"/>
              </w:rPr>
              <w:t>.</w:t>
            </w:r>
          </w:p>
          <w:p w14:paraId="25308FBC" w14:textId="34CB61C1" w:rsidR="00B52745" w:rsidRPr="00C37797" w:rsidRDefault="008D20E6" w:rsidP="00C37797">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S</w:t>
            </w:r>
            <w:r w:rsidR="00ED3846">
              <w:rPr>
                <w:rFonts w:eastAsiaTheme="minorHAnsi" w:cs="Arial"/>
                <w:color w:val="000000"/>
                <w:sz w:val="22"/>
                <w:szCs w:val="22"/>
                <w:lang w:eastAsia="en-US"/>
              </w:rPr>
              <w:t xml:space="preserve">helf life </w:t>
            </w:r>
            <w:r>
              <w:rPr>
                <w:rFonts w:eastAsiaTheme="minorHAnsi" w:cs="Arial"/>
                <w:color w:val="000000"/>
                <w:sz w:val="22"/>
                <w:szCs w:val="22"/>
                <w:lang w:eastAsia="en-US"/>
              </w:rPr>
              <w:t>is</w:t>
            </w:r>
            <w:r w:rsidR="00ED3846">
              <w:rPr>
                <w:rFonts w:eastAsiaTheme="minorHAnsi" w:cs="Arial"/>
                <w:color w:val="000000"/>
                <w:sz w:val="22"/>
                <w:szCs w:val="22"/>
                <w:lang w:eastAsia="en-US"/>
              </w:rPr>
              <w:t xml:space="preserve"> </w:t>
            </w:r>
            <w:r w:rsidR="00BB58F4">
              <w:rPr>
                <w:rFonts w:eastAsiaTheme="minorHAnsi" w:cs="Arial"/>
                <w:color w:val="000000"/>
                <w:sz w:val="22"/>
                <w:szCs w:val="22"/>
                <w:lang w:eastAsia="en-US"/>
              </w:rPr>
              <w:t>9</w:t>
            </w:r>
            <w:r w:rsidR="00ED3846">
              <w:rPr>
                <w:rFonts w:eastAsiaTheme="minorHAnsi" w:cs="Arial"/>
                <w:color w:val="000000"/>
                <w:sz w:val="22"/>
                <w:szCs w:val="22"/>
                <w:lang w:eastAsia="en-US"/>
              </w:rPr>
              <w:t xml:space="preserve"> months</w:t>
            </w:r>
            <w:r>
              <w:rPr>
                <w:rFonts w:eastAsiaTheme="minorHAnsi" w:cs="Arial"/>
                <w:color w:val="000000"/>
                <w:sz w:val="22"/>
                <w:szCs w:val="22"/>
                <w:lang w:eastAsia="en-US"/>
              </w:rPr>
              <w:t xml:space="preserve"> at </w:t>
            </w:r>
            <w:r w:rsidRPr="00ED5DB0">
              <w:rPr>
                <w:rFonts w:cs="Arial"/>
                <w:sz w:val="22"/>
                <w:szCs w:val="22"/>
              </w:rPr>
              <w:t>-</w:t>
            </w:r>
            <w:r>
              <w:rPr>
                <w:rFonts w:cs="Arial"/>
                <w:sz w:val="22"/>
                <w:szCs w:val="22"/>
              </w:rPr>
              <w:t>80</w:t>
            </w:r>
            <w:r w:rsidRPr="00C37797">
              <w:rPr>
                <w:rFonts w:eastAsiaTheme="minorHAnsi" w:cs="Arial"/>
                <w:color w:val="000000"/>
                <w:sz w:val="22"/>
                <w:szCs w:val="22"/>
                <w:lang w:eastAsia="en-US"/>
              </w:rPr>
              <w:t xml:space="preserve">°C </w:t>
            </w:r>
            <w:r>
              <w:rPr>
                <w:rFonts w:eastAsiaTheme="minorHAnsi" w:cs="Arial"/>
                <w:color w:val="000000"/>
                <w:sz w:val="22"/>
                <w:szCs w:val="22"/>
                <w:lang w:eastAsia="en-US"/>
              </w:rPr>
              <w:t>to -60</w:t>
            </w:r>
            <w:r w:rsidRPr="00C37797">
              <w:rPr>
                <w:rFonts w:eastAsiaTheme="minorHAnsi" w:cs="Arial"/>
                <w:color w:val="000000"/>
                <w:sz w:val="22"/>
                <w:szCs w:val="22"/>
                <w:lang w:eastAsia="en-US"/>
              </w:rPr>
              <w:t>°C</w:t>
            </w:r>
            <w:r w:rsidR="00C343AC">
              <w:rPr>
                <w:rFonts w:eastAsiaTheme="minorHAnsi" w:cs="Arial"/>
                <w:color w:val="000000"/>
                <w:sz w:val="22"/>
                <w:szCs w:val="22"/>
                <w:lang w:eastAsia="en-US"/>
              </w:rPr>
              <w:t>.</w:t>
            </w:r>
          </w:p>
          <w:p w14:paraId="5000737E" w14:textId="77777777" w:rsidR="008D20E6" w:rsidRDefault="008D20E6" w:rsidP="008D20E6">
            <w:pPr>
              <w:pStyle w:val="Header"/>
              <w:tabs>
                <w:tab w:val="clear" w:pos="4153"/>
                <w:tab w:val="clear" w:pos="8306"/>
              </w:tabs>
              <w:spacing w:before="120"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C73A130" w14:textId="0109FD7B" w:rsidR="007D3F6B" w:rsidRDefault="00066B2C" w:rsidP="00C37797">
            <w:pPr>
              <w:overflowPunct/>
              <w:spacing w:before="120" w:after="120"/>
              <w:textAlignment w:val="auto"/>
              <w:rPr>
                <w:rFonts w:cs="Arial"/>
                <w:sz w:val="22"/>
                <w:szCs w:val="22"/>
              </w:rPr>
            </w:pPr>
            <w:r>
              <w:rPr>
                <w:rFonts w:cs="Arial"/>
                <w:sz w:val="22"/>
                <w:szCs w:val="22"/>
              </w:rPr>
              <w:t>The</w:t>
            </w:r>
            <w:r w:rsidR="00416455">
              <w:rPr>
                <w:rFonts w:cs="Arial"/>
                <w:sz w:val="22"/>
                <w:szCs w:val="22"/>
              </w:rPr>
              <w:t xml:space="preserve"> undiluted vaccine can be stored for up to </w:t>
            </w:r>
            <w:r w:rsidR="004E7320">
              <w:rPr>
                <w:rFonts w:cs="Arial"/>
                <w:sz w:val="22"/>
                <w:szCs w:val="22"/>
              </w:rPr>
              <w:t>1 month</w:t>
            </w:r>
            <w:r w:rsidR="00C37797" w:rsidRPr="00C37797">
              <w:rPr>
                <w:rFonts w:cs="Arial"/>
                <w:sz w:val="22"/>
                <w:szCs w:val="22"/>
              </w:rPr>
              <w:t xml:space="preserve"> </w:t>
            </w:r>
            <w:r w:rsidR="007D3F6B">
              <w:rPr>
                <w:rFonts w:cs="Arial"/>
                <w:sz w:val="22"/>
                <w:szCs w:val="22"/>
              </w:rPr>
              <w:t>(</w:t>
            </w:r>
            <w:r w:rsidR="004E7320">
              <w:rPr>
                <w:rFonts w:cs="Arial"/>
                <w:sz w:val="22"/>
                <w:szCs w:val="22"/>
              </w:rPr>
              <w:t>31</w:t>
            </w:r>
            <w:r w:rsidR="00B52745" w:rsidRPr="00C37797">
              <w:rPr>
                <w:rFonts w:cs="Arial"/>
                <w:sz w:val="22"/>
                <w:szCs w:val="22"/>
              </w:rPr>
              <w:t xml:space="preserve"> days</w:t>
            </w:r>
            <w:r w:rsidR="007D3F6B">
              <w:rPr>
                <w:rFonts w:cs="Arial"/>
                <w:sz w:val="22"/>
                <w:szCs w:val="22"/>
              </w:rPr>
              <w:t xml:space="preserve">) </w:t>
            </w:r>
            <w:r w:rsidR="00C37797" w:rsidRPr="00C37797">
              <w:rPr>
                <w:rFonts w:eastAsiaTheme="minorHAnsi" w:cs="Arial"/>
                <w:color w:val="000000"/>
                <w:sz w:val="22"/>
                <w:szCs w:val="22"/>
                <w:lang w:eastAsia="en-US"/>
              </w:rPr>
              <w:t>at 2</w:t>
            </w:r>
            <w:r w:rsidR="004E7320" w:rsidRPr="00C37797">
              <w:rPr>
                <w:rFonts w:eastAsiaTheme="minorHAnsi" w:cs="Arial"/>
                <w:color w:val="000000"/>
                <w:sz w:val="22"/>
                <w:szCs w:val="22"/>
                <w:lang w:eastAsia="en-US"/>
              </w:rPr>
              <w:t xml:space="preserve">°C </w:t>
            </w:r>
            <w:r w:rsidR="004E7320">
              <w:rPr>
                <w:rFonts w:eastAsiaTheme="minorHAnsi" w:cs="Arial"/>
                <w:color w:val="000000"/>
                <w:sz w:val="22"/>
                <w:szCs w:val="22"/>
                <w:lang w:eastAsia="en-US"/>
              </w:rPr>
              <w:t xml:space="preserve">to </w:t>
            </w:r>
            <w:r w:rsidR="00C37797" w:rsidRPr="00C37797">
              <w:rPr>
                <w:rFonts w:eastAsiaTheme="minorHAnsi" w:cs="Arial"/>
                <w:color w:val="000000"/>
                <w:sz w:val="22"/>
                <w:szCs w:val="22"/>
                <w:lang w:eastAsia="en-US"/>
              </w:rPr>
              <w:t>8°C</w:t>
            </w:r>
            <w:r w:rsidR="00416455">
              <w:rPr>
                <w:rFonts w:eastAsiaTheme="minorHAnsi" w:cs="Arial"/>
                <w:color w:val="000000"/>
                <w:sz w:val="22"/>
                <w:szCs w:val="22"/>
                <w:lang w:eastAsia="en-US"/>
              </w:rPr>
              <w:t>,</w:t>
            </w:r>
            <w:r w:rsidR="0026397E">
              <w:rPr>
                <w:rFonts w:eastAsiaTheme="minorHAnsi" w:cs="Arial"/>
                <w:color w:val="000000"/>
                <w:sz w:val="22"/>
                <w:szCs w:val="22"/>
                <w:lang w:eastAsia="en-US"/>
              </w:rPr>
              <w:t xml:space="preserve"> </w:t>
            </w:r>
            <w:r w:rsidR="00C37797" w:rsidRPr="00C37797">
              <w:rPr>
                <w:rFonts w:cs="Arial"/>
                <w:sz w:val="22"/>
                <w:szCs w:val="22"/>
              </w:rPr>
              <w:t xml:space="preserve">or </w:t>
            </w:r>
            <w:r w:rsidR="00416455">
              <w:rPr>
                <w:rFonts w:cs="Arial"/>
                <w:sz w:val="22"/>
                <w:szCs w:val="22"/>
              </w:rPr>
              <w:t xml:space="preserve">up to </w:t>
            </w:r>
            <w:r w:rsidR="00C37797" w:rsidRPr="00C37797">
              <w:rPr>
                <w:rFonts w:cs="Arial"/>
                <w:sz w:val="22"/>
                <w:szCs w:val="22"/>
              </w:rPr>
              <w:t>2 hours at temperature</w:t>
            </w:r>
            <w:r w:rsidR="008D20E6">
              <w:rPr>
                <w:rFonts w:cs="Arial"/>
                <w:sz w:val="22"/>
                <w:szCs w:val="22"/>
              </w:rPr>
              <w:t>s up to 25</w:t>
            </w:r>
            <w:r w:rsidR="008D20E6" w:rsidRPr="00C37797">
              <w:rPr>
                <w:rFonts w:eastAsiaTheme="minorHAnsi" w:cs="Arial"/>
                <w:color w:val="000000"/>
                <w:sz w:val="22"/>
                <w:szCs w:val="22"/>
                <w:lang w:eastAsia="en-US"/>
              </w:rPr>
              <w:t>°C</w:t>
            </w:r>
            <w:r w:rsidR="00416455">
              <w:rPr>
                <w:rFonts w:eastAsiaTheme="minorHAnsi" w:cs="Arial"/>
                <w:color w:val="000000"/>
                <w:sz w:val="22"/>
                <w:szCs w:val="22"/>
                <w:lang w:eastAsia="en-US"/>
              </w:rPr>
              <w:t>,</w:t>
            </w:r>
            <w:r w:rsidR="00C37797" w:rsidRPr="00C37797">
              <w:rPr>
                <w:rFonts w:cs="Arial"/>
                <w:sz w:val="22"/>
                <w:szCs w:val="22"/>
              </w:rPr>
              <w:t xml:space="preserve"> </w:t>
            </w:r>
            <w:r w:rsidR="00416455">
              <w:rPr>
                <w:rFonts w:cs="Arial"/>
                <w:sz w:val="22"/>
                <w:szCs w:val="22"/>
              </w:rPr>
              <w:t>prior to use.</w:t>
            </w:r>
            <w:r w:rsidR="001F12CD">
              <w:rPr>
                <w:rFonts w:cs="Arial"/>
                <w:sz w:val="22"/>
                <w:szCs w:val="22"/>
              </w:rPr>
              <w:t xml:space="preserve"> </w:t>
            </w:r>
          </w:p>
          <w:p w14:paraId="285A2F08" w14:textId="01AE07F3" w:rsidR="00C37797" w:rsidRDefault="001F12CD" w:rsidP="00C37797">
            <w:pPr>
              <w:overflowPunct/>
              <w:spacing w:before="120" w:after="120"/>
              <w:textAlignment w:val="auto"/>
              <w:rPr>
                <w:rFonts w:cs="Arial"/>
                <w:sz w:val="22"/>
                <w:szCs w:val="22"/>
              </w:rPr>
            </w:pPr>
            <w:r>
              <w:rPr>
                <w:rFonts w:cs="Arial"/>
                <w:sz w:val="22"/>
                <w:szCs w:val="22"/>
              </w:rPr>
              <w:t>During storage, minimise exposure to room light, and avoid exposure to direct sunlight and ultraviolet light. Thawed vials can be handled in room light conditions.</w:t>
            </w:r>
          </w:p>
          <w:p w14:paraId="04AEBFF1" w14:textId="6A9980B4" w:rsidR="008D20E6" w:rsidRPr="00ED5DB0" w:rsidRDefault="008D20E6" w:rsidP="00C37797">
            <w:pPr>
              <w:overflowPunct/>
              <w:spacing w:before="120" w:after="120"/>
              <w:textAlignment w:val="auto"/>
              <w:rPr>
                <w:rFonts w:eastAsiaTheme="minorHAnsi" w:cs="Arial"/>
                <w:color w:val="000000"/>
                <w:sz w:val="22"/>
                <w:szCs w:val="22"/>
                <w:lang w:eastAsia="en-US"/>
              </w:rPr>
            </w:pPr>
            <w:r>
              <w:rPr>
                <w:rFonts w:cs="Arial"/>
                <w:sz w:val="22"/>
                <w:szCs w:val="22"/>
              </w:rPr>
              <w:t>Once thawed the vaccine cannot be re-frozen.</w:t>
            </w:r>
          </w:p>
          <w:p w14:paraId="4AD7640D" w14:textId="24660677" w:rsidR="00537CAD" w:rsidRDefault="0026397E" w:rsidP="00C37797">
            <w:pPr>
              <w:overflowPunct/>
              <w:spacing w:before="120" w:after="120"/>
              <w:textAlignment w:val="auto"/>
              <w:rPr>
                <w:rFonts w:cs="Arial"/>
                <w:sz w:val="22"/>
                <w:szCs w:val="22"/>
              </w:rPr>
            </w:pPr>
            <w:bookmarkStart w:id="35" w:name="StorageAfterDilution"/>
            <w:bookmarkEnd w:id="35"/>
            <w:r w:rsidRPr="00ED5DB0">
              <w:rPr>
                <w:rFonts w:cs="Arial"/>
                <w:sz w:val="22"/>
                <w:szCs w:val="22"/>
              </w:rPr>
              <w:t xml:space="preserve">After </w:t>
            </w:r>
            <w:r w:rsidR="007D3F6B">
              <w:rPr>
                <w:rFonts w:cs="Arial"/>
                <w:sz w:val="22"/>
                <w:szCs w:val="22"/>
              </w:rPr>
              <w:t xml:space="preserve">aseptic </w:t>
            </w:r>
            <w:r w:rsidRPr="00ED5DB0">
              <w:rPr>
                <w:rFonts w:cs="Arial"/>
                <w:sz w:val="22"/>
                <w:szCs w:val="22"/>
              </w:rPr>
              <w:t>dilution,</w:t>
            </w:r>
            <w:r w:rsidR="008D20E6">
              <w:rPr>
                <w:rFonts w:cs="Arial"/>
                <w:sz w:val="22"/>
                <w:szCs w:val="22"/>
              </w:rPr>
              <w:t xml:space="preserve"> vials should be marked with the </w:t>
            </w:r>
            <w:r w:rsidR="007D3F6B">
              <w:rPr>
                <w:rFonts w:cs="Arial"/>
                <w:sz w:val="22"/>
                <w:szCs w:val="22"/>
              </w:rPr>
              <w:t>dilution</w:t>
            </w:r>
            <w:r w:rsidR="008D20E6">
              <w:rPr>
                <w:rFonts w:cs="Arial"/>
                <w:sz w:val="22"/>
                <w:szCs w:val="22"/>
              </w:rPr>
              <w:t xml:space="preserve"> date and time,</w:t>
            </w:r>
            <w:r w:rsidRPr="00ED5DB0">
              <w:rPr>
                <w:rFonts w:cs="Arial"/>
                <w:sz w:val="22"/>
                <w:szCs w:val="22"/>
              </w:rPr>
              <w:t xml:space="preserve"> stored </w:t>
            </w:r>
            <w:r w:rsidR="001F12CD">
              <w:rPr>
                <w:rFonts w:cs="Arial"/>
                <w:sz w:val="22"/>
                <w:szCs w:val="22"/>
              </w:rPr>
              <w:t>at</w:t>
            </w:r>
            <w:r w:rsidR="001F12CD" w:rsidRPr="00ED5DB0">
              <w:rPr>
                <w:rFonts w:cs="Arial"/>
                <w:sz w:val="22"/>
                <w:szCs w:val="22"/>
              </w:rPr>
              <w:t xml:space="preserve"> </w:t>
            </w:r>
            <w:r w:rsidRPr="00ED5DB0">
              <w:rPr>
                <w:rFonts w:cs="Arial"/>
                <w:sz w:val="22"/>
                <w:szCs w:val="22"/>
              </w:rPr>
              <w:t>2°C to 25°C and use</w:t>
            </w:r>
            <w:r w:rsidR="007D3F6B">
              <w:rPr>
                <w:rFonts w:cs="Arial"/>
                <w:sz w:val="22"/>
                <w:szCs w:val="22"/>
              </w:rPr>
              <w:t>d</w:t>
            </w:r>
            <w:r w:rsidR="001F12CD">
              <w:rPr>
                <w:rFonts w:cs="Arial"/>
                <w:sz w:val="22"/>
                <w:szCs w:val="22"/>
              </w:rPr>
              <w:t xml:space="preserve"> </w:t>
            </w:r>
            <w:r w:rsidR="00036D0F" w:rsidRPr="00994459">
              <w:rPr>
                <w:rFonts w:cs="Arial"/>
                <w:sz w:val="22"/>
                <w:szCs w:val="22"/>
              </w:rPr>
              <w:t>as soon as practically possible and</w:t>
            </w:r>
            <w:r w:rsidR="00036D0F" w:rsidRPr="00ED5DB0">
              <w:rPr>
                <w:rFonts w:cs="Arial"/>
                <w:sz w:val="22"/>
                <w:szCs w:val="22"/>
              </w:rPr>
              <w:t xml:space="preserve"> </w:t>
            </w:r>
            <w:r w:rsidRPr="00ED5DB0">
              <w:rPr>
                <w:rFonts w:cs="Arial"/>
                <w:sz w:val="22"/>
                <w:szCs w:val="22"/>
              </w:rPr>
              <w:t>within 6 hours from the time of dilution</w:t>
            </w:r>
            <w:r w:rsidR="008D20E6">
              <w:rPr>
                <w:rFonts w:cs="Arial"/>
                <w:sz w:val="22"/>
                <w:szCs w:val="22"/>
              </w:rPr>
              <w:t>.</w:t>
            </w:r>
            <w:r w:rsidR="001F12CD">
              <w:rPr>
                <w:rFonts w:cs="Arial"/>
                <w:sz w:val="22"/>
                <w:szCs w:val="22"/>
              </w:rPr>
              <w:t xml:space="preserve"> The vaccine does not contain preservative.</w:t>
            </w:r>
          </w:p>
          <w:p w14:paraId="3F67DC06" w14:textId="6E7023D6" w:rsidR="00537CAD" w:rsidRDefault="00537CAD" w:rsidP="00C37797">
            <w:pPr>
              <w:overflowPunct/>
              <w:spacing w:before="120" w:after="120"/>
              <w:textAlignment w:val="auto"/>
              <w:rPr>
                <w:rFonts w:cs="Arial"/>
                <w:sz w:val="22"/>
                <w:szCs w:val="22"/>
              </w:rPr>
            </w:pPr>
            <w:r>
              <w:rPr>
                <w:rFonts w:cs="Arial"/>
                <w:sz w:val="22"/>
                <w:szCs w:val="22"/>
              </w:rPr>
              <w:t>Once the dose is drawn from the vial it should be administered immediately.</w:t>
            </w:r>
          </w:p>
          <w:p w14:paraId="08493041" w14:textId="646A1A93" w:rsidR="00416455" w:rsidRPr="00260762" w:rsidRDefault="00416455" w:rsidP="006E4A32">
            <w:pPr>
              <w:pStyle w:val="Header"/>
              <w:tabs>
                <w:tab w:val="clear" w:pos="4153"/>
                <w:tab w:val="clear" w:pos="8306"/>
              </w:tabs>
              <w:spacing w:after="120"/>
              <w:rPr>
                <w:rFonts w:ascii="Arial" w:hAnsi="Arial" w:cs="Arial"/>
                <w:sz w:val="22"/>
                <w:szCs w:val="22"/>
              </w:rPr>
            </w:pPr>
            <w:r>
              <w:rPr>
                <w:rFonts w:ascii="Arial" w:hAnsi="Arial" w:cs="Arial"/>
                <w:sz w:val="22"/>
                <w:szCs w:val="22"/>
              </w:rPr>
              <w:t xml:space="preserve">The above details relate to storage requirements and available stability data at the time of product </w:t>
            </w:r>
            <w:r w:rsidRPr="001468ED">
              <w:rPr>
                <w:rFonts w:ascii="Arial" w:hAnsi="Arial" w:cs="Arial"/>
                <w:sz w:val="22"/>
                <w:szCs w:val="22"/>
              </w:rPr>
              <w:t>authorisation. T</w:t>
            </w:r>
            <w:r w:rsidR="00537CAD" w:rsidRPr="001468ED">
              <w:rPr>
                <w:rFonts w:ascii="Arial" w:hAnsi="Arial" w:cs="Arial"/>
                <w:sz w:val="22"/>
                <w:szCs w:val="22"/>
              </w:rPr>
              <w:t>his may be subject to amendment a</w:t>
            </w:r>
            <w:r w:rsidRPr="001468ED">
              <w:rPr>
                <w:rFonts w:ascii="Arial" w:hAnsi="Arial" w:cs="Arial"/>
                <w:sz w:val="22"/>
                <w:szCs w:val="22"/>
              </w:rPr>
              <w:t xml:space="preserve">s more data becomes available. </w:t>
            </w:r>
            <w:r w:rsidR="007D3F6B" w:rsidRPr="001468ED">
              <w:rPr>
                <w:rFonts w:ascii="Arial" w:hAnsi="Arial" w:cs="Arial"/>
                <w:sz w:val="22"/>
                <w:szCs w:val="22"/>
              </w:rPr>
              <w:t xml:space="preserve">Refer to </w:t>
            </w:r>
            <w:r w:rsidR="001468ED" w:rsidRPr="004C6AE9">
              <w:rPr>
                <w:rFonts w:ascii="Arial" w:hAnsi="Arial" w:cs="Arial"/>
                <w:sz w:val="22"/>
                <w:szCs w:val="22"/>
              </w:rPr>
              <w:t xml:space="preserve">NHS standard operating procedures for the service and </w:t>
            </w:r>
            <w:r w:rsidR="007D3F6B" w:rsidRPr="001468ED">
              <w:rPr>
                <w:rFonts w:ascii="Arial" w:hAnsi="Arial" w:cs="Arial"/>
                <w:sz w:val="22"/>
                <w:szCs w:val="22"/>
              </w:rPr>
              <w:t>t</w:t>
            </w:r>
            <w:r w:rsidRPr="001468ED">
              <w:rPr>
                <w:rFonts w:ascii="Arial" w:hAnsi="Arial" w:cs="Arial"/>
                <w:sz w:val="22"/>
                <w:szCs w:val="22"/>
              </w:rPr>
              <w:t>he most up to date manufacturer</w:t>
            </w:r>
            <w:r w:rsidR="00537CAD" w:rsidRPr="001468ED">
              <w:rPr>
                <w:rFonts w:ascii="Arial" w:hAnsi="Arial" w:cs="Arial"/>
                <w:sz w:val="22"/>
                <w:szCs w:val="22"/>
              </w:rPr>
              <w:t>’</w:t>
            </w:r>
            <w:r w:rsidRPr="001468ED">
              <w:rPr>
                <w:rFonts w:ascii="Arial" w:hAnsi="Arial" w:cs="Arial"/>
                <w:sz w:val="22"/>
                <w:szCs w:val="22"/>
              </w:rPr>
              <w:t xml:space="preserve">s recommendations </w:t>
            </w:r>
            <w:r w:rsidR="00537CAD" w:rsidRPr="001468ED">
              <w:rPr>
                <w:rFonts w:ascii="Arial" w:hAnsi="Arial" w:cs="Arial"/>
                <w:sz w:val="22"/>
                <w:szCs w:val="22"/>
              </w:rPr>
              <w:t>in</w:t>
            </w:r>
            <w:r w:rsidR="00537CAD" w:rsidRPr="00465810">
              <w:rPr>
                <w:rFonts w:ascii="Arial" w:hAnsi="Arial" w:cs="Arial"/>
                <w:sz w:val="22"/>
                <w:szCs w:val="22"/>
              </w:rPr>
              <w:t xml:space="preserve"> the </w:t>
            </w:r>
            <w:hyperlink r:id="rId64" w:history="1">
              <w:r w:rsidR="00C343AC" w:rsidRPr="00E26C8C">
                <w:rPr>
                  <w:rStyle w:val="Hyperlink"/>
                  <w:rFonts w:ascii="Arial" w:hAnsi="Arial" w:cs="Arial"/>
                  <w:sz w:val="22"/>
                  <w:szCs w:val="22"/>
                </w:rPr>
                <w:t>Conditions of Authorisation for Pfizer/BioNTech COVID-19 vaccine BNT162b2</w:t>
              </w:r>
            </w:hyperlink>
            <w:r w:rsidR="00537CAD" w:rsidRPr="00C343AC">
              <w:rPr>
                <w:rFonts w:ascii="Arial" w:hAnsi="Arial" w:cs="Arial"/>
                <w:sz w:val="22"/>
                <w:szCs w:val="22"/>
              </w:rPr>
              <w:t xml:space="preserve"> and</w:t>
            </w:r>
            <w:r w:rsidR="00537CAD" w:rsidRPr="008B2EE9">
              <w:rPr>
                <w:rFonts w:ascii="Arial" w:hAnsi="Arial" w:cs="Arial"/>
                <w:sz w:val="22"/>
                <w:szCs w:val="22"/>
              </w:rPr>
              <w:t xml:space="preserve"> </w:t>
            </w:r>
            <w:hyperlink r:id="rId65" w:history="1">
              <w:r w:rsidR="0052506A">
                <w:rPr>
                  <w:rStyle w:val="Hyperlink"/>
                  <w:rFonts w:ascii="Arial" w:hAnsi="Arial" w:cs="Arial"/>
                  <w:sz w:val="22"/>
                  <w:szCs w:val="22"/>
                </w:rPr>
                <w:t>Regulation 174 Information for UK Healthcare Professionals</w:t>
              </w:r>
            </w:hyperlink>
            <w:r w:rsidRPr="00537CAD">
              <w:rPr>
                <w:rFonts w:ascii="Arial" w:hAnsi="Arial" w:cs="Arial"/>
                <w:sz w:val="22"/>
                <w:szCs w:val="22"/>
              </w:rPr>
              <w:t>.</w:t>
            </w:r>
            <w:r>
              <w:rPr>
                <w:rFonts w:ascii="Arial" w:hAnsi="Arial" w:cs="Arial"/>
                <w:sz w:val="22"/>
                <w:szCs w:val="22"/>
              </w:rPr>
              <w:t xml:space="preserve"> </w:t>
            </w:r>
          </w:p>
        </w:tc>
      </w:tr>
      <w:tr w:rsidR="00B227F7" w:rsidRPr="00A956FD" w14:paraId="6C231A14" w14:textId="77777777" w:rsidTr="009B16D6">
        <w:tc>
          <w:tcPr>
            <w:tcW w:w="2722" w:type="dxa"/>
            <w:tcBorders>
              <w:bottom w:val="single" w:sz="4" w:space="0" w:color="auto"/>
            </w:tcBorders>
          </w:tcPr>
          <w:p w14:paraId="7C6BCEBB" w14:textId="77777777" w:rsidR="00B227F7" w:rsidRDefault="00B227F7" w:rsidP="007B2C02">
            <w:pPr>
              <w:spacing w:before="120" w:after="120"/>
              <w:rPr>
                <w:rFonts w:cs="Arial"/>
                <w:b/>
                <w:sz w:val="22"/>
                <w:szCs w:val="22"/>
              </w:rPr>
            </w:pPr>
            <w:r w:rsidRPr="0000216F">
              <w:br w:type="page"/>
            </w:r>
            <w:r w:rsidRPr="0000216F">
              <w:rPr>
                <w:rFonts w:cs="Arial"/>
                <w:b/>
                <w:sz w:val="22"/>
                <w:szCs w:val="22"/>
              </w:rPr>
              <w:t>Disposal</w:t>
            </w:r>
          </w:p>
          <w:p w14:paraId="57B0DD20" w14:textId="77777777" w:rsidR="00E56171" w:rsidRDefault="00E56171" w:rsidP="00E56171">
            <w:pPr>
              <w:contextualSpacing/>
              <w:rPr>
                <w:rFonts w:cs="Arial"/>
                <w:sz w:val="22"/>
                <w:szCs w:val="22"/>
              </w:rPr>
            </w:pPr>
          </w:p>
          <w:p w14:paraId="22479DEF" w14:textId="77777777" w:rsidR="000451D5" w:rsidRDefault="000451D5" w:rsidP="000451D5">
            <w:pPr>
              <w:contextualSpacing/>
              <w:rPr>
                <w:rFonts w:cs="Arial"/>
                <w:sz w:val="22"/>
                <w:szCs w:val="22"/>
              </w:rPr>
            </w:pPr>
          </w:p>
          <w:p w14:paraId="1CBB45E7" w14:textId="77777777" w:rsidR="000451D5" w:rsidRDefault="000451D5" w:rsidP="000451D5">
            <w:pPr>
              <w:contextualSpacing/>
              <w:rPr>
                <w:rFonts w:cs="Arial"/>
                <w:sz w:val="22"/>
                <w:szCs w:val="22"/>
              </w:rPr>
            </w:pPr>
          </w:p>
          <w:p w14:paraId="5190DD38" w14:textId="77777777" w:rsidR="000451D5" w:rsidRDefault="000451D5" w:rsidP="000451D5">
            <w:pPr>
              <w:contextualSpacing/>
              <w:rPr>
                <w:rFonts w:cs="Arial"/>
                <w:sz w:val="22"/>
                <w:szCs w:val="22"/>
              </w:rPr>
            </w:pPr>
          </w:p>
          <w:p w14:paraId="7ADD1C9F" w14:textId="77777777" w:rsidR="000451D5" w:rsidRDefault="000451D5" w:rsidP="000451D5">
            <w:pPr>
              <w:contextualSpacing/>
              <w:rPr>
                <w:rFonts w:cs="Arial"/>
                <w:sz w:val="22"/>
                <w:szCs w:val="22"/>
              </w:rPr>
            </w:pPr>
          </w:p>
          <w:p w14:paraId="70D97317" w14:textId="3D838DA1" w:rsidR="000451D5" w:rsidRPr="00E56171" w:rsidRDefault="000451D5" w:rsidP="000451D5">
            <w:pPr>
              <w:contextualSpacing/>
              <w:rPr>
                <w:rFonts w:cs="Arial"/>
                <w:sz w:val="22"/>
                <w:szCs w:val="22"/>
              </w:rPr>
            </w:pPr>
            <w:r w:rsidRPr="00E56171">
              <w:rPr>
                <w:rFonts w:cs="Arial"/>
                <w:sz w:val="22"/>
                <w:szCs w:val="22"/>
              </w:rPr>
              <w:t>Continued over page</w:t>
            </w:r>
          </w:p>
          <w:p w14:paraId="1E4BFEE7" w14:textId="5BC00F65" w:rsidR="00211EA1" w:rsidRPr="000028EA" w:rsidRDefault="000451D5" w:rsidP="000451D5">
            <w:pPr>
              <w:spacing w:before="120" w:after="120"/>
              <w:contextualSpacing/>
              <w:rPr>
                <w:rFonts w:cs="Arial"/>
                <w:sz w:val="22"/>
                <w:szCs w:val="22"/>
              </w:rPr>
            </w:pPr>
            <w:r w:rsidRPr="000451D5">
              <w:rPr>
                <w:rFonts w:cs="Arial"/>
                <w:b/>
                <w:sz w:val="22"/>
                <w:szCs w:val="22"/>
              </w:rPr>
              <w:lastRenderedPageBreak/>
              <w:t xml:space="preserve">Disposal </w:t>
            </w:r>
            <w:r w:rsidRPr="00E56171">
              <w:rPr>
                <w:rFonts w:cs="Arial"/>
                <w:sz w:val="22"/>
                <w:szCs w:val="22"/>
              </w:rPr>
              <w:t>(continued)</w:t>
            </w:r>
          </w:p>
        </w:tc>
        <w:tc>
          <w:tcPr>
            <w:tcW w:w="7513" w:type="dxa"/>
            <w:tcBorders>
              <w:bottom w:val="single" w:sz="4" w:space="0" w:color="auto"/>
            </w:tcBorders>
          </w:tcPr>
          <w:p w14:paraId="1121CB37" w14:textId="08F72F21" w:rsidR="00831C61" w:rsidRPr="00282B5B" w:rsidRDefault="00831C61" w:rsidP="00CE0435">
            <w:pPr>
              <w:overflowPunct/>
              <w:spacing w:before="120" w:after="120"/>
              <w:textAlignment w:val="auto"/>
              <w:rPr>
                <w:rFonts w:cs="Arial"/>
                <w:sz w:val="22"/>
                <w:szCs w:val="22"/>
              </w:rPr>
            </w:pPr>
            <w:r w:rsidRPr="00282B5B">
              <w:rPr>
                <w:rFonts w:cs="Arial"/>
                <w:sz w:val="22"/>
                <w:szCs w:val="22"/>
              </w:rPr>
              <w:lastRenderedPageBreak/>
              <w:t>Fol</w:t>
            </w:r>
            <w:r w:rsidR="002034D7" w:rsidRPr="00282B5B">
              <w:rPr>
                <w:rFonts w:cs="Arial"/>
                <w:sz w:val="22"/>
                <w:szCs w:val="22"/>
              </w:rPr>
              <w:t xml:space="preserve">low local clinical waste policy and </w:t>
            </w:r>
            <w:r w:rsidR="00AC74B4" w:rsidRPr="00282B5B">
              <w:rPr>
                <w:rFonts w:cs="Arial"/>
                <w:sz w:val="22"/>
                <w:szCs w:val="22"/>
              </w:rPr>
              <w:t xml:space="preserve">NHS standard operating procedures </w:t>
            </w:r>
            <w:r w:rsidR="007D3F6B" w:rsidRPr="00282B5B">
              <w:rPr>
                <w:rFonts w:cs="Arial"/>
                <w:sz w:val="22"/>
                <w:szCs w:val="22"/>
              </w:rPr>
              <w:t xml:space="preserve">and </w:t>
            </w:r>
            <w:r w:rsidR="002034D7" w:rsidRPr="00282B5B">
              <w:rPr>
                <w:rFonts w:cs="Arial"/>
                <w:sz w:val="22"/>
                <w:szCs w:val="22"/>
              </w:rPr>
              <w:t>ensure safe and secure waste disposal.</w:t>
            </w:r>
          </w:p>
          <w:p w14:paraId="647EB643" w14:textId="6EC376C9" w:rsidR="00B227F7" w:rsidRPr="00282B5B" w:rsidRDefault="00B227F7" w:rsidP="000028EA">
            <w:pPr>
              <w:spacing w:before="120" w:after="60"/>
              <w:rPr>
                <w:rFonts w:cs="Arial"/>
                <w:color w:val="FF0000"/>
                <w:sz w:val="22"/>
                <w:szCs w:val="22"/>
              </w:rPr>
            </w:pPr>
            <w:r w:rsidRPr="00282B5B">
              <w:rPr>
                <w:rFonts w:cs="Arial"/>
                <w:sz w:val="22"/>
                <w:szCs w:val="22"/>
              </w:rPr>
              <w:t xml:space="preserve">Equipment used for </w:t>
            </w:r>
            <w:r w:rsidR="00D7172A" w:rsidRPr="00282B5B">
              <w:rPr>
                <w:rFonts w:cs="Arial"/>
                <w:sz w:val="22"/>
                <w:szCs w:val="22"/>
              </w:rPr>
              <w:t>vaccination</w:t>
            </w:r>
            <w:r w:rsidRPr="00282B5B">
              <w:rPr>
                <w:rFonts w:cs="Arial"/>
                <w:sz w:val="22"/>
                <w:szCs w:val="22"/>
              </w:rPr>
              <w:t xml:space="preserve">, including used vials, ampoules, or discharged vaccines in a syringe or applicator, should be disposed of safely </w:t>
            </w:r>
            <w:r w:rsidR="009948C4" w:rsidRPr="00282B5B">
              <w:rPr>
                <w:rFonts w:cs="Arial"/>
                <w:sz w:val="22"/>
                <w:szCs w:val="22"/>
              </w:rPr>
              <w:t>and securely</w:t>
            </w:r>
            <w:r w:rsidRPr="00282B5B">
              <w:rPr>
                <w:rFonts w:cs="Arial"/>
                <w:sz w:val="22"/>
                <w:szCs w:val="22"/>
              </w:rPr>
              <w:t xml:space="preserve"> according to local authority </w:t>
            </w:r>
            <w:r w:rsidR="004E7320" w:rsidRPr="00282B5B">
              <w:rPr>
                <w:rFonts w:cs="Arial"/>
                <w:sz w:val="22"/>
                <w:szCs w:val="22"/>
              </w:rPr>
              <w:t>arrangements</w:t>
            </w:r>
            <w:r w:rsidRPr="00282B5B">
              <w:rPr>
                <w:rFonts w:cs="Arial"/>
                <w:sz w:val="22"/>
                <w:szCs w:val="22"/>
              </w:rPr>
              <w:t xml:space="preserve"> and </w:t>
            </w:r>
            <w:r w:rsidRPr="00282B5B">
              <w:rPr>
                <w:rFonts w:cs="Arial"/>
                <w:sz w:val="22"/>
                <w:szCs w:val="22"/>
              </w:rPr>
              <w:lastRenderedPageBreak/>
              <w:t xml:space="preserve">guidance in the </w:t>
            </w:r>
            <w:hyperlink r:id="rId66" w:history="1">
              <w:r w:rsidRPr="00282B5B">
                <w:rPr>
                  <w:rStyle w:val="Hyperlink"/>
                  <w:rFonts w:eastAsia="Arial" w:cs="Arial"/>
                  <w:sz w:val="22"/>
                  <w:szCs w:val="22"/>
                </w:rPr>
                <w:t>technical memorandum 07-01</w:t>
              </w:r>
            </w:hyperlink>
            <w:r w:rsidRPr="00282B5B">
              <w:rPr>
                <w:rFonts w:cs="Arial"/>
                <w:sz w:val="22"/>
                <w:szCs w:val="22"/>
              </w:rPr>
              <w:t>: Safe management of healthcare waste (Department of Health, 2013).</w:t>
            </w:r>
          </w:p>
        </w:tc>
      </w:tr>
      <w:tr w:rsidR="00B227F7" w:rsidRPr="00A956FD" w14:paraId="135C70F3" w14:textId="77777777" w:rsidTr="009B16D6">
        <w:tc>
          <w:tcPr>
            <w:tcW w:w="2722" w:type="dxa"/>
            <w:tcBorders>
              <w:bottom w:val="single" w:sz="4" w:space="0" w:color="auto"/>
            </w:tcBorders>
          </w:tcPr>
          <w:p w14:paraId="29DDA183" w14:textId="7C727B66" w:rsidR="00B227F7" w:rsidRDefault="00B227F7" w:rsidP="007B2C02">
            <w:pPr>
              <w:spacing w:before="120" w:after="120"/>
              <w:rPr>
                <w:rFonts w:cs="Arial"/>
                <w:b/>
                <w:sz w:val="22"/>
                <w:szCs w:val="22"/>
              </w:rPr>
            </w:pPr>
            <w:r w:rsidRPr="007E324D">
              <w:rPr>
                <w:rFonts w:cs="Arial"/>
                <w:b/>
                <w:sz w:val="22"/>
                <w:szCs w:val="22"/>
              </w:rPr>
              <w:lastRenderedPageBreak/>
              <w:t>Drug interactions</w:t>
            </w:r>
          </w:p>
          <w:p w14:paraId="27ADA646" w14:textId="77777777" w:rsidR="003A3C65" w:rsidRDefault="003A3C65" w:rsidP="003A3C65">
            <w:pPr>
              <w:contextualSpacing/>
              <w:rPr>
                <w:rFonts w:cs="Arial"/>
                <w:sz w:val="22"/>
                <w:szCs w:val="22"/>
              </w:rPr>
            </w:pPr>
          </w:p>
          <w:p w14:paraId="19AC6721" w14:textId="1AC9BFE3" w:rsidR="00E26C8C" w:rsidRPr="00E26C8C" w:rsidRDefault="00E26C8C" w:rsidP="003A3C65">
            <w:pPr>
              <w:spacing w:before="120" w:after="120"/>
              <w:contextualSpacing/>
              <w:rPr>
                <w:rFonts w:ascii="Times New Roman" w:hAnsi="Times New Roman" w:cs="Arial"/>
                <w:sz w:val="22"/>
                <w:szCs w:val="22"/>
                <w:vertAlign w:val="superscript"/>
              </w:rPr>
            </w:pPr>
          </w:p>
        </w:tc>
        <w:tc>
          <w:tcPr>
            <w:tcW w:w="7513" w:type="dxa"/>
            <w:tcBorders>
              <w:bottom w:val="single" w:sz="4" w:space="0" w:color="auto"/>
            </w:tcBorders>
          </w:tcPr>
          <w:p w14:paraId="05FD2C31" w14:textId="77777777" w:rsidR="00B227F7" w:rsidRPr="00994459" w:rsidRDefault="00B227F7" w:rsidP="007B2C02">
            <w:pPr>
              <w:shd w:val="clear" w:color="auto" w:fill="FFFFFF"/>
              <w:overflowPunct/>
              <w:autoSpaceDE/>
              <w:autoSpaceDN/>
              <w:adjustRightInd/>
              <w:spacing w:before="120" w:after="120"/>
              <w:textAlignment w:val="auto"/>
              <w:rPr>
                <w:sz w:val="22"/>
                <w:szCs w:val="22"/>
              </w:rPr>
            </w:pPr>
            <w:r w:rsidRPr="00994459">
              <w:rPr>
                <w:rFonts w:cs="Arial"/>
                <w:sz w:val="22"/>
                <w:szCs w:val="22"/>
                <w:lang w:val="en"/>
              </w:rPr>
              <w:t>Immunological response may be diminished in those receiving immunosuppressive treatment, but it is important to still immunise this group</w:t>
            </w:r>
            <w:r w:rsidRPr="00994459">
              <w:rPr>
                <w:sz w:val="22"/>
                <w:szCs w:val="22"/>
              </w:rPr>
              <w:t>.</w:t>
            </w:r>
          </w:p>
          <w:p w14:paraId="40FF32D3" w14:textId="4B228135" w:rsidR="004B33AF" w:rsidRDefault="0040489D" w:rsidP="00191405">
            <w:pPr>
              <w:pStyle w:val="CommentText"/>
              <w:spacing w:after="120"/>
              <w:rPr>
                <w:rFonts w:cs="Arial"/>
                <w:sz w:val="22"/>
                <w:szCs w:val="22"/>
                <w:lang w:val="en"/>
              </w:rPr>
            </w:pPr>
            <w:r w:rsidRPr="00994459">
              <w:rPr>
                <w:rFonts w:cs="Arial"/>
                <w:sz w:val="22"/>
                <w:szCs w:val="22"/>
                <w:lang w:val="en"/>
              </w:rPr>
              <w:t>Although no data for co-administration of COVID-19 vaccine with other vaccines exists, in the absence of such data</w:t>
            </w:r>
            <w:r w:rsidR="001468ED" w:rsidRPr="00994459">
              <w:rPr>
                <w:rFonts w:cs="Arial"/>
                <w:sz w:val="22"/>
                <w:szCs w:val="22"/>
                <w:lang w:val="en"/>
              </w:rPr>
              <w:t>,</w:t>
            </w:r>
            <w:r w:rsidRPr="00994459">
              <w:rPr>
                <w:rFonts w:cs="Arial"/>
                <w:sz w:val="22"/>
                <w:szCs w:val="22"/>
                <w:lang w:val="en"/>
              </w:rPr>
              <w:t xml:space="preserve"> first principles would suggest that interference between inactivated vaccines with different antigenic content is likely to be limited. Based on experience with other vaccines</w:t>
            </w:r>
            <w:r w:rsidR="001468ED" w:rsidRPr="00994459">
              <w:rPr>
                <w:rFonts w:cs="Arial"/>
                <w:sz w:val="22"/>
                <w:szCs w:val="22"/>
                <w:lang w:val="en"/>
              </w:rPr>
              <w:t>,</w:t>
            </w:r>
            <w:r w:rsidRPr="00994459">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9419A1" w:rsidRPr="00994459">
              <w:rPr>
                <w:rFonts w:cs="Arial"/>
                <w:sz w:val="22"/>
                <w:szCs w:val="22"/>
                <w:lang w:val="en"/>
              </w:rPr>
              <w:t>adverse events</w:t>
            </w:r>
            <w:r w:rsidRPr="00994459">
              <w:rPr>
                <w:rFonts w:cs="Arial"/>
                <w:sz w:val="22"/>
                <w:szCs w:val="22"/>
                <w:lang w:val="en"/>
              </w:rPr>
              <w:t xml:space="preserve"> more difficult. </w:t>
            </w:r>
            <w:r w:rsidR="00917A1D" w:rsidRPr="00191405">
              <w:rPr>
                <w:rFonts w:cs="Arial"/>
                <w:sz w:val="22"/>
                <w:szCs w:val="22"/>
                <w:lang w:val="en"/>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05C3BA01" w14:textId="3AFE4533" w:rsidR="009B16D6" w:rsidRDefault="009B16D6" w:rsidP="00621E6D">
            <w:pPr>
              <w:spacing w:before="120" w:after="120"/>
              <w:rPr>
                <w:rFonts w:cs="Arial"/>
                <w:sz w:val="22"/>
                <w:szCs w:val="22"/>
                <w:lang w:val="en"/>
              </w:rPr>
            </w:pPr>
            <w:r>
              <w:rPr>
                <w:rFonts w:cs="Arial"/>
                <w:sz w:val="22"/>
                <w:szCs w:val="22"/>
                <w:lang w:val="en"/>
              </w:rPr>
              <w:t>A</w:t>
            </w:r>
            <w:r w:rsidRPr="00EA446B">
              <w:rPr>
                <w:rFonts w:cs="Arial"/>
                <w:sz w:val="22"/>
                <w:szCs w:val="22"/>
                <w:lang w:val="en"/>
              </w:rPr>
              <w:t xml:space="preserve"> seven-day interval should ideally be observed</w:t>
            </w:r>
            <w:r>
              <w:rPr>
                <w:rFonts w:cs="Arial"/>
                <w:sz w:val="22"/>
                <w:szCs w:val="22"/>
                <w:lang w:val="en"/>
              </w:rPr>
              <w:t xml:space="preserve"> between </w:t>
            </w:r>
            <w:r w:rsidRPr="00EA446B">
              <w:rPr>
                <w:rFonts w:cs="Arial"/>
                <w:sz w:val="22"/>
                <w:szCs w:val="22"/>
                <w:lang w:val="en"/>
              </w:rPr>
              <w:t>COVID-19 vaccin</w:t>
            </w:r>
            <w:r>
              <w:rPr>
                <w:rFonts w:cs="Arial"/>
                <w:sz w:val="22"/>
                <w:szCs w:val="22"/>
                <w:lang w:val="en"/>
              </w:rPr>
              <w:t>ation and shingles vaccination</w:t>
            </w:r>
            <w:r w:rsidRPr="00EA446B">
              <w:rPr>
                <w:rFonts w:cs="Arial"/>
                <w:sz w:val="22"/>
                <w:szCs w:val="22"/>
                <w:lang w:val="en"/>
              </w:rPr>
              <w:t xml:space="preserve">. This is based on the potential for an inflammatory </w:t>
            </w:r>
            <w:r w:rsidRPr="00925218">
              <w:rPr>
                <w:sz w:val="22"/>
                <w:szCs w:val="22"/>
                <w:lang w:val="en"/>
              </w:rPr>
              <w:t xml:space="preserve">response to </w:t>
            </w:r>
            <w:r w:rsidRPr="00EA446B">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1E4360">
              <w:rPr>
                <w:rFonts w:ascii="Frutiger 45 Light" w:hAnsi="Frutiger 45 Light"/>
                <w:color w:val="000000"/>
                <w:sz w:val="22"/>
                <w:szCs w:val="22"/>
              </w:rPr>
              <w:t xml:space="preserve"> </w:t>
            </w:r>
          </w:p>
          <w:p w14:paraId="5C3C60DA" w14:textId="0FC437BA" w:rsidR="00B227F7" w:rsidRPr="0013265E" w:rsidRDefault="00A27668" w:rsidP="0040489D">
            <w:pPr>
              <w:spacing w:before="120" w:after="120"/>
              <w:rPr>
                <w:rFonts w:cs="Arial"/>
                <w:sz w:val="22"/>
                <w:szCs w:val="22"/>
                <w:lang w:val="en"/>
              </w:rPr>
            </w:pPr>
            <w:r>
              <w:rPr>
                <w:rFonts w:cs="Arial"/>
                <w:sz w:val="22"/>
                <w:szCs w:val="22"/>
                <w:lang w:val="en"/>
              </w:rPr>
              <w:t xml:space="preserve">For further information about co-administration with other vaccines see </w:t>
            </w:r>
            <w:hyperlink w:anchor="coadminstration" w:history="1">
              <w:r w:rsidRPr="00E176EB">
                <w:rPr>
                  <w:rStyle w:val="Hyperlink"/>
                  <w:rFonts w:cs="Arial"/>
                  <w:sz w:val="22"/>
                  <w:szCs w:val="22"/>
                  <w:lang w:val="en"/>
                </w:rPr>
                <w:t>Additional Information</w:t>
              </w:r>
            </w:hyperlink>
            <w:r>
              <w:rPr>
                <w:rFonts w:cs="Arial"/>
                <w:sz w:val="22"/>
                <w:szCs w:val="22"/>
                <w:lang w:val="en"/>
              </w:rPr>
              <w:t xml:space="preserve"> section.</w:t>
            </w:r>
            <w:r w:rsidRPr="00562106">
              <w:rPr>
                <w:rFonts w:cs="Arial"/>
                <w:sz w:val="22"/>
                <w:szCs w:val="22"/>
                <w:lang w:val="en"/>
              </w:rPr>
              <w:t xml:space="preserve"> </w:t>
            </w:r>
          </w:p>
        </w:tc>
      </w:tr>
      <w:tr w:rsidR="00B227F7" w:rsidRPr="00A956FD" w14:paraId="07EEA4EC" w14:textId="77777777" w:rsidTr="009B16D6">
        <w:tc>
          <w:tcPr>
            <w:tcW w:w="2722" w:type="dxa"/>
            <w:tcBorders>
              <w:bottom w:val="single" w:sz="4" w:space="0" w:color="auto"/>
            </w:tcBorders>
          </w:tcPr>
          <w:p w14:paraId="6C8968E7" w14:textId="5ED75CEF" w:rsidR="00B227F7" w:rsidRDefault="00B227F7" w:rsidP="007B2C02">
            <w:pPr>
              <w:spacing w:before="120" w:after="120"/>
              <w:rPr>
                <w:rFonts w:cs="Arial"/>
                <w:b/>
                <w:sz w:val="22"/>
                <w:szCs w:val="22"/>
              </w:rPr>
            </w:pPr>
            <w:bookmarkStart w:id="36" w:name="AdverseReactions"/>
            <w:bookmarkEnd w:id="36"/>
            <w:r w:rsidRPr="00160228">
              <w:rPr>
                <w:rFonts w:cs="Arial"/>
                <w:b/>
                <w:sz w:val="22"/>
                <w:szCs w:val="22"/>
              </w:rPr>
              <w:t xml:space="preserve">Identification </w:t>
            </w:r>
            <w:r w:rsidR="003B77E0">
              <w:rPr>
                <w:rFonts w:cs="Arial"/>
                <w:b/>
                <w:sz w:val="22"/>
                <w:szCs w:val="22"/>
              </w:rPr>
              <w:t>and</w:t>
            </w:r>
            <w:r w:rsidR="00211EA1">
              <w:rPr>
                <w:rFonts w:cs="Arial"/>
                <w:b/>
                <w:sz w:val="22"/>
                <w:szCs w:val="22"/>
              </w:rPr>
              <w:t xml:space="preserve"> </w:t>
            </w:r>
            <w:r w:rsidRPr="00160228">
              <w:rPr>
                <w:rFonts w:cs="Arial"/>
                <w:b/>
                <w:sz w:val="22"/>
                <w:szCs w:val="22"/>
              </w:rPr>
              <w:t>management of adverse reactions</w:t>
            </w:r>
          </w:p>
          <w:p w14:paraId="5BB21673" w14:textId="77777777" w:rsidR="00211EA1" w:rsidRDefault="00211EA1" w:rsidP="007B2C02">
            <w:pPr>
              <w:spacing w:before="120" w:after="120"/>
              <w:rPr>
                <w:rFonts w:cs="Arial"/>
                <w:bCs/>
                <w:sz w:val="22"/>
                <w:szCs w:val="22"/>
              </w:rPr>
            </w:pPr>
          </w:p>
          <w:p w14:paraId="5D9FED51" w14:textId="77777777" w:rsidR="00211EA1" w:rsidRDefault="00211EA1" w:rsidP="007B2C02">
            <w:pPr>
              <w:spacing w:before="120" w:after="120"/>
              <w:rPr>
                <w:rFonts w:cs="Arial"/>
                <w:bCs/>
                <w:sz w:val="22"/>
                <w:szCs w:val="22"/>
              </w:rPr>
            </w:pPr>
          </w:p>
          <w:p w14:paraId="120EEBB0" w14:textId="77777777" w:rsidR="00211EA1" w:rsidRDefault="00211EA1" w:rsidP="007B2C02">
            <w:pPr>
              <w:spacing w:before="120" w:after="120"/>
              <w:rPr>
                <w:rFonts w:cs="Arial"/>
                <w:bCs/>
                <w:sz w:val="22"/>
                <w:szCs w:val="22"/>
              </w:rPr>
            </w:pPr>
          </w:p>
          <w:p w14:paraId="4A30EB5F" w14:textId="77777777" w:rsidR="00211EA1" w:rsidRDefault="00211EA1" w:rsidP="007B2C02">
            <w:pPr>
              <w:spacing w:before="120" w:after="120"/>
              <w:rPr>
                <w:rFonts w:cs="Arial"/>
                <w:bCs/>
                <w:sz w:val="22"/>
                <w:szCs w:val="22"/>
              </w:rPr>
            </w:pPr>
          </w:p>
          <w:p w14:paraId="2BCC52FD" w14:textId="77777777" w:rsidR="00211EA1" w:rsidRDefault="00211EA1" w:rsidP="007B2C02">
            <w:pPr>
              <w:spacing w:before="120" w:after="120"/>
              <w:rPr>
                <w:rFonts w:cs="Arial"/>
                <w:bCs/>
                <w:sz w:val="22"/>
                <w:szCs w:val="22"/>
              </w:rPr>
            </w:pPr>
          </w:p>
          <w:p w14:paraId="6145F9A9" w14:textId="77777777" w:rsidR="00317170" w:rsidRDefault="00317170" w:rsidP="007B2C02">
            <w:pPr>
              <w:spacing w:before="120" w:after="120"/>
              <w:rPr>
                <w:rFonts w:cs="Arial"/>
                <w:bCs/>
                <w:sz w:val="22"/>
                <w:szCs w:val="22"/>
              </w:rPr>
            </w:pPr>
          </w:p>
          <w:p w14:paraId="7419B5F0" w14:textId="77777777" w:rsidR="00317170" w:rsidRDefault="00317170" w:rsidP="007B2C02">
            <w:pPr>
              <w:spacing w:before="120" w:after="120"/>
              <w:rPr>
                <w:rFonts w:cs="Arial"/>
                <w:bCs/>
                <w:sz w:val="22"/>
                <w:szCs w:val="22"/>
              </w:rPr>
            </w:pPr>
          </w:p>
          <w:p w14:paraId="6D099563" w14:textId="77777777" w:rsidR="00317170" w:rsidRDefault="00317170" w:rsidP="007B2C02">
            <w:pPr>
              <w:spacing w:before="120" w:after="120"/>
              <w:rPr>
                <w:rFonts w:cs="Arial"/>
                <w:bCs/>
                <w:sz w:val="22"/>
                <w:szCs w:val="22"/>
              </w:rPr>
            </w:pPr>
          </w:p>
          <w:p w14:paraId="6F2AAD92" w14:textId="77777777" w:rsidR="00317170" w:rsidRDefault="00317170" w:rsidP="007B2C02">
            <w:pPr>
              <w:spacing w:before="120" w:after="120"/>
              <w:rPr>
                <w:rFonts w:cs="Arial"/>
                <w:bCs/>
                <w:sz w:val="22"/>
                <w:szCs w:val="22"/>
              </w:rPr>
            </w:pPr>
          </w:p>
          <w:p w14:paraId="00ECD3A7" w14:textId="77777777" w:rsidR="00317170" w:rsidRDefault="00317170" w:rsidP="007B2C02">
            <w:pPr>
              <w:spacing w:before="120" w:after="120"/>
              <w:rPr>
                <w:rFonts w:cs="Arial"/>
                <w:bCs/>
                <w:sz w:val="22"/>
                <w:szCs w:val="22"/>
              </w:rPr>
            </w:pPr>
          </w:p>
          <w:p w14:paraId="0EB44A49" w14:textId="77777777" w:rsidR="00317170" w:rsidRDefault="00317170" w:rsidP="007B2C02">
            <w:pPr>
              <w:spacing w:before="120" w:after="120"/>
              <w:rPr>
                <w:rFonts w:cs="Arial"/>
                <w:bCs/>
                <w:sz w:val="22"/>
                <w:szCs w:val="22"/>
              </w:rPr>
            </w:pPr>
          </w:p>
          <w:p w14:paraId="3F3EEFC6" w14:textId="77777777" w:rsidR="00E56171" w:rsidRDefault="00E56171" w:rsidP="00E56171">
            <w:pPr>
              <w:contextualSpacing/>
              <w:rPr>
                <w:rFonts w:cs="Arial"/>
                <w:sz w:val="22"/>
                <w:szCs w:val="22"/>
              </w:rPr>
            </w:pPr>
          </w:p>
          <w:p w14:paraId="4BC4F9E3" w14:textId="77777777" w:rsidR="00E56171" w:rsidRDefault="00E56171" w:rsidP="00E56171">
            <w:pPr>
              <w:contextualSpacing/>
              <w:rPr>
                <w:rFonts w:cs="Arial"/>
                <w:sz w:val="22"/>
                <w:szCs w:val="22"/>
              </w:rPr>
            </w:pPr>
          </w:p>
          <w:p w14:paraId="22363600" w14:textId="77777777" w:rsidR="00E56171" w:rsidRDefault="00E56171" w:rsidP="00E56171">
            <w:pPr>
              <w:contextualSpacing/>
              <w:rPr>
                <w:rFonts w:cs="Arial"/>
                <w:sz w:val="22"/>
                <w:szCs w:val="22"/>
              </w:rPr>
            </w:pPr>
          </w:p>
          <w:p w14:paraId="7EDED9ED" w14:textId="77777777" w:rsidR="00E56171" w:rsidRDefault="00E56171" w:rsidP="00E56171">
            <w:pPr>
              <w:contextualSpacing/>
              <w:rPr>
                <w:rFonts w:cs="Arial"/>
                <w:sz w:val="22"/>
                <w:szCs w:val="22"/>
              </w:rPr>
            </w:pPr>
          </w:p>
          <w:p w14:paraId="3A49C79D" w14:textId="77777777" w:rsidR="00E56171" w:rsidRDefault="00E56171" w:rsidP="00E56171">
            <w:pPr>
              <w:contextualSpacing/>
              <w:rPr>
                <w:rFonts w:cs="Arial"/>
                <w:sz w:val="22"/>
                <w:szCs w:val="22"/>
              </w:rPr>
            </w:pPr>
          </w:p>
          <w:p w14:paraId="10E83449" w14:textId="77777777" w:rsidR="00E56171" w:rsidRDefault="00E56171" w:rsidP="00E56171">
            <w:pPr>
              <w:contextualSpacing/>
              <w:rPr>
                <w:rFonts w:cs="Arial"/>
                <w:sz w:val="22"/>
                <w:szCs w:val="22"/>
              </w:rPr>
            </w:pPr>
          </w:p>
          <w:p w14:paraId="5C65E761" w14:textId="40FFD7D5" w:rsidR="0013265E" w:rsidRPr="00056CC8" w:rsidRDefault="00E56171" w:rsidP="00E56171">
            <w:pPr>
              <w:contextualSpacing/>
              <w:rPr>
                <w:rFonts w:cs="Arial"/>
                <w:bCs/>
                <w:sz w:val="22"/>
                <w:szCs w:val="22"/>
              </w:rPr>
            </w:pPr>
            <w:r w:rsidRPr="00056CC8">
              <w:rPr>
                <w:rFonts w:cs="Arial"/>
                <w:bCs/>
                <w:sz w:val="22"/>
                <w:szCs w:val="22"/>
              </w:rPr>
              <w:t xml:space="preserve"> </w:t>
            </w:r>
          </w:p>
        </w:tc>
        <w:tc>
          <w:tcPr>
            <w:tcW w:w="7513" w:type="dxa"/>
            <w:tcBorders>
              <w:bottom w:val="single" w:sz="4" w:space="0" w:color="auto"/>
            </w:tcBorders>
          </w:tcPr>
          <w:p w14:paraId="6EDBF671" w14:textId="01DB2FC7" w:rsidR="003A7E05" w:rsidRPr="0051647D" w:rsidRDefault="00051E4D" w:rsidP="0051647D">
            <w:pPr>
              <w:spacing w:before="120" w:after="120"/>
              <w:ind w:right="62"/>
              <w:rPr>
                <w:rFonts w:cs="Arial"/>
                <w:sz w:val="22"/>
                <w:szCs w:val="22"/>
                <w:lang w:val="en"/>
              </w:rPr>
            </w:pPr>
            <w:r w:rsidRPr="0051647D">
              <w:rPr>
                <w:rFonts w:cs="Arial"/>
                <w:sz w:val="22"/>
                <w:szCs w:val="22"/>
                <w:lang w:val="en"/>
              </w:rPr>
              <w:t xml:space="preserve">The most frequent adverse reactions in </w:t>
            </w:r>
            <w:r w:rsidR="00A27668">
              <w:rPr>
                <w:rFonts w:cs="Arial"/>
                <w:sz w:val="22"/>
                <w:szCs w:val="22"/>
                <w:lang w:val="en"/>
              </w:rPr>
              <w:t>individuals</w:t>
            </w:r>
            <w:r w:rsidRPr="0051647D">
              <w:rPr>
                <w:rFonts w:cs="Arial"/>
                <w:sz w:val="22"/>
                <w:szCs w:val="22"/>
                <w:lang w:val="en"/>
              </w:rPr>
              <w:t xml:space="preserve"> 16 years of age and older </w:t>
            </w:r>
            <w:r w:rsidR="000C6CE0">
              <w:rPr>
                <w:rFonts w:cs="Arial"/>
                <w:sz w:val="22"/>
                <w:szCs w:val="22"/>
                <w:lang w:val="en"/>
              </w:rPr>
              <w:t>are</w:t>
            </w:r>
            <w:r w:rsidRPr="0051647D">
              <w:rPr>
                <w:rFonts w:cs="Arial"/>
                <w:sz w:val="22"/>
                <w:szCs w:val="22"/>
                <w:lang w:val="en"/>
              </w:rPr>
              <w:t xml:space="preserve"> injection site</w:t>
            </w:r>
            <w:r w:rsidR="00A27668">
              <w:rPr>
                <w:rFonts w:cs="Arial"/>
                <w:sz w:val="22"/>
                <w:szCs w:val="22"/>
                <w:lang w:val="en"/>
              </w:rPr>
              <w:t xml:space="preserve"> </w:t>
            </w:r>
            <w:r w:rsidRPr="0051647D">
              <w:rPr>
                <w:rFonts w:cs="Arial"/>
                <w:sz w:val="22"/>
                <w:szCs w:val="22"/>
                <w:lang w:val="en"/>
              </w:rPr>
              <w:t>pain, fatigue, headache, myalgia, chills, arthralgia</w:t>
            </w:r>
            <w:r w:rsidR="00A27668">
              <w:rPr>
                <w:rFonts w:cs="Arial"/>
                <w:sz w:val="22"/>
                <w:szCs w:val="22"/>
                <w:lang w:val="en"/>
              </w:rPr>
              <w:t>,</w:t>
            </w:r>
            <w:r w:rsidRPr="0051647D">
              <w:rPr>
                <w:rFonts w:cs="Arial"/>
                <w:sz w:val="22"/>
                <w:szCs w:val="22"/>
                <w:lang w:val="en"/>
              </w:rPr>
              <w:t xml:space="preserve"> pyrexia</w:t>
            </w:r>
            <w:r w:rsidR="00A27668">
              <w:rPr>
                <w:rFonts w:cs="Arial"/>
                <w:sz w:val="22"/>
                <w:szCs w:val="22"/>
                <w:lang w:val="en"/>
              </w:rPr>
              <w:t xml:space="preserve"> and injection site swelling</w:t>
            </w:r>
            <w:r w:rsidR="000C6CE0">
              <w:rPr>
                <w:rFonts w:cs="Arial"/>
                <w:sz w:val="22"/>
                <w:szCs w:val="22"/>
                <w:lang w:val="en"/>
              </w:rPr>
              <w:t>.</w:t>
            </w:r>
            <w:r w:rsidR="000C6CE0">
              <w:t xml:space="preserve"> </w:t>
            </w:r>
            <w:r w:rsidR="000C6CE0" w:rsidRPr="000C6CE0">
              <w:rPr>
                <w:rFonts w:cs="Arial"/>
                <w:sz w:val="22"/>
                <w:szCs w:val="22"/>
                <w:lang w:val="en"/>
              </w:rPr>
              <w:t>These reactions are</w:t>
            </w:r>
            <w:r w:rsidRPr="0051647D">
              <w:rPr>
                <w:rFonts w:cs="Arial"/>
                <w:sz w:val="22"/>
                <w:szCs w:val="22"/>
                <w:lang w:val="en"/>
              </w:rPr>
              <w:t xml:space="preserve"> usually mild or moderate in intensity and resolve within a few days after vaccination. </w:t>
            </w:r>
            <w:r w:rsidR="003A7E05" w:rsidRPr="0051647D">
              <w:rPr>
                <w:rFonts w:cs="Arial"/>
                <w:sz w:val="22"/>
                <w:szCs w:val="22"/>
                <w:lang w:val="en"/>
              </w:rPr>
              <w:t xml:space="preserve">Redness at the injection site, nausea </w:t>
            </w:r>
            <w:r w:rsidR="00A27668">
              <w:rPr>
                <w:rFonts w:cs="Arial"/>
                <w:sz w:val="22"/>
                <w:szCs w:val="22"/>
                <w:lang w:val="en"/>
              </w:rPr>
              <w:t>and vomiting</w:t>
            </w:r>
            <w:r w:rsidR="003A7E05" w:rsidRPr="0051647D">
              <w:rPr>
                <w:rFonts w:cs="Arial"/>
                <w:sz w:val="22"/>
                <w:szCs w:val="22"/>
                <w:lang w:val="en"/>
              </w:rPr>
              <w:t xml:space="preserve"> are reported as common. Lymphadenopathy </w:t>
            </w:r>
            <w:r w:rsidR="000C6CE0">
              <w:rPr>
                <w:rFonts w:cs="Arial"/>
                <w:sz w:val="22"/>
                <w:szCs w:val="22"/>
                <w:lang w:val="en"/>
              </w:rPr>
              <w:t>is</w:t>
            </w:r>
            <w:r w:rsidR="003A7E05" w:rsidRPr="0051647D">
              <w:rPr>
                <w:rFonts w:cs="Arial"/>
                <w:sz w:val="22"/>
                <w:szCs w:val="22"/>
                <w:lang w:val="en"/>
              </w:rPr>
              <w:t xml:space="preserve"> reported </w:t>
            </w:r>
            <w:r w:rsidR="00A27668">
              <w:rPr>
                <w:rFonts w:cs="Arial"/>
                <w:sz w:val="22"/>
                <w:szCs w:val="22"/>
                <w:lang w:val="en"/>
              </w:rPr>
              <w:t>with a frequency of</w:t>
            </w:r>
            <w:r w:rsidR="003A7E05" w:rsidRPr="0051647D">
              <w:rPr>
                <w:rFonts w:cs="Arial"/>
                <w:sz w:val="22"/>
                <w:szCs w:val="22"/>
                <w:lang w:val="en"/>
              </w:rPr>
              <w:t xml:space="preserve"> less than 1%.</w:t>
            </w:r>
          </w:p>
          <w:p w14:paraId="5DC776A1" w14:textId="50C49672" w:rsidR="00A27668" w:rsidRDefault="00A27668" w:rsidP="00A27668">
            <w:pPr>
              <w:spacing w:before="120" w:after="120"/>
              <w:ind w:right="62"/>
              <w:rPr>
                <w:rFonts w:cs="Arial"/>
                <w:sz w:val="22"/>
                <w:szCs w:val="22"/>
                <w:lang w:val="en"/>
              </w:rPr>
            </w:pPr>
            <w:r>
              <w:rPr>
                <w:rFonts w:cs="Arial"/>
                <w:sz w:val="22"/>
                <w:szCs w:val="22"/>
                <w:lang w:val="en"/>
              </w:rPr>
              <w:t xml:space="preserve">The most frequent adverse reactions in individuals 12 to 15 years of age </w:t>
            </w:r>
            <w:r w:rsidR="000C6CE0">
              <w:rPr>
                <w:rFonts w:cs="Arial"/>
                <w:sz w:val="22"/>
                <w:szCs w:val="22"/>
                <w:lang w:val="en"/>
              </w:rPr>
              <w:t>are</w:t>
            </w:r>
            <w:r>
              <w:rPr>
                <w:rFonts w:cs="Arial"/>
                <w:sz w:val="22"/>
                <w:szCs w:val="22"/>
                <w:lang w:val="en"/>
              </w:rPr>
              <w:t xml:space="preserve"> injection site pain, fatigue, headache, myalgia, chills, arthralgia and pyrexia.</w:t>
            </w:r>
          </w:p>
          <w:p w14:paraId="4079406E" w14:textId="5B965AA5" w:rsidR="00A27668" w:rsidRPr="00A27668" w:rsidRDefault="00A27668" w:rsidP="00A27668">
            <w:pPr>
              <w:pStyle w:val="CommentText"/>
              <w:spacing w:before="120" w:after="120"/>
              <w:rPr>
                <w:sz w:val="22"/>
                <w:szCs w:val="22"/>
              </w:rPr>
            </w:pPr>
            <w:r w:rsidRPr="00343220">
              <w:rPr>
                <w:sz w:val="22"/>
                <w:szCs w:val="22"/>
              </w:rPr>
              <w:t xml:space="preserve">There have been very rare reports of myocarditis and pericarditis occurring after vaccination with </w:t>
            </w:r>
            <w:r>
              <w:rPr>
                <w:rFonts w:cs="Arial"/>
                <w:sz w:val="22"/>
                <w:szCs w:val="22"/>
              </w:rPr>
              <w:t>COVID-19 mRNA vaccine BNT162b2</w:t>
            </w:r>
            <w:r w:rsidRPr="00343220">
              <w:rPr>
                <w:sz w:val="22"/>
                <w:szCs w:val="22"/>
              </w:rPr>
              <w:t xml:space="preserve"> often in younger men and shortly after the second dose of the vaccine. These are typically mild cases and individuals tend to recover within a short time following standard treatment and rest.</w:t>
            </w:r>
            <w:r>
              <w:rPr>
                <w:sz w:val="22"/>
                <w:szCs w:val="22"/>
              </w:rPr>
              <w:t xml:space="preserve"> </w:t>
            </w:r>
            <w:r w:rsidRPr="00343220">
              <w:rPr>
                <w:sz w:val="22"/>
                <w:szCs w:val="22"/>
              </w:rPr>
              <w:t xml:space="preserve">Healthcare professionals should be alert to the signs and symptoms of myocarditis and pericarditis. Vaccinated individuals should also seek immediate medical attention should they experience new onset of chest pain, shortness of breath, palpitations or arrhythmias. </w:t>
            </w:r>
          </w:p>
          <w:p w14:paraId="22B46152" w14:textId="464300FA" w:rsidR="000202B2" w:rsidRDefault="009739EF" w:rsidP="005E3778">
            <w:pPr>
              <w:spacing w:before="120" w:after="120"/>
              <w:ind w:right="62"/>
              <w:rPr>
                <w:sz w:val="22"/>
                <w:szCs w:val="22"/>
                <w:lang w:val="en"/>
              </w:rPr>
            </w:pPr>
            <w:r w:rsidRPr="0051647D">
              <w:rPr>
                <w:rFonts w:cs="Arial"/>
                <w:sz w:val="22"/>
                <w:szCs w:val="22"/>
                <w:lang w:val="en"/>
              </w:rPr>
              <w:t xml:space="preserve">Individuals should be provided </w:t>
            </w:r>
            <w:r w:rsidR="00734DFF" w:rsidRPr="0051647D">
              <w:rPr>
                <w:rFonts w:cs="Arial"/>
                <w:sz w:val="22"/>
                <w:szCs w:val="22"/>
                <w:lang w:val="en"/>
              </w:rPr>
              <w:t>with the advice within the leaflet</w:t>
            </w:r>
            <w:r w:rsidRPr="0051647D">
              <w:rPr>
                <w:rFonts w:cs="Arial"/>
                <w:sz w:val="22"/>
                <w:szCs w:val="22"/>
                <w:lang w:val="en"/>
              </w:rPr>
              <w:t xml:space="preserve"> </w:t>
            </w:r>
            <w:hyperlink r:id="rId67" w:history="1">
              <w:r w:rsidR="00A27668" w:rsidRPr="00267925">
                <w:rPr>
                  <w:rStyle w:val="Hyperlink"/>
                  <w:rFonts w:cs="Arial"/>
                  <w:sz w:val="22"/>
                  <w:szCs w:val="22"/>
                </w:rPr>
                <w:t>What to expect after your COVID-19 vaccination</w:t>
              </w:r>
            </w:hyperlink>
            <w:r w:rsidR="00734DFF" w:rsidRPr="0051647D">
              <w:rPr>
                <w:rFonts w:cs="Arial"/>
                <w:sz w:val="22"/>
                <w:szCs w:val="22"/>
                <w:lang w:val="en"/>
              </w:rPr>
              <w:t xml:space="preserve">, </w:t>
            </w:r>
            <w:r w:rsidR="00734DFF" w:rsidRPr="0051647D">
              <w:rPr>
                <w:sz w:val="22"/>
                <w:szCs w:val="22"/>
                <w:lang w:val="en"/>
              </w:rPr>
              <w:t xml:space="preserve">which covers the </w:t>
            </w:r>
            <w:r w:rsidR="00734DFF" w:rsidRPr="0051647D">
              <w:rPr>
                <w:rFonts w:cs="Arial"/>
                <w:sz w:val="22"/>
                <w:szCs w:val="22"/>
                <w:lang w:val="en"/>
              </w:rPr>
              <w:t>reporting of adverse reactions and their management</w:t>
            </w:r>
            <w:r w:rsidR="000202B2">
              <w:rPr>
                <w:sz w:val="22"/>
                <w:szCs w:val="22"/>
                <w:lang w:val="en"/>
              </w:rPr>
              <w:t xml:space="preserve">, </w:t>
            </w:r>
            <w:r w:rsidR="000202B2" w:rsidRPr="00855EF3">
              <w:rPr>
                <w:sz w:val="22"/>
                <w:szCs w:val="22"/>
                <w:lang w:val="en"/>
              </w:rPr>
              <w:t>such as with analgesic and/or antipyretic</w:t>
            </w:r>
            <w:r w:rsidR="000202B2" w:rsidRPr="00E84DD7">
              <w:rPr>
                <w:sz w:val="22"/>
                <w:szCs w:val="22"/>
                <w:lang w:val="en"/>
              </w:rPr>
              <w:t xml:space="preserve"> medication</w:t>
            </w:r>
            <w:r w:rsidR="000202B2" w:rsidRPr="00855EF3">
              <w:rPr>
                <w:sz w:val="22"/>
                <w:szCs w:val="22"/>
                <w:lang w:val="en"/>
              </w:rPr>
              <w:t>.</w:t>
            </w:r>
            <w:r w:rsidR="006C340F">
              <w:rPr>
                <w:sz w:val="22"/>
                <w:szCs w:val="22"/>
                <w:lang w:val="en"/>
              </w:rPr>
              <w:t xml:space="preserve"> </w:t>
            </w:r>
          </w:p>
          <w:p w14:paraId="2A88BE8F" w14:textId="3CE40695" w:rsidR="00056CC8" w:rsidRDefault="00AA4F8B" w:rsidP="005E3778">
            <w:pPr>
              <w:spacing w:before="120" w:after="120"/>
              <w:ind w:right="62"/>
              <w:rPr>
                <w:rFonts w:cs="Arial"/>
                <w:sz w:val="22"/>
                <w:szCs w:val="22"/>
                <w:lang w:val="en"/>
              </w:rPr>
            </w:pPr>
            <w:r w:rsidRPr="0051647D">
              <w:rPr>
                <w:rFonts w:cs="Arial"/>
                <w:sz w:val="22"/>
                <w:szCs w:val="22"/>
                <w:lang w:val="en"/>
              </w:rPr>
              <w:t xml:space="preserve">Vaccinated individuals should be advised </w:t>
            </w:r>
            <w:r w:rsidR="006C340F">
              <w:rPr>
                <w:rFonts w:cs="Arial"/>
                <w:sz w:val="22"/>
                <w:szCs w:val="22"/>
                <w:lang w:val="en"/>
              </w:rPr>
              <w:t xml:space="preserve">that </w:t>
            </w:r>
            <w:r w:rsidRPr="0051647D">
              <w:rPr>
                <w:rFonts w:cs="Arial"/>
                <w:sz w:val="22"/>
                <w:szCs w:val="22"/>
                <w:lang w:val="en"/>
              </w:rPr>
              <w:t xml:space="preserve">the </w:t>
            </w:r>
            <w:r w:rsidR="006C340F">
              <w:rPr>
                <w:rFonts w:cs="Arial"/>
                <w:sz w:val="22"/>
                <w:szCs w:val="22"/>
                <w:lang w:val="en"/>
              </w:rPr>
              <w:t xml:space="preserve">COVID-19 </w:t>
            </w:r>
            <w:r w:rsidRPr="0051647D">
              <w:rPr>
                <w:rFonts w:cs="Arial"/>
                <w:sz w:val="22"/>
                <w:szCs w:val="22"/>
                <w:lang w:val="en"/>
              </w:rPr>
              <w:t>vaccine may cause a mild fever</w:t>
            </w:r>
            <w:r w:rsidR="009419A1" w:rsidRPr="0051647D">
              <w:rPr>
                <w:rFonts w:cs="Arial"/>
                <w:sz w:val="22"/>
                <w:szCs w:val="22"/>
                <w:lang w:val="en"/>
              </w:rPr>
              <w:t>,</w:t>
            </w:r>
            <w:r w:rsidRPr="0051647D">
              <w:rPr>
                <w:rFonts w:cs="Arial"/>
                <w:sz w:val="22"/>
                <w:szCs w:val="22"/>
                <w:lang w:val="en"/>
              </w:rPr>
              <w:t xml:space="preserve"> which usually resolves within 48 hours. This is a common, expected reaction and isolation is not required unless COVID-19 is suspected. </w:t>
            </w:r>
          </w:p>
          <w:p w14:paraId="3D808EAF" w14:textId="31EEA04F" w:rsidR="00B227F7" w:rsidRPr="00056CC8" w:rsidRDefault="00B227F7" w:rsidP="0051647D">
            <w:pPr>
              <w:spacing w:before="120" w:after="120"/>
              <w:ind w:right="34"/>
              <w:rPr>
                <w:rFonts w:cs="Arial"/>
                <w:sz w:val="22"/>
                <w:szCs w:val="22"/>
                <w:lang w:val="en"/>
              </w:rPr>
            </w:pPr>
            <w:r w:rsidRPr="0051647D">
              <w:rPr>
                <w:rFonts w:cs="Arial"/>
                <w:sz w:val="22"/>
                <w:szCs w:val="22"/>
              </w:rPr>
              <w:t xml:space="preserve">A detailed list of adverse reactions is available in the </w:t>
            </w:r>
            <w:hyperlink r:id="rId68" w:history="1">
              <w:r w:rsidR="0052506A" w:rsidRPr="0051647D">
                <w:rPr>
                  <w:rStyle w:val="Hyperlink"/>
                  <w:rFonts w:cs="Arial"/>
                  <w:sz w:val="22"/>
                  <w:szCs w:val="22"/>
                </w:rPr>
                <w:t>Regulation 174 Information for UK Healthcare Professionals</w:t>
              </w:r>
            </w:hyperlink>
          </w:p>
        </w:tc>
      </w:tr>
      <w:tr w:rsidR="00B227F7" w:rsidRPr="00A956FD" w14:paraId="3E1F41B7" w14:textId="77777777" w:rsidTr="009B16D6">
        <w:tc>
          <w:tcPr>
            <w:tcW w:w="2722" w:type="dxa"/>
            <w:tcBorders>
              <w:bottom w:val="single" w:sz="4" w:space="0" w:color="auto"/>
            </w:tcBorders>
          </w:tcPr>
          <w:p w14:paraId="46AC8E81" w14:textId="48D3201C" w:rsidR="00B227F7" w:rsidRPr="003734AD" w:rsidRDefault="00B227F7" w:rsidP="00621E6D">
            <w:pPr>
              <w:spacing w:before="120" w:after="120"/>
              <w:rPr>
                <w:rFonts w:cs="Arial"/>
                <w:b/>
                <w:sz w:val="22"/>
                <w:szCs w:val="22"/>
              </w:rPr>
            </w:pPr>
            <w:r w:rsidRPr="007E324D">
              <w:rPr>
                <w:rFonts w:cs="Arial"/>
                <w:b/>
                <w:sz w:val="22"/>
                <w:szCs w:val="22"/>
              </w:rPr>
              <w:lastRenderedPageBreak/>
              <w:t>Reporting procedure of adverse reactions</w:t>
            </w:r>
          </w:p>
        </w:tc>
        <w:tc>
          <w:tcPr>
            <w:tcW w:w="7513" w:type="dxa"/>
            <w:tcBorders>
              <w:bottom w:val="single" w:sz="4" w:space="0" w:color="auto"/>
            </w:tcBorders>
          </w:tcPr>
          <w:p w14:paraId="64E3CA18" w14:textId="3A5F0512" w:rsidR="00B227F7" w:rsidRPr="00AC6CB7" w:rsidRDefault="00B227F7" w:rsidP="000028EA">
            <w:pPr>
              <w:pStyle w:val="TableParagraph"/>
              <w:spacing w:before="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Pr>
                <w:rFonts w:ascii="Arial" w:eastAsia="Arial" w:hAnsi="Arial" w:cs="Arial"/>
              </w:rPr>
              <w:t>individual</w:t>
            </w:r>
            <w:r w:rsidRPr="00AC6CB7">
              <w:rPr>
                <w:rFonts w:ascii="Arial" w:eastAsia="Arial" w:hAnsi="Arial" w:cs="Arial"/>
              </w:rPr>
              <w:t xml:space="preserve">s/carers </w:t>
            </w:r>
            <w:r w:rsidR="00A36153">
              <w:rPr>
                <w:rFonts w:ascii="Arial" w:eastAsia="Arial" w:hAnsi="Arial" w:cs="Arial"/>
              </w:rPr>
              <w:t>should</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275FBC">
              <w:rPr>
                <w:rFonts w:ascii="Arial" w:eastAsia="Arial" w:hAnsi="Arial" w:cs="Arial"/>
              </w:rPr>
              <w:t xml:space="preserve"> </w:t>
            </w:r>
            <w:hyperlink r:id="rId69" w:history="1">
              <w:r w:rsidR="003D321E" w:rsidRPr="003805A9">
                <w:rPr>
                  <w:rStyle w:val="Hyperlink"/>
                  <w:rFonts w:ascii="Arial" w:eastAsia="Arial" w:hAnsi="Arial" w:cs="Arial"/>
                </w:rPr>
                <w:t>Coronavirus</w:t>
              </w:r>
              <w:r w:rsidR="003D321E" w:rsidRPr="003805A9">
                <w:rPr>
                  <w:rStyle w:val="Hyperlink"/>
                  <w:rFonts w:ascii="Arial" w:eastAsia="Arial" w:hAnsi="Arial" w:cs="Arial"/>
                  <w:spacing w:val="11"/>
                </w:rPr>
                <w:t xml:space="preserve"> </w:t>
              </w:r>
              <w:r w:rsidRPr="003805A9">
                <w:rPr>
                  <w:rStyle w:val="Hyperlink"/>
                  <w:rFonts w:ascii="Arial" w:eastAsia="Arial" w:hAnsi="Arial" w:cs="Arial"/>
                </w:rPr>
                <w:t>Yellow</w:t>
              </w:r>
              <w:r w:rsidRPr="003805A9">
                <w:rPr>
                  <w:rStyle w:val="Hyperlink"/>
                  <w:rFonts w:ascii="Arial" w:eastAsia="Arial" w:hAnsi="Arial" w:cs="Arial"/>
                  <w:spacing w:val="28"/>
                </w:rPr>
                <w:t xml:space="preserve"> </w:t>
              </w:r>
              <w:r w:rsidRPr="003805A9">
                <w:rPr>
                  <w:rStyle w:val="Hyperlink"/>
                  <w:rFonts w:ascii="Arial" w:eastAsia="Arial" w:hAnsi="Arial" w:cs="Arial"/>
                </w:rPr>
                <w:t>Card</w:t>
              </w:r>
              <w:r w:rsidRPr="003805A9">
                <w:rPr>
                  <w:rStyle w:val="Hyperlink"/>
                  <w:rFonts w:ascii="Arial" w:eastAsia="Arial" w:hAnsi="Arial" w:cs="Arial"/>
                  <w:spacing w:val="16"/>
                </w:rPr>
                <w:t xml:space="preserve"> </w:t>
              </w:r>
              <w:r w:rsidRPr="003805A9">
                <w:rPr>
                  <w:rStyle w:val="Hyperlink"/>
                  <w:rFonts w:ascii="Arial" w:eastAsia="Arial" w:hAnsi="Arial" w:cs="Arial"/>
                </w:rPr>
                <w:t>reporting</w:t>
              </w:r>
              <w:r w:rsidRPr="003805A9">
                <w:rPr>
                  <w:rStyle w:val="Hyperlink"/>
                  <w:rFonts w:ascii="Arial" w:eastAsia="Arial" w:hAnsi="Arial" w:cs="Arial"/>
                  <w:spacing w:val="12"/>
                </w:rPr>
                <w:t xml:space="preserve"> </w:t>
              </w:r>
              <w:r w:rsidRPr="003805A9">
                <w:rPr>
                  <w:rStyle w:val="Hyperlink"/>
                  <w:rFonts w:ascii="Arial" w:eastAsia="Arial" w:hAnsi="Arial" w:cs="Arial"/>
                </w:rPr>
                <w:t>scheme</w:t>
              </w:r>
            </w:hyperlink>
            <w:r w:rsidRPr="00AC6CB7">
              <w:rPr>
                <w:rFonts w:ascii="Arial" w:eastAsia="Arial" w:hAnsi="Arial" w:cs="Arial"/>
                <w:spacing w:val="16"/>
              </w:rPr>
              <w:t xml:space="preserve"> </w:t>
            </w:r>
            <w:r w:rsidR="003805A9">
              <w:rPr>
                <w:rFonts w:ascii="Arial" w:eastAsia="Arial" w:hAnsi="Arial" w:cs="Arial"/>
              </w:rPr>
              <w:t>o</w:t>
            </w:r>
            <w:r w:rsidR="000779F8" w:rsidRPr="00D82710">
              <w:rPr>
                <w:rFonts w:ascii="Arial" w:eastAsia="Arial" w:hAnsi="Arial" w:cs="Arial"/>
              </w:rPr>
              <w:t>r search for MHRA Yellow Card in the Google Play or Apple App Store.</w:t>
            </w:r>
          </w:p>
          <w:p w14:paraId="37DE36D0" w14:textId="046D32F3" w:rsidR="003011F0" w:rsidRPr="00AC6CB7" w:rsidRDefault="003011F0" w:rsidP="007B2C02">
            <w:pPr>
              <w:pStyle w:val="TableParagraph"/>
              <w:spacing w:before="120" w:after="120"/>
              <w:rPr>
                <w:rFonts w:ascii="Arial" w:hAnsi="Arial" w:cs="Arial"/>
              </w:rPr>
            </w:pPr>
            <w:r w:rsidRPr="00A36153">
              <w:rPr>
                <w:rFonts w:ascii="Arial" w:eastAsia="Arial" w:hAnsi="Arial" w:cs="Arial"/>
              </w:rPr>
              <w:t xml:space="preserve">As a </w:t>
            </w:r>
            <w:r w:rsidR="00A36153">
              <w:rPr>
                <w:rFonts w:ascii="Arial" w:eastAsia="Arial" w:hAnsi="Arial" w:cs="Arial"/>
              </w:rPr>
              <w:t xml:space="preserve">new </w:t>
            </w:r>
            <w:r w:rsidRPr="00A36153">
              <w:rPr>
                <w:rFonts w:ascii="Arial" w:eastAsia="Arial" w:hAnsi="Arial" w:cs="Arial"/>
              </w:rPr>
              <w:t>vaccine product, MHRA ha</w:t>
            </w:r>
            <w:r w:rsidR="00060E38">
              <w:rPr>
                <w:rFonts w:ascii="Arial" w:eastAsia="Arial" w:hAnsi="Arial" w:cs="Arial"/>
              </w:rPr>
              <w:t>s</w:t>
            </w:r>
            <w:r w:rsidRPr="00A36153">
              <w:rPr>
                <w:rFonts w:ascii="Arial" w:eastAsia="Arial" w:hAnsi="Arial" w:cs="Arial"/>
              </w:rPr>
              <w:t xml:space="preserve"> a specific interest in the reporting of </w:t>
            </w:r>
            <w:r w:rsidR="003D321E">
              <w:rPr>
                <w:rFonts w:ascii="Arial" w:eastAsia="Arial" w:hAnsi="Arial" w:cs="Arial"/>
              </w:rPr>
              <w:t xml:space="preserve">all </w:t>
            </w:r>
            <w:r w:rsidRPr="00A36153">
              <w:rPr>
                <w:rFonts w:ascii="Arial" w:eastAsia="Arial" w:hAnsi="Arial" w:cs="Arial"/>
              </w:rPr>
              <w:t>adverse drug reactions for this product</w:t>
            </w:r>
            <w:r w:rsidR="003805A9">
              <w:rPr>
                <w:rFonts w:ascii="Arial" w:eastAsia="Arial" w:hAnsi="Arial" w:cs="Arial"/>
              </w:rPr>
              <w:t>.</w:t>
            </w:r>
          </w:p>
          <w:p w14:paraId="38EDC56E" w14:textId="45D41C9F" w:rsidR="00B227F7" w:rsidRDefault="00B227F7" w:rsidP="007B2C02">
            <w:pPr>
              <w:pStyle w:val="TableParagraph"/>
              <w:spacing w:before="120" w:after="120"/>
              <w:rPr>
                <w:rFonts w:ascii="Arial" w:eastAsia="Arial" w:hAnsi="Arial" w:cs="Arial"/>
              </w:rPr>
            </w:pPr>
            <w:r w:rsidRPr="00AC6CB7">
              <w:rPr>
                <w:rFonts w:ascii="Arial" w:hAnsi="Arial" w:cs="Arial"/>
              </w:rPr>
              <w:t xml:space="preserve">Any adverse reaction to a vaccine should </w:t>
            </w:r>
            <w:r w:rsidR="00AA4F8B">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7EFCAA54" w14:textId="11A66C80" w:rsidR="003D321E" w:rsidRPr="004A6707" w:rsidRDefault="003D321E" w:rsidP="00621E6D">
            <w:pPr>
              <w:pStyle w:val="TableParagraph"/>
              <w:spacing w:before="120" w:after="120"/>
              <w:rPr>
                <w:rFonts w:ascii="Arial" w:eastAsia="Arial" w:hAnsi="Arial" w:cs="Arial"/>
              </w:rPr>
            </w:pPr>
            <w:r>
              <w:rPr>
                <w:rFonts w:ascii="Arial" w:eastAsia="Arial" w:hAnsi="Arial" w:cs="Arial"/>
              </w:rPr>
              <w:t xml:space="preserve">The Green Book </w:t>
            </w:r>
            <w:hyperlink r:id="rId70" w:history="1">
              <w:r w:rsidR="008C71A0" w:rsidRPr="000779F6">
                <w:rPr>
                  <w:rStyle w:val="Hyperlink"/>
                  <w:rFonts w:ascii="Arial" w:hAnsi="Arial" w:cs="Arial"/>
                </w:rPr>
                <w:t>Chapter 14a</w:t>
              </w:r>
            </w:hyperlink>
            <w:r>
              <w:rPr>
                <w:rFonts w:ascii="Arial" w:eastAsia="Arial" w:hAnsi="Arial" w:cs="Arial"/>
              </w:rPr>
              <w:t xml:space="preserve"> and </w:t>
            </w:r>
            <w:hyperlink r:id="rId71" w:history="1">
              <w:r w:rsidRPr="00ED5DB0">
                <w:rPr>
                  <w:rStyle w:val="Hyperlink"/>
                  <w:rFonts w:ascii="Arial" w:eastAsia="Arial" w:hAnsi="Arial" w:cs="Arial"/>
                </w:rPr>
                <w:t>Chapter 8</w:t>
              </w:r>
            </w:hyperlink>
            <w:r>
              <w:rPr>
                <w:rFonts w:ascii="Arial" w:eastAsia="Arial" w:hAnsi="Arial" w:cs="Arial"/>
              </w:rPr>
              <w:t xml:space="preserve"> provide further details </w:t>
            </w:r>
            <w:r w:rsidR="008C71A0">
              <w:rPr>
                <w:rFonts w:ascii="Arial" w:eastAsia="Arial" w:hAnsi="Arial" w:cs="Arial"/>
              </w:rPr>
              <w:t>regarding the clinical features of reactions to be reported as ‘anaphylaxis’. Allergic reactions that do not include the clinical features of anaphylaxis should be reported as ‘allergic reaction’.</w:t>
            </w:r>
          </w:p>
        </w:tc>
      </w:tr>
      <w:tr w:rsidR="00B227F7" w:rsidRPr="00A956FD" w14:paraId="553D88F2" w14:textId="77777777" w:rsidTr="009B16D6">
        <w:tc>
          <w:tcPr>
            <w:tcW w:w="2722" w:type="dxa"/>
            <w:tcBorders>
              <w:bottom w:val="single" w:sz="4" w:space="0" w:color="auto"/>
            </w:tcBorders>
          </w:tcPr>
          <w:p w14:paraId="1A911A76"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p w14:paraId="5028E438" w14:textId="595A8E61" w:rsidR="0051647D" w:rsidRPr="00F27066" w:rsidRDefault="0051647D" w:rsidP="005029D4">
            <w:pPr>
              <w:spacing w:before="120" w:after="120"/>
              <w:contextualSpacing/>
              <w:rPr>
                <w:sz w:val="22"/>
              </w:rPr>
            </w:pPr>
          </w:p>
        </w:tc>
        <w:tc>
          <w:tcPr>
            <w:tcW w:w="7513" w:type="dxa"/>
            <w:tcBorders>
              <w:bottom w:val="single" w:sz="4" w:space="0" w:color="auto"/>
            </w:tcBorders>
          </w:tcPr>
          <w:p w14:paraId="779F8925" w14:textId="77777777" w:rsidR="00DA103D" w:rsidRPr="00B07B08" w:rsidRDefault="00DA103D" w:rsidP="00DA103D">
            <w:pPr>
              <w:pStyle w:val="TableParagraph"/>
              <w:spacing w:before="120" w:after="120"/>
              <w:ind w:right="91"/>
              <w:contextualSpacing/>
              <w:rPr>
                <w:rFonts w:ascii="Arial" w:eastAsia="Arial" w:hAnsi="Arial" w:cs="Arial"/>
              </w:rPr>
            </w:pPr>
            <w:r w:rsidRPr="00B07B08">
              <w:rPr>
                <w:rFonts w:ascii="Arial" w:eastAsia="Arial" w:hAnsi="Arial" w:cs="Arial"/>
              </w:rPr>
              <w:t>Ensure the individual has been provided appropriate written information such as the:</w:t>
            </w:r>
          </w:p>
          <w:bookmarkStart w:id="37" w:name="_Hlk58220790"/>
          <w:p w14:paraId="3E5D5909" w14:textId="6B740DBA" w:rsidR="00DA103D" w:rsidRPr="00B07B08" w:rsidRDefault="00D3381F" w:rsidP="00317170">
            <w:pPr>
              <w:pStyle w:val="TableParagraph"/>
              <w:numPr>
                <w:ilvl w:val="0"/>
                <w:numId w:val="12"/>
              </w:numPr>
              <w:spacing w:before="120" w:after="120"/>
              <w:ind w:left="346" w:right="91" w:hanging="283"/>
              <w:contextualSpacing/>
              <w:rPr>
                <w:rFonts w:ascii="Arial" w:eastAsia="Arial" w:hAnsi="Arial" w:cs="Arial"/>
              </w:rPr>
            </w:pPr>
            <w:r w:rsidRPr="005029D4">
              <w:fldChar w:fldCharType="begin"/>
            </w:r>
            <w:r w:rsidRPr="005029D4">
              <w:rPr>
                <w:rFonts w:ascii="Arial" w:hAnsi="Arial" w:cs="Arial"/>
              </w:rPr>
              <w:instrText xml:space="preserve"> HYPERLINK "https://www.gov.uk/government/publications/regulatory-approval-of-pfizer-biontech-vaccine-for-covid-19" </w:instrText>
            </w:r>
            <w:r w:rsidRPr="005029D4">
              <w:fldChar w:fldCharType="separate"/>
            </w:r>
            <w:r w:rsidR="00DA103D" w:rsidRPr="00B07B08">
              <w:rPr>
                <w:rStyle w:val="Hyperlink"/>
                <w:rFonts w:ascii="Arial" w:eastAsia="Arial" w:hAnsi="Arial" w:cs="Arial"/>
              </w:rPr>
              <w:t>Regulation 174 Information for UK recipients</w:t>
            </w:r>
            <w:r w:rsidRPr="005029D4">
              <w:rPr>
                <w:rStyle w:val="Hyperlink"/>
                <w:rFonts w:ascii="Arial" w:eastAsia="Arial" w:hAnsi="Arial" w:cs="Arial"/>
              </w:rPr>
              <w:fldChar w:fldCharType="end"/>
            </w:r>
            <w:r w:rsidR="00DA103D" w:rsidRPr="00B07B08">
              <w:rPr>
                <w:rStyle w:val="Hyperlink"/>
                <w:rFonts w:ascii="Arial" w:eastAsia="Arial" w:hAnsi="Arial" w:cs="Arial"/>
                <w:u w:val="none"/>
              </w:rPr>
              <w:t xml:space="preserve"> </w:t>
            </w:r>
            <w:r w:rsidR="00DA103D" w:rsidRPr="00B07B08">
              <w:rPr>
                <w:rFonts w:ascii="Arial" w:eastAsia="Arial" w:hAnsi="Arial" w:cs="Arial"/>
              </w:rPr>
              <w:t xml:space="preserve">for </w:t>
            </w:r>
            <w:bookmarkStart w:id="38" w:name="_Hlk82519596"/>
            <w:r w:rsidR="00DA103D" w:rsidRPr="00B07B08">
              <w:rPr>
                <w:rFonts w:ascii="Arial" w:eastAsia="Arial" w:hAnsi="Arial" w:cs="Arial"/>
              </w:rPr>
              <w:t>COVID-19 mRNA vaccine BNT162b2</w:t>
            </w:r>
          </w:p>
          <w:bookmarkEnd w:id="37"/>
          <w:bookmarkEnd w:id="38"/>
          <w:p w14:paraId="16F68963" w14:textId="7CA732C6" w:rsidR="00DA103D" w:rsidRPr="00B07B08" w:rsidRDefault="00D3381F" w:rsidP="00317170">
            <w:pPr>
              <w:pStyle w:val="TableParagraph"/>
              <w:numPr>
                <w:ilvl w:val="0"/>
                <w:numId w:val="12"/>
              </w:numPr>
              <w:spacing w:before="120" w:after="120"/>
              <w:ind w:left="312" w:right="91" w:hanging="283"/>
              <w:contextualSpacing/>
              <w:rPr>
                <w:rFonts w:ascii="Arial" w:eastAsia="Arial" w:hAnsi="Arial" w:cs="Arial"/>
              </w:rPr>
            </w:pPr>
            <w:r w:rsidRPr="005029D4">
              <w:fldChar w:fldCharType="begin"/>
            </w:r>
            <w:r w:rsidRPr="005029D4">
              <w:rPr>
                <w:rFonts w:ascii="Arial" w:hAnsi="Arial" w:cs="Arial"/>
              </w:rPr>
              <w:instrText xml:space="preserve"> HYPERLINK "https://www.healthpublications.gov.uk/ViewArticle.html?sp=Scovidvaccinerecordcard2doses" </w:instrText>
            </w:r>
            <w:r w:rsidRPr="005029D4">
              <w:fldChar w:fldCharType="separate"/>
            </w:r>
            <w:r w:rsidR="00DA103D" w:rsidRPr="00B07B08">
              <w:rPr>
                <w:rStyle w:val="Hyperlink"/>
                <w:rFonts w:ascii="Arial" w:eastAsia="Arial" w:hAnsi="Arial" w:cs="Arial"/>
              </w:rPr>
              <w:t>COVID-19 Vaccination Record Card</w:t>
            </w:r>
            <w:r w:rsidRPr="005029D4">
              <w:rPr>
                <w:rStyle w:val="Hyperlink"/>
                <w:rFonts w:ascii="Arial" w:eastAsia="Arial" w:hAnsi="Arial" w:cs="Arial"/>
              </w:rPr>
              <w:fldChar w:fldCharType="end"/>
            </w:r>
            <w:r w:rsidR="00DA103D" w:rsidRPr="00B07B08">
              <w:rPr>
                <w:rFonts w:ascii="Arial" w:eastAsia="Arial" w:hAnsi="Arial" w:cs="Arial"/>
              </w:rPr>
              <w:t xml:space="preserve"> </w:t>
            </w:r>
          </w:p>
          <w:p w14:paraId="620940B2" w14:textId="77777777" w:rsidR="00A27668" w:rsidRPr="00B07B08" w:rsidRDefault="00B01374" w:rsidP="00317170">
            <w:pPr>
              <w:pStyle w:val="TableParagraph"/>
              <w:numPr>
                <w:ilvl w:val="0"/>
                <w:numId w:val="12"/>
              </w:numPr>
              <w:spacing w:before="120" w:after="120"/>
              <w:ind w:left="312" w:right="91" w:hanging="283"/>
              <w:contextualSpacing/>
              <w:rPr>
                <w:rFonts w:ascii="Arial" w:eastAsia="Arial" w:hAnsi="Arial" w:cs="Arial"/>
              </w:rPr>
            </w:pPr>
            <w:hyperlink r:id="rId72" w:history="1">
              <w:r w:rsidR="00A27668" w:rsidRPr="00B07B08">
                <w:rPr>
                  <w:rStyle w:val="Hyperlink"/>
                  <w:rFonts w:ascii="Arial" w:hAnsi="Arial" w:cs="Arial"/>
                </w:rPr>
                <w:t>What to expect after your COVID-19 vaccination</w:t>
              </w:r>
            </w:hyperlink>
            <w:r w:rsidR="00A27668" w:rsidRPr="00B07B08">
              <w:rPr>
                <w:rFonts w:ascii="Arial" w:eastAsia="Arial" w:hAnsi="Arial" w:cs="Arial"/>
              </w:rPr>
              <w:t xml:space="preserve"> </w:t>
            </w:r>
          </w:p>
          <w:p w14:paraId="207C7910" w14:textId="77777777" w:rsidR="000C4376" w:rsidRPr="005029D4" w:rsidRDefault="00B01374" w:rsidP="00317170">
            <w:pPr>
              <w:pStyle w:val="TableParagraph"/>
              <w:numPr>
                <w:ilvl w:val="0"/>
                <w:numId w:val="12"/>
              </w:numPr>
              <w:spacing w:before="120" w:after="120"/>
              <w:ind w:left="312" w:right="91" w:hanging="283"/>
              <w:contextualSpacing/>
              <w:rPr>
                <w:rStyle w:val="Hyperlink"/>
                <w:rFonts w:ascii="Arial" w:eastAsia="Arial" w:hAnsi="Arial" w:cs="Arial"/>
                <w:color w:val="auto"/>
                <w:u w:val="none"/>
              </w:rPr>
            </w:pPr>
            <w:hyperlink r:id="rId73" w:history="1">
              <w:r w:rsidR="00A27668" w:rsidRPr="00B07B08">
                <w:rPr>
                  <w:rStyle w:val="Hyperlink"/>
                  <w:rFonts w:ascii="Arial" w:eastAsia="Arial" w:hAnsi="Arial" w:cs="Arial"/>
                </w:rPr>
                <w:t>COVID-19 vaccination: women of childbearing age, currently pregnant, or breastfeeding</w:t>
              </w:r>
            </w:hyperlink>
          </w:p>
          <w:p w14:paraId="4BC810E9" w14:textId="623D254A" w:rsidR="00B07B08" w:rsidRPr="00B07B08" w:rsidRDefault="00B01374" w:rsidP="00317170">
            <w:pPr>
              <w:pStyle w:val="TableParagraph"/>
              <w:numPr>
                <w:ilvl w:val="0"/>
                <w:numId w:val="12"/>
              </w:numPr>
              <w:spacing w:before="120" w:after="120"/>
              <w:ind w:left="312" w:right="91" w:hanging="283"/>
              <w:contextualSpacing/>
              <w:rPr>
                <w:rFonts w:ascii="Arial" w:eastAsia="Arial" w:hAnsi="Arial" w:cs="Arial"/>
              </w:rPr>
            </w:pPr>
            <w:hyperlink r:id="rId74" w:history="1">
              <w:r w:rsidR="00B07B08" w:rsidRPr="005029D4">
                <w:rPr>
                  <w:rStyle w:val="Hyperlink"/>
                  <w:rFonts w:ascii="Arial" w:hAnsi="Arial" w:cs="Arial"/>
                </w:rPr>
                <w:t>COVID-19 vaccination: a guide to booster vaccination</w:t>
              </w:r>
            </w:hyperlink>
          </w:p>
        </w:tc>
      </w:tr>
      <w:tr w:rsidR="00B227F7" w:rsidRPr="00A956FD" w14:paraId="257A33C1" w14:textId="77777777" w:rsidTr="009B1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34BB7EA3" w14:textId="77777777" w:rsidR="00B227F7" w:rsidRDefault="00B227F7" w:rsidP="007B2C02">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 follow up treatment</w:t>
            </w:r>
          </w:p>
          <w:p w14:paraId="17F5FB13" w14:textId="77777777" w:rsidR="00B227F7" w:rsidRDefault="00B227F7" w:rsidP="007B2C02">
            <w:pPr>
              <w:pStyle w:val="Header"/>
              <w:tabs>
                <w:tab w:val="clear" w:pos="4153"/>
                <w:tab w:val="clear" w:pos="8306"/>
              </w:tabs>
              <w:spacing w:before="120" w:after="120"/>
              <w:contextualSpacing/>
              <w:rPr>
                <w:rFonts w:ascii="Arial" w:hAnsi="Arial" w:cs="Arial"/>
                <w:sz w:val="22"/>
                <w:szCs w:val="22"/>
              </w:rPr>
            </w:pPr>
          </w:p>
          <w:p w14:paraId="06B2B791" w14:textId="77777777" w:rsidR="0035502B" w:rsidRDefault="0035502B" w:rsidP="0035502B">
            <w:pPr>
              <w:spacing w:before="120" w:after="120"/>
              <w:contextualSpacing/>
              <w:rPr>
                <w:rFonts w:cs="Arial"/>
                <w:sz w:val="22"/>
                <w:szCs w:val="22"/>
              </w:rPr>
            </w:pPr>
          </w:p>
          <w:p w14:paraId="51B9934B" w14:textId="77777777" w:rsidR="0035502B" w:rsidRDefault="0035502B" w:rsidP="0035502B">
            <w:pPr>
              <w:spacing w:before="120" w:after="120"/>
              <w:contextualSpacing/>
              <w:rPr>
                <w:rFonts w:cs="Arial"/>
                <w:sz w:val="22"/>
                <w:szCs w:val="22"/>
              </w:rPr>
            </w:pPr>
          </w:p>
          <w:p w14:paraId="6013FC8D" w14:textId="77777777" w:rsidR="0035502B" w:rsidRDefault="0035502B" w:rsidP="0035502B">
            <w:pPr>
              <w:spacing w:before="120" w:after="120"/>
              <w:contextualSpacing/>
              <w:rPr>
                <w:rFonts w:cs="Arial"/>
                <w:sz w:val="22"/>
                <w:szCs w:val="22"/>
              </w:rPr>
            </w:pPr>
          </w:p>
          <w:p w14:paraId="3F62D648" w14:textId="77777777" w:rsidR="00056CC8" w:rsidRDefault="00056CC8" w:rsidP="0035502B">
            <w:pPr>
              <w:spacing w:before="120" w:after="120"/>
              <w:contextualSpacing/>
              <w:rPr>
                <w:rFonts w:cs="Arial"/>
                <w:sz w:val="22"/>
                <w:szCs w:val="22"/>
              </w:rPr>
            </w:pPr>
          </w:p>
          <w:p w14:paraId="5CFD7503" w14:textId="77777777" w:rsidR="00056CC8" w:rsidRDefault="00056CC8" w:rsidP="0035502B">
            <w:pPr>
              <w:spacing w:before="120" w:after="120"/>
              <w:contextualSpacing/>
              <w:rPr>
                <w:rFonts w:cs="Arial"/>
                <w:sz w:val="22"/>
                <w:szCs w:val="22"/>
              </w:rPr>
            </w:pPr>
          </w:p>
          <w:p w14:paraId="5849D721" w14:textId="77777777" w:rsidR="00056CC8" w:rsidRDefault="00056CC8" w:rsidP="0035502B">
            <w:pPr>
              <w:spacing w:before="120" w:after="120"/>
              <w:contextualSpacing/>
              <w:rPr>
                <w:rFonts w:cs="Arial"/>
                <w:sz w:val="22"/>
                <w:szCs w:val="22"/>
              </w:rPr>
            </w:pPr>
          </w:p>
          <w:p w14:paraId="53DBF74B" w14:textId="77777777" w:rsidR="00056CC8" w:rsidRDefault="00056CC8" w:rsidP="0035502B">
            <w:pPr>
              <w:spacing w:before="120" w:after="120"/>
              <w:contextualSpacing/>
              <w:rPr>
                <w:rFonts w:cs="Arial"/>
                <w:sz w:val="22"/>
                <w:szCs w:val="22"/>
              </w:rPr>
            </w:pPr>
          </w:p>
          <w:p w14:paraId="0CDD0112" w14:textId="77777777" w:rsidR="00056CC8" w:rsidRDefault="00056CC8" w:rsidP="0035502B">
            <w:pPr>
              <w:spacing w:before="120" w:after="120"/>
              <w:contextualSpacing/>
              <w:rPr>
                <w:rFonts w:cs="Arial"/>
                <w:sz w:val="22"/>
                <w:szCs w:val="22"/>
              </w:rPr>
            </w:pPr>
          </w:p>
          <w:p w14:paraId="3DFA805F" w14:textId="77777777" w:rsidR="00056CC8" w:rsidRDefault="00056CC8" w:rsidP="0035502B">
            <w:pPr>
              <w:spacing w:before="120" w:after="120"/>
              <w:contextualSpacing/>
              <w:rPr>
                <w:rFonts w:cs="Arial"/>
                <w:sz w:val="22"/>
                <w:szCs w:val="22"/>
              </w:rPr>
            </w:pPr>
          </w:p>
          <w:p w14:paraId="131BEF9A" w14:textId="77777777" w:rsidR="00056CC8" w:rsidRDefault="00056CC8" w:rsidP="0035502B">
            <w:pPr>
              <w:spacing w:before="120" w:after="120"/>
              <w:contextualSpacing/>
              <w:rPr>
                <w:rFonts w:cs="Arial"/>
                <w:sz w:val="22"/>
                <w:szCs w:val="22"/>
              </w:rPr>
            </w:pPr>
          </w:p>
          <w:p w14:paraId="3BE7A64A" w14:textId="77777777" w:rsidR="00056CC8" w:rsidRDefault="00056CC8" w:rsidP="0035502B">
            <w:pPr>
              <w:spacing w:before="120" w:after="120"/>
              <w:contextualSpacing/>
              <w:rPr>
                <w:rFonts w:cs="Arial"/>
                <w:sz w:val="22"/>
                <w:szCs w:val="22"/>
              </w:rPr>
            </w:pPr>
          </w:p>
          <w:p w14:paraId="687FB5A9" w14:textId="77777777" w:rsidR="00056CC8" w:rsidRDefault="00056CC8" w:rsidP="0035502B">
            <w:pPr>
              <w:spacing w:before="120" w:after="120"/>
              <w:contextualSpacing/>
              <w:rPr>
                <w:rFonts w:cs="Arial"/>
                <w:sz w:val="22"/>
                <w:szCs w:val="22"/>
              </w:rPr>
            </w:pPr>
          </w:p>
          <w:p w14:paraId="081165B7" w14:textId="77777777" w:rsidR="00056CC8" w:rsidRDefault="00056CC8" w:rsidP="0035502B">
            <w:pPr>
              <w:spacing w:before="120" w:after="120"/>
              <w:contextualSpacing/>
              <w:rPr>
                <w:rFonts w:cs="Arial"/>
                <w:sz w:val="22"/>
                <w:szCs w:val="22"/>
              </w:rPr>
            </w:pPr>
          </w:p>
          <w:p w14:paraId="75C336BC" w14:textId="77777777" w:rsidR="00056CC8" w:rsidRDefault="00056CC8" w:rsidP="0035502B">
            <w:pPr>
              <w:spacing w:before="120" w:after="120"/>
              <w:contextualSpacing/>
              <w:rPr>
                <w:rFonts w:cs="Arial"/>
                <w:sz w:val="22"/>
                <w:szCs w:val="22"/>
              </w:rPr>
            </w:pPr>
          </w:p>
          <w:p w14:paraId="712B6B6D" w14:textId="77777777" w:rsidR="00056CC8" w:rsidRDefault="00056CC8" w:rsidP="0035502B">
            <w:pPr>
              <w:spacing w:before="120" w:after="120"/>
              <w:contextualSpacing/>
              <w:rPr>
                <w:rFonts w:cs="Arial"/>
                <w:sz w:val="22"/>
                <w:szCs w:val="22"/>
              </w:rPr>
            </w:pPr>
          </w:p>
          <w:p w14:paraId="09403F92" w14:textId="77777777" w:rsidR="00056CC8" w:rsidRDefault="00056CC8" w:rsidP="0035502B">
            <w:pPr>
              <w:spacing w:before="120" w:after="120"/>
              <w:contextualSpacing/>
              <w:rPr>
                <w:rFonts w:cs="Arial"/>
                <w:sz w:val="22"/>
                <w:szCs w:val="22"/>
              </w:rPr>
            </w:pPr>
          </w:p>
          <w:p w14:paraId="4D37E222" w14:textId="77777777" w:rsidR="00056CC8" w:rsidRDefault="00056CC8" w:rsidP="0035502B">
            <w:pPr>
              <w:spacing w:before="120" w:after="120"/>
              <w:contextualSpacing/>
              <w:rPr>
                <w:rFonts w:cs="Arial"/>
                <w:sz w:val="22"/>
                <w:szCs w:val="22"/>
              </w:rPr>
            </w:pPr>
          </w:p>
          <w:p w14:paraId="52ADC2CC" w14:textId="210E1DCE" w:rsidR="00B227F7" w:rsidRPr="0009311C" w:rsidRDefault="00B227F7" w:rsidP="00824D8C">
            <w:pPr>
              <w:spacing w:before="120" w:after="120"/>
              <w:contextualSpacing/>
              <w:rPr>
                <w:rFonts w:cs="Arial"/>
                <w:sz w:val="22"/>
                <w:szCs w:val="22"/>
              </w:rPr>
            </w:pPr>
          </w:p>
        </w:tc>
        <w:tc>
          <w:tcPr>
            <w:tcW w:w="7513" w:type="dxa"/>
            <w:tcBorders>
              <w:top w:val="single" w:sz="4" w:space="0" w:color="auto"/>
            </w:tcBorders>
          </w:tcPr>
          <w:p w14:paraId="29DDC22A" w14:textId="77777777" w:rsidR="00A27668" w:rsidRDefault="00A27668" w:rsidP="00A27668">
            <w:pPr>
              <w:pStyle w:val="TableParagraph"/>
              <w:spacing w:before="120" w:after="120"/>
              <w:rPr>
                <w:rFonts w:ascii="Arial" w:eastAsiaTheme="minorHAnsi" w:hAnsi="Arial" w:cs="Arial"/>
                <w:lang w:val="en-GB"/>
              </w:rPr>
            </w:pPr>
            <w:r w:rsidRPr="001839C8">
              <w:rPr>
                <w:rFonts w:ascii="Arial" w:eastAsiaTheme="minorHAnsi" w:hAnsi="Arial" w:cs="Arial"/>
                <w:lang w:val="en-GB"/>
              </w:rPr>
              <w:t>Vaccine recipients should be monitored for 15 mins after vaccination, with a longer observation period when indicated after clinical assessment</w:t>
            </w:r>
            <w:r>
              <w:rPr>
                <w:rFonts w:ascii="Arial" w:eastAsiaTheme="minorHAnsi" w:hAnsi="Arial" w:cs="Arial"/>
                <w:lang w:val="en-GB"/>
              </w:rPr>
              <w:t xml:space="preserve"> (see </w:t>
            </w:r>
            <w:hyperlink r:id="rId75" w:history="1">
              <w:r w:rsidRPr="00764ABE">
                <w:rPr>
                  <w:rStyle w:val="Hyperlink"/>
                  <w:rFonts w:ascii="Arial" w:hAnsi="Arial" w:cs="Arial"/>
                  <w:noProof/>
                </w:rPr>
                <w:t>Chapter 14a</w:t>
              </w:r>
            </w:hyperlink>
            <w:r>
              <w:rPr>
                <w:rFonts w:ascii="Arial" w:eastAsiaTheme="minorHAnsi" w:hAnsi="Arial" w:cs="Arial"/>
                <w:lang w:val="en-GB"/>
              </w:rPr>
              <w:t>)</w:t>
            </w:r>
            <w:r w:rsidRPr="001839C8">
              <w:rPr>
                <w:rFonts w:ascii="Arial" w:eastAsiaTheme="minorHAnsi" w:hAnsi="Arial" w:cs="Arial"/>
                <w:lang w:val="en-GB"/>
              </w:rPr>
              <w:t xml:space="preserve">. </w:t>
            </w:r>
          </w:p>
          <w:p w14:paraId="08D1E04B" w14:textId="41B48C52" w:rsidR="005C506B" w:rsidRPr="00AC6CB7" w:rsidRDefault="005C506B" w:rsidP="005C506B">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w:t>
            </w:r>
            <w:r w:rsidR="00AF6C7C">
              <w:rPr>
                <w:rFonts w:ascii="Arial" w:eastAsia="Arial" w:hAnsi="Arial" w:cs="Arial"/>
              </w:rPr>
              <w:t>parent/</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471B19F5" w14:textId="1175010C" w:rsidR="005C506B" w:rsidRDefault="005C506B" w:rsidP="005C506B">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w:t>
            </w:r>
            <w:r w:rsidR="00AF6C7C">
              <w:rPr>
                <w:rFonts w:ascii="Arial" w:eastAsia="Arial" w:hAnsi="Arial" w:cs="Arial"/>
              </w:rPr>
              <w:t>parent/</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04CC2AFA" w14:textId="77777777" w:rsidR="005C506B" w:rsidRPr="00C677D8" w:rsidRDefault="005C506B" w:rsidP="005C506B">
            <w:pPr>
              <w:pStyle w:val="CommentText"/>
              <w:spacing w:before="120" w:after="120"/>
            </w:pPr>
            <w:r w:rsidRPr="00343220">
              <w:rPr>
                <w:sz w:val="22"/>
                <w:szCs w:val="22"/>
              </w:rPr>
              <w:t xml:space="preserve">Vaccinated individuals should </w:t>
            </w:r>
            <w:r>
              <w:rPr>
                <w:sz w:val="22"/>
                <w:szCs w:val="22"/>
              </w:rPr>
              <w:t xml:space="preserve">be advised to </w:t>
            </w:r>
            <w:r w:rsidRPr="00343220">
              <w:rPr>
                <w:sz w:val="22"/>
                <w:szCs w:val="22"/>
              </w:rPr>
              <w:t xml:space="preserve">seek immediate medical attention should they experience new onset of chest pain, shortness of breath, palpitations or arrhythmias. </w:t>
            </w:r>
          </w:p>
          <w:p w14:paraId="3242D1FA" w14:textId="37CEE450" w:rsidR="005C506B" w:rsidRPr="005C506B" w:rsidRDefault="000779F8" w:rsidP="005C506B">
            <w:pPr>
              <w:pStyle w:val="TableParagraph"/>
              <w:spacing w:before="120"/>
              <w:rPr>
                <w:rFonts w:ascii="Arial" w:eastAsia="Arial" w:hAnsi="Arial" w:cs="Arial"/>
              </w:rPr>
            </w:pPr>
            <w:r w:rsidRPr="00D82710">
              <w:rPr>
                <w:rFonts w:ascii="Arial" w:eastAsia="Arial" w:hAnsi="Arial" w:cs="Arial"/>
              </w:rPr>
              <w:t>Advise the individual/</w:t>
            </w:r>
            <w:r w:rsidR="00AF6C7C">
              <w:rPr>
                <w:rFonts w:ascii="Arial" w:eastAsia="Arial" w:hAnsi="Arial" w:cs="Arial"/>
              </w:rPr>
              <w:t>parent/</w:t>
            </w:r>
            <w:r w:rsidRPr="00D82710">
              <w:rPr>
                <w:rFonts w:ascii="Arial" w:eastAsia="Arial" w:hAnsi="Arial" w:cs="Arial"/>
              </w:rPr>
              <w:t xml:space="preserve">carer that they can report side effects directly via the national reporting system run by the MHRA known as the </w:t>
            </w:r>
            <w:hyperlink r:id="rId76" w:history="1">
              <w:r w:rsidRPr="003805A9">
                <w:rPr>
                  <w:rStyle w:val="Hyperlink"/>
                  <w:rFonts w:ascii="Arial" w:eastAsia="Arial" w:hAnsi="Arial" w:cs="Arial"/>
                </w:rPr>
                <w:t>Coronavirus Yellow Card reporting scheme</w:t>
              </w:r>
            </w:hyperlink>
            <w:r w:rsidRPr="000028EA">
              <w:t xml:space="preserve"> </w:t>
            </w:r>
            <w:r w:rsidR="003805A9">
              <w:rPr>
                <w:rFonts w:ascii="Arial" w:eastAsia="Arial" w:hAnsi="Arial" w:cs="Arial"/>
              </w:rPr>
              <w:t>o</w:t>
            </w:r>
            <w:r w:rsidRPr="005C506B">
              <w:rPr>
                <w:rFonts w:ascii="Arial" w:eastAsia="Arial" w:hAnsi="Arial" w:cs="Arial"/>
              </w:rPr>
              <w:t>r search for MHRA Yellow Card in the Google Play or Apple App Store. By reporting side effects, they can help provide more information on the safety of medicines.</w:t>
            </w:r>
            <w:r w:rsidR="005C506B" w:rsidRPr="005C506B">
              <w:rPr>
                <w:rFonts w:ascii="Arial" w:eastAsia="Arial" w:hAnsi="Arial" w:cs="Arial"/>
              </w:rPr>
              <w:t xml:space="preserve"> </w:t>
            </w:r>
          </w:p>
          <w:p w14:paraId="09A8F7C9" w14:textId="6A7554CB" w:rsidR="005C506B" w:rsidRPr="00AC6CB7" w:rsidRDefault="005C506B" w:rsidP="005C506B">
            <w:pPr>
              <w:pStyle w:val="Header"/>
              <w:tabs>
                <w:tab w:val="left" w:pos="720"/>
              </w:tabs>
              <w:spacing w:before="120" w:after="120"/>
              <w:rPr>
                <w:rFonts w:ascii="Arial" w:eastAsia="Arial" w:hAnsi="Arial" w:cs="Arial"/>
                <w:sz w:val="22"/>
                <w:szCs w:val="22"/>
                <w:lang w:val="en-US" w:eastAsia="en-US"/>
              </w:rPr>
            </w:pPr>
            <w:r w:rsidRPr="004C6AE9">
              <w:rPr>
                <w:rFonts w:ascii="Arial" w:eastAsia="Arial" w:hAnsi="Arial" w:cs="Arial"/>
                <w:sz w:val="22"/>
                <w:szCs w:val="22"/>
                <w:lang w:val="en-US" w:eastAsia="en-US"/>
              </w:rPr>
              <w:t xml:space="preserve">As with all vaccines, immunisation may not result in protection in all individuals. </w:t>
            </w:r>
            <w:r>
              <w:rPr>
                <w:rFonts w:ascii="Arial" w:eastAsia="Arial" w:hAnsi="Arial" w:cs="Arial"/>
                <w:sz w:val="22"/>
                <w:szCs w:val="22"/>
                <w:lang w:val="en-US" w:eastAsia="en-US"/>
              </w:rPr>
              <w:t>Immunosuppressed individuals should be advised that they may not make a full immune response to the vaccine. Nationally recommended</w:t>
            </w:r>
            <w:r w:rsidRPr="004C6AE9">
              <w:rPr>
                <w:rFonts w:ascii="Arial" w:eastAsia="Arial" w:hAnsi="Arial" w:cs="Arial"/>
                <w:sz w:val="22"/>
                <w:szCs w:val="22"/>
                <w:lang w:val="en-US" w:eastAsia="en-US"/>
              </w:rPr>
              <w:t xml:space="preserve"> protective measures should still be followed.</w:t>
            </w:r>
          </w:p>
          <w:p w14:paraId="7A4789B1" w14:textId="43B9C7C0" w:rsidR="001B6AFA" w:rsidRPr="004C6AE9" w:rsidRDefault="00B227F7" w:rsidP="00916097">
            <w:pPr>
              <w:spacing w:before="120" w:after="120"/>
              <w:rPr>
                <w:rFonts w:cs="Arial"/>
                <w:sz w:val="22"/>
                <w:szCs w:val="22"/>
              </w:rPr>
            </w:pPr>
            <w:r w:rsidRPr="00AC6CB7">
              <w:rPr>
                <w:rFonts w:cs="Arial"/>
                <w:sz w:val="22"/>
                <w:szCs w:val="22"/>
              </w:rPr>
              <w:t xml:space="preserve">When </w:t>
            </w:r>
            <w:r w:rsidRPr="00994459">
              <w:rPr>
                <w:rFonts w:eastAsiaTheme="minorHAnsi" w:cs="Arial"/>
                <w:sz w:val="22"/>
                <w:szCs w:val="22"/>
                <w:lang w:eastAsia="en-US"/>
              </w:rPr>
              <w:t>applicable, advise the individual/</w:t>
            </w:r>
            <w:r w:rsidR="00AF6C7C">
              <w:rPr>
                <w:rFonts w:eastAsiaTheme="minorHAnsi" w:cs="Arial"/>
                <w:sz w:val="22"/>
                <w:szCs w:val="22"/>
                <w:lang w:eastAsia="en-US"/>
              </w:rPr>
              <w:t>parent/</w:t>
            </w:r>
            <w:r w:rsidRPr="00994459">
              <w:rPr>
                <w:rFonts w:eastAsiaTheme="minorHAnsi" w:cs="Arial"/>
                <w:sz w:val="22"/>
                <w:szCs w:val="22"/>
                <w:lang w:eastAsia="en-US"/>
              </w:rPr>
              <w:t>carer when to return for vaccination or when a subsequent vaccine dose is due.</w:t>
            </w:r>
          </w:p>
        </w:tc>
      </w:tr>
      <w:tr w:rsidR="00B227F7" w:rsidRPr="00A956FD" w14:paraId="537EE15A" w14:textId="77777777" w:rsidTr="009B1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58B90A9A" w14:textId="0C3E7CDA" w:rsidR="00303FA3" w:rsidRPr="00E56171" w:rsidRDefault="00B227F7" w:rsidP="00E56171">
            <w:pPr>
              <w:spacing w:before="120" w:after="120"/>
              <w:rPr>
                <w:rFonts w:cs="Arial"/>
                <w:b/>
                <w:sz w:val="22"/>
                <w:szCs w:val="22"/>
              </w:rPr>
            </w:pPr>
            <w:r w:rsidRPr="007E324D">
              <w:br w:type="page"/>
            </w:r>
            <w:r w:rsidRPr="007E324D">
              <w:rPr>
                <w:rFonts w:cs="Arial"/>
                <w:b/>
                <w:sz w:val="22"/>
                <w:szCs w:val="22"/>
              </w:rPr>
              <w:t xml:space="preserve">Special considerations / </w:t>
            </w:r>
            <w:bookmarkStart w:id="39" w:name="AdditionalInformation"/>
            <w:r w:rsidRPr="007E324D">
              <w:rPr>
                <w:rFonts w:cs="Arial"/>
                <w:b/>
                <w:sz w:val="22"/>
                <w:szCs w:val="22"/>
              </w:rPr>
              <w:t>additional information</w:t>
            </w:r>
            <w:bookmarkEnd w:id="39"/>
          </w:p>
          <w:p w14:paraId="3E4768A3" w14:textId="77777777" w:rsidR="00303FA3" w:rsidRDefault="00303FA3" w:rsidP="000028EA">
            <w:pPr>
              <w:spacing w:before="120"/>
              <w:contextualSpacing/>
              <w:rPr>
                <w:rFonts w:cs="Arial"/>
                <w:sz w:val="22"/>
                <w:szCs w:val="22"/>
              </w:rPr>
            </w:pPr>
          </w:p>
          <w:p w14:paraId="2DBFCAAA" w14:textId="77777777" w:rsidR="00303FA3" w:rsidRDefault="00303FA3" w:rsidP="000028EA">
            <w:pPr>
              <w:spacing w:before="120"/>
              <w:contextualSpacing/>
              <w:rPr>
                <w:rFonts w:cs="Arial"/>
                <w:sz w:val="22"/>
                <w:szCs w:val="22"/>
              </w:rPr>
            </w:pPr>
          </w:p>
          <w:p w14:paraId="690E227F" w14:textId="77777777" w:rsidR="00303FA3" w:rsidRDefault="00303FA3" w:rsidP="000028EA">
            <w:pPr>
              <w:spacing w:before="120"/>
              <w:contextualSpacing/>
              <w:rPr>
                <w:rFonts w:cs="Arial"/>
                <w:sz w:val="22"/>
                <w:szCs w:val="22"/>
              </w:rPr>
            </w:pPr>
          </w:p>
          <w:p w14:paraId="2E89B7AB" w14:textId="77777777" w:rsidR="00F1572E" w:rsidRDefault="00F1572E" w:rsidP="00F1572E">
            <w:pPr>
              <w:spacing w:before="120"/>
              <w:contextualSpacing/>
              <w:rPr>
                <w:rFonts w:cs="Arial"/>
                <w:sz w:val="22"/>
                <w:szCs w:val="22"/>
              </w:rPr>
            </w:pPr>
          </w:p>
          <w:p w14:paraId="62A8A80D" w14:textId="77777777" w:rsidR="00F1572E" w:rsidRDefault="00F1572E" w:rsidP="00F1572E">
            <w:pPr>
              <w:spacing w:before="120"/>
              <w:contextualSpacing/>
              <w:rPr>
                <w:rFonts w:cs="Arial"/>
                <w:sz w:val="22"/>
                <w:szCs w:val="22"/>
              </w:rPr>
            </w:pPr>
          </w:p>
          <w:p w14:paraId="7D5F93B7" w14:textId="77777777" w:rsidR="003A3C65" w:rsidRDefault="003A3C65" w:rsidP="000028EA">
            <w:pPr>
              <w:spacing w:before="120"/>
              <w:contextualSpacing/>
              <w:rPr>
                <w:rFonts w:cs="Arial"/>
                <w:sz w:val="22"/>
                <w:szCs w:val="22"/>
              </w:rPr>
            </w:pPr>
          </w:p>
          <w:p w14:paraId="7F33AE39" w14:textId="72F35DBA" w:rsidR="00DB017B" w:rsidRPr="00E26C8C" w:rsidRDefault="00DB017B" w:rsidP="000028EA">
            <w:pPr>
              <w:spacing w:before="120"/>
              <w:contextualSpacing/>
              <w:rPr>
                <w:rFonts w:cs="Arial"/>
                <w:sz w:val="22"/>
                <w:szCs w:val="22"/>
              </w:rPr>
            </w:pPr>
            <w:r w:rsidRPr="00E26C8C">
              <w:rPr>
                <w:rFonts w:cs="Arial"/>
                <w:sz w:val="22"/>
                <w:szCs w:val="22"/>
              </w:rPr>
              <w:t>Continued over page</w:t>
            </w:r>
          </w:p>
          <w:p w14:paraId="59005D13" w14:textId="65231BA7" w:rsidR="00211EA1" w:rsidRDefault="00DB017B" w:rsidP="000028EA">
            <w:pPr>
              <w:spacing w:before="120" w:after="120"/>
              <w:contextualSpacing/>
              <w:rPr>
                <w:rFonts w:cs="Arial"/>
                <w:bCs/>
                <w:sz w:val="22"/>
                <w:szCs w:val="22"/>
              </w:rPr>
            </w:pPr>
            <w:r w:rsidRPr="007E324D">
              <w:rPr>
                <w:rFonts w:cs="Arial"/>
                <w:b/>
                <w:sz w:val="22"/>
                <w:szCs w:val="22"/>
              </w:rPr>
              <w:lastRenderedPageBreak/>
              <w:t>Special considerations / additional information</w:t>
            </w:r>
            <w:r>
              <w:rPr>
                <w:rFonts w:cs="Arial"/>
                <w:sz w:val="22"/>
                <w:szCs w:val="22"/>
              </w:rPr>
              <w:t xml:space="preserve"> (continued)</w:t>
            </w:r>
          </w:p>
          <w:p w14:paraId="4F576162" w14:textId="77777777" w:rsidR="00211EA1" w:rsidRDefault="00211EA1" w:rsidP="007B2C02">
            <w:pPr>
              <w:spacing w:before="120" w:after="120"/>
              <w:rPr>
                <w:rFonts w:cs="Arial"/>
                <w:bCs/>
                <w:sz w:val="22"/>
                <w:szCs w:val="22"/>
              </w:rPr>
            </w:pPr>
          </w:p>
          <w:p w14:paraId="3681BC2C" w14:textId="77777777" w:rsidR="00211EA1" w:rsidRDefault="00211EA1" w:rsidP="007B2C02">
            <w:pPr>
              <w:spacing w:before="120" w:after="120"/>
              <w:rPr>
                <w:rFonts w:cs="Arial"/>
                <w:bCs/>
                <w:sz w:val="22"/>
                <w:szCs w:val="22"/>
              </w:rPr>
            </w:pPr>
          </w:p>
          <w:p w14:paraId="2C96CEB9" w14:textId="77777777" w:rsidR="00211EA1" w:rsidRDefault="00211EA1" w:rsidP="007B2C02">
            <w:pPr>
              <w:spacing w:before="120" w:after="120"/>
              <w:rPr>
                <w:rFonts w:cs="Arial"/>
                <w:bCs/>
                <w:sz w:val="22"/>
                <w:szCs w:val="22"/>
              </w:rPr>
            </w:pPr>
          </w:p>
          <w:p w14:paraId="0464795A" w14:textId="77777777" w:rsidR="00211EA1" w:rsidRDefault="00211EA1" w:rsidP="007B2C02">
            <w:pPr>
              <w:spacing w:before="120" w:after="120"/>
              <w:rPr>
                <w:rFonts w:cs="Arial"/>
                <w:bCs/>
                <w:sz w:val="22"/>
                <w:szCs w:val="22"/>
              </w:rPr>
            </w:pPr>
          </w:p>
          <w:p w14:paraId="3E8A13AC" w14:textId="77777777" w:rsidR="00211EA1" w:rsidRDefault="00211EA1" w:rsidP="007B2C02">
            <w:pPr>
              <w:spacing w:before="120" w:after="120"/>
              <w:rPr>
                <w:rFonts w:cs="Arial"/>
                <w:bCs/>
                <w:sz w:val="22"/>
                <w:szCs w:val="22"/>
              </w:rPr>
            </w:pPr>
          </w:p>
          <w:p w14:paraId="6C654068" w14:textId="77777777" w:rsidR="00211EA1" w:rsidRDefault="00211EA1" w:rsidP="007B2C02">
            <w:pPr>
              <w:spacing w:before="120" w:after="120"/>
              <w:rPr>
                <w:rFonts w:cs="Arial"/>
                <w:bCs/>
                <w:sz w:val="22"/>
                <w:szCs w:val="22"/>
              </w:rPr>
            </w:pPr>
          </w:p>
          <w:p w14:paraId="4C94CBC3" w14:textId="77777777" w:rsidR="00211EA1" w:rsidRDefault="00211EA1" w:rsidP="007B2C02">
            <w:pPr>
              <w:spacing w:before="120" w:after="120"/>
              <w:rPr>
                <w:rFonts w:cs="Arial"/>
                <w:bCs/>
                <w:sz w:val="22"/>
                <w:szCs w:val="22"/>
              </w:rPr>
            </w:pPr>
          </w:p>
          <w:p w14:paraId="30FEFB23" w14:textId="77777777" w:rsidR="005E3778" w:rsidRDefault="005E3778" w:rsidP="007B2C02">
            <w:pPr>
              <w:spacing w:before="120" w:after="120"/>
              <w:rPr>
                <w:rFonts w:cs="Arial"/>
                <w:bCs/>
                <w:sz w:val="22"/>
                <w:szCs w:val="22"/>
              </w:rPr>
            </w:pPr>
          </w:p>
          <w:p w14:paraId="729405E4" w14:textId="77777777" w:rsidR="00DB017B" w:rsidRDefault="00DB017B" w:rsidP="000028EA">
            <w:pPr>
              <w:spacing w:before="120" w:after="120"/>
              <w:contextualSpacing/>
              <w:rPr>
                <w:rFonts w:cs="Arial"/>
                <w:bCs/>
                <w:sz w:val="22"/>
                <w:szCs w:val="22"/>
              </w:rPr>
            </w:pPr>
          </w:p>
          <w:p w14:paraId="16939146" w14:textId="77777777" w:rsidR="00DB017B" w:rsidRDefault="00DB017B" w:rsidP="000028EA">
            <w:pPr>
              <w:spacing w:before="120" w:after="120"/>
              <w:contextualSpacing/>
              <w:rPr>
                <w:rFonts w:cs="Arial"/>
                <w:bCs/>
                <w:sz w:val="22"/>
                <w:szCs w:val="22"/>
              </w:rPr>
            </w:pPr>
          </w:p>
          <w:p w14:paraId="3DBD096E" w14:textId="77777777" w:rsidR="00DB017B" w:rsidRDefault="00DB017B" w:rsidP="000028EA">
            <w:pPr>
              <w:spacing w:before="120" w:after="120"/>
              <w:contextualSpacing/>
              <w:rPr>
                <w:rFonts w:cs="Arial"/>
                <w:bCs/>
                <w:sz w:val="22"/>
                <w:szCs w:val="22"/>
              </w:rPr>
            </w:pPr>
          </w:p>
          <w:p w14:paraId="0DB970B6" w14:textId="77777777" w:rsidR="00DB017B" w:rsidRDefault="00DB017B" w:rsidP="000028EA">
            <w:pPr>
              <w:spacing w:before="120" w:after="120"/>
              <w:contextualSpacing/>
              <w:rPr>
                <w:rFonts w:cs="Arial"/>
                <w:bCs/>
                <w:sz w:val="22"/>
                <w:szCs w:val="22"/>
              </w:rPr>
            </w:pPr>
          </w:p>
          <w:p w14:paraId="264C995E" w14:textId="77777777" w:rsidR="00DB017B" w:rsidRDefault="00DB017B" w:rsidP="000028EA">
            <w:pPr>
              <w:spacing w:before="120" w:after="120"/>
              <w:contextualSpacing/>
              <w:rPr>
                <w:rFonts w:cs="Arial"/>
                <w:bCs/>
                <w:sz w:val="22"/>
                <w:szCs w:val="22"/>
              </w:rPr>
            </w:pPr>
          </w:p>
          <w:p w14:paraId="351F42AB" w14:textId="77777777" w:rsidR="00DB017B" w:rsidRDefault="00DB017B" w:rsidP="000028EA">
            <w:pPr>
              <w:spacing w:before="120" w:after="120"/>
              <w:contextualSpacing/>
              <w:rPr>
                <w:rFonts w:cs="Arial"/>
                <w:bCs/>
                <w:sz w:val="22"/>
                <w:szCs w:val="22"/>
              </w:rPr>
            </w:pPr>
          </w:p>
          <w:p w14:paraId="3210BC73" w14:textId="77777777" w:rsidR="00DB017B" w:rsidRDefault="00DB017B" w:rsidP="000028EA">
            <w:pPr>
              <w:spacing w:before="120" w:after="120"/>
              <w:contextualSpacing/>
              <w:rPr>
                <w:rFonts w:cs="Arial"/>
                <w:bCs/>
                <w:sz w:val="22"/>
                <w:szCs w:val="22"/>
              </w:rPr>
            </w:pPr>
          </w:p>
          <w:p w14:paraId="5981A32F" w14:textId="77777777" w:rsidR="00DB017B" w:rsidRDefault="00DB017B" w:rsidP="000028EA">
            <w:pPr>
              <w:spacing w:before="120" w:after="120"/>
              <w:contextualSpacing/>
              <w:rPr>
                <w:rFonts w:cs="Arial"/>
                <w:bCs/>
                <w:sz w:val="22"/>
                <w:szCs w:val="22"/>
              </w:rPr>
            </w:pPr>
          </w:p>
          <w:p w14:paraId="7DC95888" w14:textId="77777777" w:rsidR="00DB017B" w:rsidRDefault="00DB017B" w:rsidP="000028EA">
            <w:pPr>
              <w:spacing w:before="120" w:after="120"/>
              <w:contextualSpacing/>
              <w:rPr>
                <w:rFonts w:cs="Arial"/>
                <w:bCs/>
                <w:sz w:val="22"/>
                <w:szCs w:val="22"/>
              </w:rPr>
            </w:pPr>
          </w:p>
          <w:p w14:paraId="79E3FC6C" w14:textId="77777777" w:rsidR="00DB017B" w:rsidRDefault="00DB017B" w:rsidP="000028EA">
            <w:pPr>
              <w:spacing w:before="120" w:after="120"/>
              <w:contextualSpacing/>
              <w:rPr>
                <w:rFonts w:cs="Arial"/>
                <w:bCs/>
                <w:sz w:val="22"/>
                <w:szCs w:val="22"/>
              </w:rPr>
            </w:pPr>
          </w:p>
          <w:p w14:paraId="4FDBCABF" w14:textId="77777777" w:rsidR="00DB017B" w:rsidRDefault="00DB017B" w:rsidP="000028EA">
            <w:pPr>
              <w:spacing w:before="120" w:after="120"/>
              <w:contextualSpacing/>
              <w:rPr>
                <w:rFonts w:cs="Arial"/>
                <w:bCs/>
                <w:sz w:val="22"/>
                <w:szCs w:val="22"/>
              </w:rPr>
            </w:pPr>
          </w:p>
          <w:p w14:paraId="4E93B475" w14:textId="77777777" w:rsidR="00DB017B" w:rsidRDefault="00DB017B" w:rsidP="000028EA">
            <w:pPr>
              <w:spacing w:before="120" w:after="120"/>
              <w:contextualSpacing/>
              <w:rPr>
                <w:rFonts w:cs="Arial"/>
                <w:bCs/>
                <w:sz w:val="22"/>
                <w:szCs w:val="22"/>
              </w:rPr>
            </w:pPr>
          </w:p>
          <w:p w14:paraId="02F33F7B" w14:textId="77777777" w:rsidR="00DB017B" w:rsidRDefault="00DB017B" w:rsidP="000028EA">
            <w:pPr>
              <w:spacing w:before="120" w:after="120"/>
              <w:contextualSpacing/>
              <w:rPr>
                <w:rFonts w:cs="Arial"/>
                <w:bCs/>
                <w:sz w:val="22"/>
                <w:szCs w:val="22"/>
              </w:rPr>
            </w:pPr>
          </w:p>
          <w:p w14:paraId="796704AA" w14:textId="77777777" w:rsidR="00DB017B" w:rsidRDefault="00DB017B" w:rsidP="000028EA">
            <w:pPr>
              <w:spacing w:before="120" w:after="120"/>
              <w:contextualSpacing/>
              <w:rPr>
                <w:rFonts w:cs="Arial"/>
                <w:bCs/>
                <w:sz w:val="22"/>
                <w:szCs w:val="22"/>
              </w:rPr>
            </w:pPr>
          </w:p>
          <w:p w14:paraId="08935827" w14:textId="77777777" w:rsidR="00DB017B" w:rsidRDefault="00DB017B" w:rsidP="000028EA">
            <w:pPr>
              <w:spacing w:before="120" w:after="120"/>
              <w:contextualSpacing/>
              <w:rPr>
                <w:rFonts w:cs="Arial"/>
                <w:bCs/>
                <w:sz w:val="22"/>
                <w:szCs w:val="22"/>
              </w:rPr>
            </w:pPr>
          </w:p>
          <w:p w14:paraId="5FFDB087" w14:textId="77777777" w:rsidR="00DB017B" w:rsidRDefault="00DB017B" w:rsidP="000028EA">
            <w:pPr>
              <w:spacing w:before="120" w:after="120"/>
              <w:contextualSpacing/>
              <w:rPr>
                <w:rFonts w:cs="Arial"/>
                <w:bCs/>
                <w:sz w:val="22"/>
                <w:szCs w:val="22"/>
              </w:rPr>
            </w:pPr>
          </w:p>
          <w:p w14:paraId="5B2E5282" w14:textId="77777777" w:rsidR="00DB017B" w:rsidRDefault="00DB017B" w:rsidP="000028EA">
            <w:pPr>
              <w:spacing w:before="120" w:after="120"/>
              <w:contextualSpacing/>
              <w:rPr>
                <w:rFonts w:cs="Arial"/>
                <w:bCs/>
                <w:sz w:val="22"/>
                <w:szCs w:val="22"/>
              </w:rPr>
            </w:pPr>
          </w:p>
          <w:p w14:paraId="3CBBC52C" w14:textId="77777777" w:rsidR="00DB017B" w:rsidRDefault="00DB017B" w:rsidP="000028EA">
            <w:pPr>
              <w:spacing w:before="120" w:after="120"/>
              <w:contextualSpacing/>
              <w:rPr>
                <w:rFonts w:cs="Arial"/>
                <w:bCs/>
                <w:sz w:val="22"/>
                <w:szCs w:val="22"/>
              </w:rPr>
            </w:pPr>
          </w:p>
          <w:p w14:paraId="19398894" w14:textId="77777777" w:rsidR="00DB017B" w:rsidRDefault="00DB017B" w:rsidP="000028EA">
            <w:pPr>
              <w:spacing w:before="120" w:after="120"/>
              <w:contextualSpacing/>
              <w:rPr>
                <w:rFonts w:cs="Arial"/>
                <w:bCs/>
                <w:sz w:val="22"/>
                <w:szCs w:val="22"/>
              </w:rPr>
            </w:pPr>
          </w:p>
          <w:p w14:paraId="08071A6B" w14:textId="77777777" w:rsidR="00DB017B" w:rsidRDefault="00DB017B" w:rsidP="000028EA">
            <w:pPr>
              <w:spacing w:before="120" w:after="120"/>
              <w:contextualSpacing/>
              <w:rPr>
                <w:rFonts w:cs="Arial"/>
                <w:bCs/>
                <w:sz w:val="22"/>
                <w:szCs w:val="22"/>
              </w:rPr>
            </w:pPr>
          </w:p>
          <w:p w14:paraId="2A885A62" w14:textId="77777777" w:rsidR="00DB017B" w:rsidRDefault="00DB017B" w:rsidP="000028EA">
            <w:pPr>
              <w:spacing w:before="120" w:after="120"/>
              <w:contextualSpacing/>
              <w:rPr>
                <w:rFonts w:cs="Arial"/>
                <w:bCs/>
                <w:sz w:val="22"/>
                <w:szCs w:val="22"/>
              </w:rPr>
            </w:pPr>
          </w:p>
          <w:p w14:paraId="3FD87104" w14:textId="77777777" w:rsidR="00DB017B" w:rsidRDefault="00DB017B" w:rsidP="000028EA">
            <w:pPr>
              <w:spacing w:before="120" w:after="120"/>
              <w:contextualSpacing/>
              <w:rPr>
                <w:rFonts w:cs="Arial"/>
                <w:bCs/>
                <w:sz w:val="22"/>
                <w:szCs w:val="22"/>
              </w:rPr>
            </w:pPr>
          </w:p>
          <w:p w14:paraId="29C68AC8" w14:textId="77777777" w:rsidR="00DB017B" w:rsidRDefault="00DB017B" w:rsidP="000028EA">
            <w:pPr>
              <w:spacing w:before="120" w:after="120"/>
              <w:contextualSpacing/>
              <w:rPr>
                <w:rFonts w:cs="Arial"/>
                <w:bCs/>
                <w:sz w:val="22"/>
                <w:szCs w:val="22"/>
              </w:rPr>
            </w:pPr>
          </w:p>
          <w:p w14:paraId="290F1B4C" w14:textId="77777777" w:rsidR="00DB017B" w:rsidRDefault="00DB017B" w:rsidP="000028EA">
            <w:pPr>
              <w:spacing w:before="120" w:after="120"/>
              <w:contextualSpacing/>
              <w:rPr>
                <w:rFonts w:cs="Arial"/>
                <w:bCs/>
                <w:sz w:val="22"/>
                <w:szCs w:val="22"/>
              </w:rPr>
            </w:pPr>
          </w:p>
          <w:p w14:paraId="11C8CBDA" w14:textId="77777777" w:rsidR="00DB017B" w:rsidRDefault="00DB017B" w:rsidP="000028EA">
            <w:pPr>
              <w:spacing w:before="120" w:after="120"/>
              <w:contextualSpacing/>
              <w:rPr>
                <w:rFonts w:cs="Arial"/>
                <w:bCs/>
                <w:sz w:val="22"/>
                <w:szCs w:val="22"/>
              </w:rPr>
            </w:pPr>
          </w:p>
          <w:p w14:paraId="6357FBE9" w14:textId="77777777" w:rsidR="00DB017B" w:rsidRDefault="00DB017B" w:rsidP="000028EA">
            <w:pPr>
              <w:spacing w:before="120" w:after="120"/>
              <w:contextualSpacing/>
              <w:rPr>
                <w:rFonts w:cs="Arial"/>
                <w:bCs/>
                <w:sz w:val="22"/>
                <w:szCs w:val="22"/>
              </w:rPr>
            </w:pPr>
          </w:p>
          <w:p w14:paraId="4C3F6A5B" w14:textId="77777777" w:rsidR="00DB017B" w:rsidRDefault="00DB017B" w:rsidP="000028EA">
            <w:pPr>
              <w:spacing w:before="120" w:after="120"/>
              <w:contextualSpacing/>
              <w:rPr>
                <w:rFonts w:cs="Arial"/>
                <w:bCs/>
                <w:sz w:val="22"/>
                <w:szCs w:val="22"/>
              </w:rPr>
            </w:pPr>
          </w:p>
          <w:p w14:paraId="2862024C" w14:textId="77777777" w:rsidR="00DB017B" w:rsidRDefault="00DB017B" w:rsidP="007B2C02">
            <w:pPr>
              <w:spacing w:before="120" w:after="120"/>
              <w:contextualSpacing/>
              <w:rPr>
                <w:rFonts w:cs="Arial"/>
                <w:bCs/>
                <w:sz w:val="22"/>
                <w:szCs w:val="22"/>
              </w:rPr>
            </w:pPr>
          </w:p>
          <w:p w14:paraId="16123A5F" w14:textId="77777777" w:rsidR="00DB017B" w:rsidRDefault="00DB017B" w:rsidP="007B2C02">
            <w:pPr>
              <w:spacing w:before="120" w:after="120"/>
              <w:contextualSpacing/>
              <w:rPr>
                <w:rFonts w:cs="Arial"/>
                <w:bCs/>
                <w:sz w:val="22"/>
                <w:szCs w:val="22"/>
              </w:rPr>
            </w:pPr>
          </w:p>
          <w:p w14:paraId="0531FA95" w14:textId="77777777" w:rsidR="00DB017B" w:rsidRDefault="00DB017B" w:rsidP="007B2C02">
            <w:pPr>
              <w:spacing w:before="120" w:after="120"/>
              <w:contextualSpacing/>
              <w:rPr>
                <w:rFonts w:cs="Arial"/>
                <w:bCs/>
                <w:sz w:val="22"/>
                <w:szCs w:val="22"/>
              </w:rPr>
            </w:pPr>
          </w:p>
          <w:p w14:paraId="2A189C96" w14:textId="77777777" w:rsidR="00DB017B" w:rsidRDefault="00DB017B" w:rsidP="007B2C02">
            <w:pPr>
              <w:spacing w:before="120" w:after="120"/>
              <w:contextualSpacing/>
              <w:rPr>
                <w:rFonts w:cs="Arial"/>
                <w:bCs/>
                <w:sz w:val="22"/>
                <w:szCs w:val="22"/>
              </w:rPr>
            </w:pPr>
          </w:p>
          <w:p w14:paraId="4E143A85" w14:textId="77777777" w:rsidR="00DB017B" w:rsidRDefault="00DB017B" w:rsidP="007B2C02">
            <w:pPr>
              <w:spacing w:before="120" w:after="120"/>
              <w:contextualSpacing/>
              <w:rPr>
                <w:rFonts w:cs="Arial"/>
                <w:bCs/>
                <w:sz w:val="22"/>
                <w:szCs w:val="22"/>
              </w:rPr>
            </w:pPr>
          </w:p>
          <w:p w14:paraId="59502052" w14:textId="77777777" w:rsidR="00DB017B" w:rsidRDefault="00DB017B" w:rsidP="007B2C02">
            <w:pPr>
              <w:spacing w:before="120" w:after="120"/>
              <w:contextualSpacing/>
              <w:rPr>
                <w:rFonts w:cs="Arial"/>
                <w:bCs/>
                <w:sz w:val="22"/>
                <w:szCs w:val="22"/>
              </w:rPr>
            </w:pPr>
          </w:p>
          <w:p w14:paraId="551BD381" w14:textId="77777777" w:rsidR="00DB017B" w:rsidRDefault="00DB017B" w:rsidP="007B2C02">
            <w:pPr>
              <w:spacing w:before="120" w:after="120"/>
              <w:contextualSpacing/>
              <w:rPr>
                <w:rFonts w:cs="Arial"/>
                <w:bCs/>
                <w:sz w:val="22"/>
                <w:szCs w:val="22"/>
              </w:rPr>
            </w:pPr>
          </w:p>
          <w:p w14:paraId="0AAA8545" w14:textId="77777777" w:rsidR="00DB017B" w:rsidRDefault="00DB017B" w:rsidP="007B2C02">
            <w:pPr>
              <w:spacing w:before="120" w:after="120"/>
              <w:contextualSpacing/>
              <w:rPr>
                <w:rFonts w:cs="Arial"/>
                <w:bCs/>
                <w:sz w:val="22"/>
                <w:szCs w:val="22"/>
              </w:rPr>
            </w:pPr>
          </w:p>
          <w:p w14:paraId="5BB104F2" w14:textId="77777777" w:rsidR="00DB017B" w:rsidRDefault="00DB017B" w:rsidP="007B2C02">
            <w:pPr>
              <w:spacing w:before="120" w:after="120"/>
              <w:contextualSpacing/>
              <w:rPr>
                <w:rFonts w:cs="Arial"/>
                <w:bCs/>
                <w:sz w:val="22"/>
                <w:szCs w:val="22"/>
              </w:rPr>
            </w:pPr>
          </w:p>
          <w:p w14:paraId="70C96493" w14:textId="77777777" w:rsidR="00DB017B" w:rsidRDefault="00DB017B" w:rsidP="007B2C02">
            <w:pPr>
              <w:spacing w:before="120" w:after="120"/>
              <w:contextualSpacing/>
              <w:rPr>
                <w:rFonts w:cs="Arial"/>
                <w:bCs/>
                <w:sz w:val="22"/>
                <w:szCs w:val="22"/>
              </w:rPr>
            </w:pPr>
          </w:p>
          <w:p w14:paraId="01E3E62E" w14:textId="77777777" w:rsidR="00DB017B" w:rsidRDefault="00DB017B" w:rsidP="007B2C02">
            <w:pPr>
              <w:spacing w:before="120" w:after="120"/>
              <w:contextualSpacing/>
              <w:rPr>
                <w:rFonts w:cs="Arial"/>
                <w:bCs/>
                <w:sz w:val="22"/>
                <w:szCs w:val="22"/>
              </w:rPr>
            </w:pPr>
          </w:p>
          <w:p w14:paraId="32DB75F4" w14:textId="77777777" w:rsidR="00DB017B" w:rsidRDefault="00DB017B" w:rsidP="007B2C02">
            <w:pPr>
              <w:spacing w:before="120" w:after="120"/>
              <w:contextualSpacing/>
              <w:rPr>
                <w:rFonts w:cs="Arial"/>
                <w:bCs/>
                <w:sz w:val="22"/>
                <w:szCs w:val="22"/>
              </w:rPr>
            </w:pPr>
          </w:p>
          <w:p w14:paraId="10A9BD6B" w14:textId="77777777" w:rsidR="00DB017B" w:rsidRDefault="00DB017B" w:rsidP="007B2C02">
            <w:pPr>
              <w:spacing w:before="120" w:after="120"/>
              <w:contextualSpacing/>
              <w:rPr>
                <w:rFonts w:cs="Arial"/>
                <w:bCs/>
                <w:sz w:val="22"/>
                <w:szCs w:val="22"/>
              </w:rPr>
            </w:pPr>
          </w:p>
          <w:p w14:paraId="236BA00C" w14:textId="77777777" w:rsidR="00DB017B" w:rsidRDefault="00DB017B" w:rsidP="007B2C02">
            <w:pPr>
              <w:spacing w:before="120" w:after="120"/>
              <w:contextualSpacing/>
              <w:rPr>
                <w:rFonts w:cs="Arial"/>
                <w:bCs/>
                <w:sz w:val="22"/>
                <w:szCs w:val="22"/>
              </w:rPr>
            </w:pPr>
          </w:p>
          <w:p w14:paraId="56CA57AD" w14:textId="77777777" w:rsidR="00A84395" w:rsidRDefault="00A84395">
            <w:pPr>
              <w:spacing w:before="120" w:after="120"/>
              <w:contextualSpacing/>
              <w:rPr>
                <w:rFonts w:cs="Arial"/>
                <w:bCs/>
                <w:sz w:val="22"/>
                <w:szCs w:val="22"/>
              </w:rPr>
            </w:pPr>
          </w:p>
          <w:p w14:paraId="29501365" w14:textId="77777777" w:rsidR="00A84395" w:rsidRDefault="00A84395">
            <w:pPr>
              <w:spacing w:before="120" w:after="120"/>
              <w:contextualSpacing/>
              <w:rPr>
                <w:rFonts w:cs="Arial"/>
                <w:bCs/>
                <w:sz w:val="22"/>
                <w:szCs w:val="22"/>
              </w:rPr>
            </w:pPr>
          </w:p>
          <w:p w14:paraId="6F7D10AE" w14:textId="2B925EEA" w:rsidR="00211EA1" w:rsidRDefault="00211EA1" w:rsidP="000028EA">
            <w:pPr>
              <w:spacing w:before="120" w:after="120"/>
              <w:contextualSpacing/>
              <w:rPr>
                <w:rFonts w:cs="Arial"/>
                <w:bCs/>
                <w:sz w:val="22"/>
                <w:szCs w:val="22"/>
              </w:rPr>
            </w:pPr>
            <w:r>
              <w:rPr>
                <w:rFonts w:cs="Arial"/>
                <w:bCs/>
                <w:sz w:val="22"/>
                <w:szCs w:val="22"/>
              </w:rPr>
              <w:t>Continued over page</w:t>
            </w:r>
          </w:p>
          <w:p w14:paraId="5F9F61E1" w14:textId="139FE362" w:rsidR="00211EA1" w:rsidRDefault="00211EA1" w:rsidP="000028EA">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77E2F340" w14:textId="1E0D3D9C" w:rsidR="00211EA1" w:rsidRDefault="00211EA1" w:rsidP="007B2C02">
            <w:pPr>
              <w:spacing w:before="120" w:after="120"/>
              <w:contextualSpacing/>
              <w:rPr>
                <w:rFonts w:cs="Arial"/>
                <w:bCs/>
                <w:sz w:val="22"/>
                <w:szCs w:val="22"/>
              </w:rPr>
            </w:pPr>
            <w:r>
              <w:rPr>
                <w:rFonts w:cs="Arial"/>
                <w:bCs/>
                <w:sz w:val="22"/>
                <w:szCs w:val="22"/>
              </w:rPr>
              <w:t>(continued)</w:t>
            </w:r>
          </w:p>
          <w:p w14:paraId="4B727836" w14:textId="77777777" w:rsidR="005E3778" w:rsidRDefault="005E3778" w:rsidP="005E3778">
            <w:pPr>
              <w:spacing w:before="120" w:after="120"/>
              <w:rPr>
                <w:rFonts w:cs="Arial"/>
                <w:bCs/>
                <w:sz w:val="22"/>
                <w:szCs w:val="22"/>
              </w:rPr>
            </w:pPr>
          </w:p>
          <w:p w14:paraId="0CA1A471" w14:textId="77777777" w:rsidR="00E26C8C" w:rsidRDefault="00E26C8C" w:rsidP="00DB017B">
            <w:pPr>
              <w:spacing w:before="120" w:after="120"/>
              <w:rPr>
                <w:rFonts w:cs="Arial"/>
                <w:bCs/>
                <w:sz w:val="22"/>
                <w:szCs w:val="22"/>
              </w:rPr>
            </w:pPr>
          </w:p>
          <w:p w14:paraId="78F43EF1" w14:textId="77777777" w:rsidR="009B16D6" w:rsidRDefault="009B16D6" w:rsidP="00DB017B">
            <w:pPr>
              <w:spacing w:before="120" w:after="120"/>
              <w:rPr>
                <w:rFonts w:cs="Arial"/>
                <w:bCs/>
                <w:sz w:val="22"/>
                <w:szCs w:val="22"/>
              </w:rPr>
            </w:pPr>
          </w:p>
          <w:p w14:paraId="531346B0" w14:textId="77777777" w:rsidR="009B16D6" w:rsidRDefault="009B16D6" w:rsidP="00DB017B">
            <w:pPr>
              <w:spacing w:before="120" w:after="120"/>
              <w:rPr>
                <w:rFonts w:cs="Arial"/>
                <w:bCs/>
                <w:sz w:val="22"/>
                <w:szCs w:val="22"/>
              </w:rPr>
            </w:pPr>
          </w:p>
          <w:p w14:paraId="7B4B5C78" w14:textId="77777777" w:rsidR="009B16D6" w:rsidRDefault="009B16D6" w:rsidP="00DB017B">
            <w:pPr>
              <w:spacing w:before="120" w:after="120"/>
              <w:rPr>
                <w:rFonts w:cs="Arial"/>
                <w:bCs/>
                <w:sz w:val="22"/>
                <w:szCs w:val="22"/>
              </w:rPr>
            </w:pPr>
          </w:p>
          <w:p w14:paraId="21A0C77C" w14:textId="77777777" w:rsidR="009B16D6" w:rsidRDefault="009B16D6" w:rsidP="00DB017B">
            <w:pPr>
              <w:spacing w:before="120" w:after="120"/>
              <w:rPr>
                <w:rFonts w:cs="Arial"/>
                <w:bCs/>
                <w:sz w:val="22"/>
                <w:szCs w:val="22"/>
              </w:rPr>
            </w:pPr>
          </w:p>
          <w:p w14:paraId="303DCBDB" w14:textId="77777777" w:rsidR="009B16D6" w:rsidRDefault="009B16D6" w:rsidP="00DB017B">
            <w:pPr>
              <w:spacing w:before="120" w:after="120"/>
              <w:rPr>
                <w:rFonts w:cs="Arial"/>
                <w:bCs/>
                <w:sz w:val="22"/>
                <w:szCs w:val="22"/>
              </w:rPr>
            </w:pPr>
          </w:p>
          <w:p w14:paraId="376CF1BC" w14:textId="77777777" w:rsidR="009B16D6" w:rsidRDefault="009B16D6" w:rsidP="00DB017B">
            <w:pPr>
              <w:spacing w:before="120" w:after="120"/>
              <w:rPr>
                <w:rFonts w:cs="Arial"/>
                <w:bCs/>
                <w:sz w:val="22"/>
                <w:szCs w:val="22"/>
              </w:rPr>
            </w:pPr>
          </w:p>
          <w:p w14:paraId="5081A0D4" w14:textId="77777777" w:rsidR="009B16D6" w:rsidRDefault="009B16D6" w:rsidP="00DB017B">
            <w:pPr>
              <w:spacing w:before="120" w:after="120"/>
              <w:rPr>
                <w:rFonts w:cs="Arial"/>
                <w:bCs/>
                <w:sz w:val="22"/>
                <w:szCs w:val="22"/>
              </w:rPr>
            </w:pPr>
          </w:p>
          <w:p w14:paraId="61C3947B" w14:textId="77777777" w:rsidR="009B16D6" w:rsidRDefault="009B16D6" w:rsidP="00DB017B">
            <w:pPr>
              <w:spacing w:before="120" w:after="120"/>
              <w:rPr>
                <w:rFonts w:cs="Arial"/>
                <w:bCs/>
                <w:sz w:val="22"/>
                <w:szCs w:val="22"/>
              </w:rPr>
            </w:pPr>
          </w:p>
          <w:p w14:paraId="2EECCC3D" w14:textId="77777777" w:rsidR="009B16D6" w:rsidRDefault="009B16D6" w:rsidP="00DB017B">
            <w:pPr>
              <w:spacing w:before="120" w:after="120"/>
              <w:rPr>
                <w:rFonts w:cs="Arial"/>
                <w:bCs/>
                <w:sz w:val="22"/>
                <w:szCs w:val="22"/>
              </w:rPr>
            </w:pPr>
          </w:p>
          <w:p w14:paraId="1215BCE5" w14:textId="77777777" w:rsidR="009B16D6" w:rsidRDefault="009B16D6" w:rsidP="00DB017B">
            <w:pPr>
              <w:spacing w:before="120" w:after="120"/>
              <w:rPr>
                <w:rFonts w:cs="Arial"/>
                <w:bCs/>
                <w:sz w:val="22"/>
                <w:szCs w:val="22"/>
              </w:rPr>
            </w:pPr>
          </w:p>
          <w:p w14:paraId="7850A60F" w14:textId="77777777" w:rsidR="009B16D6" w:rsidRDefault="009B16D6" w:rsidP="00DB017B">
            <w:pPr>
              <w:spacing w:before="120" w:after="120"/>
              <w:rPr>
                <w:rFonts w:cs="Arial"/>
                <w:bCs/>
                <w:sz w:val="22"/>
                <w:szCs w:val="22"/>
              </w:rPr>
            </w:pPr>
          </w:p>
          <w:p w14:paraId="0C3B1041" w14:textId="77777777" w:rsidR="009B16D6" w:rsidRDefault="009B16D6" w:rsidP="00DB017B">
            <w:pPr>
              <w:spacing w:before="120" w:after="120"/>
              <w:rPr>
                <w:rFonts w:cs="Arial"/>
                <w:bCs/>
                <w:sz w:val="22"/>
                <w:szCs w:val="22"/>
              </w:rPr>
            </w:pPr>
          </w:p>
          <w:p w14:paraId="6A3B9766" w14:textId="77777777" w:rsidR="009B16D6" w:rsidRDefault="009B16D6" w:rsidP="00DB017B">
            <w:pPr>
              <w:spacing w:before="120" w:after="120"/>
              <w:rPr>
                <w:rFonts w:cs="Arial"/>
                <w:bCs/>
                <w:sz w:val="22"/>
                <w:szCs w:val="22"/>
              </w:rPr>
            </w:pPr>
          </w:p>
          <w:p w14:paraId="350245F9" w14:textId="77777777" w:rsidR="009B16D6" w:rsidRDefault="009B16D6" w:rsidP="00DB017B">
            <w:pPr>
              <w:spacing w:before="120" w:after="120"/>
              <w:rPr>
                <w:rFonts w:cs="Arial"/>
                <w:bCs/>
                <w:sz w:val="22"/>
                <w:szCs w:val="22"/>
              </w:rPr>
            </w:pPr>
          </w:p>
          <w:p w14:paraId="327AE47C" w14:textId="77777777" w:rsidR="009B16D6" w:rsidRDefault="009B16D6" w:rsidP="00DB017B">
            <w:pPr>
              <w:spacing w:before="120" w:after="120"/>
              <w:rPr>
                <w:rFonts w:cs="Arial"/>
                <w:bCs/>
                <w:sz w:val="22"/>
                <w:szCs w:val="22"/>
              </w:rPr>
            </w:pPr>
          </w:p>
          <w:p w14:paraId="173AC199" w14:textId="77777777" w:rsidR="009B16D6" w:rsidRDefault="009B16D6" w:rsidP="00DB017B">
            <w:pPr>
              <w:spacing w:before="120" w:after="120"/>
              <w:rPr>
                <w:rFonts w:cs="Arial"/>
                <w:bCs/>
                <w:sz w:val="22"/>
                <w:szCs w:val="22"/>
              </w:rPr>
            </w:pPr>
          </w:p>
          <w:p w14:paraId="605696A9" w14:textId="77777777" w:rsidR="009B16D6" w:rsidRDefault="009B16D6" w:rsidP="00DB017B">
            <w:pPr>
              <w:spacing w:before="120" w:after="120"/>
              <w:rPr>
                <w:rFonts w:cs="Arial"/>
                <w:bCs/>
                <w:sz w:val="22"/>
                <w:szCs w:val="22"/>
              </w:rPr>
            </w:pPr>
          </w:p>
          <w:p w14:paraId="1D814CCA" w14:textId="77777777" w:rsidR="009B16D6" w:rsidRDefault="009B16D6" w:rsidP="00DB017B">
            <w:pPr>
              <w:spacing w:before="120" w:after="120"/>
              <w:rPr>
                <w:rFonts w:cs="Arial"/>
                <w:bCs/>
                <w:sz w:val="22"/>
                <w:szCs w:val="22"/>
              </w:rPr>
            </w:pPr>
          </w:p>
          <w:p w14:paraId="31A46648" w14:textId="77777777" w:rsidR="009B16D6" w:rsidRDefault="009B16D6" w:rsidP="00DB017B">
            <w:pPr>
              <w:spacing w:before="120" w:after="120"/>
              <w:rPr>
                <w:rFonts w:cs="Arial"/>
                <w:bCs/>
                <w:sz w:val="22"/>
                <w:szCs w:val="22"/>
              </w:rPr>
            </w:pPr>
          </w:p>
          <w:p w14:paraId="64864189" w14:textId="77777777" w:rsidR="009B16D6" w:rsidRDefault="009B16D6" w:rsidP="00DB017B">
            <w:pPr>
              <w:spacing w:before="120" w:after="120"/>
              <w:rPr>
                <w:rFonts w:cs="Arial"/>
                <w:bCs/>
                <w:sz w:val="22"/>
                <w:szCs w:val="22"/>
              </w:rPr>
            </w:pPr>
          </w:p>
          <w:p w14:paraId="40C5DE83" w14:textId="77777777" w:rsidR="009B16D6" w:rsidRDefault="009B16D6" w:rsidP="009B16D6">
            <w:pPr>
              <w:spacing w:before="120" w:after="120"/>
              <w:contextualSpacing/>
              <w:rPr>
                <w:rFonts w:cs="Arial"/>
                <w:bCs/>
                <w:sz w:val="22"/>
                <w:szCs w:val="22"/>
              </w:rPr>
            </w:pPr>
          </w:p>
          <w:p w14:paraId="5C7B52F7" w14:textId="77777777" w:rsidR="009B16D6" w:rsidRDefault="009B16D6" w:rsidP="009B16D6">
            <w:pPr>
              <w:spacing w:before="120" w:after="120"/>
              <w:contextualSpacing/>
              <w:rPr>
                <w:rFonts w:cs="Arial"/>
                <w:bCs/>
                <w:sz w:val="22"/>
                <w:szCs w:val="22"/>
              </w:rPr>
            </w:pPr>
          </w:p>
          <w:p w14:paraId="3B513EDC" w14:textId="77777777" w:rsidR="009B16D6" w:rsidRDefault="009B16D6" w:rsidP="009B16D6">
            <w:pPr>
              <w:spacing w:before="120" w:after="120"/>
              <w:contextualSpacing/>
              <w:rPr>
                <w:rFonts w:cs="Arial"/>
                <w:bCs/>
                <w:sz w:val="22"/>
                <w:szCs w:val="22"/>
              </w:rPr>
            </w:pPr>
          </w:p>
          <w:p w14:paraId="15149729" w14:textId="77777777" w:rsidR="009B16D6" w:rsidRDefault="009B16D6" w:rsidP="009B16D6">
            <w:pPr>
              <w:spacing w:before="120" w:after="120"/>
              <w:contextualSpacing/>
              <w:rPr>
                <w:rFonts w:cs="Arial"/>
                <w:bCs/>
                <w:sz w:val="22"/>
                <w:szCs w:val="22"/>
              </w:rPr>
            </w:pPr>
          </w:p>
          <w:p w14:paraId="25F9BD13" w14:textId="77777777" w:rsidR="009B16D6" w:rsidRDefault="009B16D6" w:rsidP="009B16D6">
            <w:pPr>
              <w:spacing w:before="120" w:after="120"/>
              <w:contextualSpacing/>
              <w:rPr>
                <w:rFonts w:cs="Arial"/>
                <w:bCs/>
                <w:sz w:val="22"/>
                <w:szCs w:val="22"/>
              </w:rPr>
            </w:pPr>
          </w:p>
          <w:p w14:paraId="7643D815" w14:textId="77777777" w:rsidR="009B16D6" w:rsidRDefault="009B16D6" w:rsidP="009B16D6">
            <w:pPr>
              <w:spacing w:before="120" w:after="120"/>
              <w:contextualSpacing/>
              <w:rPr>
                <w:rFonts w:cs="Arial"/>
                <w:bCs/>
                <w:sz w:val="22"/>
                <w:szCs w:val="22"/>
              </w:rPr>
            </w:pPr>
          </w:p>
          <w:p w14:paraId="709DB69B" w14:textId="77777777" w:rsidR="009B16D6" w:rsidRDefault="009B16D6" w:rsidP="009B16D6">
            <w:pPr>
              <w:spacing w:before="120" w:after="120"/>
              <w:contextualSpacing/>
              <w:rPr>
                <w:rFonts w:cs="Arial"/>
                <w:bCs/>
                <w:sz w:val="22"/>
                <w:szCs w:val="22"/>
              </w:rPr>
            </w:pPr>
          </w:p>
          <w:p w14:paraId="78F2BB21" w14:textId="77777777" w:rsidR="009B16D6" w:rsidRDefault="009B16D6" w:rsidP="009B16D6">
            <w:pPr>
              <w:spacing w:before="120" w:after="120"/>
              <w:contextualSpacing/>
              <w:rPr>
                <w:rFonts w:cs="Arial"/>
                <w:bCs/>
                <w:sz w:val="22"/>
                <w:szCs w:val="22"/>
              </w:rPr>
            </w:pPr>
          </w:p>
          <w:p w14:paraId="4A1D6711" w14:textId="77777777" w:rsidR="009B16D6" w:rsidRDefault="009B16D6" w:rsidP="009B16D6">
            <w:pPr>
              <w:spacing w:before="120" w:after="120"/>
              <w:contextualSpacing/>
              <w:rPr>
                <w:rFonts w:cs="Arial"/>
                <w:bCs/>
                <w:sz w:val="22"/>
                <w:szCs w:val="22"/>
              </w:rPr>
            </w:pPr>
          </w:p>
          <w:p w14:paraId="759D12A2" w14:textId="77777777" w:rsidR="009B16D6" w:rsidRDefault="009B16D6" w:rsidP="009B16D6">
            <w:pPr>
              <w:spacing w:before="120" w:after="120"/>
              <w:contextualSpacing/>
              <w:rPr>
                <w:rFonts w:cs="Arial"/>
                <w:bCs/>
                <w:sz w:val="22"/>
                <w:szCs w:val="22"/>
              </w:rPr>
            </w:pPr>
          </w:p>
          <w:p w14:paraId="3CCF371D" w14:textId="77777777" w:rsidR="009B16D6" w:rsidRDefault="009B16D6" w:rsidP="009B16D6">
            <w:pPr>
              <w:spacing w:before="120" w:after="120"/>
              <w:contextualSpacing/>
              <w:rPr>
                <w:rFonts w:cs="Arial"/>
                <w:bCs/>
                <w:sz w:val="22"/>
                <w:szCs w:val="22"/>
              </w:rPr>
            </w:pPr>
          </w:p>
          <w:p w14:paraId="3DEBD1E3" w14:textId="77777777" w:rsidR="009B16D6" w:rsidRDefault="009B16D6" w:rsidP="009B16D6">
            <w:pPr>
              <w:spacing w:before="120" w:after="120"/>
              <w:contextualSpacing/>
              <w:rPr>
                <w:rFonts w:cs="Arial"/>
                <w:bCs/>
                <w:sz w:val="22"/>
                <w:szCs w:val="22"/>
              </w:rPr>
            </w:pPr>
          </w:p>
          <w:p w14:paraId="1789F55F" w14:textId="77777777" w:rsidR="009B16D6" w:rsidRDefault="009B16D6" w:rsidP="009B16D6">
            <w:pPr>
              <w:spacing w:before="120" w:after="120"/>
              <w:contextualSpacing/>
              <w:rPr>
                <w:rFonts w:cs="Arial"/>
                <w:bCs/>
                <w:sz w:val="22"/>
                <w:szCs w:val="22"/>
              </w:rPr>
            </w:pPr>
          </w:p>
          <w:p w14:paraId="157F5660" w14:textId="77777777" w:rsidR="009B16D6" w:rsidRDefault="009B16D6" w:rsidP="009B16D6">
            <w:pPr>
              <w:spacing w:before="120" w:after="120"/>
              <w:contextualSpacing/>
              <w:rPr>
                <w:rFonts w:cs="Arial"/>
                <w:bCs/>
                <w:sz w:val="22"/>
                <w:szCs w:val="22"/>
              </w:rPr>
            </w:pPr>
          </w:p>
          <w:p w14:paraId="08CFF9CD" w14:textId="77777777" w:rsidR="009B16D6" w:rsidRDefault="009B16D6" w:rsidP="009B16D6">
            <w:pPr>
              <w:spacing w:before="120" w:after="120"/>
              <w:contextualSpacing/>
              <w:rPr>
                <w:rFonts w:cs="Arial"/>
                <w:bCs/>
                <w:sz w:val="22"/>
                <w:szCs w:val="22"/>
              </w:rPr>
            </w:pPr>
          </w:p>
          <w:p w14:paraId="268BB7E3" w14:textId="77777777" w:rsidR="009B16D6" w:rsidRDefault="009B16D6" w:rsidP="009B16D6">
            <w:pPr>
              <w:spacing w:before="120" w:after="120"/>
              <w:contextualSpacing/>
              <w:rPr>
                <w:rFonts w:cs="Arial"/>
                <w:bCs/>
                <w:sz w:val="22"/>
                <w:szCs w:val="22"/>
              </w:rPr>
            </w:pPr>
          </w:p>
          <w:p w14:paraId="5E3ACC8C" w14:textId="77777777" w:rsidR="009B16D6" w:rsidRDefault="009B16D6" w:rsidP="009B16D6">
            <w:pPr>
              <w:spacing w:before="120" w:after="120"/>
              <w:contextualSpacing/>
              <w:rPr>
                <w:rFonts w:cs="Arial"/>
                <w:bCs/>
                <w:sz w:val="22"/>
                <w:szCs w:val="22"/>
              </w:rPr>
            </w:pPr>
          </w:p>
          <w:p w14:paraId="1756362E" w14:textId="77777777" w:rsidR="009B16D6" w:rsidRDefault="009B16D6" w:rsidP="009B16D6">
            <w:pPr>
              <w:spacing w:before="120" w:after="120"/>
              <w:contextualSpacing/>
              <w:rPr>
                <w:rFonts w:cs="Arial"/>
                <w:bCs/>
                <w:sz w:val="22"/>
                <w:szCs w:val="22"/>
              </w:rPr>
            </w:pPr>
          </w:p>
          <w:p w14:paraId="1FF9B6F4" w14:textId="77777777" w:rsidR="009B16D6" w:rsidRDefault="009B16D6" w:rsidP="009B16D6">
            <w:pPr>
              <w:spacing w:before="120" w:after="120"/>
              <w:contextualSpacing/>
              <w:rPr>
                <w:rFonts w:cs="Arial"/>
                <w:bCs/>
                <w:sz w:val="22"/>
                <w:szCs w:val="22"/>
              </w:rPr>
            </w:pPr>
          </w:p>
          <w:p w14:paraId="0C4EECA5" w14:textId="77777777" w:rsidR="009B16D6" w:rsidRDefault="009B16D6" w:rsidP="009B16D6">
            <w:pPr>
              <w:spacing w:before="120" w:after="120"/>
              <w:contextualSpacing/>
              <w:rPr>
                <w:rFonts w:cs="Arial"/>
                <w:bCs/>
                <w:sz w:val="22"/>
                <w:szCs w:val="22"/>
              </w:rPr>
            </w:pPr>
          </w:p>
          <w:p w14:paraId="066792F2" w14:textId="77777777" w:rsidR="009B16D6" w:rsidRDefault="009B16D6" w:rsidP="009B16D6">
            <w:pPr>
              <w:spacing w:before="120" w:after="120"/>
              <w:contextualSpacing/>
              <w:rPr>
                <w:rFonts w:cs="Arial"/>
                <w:bCs/>
                <w:sz w:val="22"/>
                <w:szCs w:val="22"/>
              </w:rPr>
            </w:pPr>
          </w:p>
          <w:p w14:paraId="2D40A447" w14:textId="77777777" w:rsidR="009B16D6" w:rsidRDefault="009B16D6" w:rsidP="009B16D6">
            <w:pPr>
              <w:spacing w:before="120" w:after="120"/>
              <w:contextualSpacing/>
              <w:rPr>
                <w:rFonts w:cs="Arial"/>
                <w:bCs/>
                <w:sz w:val="22"/>
                <w:szCs w:val="22"/>
              </w:rPr>
            </w:pPr>
          </w:p>
          <w:p w14:paraId="0D8D1A7C" w14:textId="4E7D0549" w:rsidR="009B16D6" w:rsidRDefault="009B16D6" w:rsidP="009B16D6">
            <w:pPr>
              <w:spacing w:before="120" w:after="120"/>
              <w:contextualSpacing/>
              <w:rPr>
                <w:rFonts w:cs="Arial"/>
                <w:bCs/>
                <w:sz w:val="22"/>
                <w:szCs w:val="22"/>
              </w:rPr>
            </w:pPr>
            <w:r>
              <w:rPr>
                <w:rFonts w:cs="Arial"/>
                <w:bCs/>
                <w:sz w:val="22"/>
                <w:szCs w:val="22"/>
              </w:rPr>
              <w:t>Continued over page</w:t>
            </w:r>
          </w:p>
          <w:p w14:paraId="793DC83B" w14:textId="77777777" w:rsidR="009B16D6" w:rsidRDefault="009B16D6" w:rsidP="009B16D6">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603CCCB1" w14:textId="3650A027" w:rsidR="009B16D6" w:rsidRPr="005E3778" w:rsidRDefault="009B16D6" w:rsidP="00DB017B">
            <w:pPr>
              <w:spacing w:before="120" w:after="120"/>
              <w:contextualSpacing/>
              <w:rPr>
                <w:rFonts w:cs="Arial"/>
                <w:bCs/>
                <w:sz w:val="22"/>
                <w:szCs w:val="22"/>
              </w:rPr>
            </w:pPr>
            <w:r>
              <w:rPr>
                <w:rFonts w:cs="Arial"/>
                <w:bCs/>
                <w:sz w:val="22"/>
                <w:szCs w:val="22"/>
              </w:rPr>
              <w:t>(continued)</w:t>
            </w:r>
          </w:p>
        </w:tc>
        <w:tc>
          <w:tcPr>
            <w:tcW w:w="7513" w:type="dxa"/>
            <w:shd w:val="clear" w:color="auto" w:fill="auto"/>
          </w:tcPr>
          <w:p w14:paraId="6E0F00F1" w14:textId="77777777" w:rsidR="00213C02" w:rsidRPr="00B07B08" w:rsidRDefault="00B227F7" w:rsidP="00A333B0">
            <w:pPr>
              <w:spacing w:before="120" w:after="120"/>
              <w:rPr>
                <w:rFonts w:eastAsia="Arial" w:cs="Arial"/>
                <w:sz w:val="22"/>
                <w:szCs w:val="22"/>
              </w:rPr>
            </w:pPr>
            <w:r w:rsidRPr="00B07B08">
              <w:rPr>
                <w:rFonts w:eastAsia="Arial" w:cs="Arial"/>
                <w:sz w:val="22"/>
                <w:szCs w:val="22"/>
              </w:rPr>
              <w:lastRenderedPageBreak/>
              <w:t xml:space="preserve">Ensure there is immediate access to </w:t>
            </w:r>
            <w:r w:rsidR="001D712F" w:rsidRPr="00B07B08">
              <w:rPr>
                <w:rFonts w:eastAsia="Arial" w:cs="Arial"/>
                <w:sz w:val="22"/>
                <w:szCs w:val="22"/>
              </w:rPr>
              <w:t xml:space="preserve">an anaphylaxis pack including </w:t>
            </w:r>
            <w:r w:rsidRPr="00B07B08">
              <w:rPr>
                <w:rFonts w:eastAsia="Arial" w:cs="Arial"/>
                <w:sz w:val="22"/>
                <w:szCs w:val="22"/>
              </w:rPr>
              <w:t xml:space="preserve">adrenaline (epinephrine) 1 in 1,000 injection and </w:t>
            </w:r>
            <w:r w:rsidR="00C40DC8" w:rsidRPr="00B07B08">
              <w:rPr>
                <w:rFonts w:eastAsia="Arial" w:cs="Arial"/>
                <w:sz w:val="22"/>
                <w:szCs w:val="22"/>
              </w:rPr>
              <w:t xml:space="preserve">easy </w:t>
            </w:r>
            <w:r w:rsidRPr="00B07B08">
              <w:rPr>
                <w:rFonts w:eastAsia="Arial" w:cs="Arial"/>
                <w:sz w:val="22"/>
                <w:szCs w:val="22"/>
              </w:rPr>
              <w:t>access to a telephone at the time of vaccination.</w:t>
            </w:r>
          </w:p>
          <w:p w14:paraId="3CD70B65" w14:textId="40C62852" w:rsidR="00A84395" w:rsidRPr="00B07B08" w:rsidRDefault="00B227F7" w:rsidP="00D9443E">
            <w:pPr>
              <w:spacing w:before="120" w:after="120"/>
              <w:rPr>
                <w:rFonts w:eastAsiaTheme="minorHAnsi" w:cs="Arial"/>
                <w:sz w:val="22"/>
                <w:szCs w:val="22"/>
                <w:lang w:eastAsia="en-US"/>
              </w:rPr>
            </w:pPr>
            <w:r w:rsidRPr="00B07B08">
              <w:rPr>
                <w:rFonts w:eastAsia="Arial" w:cs="Arial"/>
                <w:sz w:val="22"/>
                <w:szCs w:val="22"/>
              </w:rPr>
              <w:t>Minor</w:t>
            </w:r>
            <w:r w:rsidRPr="00B07B08">
              <w:rPr>
                <w:rFonts w:eastAsiaTheme="minorHAnsi" w:cs="Arial"/>
                <w:sz w:val="22"/>
                <w:szCs w:val="22"/>
                <w:lang w:eastAsia="en-US"/>
              </w:rPr>
              <w:t xml:space="preserve"> illnesses without fever or systemic upset are not valid reasons to postpone </w:t>
            </w:r>
            <w:r w:rsidR="00A8586C" w:rsidRPr="00B07B08">
              <w:rPr>
                <w:rFonts w:eastAsiaTheme="minorHAnsi" w:cs="Arial"/>
                <w:sz w:val="22"/>
                <w:szCs w:val="22"/>
                <w:lang w:eastAsia="en-US"/>
              </w:rPr>
              <w:t>vaccination</w:t>
            </w:r>
            <w:r w:rsidRPr="00B07B08">
              <w:rPr>
                <w:rFonts w:eastAsiaTheme="minorHAnsi" w:cs="Arial"/>
                <w:sz w:val="22"/>
                <w:szCs w:val="22"/>
                <w:lang w:eastAsia="en-US"/>
              </w:rPr>
              <w:t xml:space="preserve">. If an individual is acutely unwell, </w:t>
            </w:r>
            <w:r w:rsidR="00A8586C" w:rsidRPr="00B07B08">
              <w:rPr>
                <w:rFonts w:eastAsiaTheme="minorHAnsi" w:cs="Arial"/>
                <w:sz w:val="22"/>
                <w:szCs w:val="22"/>
                <w:lang w:eastAsia="en-US"/>
              </w:rPr>
              <w:t>vaccination</w:t>
            </w:r>
            <w:r w:rsidRPr="00B07B08">
              <w:rPr>
                <w:rFonts w:eastAsiaTheme="minorHAnsi" w:cs="Arial"/>
                <w:sz w:val="22"/>
                <w:szCs w:val="22"/>
                <w:lang w:eastAsia="en-US"/>
              </w:rPr>
              <w:t xml:space="preserve"> </w:t>
            </w:r>
            <w:r w:rsidR="000A1617" w:rsidRPr="00B07B08">
              <w:rPr>
                <w:rFonts w:eastAsiaTheme="minorHAnsi" w:cs="Arial"/>
                <w:sz w:val="22"/>
                <w:szCs w:val="22"/>
                <w:lang w:eastAsia="en-US"/>
              </w:rPr>
              <w:t xml:space="preserve">should </w:t>
            </w:r>
            <w:r w:rsidRPr="00B07B08">
              <w:rPr>
                <w:rFonts w:eastAsiaTheme="minorHAnsi" w:cs="Arial"/>
                <w:sz w:val="22"/>
                <w:szCs w:val="22"/>
                <w:lang w:eastAsia="en-US"/>
              </w:rPr>
              <w:t>be postponed until they have fully recovered.</w:t>
            </w:r>
            <w:r w:rsidR="004E2365" w:rsidRPr="00B07B08">
              <w:rPr>
                <w:rFonts w:eastAsiaTheme="minorHAnsi" w:cs="Arial"/>
                <w:sz w:val="22"/>
                <w:szCs w:val="22"/>
                <w:lang w:eastAsia="en-US"/>
              </w:rPr>
              <w:t xml:space="preserve"> This is to avoid confusing the differential diagnosis of an</w:t>
            </w:r>
            <w:r w:rsidR="00A76284" w:rsidRPr="00B07B08">
              <w:rPr>
                <w:rFonts w:eastAsiaTheme="minorHAnsi" w:cs="Arial"/>
                <w:sz w:val="22"/>
                <w:szCs w:val="22"/>
                <w:lang w:eastAsia="en-US"/>
              </w:rPr>
              <w:t>y acute illness (including COVID</w:t>
            </w:r>
            <w:r w:rsidR="004E2365" w:rsidRPr="00B07B08">
              <w:rPr>
                <w:rFonts w:eastAsiaTheme="minorHAnsi" w:cs="Arial"/>
                <w:sz w:val="22"/>
                <w:szCs w:val="22"/>
                <w:lang w:eastAsia="en-US"/>
              </w:rPr>
              <w:t>-19) by wrongly attributing any signs or symptoms to the adverse effects of the vaccine.</w:t>
            </w:r>
            <w:bookmarkStart w:id="40" w:name="AdditionInformationPregnancy"/>
            <w:bookmarkEnd w:id="40"/>
          </w:p>
          <w:p w14:paraId="291ABB32" w14:textId="03966CC2" w:rsidR="00970469" w:rsidRPr="00B07B08" w:rsidRDefault="00970469" w:rsidP="00D9443E">
            <w:pPr>
              <w:spacing w:before="120" w:after="120"/>
              <w:rPr>
                <w:rFonts w:eastAsiaTheme="minorHAnsi" w:cs="Arial"/>
                <w:b/>
                <w:sz w:val="22"/>
                <w:szCs w:val="22"/>
                <w:lang w:eastAsia="en-US"/>
              </w:rPr>
            </w:pPr>
            <w:r w:rsidRPr="00B07B08">
              <w:rPr>
                <w:rFonts w:eastAsiaTheme="minorHAnsi" w:cs="Arial"/>
                <w:b/>
                <w:sz w:val="22"/>
                <w:szCs w:val="22"/>
                <w:lang w:eastAsia="en-US"/>
              </w:rPr>
              <w:lastRenderedPageBreak/>
              <w:t>Pregnancy</w:t>
            </w:r>
          </w:p>
          <w:p w14:paraId="30C7EFB9" w14:textId="6A525FD9" w:rsidR="00970469" w:rsidRPr="00B07B08" w:rsidRDefault="00970469" w:rsidP="00970469">
            <w:pPr>
              <w:overflowPunct/>
              <w:spacing w:after="120"/>
              <w:textAlignment w:val="auto"/>
              <w:rPr>
                <w:rFonts w:eastAsiaTheme="minorHAnsi" w:cs="Arial"/>
                <w:sz w:val="22"/>
                <w:szCs w:val="22"/>
                <w:lang w:eastAsia="en-US"/>
              </w:rPr>
            </w:pPr>
            <w:r w:rsidRPr="00B07B08">
              <w:rPr>
                <w:rFonts w:cs="Arial"/>
                <w:sz w:val="22"/>
                <w:szCs w:val="22"/>
              </w:rPr>
              <w:t xml:space="preserve">Vaccination in pregnancy should be offered </w:t>
            </w:r>
            <w:r w:rsidRPr="00B07B08">
              <w:rPr>
                <w:rFonts w:eastAsiaTheme="minorHAnsi" w:cs="Arial"/>
                <w:sz w:val="22"/>
                <w:szCs w:val="22"/>
                <w:lang w:eastAsia="en-US"/>
              </w:rPr>
              <w:t xml:space="preserve">in accordance with recommendations in </w:t>
            </w:r>
            <w:hyperlink r:id="rId77" w:history="1">
              <w:r w:rsidRPr="00B07B08">
                <w:rPr>
                  <w:rStyle w:val="Hyperlink"/>
                  <w:rFonts w:cs="Arial"/>
                  <w:sz w:val="22"/>
                  <w:szCs w:val="22"/>
                </w:rPr>
                <w:t>Chapter 14a</w:t>
              </w:r>
            </w:hyperlink>
            <w:r w:rsidRPr="00B07B08">
              <w:rPr>
                <w:rStyle w:val="Hyperlink"/>
                <w:rFonts w:cs="Arial"/>
                <w:color w:val="auto"/>
                <w:sz w:val="22"/>
                <w:szCs w:val="22"/>
                <w:u w:val="none"/>
              </w:rPr>
              <w:t xml:space="preserve">, </w:t>
            </w:r>
            <w:r w:rsidRPr="00B07B08">
              <w:rPr>
                <w:rFonts w:eastAsiaTheme="minorHAnsi" w:cs="Arial"/>
                <w:sz w:val="22"/>
                <w:szCs w:val="22"/>
                <w:lang w:eastAsia="en-US"/>
              </w:rPr>
              <w:t>following a discussion of the risks and benefits of vaccination with the woman</w:t>
            </w:r>
            <w:r w:rsidRPr="00B07B08">
              <w:rPr>
                <w:rFonts w:cs="Arial"/>
                <w:sz w:val="22"/>
                <w:szCs w:val="22"/>
              </w:rPr>
              <w:t xml:space="preserve">. </w:t>
            </w:r>
            <w:r w:rsidRPr="00B07B08">
              <w:rPr>
                <w:rFonts w:eastAsiaTheme="minorHAnsi" w:cs="Arial"/>
                <w:sz w:val="22"/>
                <w:szCs w:val="22"/>
                <w:lang w:eastAsia="en-US"/>
              </w:rPr>
              <w:t>Although clinical trials on the use of COVID-19 vaccines during pregnancy are not advanced, the available data do not indicate any harm to pregnancy. JCVI has therefore advised that women who are pregnant should be offered vaccination at the same time as non-pregnant women, based on their age and clinical risk group. There is extensive post-marketing experience of the use of the Pfizer BioNTech</w:t>
            </w:r>
            <w:r w:rsidRPr="00B07B08">
              <w:rPr>
                <w:rFonts w:cs="Arial"/>
                <w:sz w:val="22"/>
                <w:szCs w:val="22"/>
              </w:rPr>
              <w:t xml:space="preserve"> and Moderna vaccines in the USA with no safety signals so far. </w:t>
            </w:r>
            <w:r w:rsidRPr="00B07B08">
              <w:rPr>
                <w:rFonts w:cs="Frutiger 45 Light"/>
                <w:color w:val="000000"/>
                <w:sz w:val="22"/>
                <w:szCs w:val="22"/>
              </w:rPr>
              <w:t xml:space="preserve">Over </w:t>
            </w:r>
            <w:r w:rsidR="00A36A13">
              <w:rPr>
                <w:rFonts w:cs="Frutiger 45 Light"/>
                <w:color w:val="000000"/>
                <w:sz w:val="22"/>
                <w:szCs w:val="22"/>
              </w:rPr>
              <w:t>8</w:t>
            </w:r>
            <w:r w:rsidRPr="00B07B08">
              <w:rPr>
                <w:rFonts w:cs="Frutiger 45 Light"/>
                <w:color w:val="000000"/>
                <w:sz w:val="22"/>
                <w:szCs w:val="22"/>
              </w:rPr>
              <w:t xml:space="preserve">0,000 women now </w:t>
            </w:r>
            <w:r w:rsidRPr="00B07B08">
              <w:rPr>
                <w:rFonts w:eastAsiaTheme="minorHAnsi" w:cs="Arial"/>
                <w:sz w:val="22"/>
                <w:szCs w:val="22"/>
                <w:lang w:eastAsia="en-US"/>
              </w:rPr>
              <w:t xml:space="preserve">report having been vaccinated whilst pregnant or when they might be pregnant in England. Because of wider experience with mRNA vaccines, these are currently the preferred vaccines to offer to pregnant women. </w:t>
            </w:r>
          </w:p>
          <w:p w14:paraId="6BF5D6A6" w14:textId="77777777" w:rsidR="003A3C65" w:rsidRPr="00B07B08" w:rsidRDefault="003A3C65" w:rsidP="005029D4">
            <w:pPr>
              <w:spacing w:before="120" w:after="120"/>
              <w:rPr>
                <w:rFonts w:eastAsiaTheme="minorHAnsi" w:cs="Arial"/>
                <w:bCs/>
                <w:sz w:val="22"/>
                <w:szCs w:val="22"/>
                <w:lang w:eastAsia="en-US"/>
              </w:rPr>
            </w:pPr>
            <w:r w:rsidRPr="00B07B08">
              <w:rPr>
                <w:rFonts w:eastAsiaTheme="minorHAnsi" w:cs="Arial"/>
                <w:bCs/>
                <w:sz w:val="22"/>
                <w:szCs w:val="22"/>
                <w:lang w:eastAsia="en-US"/>
              </w:rPr>
              <w:t xml:space="preserve">Routine questioning about last menstrual period and/or pregnancy testing is not required before offering the vaccine. Women who are planning pregnancy or in the immediate postpartum should be vaccinated with a suitable product for their age and clinical risk group. </w:t>
            </w:r>
          </w:p>
          <w:p w14:paraId="123CE5CA" w14:textId="77777777" w:rsidR="003A3C65" w:rsidRPr="00B07B08" w:rsidRDefault="003A3C65" w:rsidP="005029D4">
            <w:pPr>
              <w:spacing w:before="120" w:after="120"/>
              <w:rPr>
                <w:rFonts w:eastAsiaTheme="minorHAnsi" w:cs="Arial"/>
                <w:bCs/>
                <w:sz w:val="22"/>
                <w:szCs w:val="22"/>
                <w:lang w:eastAsia="en-US"/>
              </w:rPr>
            </w:pPr>
            <w:r w:rsidRPr="00B07B08">
              <w:rPr>
                <w:rFonts w:eastAsiaTheme="minorHAnsi" w:cs="Arial"/>
                <w:bCs/>
                <w:sz w:val="22"/>
                <w:szCs w:val="22"/>
                <w:lang w:eastAsia="en-US"/>
              </w:rPr>
              <w:t>If a woman finds out she is pregnant after she has started a course of vaccine, she should complete vaccination during pregnancy using the same vaccine product (unless contra-indicated).</w:t>
            </w:r>
          </w:p>
          <w:p w14:paraId="783D17CD" w14:textId="01FAEC03" w:rsidR="00D9443E" w:rsidRPr="00B07B08" w:rsidRDefault="00D9443E" w:rsidP="003A3C65">
            <w:pPr>
              <w:spacing w:before="120" w:after="120"/>
              <w:rPr>
                <w:rFonts w:eastAsiaTheme="minorHAnsi" w:cs="Arial"/>
                <w:b/>
                <w:sz w:val="22"/>
                <w:szCs w:val="22"/>
                <w:lang w:eastAsia="en-US"/>
              </w:rPr>
            </w:pPr>
            <w:r w:rsidRPr="00B07B08">
              <w:rPr>
                <w:rFonts w:eastAsiaTheme="minorHAnsi" w:cs="Arial"/>
                <w:b/>
                <w:sz w:val="22"/>
                <w:szCs w:val="22"/>
                <w:lang w:eastAsia="en-US"/>
              </w:rPr>
              <w:t>Breastfeeding</w:t>
            </w:r>
          </w:p>
          <w:p w14:paraId="4E90513F" w14:textId="77777777" w:rsidR="00BB58F4" w:rsidRPr="00B07B08" w:rsidRDefault="00BB58F4" w:rsidP="00BB58F4">
            <w:pPr>
              <w:spacing w:before="120" w:after="120"/>
              <w:rPr>
                <w:rFonts w:eastAsiaTheme="minorHAnsi" w:cs="Arial"/>
                <w:sz w:val="22"/>
                <w:szCs w:val="22"/>
                <w:lang w:eastAsia="en-US"/>
              </w:rPr>
            </w:pPr>
            <w:r w:rsidRPr="00B07B08">
              <w:rPr>
                <w:rFonts w:eastAsiaTheme="minorHAnsi" w:cs="Arial"/>
                <w:sz w:val="22"/>
                <w:szCs w:val="22"/>
                <w:lang w:eastAsia="en-US"/>
              </w:rPr>
              <w:t>There is no known risk associated with being given a non-live vaccine whilst breastfeeding. JCVI advises that breastfeeding women may be offered any suitable COVID-19 vaccine. Emerging safety data is reassuring: mRNA was not detected in the breast milk of recently vaccinated women and protective antibodies have been detected in breast milk.</w:t>
            </w:r>
          </w:p>
          <w:p w14:paraId="1189C4C4" w14:textId="6DC2D037" w:rsidR="00BB58F4" w:rsidRPr="00B07B08" w:rsidRDefault="00BB58F4" w:rsidP="00BB58F4">
            <w:pPr>
              <w:spacing w:before="120" w:after="120"/>
              <w:rPr>
                <w:rFonts w:eastAsiaTheme="minorHAnsi" w:cs="Arial"/>
                <w:b/>
                <w:sz w:val="22"/>
                <w:szCs w:val="22"/>
                <w:lang w:eastAsia="en-US"/>
              </w:rPr>
            </w:pPr>
            <w:r w:rsidRPr="00B07B08">
              <w:rPr>
                <w:rFonts w:eastAsiaTheme="minorHAnsi" w:cs="Arial"/>
                <w:sz w:val="22"/>
                <w:szCs w:val="22"/>
                <w:lang w:eastAsia="en-US"/>
              </w:rPr>
              <w:t>The developmental and health benefits of breastfeeding are clear and should be discussed with the woman, along with her clinical need for immunisation against COVID-19.</w:t>
            </w:r>
            <w:bookmarkStart w:id="41" w:name="PreviousIncompleteCovidVaccineCourse"/>
            <w:bookmarkEnd w:id="41"/>
          </w:p>
          <w:p w14:paraId="4EBE72C5" w14:textId="7DDBFD59" w:rsidR="00A745F0" w:rsidRPr="00B07B08" w:rsidRDefault="00CA6119" w:rsidP="00207E98">
            <w:pPr>
              <w:spacing w:before="120" w:after="120"/>
              <w:rPr>
                <w:rFonts w:eastAsiaTheme="minorHAnsi" w:cs="Arial"/>
                <w:b/>
                <w:sz w:val="22"/>
                <w:szCs w:val="22"/>
                <w:lang w:eastAsia="en-US"/>
              </w:rPr>
            </w:pPr>
            <w:bookmarkStart w:id="42" w:name="AdditionalInformationIncompleteVacc"/>
            <w:bookmarkEnd w:id="42"/>
            <w:r w:rsidRPr="00B07B08">
              <w:rPr>
                <w:rFonts w:eastAsiaTheme="minorHAnsi" w:cs="Arial"/>
                <w:b/>
                <w:sz w:val="22"/>
                <w:szCs w:val="22"/>
                <w:lang w:eastAsia="en-US"/>
              </w:rPr>
              <w:t>Previous incomplete vaccination</w:t>
            </w:r>
          </w:p>
          <w:p w14:paraId="7DC60C7A" w14:textId="175C4E51" w:rsidR="00B227F7" w:rsidRPr="00B07B08" w:rsidRDefault="00A27668" w:rsidP="002030B2">
            <w:pPr>
              <w:spacing w:before="120" w:after="120"/>
              <w:rPr>
                <w:rFonts w:eastAsiaTheme="minorHAnsi" w:cs="Arial"/>
                <w:sz w:val="22"/>
                <w:szCs w:val="22"/>
                <w:lang w:eastAsia="en-US"/>
              </w:rPr>
            </w:pPr>
            <w:r w:rsidRPr="00B07B08">
              <w:rPr>
                <w:rFonts w:eastAsiaTheme="minorHAnsi" w:cs="Arial"/>
                <w:sz w:val="22"/>
                <w:szCs w:val="22"/>
                <w:lang w:eastAsia="en-US"/>
              </w:rPr>
              <w:t>If the course</w:t>
            </w:r>
            <w:r w:rsidR="002030B2" w:rsidRPr="00B07B08">
              <w:rPr>
                <w:rFonts w:eastAsiaTheme="minorHAnsi" w:cs="Arial"/>
                <w:sz w:val="22"/>
                <w:szCs w:val="22"/>
                <w:lang w:eastAsia="en-US"/>
              </w:rPr>
              <w:t xml:space="preserve"> is </w:t>
            </w:r>
            <w:r w:rsidRPr="00B07B08">
              <w:rPr>
                <w:rFonts w:eastAsiaTheme="minorHAnsi" w:cs="Arial"/>
                <w:sz w:val="22"/>
                <w:szCs w:val="22"/>
                <w:lang w:eastAsia="en-US"/>
              </w:rPr>
              <w:t xml:space="preserve">interrupted or delayed, it should be resumed using the same vaccine but </w:t>
            </w:r>
            <w:r w:rsidR="00B56DB5" w:rsidRPr="00B07B08">
              <w:rPr>
                <w:rFonts w:eastAsiaTheme="minorHAnsi" w:cs="Arial"/>
                <w:sz w:val="22"/>
                <w:szCs w:val="22"/>
                <w:lang w:eastAsia="en-US"/>
              </w:rPr>
              <w:t xml:space="preserve">the earlier doses </w:t>
            </w:r>
            <w:r w:rsidRPr="00B07B08">
              <w:rPr>
                <w:rFonts w:eastAsiaTheme="minorHAnsi" w:cs="Arial"/>
                <w:sz w:val="22"/>
                <w:szCs w:val="22"/>
                <w:lang w:eastAsia="en-US"/>
              </w:rPr>
              <w:t>should not be repeated. Evidence suggest</w:t>
            </w:r>
            <w:r w:rsidR="009D5CD5" w:rsidRPr="00B07B08">
              <w:rPr>
                <w:rFonts w:eastAsiaTheme="minorHAnsi" w:cs="Arial"/>
                <w:sz w:val="22"/>
                <w:szCs w:val="22"/>
                <w:lang w:eastAsia="en-US"/>
              </w:rPr>
              <w:t>s that</w:t>
            </w:r>
            <w:r w:rsidRPr="00B07B08">
              <w:rPr>
                <w:rFonts w:eastAsiaTheme="minorHAnsi" w:cs="Arial"/>
                <w:sz w:val="22"/>
                <w:szCs w:val="22"/>
                <w:lang w:eastAsia="en-US"/>
              </w:rPr>
              <w:t xml:space="preserve"> those who receive mixed schedules, including mRNA and adenovirus vectored </w:t>
            </w:r>
            <w:r w:rsidR="002030B2" w:rsidRPr="00B07B08">
              <w:rPr>
                <w:rFonts w:eastAsiaTheme="minorHAnsi" w:cs="Arial"/>
                <w:sz w:val="22"/>
                <w:szCs w:val="22"/>
                <w:lang w:eastAsia="en-US"/>
              </w:rPr>
              <w:t xml:space="preserve">vaccines </w:t>
            </w:r>
            <w:r w:rsidRPr="00B07B08">
              <w:rPr>
                <w:rFonts w:eastAsiaTheme="minorHAnsi" w:cs="Arial"/>
                <w:sz w:val="22"/>
                <w:szCs w:val="22"/>
                <w:lang w:eastAsia="en-US"/>
              </w:rPr>
              <w:t xml:space="preserve">make a good immune response, </w:t>
            </w:r>
            <w:r w:rsidR="002030B2" w:rsidRPr="00B07B08">
              <w:rPr>
                <w:rFonts w:eastAsiaTheme="minorHAnsi" w:cs="Arial"/>
                <w:sz w:val="22"/>
                <w:szCs w:val="22"/>
                <w:lang w:eastAsia="en-US"/>
              </w:rPr>
              <w:t xml:space="preserve">although </w:t>
            </w:r>
            <w:r w:rsidRPr="00B07B08">
              <w:rPr>
                <w:rFonts w:eastAsiaTheme="minorHAnsi" w:cs="Arial"/>
                <w:sz w:val="22"/>
                <w:szCs w:val="22"/>
                <w:lang w:eastAsia="en-US"/>
              </w:rPr>
              <w:t xml:space="preserve">rates of side effects at the second dose </w:t>
            </w:r>
            <w:r w:rsidR="002030B2" w:rsidRPr="00B07B08">
              <w:rPr>
                <w:rFonts w:eastAsiaTheme="minorHAnsi" w:cs="Arial"/>
                <w:sz w:val="22"/>
                <w:szCs w:val="22"/>
                <w:lang w:eastAsia="en-US"/>
              </w:rPr>
              <w:t xml:space="preserve">are </w:t>
            </w:r>
            <w:r w:rsidRPr="00B07B08">
              <w:rPr>
                <w:rFonts w:eastAsiaTheme="minorHAnsi" w:cs="Arial"/>
                <w:sz w:val="22"/>
                <w:szCs w:val="22"/>
                <w:lang w:eastAsia="en-US"/>
              </w:rPr>
              <w:t>higher</w:t>
            </w:r>
            <w:r w:rsidR="002030B2" w:rsidRPr="00B07B08">
              <w:rPr>
                <w:rFonts w:eastAsiaTheme="minorHAnsi" w:cs="Arial"/>
                <w:sz w:val="22"/>
                <w:szCs w:val="22"/>
                <w:lang w:eastAsia="en-US"/>
              </w:rPr>
              <w:t xml:space="preserve">. Therefore, every effort should be made to determine which vaccine the individual received and to complete </w:t>
            </w:r>
            <w:r w:rsidR="00B53F21" w:rsidRPr="00B07B08">
              <w:rPr>
                <w:rFonts w:eastAsiaTheme="minorHAnsi" w:cs="Arial"/>
                <w:sz w:val="22"/>
                <w:szCs w:val="22"/>
                <w:lang w:eastAsia="en-US"/>
              </w:rPr>
              <w:t xml:space="preserve">the course </w:t>
            </w:r>
            <w:r w:rsidR="002030B2" w:rsidRPr="00B07B08">
              <w:rPr>
                <w:rFonts w:eastAsiaTheme="minorHAnsi" w:cs="Arial"/>
                <w:sz w:val="22"/>
                <w:szCs w:val="22"/>
                <w:lang w:eastAsia="en-US"/>
              </w:rPr>
              <w:t>with the same vaccine. For individuals who started the schedule and who attend for vaccination at a site where the same vaccine is not available</w:t>
            </w:r>
            <w:r w:rsidR="00D706B8" w:rsidRPr="00B07B08">
              <w:rPr>
                <w:rFonts w:eastAsiaTheme="minorHAnsi" w:cs="Arial"/>
                <w:sz w:val="22"/>
                <w:szCs w:val="22"/>
                <w:lang w:eastAsia="en-US"/>
              </w:rPr>
              <w:t xml:space="preserve"> or considered suitable</w:t>
            </w:r>
            <w:r w:rsidR="002030B2" w:rsidRPr="00B07B08">
              <w:rPr>
                <w:rFonts w:eastAsiaTheme="minorHAnsi" w:cs="Arial"/>
                <w:sz w:val="22"/>
                <w:szCs w:val="22"/>
                <w:lang w:eastAsia="en-US"/>
              </w:rPr>
              <w:t xml:space="preserve">, or if the first product received is unknown, it is reasonable to offer </w:t>
            </w:r>
            <w:r w:rsidR="00CD3CD0" w:rsidRPr="00B07B08">
              <w:rPr>
                <w:rFonts w:eastAsiaTheme="minorHAnsi" w:cs="Arial"/>
                <w:sz w:val="22"/>
                <w:szCs w:val="22"/>
                <w:lang w:eastAsia="en-US"/>
              </w:rPr>
              <w:t>one</w:t>
            </w:r>
            <w:r w:rsidR="002030B2" w:rsidRPr="00B07B08">
              <w:rPr>
                <w:rFonts w:eastAsiaTheme="minorHAnsi" w:cs="Arial"/>
                <w:sz w:val="22"/>
                <w:szCs w:val="22"/>
                <w:lang w:eastAsia="en-US"/>
              </w:rPr>
              <w:t xml:space="preserve"> dose of the locally available product</w:t>
            </w:r>
            <w:r w:rsidR="00CD3CD0" w:rsidRPr="00B07B08">
              <w:rPr>
                <w:rFonts w:eastAsiaTheme="minorHAnsi" w:cs="Arial"/>
                <w:sz w:val="22"/>
                <w:szCs w:val="22"/>
                <w:lang w:eastAsia="en-US"/>
              </w:rPr>
              <w:t xml:space="preserve"> to complete the </w:t>
            </w:r>
            <w:r w:rsidR="00D706B8" w:rsidRPr="00B07B08">
              <w:rPr>
                <w:rFonts w:eastAsiaTheme="minorHAnsi" w:cs="Arial"/>
                <w:sz w:val="22"/>
                <w:szCs w:val="22"/>
                <w:lang w:eastAsia="en-US"/>
              </w:rPr>
              <w:t xml:space="preserve">primary </w:t>
            </w:r>
            <w:r w:rsidR="00CD3CD0" w:rsidRPr="00B07B08">
              <w:rPr>
                <w:rFonts w:eastAsiaTheme="minorHAnsi" w:cs="Arial"/>
                <w:sz w:val="22"/>
                <w:szCs w:val="22"/>
                <w:lang w:eastAsia="en-US"/>
              </w:rPr>
              <w:t>schedule</w:t>
            </w:r>
            <w:r w:rsidR="002030B2" w:rsidRPr="00B07B08">
              <w:rPr>
                <w:rFonts w:eastAsiaTheme="minorHAnsi" w:cs="Arial"/>
                <w:sz w:val="22"/>
                <w:szCs w:val="22"/>
                <w:lang w:eastAsia="en-US"/>
              </w:rPr>
              <w:t>. This option is preferred if the individual is likely to be at immediate high risk or is considered unlikely to attend again. In these circumstances,</w:t>
            </w:r>
            <w:r w:rsidR="00BA68F9" w:rsidRPr="00B07B08">
              <w:rPr>
                <w:rFonts w:eastAsiaTheme="minorHAnsi" w:cs="Arial"/>
                <w:sz w:val="22"/>
                <w:szCs w:val="22"/>
                <w:lang w:eastAsia="en-US"/>
              </w:rPr>
              <w:t xml:space="preserve"> this PGD may be used</w:t>
            </w:r>
            <w:r w:rsidRPr="00B07B08">
              <w:rPr>
                <w:rFonts w:eastAsiaTheme="minorHAnsi" w:cs="Arial"/>
                <w:sz w:val="22"/>
                <w:szCs w:val="22"/>
                <w:lang w:eastAsia="en-US"/>
              </w:rPr>
              <w:t>.</w:t>
            </w:r>
          </w:p>
          <w:p w14:paraId="06FD5DE6" w14:textId="092B1D4E" w:rsidR="002577BC" w:rsidRPr="00B07B08" w:rsidRDefault="002577BC" w:rsidP="002030B2">
            <w:pPr>
              <w:spacing w:before="120" w:after="120"/>
              <w:rPr>
                <w:rFonts w:eastAsiaTheme="minorHAnsi" w:cs="Arial"/>
                <w:sz w:val="22"/>
                <w:szCs w:val="22"/>
                <w:lang w:eastAsia="en-US"/>
              </w:rPr>
            </w:pPr>
            <w:r w:rsidRPr="00B07B08">
              <w:rPr>
                <w:rFonts w:eastAsiaTheme="minorHAnsi" w:cs="Arial"/>
                <w:sz w:val="22"/>
                <w:szCs w:val="22"/>
                <w:lang w:eastAsia="en-US"/>
              </w:rPr>
              <w:t>Individuals who experience severe expected reactions after a first dose of AstraZeneca or Pfizer COVID-19 vaccines appear to have a higher rate of such reactions when they receive a second dose of the alternate vaccine. Therefore, individuals who have received a first dose of the AstraZeneca vaccine should complete the primary course with the same vaccine, with the exception of those who</w:t>
            </w:r>
            <w:r w:rsidR="00411FEA" w:rsidRPr="00B07B08">
              <w:rPr>
                <w:rFonts w:eastAsiaTheme="minorHAnsi" w:cs="Arial"/>
                <w:sz w:val="22"/>
                <w:szCs w:val="22"/>
                <w:lang w:eastAsia="en-US"/>
              </w:rPr>
              <w:t xml:space="preserve"> </w:t>
            </w:r>
            <w:r w:rsidR="00411FEA" w:rsidRPr="005029D4">
              <w:rPr>
                <w:rFonts w:cs="Frutiger 45 Light"/>
                <w:color w:val="000000"/>
                <w:sz w:val="22"/>
                <w:szCs w:val="22"/>
              </w:rPr>
              <w:t xml:space="preserve">experienced </w:t>
            </w:r>
            <w:r w:rsidR="00411FEA" w:rsidRPr="005029D4">
              <w:rPr>
                <w:color w:val="000000"/>
                <w:sz w:val="22"/>
                <w:szCs w:val="22"/>
              </w:rPr>
              <w:t xml:space="preserve">an episode of </w:t>
            </w:r>
            <w:r w:rsidR="00411FEA" w:rsidRPr="005029D4">
              <w:rPr>
                <w:rFonts w:cs="Frutiger 45 Light"/>
                <w:color w:val="000000"/>
                <w:sz w:val="22"/>
                <w:szCs w:val="22"/>
              </w:rPr>
              <w:t xml:space="preserve">anaphylaxis, </w:t>
            </w:r>
            <w:r w:rsidR="00411FEA" w:rsidRPr="005029D4">
              <w:rPr>
                <w:color w:val="000000"/>
                <w:sz w:val="22"/>
                <w:szCs w:val="22"/>
              </w:rPr>
              <w:t xml:space="preserve">thrombosis </w:t>
            </w:r>
            <w:r w:rsidR="00411FEA" w:rsidRPr="005029D4">
              <w:rPr>
                <w:rFonts w:cs="Frutiger 45 Light"/>
                <w:color w:val="000000"/>
                <w:sz w:val="22"/>
                <w:szCs w:val="22"/>
              </w:rPr>
              <w:t>and</w:t>
            </w:r>
            <w:r w:rsidR="00411FEA" w:rsidRPr="005029D4">
              <w:rPr>
                <w:color w:val="000000"/>
                <w:sz w:val="22"/>
                <w:szCs w:val="22"/>
              </w:rPr>
              <w:t xml:space="preserve"> thrombocytopaenia</w:t>
            </w:r>
            <w:r w:rsidR="00411FEA" w:rsidRPr="005029D4">
              <w:rPr>
                <w:rFonts w:cs="Frutiger 45 Light"/>
                <w:color w:val="000000"/>
                <w:sz w:val="22"/>
                <w:szCs w:val="22"/>
              </w:rPr>
              <w:t xml:space="preserve"> syndrome or GBS.</w:t>
            </w:r>
          </w:p>
          <w:p w14:paraId="7C6D0140" w14:textId="3C951261" w:rsidR="00E152D4" w:rsidRPr="00B07B08" w:rsidRDefault="00751F73" w:rsidP="002030B2">
            <w:pPr>
              <w:spacing w:before="120" w:after="120"/>
              <w:rPr>
                <w:rFonts w:eastAsiaTheme="minorHAnsi" w:cs="Arial"/>
                <w:sz w:val="22"/>
                <w:szCs w:val="22"/>
                <w:lang w:eastAsia="en-US"/>
              </w:rPr>
            </w:pPr>
            <w:r w:rsidRPr="00B07B08">
              <w:rPr>
                <w:rFonts w:eastAsiaTheme="minorHAnsi" w:cs="Arial"/>
                <w:sz w:val="22"/>
                <w:szCs w:val="22"/>
                <w:lang w:eastAsia="en-US"/>
              </w:rPr>
              <w:t xml:space="preserve">For individuals with a history of thrombosis </w:t>
            </w:r>
            <w:r w:rsidR="002577BC" w:rsidRPr="00B07B08">
              <w:rPr>
                <w:rFonts w:eastAsiaTheme="minorHAnsi" w:cs="Arial"/>
                <w:sz w:val="22"/>
                <w:szCs w:val="22"/>
                <w:lang w:eastAsia="en-US"/>
              </w:rPr>
              <w:t xml:space="preserve">combined with </w:t>
            </w:r>
            <w:r w:rsidRPr="00B07B08">
              <w:rPr>
                <w:rFonts w:eastAsiaTheme="minorHAnsi" w:cs="Arial"/>
                <w:sz w:val="22"/>
                <w:szCs w:val="22"/>
                <w:lang w:eastAsia="en-US"/>
              </w:rPr>
              <w:t>thrombocytop</w:t>
            </w:r>
            <w:r w:rsidR="00411FEA" w:rsidRPr="00B07B08">
              <w:rPr>
                <w:rFonts w:eastAsiaTheme="minorHAnsi" w:cs="Arial"/>
                <w:sz w:val="22"/>
                <w:szCs w:val="22"/>
                <w:lang w:eastAsia="en-US"/>
              </w:rPr>
              <w:t>a</w:t>
            </w:r>
            <w:r w:rsidRPr="00B07B08">
              <w:rPr>
                <w:rFonts w:eastAsiaTheme="minorHAnsi" w:cs="Arial"/>
                <w:sz w:val="22"/>
                <w:szCs w:val="22"/>
                <w:lang w:eastAsia="en-US"/>
              </w:rPr>
              <w:t xml:space="preserve">enia following vaccination with the AstraZeneca COVID-19 </w:t>
            </w:r>
            <w:r w:rsidRPr="00B07B08">
              <w:rPr>
                <w:rFonts w:eastAsiaTheme="minorHAnsi" w:cs="Arial"/>
                <w:sz w:val="22"/>
                <w:szCs w:val="22"/>
                <w:lang w:eastAsia="en-US"/>
              </w:rPr>
              <w:lastRenderedPageBreak/>
              <w:t xml:space="preserve">vaccine, current evidence would support completion of the course with an mRNA vaccine, </w:t>
            </w:r>
            <w:r w:rsidR="00E152D4" w:rsidRPr="00B07B08">
              <w:rPr>
                <w:rFonts w:eastAsiaTheme="minorHAnsi" w:cs="Arial"/>
                <w:sz w:val="22"/>
                <w:szCs w:val="22"/>
                <w:lang w:eastAsia="en-US"/>
              </w:rPr>
              <w:t xml:space="preserve">provided a period of at least 12 weeks has elapsed </w:t>
            </w:r>
            <w:r w:rsidRPr="00B07B08">
              <w:rPr>
                <w:rFonts w:eastAsiaTheme="minorHAnsi" w:cs="Arial"/>
                <w:sz w:val="22"/>
                <w:szCs w:val="22"/>
                <w:lang w:eastAsia="en-US"/>
              </w:rPr>
              <w:t>since the</w:t>
            </w:r>
            <w:r w:rsidR="00E152D4" w:rsidRPr="00B07B08">
              <w:rPr>
                <w:rFonts w:eastAsiaTheme="minorHAnsi" w:cs="Arial"/>
                <w:sz w:val="22"/>
                <w:szCs w:val="22"/>
                <w:lang w:eastAsia="en-US"/>
              </w:rPr>
              <w:t xml:space="preserve"> dose</w:t>
            </w:r>
            <w:r w:rsidRPr="00B07B08">
              <w:rPr>
                <w:rFonts w:eastAsiaTheme="minorHAnsi" w:cs="Arial"/>
                <w:sz w:val="22"/>
                <w:szCs w:val="22"/>
                <w:lang w:eastAsia="en-US"/>
              </w:rPr>
              <w:t xml:space="preserve"> of AstraZeneca vaccine</w:t>
            </w:r>
            <w:r w:rsidR="00E152D4" w:rsidRPr="00B07B08">
              <w:rPr>
                <w:rFonts w:eastAsiaTheme="minorHAnsi" w:cs="Arial"/>
                <w:sz w:val="22"/>
                <w:szCs w:val="22"/>
                <w:lang w:eastAsia="en-US"/>
              </w:rPr>
              <w:t xml:space="preserve">. </w:t>
            </w:r>
          </w:p>
          <w:p w14:paraId="1EF4F372" w14:textId="0D6F8644" w:rsidR="00751F73" w:rsidRPr="00B07B08" w:rsidRDefault="00411FEA" w:rsidP="00411FEA">
            <w:pPr>
              <w:spacing w:before="120" w:after="120"/>
              <w:rPr>
                <w:rFonts w:eastAsiaTheme="minorHAnsi" w:cs="Arial"/>
                <w:sz w:val="22"/>
                <w:szCs w:val="22"/>
                <w:lang w:eastAsia="en-US"/>
              </w:rPr>
            </w:pPr>
            <w:r w:rsidRPr="00DB5DA1">
              <w:rPr>
                <w:rFonts w:eastAsiaTheme="minorHAnsi"/>
                <w:sz w:val="22"/>
                <w:szCs w:val="22"/>
              </w:rPr>
              <w:t>Individuals</w:t>
            </w:r>
            <w:r w:rsidRPr="005029D4">
              <w:rPr>
                <w:rFonts w:eastAsiaTheme="minorHAnsi"/>
                <w:sz w:val="22"/>
                <w:szCs w:val="22"/>
              </w:rPr>
              <w:t xml:space="preserve"> with a history of </w:t>
            </w:r>
            <w:r w:rsidRPr="00B07B08">
              <w:rPr>
                <w:rFonts w:eastAsiaTheme="minorHAnsi" w:cs="Arial"/>
                <w:sz w:val="22"/>
                <w:szCs w:val="22"/>
                <w:lang w:eastAsia="en-US"/>
              </w:rPr>
              <w:t xml:space="preserve">capillary leak syndrome should be carefully counselled about the risks and benefits of vaccination.  </w:t>
            </w:r>
            <w:r w:rsidRPr="00DB5DA1">
              <w:rPr>
                <w:rFonts w:eastAsiaTheme="minorHAnsi"/>
                <w:sz w:val="22"/>
                <w:szCs w:val="22"/>
              </w:rPr>
              <w:t>An alternative vaccine to</w:t>
            </w:r>
            <w:r w:rsidRPr="005029D4">
              <w:rPr>
                <w:rFonts w:eastAsiaTheme="minorHAnsi"/>
                <w:sz w:val="22"/>
                <w:szCs w:val="22"/>
              </w:rPr>
              <w:t xml:space="preserve"> the AstraZeneca COVID-19 vaccine</w:t>
            </w:r>
            <w:r w:rsidRPr="00B07B08">
              <w:rPr>
                <w:rFonts w:eastAsiaTheme="minorHAnsi" w:cs="Arial"/>
                <w:sz w:val="22"/>
                <w:szCs w:val="22"/>
                <w:lang w:eastAsia="en-US"/>
              </w:rPr>
              <w:t>, such as COVID-19 mRNA vaccine BNT162b2, may be offered to complete a vaccination course.</w:t>
            </w:r>
          </w:p>
          <w:p w14:paraId="0FDF332A" w14:textId="7318602E" w:rsidR="003A3C65" w:rsidRPr="005029D4" w:rsidRDefault="003A3C65" w:rsidP="005029D4">
            <w:pPr>
              <w:spacing w:before="120" w:after="120"/>
              <w:rPr>
                <w:rFonts w:eastAsiaTheme="minorHAnsi"/>
                <w:sz w:val="22"/>
                <w:szCs w:val="22"/>
              </w:rPr>
            </w:pPr>
            <w:r w:rsidRPr="00DB5DA1">
              <w:rPr>
                <w:rFonts w:eastAsiaTheme="minorHAnsi"/>
                <w:sz w:val="22"/>
                <w:szCs w:val="22"/>
              </w:rPr>
              <w:t xml:space="preserve">Individuals who are participating in a clinical trial of COVID-19 vaccines who present for vaccination should </w:t>
            </w:r>
            <w:r w:rsidRPr="005029D4">
              <w:rPr>
                <w:rFonts w:eastAsiaTheme="minorHAnsi"/>
                <w:sz w:val="22"/>
                <w:szCs w:val="22"/>
              </w:rPr>
              <w:t>be referred back to the investigators. Eligible persons who are enrolled in vaccine trials should then be provided with written advice on whether and when they should be safely vaccinated in the routine programme.</w:t>
            </w:r>
            <w:r w:rsidRPr="005029D4">
              <w:rPr>
                <w:rFonts w:eastAsiaTheme="minorHAnsi" w:cs="Arial"/>
                <w:sz w:val="22"/>
                <w:szCs w:val="22"/>
                <w:lang w:eastAsia="en-US"/>
              </w:rPr>
              <w:t xml:space="preserve"> Advice should also be provided from the trial investigators on whether any individual </w:t>
            </w:r>
            <w:r w:rsidR="00A36A13">
              <w:rPr>
                <w:rFonts w:eastAsiaTheme="minorHAnsi" w:cs="Arial"/>
                <w:sz w:val="22"/>
                <w:szCs w:val="22"/>
                <w:lang w:eastAsia="en-US"/>
              </w:rPr>
              <w:t>c</w:t>
            </w:r>
            <w:r w:rsidRPr="005029D4">
              <w:rPr>
                <w:rFonts w:eastAsiaTheme="minorHAnsi" w:cs="Arial"/>
                <w:sz w:val="22"/>
                <w:szCs w:val="22"/>
                <w:lang w:eastAsia="en-US"/>
              </w:rPr>
              <w:t>ould receive additional doses for the purposes of vaccine certification. Trial participants who are eligible for boosters should be offered vaccination in line with the general population, six months after the dose considered as the final primary dose or the final revaccination (if the latter is required for certification purposes).</w:t>
            </w:r>
          </w:p>
          <w:p w14:paraId="219DF713" w14:textId="27821D65" w:rsidR="00411FEA" w:rsidRPr="00B07B08" w:rsidRDefault="00A27668" w:rsidP="00411FEA">
            <w:pPr>
              <w:spacing w:before="120" w:after="120"/>
              <w:contextualSpacing/>
              <w:rPr>
                <w:rStyle w:val="Hyperlink"/>
                <w:rFonts w:ascii="Times New Roman" w:eastAsiaTheme="minorHAnsi" w:hAnsi="Times New Roman" w:cs="Arial"/>
                <w:sz w:val="22"/>
                <w:szCs w:val="22"/>
                <w:lang w:eastAsia="en-US"/>
              </w:rPr>
            </w:pPr>
            <w:r w:rsidRPr="005029D4">
              <w:rPr>
                <w:rFonts w:eastAsiaTheme="minorHAnsi" w:cs="Arial"/>
                <w:sz w:val="22"/>
                <w:szCs w:val="22"/>
                <w:lang w:eastAsia="en-US"/>
              </w:rPr>
              <w:t>Individuals who have been vaccinated abroad</w:t>
            </w:r>
            <w:r w:rsidR="002030B2" w:rsidRPr="00B07B08">
              <w:rPr>
                <w:rFonts w:eastAsiaTheme="minorHAnsi" w:cs="Arial"/>
                <w:sz w:val="22"/>
                <w:szCs w:val="22"/>
                <w:lang w:eastAsia="en-US"/>
              </w:rPr>
              <w:t xml:space="preserve"> are </w:t>
            </w:r>
            <w:r w:rsidRPr="00B07B08">
              <w:rPr>
                <w:rFonts w:eastAsiaTheme="minorHAnsi" w:cs="Arial"/>
                <w:sz w:val="22"/>
                <w:szCs w:val="22"/>
                <w:lang w:eastAsia="en-US"/>
              </w:rPr>
              <w:t xml:space="preserve">likely to have received an mRNA or vector vaccine </w:t>
            </w:r>
            <w:r w:rsidR="002030B2" w:rsidRPr="00B07B08">
              <w:rPr>
                <w:rFonts w:eastAsiaTheme="minorHAnsi" w:cs="Arial"/>
                <w:sz w:val="22"/>
                <w:szCs w:val="22"/>
                <w:lang w:eastAsia="en-US"/>
              </w:rPr>
              <w:t xml:space="preserve">based on the spike protein, </w:t>
            </w:r>
            <w:r w:rsidRPr="00B07B08">
              <w:rPr>
                <w:rFonts w:eastAsiaTheme="minorHAnsi" w:cs="Arial"/>
                <w:sz w:val="22"/>
                <w:szCs w:val="22"/>
                <w:lang w:eastAsia="en-US"/>
              </w:rPr>
              <w:t xml:space="preserve">or an inactivated whole viral vaccine. </w:t>
            </w:r>
            <w:r w:rsidR="00411FEA" w:rsidRPr="00B07B08">
              <w:rPr>
                <w:rFonts w:eastAsiaTheme="minorHAnsi" w:cs="Arial"/>
                <w:sz w:val="22"/>
                <w:szCs w:val="22"/>
                <w:lang w:eastAsia="en-US"/>
              </w:rPr>
              <w:t xml:space="preserve">Specific advice on </w:t>
            </w:r>
            <w:r w:rsidR="00411FEA" w:rsidRPr="005029D4">
              <w:rPr>
                <w:rFonts w:eastAsiaTheme="minorHAnsi" w:cs="Arial"/>
                <w:sz w:val="22"/>
                <w:szCs w:val="22"/>
                <w:lang w:eastAsia="en-US"/>
              </w:rPr>
              <w:fldChar w:fldCharType="begin"/>
            </w:r>
            <w:r w:rsidR="00411FEA" w:rsidRPr="00B07B08">
              <w:rPr>
                <w:rFonts w:eastAsiaTheme="minorHAnsi" w:cs="Arial"/>
                <w:sz w:val="22"/>
                <w:szCs w:val="22"/>
                <w:lang w:eastAsia="en-US"/>
              </w:rPr>
              <w:instrText>HYPERLINK "https://www.gov.uk/government/publications/covid-19-vaccinations-received-overseas?utm_medium=email&amp;utm_campaign=govuk-notifications&amp;utm_source=3c463247-a307-4b90-8176-b464d02c8066&amp;utm_content=immediately"</w:instrText>
            </w:r>
            <w:r w:rsidR="00411FEA" w:rsidRPr="005029D4">
              <w:rPr>
                <w:rFonts w:eastAsiaTheme="minorHAnsi" w:cs="Arial"/>
                <w:sz w:val="22"/>
                <w:szCs w:val="22"/>
                <w:lang w:eastAsia="en-US"/>
              </w:rPr>
              <w:fldChar w:fldCharType="separate"/>
            </w:r>
            <w:r w:rsidR="00411FEA" w:rsidRPr="00B07B08">
              <w:rPr>
                <w:rStyle w:val="Hyperlink"/>
                <w:rFonts w:eastAsiaTheme="minorHAnsi" w:cs="Arial"/>
                <w:sz w:val="22"/>
                <w:szCs w:val="22"/>
                <w:lang w:eastAsia="en-US"/>
              </w:rPr>
              <w:t>Vaccination of those who received</w:t>
            </w:r>
          </w:p>
          <w:p w14:paraId="0427151F" w14:textId="45AE8634" w:rsidR="002577BC" w:rsidRPr="00B07B08" w:rsidRDefault="00411FEA" w:rsidP="00A27668">
            <w:pPr>
              <w:spacing w:before="120" w:after="120"/>
              <w:rPr>
                <w:rFonts w:eastAsiaTheme="minorHAnsi" w:cs="Arial"/>
                <w:b/>
                <w:sz w:val="22"/>
                <w:szCs w:val="22"/>
              </w:rPr>
            </w:pPr>
            <w:r w:rsidRPr="00B07B08">
              <w:rPr>
                <w:rStyle w:val="Hyperlink"/>
                <w:rFonts w:eastAsiaTheme="minorHAnsi" w:cs="Arial"/>
                <w:sz w:val="22"/>
                <w:szCs w:val="22"/>
                <w:lang w:eastAsia="en-US"/>
              </w:rPr>
              <w:t>COVID-19 vaccine overseas</w:t>
            </w:r>
            <w:r w:rsidRPr="005029D4">
              <w:rPr>
                <w:rFonts w:eastAsiaTheme="minorHAnsi" w:cs="Arial"/>
                <w:sz w:val="22"/>
                <w:szCs w:val="22"/>
                <w:lang w:eastAsia="en-US"/>
              </w:rPr>
              <w:fldChar w:fldCharType="end"/>
            </w:r>
            <w:r w:rsidRPr="00B07B08">
              <w:rPr>
                <w:rFonts w:eastAsiaTheme="minorHAnsi" w:cs="Arial"/>
                <w:sz w:val="22"/>
                <w:szCs w:val="22"/>
                <w:lang w:eastAsia="en-US"/>
              </w:rPr>
              <w:t xml:space="preserve"> is available from </w:t>
            </w:r>
            <w:r w:rsidR="00AF6C7C" w:rsidRPr="00B07B08">
              <w:rPr>
                <w:rFonts w:eastAsiaTheme="minorHAnsi" w:cs="Arial"/>
                <w:sz w:val="22"/>
                <w:szCs w:val="22"/>
                <w:lang w:eastAsia="en-US"/>
              </w:rPr>
              <w:t xml:space="preserve">the </w:t>
            </w:r>
            <w:r w:rsidRPr="00B07B08">
              <w:rPr>
                <w:rFonts w:eastAsiaTheme="minorHAnsi" w:cs="Arial"/>
                <w:sz w:val="22"/>
                <w:szCs w:val="22"/>
                <w:lang w:eastAsia="en-US"/>
              </w:rPr>
              <w:t>UKHSA.</w:t>
            </w:r>
            <w:bookmarkStart w:id="43" w:name="coadminstration"/>
          </w:p>
          <w:p w14:paraId="0760E539" w14:textId="369B7011" w:rsidR="00A27668" w:rsidRPr="00B07B08" w:rsidRDefault="00A27668" w:rsidP="00A27668">
            <w:pPr>
              <w:spacing w:before="120" w:after="120"/>
              <w:rPr>
                <w:rFonts w:eastAsiaTheme="minorHAnsi" w:cs="Arial"/>
                <w:b/>
                <w:sz w:val="22"/>
                <w:szCs w:val="22"/>
                <w:lang w:eastAsia="en-US"/>
              </w:rPr>
            </w:pPr>
            <w:r w:rsidRPr="00B07B08">
              <w:rPr>
                <w:rFonts w:eastAsiaTheme="minorHAnsi" w:cs="Arial"/>
                <w:b/>
                <w:sz w:val="22"/>
                <w:szCs w:val="22"/>
                <w:lang w:eastAsia="en-US"/>
              </w:rPr>
              <w:t>Co-administration with other vaccines</w:t>
            </w:r>
          </w:p>
          <w:bookmarkEnd w:id="43"/>
          <w:p w14:paraId="4CF65FE8" w14:textId="23F6D0A8" w:rsidR="00DB017B" w:rsidRPr="00B07B08" w:rsidRDefault="00A27668" w:rsidP="00A27668">
            <w:pPr>
              <w:spacing w:before="120" w:after="120"/>
              <w:rPr>
                <w:rFonts w:cs="Arial"/>
                <w:sz w:val="22"/>
                <w:szCs w:val="22"/>
                <w:lang w:val="en"/>
              </w:rPr>
            </w:pPr>
            <w:r w:rsidRPr="00B07B08">
              <w:rPr>
                <w:rFonts w:cs="Arial"/>
                <w:sz w:val="22"/>
                <w:szCs w:val="22"/>
                <w:lang w:val="en"/>
              </w:rPr>
              <w:t xml:space="preserve">Where individuals in an eligible cohort present having recently received </w:t>
            </w:r>
            <w:r w:rsidR="00F23DF2" w:rsidRPr="00B07B08">
              <w:rPr>
                <w:rFonts w:cs="Arial"/>
                <w:sz w:val="22"/>
                <w:szCs w:val="22"/>
                <w:lang w:val="en"/>
              </w:rPr>
              <w:t xml:space="preserve">one or more </w:t>
            </w:r>
            <w:r w:rsidRPr="00B07B08">
              <w:rPr>
                <w:rFonts w:cs="Arial"/>
                <w:sz w:val="22"/>
                <w:szCs w:val="22"/>
                <w:lang w:val="en"/>
              </w:rPr>
              <w:t>inactivated or live vaccine</w:t>
            </w:r>
            <w:r w:rsidR="00B56DB5" w:rsidRPr="00B07B08">
              <w:rPr>
                <w:rFonts w:cs="Arial"/>
                <w:sz w:val="22"/>
                <w:szCs w:val="22"/>
                <w:lang w:val="en"/>
              </w:rPr>
              <w:t>s</w:t>
            </w:r>
            <w:r w:rsidRPr="00B07B08">
              <w:rPr>
                <w:rFonts w:cs="Arial"/>
                <w:sz w:val="22"/>
                <w:szCs w:val="22"/>
                <w:lang w:val="en"/>
              </w:rPr>
              <w:t>, COVID-19 vaccination should still be given. The same applies for most other live and inactivated vaccines where COVID-19 vaccination has been received first or where an individual presents requiring two</w:t>
            </w:r>
            <w:r w:rsidR="00EA1A23" w:rsidRPr="00B07B08">
              <w:rPr>
                <w:rFonts w:cs="Arial"/>
                <w:sz w:val="22"/>
                <w:szCs w:val="22"/>
                <w:lang w:val="en"/>
              </w:rPr>
              <w:t xml:space="preserve"> or more</w:t>
            </w:r>
            <w:r w:rsidRPr="00B07B08">
              <w:rPr>
                <w:rFonts w:cs="Arial"/>
                <w:sz w:val="22"/>
                <w:szCs w:val="22"/>
                <w:lang w:val="en"/>
              </w:rPr>
              <w:t xml:space="preserve"> vaccines. It is generally better for vaccination to proceed and </w:t>
            </w:r>
            <w:r w:rsidR="00411FEA" w:rsidRPr="00B07B08">
              <w:rPr>
                <w:rFonts w:cs="Arial"/>
                <w:sz w:val="22"/>
                <w:szCs w:val="22"/>
                <w:lang w:val="en"/>
              </w:rPr>
              <w:t xml:space="preserve">it </w:t>
            </w:r>
            <w:r w:rsidRPr="00B07B08">
              <w:rPr>
                <w:rFonts w:cs="Arial"/>
                <w:sz w:val="22"/>
                <w:szCs w:val="22"/>
                <w:lang w:val="en"/>
              </w:rPr>
              <w:t>may be provided under th</w:t>
            </w:r>
            <w:r w:rsidR="006E0D68" w:rsidRPr="00B07B08">
              <w:rPr>
                <w:rFonts w:cs="Arial"/>
                <w:sz w:val="22"/>
                <w:szCs w:val="22"/>
                <w:lang w:val="en"/>
              </w:rPr>
              <w:t>is</w:t>
            </w:r>
            <w:r w:rsidRPr="00B07B08">
              <w:rPr>
                <w:rFonts w:cs="Arial"/>
                <w:sz w:val="22"/>
                <w:szCs w:val="22"/>
                <w:lang w:val="en"/>
              </w:rPr>
              <w:t xml:space="preserve"> </w:t>
            </w:r>
            <w:r w:rsidR="005E3778" w:rsidRPr="00B07B08">
              <w:rPr>
                <w:rFonts w:cs="Arial"/>
                <w:sz w:val="22"/>
                <w:szCs w:val="22"/>
                <w:lang w:val="en"/>
              </w:rPr>
              <w:t>PGD</w:t>
            </w:r>
            <w:r w:rsidRPr="00B07B08">
              <w:rPr>
                <w:rFonts w:cs="Arial"/>
                <w:sz w:val="22"/>
                <w:szCs w:val="22"/>
                <w:lang w:val="en"/>
              </w:rPr>
              <w:t>, to avoid any</w:t>
            </w:r>
            <w:r w:rsidR="00CE1A4B" w:rsidRPr="00DB5DA1">
              <w:rPr>
                <w:rFonts w:eastAsiaTheme="minorHAnsi"/>
                <w:sz w:val="22"/>
                <w:szCs w:val="22"/>
                <w:lang w:val="en"/>
              </w:rPr>
              <w:t xml:space="preserve"> </w:t>
            </w:r>
            <w:r w:rsidR="009D7CBD" w:rsidRPr="005029D4">
              <w:rPr>
                <w:rFonts w:eastAsiaTheme="minorHAnsi"/>
                <w:sz w:val="22"/>
                <w:szCs w:val="22"/>
                <w:lang w:val="en"/>
              </w:rPr>
              <w:t xml:space="preserve">further </w:t>
            </w:r>
            <w:r w:rsidRPr="00B07B08">
              <w:rPr>
                <w:rFonts w:cs="Arial"/>
                <w:sz w:val="22"/>
                <w:szCs w:val="22"/>
                <w:lang w:val="en"/>
              </w:rPr>
              <w:t>delay in protection and to avoid the risk of the individual not returning for a later appointment.</w:t>
            </w:r>
            <w:r w:rsidR="00411FEA" w:rsidRPr="00B07B08">
              <w:rPr>
                <w:rFonts w:cs="Arial"/>
                <w:sz w:val="22"/>
                <w:szCs w:val="22"/>
                <w:lang w:val="en"/>
              </w:rPr>
              <w:t xml:space="preserve"> </w:t>
            </w:r>
            <w:r w:rsidR="00411FEA" w:rsidRPr="00B07B08">
              <w:rPr>
                <w:rFonts w:eastAsiaTheme="minorHAnsi" w:cs="Arial"/>
                <w:color w:val="000000"/>
                <w:sz w:val="22"/>
                <w:szCs w:val="22"/>
                <w:lang w:eastAsia="en-US"/>
              </w:rPr>
              <w:t>This includes but is not limited to vaccines commonly administered around the same time or in the same settings (including influenza and pneumococcal polysaccharide vaccine in those aged over 65 years, pertussis-containing vaccines and influenza vaccines in pregnancy, and LAIV, HPV, MenACWY and Td-IPV vaccines in the schools programmes).</w:t>
            </w:r>
            <w:r w:rsidRPr="00B07B08">
              <w:rPr>
                <w:rFonts w:cs="Arial"/>
                <w:sz w:val="22"/>
                <w:szCs w:val="22"/>
                <w:lang w:val="en"/>
              </w:rPr>
              <w:t xml:space="preserve"> </w:t>
            </w:r>
            <w:r w:rsidR="004B33AF" w:rsidRPr="00B07B08">
              <w:rPr>
                <w:rFonts w:cs="Arial"/>
                <w:sz w:val="22"/>
                <w:szCs w:val="22"/>
                <w:lang w:val="en"/>
              </w:rPr>
              <w:t>The only exceptions to this are the shingles vaccines, where a seven</w:t>
            </w:r>
            <w:r w:rsidR="00DB017B" w:rsidRPr="00B07B08">
              <w:rPr>
                <w:rFonts w:cs="Arial"/>
                <w:sz w:val="22"/>
                <w:szCs w:val="22"/>
                <w:lang w:val="en"/>
              </w:rPr>
              <w:t>-</w:t>
            </w:r>
            <w:r w:rsidR="004B33AF" w:rsidRPr="00B07B08">
              <w:rPr>
                <w:rFonts w:cs="Arial"/>
                <w:sz w:val="22"/>
                <w:szCs w:val="22"/>
                <w:lang w:val="en"/>
              </w:rPr>
              <w:t xml:space="preserve">day interval should ideally be observed. This is based on the potential for an inflammatory response to COVID-19 vaccine to interfere with the response to the live virus in the older population and </w:t>
            </w:r>
            <w:r w:rsidR="00F23DF2" w:rsidRPr="00B07B08">
              <w:rPr>
                <w:rFonts w:cs="Arial"/>
                <w:sz w:val="22"/>
                <w:szCs w:val="22"/>
                <w:lang w:val="en"/>
              </w:rPr>
              <w:t>because of the potential difficulty of attributing systemic side effects to the newer adjuvanted shingles vaccine.</w:t>
            </w:r>
            <w:r w:rsidR="004B33AF" w:rsidRPr="005029D4">
              <w:rPr>
                <w:rFonts w:ascii="Frutiger 45 Light" w:eastAsiaTheme="minorHAnsi" w:hAnsi="Frutiger 45 Light" w:cs="Frutiger 45 Light"/>
                <w:color w:val="000000"/>
                <w:sz w:val="22"/>
                <w:szCs w:val="22"/>
              </w:rPr>
              <w:t xml:space="preserve"> </w:t>
            </w:r>
          </w:p>
          <w:p w14:paraId="1FB873DD" w14:textId="017E01CA" w:rsidR="00F23DF2" w:rsidRPr="00B07B08" w:rsidRDefault="00F23DF2" w:rsidP="002030B2">
            <w:pPr>
              <w:spacing w:before="120" w:after="120"/>
              <w:rPr>
                <w:rFonts w:cs="Arial"/>
                <w:sz w:val="22"/>
                <w:szCs w:val="22"/>
                <w:lang w:val="en"/>
              </w:rPr>
            </w:pPr>
            <w:r w:rsidRPr="00B07B08">
              <w:rPr>
                <w:rFonts w:cs="Arial"/>
                <w:sz w:val="22"/>
                <w:szCs w:val="22"/>
                <w:lang w:val="en"/>
              </w:rPr>
              <w:t xml:space="preserve">A UK study of co-administration of AstraZeneca and Pfizer BioNTech COVID-19 vaccines with inactivated influenza vaccines confirmed acceptable immunogenicity and reactogenicity. Where co-administration does occur, </w:t>
            </w:r>
            <w:r w:rsidR="005B0F91" w:rsidRPr="00B07B08">
              <w:rPr>
                <w:rFonts w:cs="Arial"/>
                <w:sz w:val="22"/>
                <w:szCs w:val="22"/>
                <w:lang w:val="en"/>
              </w:rPr>
              <w:t>individual</w:t>
            </w:r>
            <w:r w:rsidRPr="00B07B08">
              <w:rPr>
                <w:rFonts w:cs="Arial"/>
                <w:sz w:val="22"/>
                <w:szCs w:val="22"/>
                <w:lang w:val="en"/>
              </w:rPr>
              <w:t>s should be informed about the likely timing of potential adverse events relating to each vaccine.</w:t>
            </w:r>
            <w:r w:rsidR="00B56DB5" w:rsidRPr="00B07B08">
              <w:rPr>
                <w:rFonts w:cs="Arial"/>
                <w:sz w:val="22"/>
                <w:szCs w:val="22"/>
                <w:lang w:val="en"/>
              </w:rPr>
              <w:t xml:space="preserve"> If the vaccines are not given together, they can be administered at any interval, although separating the vaccines by a day or two will avoid confusion over systemic side effects.</w:t>
            </w:r>
          </w:p>
          <w:p w14:paraId="71A4012E" w14:textId="0DAD021D" w:rsidR="00EF50DF" w:rsidRPr="00B07B08" w:rsidRDefault="00EF50DF" w:rsidP="0084162D">
            <w:pPr>
              <w:spacing w:after="120"/>
              <w:textAlignment w:val="auto"/>
              <w:rPr>
                <w:rFonts w:cs="Arial"/>
                <w:b/>
                <w:bCs/>
                <w:sz w:val="22"/>
                <w:szCs w:val="22"/>
              </w:rPr>
            </w:pPr>
            <w:r w:rsidRPr="00B07B08">
              <w:rPr>
                <w:rFonts w:cs="Arial"/>
                <w:b/>
                <w:bCs/>
                <w:sz w:val="22"/>
                <w:szCs w:val="22"/>
              </w:rPr>
              <w:t>Non-responders / immunosuppressed</w:t>
            </w:r>
          </w:p>
          <w:p w14:paraId="49153108" w14:textId="77777777" w:rsidR="005E3778" w:rsidRPr="00B07B08" w:rsidRDefault="00EF5F0E" w:rsidP="00291345">
            <w:pPr>
              <w:spacing w:after="120"/>
              <w:textAlignment w:val="auto"/>
              <w:rPr>
                <w:rFonts w:cs="Arial"/>
                <w:sz w:val="22"/>
                <w:szCs w:val="22"/>
              </w:rPr>
            </w:pPr>
            <w:r w:rsidRPr="00B07B08">
              <w:rPr>
                <w:rFonts w:cs="Arial"/>
                <w:sz w:val="22"/>
                <w:szCs w:val="22"/>
              </w:rPr>
              <w:t>Immunological response may be lower in immunocompromised individuals, but they should still be vaccinated.</w:t>
            </w:r>
            <w:r w:rsidR="005E3778" w:rsidRPr="00B07B08">
              <w:rPr>
                <w:rFonts w:cs="Arial"/>
                <w:sz w:val="22"/>
                <w:szCs w:val="22"/>
              </w:rPr>
              <w:t xml:space="preserve"> </w:t>
            </w:r>
          </w:p>
          <w:p w14:paraId="705B7D1F" w14:textId="28EE24A8" w:rsidR="000E674B" w:rsidRPr="00B07B08" w:rsidRDefault="000E674B" w:rsidP="000E674B">
            <w:pPr>
              <w:overflowPunct/>
              <w:spacing w:after="160" w:line="241" w:lineRule="atLeast"/>
              <w:textAlignment w:val="auto"/>
              <w:rPr>
                <w:rFonts w:eastAsiaTheme="minorHAnsi" w:cs="Arial"/>
                <w:color w:val="000000"/>
                <w:sz w:val="22"/>
                <w:szCs w:val="22"/>
                <w:lang w:eastAsia="en-US"/>
              </w:rPr>
            </w:pPr>
            <w:r w:rsidRPr="00B07B08">
              <w:rPr>
                <w:rFonts w:eastAsiaTheme="minorHAnsi" w:cs="Arial"/>
                <w:color w:val="000000"/>
                <w:sz w:val="22"/>
                <w:szCs w:val="22"/>
                <w:lang w:eastAsia="en-US"/>
              </w:rPr>
              <w:t xml:space="preserve">JCVI advises that a third </w:t>
            </w:r>
            <w:r w:rsidR="002577BC" w:rsidRPr="00B07B08">
              <w:rPr>
                <w:rFonts w:eastAsiaTheme="minorHAnsi" w:cs="Arial"/>
                <w:color w:val="000000"/>
                <w:sz w:val="22"/>
                <w:szCs w:val="22"/>
                <w:lang w:eastAsia="en-US"/>
              </w:rPr>
              <w:t xml:space="preserve">primary </w:t>
            </w:r>
            <w:r w:rsidRPr="00B07B08">
              <w:rPr>
                <w:rFonts w:eastAsiaTheme="minorHAnsi" w:cs="Arial"/>
                <w:color w:val="000000"/>
                <w:sz w:val="22"/>
                <w:szCs w:val="22"/>
                <w:lang w:eastAsia="en-US"/>
              </w:rPr>
              <w:t>vaccine dose be offered to individuals aged 12 years and over who had severe immunosuppression in proximity to their first or second COVID-19 doses in the primary schedule (see ‘Box: Criteria for a third primary dose of COVID-19 vaccine’</w:t>
            </w:r>
            <w:r w:rsidRPr="00B07B08">
              <w:rPr>
                <w:rFonts w:eastAsiaTheme="minorHAnsi" w:cs="Arial"/>
                <w:b/>
                <w:bCs/>
                <w:color w:val="000000"/>
                <w:sz w:val="22"/>
                <w:szCs w:val="22"/>
                <w:lang w:eastAsia="en-US"/>
              </w:rPr>
              <w:t xml:space="preserve"> </w:t>
            </w:r>
            <w:r w:rsidRPr="00B07B08">
              <w:rPr>
                <w:rFonts w:cs="Arial"/>
                <w:sz w:val="22"/>
                <w:szCs w:val="22"/>
              </w:rPr>
              <w:t xml:space="preserve">in </w:t>
            </w:r>
            <w:hyperlink r:id="rId78" w:history="1">
              <w:r w:rsidRPr="00B07B08">
                <w:rPr>
                  <w:rStyle w:val="Hyperlink"/>
                  <w:rFonts w:cs="Arial"/>
                  <w:sz w:val="22"/>
                  <w:szCs w:val="22"/>
                </w:rPr>
                <w:t>Chapter 14a</w:t>
              </w:r>
            </w:hyperlink>
            <w:r w:rsidRPr="00B07B08">
              <w:rPr>
                <w:rFonts w:eastAsiaTheme="minorHAnsi" w:cs="Arial"/>
                <w:color w:val="000000"/>
                <w:sz w:val="22"/>
                <w:szCs w:val="22"/>
                <w:lang w:eastAsia="en-US"/>
              </w:rPr>
              <w:t xml:space="preserve">). Most individuals whose immunosuppression commenced at least two </w:t>
            </w:r>
            <w:r w:rsidRPr="00B07B08">
              <w:rPr>
                <w:rFonts w:eastAsiaTheme="minorHAnsi" w:cs="Arial"/>
                <w:color w:val="000000"/>
                <w:sz w:val="22"/>
                <w:szCs w:val="22"/>
                <w:lang w:eastAsia="en-US"/>
              </w:rPr>
              <w:lastRenderedPageBreak/>
              <w:t xml:space="preserve">weeks after the second dose of vaccination do not require an additional primary vaccination at this stage. </w:t>
            </w:r>
          </w:p>
          <w:p w14:paraId="1503C8F6" w14:textId="77777777" w:rsidR="000E674B" w:rsidRPr="00B07B08" w:rsidRDefault="000E674B" w:rsidP="000028EA">
            <w:pPr>
              <w:overflowPunct/>
              <w:spacing w:after="160" w:line="241" w:lineRule="atLeast"/>
              <w:textAlignment w:val="auto"/>
              <w:rPr>
                <w:rFonts w:eastAsiaTheme="minorHAnsi" w:cs="Arial"/>
                <w:color w:val="000000"/>
                <w:sz w:val="22"/>
                <w:szCs w:val="22"/>
                <w:lang w:eastAsia="en-US"/>
              </w:rPr>
            </w:pPr>
            <w:r w:rsidRPr="00B07B08">
              <w:rPr>
                <w:rFonts w:eastAsiaTheme="minorHAnsi" w:cs="Arial"/>
                <w:color w:val="000000"/>
                <w:sz w:val="22"/>
                <w:szCs w:val="22"/>
                <w:lang w:eastAsia="en-US"/>
              </w:rPr>
              <w:t xml:space="preserve">The decision on the timing of the third </w:t>
            </w:r>
            <w:r w:rsidR="00593AA4" w:rsidRPr="00B07B08">
              <w:rPr>
                <w:rFonts w:eastAsiaTheme="minorHAnsi" w:cs="Arial"/>
                <w:color w:val="000000"/>
                <w:sz w:val="22"/>
                <w:szCs w:val="22"/>
                <w:lang w:eastAsia="en-US"/>
              </w:rPr>
              <w:t xml:space="preserve">primary </w:t>
            </w:r>
            <w:r w:rsidRPr="00B07B08">
              <w:rPr>
                <w:rFonts w:eastAsiaTheme="minorHAnsi" w:cs="Arial"/>
                <w:color w:val="000000"/>
                <w:sz w:val="22"/>
                <w:szCs w:val="22"/>
                <w:lang w:eastAsia="en-US"/>
              </w:rPr>
              <w:t xml:space="preserve">dose should be undertaken by the specialist involved in the care of the </w:t>
            </w:r>
            <w:r w:rsidR="006E0D68" w:rsidRPr="00B07B08">
              <w:rPr>
                <w:rFonts w:eastAsiaTheme="minorHAnsi" w:cs="Arial"/>
                <w:color w:val="000000"/>
                <w:sz w:val="22"/>
                <w:szCs w:val="22"/>
                <w:lang w:eastAsia="en-US"/>
              </w:rPr>
              <w:t>individual. In general, vaccines administered during periods of minimum immunosuppression (where possible) are more likely to generate better immune responses.</w:t>
            </w:r>
          </w:p>
          <w:p w14:paraId="43B00A10" w14:textId="409F4305" w:rsidR="00B07B08" w:rsidRPr="005029D4" w:rsidRDefault="00B07B08" w:rsidP="000028EA">
            <w:pPr>
              <w:overflowPunct/>
              <w:spacing w:after="160" w:line="241" w:lineRule="atLeast"/>
              <w:textAlignment w:val="auto"/>
              <w:rPr>
                <w:rFonts w:ascii="Frutiger 45 Light" w:eastAsiaTheme="minorHAnsi" w:hAnsi="Frutiger 45 Light"/>
                <w:color w:val="000000"/>
                <w:sz w:val="22"/>
                <w:szCs w:val="22"/>
              </w:rPr>
            </w:pPr>
            <w:r w:rsidRPr="005029D4">
              <w:rPr>
                <w:rFonts w:cs="Arial"/>
                <w:color w:val="000000"/>
                <w:sz w:val="22"/>
                <w:szCs w:val="22"/>
              </w:rPr>
              <w:t xml:space="preserve">Individuals who have received a bone marrow transplant after vaccination should be considered for a re-immunisation programme for all routine vaccinations and for COVID-19 (see </w:t>
            </w:r>
            <w:hyperlink r:id="rId79" w:history="1">
              <w:r w:rsidRPr="005029D4">
                <w:rPr>
                  <w:rStyle w:val="Hyperlink"/>
                  <w:sz w:val="22"/>
                  <w:szCs w:val="22"/>
                </w:rPr>
                <w:t>Chapter 7</w:t>
              </w:r>
            </w:hyperlink>
            <w:r w:rsidRPr="005029D4">
              <w:rPr>
                <w:rFonts w:cs="Arial"/>
                <w:color w:val="000000"/>
                <w:sz w:val="22"/>
                <w:szCs w:val="22"/>
              </w:rPr>
              <w:t xml:space="preserve"> of the Green Book). This is not covered by this PGD and should be provided on a patient specific basis.</w:t>
            </w:r>
          </w:p>
        </w:tc>
      </w:tr>
      <w:tr w:rsidR="00B227F7" w:rsidRPr="00A956FD" w14:paraId="38F0AAB7" w14:textId="77777777" w:rsidTr="009B16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459815DB" w14:textId="6683B84C" w:rsidR="00B227F7" w:rsidRDefault="00B227F7" w:rsidP="007B2C02">
            <w:pPr>
              <w:spacing w:before="120" w:after="120"/>
              <w:rPr>
                <w:rFonts w:cs="Arial"/>
                <w:b/>
                <w:sz w:val="22"/>
                <w:szCs w:val="22"/>
              </w:rPr>
            </w:pPr>
            <w:r w:rsidRPr="00A60816">
              <w:rPr>
                <w:rFonts w:cs="Arial"/>
                <w:b/>
                <w:sz w:val="22"/>
                <w:szCs w:val="22"/>
              </w:rPr>
              <w:lastRenderedPageBreak/>
              <w:t>Records</w:t>
            </w:r>
          </w:p>
          <w:p w14:paraId="3407BD26" w14:textId="77777777" w:rsidR="00A84395" w:rsidRDefault="00A84395" w:rsidP="00A84395">
            <w:pPr>
              <w:spacing w:before="120" w:after="120"/>
              <w:contextualSpacing/>
              <w:rPr>
                <w:rFonts w:cs="Arial"/>
                <w:bCs/>
                <w:sz w:val="22"/>
                <w:szCs w:val="22"/>
              </w:rPr>
            </w:pPr>
          </w:p>
          <w:p w14:paraId="52D5CBBD" w14:textId="77777777" w:rsidR="00F1572E" w:rsidRDefault="00F1572E" w:rsidP="00F1572E">
            <w:pPr>
              <w:contextualSpacing/>
              <w:rPr>
                <w:rFonts w:cs="Arial"/>
                <w:bCs/>
                <w:sz w:val="22"/>
                <w:szCs w:val="22"/>
              </w:rPr>
            </w:pPr>
          </w:p>
          <w:p w14:paraId="57154D74" w14:textId="17AEE916" w:rsidR="00B227F7" w:rsidRPr="00B008BA" w:rsidRDefault="00B227F7">
            <w:pPr>
              <w:spacing w:before="120" w:after="120"/>
              <w:contextualSpacing/>
              <w:rPr>
                <w:rFonts w:cs="Arial"/>
                <w:sz w:val="22"/>
                <w:szCs w:val="22"/>
              </w:rPr>
            </w:pPr>
          </w:p>
        </w:tc>
        <w:tc>
          <w:tcPr>
            <w:tcW w:w="7513" w:type="dxa"/>
          </w:tcPr>
          <w:p w14:paraId="67493068" w14:textId="77777777" w:rsidR="00B227F7" w:rsidRPr="00AB2ECC" w:rsidRDefault="00B227F7" w:rsidP="007B2C02">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7DD2FABE" w14:textId="60B81C3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A449B" w:rsidRPr="00A559CE">
              <w:rPr>
                <w:rFonts w:cs="Arial"/>
                <w:sz w:val="22"/>
                <w:szCs w:val="22"/>
                <w:lang w:val="en-US"/>
              </w:rPr>
              <w:t xml:space="preserve"> </w:t>
            </w:r>
            <w:r w:rsidR="00EA449B">
              <w:rPr>
                <w:rFonts w:cs="Arial"/>
                <w:sz w:val="22"/>
                <w:szCs w:val="22"/>
                <w:lang w:val="en-US"/>
              </w:rPr>
              <w:t xml:space="preserve">or </w:t>
            </w:r>
            <w:r w:rsidR="00EA449B" w:rsidRPr="009F54DF">
              <w:rPr>
                <w:rFonts w:cs="Arial"/>
                <w:sz w:val="22"/>
                <w:szCs w:val="22"/>
                <w:lang w:val="en-US"/>
              </w:rPr>
              <w:t>a decision</w:t>
            </w:r>
            <w:r w:rsidR="00EA449B">
              <w:rPr>
                <w:rFonts w:cs="Arial"/>
                <w:sz w:val="22"/>
                <w:szCs w:val="22"/>
                <w:lang w:val="en-US"/>
              </w:rPr>
              <w:t xml:space="preserve"> to vaccinate made </w:t>
            </w:r>
            <w:r w:rsidR="00EA449B" w:rsidRPr="009F54DF">
              <w:rPr>
                <w:rFonts w:cs="Arial"/>
                <w:sz w:val="22"/>
                <w:szCs w:val="22"/>
                <w:lang w:val="en-US"/>
              </w:rPr>
              <w:t xml:space="preserve">in </w:t>
            </w:r>
            <w:r w:rsidR="00EA449B">
              <w:rPr>
                <w:rFonts w:cs="Arial"/>
                <w:sz w:val="22"/>
                <w:szCs w:val="22"/>
                <w:lang w:val="en-US"/>
              </w:rPr>
              <w:t>the individual</w:t>
            </w:r>
            <w:r w:rsidR="005D5BDB">
              <w:rPr>
                <w:rFonts w:cs="Arial"/>
                <w:sz w:val="22"/>
                <w:szCs w:val="22"/>
                <w:lang w:val="en-US"/>
              </w:rPr>
              <w:t>’</w:t>
            </w:r>
            <w:r w:rsidR="00EA449B">
              <w:rPr>
                <w:rFonts w:cs="Arial"/>
                <w:sz w:val="22"/>
                <w:szCs w:val="22"/>
                <w:lang w:val="en-US"/>
              </w:rPr>
              <w:t>s</w:t>
            </w:r>
            <w:r w:rsidR="00EA449B" w:rsidRPr="009F54DF">
              <w:rPr>
                <w:rFonts w:cs="Arial"/>
                <w:sz w:val="22"/>
                <w:szCs w:val="22"/>
                <w:lang w:val="en-US"/>
              </w:rPr>
              <w:t xml:space="preserve"> best interests</w:t>
            </w:r>
            <w:r w:rsidR="00EA449B" w:rsidRPr="00A559CE">
              <w:rPr>
                <w:rFonts w:cs="Arial"/>
                <w:sz w:val="22"/>
                <w:szCs w:val="22"/>
                <w:lang w:val="en-US"/>
              </w:rPr>
              <w:t xml:space="preserve"> in accordance with the </w:t>
            </w:r>
            <w:hyperlink r:id="rId80" w:history="1">
              <w:r w:rsidR="002242E9" w:rsidRPr="00DB1B6F">
                <w:rPr>
                  <w:rStyle w:val="Hyperlink"/>
                  <w:rFonts w:cs="Arial"/>
                  <w:sz w:val="22"/>
                  <w:szCs w:val="22"/>
                  <w:lang w:val="en-US"/>
                </w:rPr>
                <w:t>Mental Capacity Act 2005</w:t>
              </w:r>
            </w:hyperlink>
          </w:p>
          <w:p w14:paraId="21EA399F" w14:textId="4DADC972"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C655CD">
              <w:rPr>
                <w:rFonts w:cs="Arial"/>
                <w:sz w:val="22"/>
                <w:szCs w:val="22"/>
              </w:rPr>
              <w:t xml:space="preserve"> (or record where an individual is not registered with a GP)</w:t>
            </w:r>
          </w:p>
          <w:p w14:paraId="31B14023"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n</w:t>
            </w:r>
            <w:r w:rsidRPr="00B04A2D">
              <w:rPr>
                <w:rFonts w:cs="Arial"/>
                <w:sz w:val="22"/>
                <w:szCs w:val="22"/>
              </w:rPr>
              <w:t>ame of immuniser</w:t>
            </w:r>
          </w:p>
          <w:p w14:paraId="77F63B1B"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3C466415"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d</w:t>
            </w:r>
            <w:r w:rsidRPr="00B04A2D">
              <w:rPr>
                <w:rFonts w:cs="Arial"/>
                <w:sz w:val="22"/>
                <w:szCs w:val="22"/>
              </w:rPr>
              <w:t>ate of administration</w:t>
            </w:r>
          </w:p>
          <w:p w14:paraId="737A5B68"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811A68F"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q</w:t>
            </w:r>
            <w:r w:rsidRPr="00B04A2D">
              <w:rPr>
                <w:rFonts w:cs="Arial"/>
                <w:sz w:val="22"/>
                <w:szCs w:val="22"/>
              </w:rPr>
              <w:t>uantity administered</w:t>
            </w:r>
          </w:p>
          <w:p w14:paraId="182F8681"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7247D26F"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4860E8C8" w14:textId="22FDFFF9"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a</w:t>
            </w:r>
            <w:r w:rsidRPr="00B04A2D">
              <w:rPr>
                <w:rFonts w:cs="Arial"/>
                <w:sz w:val="22"/>
                <w:szCs w:val="22"/>
              </w:rPr>
              <w:t xml:space="preserve">dvice given, including advice given if excluded or declines </w:t>
            </w:r>
            <w:r w:rsidR="00A8586C">
              <w:rPr>
                <w:rFonts w:cs="Arial"/>
                <w:sz w:val="22"/>
                <w:szCs w:val="22"/>
              </w:rPr>
              <w:t>vaccination</w:t>
            </w:r>
          </w:p>
          <w:p w14:paraId="48CF0F41" w14:textId="77777777" w:rsidR="00B227F7" w:rsidRPr="00B04A2D" w:rsidRDefault="00B227F7" w:rsidP="00F203BD">
            <w:pPr>
              <w:numPr>
                <w:ilvl w:val="0"/>
                <w:numId w:val="2"/>
              </w:numPr>
              <w:tabs>
                <w:tab w:val="clear" w:pos="720"/>
                <w:tab w:val="num" w:pos="321"/>
              </w:tabs>
              <w:overflowPunct/>
              <w:autoSpaceDE/>
              <w:autoSpaceDN/>
              <w:adjustRightInd/>
              <w:spacing w:before="120" w:after="120"/>
              <w:ind w:left="321" w:hanging="284"/>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4A891F35" w14:textId="77777777" w:rsidR="00B227F7" w:rsidRPr="00B04A2D" w:rsidRDefault="00B227F7" w:rsidP="00F203BD">
            <w:pPr>
              <w:numPr>
                <w:ilvl w:val="0"/>
                <w:numId w:val="2"/>
              </w:numPr>
              <w:tabs>
                <w:tab w:val="clear" w:pos="720"/>
                <w:tab w:val="num" w:pos="321"/>
              </w:tabs>
              <w:overflowPunct/>
              <w:autoSpaceDE/>
              <w:autoSpaceDN/>
              <w:adjustRightInd/>
              <w:spacing w:after="120"/>
              <w:ind w:left="321" w:hanging="284"/>
              <w:textAlignment w:val="auto"/>
              <w:rPr>
                <w:rFonts w:cs="Arial"/>
                <w:sz w:val="22"/>
                <w:szCs w:val="22"/>
              </w:rPr>
            </w:pPr>
            <w:r w:rsidRPr="00B04A2D">
              <w:rPr>
                <w:rFonts w:cs="Arial"/>
                <w:sz w:val="22"/>
                <w:szCs w:val="22"/>
              </w:rPr>
              <w:t>supplied via PGD</w:t>
            </w:r>
          </w:p>
          <w:p w14:paraId="6AE1F9AA" w14:textId="77777777" w:rsidR="00B227F7" w:rsidRPr="00B4381D" w:rsidRDefault="00B227F7" w:rsidP="007B2C02">
            <w:pPr>
              <w:spacing w:before="120" w:after="120"/>
              <w:rPr>
                <w:rFonts w:cs="Arial"/>
                <w:sz w:val="22"/>
                <w:szCs w:val="22"/>
              </w:rPr>
            </w:pPr>
            <w:r w:rsidRPr="00B04A2D">
              <w:rPr>
                <w:rFonts w:cs="Arial"/>
                <w:sz w:val="22"/>
                <w:szCs w:val="22"/>
              </w:rPr>
              <w:t>All records should be clear, legible and contemporaneous.</w:t>
            </w:r>
          </w:p>
          <w:p w14:paraId="3FDF700A" w14:textId="43C390EC" w:rsidR="0043466C" w:rsidRPr="00B04F1D" w:rsidRDefault="0043466C" w:rsidP="0043466C">
            <w:pPr>
              <w:pStyle w:val="Header"/>
              <w:tabs>
                <w:tab w:val="left" w:pos="720"/>
              </w:tabs>
              <w:spacing w:before="120" w:after="120"/>
              <w:rPr>
                <w:rFonts w:ascii="Arial" w:hAnsi="Arial"/>
                <w:sz w:val="22"/>
                <w:szCs w:val="22"/>
              </w:rPr>
            </w:pPr>
            <w:r>
              <w:rPr>
                <w:rFonts w:ascii="Arial" w:hAnsi="Arial"/>
                <w:sz w:val="22"/>
                <w:szCs w:val="22"/>
              </w:rPr>
              <w:t>A</w:t>
            </w:r>
            <w:r w:rsidR="00BA68F9">
              <w:rPr>
                <w:rFonts w:ascii="Arial" w:hAnsi="Arial"/>
                <w:sz w:val="22"/>
                <w:szCs w:val="22"/>
              </w:rPr>
              <w:t>s a</w:t>
            </w:r>
            <w:r w:rsidRPr="00B04F1D">
              <w:rPr>
                <w:rFonts w:ascii="Arial" w:hAnsi="Arial"/>
                <w:sz w:val="22"/>
                <w:szCs w:val="22"/>
              </w:rPr>
              <w:t xml:space="preserve"> variety of </w:t>
            </w:r>
            <w:r>
              <w:rPr>
                <w:rFonts w:ascii="Arial" w:hAnsi="Arial"/>
                <w:sz w:val="22"/>
                <w:szCs w:val="22"/>
              </w:rPr>
              <w:t xml:space="preserve">COVID-19 vaccines are available, </w:t>
            </w:r>
            <w:r w:rsidRPr="00B04F1D">
              <w:rPr>
                <w:rFonts w:ascii="Arial" w:hAnsi="Arial"/>
                <w:sz w:val="22"/>
                <w:szCs w:val="22"/>
              </w:rPr>
              <w:t xml:space="preserve">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43B803DF" w14:textId="6CB6D045" w:rsidR="00B53F21" w:rsidRDefault="00B53F21" w:rsidP="00B53F21">
            <w:pPr>
              <w:spacing w:before="120" w:after="120"/>
              <w:rPr>
                <w:sz w:val="22"/>
                <w:szCs w:val="22"/>
              </w:rPr>
            </w:pPr>
            <w:r w:rsidRPr="008B3FC3">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0449DD">
              <w:rPr>
                <w:sz w:val="22"/>
                <w:szCs w:val="22"/>
              </w:rPr>
              <w:t xml:space="preserve">in a timely manner </w:t>
            </w:r>
            <w:r w:rsidRPr="008B3FC3">
              <w:rPr>
                <w:sz w:val="22"/>
                <w:szCs w:val="22"/>
              </w:rPr>
              <w:t>to allow clinical follow up and to avoid duplicate vaccination.</w:t>
            </w:r>
          </w:p>
          <w:p w14:paraId="45B4821F" w14:textId="26D60247" w:rsidR="00B227F7" w:rsidRPr="00EE43D4" w:rsidRDefault="00B227F7" w:rsidP="007B2C02">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w:t>
            </w:r>
          </w:p>
        </w:tc>
      </w:tr>
    </w:tbl>
    <w:p w14:paraId="2B14A948" w14:textId="77777777" w:rsidR="00B227F7" w:rsidRDefault="00B227F7" w:rsidP="006D38C2">
      <w:pPr>
        <w:overflowPunct/>
        <w:autoSpaceDE/>
        <w:autoSpaceDN/>
        <w:adjustRightInd/>
        <w:textAlignment w:val="auto"/>
        <w:rPr>
          <w:b/>
        </w:rPr>
      </w:pPr>
      <w:r>
        <w:rPr>
          <w:b/>
        </w:rPr>
        <w:br w:type="page"/>
      </w:r>
    </w:p>
    <w:p w14:paraId="52AF022D" w14:textId="77777777" w:rsidR="00B227F7" w:rsidRPr="00A35A3D" w:rsidRDefault="00B227F7" w:rsidP="00B227F7">
      <w:pPr>
        <w:pStyle w:val="ListParagraph"/>
        <w:numPr>
          <w:ilvl w:val="0"/>
          <w:numId w:val="3"/>
        </w:numPr>
        <w:rPr>
          <w:b/>
        </w:rPr>
      </w:pPr>
      <w:r w:rsidRPr="00A35A3D">
        <w:rPr>
          <w:b/>
        </w:rPr>
        <w:lastRenderedPageBreak/>
        <w:t>Key references</w:t>
      </w:r>
    </w:p>
    <w:p w14:paraId="1EF35C14" w14:textId="77777777" w:rsidR="00B227F7" w:rsidRPr="00A956FD" w:rsidRDefault="00B227F7" w:rsidP="00B227F7">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7771"/>
      </w:tblGrid>
      <w:tr w:rsidR="00B227F7" w:rsidRPr="00A956FD" w14:paraId="0270626C" w14:textId="77777777" w:rsidTr="000028EA">
        <w:tc>
          <w:tcPr>
            <w:tcW w:w="2152" w:type="dxa"/>
          </w:tcPr>
          <w:p w14:paraId="79203C09" w14:textId="77777777" w:rsidR="00B227F7" w:rsidRDefault="00B227F7" w:rsidP="007B2C02">
            <w:pPr>
              <w:spacing w:before="120" w:after="120"/>
              <w:rPr>
                <w:rFonts w:cs="Arial"/>
                <w:b/>
                <w:sz w:val="22"/>
                <w:szCs w:val="22"/>
              </w:rPr>
            </w:pPr>
            <w:r w:rsidRPr="00A60816">
              <w:rPr>
                <w:rFonts w:cs="Arial"/>
                <w:b/>
                <w:sz w:val="22"/>
                <w:szCs w:val="22"/>
              </w:rPr>
              <w:t xml:space="preserve">Key references </w:t>
            </w:r>
          </w:p>
          <w:p w14:paraId="64AC1E21" w14:textId="77777777" w:rsidR="00B227F7" w:rsidRDefault="00B227F7" w:rsidP="007B2C02">
            <w:pPr>
              <w:spacing w:before="120" w:after="120"/>
              <w:contextualSpacing/>
              <w:rPr>
                <w:rFonts w:cs="Arial"/>
                <w:sz w:val="22"/>
                <w:szCs w:val="22"/>
              </w:rPr>
            </w:pPr>
          </w:p>
          <w:p w14:paraId="3A0CB161" w14:textId="77777777" w:rsidR="00B227F7" w:rsidRDefault="00B227F7" w:rsidP="007B2C02">
            <w:pPr>
              <w:spacing w:before="120" w:after="120"/>
              <w:contextualSpacing/>
              <w:rPr>
                <w:rFonts w:cs="Arial"/>
                <w:sz w:val="22"/>
                <w:szCs w:val="22"/>
              </w:rPr>
            </w:pPr>
          </w:p>
          <w:p w14:paraId="678D5826" w14:textId="213CE4E2" w:rsidR="00B227F7" w:rsidRPr="00A26F77" w:rsidRDefault="00B227F7" w:rsidP="006D7639">
            <w:pPr>
              <w:spacing w:before="120" w:after="120"/>
              <w:contextualSpacing/>
              <w:rPr>
                <w:rFonts w:cs="Arial"/>
                <w:color w:val="FF0000"/>
                <w:sz w:val="22"/>
                <w:szCs w:val="22"/>
              </w:rPr>
            </w:pPr>
          </w:p>
        </w:tc>
        <w:tc>
          <w:tcPr>
            <w:tcW w:w="7771" w:type="dxa"/>
          </w:tcPr>
          <w:p w14:paraId="347BA7E9" w14:textId="28E1CEB2" w:rsidR="00B227F7" w:rsidRPr="00AA5C51" w:rsidRDefault="00CF457A" w:rsidP="007B2C02">
            <w:pPr>
              <w:pStyle w:val="Default"/>
              <w:spacing w:before="120"/>
              <w:rPr>
                <w:b/>
                <w:sz w:val="22"/>
                <w:szCs w:val="22"/>
              </w:rPr>
            </w:pPr>
            <w:r w:rsidRPr="00336503">
              <w:rPr>
                <w:b/>
                <w:sz w:val="22"/>
                <w:szCs w:val="22"/>
              </w:rPr>
              <w:t>COVID-19 mRNA vaccine BNT162b2</w:t>
            </w:r>
            <w:r w:rsidR="00DA6115" w:rsidRPr="00AA5C51">
              <w:rPr>
                <w:b/>
                <w:sz w:val="22"/>
                <w:szCs w:val="22"/>
              </w:rPr>
              <w:t xml:space="preserve"> vaccination</w:t>
            </w:r>
          </w:p>
          <w:p w14:paraId="2F49F34F" w14:textId="6005CE11" w:rsidR="00E95DA5" w:rsidRPr="00AA5C51" w:rsidRDefault="00B227F7" w:rsidP="00175B2D">
            <w:pPr>
              <w:pStyle w:val="ListParagraph"/>
              <w:numPr>
                <w:ilvl w:val="0"/>
                <w:numId w:val="6"/>
              </w:numPr>
              <w:spacing w:before="60"/>
              <w:ind w:left="318" w:hanging="238"/>
              <w:contextualSpacing w:val="0"/>
              <w:rPr>
                <w:rFonts w:cs="Arial"/>
                <w:sz w:val="22"/>
                <w:szCs w:val="22"/>
              </w:rPr>
            </w:pPr>
            <w:r w:rsidRPr="00AA5C51">
              <w:rPr>
                <w:rFonts w:cs="Arial"/>
                <w:sz w:val="22"/>
                <w:szCs w:val="22"/>
              </w:rPr>
              <w:t xml:space="preserve">Immunisation Against Infectious Disease: The Green Book, </w:t>
            </w:r>
            <w:hyperlink r:id="rId81" w:history="1">
              <w:r w:rsidR="00714FF9" w:rsidRPr="00AA5C51">
                <w:rPr>
                  <w:rStyle w:val="Hyperlink"/>
                  <w:rFonts w:cs="Arial"/>
                  <w:sz w:val="22"/>
                  <w:szCs w:val="22"/>
                </w:rPr>
                <w:t>Chapter 14a</w:t>
              </w:r>
            </w:hyperlink>
            <w:r w:rsidRPr="00336503">
              <w:rPr>
                <w:rFonts w:cs="Arial"/>
                <w:sz w:val="22"/>
                <w:szCs w:val="22"/>
              </w:rPr>
              <w:t xml:space="preserve">. </w:t>
            </w:r>
            <w:r w:rsidR="0084162D">
              <w:rPr>
                <w:rFonts w:cs="Arial"/>
                <w:sz w:val="22"/>
                <w:szCs w:val="22"/>
              </w:rPr>
              <w:t>Updated</w:t>
            </w:r>
            <w:r w:rsidR="008840AA" w:rsidRPr="00AA5C51">
              <w:rPr>
                <w:rFonts w:cs="Arial"/>
                <w:sz w:val="22"/>
                <w:szCs w:val="22"/>
              </w:rPr>
              <w:t xml:space="preserve"> </w:t>
            </w:r>
            <w:r w:rsidR="004F3FA7">
              <w:rPr>
                <w:rFonts w:cs="Arial"/>
                <w:sz w:val="22"/>
                <w:szCs w:val="22"/>
              </w:rPr>
              <w:t>15 November</w:t>
            </w:r>
            <w:r w:rsidR="00AA5C51" w:rsidRPr="00AA5C51">
              <w:rPr>
                <w:rFonts w:cs="Arial"/>
                <w:sz w:val="22"/>
                <w:szCs w:val="22"/>
              </w:rPr>
              <w:t xml:space="preserve"> 2021</w:t>
            </w:r>
            <w:r w:rsidRPr="00AA5C51">
              <w:rPr>
                <w:rFonts w:cs="Arial"/>
                <w:sz w:val="22"/>
                <w:szCs w:val="22"/>
              </w:rPr>
              <w:t>.</w:t>
            </w:r>
          </w:p>
          <w:p w14:paraId="293AED82" w14:textId="2B8BDA7F" w:rsidR="00B227F7" w:rsidRPr="00336503" w:rsidRDefault="00B01374" w:rsidP="00275FBC">
            <w:pPr>
              <w:pStyle w:val="ListParagraph"/>
              <w:spacing w:after="60"/>
              <w:ind w:left="318"/>
              <w:contextualSpacing w:val="0"/>
              <w:rPr>
                <w:rFonts w:cs="Arial"/>
                <w:sz w:val="22"/>
                <w:szCs w:val="22"/>
              </w:rPr>
            </w:pPr>
            <w:hyperlink r:id="rId82" w:history="1">
              <w:r w:rsidR="00714FF9" w:rsidRPr="00250EFD">
                <w:rPr>
                  <w:rStyle w:val="Hyperlink"/>
                  <w:rFonts w:cs="Arial"/>
                  <w:sz w:val="22"/>
                  <w:szCs w:val="22"/>
                </w:rPr>
                <w:t>https://www.gov.uk/government/collections/immunisation-against-infectious-disease-the-green-book</w:t>
              </w:r>
            </w:hyperlink>
          </w:p>
          <w:p w14:paraId="3646E2A0" w14:textId="66422B8D" w:rsidR="00E64C1D" w:rsidRPr="00AA5C51" w:rsidRDefault="00E95DA5" w:rsidP="00175B2D">
            <w:pPr>
              <w:pStyle w:val="ListParagraph"/>
              <w:numPr>
                <w:ilvl w:val="0"/>
                <w:numId w:val="8"/>
              </w:numPr>
              <w:tabs>
                <w:tab w:val="left" w:pos="8931"/>
              </w:tabs>
              <w:spacing w:before="60"/>
              <w:ind w:left="318" w:right="34" w:hanging="238"/>
              <w:contextualSpacing w:val="0"/>
              <w:rPr>
                <w:rFonts w:cs="Arial"/>
                <w:sz w:val="22"/>
                <w:szCs w:val="22"/>
                <w:lang w:val="en"/>
              </w:rPr>
            </w:pPr>
            <w:r w:rsidRPr="00AA5C51">
              <w:rPr>
                <w:rFonts w:cs="Arial"/>
                <w:sz w:val="22"/>
                <w:szCs w:val="22"/>
                <w:lang w:val="en"/>
              </w:rPr>
              <w:t>COVID-19 vaccination programme. Updated</w:t>
            </w:r>
            <w:r w:rsidR="00AA5C51" w:rsidRPr="00AA5C51">
              <w:rPr>
                <w:rFonts w:cs="Arial"/>
                <w:sz w:val="22"/>
                <w:szCs w:val="22"/>
                <w:lang w:val="en"/>
              </w:rPr>
              <w:t xml:space="preserve"> </w:t>
            </w:r>
            <w:r w:rsidR="009B16D6">
              <w:rPr>
                <w:rFonts w:cs="Arial"/>
                <w:sz w:val="22"/>
                <w:szCs w:val="22"/>
                <w:lang w:val="en"/>
              </w:rPr>
              <w:t>15 November</w:t>
            </w:r>
            <w:r w:rsidR="00411FEA" w:rsidRPr="00AA5C51">
              <w:rPr>
                <w:rFonts w:cs="Arial"/>
                <w:sz w:val="22"/>
                <w:szCs w:val="22"/>
                <w:lang w:val="en"/>
              </w:rPr>
              <w:t xml:space="preserve"> 2021</w:t>
            </w:r>
            <w:r w:rsidRPr="00AA5C51">
              <w:rPr>
                <w:rFonts w:cs="Arial"/>
                <w:sz w:val="22"/>
                <w:szCs w:val="22"/>
                <w:lang w:val="en"/>
              </w:rPr>
              <w:t>.</w:t>
            </w:r>
          </w:p>
          <w:p w14:paraId="3B4CE04C" w14:textId="3A43C07A" w:rsidR="00E64C1D" w:rsidRPr="000028EA" w:rsidRDefault="00B01374" w:rsidP="000028EA">
            <w:pPr>
              <w:pStyle w:val="ListParagraph"/>
              <w:tabs>
                <w:tab w:val="left" w:pos="8931"/>
              </w:tabs>
              <w:spacing w:after="60"/>
              <w:ind w:left="318" w:right="34"/>
              <w:contextualSpacing w:val="0"/>
              <w:rPr>
                <w:lang w:val="en"/>
              </w:rPr>
            </w:pPr>
            <w:hyperlink r:id="rId83" w:history="1">
              <w:r w:rsidR="00E95DA5" w:rsidRPr="00AA5C51">
                <w:rPr>
                  <w:rStyle w:val="Hyperlink"/>
                  <w:rFonts w:cs="Arial"/>
                  <w:sz w:val="22"/>
                  <w:szCs w:val="22"/>
                  <w:lang w:val="en"/>
                </w:rPr>
                <w:t>https://www.gov.uk/government/collections/covid-19-vaccination-programme</w:t>
              </w:r>
            </w:hyperlink>
            <w:r w:rsidR="00E95DA5" w:rsidRPr="00336503">
              <w:rPr>
                <w:rFonts w:cs="Arial"/>
                <w:sz w:val="22"/>
                <w:szCs w:val="22"/>
                <w:lang w:val="en"/>
              </w:rPr>
              <w:t xml:space="preserve"> </w:t>
            </w:r>
            <w:r w:rsidR="00291345" w:rsidRPr="000028EA">
              <w:rPr>
                <w:lang w:val="en"/>
              </w:rPr>
              <w:t xml:space="preserve"> </w:t>
            </w:r>
          </w:p>
          <w:p w14:paraId="6043CA7F" w14:textId="68B0B013" w:rsidR="00E95DA5" w:rsidRPr="00AA5C51" w:rsidRDefault="00E95DA5" w:rsidP="007635C1">
            <w:pPr>
              <w:pStyle w:val="ListParagraph"/>
              <w:numPr>
                <w:ilvl w:val="0"/>
                <w:numId w:val="8"/>
              </w:numPr>
              <w:tabs>
                <w:tab w:val="left" w:pos="8931"/>
              </w:tabs>
              <w:spacing w:before="60"/>
              <w:ind w:left="318" w:right="34" w:hanging="259"/>
              <w:contextualSpacing w:val="0"/>
              <w:rPr>
                <w:rFonts w:cs="Arial"/>
                <w:sz w:val="22"/>
                <w:szCs w:val="22"/>
                <w:lang w:val="en"/>
              </w:rPr>
            </w:pPr>
            <w:r w:rsidRPr="00AA5C51">
              <w:rPr>
                <w:rFonts w:cs="Arial"/>
                <w:sz w:val="22"/>
                <w:szCs w:val="22"/>
                <w:lang w:val="en"/>
              </w:rPr>
              <w:t xml:space="preserve">Training recommendations for COVID-19 vaccinators. Published </w:t>
            </w:r>
            <w:r w:rsidR="00411FEA">
              <w:rPr>
                <w:rFonts w:cs="Arial"/>
                <w:sz w:val="22"/>
                <w:szCs w:val="22"/>
                <w:lang w:val="en"/>
              </w:rPr>
              <w:t>4 October 2021</w:t>
            </w:r>
            <w:r w:rsidRPr="00AA5C51">
              <w:rPr>
                <w:rFonts w:cs="Arial"/>
                <w:sz w:val="22"/>
                <w:szCs w:val="22"/>
                <w:lang w:val="en"/>
              </w:rPr>
              <w:t xml:space="preserve">. </w:t>
            </w:r>
            <w:hyperlink r:id="rId84" w:history="1">
              <w:r w:rsidRPr="00AA5C51">
                <w:rPr>
                  <w:rStyle w:val="Hyperlink"/>
                  <w:rFonts w:cs="Arial"/>
                  <w:sz w:val="22"/>
                  <w:szCs w:val="22"/>
                  <w:lang w:val="en"/>
                </w:rPr>
                <w:t>https://www.gov.uk/government/publications/covid-19-vaccinator-training-recommendations/training-recommendations-for-covid-19-vaccinators</w:t>
              </w:r>
            </w:hyperlink>
            <w:r w:rsidRPr="00336503">
              <w:rPr>
                <w:rFonts w:cs="Arial"/>
                <w:sz w:val="22"/>
                <w:szCs w:val="22"/>
                <w:lang w:val="en"/>
              </w:rPr>
              <w:t xml:space="preserve"> </w:t>
            </w:r>
          </w:p>
          <w:p w14:paraId="024A10CF" w14:textId="7250913C" w:rsidR="00714FF9" w:rsidRPr="00AA5C51" w:rsidRDefault="00714FF9" w:rsidP="007635C1">
            <w:pPr>
              <w:pStyle w:val="ListParagraph"/>
              <w:numPr>
                <w:ilvl w:val="0"/>
                <w:numId w:val="8"/>
              </w:numPr>
              <w:tabs>
                <w:tab w:val="left" w:pos="8931"/>
              </w:tabs>
              <w:spacing w:before="60"/>
              <w:ind w:left="318" w:right="34" w:hanging="238"/>
              <w:contextualSpacing w:val="0"/>
              <w:rPr>
                <w:rFonts w:cs="Arial"/>
                <w:sz w:val="22"/>
                <w:szCs w:val="22"/>
                <w:lang w:val="en"/>
              </w:rPr>
            </w:pPr>
            <w:r w:rsidRPr="00AA5C51">
              <w:rPr>
                <w:rFonts w:cs="Arial"/>
                <w:sz w:val="22"/>
                <w:szCs w:val="22"/>
                <w:lang w:val="en"/>
              </w:rPr>
              <w:t>N</w:t>
            </w:r>
            <w:r w:rsidR="00A76284" w:rsidRPr="00AA5C51">
              <w:rPr>
                <w:rFonts w:cs="Arial"/>
                <w:sz w:val="22"/>
                <w:szCs w:val="22"/>
                <w:lang w:val="en"/>
              </w:rPr>
              <w:t>ational COVID</w:t>
            </w:r>
            <w:r w:rsidRPr="00AA5C51">
              <w:rPr>
                <w:rFonts w:cs="Arial"/>
                <w:sz w:val="22"/>
                <w:szCs w:val="22"/>
                <w:lang w:val="en"/>
              </w:rPr>
              <w:t>-19 vaccination e-learning programme</w:t>
            </w:r>
            <w:r w:rsidR="00F203BD">
              <w:rPr>
                <w:rFonts w:cs="Arial"/>
                <w:sz w:val="22"/>
                <w:szCs w:val="22"/>
                <w:lang w:val="en"/>
              </w:rPr>
              <w:t>.</w:t>
            </w:r>
          </w:p>
          <w:p w14:paraId="6B10FFC6" w14:textId="2BD00AF1" w:rsidR="00714FF9" w:rsidRPr="00336503" w:rsidRDefault="00B01374" w:rsidP="00275FBC">
            <w:pPr>
              <w:pStyle w:val="ListParagraph"/>
              <w:tabs>
                <w:tab w:val="left" w:pos="8931"/>
              </w:tabs>
              <w:spacing w:after="60"/>
              <w:ind w:left="318" w:right="34"/>
              <w:contextualSpacing w:val="0"/>
              <w:rPr>
                <w:rFonts w:cs="Arial"/>
                <w:sz w:val="22"/>
                <w:szCs w:val="22"/>
                <w:lang w:val="en"/>
              </w:rPr>
            </w:pPr>
            <w:hyperlink r:id="rId85" w:history="1">
              <w:r w:rsidR="00714FF9" w:rsidRPr="00AA5C51">
                <w:rPr>
                  <w:rStyle w:val="Hyperlink"/>
                  <w:rFonts w:cs="Arial"/>
                  <w:sz w:val="22"/>
                  <w:szCs w:val="22"/>
                </w:rPr>
                <w:t>https://www.e-lfh.org.uk/programmes/covid-19-vaccination/</w:t>
              </w:r>
            </w:hyperlink>
          </w:p>
          <w:p w14:paraId="5F2A0CDC" w14:textId="01E48ED8" w:rsidR="00714FF9" w:rsidRPr="00AA5C51" w:rsidRDefault="00714FF9" w:rsidP="00BB41AE">
            <w:pPr>
              <w:pStyle w:val="ListParagraph"/>
              <w:numPr>
                <w:ilvl w:val="0"/>
                <w:numId w:val="8"/>
              </w:numPr>
              <w:tabs>
                <w:tab w:val="left" w:pos="8931"/>
              </w:tabs>
              <w:spacing w:before="60"/>
              <w:ind w:left="318" w:right="34" w:hanging="238"/>
              <w:rPr>
                <w:rFonts w:cs="Arial"/>
                <w:sz w:val="22"/>
                <w:szCs w:val="22"/>
                <w:lang w:val="en"/>
              </w:rPr>
            </w:pPr>
            <w:r w:rsidRPr="00AA5C51">
              <w:rPr>
                <w:rFonts w:cs="Arial"/>
                <w:sz w:val="22"/>
                <w:szCs w:val="22"/>
                <w:lang w:val="en"/>
              </w:rPr>
              <w:t xml:space="preserve">COVID-19 vaccinator competency assessment tool. </w:t>
            </w:r>
            <w:r w:rsidR="0084162D">
              <w:rPr>
                <w:rFonts w:cs="Arial"/>
                <w:sz w:val="22"/>
                <w:szCs w:val="22"/>
                <w:lang w:val="en"/>
              </w:rPr>
              <w:t>Updated 16 March 2021</w:t>
            </w:r>
          </w:p>
          <w:p w14:paraId="2B15BA74" w14:textId="71D25059" w:rsidR="00714FF9" w:rsidRPr="00336503" w:rsidRDefault="00B01374" w:rsidP="00275FBC">
            <w:pPr>
              <w:pStyle w:val="ListParagraph"/>
              <w:tabs>
                <w:tab w:val="left" w:pos="8931"/>
              </w:tabs>
              <w:spacing w:after="60"/>
              <w:ind w:left="318" w:right="34"/>
              <w:contextualSpacing w:val="0"/>
              <w:rPr>
                <w:rFonts w:cs="Arial"/>
                <w:sz w:val="22"/>
                <w:szCs w:val="22"/>
                <w:lang w:val="en"/>
              </w:rPr>
            </w:pPr>
            <w:hyperlink r:id="rId86" w:history="1">
              <w:r w:rsidR="00714FF9" w:rsidRPr="00AA5C51">
                <w:rPr>
                  <w:rStyle w:val="Hyperlink"/>
                  <w:rFonts w:cs="Arial"/>
                  <w:sz w:val="22"/>
                  <w:szCs w:val="22"/>
                </w:rPr>
                <w:t>https://www.gov.uk/government/publications/covid-19-vaccinator-competency-assessment-tool</w:t>
              </w:r>
            </w:hyperlink>
          </w:p>
          <w:p w14:paraId="252FD564" w14:textId="09065A6B" w:rsidR="00807C6F" w:rsidRPr="00AA5C51" w:rsidRDefault="00DE3CCC" w:rsidP="00BB41AE">
            <w:pPr>
              <w:pStyle w:val="ListParagraph"/>
              <w:numPr>
                <w:ilvl w:val="0"/>
                <w:numId w:val="8"/>
              </w:numPr>
              <w:tabs>
                <w:tab w:val="left" w:pos="8931"/>
              </w:tabs>
              <w:spacing w:before="60"/>
              <w:ind w:left="342" w:right="34" w:hanging="283"/>
              <w:rPr>
                <w:rFonts w:cs="Arial"/>
                <w:sz w:val="22"/>
                <w:szCs w:val="22"/>
                <w:lang w:val="en"/>
              </w:rPr>
            </w:pPr>
            <w:r w:rsidRPr="00AA5C51">
              <w:rPr>
                <w:rFonts w:cs="Arial"/>
                <w:sz w:val="22"/>
                <w:szCs w:val="22"/>
                <w:lang w:val="en"/>
              </w:rPr>
              <w:t xml:space="preserve">COVID-19: vaccination programme guidance for healthcare practitioners. </w:t>
            </w:r>
            <w:r w:rsidR="0084162D" w:rsidRPr="0084162D">
              <w:rPr>
                <w:rFonts w:cs="Arial"/>
                <w:sz w:val="22"/>
                <w:szCs w:val="22"/>
                <w:lang w:val="en"/>
              </w:rPr>
              <w:t>U</w:t>
            </w:r>
            <w:r w:rsidR="0084162D">
              <w:rPr>
                <w:rFonts w:cs="Arial"/>
                <w:sz w:val="22"/>
                <w:szCs w:val="22"/>
                <w:lang w:val="en"/>
              </w:rPr>
              <w:t>p</w:t>
            </w:r>
            <w:r w:rsidR="0084162D" w:rsidRPr="0084162D">
              <w:rPr>
                <w:rFonts w:cs="Arial"/>
                <w:sz w:val="22"/>
                <w:szCs w:val="22"/>
                <w:lang w:val="en"/>
              </w:rPr>
              <w:t>dated 6 August 2021</w:t>
            </w:r>
          </w:p>
          <w:p w14:paraId="65BF1549" w14:textId="03A0AB44" w:rsidR="00DE3CCC" w:rsidRPr="00336503" w:rsidRDefault="00B01374" w:rsidP="00275FBC">
            <w:pPr>
              <w:pStyle w:val="ListParagraph"/>
              <w:tabs>
                <w:tab w:val="left" w:pos="8931"/>
              </w:tabs>
              <w:spacing w:after="60"/>
              <w:ind w:left="340" w:right="34"/>
              <w:contextualSpacing w:val="0"/>
              <w:rPr>
                <w:rFonts w:cs="Arial"/>
                <w:sz w:val="22"/>
                <w:szCs w:val="22"/>
                <w:lang w:val="en"/>
              </w:rPr>
            </w:pPr>
            <w:hyperlink r:id="rId87" w:history="1">
              <w:r w:rsidR="00807C6F" w:rsidRPr="00AA5C51">
                <w:rPr>
                  <w:rStyle w:val="Hyperlink"/>
                  <w:rFonts w:cs="Arial"/>
                  <w:sz w:val="22"/>
                  <w:szCs w:val="22"/>
                  <w:lang w:val="en"/>
                </w:rPr>
                <w:t>https://www.gov.uk/government/publications/covid-19-vaccination-programme-guidance-for-healthcare-practitioners</w:t>
              </w:r>
            </w:hyperlink>
          </w:p>
          <w:bookmarkStart w:id="44" w:name="_Hlk58151724"/>
          <w:p w14:paraId="4A106D86" w14:textId="138DA84D" w:rsidR="00C655CD" w:rsidRPr="00213C02" w:rsidRDefault="0052506A" w:rsidP="00BB41AE">
            <w:pPr>
              <w:pStyle w:val="TableParagraph"/>
              <w:numPr>
                <w:ilvl w:val="0"/>
                <w:numId w:val="6"/>
              </w:numPr>
              <w:spacing w:before="60"/>
              <w:ind w:left="341" w:right="91" w:hanging="284"/>
              <w:rPr>
                <w:rFonts w:ascii="Arial" w:hAnsi="Arial" w:cs="Arial"/>
                <w:lang w:val="en"/>
              </w:rPr>
            </w:pPr>
            <w:r w:rsidRPr="00250EFD">
              <w:fldChar w:fldCharType="begin"/>
            </w:r>
            <w:r w:rsidRPr="00AA5C51">
              <w:rPr>
                <w:rFonts w:ascii="Arial" w:hAnsi="Arial" w:cs="Arial"/>
              </w:rPr>
              <w:instrText>HYPERLINK "https://www.gov.uk/government/publications/regulatory-approval-of-pfizer-biontech-vaccine-for-covid-19"</w:instrText>
            </w:r>
            <w:r w:rsidRPr="00250EFD">
              <w:fldChar w:fldCharType="separate"/>
            </w:r>
            <w:r w:rsidRPr="00AA5C51">
              <w:rPr>
                <w:rStyle w:val="Hyperlink"/>
                <w:rFonts w:ascii="Arial" w:hAnsi="Arial" w:cs="Arial"/>
              </w:rPr>
              <w:t>Regulation 174 Information for UK Healthcare Professionals</w:t>
            </w:r>
            <w:r w:rsidRPr="00250EFD">
              <w:rPr>
                <w:rStyle w:val="Hyperlink"/>
                <w:rFonts w:ascii="Arial" w:hAnsi="Arial" w:cs="Arial"/>
              </w:rPr>
              <w:fldChar w:fldCharType="end"/>
            </w:r>
            <w:bookmarkEnd w:id="44"/>
            <w:r w:rsidR="00C655CD" w:rsidRPr="00336503">
              <w:rPr>
                <w:rFonts w:ascii="Arial" w:hAnsi="Arial" w:cs="Arial"/>
                <w:lang w:val="en"/>
              </w:rPr>
              <w:t xml:space="preserve"> and </w:t>
            </w:r>
            <w:hyperlink r:id="rId88" w:tgtFrame="_blank" w:history="1">
              <w:hyperlink r:id="rId89" w:history="1">
                <w:r w:rsidR="00DA103D" w:rsidRPr="00AA5C51">
                  <w:rPr>
                    <w:rStyle w:val="Hyperlink"/>
                    <w:rFonts w:ascii="Arial" w:eastAsia="Arial" w:hAnsi="Arial" w:cs="Arial"/>
                  </w:rPr>
                  <w:t>Regulation 174 Information for UK recipients</w:t>
                </w:r>
              </w:hyperlink>
              <w:r w:rsidR="00DA103D" w:rsidRPr="00AA5C51">
                <w:rPr>
                  <w:rStyle w:val="Hyperlink"/>
                  <w:rFonts w:ascii="Arial" w:eastAsia="Arial" w:hAnsi="Arial" w:cs="Arial"/>
                </w:rPr>
                <w:t xml:space="preserve"> </w:t>
              </w:r>
              <w:r w:rsidR="00DA103D" w:rsidRPr="00AA5C51">
                <w:rPr>
                  <w:rFonts w:ascii="Arial" w:eastAsia="Arial" w:hAnsi="Arial" w:cs="Arial"/>
                </w:rPr>
                <w:t xml:space="preserve"> </w:t>
              </w:r>
              <w:r w:rsidR="00DA103D" w:rsidRPr="00AA5C51">
                <w:rPr>
                  <w:rFonts w:ascii="Arial" w:hAnsi="Arial" w:cs="Arial"/>
                </w:rPr>
                <w:t>for COVID-19 mRNA vaccine BNT162b2</w:t>
              </w:r>
            </w:hyperlink>
            <w:r w:rsidR="00EE1095" w:rsidRPr="00336503">
              <w:rPr>
                <w:rFonts w:ascii="Arial" w:eastAsia="Arial" w:hAnsi="Arial" w:cs="Arial"/>
              </w:rPr>
              <w:t xml:space="preserve"> </w:t>
            </w:r>
            <w:r w:rsidR="00EE1095" w:rsidRPr="00AA5C51">
              <w:rPr>
                <w:rFonts w:ascii="Arial" w:hAnsi="Arial" w:cs="Arial"/>
                <w:lang w:val="en"/>
              </w:rPr>
              <w:t xml:space="preserve">and </w:t>
            </w:r>
            <w:hyperlink r:id="rId90" w:history="1">
              <w:r w:rsidR="00DA6115" w:rsidRPr="00AA5C51">
                <w:rPr>
                  <w:rStyle w:val="Hyperlink"/>
                  <w:rFonts w:ascii="Arial" w:hAnsi="Arial" w:cs="Arial"/>
                  <w:lang w:val="en"/>
                </w:rPr>
                <w:t>Conditions of Authorisation for Pfizer/BioNTech COVID-19 vaccine BNT162b2</w:t>
              </w:r>
            </w:hyperlink>
            <w:r w:rsidR="00EE1095" w:rsidRPr="00336503">
              <w:rPr>
                <w:rFonts w:ascii="Arial" w:hAnsi="Arial" w:cs="Arial"/>
                <w:lang w:val="en"/>
              </w:rPr>
              <w:t>.</w:t>
            </w:r>
            <w:r w:rsidR="00AA5C51" w:rsidRPr="00213C02">
              <w:rPr>
                <w:rFonts w:ascii="Arial" w:hAnsi="Arial" w:cs="Arial"/>
                <w:lang w:val="en"/>
              </w:rPr>
              <w:t xml:space="preserve"> </w:t>
            </w:r>
            <w:r w:rsidR="0084162D">
              <w:rPr>
                <w:rFonts w:ascii="Arial" w:hAnsi="Arial" w:cs="Arial"/>
                <w:lang w:val="en"/>
              </w:rPr>
              <w:t xml:space="preserve">Updated </w:t>
            </w:r>
            <w:r w:rsidR="009B16D6">
              <w:rPr>
                <w:rFonts w:ascii="Arial" w:hAnsi="Arial" w:cs="Arial"/>
                <w:lang w:val="en"/>
              </w:rPr>
              <w:t>15 November</w:t>
            </w:r>
            <w:r w:rsidR="00593AA4">
              <w:rPr>
                <w:rFonts w:ascii="Arial" w:hAnsi="Arial" w:cs="Arial"/>
                <w:lang w:val="en"/>
              </w:rPr>
              <w:t xml:space="preserve"> </w:t>
            </w:r>
            <w:r w:rsidR="00AA5C51" w:rsidRPr="00213C02">
              <w:rPr>
                <w:rFonts w:ascii="Arial" w:hAnsi="Arial" w:cs="Arial"/>
                <w:lang w:val="en"/>
              </w:rPr>
              <w:t>2021</w:t>
            </w:r>
          </w:p>
          <w:p w14:paraId="676E4402" w14:textId="701D9AF1" w:rsidR="00B227F7" w:rsidRPr="00AA5C51" w:rsidRDefault="00B01374" w:rsidP="00CE0435">
            <w:pPr>
              <w:pStyle w:val="ListParagraph"/>
              <w:ind w:left="340"/>
              <w:contextualSpacing w:val="0"/>
              <w:rPr>
                <w:rFonts w:cs="Arial"/>
                <w:color w:val="0000FF"/>
                <w:sz w:val="22"/>
                <w:szCs w:val="22"/>
                <w:u w:val="single"/>
              </w:rPr>
            </w:pPr>
            <w:hyperlink r:id="rId91" w:history="1">
              <w:r w:rsidR="00BB441B" w:rsidRPr="00AA5C51">
                <w:rPr>
                  <w:rStyle w:val="Hyperlink"/>
                  <w:rFonts w:cs="Arial"/>
                  <w:sz w:val="22"/>
                  <w:szCs w:val="22"/>
                </w:rPr>
                <w:t>https://www.gov.uk/government/publications/regulatory-approval-of-pfizer-biontech-vaccine-for-covid-19</w:t>
              </w:r>
            </w:hyperlink>
            <w:r w:rsidR="00BB441B" w:rsidRPr="00336503">
              <w:rPr>
                <w:rFonts w:cs="Arial"/>
                <w:sz w:val="22"/>
                <w:szCs w:val="22"/>
              </w:rPr>
              <w:t xml:space="preserve"> </w:t>
            </w:r>
            <w:r w:rsidR="00C655CD" w:rsidRPr="00AA5C51">
              <w:rPr>
                <w:rFonts w:cs="Arial"/>
                <w:sz w:val="22"/>
                <w:szCs w:val="22"/>
              </w:rPr>
              <w:t xml:space="preserve"> </w:t>
            </w:r>
          </w:p>
          <w:p w14:paraId="4FED945F" w14:textId="0725FD73" w:rsidR="00994A31" w:rsidRPr="00213C02" w:rsidRDefault="00994A31" w:rsidP="00275FBC">
            <w:pPr>
              <w:pStyle w:val="ListParagraph"/>
              <w:ind w:left="318"/>
              <w:contextualSpacing w:val="0"/>
              <w:rPr>
                <w:rFonts w:cs="Arial"/>
                <w:sz w:val="22"/>
                <w:szCs w:val="22"/>
              </w:rPr>
            </w:pPr>
          </w:p>
          <w:p w14:paraId="29101C05" w14:textId="58EA4B6A" w:rsidR="00B227F7" w:rsidRPr="00AA5C51" w:rsidRDefault="00B227F7" w:rsidP="007B2C02">
            <w:pPr>
              <w:pStyle w:val="Default"/>
              <w:rPr>
                <w:b/>
                <w:sz w:val="22"/>
                <w:szCs w:val="22"/>
              </w:rPr>
            </w:pPr>
            <w:r w:rsidRPr="00336503">
              <w:rPr>
                <w:b/>
                <w:sz w:val="22"/>
                <w:szCs w:val="22"/>
              </w:rPr>
              <w:t>General</w:t>
            </w:r>
          </w:p>
          <w:p w14:paraId="6A0FBD30" w14:textId="06FE5438" w:rsidR="00B227F7" w:rsidRPr="00AA5C51" w:rsidRDefault="00B227F7" w:rsidP="007B2C02">
            <w:pPr>
              <w:pStyle w:val="ListParagraph"/>
              <w:numPr>
                <w:ilvl w:val="0"/>
                <w:numId w:val="5"/>
              </w:numPr>
              <w:spacing w:before="60" w:after="60"/>
              <w:ind w:left="318" w:hanging="284"/>
              <w:contextualSpacing w:val="0"/>
              <w:rPr>
                <w:rStyle w:val="Hyperlink"/>
                <w:rFonts w:cs="Arial"/>
                <w:color w:val="FF0000"/>
                <w:sz w:val="22"/>
                <w:szCs w:val="22"/>
                <w:u w:val="none"/>
              </w:rPr>
            </w:pPr>
            <w:r w:rsidRPr="00213C02">
              <w:rPr>
                <w:rFonts w:cs="Arial"/>
                <w:sz w:val="22"/>
                <w:szCs w:val="22"/>
              </w:rPr>
              <w:t xml:space="preserve">Health Technical Memorandum 07-01: Safe Management of Healthcare Waste. Department of Health 20 March 2013 </w:t>
            </w:r>
            <w:hyperlink r:id="rId92" w:history="1">
              <w:r w:rsidR="00411FEA" w:rsidRPr="004A7A67">
                <w:rPr>
                  <w:rStyle w:val="Hyperlink"/>
                  <w:sz w:val="22"/>
                  <w:szCs w:val="22"/>
                </w:rPr>
                <w:t>https://www.england.nhs.uk/publication/management-and-disposal-of-healthcare-waste-htm-07-01/</w:t>
              </w:r>
            </w:hyperlink>
          </w:p>
          <w:p w14:paraId="54670822" w14:textId="77777777" w:rsidR="00B227F7" w:rsidRPr="00AA5C51" w:rsidRDefault="00B227F7" w:rsidP="004C732B">
            <w:pPr>
              <w:pStyle w:val="ListParagraph"/>
              <w:numPr>
                <w:ilvl w:val="0"/>
                <w:numId w:val="5"/>
              </w:numPr>
              <w:spacing w:before="60" w:after="60"/>
              <w:ind w:left="318" w:hanging="284"/>
              <w:contextualSpacing w:val="0"/>
              <w:rPr>
                <w:rFonts w:cs="Arial"/>
                <w:sz w:val="22"/>
                <w:szCs w:val="22"/>
              </w:rPr>
            </w:pPr>
            <w:r w:rsidRPr="000D3475">
              <w:rPr>
                <w:rFonts w:cs="Arial"/>
                <w:sz w:val="22"/>
                <w:szCs w:val="22"/>
              </w:rPr>
              <w:t>NICE Medicines Practice Guideline 2 (MPG2): Pati</w:t>
            </w:r>
            <w:r w:rsidRPr="008946BC">
              <w:rPr>
                <w:rFonts w:cs="Arial"/>
                <w:sz w:val="22"/>
                <w:szCs w:val="22"/>
              </w:rPr>
              <w:t xml:space="preserve">ent Group Directions. Published March 2017. </w:t>
            </w:r>
            <w:hyperlink r:id="rId93" w:history="1">
              <w:r w:rsidRPr="00AA5C51">
                <w:rPr>
                  <w:rStyle w:val="Hyperlink"/>
                  <w:rFonts w:cs="Arial"/>
                  <w:sz w:val="22"/>
                  <w:szCs w:val="22"/>
                </w:rPr>
                <w:t>https://www.nice.org.uk/guidance/mpg2</w:t>
              </w:r>
            </w:hyperlink>
            <w:r w:rsidRPr="00336503">
              <w:rPr>
                <w:rFonts w:cs="Arial"/>
                <w:sz w:val="22"/>
                <w:szCs w:val="22"/>
              </w:rPr>
              <w:t xml:space="preserve"> </w:t>
            </w:r>
          </w:p>
          <w:p w14:paraId="0FAFF0F9" w14:textId="77777777" w:rsidR="00B227F7" w:rsidRPr="00AA5C51" w:rsidRDefault="00B227F7" w:rsidP="004C732B">
            <w:pPr>
              <w:pStyle w:val="ListParagraph"/>
              <w:numPr>
                <w:ilvl w:val="0"/>
                <w:numId w:val="5"/>
              </w:numPr>
              <w:spacing w:before="60"/>
              <w:ind w:left="318" w:hanging="284"/>
              <w:contextualSpacing w:val="0"/>
              <w:rPr>
                <w:rFonts w:cs="Arial"/>
                <w:sz w:val="22"/>
                <w:szCs w:val="22"/>
              </w:rPr>
            </w:pPr>
            <w:r w:rsidRPr="000D3475">
              <w:rPr>
                <w:rFonts w:cs="Arial"/>
                <w:sz w:val="22"/>
                <w:szCs w:val="22"/>
              </w:rPr>
              <w:t xml:space="preserve">NICE MPG2 Patient group directions: competency framework for health professionals using patient group directions. Updated March 2017.         </w:t>
            </w:r>
          </w:p>
          <w:p w14:paraId="6BBC3428" w14:textId="77777777" w:rsidR="00B227F7" w:rsidRPr="00336503" w:rsidRDefault="00B01374" w:rsidP="004C732B">
            <w:pPr>
              <w:pStyle w:val="ListParagraph"/>
              <w:spacing w:after="60"/>
              <w:ind w:left="318"/>
              <w:contextualSpacing w:val="0"/>
              <w:rPr>
                <w:rFonts w:cs="Arial"/>
                <w:sz w:val="22"/>
                <w:szCs w:val="22"/>
              </w:rPr>
            </w:pPr>
            <w:hyperlink r:id="rId94" w:history="1">
              <w:r w:rsidR="00B227F7" w:rsidRPr="00AA5C51">
                <w:rPr>
                  <w:rStyle w:val="Hyperlink"/>
                  <w:rFonts w:cs="Arial"/>
                  <w:sz w:val="22"/>
                  <w:szCs w:val="22"/>
                </w:rPr>
                <w:t>https://www.nice.org.uk/guidance/mpg2/resources</w:t>
              </w:r>
            </w:hyperlink>
            <w:r w:rsidR="00B227F7" w:rsidRPr="00336503">
              <w:rPr>
                <w:rFonts w:cs="Arial"/>
                <w:sz w:val="22"/>
                <w:szCs w:val="22"/>
              </w:rPr>
              <w:t xml:space="preserve"> </w:t>
            </w:r>
          </w:p>
          <w:p w14:paraId="537D2802" w14:textId="77777777" w:rsidR="004C732B" w:rsidRPr="008946BC" w:rsidRDefault="004C732B" w:rsidP="00291345">
            <w:pPr>
              <w:pStyle w:val="ListParagraph"/>
              <w:numPr>
                <w:ilvl w:val="0"/>
                <w:numId w:val="10"/>
              </w:numPr>
              <w:spacing w:before="60"/>
              <w:ind w:left="318" w:right="34" w:hanging="342"/>
              <w:contextualSpacing w:val="0"/>
              <w:rPr>
                <w:rFonts w:cs="Arial"/>
                <w:sz w:val="22"/>
                <w:szCs w:val="22"/>
              </w:rPr>
            </w:pPr>
            <w:r w:rsidRPr="000D3475">
              <w:rPr>
                <w:rFonts w:cs="Arial"/>
                <w:sz w:val="22"/>
                <w:szCs w:val="22"/>
              </w:rPr>
              <w:t>Patient Group Directions: who can use them. Medicines and Healthcare products Regulatory Agency. 4 December 2017.</w:t>
            </w:r>
          </w:p>
          <w:p w14:paraId="38C55718" w14:textId="265E4EB3" w:rsidR="004C732B" w:rsidRPr="00336503" w:rsidRDefault="00B01374" w:rsidP="006D38C2">
            <w:pPr>
              <w:pStyle w:val="ListParagraph"/>
              <w:spacing w:after="60"/>
              <w:ind w:left="318" w:right="34"/>
              <w:contextualSpacing w:val="0"/>
              <w:rPr>
                <w:rFonts w:cs="Arial"/>
                <w:sz w:val="22"/>
                <w:szCs w:val="22"/>
              </w:rPr>
            </w:pPr>
            <w:hyperlink r:id="rId95" w:history="1">
              <w:r w:rsidR="004C732B" w:rsidRPr="00250EFD">
                <w:rPr>
                  <w:rStyle w:val="Hyperlink"/>
                  <w:rFonts w:cs="Arial"/>
                  <w:sz w:val="22"/>
                  <w:szCs w:val="22"/>
                </w:rPr>
                <w:t>https://www.gov.uk/government/publications/patient-group-directions-pgds/patient-group-directions-who-can-use-them</w:t>
              </w:r>
            </w:hyperlink>
            <w:r w:rsidR="004C732B" w:rsidRPr="00336503">
              <w:rPr>
                <w:rFonts w:cs="Arial"/>
                <w:sz w:val="22"/>
                <w:szCs w:val="22"/>
              </w:rPr>
              <w:t xml:space="preserve"> </w:t>
            </w:r>
          </w:p>
          <w:p w14:paraId="56C717E5" w14:textId="37253458" w:rsidR="00B53F21" w:rsidRPr="00336503" w:rsidRDefault="00B53F21" w:rsidP="00E26C8C">
            <w:pPr>
              <w:pStyle w:val="ListParagraph"/>
              <w:numPr>
                <w:ilvl w:val="0"/>
                <w:numId w:val="5"/>
              </w:numPr>
              <w:spacing w:before="60" w:after="60"/>
              <w:ind w:left="341" w:hanging="284"/>
              <w:contextualSpacing w:val="0"/>
              <w:rPr>
                <w:rFonts w:cs="Arial"/>
                <w:color w:val="FF0000"/>
                <w:sz w:val="22"/>
                <w:szCs w:val="22"/>
              </w:rPr>
            </w:pPr>
            <w:r w:rsidRPr="000D3475">
              <w:rPr>
                <w:rFonts w:cs="Arial"/>
                <w:sz w:val="22"/>
                <w:szCs w:val="22"/>
              </w:rPr>
              <w:t>UK Statutory Instrument 2012 No. 1916, The H</w:t>
            </w:r>
            <w:r w:rsidRPr="008946BC">
              <w:rPr>
                <w:rFonts w:cs="Arial"/>
                <w:sz w:val="22"/>
                <w:szCs w:val="22"/>
              </w:rPr>
              <w:t xml:space="preserve">uman Medicines Regulations 2012 </w:t>
            </w:r>
            <w:hyperlink r:id="rId96" w:history="1">
              <w:r w:rsidRPr="00250EFD">
                <w:rPr>
                  <w:rStyle w:val="Hyperlink"/>
                  <w:rFonts w:cs="Arial"/>
                  <w:sz w:val="22"/>
                  <w:szCs w:val="22"/>
                </w:rPr>
                <w:t>https://www.legislation.gov.uk/uksi/2012/1916/contents</w:t>
              </w:r>
            </w:hyperlink>
            <w:r w:rsidRPr="00336503">
              <w:rPr>
                <w:rFonts w:cs="Arial"/>
                <w:sz w:val="22"/>
                <w:szCs w:val="22"/>
              </w:rPr>
              <w:t xml:space="preserve"> </w:t>
            </w:r>
          </w:p>
          <w:p w14:paraId="6B4483C9" w14:textId="77777777" w:rsidR="00B53F21" w:rsidRPr="008946BC" w:rsidRDefault="00B53F21" w:rsidP="00E26C8C">
            <w:pPr>
              <w:pStyle w:val="ListParagraph"/>
              <w:numPr>
                <w:ilvl w:val="0"/>
                <w:numId w:val="5"/>
              </w:numPr>
              <w:spacing w:before="60"/>
              <w:ind w:left="342" w:hanging="284"/>
              <w:contextualSpacing w:val="0"/>
              <w:rPr>
                <w:rFonts w:cs="Arial"/>
                <w:sz w:val="22"/>
                <w:szCs w:val="22"/>
              </w:rPr>
            </w:pPr>
            <w:r w:rsidRPr="000D3475">
              <w:rPr>
                <w:rFonts w:cs="Arial"/>
                <w:sz w:val="22"/>
                <w:szCs w:val="22"/>
              </w:rPr>
              <w:t xml:space="preserve">UK Statutory Instrument 2020 No. 1125, The Human Medicines (Coronavirus and Influenza) </w:t>
            </w:r>
            <w:r w:rsidRPr="008946BC">
              <w:rPr>
                <w:rFonts w:cs="Arial"/>
                <w:sz w:val="22"/>
                <w:szCs w:val="22"/>
              </w:rPr>
              <w:t>(Amendment) Regulations 2020</w:t>
            </w:r>
          </w:p>
          <w:p w14:paraId="117D382F" w14:textId="30AC1CA1" w:rsidR="00BA68F9" w:rsidRDefault="00B01374" w:rsidP="00BA68F9">
            <w:pPr>
              <w:pStyle w:val="ListParagraph"/>
              <w:spacing w:after="120"/>
              <w:ind w:left="340"/>
              <w:contextualSpacing w:val="0"/>
              <w:rPr>
                <w:rFonts w:cs="Arial"/>
                <w:sz w:val="22"/>
                <w:szCs w:val="22"/>
              </w:rPr>
            </w:pPr>
            <w:hyperlink r:id="rId97" w:history="1">
              <w:r w:rsidR="00B53F21" w:rsidRPr="00250EFD">
                <w:rPr>
                  <w:rStyle w:val="Hyperlink"/>
                  <w:rFonts w:cs="Arial"/>
                  <w:sz w:val="22"/>
                  <w:szCs w:val="22"/>
                </w:rPr>
                <w:t>https://www.legislation.gov.uk/uksi/2020/1125/contents/made</w:t>
              </w:r>
            </w:hyperlink>
            <w:r w:rsidR="00B53F21" w:rsidRPr="00336503">
              <w:rPr>
                <w:rFonts w:cs="Arial"/>
                <w:sz w:val="22"/>
                <w:szCs w:val="22"/>
              </w:rPr>
              <w:t xml:space="preserve"> </w:t>
            </w:r>
          </w:p>
          <w:p w14:paraId="40DA47F3" w14:textId="20E411B2" w:rsidR="00A15BF8" w:rsidRDefault="00A15BF8" w:rsidP="00A15BF8">
            <w:pPr>
              <w:pStyle w:val="ListParagraph"/>
              <w:numPr>
                <w:ilvl w:val="0"/>
                <w:numId w:val="5"/>
              </w:numPr>
              <w:spacing w:before="60"/>
              <w:ind w:left="342" w:hanging="284"/>
              <w:contextualSpacing w:val="0"/>
              <w:rPr>
                <w:rFonts w:cs="Arial"/>
                <w:sz w:val="22"/>
                <w:szCs w:val="22"/>
              </w:rPr>
            </w:pPr>
            <w:r w:rsidRPr="000D3475">
              <w:rPr>
                <w:rFonts w:cs="Arial"/>
                <w:sz w:val="22"/>
                <w:szCs w:val="22"/>
              </w:rPr>
              <w:t>UK Statutory Instrument 2020 No. 1</w:t>
            </w:r>
            <w:r>
              <w:rPr>
                <w:rFonts w:cs="Arial"/>
                <w:sz w:val="22"/>
                <w:szCs w:val="22"/>
              </w:rPr>
              <w:t>594</w:t>
            </w:r>
            <w:r w:rsidRPr="000D3475">
              <w:rPr>
                <w:rFonts w:cs="Arial"/>
                <w:sz w:val="22"/>
                <w:szCs w:val="22"/>
              </w:rPr>
              <w:t xml:space="preserve">, The Human Medicines (Coronavirus and Influenza) </w:t>
            </w:r>
            <w:r w:rsidRPr="008946BC">
              <w:rPr>
                <w:rFonts w:cs="Arial"/>
                <w:sz w:val="22"/>
                <w:szCs w:val="22"/>
              </w:rPr>
              <w:t>(Amendment) Regulations 2020</w:t>
            </w:r>
          </w:p>
          <w:p w14:paraId="28ACA631" w14:textId="7F176DC0" w:rsidR="00BA68F9" w:rsidRPr="00213C02" w:rsidRDefault="00B01374">
            <w:pPr>
              <w:pStyle w:val="ListParagraph"/>
              <w:spacing w:after="120"/>
              <w:ind w:left="340"/>
              <w:contextualSpacing w:val="0"/>
              <w:rPr>
                <w:rFonts w:cs="Arial"/>
                <w:sz w:val="22"/>
                <w:szCs w:val="22"/>
              </w:rPr>
            </w:pPr>
            <w:hyperlink r:id="rId98" w:history="1">
              <w:r w:rsidR="00BA68F9" w:rsidRPr="00E3181F">
                <w:rPr>
                  <w:rStyle w:val="Hyperlink"/>
                  <w:rFonts w:cs="Arial"/>
                  <w:sz w:val="22"/>
                  <w:szCs w:val="22"/>
                </w:rPr>
                <w:t>https://www.legislation.gov.uk/uksi/2020/1594/regulation/4/made</w:t>
              </w:r>
            </w:hyperlink>
            <w:r w:rsidR="00BA68F9">
              <w:rPr>
                <w:rFonts w:cs="Arial"/>
                <w:sz w:val="22"/>
                <w:szCs w:val="22"/>
              </w:rPr>
              <w:t xml:space="preserve"> </w:t>
            </w:r>
          </w:p>
        </w:tc>
      </w:tr>
    </w:tbl>
    <w:p w14:paraId="7568CD55" w14:textId="246ED615" w:rsidR="00275FBC" w:rsidRDefault="00275FBC">
      <w:pPr>
        <w:overflowPunct/>
        <w:autoSpaceDE/>
        <w:autoSpaceDN/>
        <w:adjustRightInd/>
        <w:spacing w:after="160" w:line="259" w:lineRule="auto"/>
        <w:textAlignment w:val="auto"/>
        <w:rPr>
          <w:b/>
        </w:rPr>
      </w:pPr>
    </w:p>
    <w:p w14:paraId="3E7B8749" w14:textId="48A8238E" w:rsidR="00B227F7" w:rsidRPr="00842DE0" w:rsidRDefault="00B227F7" w:rsidP="00291345">
      <w:pPr>
        <w:pStyle w:val="ListParagraph"/>
        <w:numPr>
          <w:ilvl w:val="0"/>
          <w:numId w:val="9"/>
        </w:numPr>
        <w:rPr>
          <w:b/>
        </w:rPr>
      </w:pPr>
      <w:bookmarkStart w:id="45" w:name="Section7PractitionerAuthorisation"/>
      <w:bookmarkEnd w:id="45"/>
      <w:r w:rsidRPr="00842DE0">
        <w:rPr>
          <w:b/>
        </w:rPr>
        <w:lastRenderedPageBreak/>
        <w:t>Practitioner authorisation sheet</w:t>
      </w:r>
    </w:p>
    <w:p w14:paraId="2401C1BB" w14:textId="77777777" w:rsidR="00B227F7" w:rsidRPr="00B9010B" w:rsidRDefault="00B227F7" w:rsidP="00B227F7">
      <w:pPr>
        <w:overflowPunct/>
        <w:autoSpaceDE/>
        <w:autoSpaceDN/>
        <w:adjustRightInd/>
        <w:textAlignment w:val="auto"/>
        <w:rPr>
          <w:b/>
          <w:szCs w:val="24"/>
        </w:rPr>
      </w:pPr>
    </w:p>
    <w:p w14:paraId="74EDD246" w14:textId="7FFC6414" w:rsidR="00C1121F" w:rsidRDefault="00765DD4" w:rsidP="00B227F7">
      <w:pPr>
        <w:ind w:rightChars="-375" w:right="-900"/>
        <w:rPr>
          <w:b/>
          <w:szCs w:val="24"/>
        </w:rPr>
      </w:pPr>
      <w:r>
        <w:rPr>
          <w:b/>
          <w:szCs w:val="24"/>
        </w:rPr>
        <w:t>COVID-19 mRNA vaccine BNT162b2</w:t>
      </w:r>
      <w:r w:rsidR="003E2E61">
        <w:rPr>
          <w:b/>
          <w:szCs w:val="24"/>
        </w:rPr>
        <w:t xml:space="preserve"> </w:t>
      </w:r>
      <w:r w:rsidR="00B227F7" w:rsidRPr="00B9010B">
        <w:rPr>
          <w:b/>
          <w:szCs w:val="24"/>
        </w:rPr>
        <w:t>PGD v0</w:t>
      </w:r>
      <w:r w:rsidR="00411FEA">
        <w:rPr>
          <w:b/>
          <w:szCs w:val="24"/>
        </w:rPr>
        <w:t>6</w:t>
      </w:r>
      <w:r w:rsidR="00B227F7" w:rsidRPr="00B9010B">
        <w:rPr>
          <w:b/>
          <w:szCs w:val="24"/>
        </w:rPr>
        <w:t>.0</w:t>
      </w:r>
      <w:r w:rsidR="00D4432E">
        <w:rPr>
          <w:b/>
          <w:szCs w:val="24"/>
        </w:rPr>
        <w:t>0</w:t>
      </w:r>
      <w:r w:rsidR="00B227F7">
        <w:rPr>
          <w:b/>
          <w:szCs w:val="24"/>
        </w:rPr>
        <w:t xml:space="preserve"> </w:t>
      </w:r>
    </w:p>
    <w:p w14:paraId="7271DDF9" w14:textId="06BC9611" w:rsidR="00B227F7" w:rsidRPr="00B9010B" w:rsidRDefault="00B227F7" w:rsidP="00B227F7">
      <w:pPr>
        <w:ind w:rightChars="-375" w:right="-900"/>
        <w:rPr>
          <w:rFonts w:cs="Arial"/>
          <w:b/>
          <w:szCs w:val="24"/>
        </w:rPr>
      </w:pPr>
      <w:r w:rsidRPr="00B9010B">
        <w:rPr>
          <w:b/>
          <w:szCs w:val="24"/>
        </w:rPr>
        <w:t>Valid from</w:t>
      </w:r>
      <w:r w:rsidRPr="00046691">
        <w:rPr>
          <w:b/>
          <w:szCs w:val="24"/>
        </w:rPr>
        <w:t xml:space="preserve">: </w:t>
      </w:r>
      <w:r w:rsidR="00046691" w:rsidRPr="00046691">
        <w:rPr>
          <w:b/>
          <w:szCs w:val="24"/>
        </w:rPr>
        <w:t>19</w:t>
      </w:r>
      <w:r w:rsidRPr="00046691">
        <w:rPr>
          <w:b/>
          <w:szCs w:val="24"/>
        </w:rPr>
        <w:t>/</w:t>
      </w:r>
      <w:r w:rsidR="00046691" w:rsidRPr="00046691">
        <w:rPr>
          <w:b/>
          <w:szCs w:val="24"/>
        </w:rPr>
        <w:t>11</w:t>
      </w:r>
      <w:r w:rsidRPr="00046691">
        <w:rPr>
          <w:b/>
          <w:szCs w:val="24"/>
        </w:rPr>
        <w:t>/20</w:t>
      </w:r>
      <w:r w:rsidR="008F1517" w:rsidRPr="00046691">
        <w:rPr>
          <w:b/>
          <w:szCs w:val="24"/>
        </w:rPr>
        <w:t>2</w:t>
      </w:r>
      <w:r w:rsidR="007E322A" w:rsidRPr="00046691">
        <w:rPr>
          <w:b/>
          <w:szCs w:val="24"/>
        </w:rPr>
        <w:t>1</w:t>
      </w:r>
      <w:r w:rsidR="00A333B0">
        <w:rPr>
          <w:b/>
          <w:szCs w:val="24"/>
        </w:rPr>
        <w:t xml:space="preserve"> Expiry: </w:t>
      </w:r>
      <w:r w:rsidR="00213C02">
        <w:rPr>
          <w:b/>
          <w:szCs w:val="24"/>
        </w:rPr>
        <w:t>31</w:t>
      </w:r>
      <w:r w:rsidR="00A333B0">
        <w:rPr>
          <w:b/>
          <w:szCs w:val="24"/>
        </w:rPr>
        <w:t>/</w:t>
      </w:r>
      <w:r w:rsidR="00213C02">
        <w:rPr>
          <w:b/>
          <w:szCs w:val="24"/>
        </w:rPr>
        <w:t>03</w:t>
      </w:r>
      <w:r w:rsidRPr="00B9010B">
        <w:rPr>
          <w:b/>
          <w:szCs w:val="24"/>
        </w:rPr>
        <w:t>/20</w:t>
      </w:r>
      <w:r>
        <w:rPr>
          <w:b/>
          <w:szCs w:val="24"/>
        </w:rPr>
        <w:t>2</w:t>
      </w:r>
      <w:r w:rsidR="007E322A">
        <w:rPr>
          <w:b/>
          <w:szCs w:val="24"/>
        </w:rPr>
        <w:t>2</w:t>
      </w:r>
    </w:p>
    <w:p w14:paraId="155D9EC2" w14:textId="77777777" w:rsidR="00B227F7" w:rsidRDefault="00B227F7" w:rsidP="00B227F7">
      <w:pPr>
        <w:overflowPunct/>
        <w:autoSpaceDE/>
        <w:autoSpaceDN/>
        <w:adjustRightInd/>
        <w:textAlignment w:val="auto"/>
        <w:rPr>
          <w:b/>
          <w:szCs w:val="24"/>
        </w:rPr>
      </w:pPr>
    </w:p>
    <w:p w14:paraId="6237460A" w14:textId="2A9B96C5" w:rsidR="00B227F7" w:rsidRPr="008D7620" w:rsidRDefault="00B227F7" w:rsidP="00E26C8C">
      <w:pPr>
        <w:overflowPunct/>
        <w:autoSpaceDE/>
        <w:autoSpaceDN/>
        <w:adjustRightInd/>
        <w:textAlignment w:val="auto"/>
        <w:rPr>
          <w:szCs w:val="24"/>
        </w:rPr>
      </w:pPr>
      <w:r w:rsidRPr="008D7620">
        <w:rPr>
          <w:szCs w:val="24"/>
        </w:rPr>
        <w:t xml:space="preserve">By signing this </w:t>
      </w:r>
      <w:r w:rsidR="00170E8A">
        <w:rPr>
          <w:szCs w:val="24"/>
        </w:rPr>
        <w:t>PGD</w:t>
      </w:r>
      <w:r w:rsidRPr="008D7620">
        <w:rPr>
          <w:szCs w:val="24"/>
        </w:rPr>
        <w:t xml:space="preserve"> you are indicating that you agree to its contents and that you will work within it</w:t>
      </w:r>
      <w:r>
        <w:rPr>
          <w:szCs w:val="24"/>
        </w:rPr>
        <w:t>.</w:t>
      </w:r>
    </w:p>
    <w:p w14:paraId="7D86CF56" w14:textId="5074FDFA" w:rsidR="00B227F7" w:rsidRPr="008D7620" w:rsidRDefault="00170E8A" w:rsidP="00B227F7">
      <w:pPr>
        <w:spacing w:before="120" w:after="120"/>
        <w:rPr>
          <w:rFonts w:cs="Arial"/>
          <w:szCs w:val="24"/>
        </w:rPr>
      </w:pPr>
      <w:r>
        <w:rPr>
          <w:rFonts w:cs="Arial"/>
          <w:szCs w:val="24"/>
        </w:rPr>
        <w:t>PGD</w:t>
      </w:r>
      <w:r w:rsidR="00B227F7" w:rsidRPr="008D7620">
        <w:rPr>
          <w:rFonts w:cs="Arial"/>
          <w:szCs w:val="24"/>
        </w:rPr>
        <w:t>s do not remove inherent professional obligations or accountability</w:t>
      </w:r>
      <w:r w:rsidR="00B227F7">
        <w:rPr>
          <w:rFonts w:cs="Arial"/>
          <w:szCs w:val="24"/>
        </w:rPr>
        <w:t>.</w:t>
      </w:r>
    </w:p>
    <w:p w14:paraId="767E1048" w14:textId="166EE6C8" w:rsidR="007144E3" w:rsidRPr="007144E3" w:rsidRDefault="00B227F7" w:rsidP="00B227F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730"/>
      </w:tblGrid>
      <w:tr w:rsidR="00B227F7" w14:paraId="04B06E21" w14:textId="77777777" w:rsidTr="005029D4">
        <w:tc>
          <w:tcPr>
            <w:tcW w:w="10060" w:type="dxa"/>
            <w:gridSpan w:val="4"/>
          </w:tcPr>
          <w:p w14:paraId="5113EE79" w14:textId="56D1C15D" w:rsidR="007144E3" w:rsidRPr="00FD1F29" w:rsidRDefault="00B227F7" w:rsidP="00842DE0">
            <w:pPr>
              <w:pStyle w:val="BodyText2"/>
              <w:spacing w:before="120" w:after="120"/>
              <w:jc w:val="left"/>
              <w:rPr>
                <w:rFonts w:cs="Arial"/>
                <w:sz w:val="24"/>
                <w:szCs w:val="24"/>
              </w:rPr>
            </w:pPr>
            <w:r w:rsidRPr="00FD1F29">
              <w:rPr>
                <w:rFonts w:cs="Arial"/>
                <w:sz w:val="24"/>
                <w:szCs w:val="24"/>
              </w:rPr>
              <w:t xml:space="preserve">I confirm that I have read and understood the content of this </w:t>
            </w:r>
            <w:r w:rsidR="00170E8A">
              <w:rPr>
                <w:rFonts w:cs="Arial"/>
                <w:sz w:val="24"/>
                <w:szCs w:val="24"/>
              </w:rPr>
              <w:t>PGD</w:t>
            </w:r>
            <w:r w:rsidRPr="00FD1F29">
              <w:rPr>
                <w:rFonts w:cs="Arial"/>
                <w:sz w:val="24"/>
                <w:szCs w:val="24"/>
              </w:rPr>
              <w:t xml:space="preserve"> and that I am willing and competent to work to it within my professional code of conduct.</w:t>
            </w:r>
          </w:p>
        </w:tc>
      </w:tr>
      <w:tr w:rsidR="00B227F7" w14:paraId="115C5074" w14:textId="77777777" w:rsidTr="005029D4">
        <w:tc>
          <w:tcPr>
            <w:tcW w:w="2518" w:type="dxa"/>
          </w:tcPr>
          <w:p w14:paraId="7F7D971D" w14:textId="77777777" w:rsidR="00B227F7" w:rsidRDefault="00B227F7" w:rsidP="007B2C02">
            <w:pPr>
              <w:spacing w:before="120" w:after="120"/>
              <w:rPr>
                <w:szCs w:val="24"/>
              </w:rPr>
            </w:pPr>
            <w:r>
              <w:rPr>
                <w:szCs w:val="24"/>
              </w:rPr>
              <w:t>Name</w:t>
            </w:r>
          </w:p>
        </w:tc>
        <w:tc>
          <w:tcPr>
            <w:tcW w:w="3119" w:type="dxa"/>
          </w:tcPr>
          <w:p w14:paraId="101B3D68" w14:textId="77777777" w:rsidR="00B227F7" w:rsidRDefault="00B227F7" w:rsidP="007B2C02">
            <w:pPr>
              <w:spacing w:before="120" w:after="120"/>
              <w:rPr>
                <w:szCs w:val="24"/>
              </w:rPr>
            </w:pPr>
            <w:r>
              <w:rPr>
                <w:szCs w:val="24"/>
              </w:rPr>
              <w:t>Designation</w:t>
            </w:r>
          </w:p>
        </w:tc>
        <w:tc>
          <w:tcPr>
            <w:tcW w:w="2693" w:type="dxa"/>
          </w:tcPr>
          <w:p w14:paraId="000F7AA7" w14:textId="77777777" w:rsidR="00B227F7" w:rsidRDefault="00B227F7" w:rsidP="007B2C02">
            <w:pPr>
              <w:spacing w:before="120" w:after="120"/>
              <w:rPr>
                <w:szCs w:val="24"/>
              </w:rPr>
            </w:pPr>
            <w:r>
              <w:rPr>
                <w:szCs w:val="24"/>
              </w:rPr>
              <w:t>Signature</w:t>
            </w:r>
          </w:p>
        </w:tc>
        <w:tc>
          <w:tcPr>
            <w:tcW w:w="1730" w:type="dxa"/>
          </w:tcPr>
          <w:p w14:paraId="6CE11129" w14:textId="77777777" w:rsidR="00B227F7" w:rsidRDefault="00B227F7" w:rsidP="007B2C02">
            <w:pPr>
              <w:spacing w:before="120" w:after="120"/>
              <w:rPr>
                <w:szCs w:val="24"/>
              </w:rPr>
            </w:pPr>
            <w:r>
              <w:rPr>
                <w:szCs w:val="24"/>
              </w:rPr>
              <w:t>Date</w:t>
            </w:r>
          </w:p>
        </w:tc>
      </w:tr>
      <w:tr w:rsidR="00B227F7" w14:paraId="664C86BB" w14:textId="77777777" w:rsidTr="005029D4">
        <w:tc>
          <w:tcPr>
            <w:tcW w:w="2518" w:type="dxa"/>
          </w:tcPr>
          <w:p w14:paraId="1D872B50" w14:textId="77777777" w:rsidR="00B227F7" w:rsidRDefault="00B227F7" w:rsidP="007B2C02">
            <w:pPr>
              <w:spacing w:before="120" w:after="120"/>
              <w:rPr>
                <w:szCs w:val="24"/>
              </w:rPr>
            </w:pPr>
            <w:permStart w:id="47473260" w:edGrp="everyone"/>
            <w:permStart w:id="2054169875" w:edGrp="everyone"/>
            <w:permStart w:id="182807569" w:edGrp="everyone"/>
            <w:permStart w:id="1650010250" w:edGrp="everyone"/>
          </w:p>
        </w:tc>
        <w:tc>
          <w:tcPr>
            <w:tcW w:w="3119" w:type="dxa"/>
          </w:tcPr>
          <w:p w14:paraId="6595663D" w14:textId="77777777" w:rsidR="00B227F7" w:rsidRDefault="00B227F7" w:rsidP="007B2C02">
            <w:pPr>
              <w:spacing w:before="120" w:after="120"/>
              <w:rPr>
                <w:szCs w:val="24"/>
              </w:rPr>
            </w:pPr>
          </w:p>
        </w:tc>
        <w:tc>
          <w:tcPr>
            <w:tcW w:w="2693" w:type="dxa"/>
          </w:tcPr>
          <w:p w14:paraId="2F802B9F" w14:textId="77777777" w:rsidR="00B227F7" w:rsidRDefault="00B227F7" w:rsidP="007B2C02">
            <w:pPr>
              <w:spacing w:before="120" w:after="120"/>
              <w:rPr>
                <w:szCs w:val="24"/>
              </w:rPr>
            </w:pPr>
          </w:p>
        </w:tc>
        <w:tc>
          <w:tcPr>
            <w:tcW w:w="1730" w:type="dxa"/>
          </w:tcPr>
          <w:p w14:paraId="63163718" w14:textId="77777777" w:rsidR="00B227F7" w:rsidRDefault="00B227F7" w:rsidP="007B2C02">
            <w:pPr>
              <w:spacing w:before="120" w:after="120"/>
              <w:rPr>
                <w:szCs w:val="24"/>
              </w:rPr>
            </w:pPr>
          </w:p>
        </w:tc>
      </w:tr>
      <w:tr w:rsidR="00B227F7" w14:paraId="7EFC36F4" w14:textId="77777777" w:rsidTr="005029D4">
        <w:tc>
          <w:tcPr>
            <w:tcW w:w="2518" w:type="dxa"/>
          </w:tcPr>
          <w:p w14:paraId="20D9AD2B" w14:textId="77777777" w:rsidR="00B227F7" w:rsidRDefault="00B227F7" w:rsidP="007B2C02">
            <w:pPr>
              <w:spacing w:before="120" w:after="120"/>
              <w:rPr>
                <w:szCs w:val="24"/>
              </w:rPr>
            </w:pPr>
            <w:permStart w:id="80233119" w:edGrp="everyone"/>
            <w:permStart w:id="43329171" w:edGrp="everyone"/>
            <w:permStart w:id="208616365" w:edGrp="everyone"/>
            <w:permStart w:id="593765662" w:edGrp="everyone"/>
            <w:permEnd w:id="47473260"/>
            <w:permEnd w:id="2054169875"/>
            <w:permEnd w:id="182807569"/>
            <w:permEnd w:id="1650010250"/>
          </w:p>
        </w:tc>
        <w:tc>
          <w:tcPr>
            <w:tcW w:w="3119" w:type="dxa"/>
          </w:tcPr>
          <w:p w14:paraId="59D5206A" w14:textId="77777777" w:rsidR="00B227F7" w:rsidRDefault="00B227F7" w:rsidP="007B2C02">
            <w:pPr>
              <w:spacing w:before="120" w:after="120"/>
              <w:rPr>
                <w:szCs w:val="24"/>
              </w:rPr>
            </w:pPr>
          </w:p>
        </w:tc>
        <w:tc>
          <w:tcPr>
            <w:tcW w:w="2693" w:type="dxa"/>
          </w:tcPr>
          <w:p w14:paraId="60495B85" w14:textId="77777777" w:rsidR="00B227F7" w:rsidRDefault="00B227F7" w:rsidP="007B2C02">
            <w:pPr>
              <w:spacing w:before="120" w:after="120"/>
              <w:rPr>
                <w:szCs w:val="24"/>
              </w:rPr>
            </w:pPr>
          </w:p>
        </w:tc>
        <w:tc>
          <w:tcPr>
            <w:tcW w:w="1730" w:type="dxa"/>
          </w:tcPr>
          <w:p w14:paraId="7948F56C" w14:textId="77777777" w:rsidR="00B227F7" w:rsidRDefault="00B227F7" w:rsidP="007B2C02">
            <w:pPr>
              <w:spacing w:before="120" w:after="120"/>
              <w:rPr>
                <w:szCs w:val="24"/>
              </w:rPr>
            </w:pPr>
          </w:p>
        </w:tc>
      </w:tr>
      <w:tr w:rsidR="00B227F7" w14:paraId="27D5C892" w14:textId="77777777" w:rsidTr="005029D4">
        <w:trPr>
          <w:trHeight w:val="569"/>
        </w:trPr>
        <w:tc>
          <w:tcPr>
            <w:tcW w:w="2518" w:type="dxa"/>
          </w:tcPr>
          <w:p w14:paraId="2CD51F42" w14:textId="77777777" w:rsidR="00B227F7" w:rsidRDefault="00B227F7" w:rsidP="007B2C02">
            <w:pPr>
              <w:spacing w:before="120" w:after="120"/>
              <w:rPr>
                <w:szCs w:val="24"/>
              </w:rPr>
            </w:pPr>
            <w:permStart w:id="1166175467" w:edGrp="everyone"/>
            <w:permStart w:id="1296515401" w:edGrp="everyone"/>
            <w:permStart w:id="955083037" w:edGrp="everyone"/>
            <w:permStart w:id="11737799" w:edGrp="everyone"/>
            <w:permEnd w:id="80233119"/>
            <w:permEnd w:id="43329171"/>
            <w:permEnd w:id="208616365"/>
            <w:permEnd w:id="593765662"/>
          </w:p>
        </w:tc>
        <w:tc>
          <w:tcPr>
            <w:tcW w:w="3119" w:type="dxa"/>
          </w:tcPr>
          <w:p w14:paraId="071D011E" w14:textId="77777777" w:rsidR="00B227F7" w:rsidRDefault="00B227F7" w:rsidP="007B2C02">
            <w:pPr>
              <w:spacing w:before="120" w:after="120"/>
              <w:rPr>
                <w:szCs w:val="24"/>
              </w:rPr>
            </w:pPr>
          </w:p>
        </w:tc>
        <w:tc>
          <w:tcPr>
            <w:tcW w:w="2693" w:type="dxa"/>
          </w:tcPr>
          <w:p w14:paraId="7EC0A314" w14:textId="77777777" w:rsidR="00B227F7" w:rsidRDefault="00B227F7" w:rsidP="007B2C02">
            <w:pPr>
              <w:spacing w:before="120" w:after="120"/>
              <w:rPr>
                <w:szCs w:val="24"/>
              </w:rPr>
            </w:pPr>
          </w:p>
        </w:tc>
        <w:tc>
          <w:tcPr>
            <w:tcW w:w="1730" w:type="dxa"/>
          </w:tcPr>
          <w:p w14:paraId="3F3D2589" w14:textId="77777777" w:rsidR="00B227F7" w:rsidRDefault="00B227F7" w:rsidP="007B2C02">
            <w:pPr>
              <w:spacing w:before="120" w:after="120"/>
              <w:rPr>
                <w:szCs w:val="24"/>
              </w:rPr>
            </w:pPr>
          </w:p>
        </w:tc>
      </w:tr>
      <w:tr w:rsidR="00B227F7" w14:paraId="218139B5" w14:textId="77777777" w:rsidTr="005029D4">
        <w:tc>
          <w:tcPr>
            <w:tcW w:w="2518" w:type="dxa"/>
          </w:tcPr>
          <w:p w14:paraId="4F7C4DAC" w14:textId="77777777" w:rsidR="00B227F7" w:rsidRDefault="00B227F7" w:rsidP="007B2C02">
            <w:pPr>
              <w:spacing w:before="120" w:after="120"/>
              <w:rPr>
                <w:szCs w:val="24"/>
              </w:rPr>
            </w:pPr>
            <w:permStart w:id="1651903770" w:edGrp="everyone"/>
            <w:permStart w:id="632819866" w:edGrp="everyone"/>
            <w:permStart w:id="1465856755" w:edGrp="everyone"/>
            <w:permStart w:id="1329074508" w:edGrp="everyone"/>
            <w:permEnd w:id="1166175467"/>
            <w:permEnd w:id="1296515401"/>
            <w:permEnd w:id="955083037"/>
            <w:permEnd w:id="11737799"/>
          </w:p>
        </w:tc>
        <w:tc>
          <w:tcPr>
            <w:tcW w:w="3119" w:type="dxa"/>
          </w:tcPr>
          <w:p w14:paraId="6EBCA802" w14:textId="77777777" w:rsidR="00B227F7" w:rsidRDefault="00B227F7" w:rsidP="007B2C02">
            <w:pPr>
              <w:spacing w:before="120" w:after="120"/>
              <w:rPr>
                <w:szCs w:val="24"/>
              </w:rPr>
            </w:pPr>
          </w:p>
        </w:tc>
        <w:tc>
          <w:tcPr>
            <w:tcW w:w="2693" w:type="dxa"/>
          </w:tcPr>
          <w:p w14:paraId="56863D7A" w14:textId="77777777" w:rsidR="00B227F7" w:rsidRDefault="00B227F7" w:rsidP="007B2C02">
            <w:pPr>
              <w:spacing w:before="120" w:after="120"/>
              <w:rPr>
                <w:szCs w:val="24"/>
              </w:rPr>
            </w:pPr>
          </w:p>
        </w:tc>
        <w:tc>
          <w:tcPr>
            <w:tcW w:w="1730" w:type="dxa"/>
          </w:tcPr>
          <w:p w14:paraId="76F148C2" w14:textId="77777777" w:rsidR="00B227F7" w:rsidRDefault="00B227F7" w:rsidP="007B2C02">
            <w:pPr>
              <w:spacing w:before="120" w:after="120"/>
              <w:rPr>
                <w:szCs w:val="24"/>
              </w:rPr>
            </w:pPr>
          </w:p>
        </w:tc>
      </w:tr>
      <w:tr w:rsidR="00B227F7" w14:paraId="15F82CD4" w14:textId="77777777" w:rsidTr="005029D4">
        <w:tc>
          <w:tcPr>
            <w:tcW w:w="2518" w:type="dxa"/>
          </w:tcPr>
          <w:p w14:paraId="758F98B6" w14:textId="77777777" w:rsidR="00B227F7" w:rsidRDefault="00B227F7" w:rsidP="007B2C02">
            <w:pPr>
              <w:spacing w:before="120" w:after="120"/>
              <w:rPr>
                <w:szCs w:val="24"/>
              </w:rPr>
            </w:pPr>
            <w:permStart w:id="688018488" w:edGrp="everyone"/>
            <w:permStart w:id="1777761731" w:edGrp="everyone"/>
            <w:permStart w:id="67454913" w:edGrp="everyone"/>
            <w:permStart w:id="899043357" w:edGrp="everyone"/>
            <w:permEnd w:id="1651903770"/>
            <w:permEnd w:id="632819866"/>
            <w:permEnd w:id="1465856755"/>
            <w:permEnd w:id="1329074508"/>
          </w:p>
        </w:tc>
        <w:tc>
          <w:tcPr>
            <w:tcW w:w="3119" w:type="dxa"/>
          </w:tcPr>
          <w:p w14:paraId="20E274A8" w14:textId="77777777" w:rsidR="00B227F7" w:rsidRDefault="00B227F7" w:rsidP="007B2C02">
            <w:pPr>
              <w:spacing w:before="120" w:after="120"/>
              <w:rPr>
                <w:szCs w:val="24"/>
              </w:rPr>
            </w:pPr>
          </w:p>
        </w:tc>
        <w:tc>
          <w:tcPr>
            <w:tcW w:w="2693" w:type="dxa"/>
          </w:tcPr>
          <w:p w14:paraId="2AA2124C" w14:textId="77777777" w:rsidR="00B227F7" w:rsidRDefault="00B227F7" w:rsidP="007B2C02">
            <w:pPr>
              <w:spacing w:before="120" w:after="120"/>
              <w:rPr>
                <w:szCs w:val="24"/>
              </w:rPr>
            </w:pPr>
          </w:p>
        </w:tc>
        <w:tc>
          <w:tcPr>
            <w:tcW w:w="1730" w:type="dxa"/>
          </w:tcPr>
          <w:p w14:paraId="26A4A91B" w14:textId="77777777" w:rsidR="00B227F7" w:rsidRDefault="00B227F7" w:rsidP="007B2C02">
            <w:pPr>
              <w:spacing w:before="120" w:after="120"/>
              <w:rPr>
                <w:szCs w:val="24"/>
              </w:rPr>
            </w:pPr>
          </w:p>
        </w:tc>
      </w:tr>
      <w:tr w:rsidR="001125CE" w14:paraId="5BFF989B" w14:textId="77777777" w:rsidTr="005029D4">
        <w:tc>
          <w:tcPr>
            <w:tcW w:w="2518" w:type="dxa"/>
          </w:tcPr>
          <w:p w14:paraId="575D3F15" w14:textId="77777777" w:rsidR="001125CE" w:rsidRDefault="001125CE" w:rsidP="007B2C02">
            <w:pPr>
              <w:spacing w:before="120" w:after="120"/>
              <w:rPr>
                <w:szCs w:val="24"/>
              </w:rPr>
            </w:pPr>
            <w:permStart w:id="415328900" w:edGrp="everyone"/>
            <w:permStart w:id="706108599" w:edGrp="everyone"/>
            <w:permStart w:id="831871266" w:edGrp="everyone"/>
            <w:permStart w:id="622224321" w:edGrp="everyone"/>
            <w:permEnd w:id="688018488"/>
            <w:permEnd w:id="1777761731"/>
            <w:permEnd w:id="67454913"/>
            <w:permEnd w:id="899043357"/>
          </w:p>
        </w:tc>
        <w:tc>
          <w:tcPr>
            <w:tcW w:w="3119" w:type="dxa"/>
          </w:tcPr>
          <w:p w14:paraId="2F49F474" w14:textId="77777777" w:rsidR="001125CE" w:rsidRDefault="001125CE" w:rsidP="007B2C02">
            <w:pPr>
              <w:spacing w:before="120" w:after="120"/>
              <w:rPr>
                <w:szCs w:val="24"/>
              </w:rPr>
            </w:pPr>
          </w:p>
        </w:tc>
        <w:tc>
          <w:tcPr>
            <w:tcW w:w="2693" w:type="dxa"/>
          </w:tcPr>
          <w:p w14:paraId="4333C83A" w14:textId="77777777" w:rsidR="001125CE" w:rsidRDefault="001125CE" w:rsidP="007B2C02">
            <w:pPr>
              <w:spacing w:before="120" w:after="120"/>
              <w:rPr>
                <w:szCs w:val="24"/>
              </w:rPr>
            </w:pPr>
          </w:p>
        </w:tc>
        <w:tc>
          <w:tcPr>
            <w:tcW w:w="1730" w:type="dxa"/>
          </w:tcPr>
          <w:p w14:paraId="34953ADA" w14:textId="77777777" w:rsidR="001125CE" w:rsidRDefault="001125CE" w:rsidP="007B2C02">
            <w:pPr>
              <w:spacing w:before="120" w:after="120"/>
              <w:rPr>
                <w:szCs w:val="24"/>
              </w:rPr>
            </w:pPr>
          </w:p>
        </w:tc>
      </w:tr>
      <w:tr w:rsidR="001125CE" w14:paraId="79F3B54D" w14:textId="77777777" w:rsidTr="005029D4">
        <w:tc>
          <w:tcPr>
            <w:tcW w:w="2518" w:type="dxa"/>
          </w:tcPr>
          <w:p w14:paraId="778E6339" w14:textId="77777777" w:rsidR="001125CE" w:rsidRDefault="001125CE" w:rsidP="007B2C02">
            <w:pPr>
              <w:spacing w:before="120" w:after="120"/>
              <w:rPr>
                <w:szCs w:val="24"/>
              </w:rPr>
            </w:pPr>
            <w:permStart w:id="1185639746" w:edGrp="everyone"/>
            <w:permStart w:id="672093353" w:edGrp="everyone"/>
            <w:permStart w:id="2031713574" w:edGrp="everyone"/>
            <w:permStart w:id="825166952" w:edGrp="everyone"/>
            <w:permEnd w:id="415328900"/>
            <w:permEnd w:id="706108599"/>
            <w:permEnd w:id="831871266"/>
            <w:permEnd w:id="622224321"/>
          </w:p>
        </w:tc>
        <w:tc>
          <w:tcPr>
            <w:tcW w:w="3119" w:type="dxa"/>
          </w:tcPr>
          <w:p w14:paraId="2C8177A5" w14:textId="77777777" w:rsidR="001125CE" w:rsidRDefault="001125CE" w:rsidP="007B2C02">
            <w:pPr>
              <w:spacing w:before="120" w:after="120"/>
              <w:rPr>
                <w:szCs w:val="24"/>
              </w:rPr>
            </w:pPr>
          </w:p>
        </w:tc>
        <w:tc>
          <w:tcPr>
            <w:tcW w:w="2693" w:type="dxa"/>
          </w:tcPr>
          <w:p w14:paraId="7DD7CB2E" w14:textId="77777777" w:rsidR="001125CE" w:rsidRDefault="001125CE" w:rsidP="007B2C02">
            <w:pPr>
              <w:spacing w:before="120" w:after="120"/>
              <w:rPr>
                <w:szCs w:val="24"/>
              </w:rPr>
            </w:pPr>
          </w:p>
        </w:tc>
        <w:tc>
          <w:tcPr>
            <w:tcW w:w="1730" w:type="dxa"/>
          </w:tcPr>
          <w:p w14:paraId="5A9AA689" w14:textId="77777777" w:rsidR="001125CE" w:rsidRDefault="001125CE" w:rsidP="007B2C02">
            <w:pPr>
              <w:spacing w:before="120" w:after="120"/>
              <w:rPr>
                <w:szCs w:val="24"/>
              </w:rPr>
            </w:pPr>
          </w:p>
        </w:tc>
      </w:tr>
      <w:tr w:rsidR="001125CE" w14:paraId="35E895B9" w14:textId="77777777" w:rsidTr="005029D4">
        <w:tc>
          <w:tcPr>
            <w:tcW w:w="2518" w:type="dxa"/>
          </w:tcPr>
          <w:p w14:paraId="157F3B85" w14:textId="77777777" w:rsidR="001125CE" w:rsidRDefault="001125CE" w:rsidP="007B2C02">
            <w:pPr>
              <w:spacing w:before="120" w:after="120"/>
              <w:rPr>
                <w:szCs w:val="24"/>
              </w:rPr>
            </w:pPr>
            <w:permStart w:id="1050347234" w:edGrp="everyone"/>
            <w:permStart w:id="1042679165" w:edGrp="everyone"/>
            <w:permStart w:id="628522326" w:edGrp="everyone"/>
            <w:permStart w:id="11097950" w:edGrp="everyone"/>
            <w:permEnd w:id="1185639746"/>
            <w:permEnd w:id="672093353"/>
            <w:permEnd w:id="2031713574"/>
            <w:permEnd w:id="825166952"/>
          </w:p>
        </w:tc>
        <w:tc>
          <w:tcPr>
            <w:tcW w:w="3119" w:type="dxa"/>
          </w:tcPr>
          <w:p w14:paraId="4D1B0A33" w14:textId="77777777" w:rsidR="001125CE" w:rsidRDefault="001125CE" w:rsidP="007B2C02">
            <w:pPr>
              <w:spacing w:before="120" w:after="120"/>
              <w:rPr>
                <w:szCs w:val="24"/>
              </w:rPr>
            </w:pPr>
          </w:p>
        </w:tc>
        <w:tc>
          <w:tcPr>
            <w:tcW w:w="2693" w:type="dxa"/>
          </w:tcPr>
          <w:p w14:paraId="216318CD" w14:textId="77777777" w:rsidR="001125CE" w:rsidRDefault="001125CE" w:rsidP="007B2C02">
            <w:pPr>
              <w:spacing w:before="120" w:after="120"/>
              <w:rPr>
                <w:szCs w:val="24"/>
              </w:rPr>
            </w:pPr>
          </w:p>
        </w:tc>
        <w:tc>
          <w:tcPr>
            <w:tcW w:w="1730" w:type="dxa"/>
          </w:tcPr>
          <w:p w14:paraId="71BB34E1" w14:textId="77777777" w:rsidR="001125CE" w:rsidRDefault="001125CE" w:rsidP="007B2C02">
            <w:pPr>
              <w:spacing w:before="120" w:after="120"/>
              <w:rPr>
                <w:szCs w:val="24"/>
              </w:rPr>
            </w:pPr>
          </w:p>
        </w:tc>
      </w:tr>
      <w:tr w:rsidR="000517D7" w14:paraId="20BECCB6" w14:textId="77777777" w:rsidTr="005029D4">
        <w:tc>
          <w:tcPr>
            <w:tcW w:w="2518" w:type="dxa"/>
          </w:tcPr>
          <w:p w14:paraId="46B95AD7" w14:textId="77777777" w:rsidR="000517D7" w:rsidRDefault="000517D7" w:rsidP="007B2C02">
            <w:pPr>
              <w:spacing w:before="120" w:after="120"/>
              <w:rPr>
                <w:szCs w:val="24"/>
              </w:rPr>
            </w:pPr>
            <w:permStart w:id="1142162596" w:edGrp="everyone"/>
            <w:permStart w:id="590481395" w:edGrp="everyone"/>
            <w:permStart w:id="1432121179" w:edGrp="everyone"/>
            <w:permStart w:id="899051999" w:edGrp="everyone"/>
            <w:permEnd w:id="1050347234"/>
            <w:permEnd w:id="1042679165"/>
            <w:permEnd w:id="628522326"/>
            <w:permEnd w:id="11097950"/>
          </w:p>
        </w:tc>
        <w:tc>
          <w:tcPr>
            <w:tcW w:w="3119" w:type="dxa"/>
          </w:tcPr>
          <w:p w14:paraId="4FDEC8E4" w14:textId="77777777" w:rsidR="000517D7" w:rsidRDefault="000517D7" w:rsidP="007B2C02">
            <w:pPr>
              <w:spacing w:before="120" w:after="120"/>
              <w:rPr>
                <w:szCs w:val="24"/>
              </w:rPr>
            </w:pPr>
          </w:p>
        </w:tc>
        <w:tc>
          <w:tcPr>
            <w:tcW w:w="2693" w:type="dxa"/>
          </w:tcPr>
          <w:p w14:paraId="30CDA40D" w14:textId="77777777" w:rsidR="000517D7" w:rsidRDefault="000517D7" w:rsidP="007B2C02">
            <w:pPr>
              <w:spacing w:before="120" w:after="120"/>
              <w:rPr>
                <w:szCs w:val="24"/>
              </w:rPr>
            </w:pPr>
          </w:p>
        </w:tc>
        <w:tc>
          <w:tcPr>
            <w:tcW w:w="1730" w:type="dxa"/>
          </w:tcPr>
          <w:p w14:paraId="5C1B5CAA" w14:textId="77777777" w:rsidR="000517D7" w:rsidRDefault="000517D7" w:rsidP="007B2C02">
            <w:pPr>
              <w:spacing w:before="120" w:after="120"/>
              <w:rPr>
                <w:szCs w:val="24"/>
              </w:rPr>
            </w:pPr>
          </w:p>
        </w:tc>
      </w:tr>
      <w:permEnd w:id="1142162596"/>
      <w:permEnd w:id="590481395"/>
      <w:permEnd w:id="1432121179"/>
      <w:permEnd w:id="899051999"/>
    </w:tbl>
    <w:p w14:paraId="4EB8092D" w14:textId="77777777" w:rsidR="00B227F7" w:rsidRPr="008D7620" w:rsidRDefault="00B227F7" w:rsidP="00B227F7">
      <w:pPr>
        <w:rPr>
          <w:szCs w:val="24"/>
        </w:rPr>
      </w:pPr>
    </w:p>
    <w:p w14:paraId="0544E73B" w14:textId="77777777" w:rsidR="00B227F7" w:rsidRDefault="00B227F7" w:rsidP="00B227F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730"/>
      </w:tblGrid>
      <w:tr w:rsidR="00B227F7" w:rsidRPr="00FD1F29" w14:paraId="7FDE14E8" w14:textId="77777777" w:rsidTr="005029D4">
        <w:tc>
          <w:tcPr>
            <w:tcW w:w="10060" w:type="dxa"/>
            <w:gridSpan w:val="4"/>
          </w:tcPr>
          <w:p w14:paraId="45782EB1" w14:textId="77777777" w:rsidR="007E322A" w:rsidRDefault="00B227F7" w:rsidP="000028EA">
            <w:pPr>
              <w:pStyle w:val="BodyText"/>
              <w:spacing w:before="120"/>
              <w:jc w:val="left"/>
              <w:rPr>
                <w:szCs w:val="24"/>
              </w:rPr>
            </w:pPr>
            <w:r>
              <w:rPr>
                <w:szCs w:val="24"/>
              </w:rPr>
              <w:t xml:space="preserve">I confirm that the </w:t>
            </w:r>
            <w:r w:rsidR="00E11185">
              <w:rPr>
                <w:szCs w:val="24"/>
              </w:rPr>
              <w:t xml:space="preserve">registered healthcare professionals </w:t>
            </w:r>
            <w:r>
              <w:rPr>
                <w:szCs w:val="24"/>
              </w:rPr>
              <w:t>named above have declared themselves suitably trained and competent to work under this PGD. I</w:t>
            </w:r>
            <w:r w:rsidRPr="008D7620">
              <w:rPr>
                <w:szCs w:val="24"/>
              </w:rPr>
              <w:t xml:space="preserve"> give authorisation on behalf of </w:t>
            </w:r>
            <w:permStart w:id="1969305926" w:edGrp="everyone"/>
          </w:p>
          <w:p w14:paraId="3F677AC8" w14:textId="79EA77BF" w:rsidR="00B227F7" w:rsidRPr="001F085E" w:rsidRDefault="00084680" w:rsidP="000028EA">
            <w:pPr>
              <w:pStyle w:val="BodyText"/>
              <w:spacing w:before="120"/>
              <w:jc w:val="left"/>
              <w:rPr>
                <w:szCs w:val="24"/>
              </w:rPr>
            </w:pPr>
            <w:r w:rsidRPr="00D77DB1">
              <w:rPr>
                <w:bCs/>
                <w:color w:val="808080" w:themeColor="background1" w:themeShade="80"/>
                <w:szCs w:val="24"/>
              </w:rPr>
              <w:t>insert name of organisation</w:t>
            </w:r>
            <w:r w:rsidR="00B227F7" w:rsidRPr="00D77DB1">
              <w:rPr>
                <w:bCs/>
                <w:color w:val="808080" w:themeColor="background1" w:themeShade="80"/>
                <w:szCs w:val="24"/>
              </w:rPr>
              <w:t xml:space="preserve">                   </w:t>
            </w:r>
            <w:r w:rsidR="00621E6D">
              <w:rPr>
                <w:bCs/>
                <w:color w:val="808080" w:themeColor="background1" w:themeShade="80"/>
                <w:szCs w:val="24"/>
              </w:rPr>
              <w:t xml:space="preserve">      </w:t>
            </w:r>
            <w:r w:rsidR="00B227F7" w:rsidRPr="00D77DB1">
              <w:rPr>
                <w:bCs/>
                <w:color w:val="808080" w:themeColor="background1" w:themeShade="80"/>
                <w:szCs w:val="24"/>
              </w:rPr>
              <w:t xml:space="preserve">                   </w:t>
            </w:r>
            <w:r w:rsidRPr="00D77DB1">
              <w:rPr>
                <w:bCs/>
                <w:color w:val="808080" w:themeColor="background1" w:themeShade="80"/>
                <w:szCs w:val="24"/>
              </w:rPr>
              <w:t xml:space="preserve">            </w:t>
            </w:r>
            <w:r w:rsidR="00B227F7" w:rsidRPr="00D77DB1">
              <w:rPr>
                <w:bCs/>
                <w:color w:val="808080" w:themeColor="background1" w:themeShade="80"/>
                <w:szCs w:val="24"/>
              </w:rPr>
              <w:t xml:space="preserve"> </w:t>
            </w:r>
            <w:r w:rsidR="00D77DB1">
              <w:rPr>
                <w:bCs/>
                <w:color w:val="808080" w:themeColor="background1" w:themeShade="80"/>
                <w:szCs w:val="24"/>
              </w:rPr>
              <w:t xml:space="preserve">    </w:t>
            </w:r>
            <w:r w:rsidR="00B227F7" w:rsidRPr="00D77DB1">
              <w:rPr>
                <w:bCs/>
                <w:color w:val="808080" w:themeColor="background1" w:themeShade="80"/>
                <w:szCs w:val="24"/>
              </w:rPr>
              <w:t xml:space="preserve">                      </w:t>
            </w:r>
            <w:r w:rsidR="00C1121F">
              <w:rPr>
                <w:bCs/>
                <w:color w:val="808080" w:themeColor="background1" w:themeShade="80"/>
                <w:szCs w:val="24"/>
              </w:rPr>
              <w:t xml:space="preserve">      </w:t>
            </w:r>
            <w:r w:rsidR="00B227F7" w:rsidRPr="00D77DB1">
              <w:rPr>
                <w:bCs/>
                <w:color w:val="808080" w:themeColor="background1" w:themeShade="80"/>
                <w:szCs w:val="24"/>
              </w:rPr>
              <w:t xml:space="preserve">             </w:t>
            </w:r>
            <w:permEnd w:id="1969305926"/>
            <w:r w:rsidR="00B227F7">
              <w:rPr>
                <w:szCs w:val="24"/>
              </w:rPr>
              <w:t xml:space="preserve">for the </w:t>
            </w:r>
            <w:proofErr w:type="gramStart"/>
            <w:r w:rsidR="00B227F7">
              <w:rPr>
                <w:szCs w:val="24"/>
              </w:rPr>
              <w:t>above named</w:t>
            </w:r>
            <w:proofErr w:type="gramEnd"/>
            <w:r w:rsidR="00B227F7">
              <w:rPr>
                <w:szCs w:val="24"/>
              </w:rPr>
              <w:t xml:space="preserve"> healthcare p</w:t>
            </w:r>
            <w:r w:rsidR="00B227F7" w:rsidRPr="008D7620">
              <w:rPr>
                <w:szCs w:val="24"/>
              </w:rPr>
              <w:t>rofessional</w:t>
            </w:r>
            <w:r w:rsidR="00B227F7">
              <w:rPr>
                <w:szCs w:val="24"/>
              </w:rPr>
              <w:t>s who have</w:t>
            </w:r>
            <w:r w:rsidR="00B227F7" w:rsidRPr="008D7620">
              <w:rPr>
                <w:szCs w:val="24"/>
              </w:rPr>
              <w:t xml:space="preserve"> signed the PGD</w:t>
            </w:r>
            <w:r w:rsidR="00B227F7">
              <w:rPr>
                <w:szCs w:val="24"/>
              </w:rPr>
              <w:t xml:space="preserve"> to work under it.</w:t>
            </w:r>
          </w:p>
        </w:tc>
      </w:tr>
      <w:tr w:rsidR="00B227F7" w14:paraId="21A54672" w14:textId="77777777" w:rsidTr="005029D4">
        <w:tc>
          <w:tcPr>
            <w:tcW w:w="2518" w:type="dxa"/>
          </w:tcPr>
          <w:p w14:paraId="05D508B6" w14:textId="77777777" w:rsidR="00B227F7" w:rsidRDefault="00B227F7" w:rsidP="007B2C02">
            <w:pPr>
              <w:spacing w:before="120" w:after="120"/>
              <w:rPr>
                <w:szCs w:val="24"/>
              </w:rPr>
            </w:pPr>
            <w:r>
              <w:rPr>
                <w:szCs w:val="24"/>
              </w:rPr>
              <w:t>Name</w:t>
            </w:r>
          </w:p>
        </w:tc>
        <w:tc>
          <w:tcPr>
            <w:tcW w:w="3119" w:type="dxa"/>
          </w:tcPr>
          <w:p w14:paraId="58BBEE7B" w14:textId="77777777" w:rsidR="00B227F7" w:rsidRDefault="00B227F7" w:rsidP="007B2C02">
            <w:pPr>
              <w:spacing w:before="120" w:after="120"/>
              <w:rPr>
                <w:szCs w:val="24"/>
              </w:rPr>
            </w:pPr>
            <w:r>
              <w:rPr>
                <w:szCs w:val="24"/>
              </w:rPr>
              <w:t>Designation</w:t>
            </w:r>
          </w:p>
        </w:tc>
        <w:tc>
          <w:tcPr>
            <w:tcW w:w="2693" w:type="dxa"/>
          </w:tcPr>
          <w:p w14:paraId="3CB8BFA6" w14:textId="77777777" w:rsidR="00B227F7" w:rsidRDefault="00B227F7" w:rsidP="007B2C02">
            <w:pPr>
              <w:spacing w:before="120" w:after="120"/>
              <w:rPr>
                <w:szCs w:val="24"/>
              </w:rPr>
            </w:pPr>
            <w:r>
              <w:rPr>
                <w:szCs w:val="24"/>
              </w:rPr>
              <w:t>Signature</w:t>
            </w:r>
          </w:p>
        </w:tc>
        <w:tc>
          <w:tcPr>
            <w:tcW w:w="1730" w:type="dxa"/>
          </w:tcPr>
          <w:p w14:paraId="169D0A6A" w14:textId="77777777" w:rsidR="00B227F7" w:rsidRDefault="00B227F7" w:rsidP="007B2C02">
            <w:pPr>
              <w:spacing w:before="120" w:after="120"/>
              <w:rPr>
                <w:szCs w:val="24"/>
              </w:rPr>
            </w:pPr>
            <w:r>
              <w:rPr>
                <w:szCs w:val="24"/>
              </w:rPr>
              <w:t>Date</w:t>
            </w:r>
          </w:p>
        </w:tc>
      </w:tr>
      <w:tr w:rsidR="00B227F7" w14:paraId="76CE4A3E" w14:textId="77777777" w:rsidTr="005029D4">
        <w:tc>
          <w:tcPr>
            <w:tcW w:w="2518" w:type="dxa"/>
          </w:tcPr>
          <w:p w14:paraId="5C8C5742" w14:textId="77777777" w:rsidR="00B227F7" w:rsidRDefault="00B227F7" w:rsidP="007B2C02">
            <w:pPr>
              <w:spacing w:before="120" w:after="120"/>
              <w:rPr>
                <w:szCs w:val="24"/>
              </w:rPr>
            </w:pPr>
            <w:permStart w:id="784731167" w:edGrp="everyone"/>
            <w:permStart w:id="2081034580" w:edGrp="everyone"/>
            <w:permStart w:id="2004249796" w:edGrp="everyone"/>
            <w:permStart w:id="2029929008" w:edGrp="everyone"/>
          </w:p>
        </w:tc>
        <w:tc>
          <w:tcPr>
            <w:tcW w:w="3119" w:type="dxa"/>
          </w:tcPr>
          <w:p w14:paraId="0EFC62A2" w14:textId="77777777" w:rsidR="00B227F7" w:rsidRDefault="00B227F7" w:rsidP="007B2C02">
            <w:pPr>
              <w:spacing w:before="120" w:after="120"/>
              <w:rPr>
                <w:szCs w:val="24"/>
              </w:rPr>
            </w:pPr>
          </w:p>
        </w:tc>
        <w:tc>
          <w:tcPr>
            <w:tcW w:w="2693" w:type="dxa"/>
          </w:tcPr>
          <w:p w14:paraId="0360AAA9" w14:textId="77777777" w:rsidR="00B227F7" w:rsidRDefault="00B227F7" w:rsidP="007B2C02">
            <w:pPr>
              <w:spacing w:before="120" w:after="120"/>
              <w:rPr>
                <w:szCs w:val="24"/>
              </w:rPr>
            </w:pPr>
          </w:p>
        </w:tc>
        <w:tc>
          <w:tcPr>
            <w:tcW w:w="1730" w:type="dxa"/>
          </w:tcPr>
          <w:p w14:paraId="2E7FC5A6" w14:textId="77777777" w:rsidR="00B227F7" w:rsidRDefault="00B227F7" w:rsidP="007B2C02">
            <w:pPr>
              <w:spacing w:before="120" w:after="120"/>
              <w:rPr>
                <w:szCs w:val="24"/>
              </w:rPr>
            </w:pPr>
          </w:p>
        </w:tc>
      </w:tr>
    </w:tbl>
    <w:permEnd w:id="784731167"/>
    <w:permEnd w:id="2081034580"/>
    <w:permEnd w:id="2004249796"/>
    <w:permEnd w:id="2029929008"/>
    <w:p w14:paraId="63031DAA" w14:textId="77777777" w:rsidR="00B227F7" w:rsidRPr="00CD371D" w:rsidRDefault="00B227F7" w:rsidP="00B227F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0995E764" w14:textId="77777777" w:rsidR="00B227F7" w:rsidRDefault="00B227F7" w:rsidP="00B227F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3B8C3F3" w14:textId="26C79957" w:rsidR="00411FEA" w:rsidRPr="005029D4" w:rsidRDefault="00B227F7" w:rsidP="00191405">
      <w:pPr>
        <w:overflowPunct/>
        <w:autoSpaceDE/>
        <w:autoSpaceDN/>
        <w:adjustRightInd/>
        <w:spacing w:before="120"/>
        <w:textAlignment w:val="auto"/>
      </w:pPr>
      <w:r>
        <w:rPr>
          <w:szCs w:val="24"/>
        </w:rPr>
        <w:t>This authorisation sheet should be retained to serve as a record of those practitioners authorised to work under this PGD</w:t>
      </w:r>
      <w:bookmarkStart w:id="46" w:name="AppendixA"/>
      <w:bookmarkEnd w:id="46"/>
      <w:r w:rsidR="000517D7">
        <w:rPr>
          <w:szCs w:val="24"/>
        </w:rPr>
        <w:t>.</w:t>
      </w:r>
    </w:p>
    <w:p w14:paraId="525256E0" w14:textId="77777777" w:rsidR="00411FEA" w:rsidRDefault="00411FEA">
      <w:pPr>
        <w:overflowPunct/>
        <w:autoSpaceDE/>
        <w:autoSpaceDN/>
        <w:adjustRightInd/>
        <w:spacing w:after="160" w:line="259" w:lineRule="auto"/>
        <w:textAlignment w:val="auto"/>
        <w:rPr>
          <w:szCs w:val="24"/>
        </w:rPr>
      </w:pPr>
      <w:r>
        <w:rPr>
          <w:szCs w:val="24"/>
        </w:rPr>
        <w:br w:type="page"/>
      </w:r>
    </w:p>
    <w:p w14:paraId="6771B2CC" w14:textId="67D0984A" w:rsidR="00411FEA" w:rsidRPr="00621E6D" w:rsidRDefault="00411FEA" w:rsidP="00411FEA">
      <w:pPr>
        <w:overflowPunct/>
        <w:autoSpaceDE/>
        <w:autoSpaceDN/>
        <w:adjustRightInd/>
        <w:spacing w:before="120" w:after="120"/>
        <w:ind w:right="401"/>
        <w:textAlignment w:val="auto"/>
      </w:pPr>
      <w:r w:rsidRPr="00766E35">
        <w:rPr>
          <w:b/>
          <w:bCs/>
        </w:rPr>
        <w:lastRenderedPageBreak/>
        <w:t>APPENDIX A</w:t>
      </w:r>
      <w:r w:rsidR="009B16D6">
        <w:rPr>
          <w:b/>
          <w:bCs/>
        </w:rPr>
        <w:t xml:space="preserve"> </w:t>
      </w:r>
      <w:r w:rsidR="009B16D6" w:rsidRPr="00621E6D">
        <w:t>(</w:t>
      </w:r>
      <w:r w:rsidR="009B16D6" w:rsidRPr="009B16D6">
        <w:t>R</w:t>
      </w:r>
      <w:r w:rsidR="009B16D6" w:rsidRPr="00650A9B">
        <w:t xml:space="preserve">ead in conjunction with </w:t>
      </w:r>
      <w:hyperlink w:anchor="DoseAndFrequencyOfAdministration" w:history="1">
        <w:r w:rsidR="009B16D6">
          <w:rPr>
            <w:rStyle w:val="Hyperlink"/>
          </w:rPr>
          <w:t>Dose and frequency of administration</w:t>
        </w:r>
      </w:hyperlink>
      <w:r w:rsidR="009B16D6">
        <w:t xml:space="preserve"> section)</w:t>
      </w:r>
    </w:p>
    <w:p w14:paraId="0FE52623" w14:textId="4694B3AB" w:rsidR="00411FEA" w:rsidRPr="00766E35" w:rsidRDefault="00411FEA" w:rsidP="00621E6D">
      <w:pPr>
        <w:overflowPunct/>
        <w:autoSpaceDE/>
        <w:autoSpaceDN/>
        <w:adjustRightInd/>
        <w:spacing w:before="200" w:after="120"/>
        <w:ind w:right="403"/>
        <w:textAlignment w:val="auto"/>
        <w:rPr>
          <w:b/>
          <w:bCs/>
        </w:rPr>
      </w:pPr>
      <w:r>
        <w:rPr>
          <w:b/>
          <w:bCs/>
        </w:rPr>
        <w:t>Recommended primary dose schedule by age and risk status.</w:t>
      </w:r>
    </w:p>
    <w:tbl>
      <w:tblPr>
        <w:tblStyle w:val="TableGrid"/>
        <w:tblW w:w="10485" w:type="dxa"/>
        <w:jc w:val="center"/>
        <w:tblLayout w:type="fixed"/>
        <w:tblLook w:val="04A0" w:firstRow="1" w:lastRow="0" w:firstColumn="1" w:lastColumn="0" w:noHBand="0" w:noVBand="1"/>
      </w:tblPr>
      <w:tblGrid>
        <w:gridCol w:w="3256"/>
        <w:gridCol w:w="992"/>
        <w:gridCol w:w="1276"/>
        <w:gridCol w:w="4961"/>
      </w:tblGrid>
      <w:tr w:rsidR="00411FEA" w:rsidRPr="00B07B08" w14:paraId="1C9D880D" w14:textId="77777777" w:rsidTr="00AF6C7C">
        <w:trPr>
          <w:jc w:val="center"/>
        </w:trPr>
        <w:tc>
          <w:tcPr>
            <w:tcW w:w="10485" w:type="dxa"/>
            <w:gridSpan w:val="4"/>
            <w:shd w:val="clear" w:color="auto" w:fill="C9C9C9" w:themeFill="accent3" w:themeFillTint="99"/>
          </w:tcPr>
          <w:p w14:paraId="64F4C103" w14:textId="77777777" w:rsidR="00411FEA" w:rsidRPr="00B07B08" w:rsidRDefault="00411FEA" w:rsidP="00AF6C7C">
            <w:pPr>
              <w:spacing w:before="60" w:after="60"/>
              <w:jc w:val="left"/>
              <w:rPr>
                <w:rFonts w:cs="Arial"/>
                <w:b/>
                <w:bCs/>
                <w:sz w:val="22"/>
                <w:szCs w:val="22"/>
              </w:rPr>
            </w:pPr>
            <w:r w:rsidRPr="00B07B08">
              <w:rPr>
                <w:rFonts w:cs="Arial"/>
                <w:b/>
                <w:bCs/>
                <w:sz w:val="22"/>
                <w:szCs w:val="22"/>
              </w:rPr>
              <w:t>Primary course for individuals at higher risk</w:t>
            </w:r>
          </w:p>
        </w:tc>
      </w:tr>
      <w:tr w:rsidR="00411FEA" w:rsidRPr="00B07B08" w14:paraId="547F7E94" w14:textId="77777777" w:rsidTr="00AF6C7C">
        <w:trPr>
          <w:jc w:val="center"/>
        </w:trPr>
        <w:tc>
          <w:tcPr>
            <w:tcW w:w="3256" w:type="dxa"/>
          </w:tcPr>
          <w:p w14:paraId="62792D24" w14:textId="77777777" w:rsidR="00411FEA" w:rsidRPr="00B07B08" w:rsidRDefault="00411FEA" w:rsidP="00AF6C7C">
            <w:pPr>
              <w:spacing w:before="60" w:after="60"/>
              <w:jc w:val="left"/>
              <w:rPr>
                <w:rFonts w:cs="Arial"/>
                <w:b/>
                <w:bCs/>
                <w:sz w:val="22"/>
                <w:szCs w:val="22"/>
              </w:rPr>
            </w:pPr>
            <w:r w:rsidRPr="00B07B08">
              <w:rPr>
                <w:rFonts w:cs="Arial"/>
                <w:b/>
                <w:bCs/>
                <w:sz w:val="22"/>
                <w:szCs w:val="22"/>
              </w:rPr>
              <w:t>Age</w:t>
            </w:r>
          </w:p>
        </w:tc>
        <w:tc>
          <w:tcPr>
            <w:tcW w:w="992" w:type="dxa"/>
          </w:tcPr>
          <w:p w14:paraId="5DC5B6C9" w14:textId="77777777" w:rsidR="00411FEA" w:rsidRPr="00B07B08" w:rsidRDefault="00411FEA" w:rsidP="00AF6C7C">
            <w:pPr>
              <w:spacing w:before="60" w:after="60"/>
              <w:ind w:right="-103"/>
              <w:jc w:val="left"/>
              <w:rPr>
                <w:rFonts w:cs="Arial"/>
                <w:b/>
                <w:bCs/>
                <w:sz w:val="22"/>
                <w:szCs w:val="22"/>
              </w:rPr>
            </w:pPr>
            <w:r w:rsidRPr="00B07B08">
              <w:rPr>
                <w:rFonts w:cs="Arial"/>
                <w:b/>
                <w:bCs/>
                <w:sz w:val="22"/>
                <w:szCs w:val="22"/>
              </w:rPr>
              <w:t>Doses</w:t>
            </w:r>
          </w:p>
        </w:tc>
        <w:tc>
          <w:tcPr>
            <w:tcW w:w="1276" w:type="dxa"/>
          </w:tcPr>
          <w:p w14:paraId="3FC8BE57" w14:textId="3C7E50EA" w:rsidR="00411FEA" w:rsidRPr="00B07B08" w:rsidRDefault="00411FEA" w:rsidP="00AF6C7C">
            <w:pPr>
              <w:spacing w:before="60" w:after="60"/>
              <w:ind w:right="-105"/>
              <w:jc w:val="left"/>
              <w:rPr>
                <w:rFonts w:cs="Arial"/>
                <w:b/>
                <w:bCs/>
                <w:sz w:val="22"/>
                <w:szCs w:val="22"/>
              </w:rPr>
            </w:pPr>
            <w:r w:rsidRPr="00B07B08">
              <w:rPr>
                <w:rFonts w:cs="Arial"/>
                <w:b/>
                <w:bCs/>
                <w:sz w:val="22"/>
                <w:szCs w:val="22"/>
              </w:rPr>
              <w:t>Advised Minimum</w:t>
            </w:r>
            <w:r w:rsidR="00282B5B" w:rsidRPr="00B07B08">
              <w:rPr>
                <w:rFonts w:cs="Arial"/>
                <w:b/>
                <w:bCs/>
                <w:sz w:val="22"/>
                <w:szCs w:val="22"/>
              </w:rPr>
              <w:t xml:space="preserve"> </w:t>
            </w:r>
            <w:r w:rsidRPr="00B07B08">
              <w:rPr>
                <w:rFonts w:cs="Arial"/>
                <w:b/>
                <w:bCs/>
                <w:sz w:val="22"/>
                <w:szCs w:val="22"/>
              </w:rPr>
              <w:t>Interval</w:t>
            </w:r>
            <w:r w:rsidR="009B16D6">
              <w:rPr>
                <w:rStyle w:val="FootnoteReference"/>
                <w:rFonts w:cs="Arial"/>
                <w:b/>
                <w:bCs/>
                <w:sz w:val="22"/>
                <w:szCs w:val="22"/>
              </w:rPr>
              <w:footnoteReference w:id="7"/>
            </w:r>
          </w:p>
        </w:tc>
        <w:tc>
          <w:tcPr>
            <w:tcW w:w="4961" w:type="dxa"/>
          </w:tcPr>
          <w:p w14:paraId="133ADEBC" w14:textId="77777777" w:rsidR="00411FEA" w:rsidRPr="00B07B08" w:rsidRDefault="00411FEA" w:rsidP="00AF6C7C">
            <w:pPr>
              <w:spacing w:before="60" w:after="60"/>
              <w:jc w:val="left"/>
              <w:rPr>
                <w:rFonts w:cs="Arial"/>
                <w:b/>
                <w:bCs/>
                <w:sz w:val="22"/>
                <w:szCs w:val="22"/>
              </w:rPr>
            </w:pPr>
            <w:r w:rsidRPr="00B07B08">
              <w:rPr>
                <w:rFonts w:cs="Arial"/>
                <w:b/>
                <w:bCs/>
                <w:sz w:val="22"/>
                <w:szCs w:val="22"/>
              </w:rPr>
              <w:t xml:space="preserve">Recommendations </w:t>
            </w:r>
          </w:p>
        </w:tc>
      </w:tr>
      <w:tr w:rsidR="00411FEA" w:rsidRPr="00B07B08" w14:paraId="49E31E4A" w14:textId="77777777" w:rsidTr="00AF6C7C">
        <w:trPr>
          <w:jc w:val="center"/>
        </w:trPr>
        <w:tc>
          <w:tcPr>
            <w:tcW w:w="3256" w:type="dxa"/>
          </w:tcPr>
          <w:p w14:paraId="3A27DB04" w14:textId="77777777" w:rsidR="00411FEA" w:rsidRPr="00B07B08" w:rsidRDefault="00411FEA" w:rsidP="00AF6C7C">
            <w:pPr>
              <w:spacing w:before="60" w:after="60"/>
              <w:jc w:val="left"/>
              <w:rPr>
                <w:rFonts w:cs="Arial"/>
                <w:sz w:val="22"/>
                <w:szCs w:val="22"/>
              </w:rPr>
            </w:pPr>
            <w:r w:rsidRPr="00B07B08">
              <w:rPr>
                <w:rFonts w:cs="Arial"/>
                <w:sz w:val="22"/>
                <w:szCs w:val="22"/>
              </w:rPr>
              <w:t>12 years and over sharing living accommodation with an immunosuppressed individual of any age</w:t>
            </w:r>
          </w:p>
        </w:tc>
        <w:tc>
          <w:tcPr>
            <w:tcW w:w="992" w:type="dxa"/>
          </w:tcPr>
          <w:p w14:paraId="260A0DD5"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Two </w:t>
            </w:r>
          </w:p>
        </w:tc>
        <w:tc>
          <w:tcPr>
            <w:tcW w:w="1276" w:type="dxa"/>
          </w:tcPr>
          <w:p w14:paraId="6AC17500" w14:textId="77777777" w:rsidR="00411FEA" w:rsidRPr="00B07B08" w:rsidRDefault="00411FEA" w:rsidP="00AF6C7C">
            <w:pPr>
              <w:spacing w:before="60" w:after="60"/>
              <w:jc w:val="left"/>
              <w:rPr>
                <w:rFonts w:cs="Arial"/>
                <w:sz w:val="22"/>
                <w:szCs w:val="22"/>
              </w:rPr>
            </w:pPr>
            <w:r w:rsidRPr="00B07B08">
              <w:rPr>
                <w:rFonts w:cs="Arial"/>
                <w:sz w:val="22"/>
                <w:szCs w:val="22"/>
              </w:rPr>
              <w:t>8 weeks</w:t>
            </w:r>
          </w:p>
        </w:tc>
        <w:tc>
          <w:tcPr>
            <w:tcW w:w="4961" w:type="dxa"/>
          </w:tcPr>
          <w:p w14:paraId="1AB26BED" w14:textId="77777777" w:rsidR="00411FEA" w:rsidRPr="00B07B08" w:rsidRDefault="00411FEA" w:rsidP="00AF6C7C">
            <w:pPr>
              <w:spacing w:before="60" w:after="60"/>
              <w:jc w:val="left"/>
              <w:rPr>
                <w:rFonts w:cs="Arial"/>
                <w:sz w:val="22"/>
                <w:szCs w:val="22"/>
              </w:rPr>
            </w:pPr>
          </w:p>
        </w:tc>
      </w:tr>
      <w:tr w:rsidR="00411FEA" w:rsidRPr="00B07B08" w14:paraId="490FFC83" w14:textId="77777777" w:rsidTr="00AF6C7C">
        <w:trPr>
          <w:jc w:val="center"/>
        </w:trPr>
        <w:tc>
          <w:tcPr>
            <w:tcW w:w="3256" w:type="dxa"/>
          </w:tcPr>
          <w:p w14:paraId="15CD6808" w14:textId="54F2EAA9" w:rsidR="00411FEA" w:rsidRPr="00B07B08" w:rsidRDefault="00411FEA" w:rsidP="00AF6C7C">
            <w:pPr>
              <w:spacing w:before="60" w:after="60"/>
              <w:jc w:val="left"/>
              <w:rPr>
                <w:rFonts w:cs="Arial"/>
                <w:color w:val="000000"/>
                <w:sz w:val="22"/>
                <w:szCs w:val="22"/>
              </w:rPr>
            </w:pPr>
            <w:r w:rsidRPr="00B07B08">
              <w:rPr>
                <w:rFonts w:cs="Arial"/>
                <w:sz w:val="22"/>
                <w:szCs w:val="22"/>
              </w:rPr>
              <w:t>12 years and over in an at-risk group</w:t>
            </w:r>
            <w:bookmarkStart w:id="47" w:name="_Ref87522020"/>
            <w:r w:rsidRPr="00B07B08">
              <w:rPr>
                <w:rStyle w:val="FootnoteReference"/>
                <w:rFonts w:cs="Arial"/>
                <w:sz w:val="22"/>
                <w:szCs w:val="22"/>
              </w:rPr>
              <w:footnoteReference w:id="8"/>
            </w:r>
            <w:bookmarkEnd w:id="47"/>
            <w:r w:rsidRPr="00B07B08">
              <w:rPr>
                <w:rFonts w:cs="Arial"/>
                <w:sz w:val="22"/>
                <w:szCs w:val="22"/>
              </w:rPr>
              <w:t xml:space="preserve"> and those from 16 years of age working in health and social care.</w:t>
            </w:r>
          </w:p>
        </w:tc>
        <w:tc>
          <w:tcPr>
            <w:tcW w:w="992" w:type="dxa"/>
          </w:tcPr>
          <w:p w14:paraId="041CC95C"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Two </w:t>
            </w:r>
          </w:p>
        </w:tc>
        <w:tc>
          <w:tcPr>
            <w:tcW w:w="1276" w:type="dxa"/>
          </w:tcPr>
          <w:p w14:paraId="5F6588B7"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8 weeks </w:t>
            </w:r>
          </w:p>
        </w:tc>
        <w:tc>
          <w:tcPr>
            <w:tcW w:w="4961" w:type="dxa"/>
          </w:tcPr>
          <w:p w14:paraId="553ABA75" w14:textId="77777777" w:rsidR="00411FEA" w:rsidRPr="00B07B08" w:rsidRDefault="00411FEA" w:rsidP="00AF6C7C">
            <w:pPr>
              <w:keepNext/>
              <w:overflowPunct/>
              <w:autoSpaceDE/>
              <w:autoSpaceDN/>
              <w:adjustRightInd/>
              <w:spacing w:before="60" w:after="60"/>
              <w:jc w:val="left"/>
              <w:textAlignment w:val="auto"/>
              <w:rPr>
                <w:sz w:val="22"/>
                <w:szCs w:val="22"/>
                <w:lang w:val="en-US" w:eastAsia="en-US"/>
              </w:rPr>
            </w:pPr>
            <w:r w:rsidRPr="00B07B08">
              <w:rPr>
                <w:rFonts w:cs="Arial"/>
                <w:sz w:val="22"/>
                <w:szCs w:val="22"/>
              </w:rPr>
              <w:t xml:space="preserve">Note: A third primary dose is recommended for those who </w:t>
            </w:r>
            <w:r w:rsidRPr="00B07B08">
              <w:rPr>
                <w:sz w:val="22"/>
                <w:szCs w:val="22"/>
                <w:lang w:val="en-US" w:eastAsia="en-US"/>
              </w:rPr>
              <w:t>have severe immunosuppression in proximity to their first or second COVID-19 doses.</w:t>
            </w:r>
          </w:p>
        </w:tc>
      </w:tr>
      <w:tr w:rsidR="00411FEA" w:rsidRPr="00B07B08" w14:paraId="2CBD9F91" w14:textId="77777777" w:rsidTr="00AF6C7C">
        <w:trPr>
          <w:jc w:val="center"/>
        </w:trPr>
        <w:tc>
          <w:tcPr>
            <w:tcW w:w="3256" w:type="dxa"/>
          </w:tcPr>
          <w:p w14:paraId="0556F78C"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12 years and over </w:t>
            </w:r>
            <w:r w:rsidRPr="00B07B08">
              <w:rPr>
                <w:sz w:val="22"/>
                <w:szCs w:val="22"/>
                <w:lang w:val="en-US" w:eastAsia="en-US"/>
              </w:rPr>
              <w:t>who had severe immunosuppression in proximity to their first or second COVID-19 doses in the primary schedule</w:t>
            </w:r>
          </w:p>
        </w:tc>
        <w:tc>
          <w:tcPr>
            <w:tcW w:w="992" w:type="dxa"/>
          </w:tcPr>
          <w:p w14:paraId="7463740C"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Three </w:t>
            </w:r>
          </w:p>
        </w:tc>
        <w:tc>
          <w:tcPr>
            <w:tcW w:w="1276" w:type="dxa"/>
          </w:tcPr>
          <w:p w14:paraId="2667E76C" w14:textId="77777777" w:rsidR="00411FEA" w:rsidRPr="00B07B08" w:rsidRDefault="00411FEA" w:rsidP="00AF6C7C">
            <w:pPr>
              <w:spacing w:before="60" w:after="60"/>
              <w:jc w:val="left"/>
              <w:rPr>
                <w:rFonts w:cs="Arial"/>
                <w:sz w:val="22"/>
                <w:szCs w:val="22"/>
              </w:rPr>
            </w:pPr>
            <w:r w:rsidRPr="00B07B08">
              <w:rPr>
                <w:rFonts w:cs="Arial"/>
                <w:sz w:val="22"/>
                <w:szCs w:val="22"/>
              </w:rPr>
              <w:t>8 weeks</w:t>
            </w:r>
          </w:p>
        </w:tc>
        <w:tc>
          <w:tcPr>
            <w:tcW w:w="4961" w:type="dxa"/>
          </w:tcPr>
          <w:p w14:paraId="7B25E5D5"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The decision on the timing of the third dose should be undertaken by the specialist involved in the care of the individual. The third dose should be given ideally at least 8 weeks after the second dose, with special attention paid to current or planned immunosuppressive therapies (see </w:t>
            </w:r>
            <w:hyperlink w:anchor="AdditionalInformation" w:history="1">
              <w:r w:rsidRPr="00B07B08">
                <w:rPr>
                  <w:rStyle w:val="Hyperlink"/>
                  <w:rFonts w:cs="Arial"/>
                  <w:sz w:val="22"/>
                  <w:szCs w:val="22"/>
                </w:rPr>
                <w:t>Additional information</w:t>
              </w:r>
            </w:hyperlink>
            <w:r w:rsidRPr="00B07B08">
              <w:rPr>
                <w:rFonts w:cs="Arial"/>
                <w:sz w:val="22"/>
                <w:szCs w:val="22"/>
              </w:rPr>
              <w:t xml:space="preserve"> section). </w:t>
            </w:r>
          </w:p>
          <w:p w14:paraId="77EF2725" w14:textId="77777777" w:rsidR="00411FEA" w:rsidRPr="00B07B08" w:rsidRDefault="00411FEA" w:rsidP="00AF6C7C">
            <w:pPr>
              <w:spacing w:before="60" w:after="60"/>
              <w:jc w:val="left"/>
              <w:rPr>
                <w:rFonts w:cs="Arial"/>
                <w:sz w:val="22"/>
                <w:szCs w:val="22"/>
              </w:rPr>
            </w:pPr>
            <w:r w:rsidRPr="00B07B08">
              <w:rPr>
                <w:rFonts w:cs="Arial"/>
                <w:sz w:val="22"/>
                <w:szCs w:val="22"/>
              </w:rPr>
              <w:t>This group of individuals will also require a booster dose to extend protection from their primary course. Boosters are expected to be required from six months after the third dose, although JCVI will advise on optimal timing after evidence from trials in these populations become available.</w:t>
            </w:r>
          </w:p>
        </w:tc>
      </w:tr>
      <w:tr w:rsidR="00411FEA" w:rsidRPr="00B07B08" w14:paraId="58073EF8" w14:textId="77777777" w:rsidTr="00AF6C7C">
        <w:trPr>
          <w:jc w:val="center"/>
        </w:trPr>
        <w:tc>
          <w:tcPr>
            <w:tcW w:w="10485" w:type="dxa"/>
            <w:gridSpan w:val="4"/>
            <w:shd w:val="clear" w:color="auto" w:fill="C9C9C9" w:themeFill="accent3" w:themeFillTint="99"/>
          </w:tcPr>
          <w:p w14:paraId="019F5186" w14:textId="3B271FCA" w:rsidR="00411FEA" w:rsidRPr="00B07B08" w:rsidRDefault="002F6735" w:rsidP="00AF6C7C">
            <w:pPr>
              <w:spacing w:before="60" w:after="60"/>
              <w:jc w:val="left"/>
              <w:rPr>
                <w:rFonts w:cs="Arial"/>
                <w:b/>
                <w:bCs/>
                <w:color w:val="000000"/>
                <w:sz w:val="22"/>
                <w:szCs w:val="22"/>
              </w:rPr>
            </w:pPr>
            <w:r>
              <w:rPr>
                <w:rFonts w:cs="Arial"/>
                <w:b/>
                <w:bCs/>
                <w:sz w:val="22"/>
                <w:szCs w:val="22"/>
              </w:rPr>
              <w:t>I</w:t>
            </w:r>
            <w:r w:rsidR="00411FEA" w:rsidRPr="00B07B08">
              <w:rPr>
                <w:rFonts w:cs="Arial"/>
                <w:b/>
                <w:bCs/>
                <w:sz w:val="22"/>
                <w:szCs w:val="22"/>
              </w:rPr>
              <w:t>ndividuals who are not at higher risk</w:t>
            </w:r>
          </w:p>
        </w:tc>
      </w:tr>
      <w:tr w:rsidR="00411FEA" w:rsidRPr="00B07B08" w14:paraId="0F3EC4D8" w14:textId="77777777" w:rsidTr="00AF6C7C">
        <w:trPr>
          <w:jc w:val="center"/>
        </w:trPr>
        <w:tc>
          <w:tcPr>
            <w:tcW w:w="3256" w:type="dxa"/>
          </w:tcPr>
          <w:p w14:paraId="2907A044" w14:textId="77777777" w:rsidR="00411FEA" w:rsidRPr="00B07B08" w:rsidRDefault="00411FEA" w:rsidP="00AF6C7C">
            <w:pPr>
              <w:spacing w:before="60" w:after="60"/>
              <w:jc w:val="left"/>
              <w:rPr>
                <w:rFonts w:cs="Arial"/>
                <w:sz w:val="22"/>
                <w:szCs w:val="22"/>
              </w:rPr>
            </w:pPr>
            <w:r w:rsidRPr="00B07B08">
              <w:rPr>
                <w:rFonts w:cs="Arial"/>
                <w:sz w:val="22"/>
                <w:szCs w:val="22"/>
              </w:rPr>
              <w:t>12 to 15 years of age and not in a recognised risk group</w:t>
            </w:r>
            <w:r w:rsidRPr="005029D4">
              <w:rPr>
                <w:rFonts w:cs="Arial"/>
                <w:sz w:val="22"/>
                <w:szCs w:val="22"/>
                <w:vertAlign w:val="superscript"/>
              </w:rPr>
              <w:fldChar w:fldCharType="begin"/>
            </w:r>
            <w:r w:rsidRPr="00B07B08">
              <w:rPr>
                <w:rFonts w:cs="Arial"/>
                <w:sz w:val="22"/>
                <w:szCs w:val="22"/>
                <w:vertAlign w:val="superscript"/>
              </w:rPr>
              <w:instrText xml:space="preserve"> NOTEREF _Ref87522020 \h  \* MERGEFORMAT </w:instrText>
            </w:r>
            <w:r w:rsidRPr="005029D4">
              <w:rPr>
                <w:rFonts w:cs="Arial"/>
                <w:sz w:val="22"/>
                <w:szCs w:val="22"/>
                <w:vertAlign w:val="superscript"/>
              </w:rPr>
            </w:r>
            <w:r w:rsidRPr="005029D4">
              <w:rPr>
                <w:rFonts w:cs="Arial"/>
                <w:sz w:val="22"/>
                <w:szCs w:val="22"/>
                <w:vertAlign w:val="superscript"/>
              </w:rPr>
              <w:fldChar w:fldCharType="separate"/>
            </w:r>
            <w:r w:rsidRPr="00B07B08">
              <w:rPr>
                <w:rFonts w:cs="Arial"/>
                <w:sz w:val="22"/>
                <w:szCs w:val="22"/>
                <w:vertAlign w:val="superscript"/>
              </w:rPr>
              <w:t>7</w:t>
            </w:r>
            <w:r w:rsidRPr="005029D4">
              <w:rPr>
                <w:rFonts w:cs="Arial"/>
                <w:sz w:val="22"/>
                <w:szCs w:val="22"/>
                <w:vertAlign w:val="superscript"/>
              </w:rPr>
              <w:fldChar w:fldCharType="end"/>
            </w:r>
          </w:p>
        </w:tc>
        <w:tc>
          <w:tcPr>
            <w:tcW w:w="992" w:type="dxa"/>
          </w:tcPr>
          <w:p w14:paraId="249C0C6C"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One </w:t>
            </w:r>
          </w:p>
        </w:tc>
        <w:tc>
          <w:tcPr>
            <w:tcW w:w="1276" w:type="dxa"/>
          </w:tcPr>
          <w:p w14:paraId="11955C29" w14:textId="77777777" w:rsidR="00411FEA" w:rsidRPr="00B07B08" w:rsidRDefault="00411FEA" w:rsidP="00AF6C7C">
            <w:pPr>
              <w:spacing w:before="60" w:after="60"/>
              <w:jc w:val="left"/>
              <w:rPr>
                <w:rFonts w:cs="Arial"/>
                <w:sz w:val="22"/>
                <w:szCs w:val="22"/>
              </w:rPr>
            </w:pPr>
            <w:r w:rsidRPr="00B07B08">
              <w:rPr>
                <w:rFonts w:cs="Arial"/>
                <w:sz w:val="22"/>
                <w:szCs w:val="22"/>
              </w:rPr>
              <w:t>Not applicable</w:t>
            </w:r>
          </w:p>
        </w:tc>
        <w:tc>
          <w:tcPr>
            <w:tcW w:w="4961" w:type="dxa"/>
          </w:tcPr>
          <w:p w14:paraId="29FD4AF7" w14:textId="77777777" w:rsidR="00411FEA" w:rsidRPr="00B07B08" w:rsidRDefault="00411FEA" w:rsidP="00AF6C7C">
            <w:pPr>
              <w:spacing w:before="60" w:after="60"/>
              <w:jc w:val="left"/>
              <w:rPr>
                <w:rStyle w:val="A10"/>
                <w:rFonts w:cs="Arial"/>
                <w:sz w:val="22"/>
                <w:szCs w:val="22"/>
              </w:rPr>
            </w:pPr>
            <w:r w:rsidRPr="005029D4">
              <w:rPr>
                <w:rFonts w:cs="Arial"/>
                <w:color w:val="000000"/>
                <w:sz w:val="22"/>
                <w:szCs w:val="22"/>
              </w:rPr>
              <w:t xml:space="preserve">The Chief Medical Officers have recommended that all young people aged 12 to 15 years can receive their first dose of COVID-19 vaccine. </w:t>
            </w:r>
            <w:r w:rsidRPr="00B07B08">
              <w:rPr>
                <w:rStyle w:val="A10"/>
                <w:rFonts w:cs="Arial"/>
                <w:sz w:val="22"/>
                <w:szCs w:val="22"/>
              </w:rPr>
              <w:t xml:space="preserve"> </w:t>
            </w:r>
          </w:p>
          <w:p w14:paraId="7531B6CD" w14:textId="77777777" w:rsidR="00411FEA" w:rsidRPr="00B07B08" w:rsidRDefault="00411FEA" w:rsidP="00AF6C7C">
            <w:pPr>
              <w:spacing w:before="60" w:after="60"/>
              <w:jc w:val="left"/>
              <w:rPr>
                <w:rFonts w:cs="Arial"/>
                <w:sz w:val="22"/>
                <w:szCs w:val="22"/>
              </w:rPr>
            </w:pPr>
            <w:r w:rsidRPr="00B07B08">
              <w:rPr>
                <w:rFonts w:cs="Frutiger 45 Light"/>
                <w:color w:val="000000"/>
                <w:sz w:val="22"/>
                <w:szCs w:val="22"/>
              </w:rPr>
              <w:t>A decision on when to offer the second dose to healthy children is pending further evidence on the safety of a second dose in this age group.</w:t>
            </w:r>
          </w:p>
        </w:tc>
      </w:tr>
      <w:tr w:rsidR="00411FEA" w:rsidRPr="00B07B08" w14:paraId="2E5462CD" w14:textId="77777777" w:rsidTr="00AF6C7C">
        <w:trPr>
          <w:jc w:val="center"/>
        </w:trPr>
        <w:tc>
          <w:tcPr>
            <w:tcW w:w="3256" w:type="dxa"/>
          </w:tcPr>
          <w:p w14:paraId="76125B5F" w14:textId="06214471" w:rsidR="00411FEA" w:rsidRPr="00B07B08" w:rsidRDefault="00411FEA" w:rsidP="00AF6C7C">
            <w:pPr>
              <w:spacing w:before="60" w:after="60"/>
              <w:jc w:val="left"/>
              <w:rPr>
                <w:rFonts w:cs="Arial"/>
                <w:sz w:val="22"/>
                <w:szCs w:val="22"/>
              </w:rPr>
            </w:pPr>
            <w:r w:rsidRPr="00B07B08">
              <w:rPr>
                <w:rFonts w:cs="Arial"/>
                <w:sz w:val="22"/>
                <w:szCs w:val="22"/>
              </w:rPr>
              <w:t xml:space="preserve">16 and 17 years of age and not in </w:t>
            </w:r>
            <w:r w:rsidR="00DB5DA1">
              <w:rPr>
                <w:rFonts w:cs="Arial"/>
                <w:sz w:val="22"/>
                <w:szCs w:val="22"/>
              </w:rPr>
              <w:t xml:space="preserve">a </w:t>
            </w:r>
            <w:r w:rsidRPr="00B07B08">
              <w:rPr>
                <w:rFonts w:cs="Arial"/>
                <w:sz w:val="22"/>
                <w:szCs w:val="22"/>
              </w:rPr>
              <w:t>recognised risk group</w:t>
            </w:r>
            <w:r w:rsidRPr="005029D4">
              <w:rPr>
                <w:rFonts w:cs="Arial"/>
                <w:sz w:val="22"/>
                <w:szCs w:val="22"/>
                <w:vertAlign w:val="superscript"/>
              </w:rPr>
              <w:fldChar w:fldCharType="begin"/>
            </w:r>
            <w:r w:rsidRPr="00B07B08">
              <w:rPr>
                <w:rFonts w:cs="Arial"/>
                <w:sz w:val="22"/>
                <w:szCs w:val="22"/>
                <w:vertAlign w:val="superscript"/>
              </w:rPr>
              <w:instrText xml:space="preserve"> NOTEREF _Ref87522020 \h  \* MERGEFORMAT </w:instrText>
            </w:r>
            <w:r w:rsidRPr="005029D4">
              <w:rPr>
                <w:rFonts w:cs="Arial"/>
                <w:sz w:val="22"/>
                <w:szCs w:val="22"/>
                <w:vertAlign w:val="superscript"/>
              </w:rPr>
            </w:r>
            <w:r w:rsidRPr="005029D4">
              <w:rPr>
                <w:rFonts w:cs="Arial"/>
                <w:sz w:val="22"/>
                <w:szCs w:val="22"/>
                <w:vertAlign w:val="superscript"/>
              </w:rPr>
              <w:fldChar w:fldCharType="separate"/>
            </w:r>
            <w:r w:rsidR="009B16D6">
              <w:rPr>
                <w:rFonts w:cs="Arial"/>
                <w:sz w:val="22"/>
                <w:szCs w:val="22"/>
                <w:vertAlign w:val="superscript"/>
              </w:rPr>
              <w:t>7</w:t>
            </w:r>
            <w:r w:rsidRPr="005029D4">
              <w:rPr>
                <w:rFonts w:cs="Arial"/>
                <w:sz w:val="22"/>
                <w:szCs w:val="22"/>
                <w:vertAlign w:val="superscript"/>
              </w:rPr>
              <w:fldChar w:fldCharType="end"/>
            </w:r>
            <w:r w:rsidRPr="00B07B08">
              <w:rPr>
                <w:rFonts w:cs="Arial"/>
                <w:sz w:val="22"/>
                <w:szCs w:val="22"/>
              </w:rPr>
              <w:t xml:space="preserve"> nor working in health and social care </w:t>
            </w:r>
          </w:p>
        </w:tc>
        <w:tc>
          <w:tcPr>
            <w:tcW w:w="992" w:type="dxa"/>
          </w:tcPr>
          <w:p w14:paraId="39484199" w14:textId="77777777" w:rsidR="00411FEA" w:rsidRPr="00B07B08" w:rsidRDefault="00411FEA" w:rsidP="00AF6C7C">
            <w:pPr>
              <w:spacing w:before="60" w:after="60"/>
              <w:jc w:val="left"/>
              <w:rPr>
                <w:rFonts w:cs="Arial"/>
                <w:sz w:val="22"/>
                <w:szCs w:val="22"/>
              </w:rPr>
            </w:pPr>
            <w:r w:rsidRPr="00B07B08">
              <w:rPr>
                <w:rFonts w:cs="Arial"/>
                <w:sz w:val="22"/>
                <w:szCs w:val="22"/>
              </w:rPr>
              <w:t xml:space="preserve">Two </w:t>
            </w:r>
          </w:p>
        </w:tc>
        <w:tc>
          <w:tcPr>
            <w:tcW w:w="1276" w:type="dxa"/>
          </w:tcPr>
          <w:p w14:paraId="24096E9D" w14:textId="7A0E7CC5" w:rsidR="00411FEA" w:rsidRPr="00B07B08" w:rsidRDefault="00411FEA" w:rsidP="00AF6C7C">
            <w:pPr>
              <w:spacing w:before="60" w:after="60"/>
              <w:jc w:val="left"/>
              <w:rPr>
                <w:rFonts w:cs="Arial"/>
                <w:sz w:val="22"/>
                <w:szCs w:val="22"/>
              </w:rPr>
            </w:pPr>
            <w:r w:rsidRPr="00B07B08">
              <w:rPr>
                <w:rFonts w:cs="Arial"/>
                <w:sz w:val="22"/>
                <w:szCs w:val="22"/>
              </w:rPr>
              <w:t>12 weeks</w:t>
            </w:r>
            <w:r w:rsidR="00A36A13">
              <w:rPr>
                <w:rStyle w:val="FootnoteReference"/>
                <w:rFonts w:cs="Arial"/>
                <w:sz w:val="22"/>
                <w:szCs w:val="22"/>
              </w:rPr>
              <w:footnoteReference w:id="9"/>
            </w:r>
            <w:r w:rsidRPr="00B07B08">
              <w:rPr>
                <w:rFonts w:cs="Arial"/>
                <w:sz w:val="22"/>
                <w:szCs w:val="22"/>
              </w:rPr>
              <w:t xml:space="preserve"> </w:t>
            </w:r>
          </w:p>
        </w:tc>
        <w:tc>
          <w:tcPr>
            <w:tcW w:w="4961" w:type="dxa"/>
          </w:tcPr>
          <w:p w14:paraId="18E54352" w14:textId="775CFE0A" w:rsidR="00411FEA" w:rsidRPr="00B07B08" w:rsidRDefault="00411FEA" w:rsidP="00AF6C7C">
            <w:pPr>
              <w:spacing w:before="60" w:after="60"/>
              <w:jc w:val="left"/>
              <w:rPr>
                <w:rFonts w:cs="Arial"/>
                <w:sz w:val="22"/>
                <w:szCs w:val="22"/>
              </w:rPr>
            </w:pPr>
          </w:p>
        </w:tc>
      </w:tr>
      <w:tr w:rsidR="00411FEA" w:rsidRPr="00B07B08" w14:paraId="054D05B4" w14:textId="77777777" w:rsidTr="00AF6C7C">
        <w:trPr>
          <w:jc w:val="center"/>
        </w:trPr>
        <w:tc>
          <w:tcPr>
            <w:tcW w:w="3256" w:type="dxa"/>
          </w:tcPr>
          <w:p w14:paraId="765F2D48" w14:textId="0FC562FA" w:rsidR="00411FEA" w:rsidRPr="00B07B08" w:rsidRDefault="00411FEA" w:rsidP="00AF6C7C">
            <w:pPr>
              <w:spacing w:before="60" w:after="60"/>
              <w:jc w:val="left"/>
              <w:rPr>
                <w:rFonts w:cs="Arial"/>
                <w:b/>
                <w:bCs/>
                <w:sz w:val="22"/>
                <w:szCs w:val="22"/>
              </w:rPr>
            </w:pPr>
            <w:r w:rsidRPr="00B07B08">
              <w:rPr>
                <w:rFonts w:cs="Arial"/>
                <w:sz w:val="22"/>
                <w:szCs w:val="22"/>
              </w:rPr>
              <w:t xml:space="preserve">18 years and over and not in </w:t>
            </w:r>
            <w:r w:rsidR="00DB5DA1">
              <w:rPr>
                <w:rFonts w:cs="Arial"/>
                <w:sz w:val="22"/>
                <w:szCs w:val="22"/>
              </w:rPr>
              <w:t xml:space="preserve">a </w:t>
            </w:r>
            <w:r w:rsidRPr="00B07B08">
              <w:rPr>
                <w:rFonts w:cs="Arial"/>
                <w:sz w:val="22"/>
                <w:szCs w:val="22"/>
              </w:rPr>
              <w:t xml:space="preserve">recognised risk group </w:t>
            </w:r>
          </w:p>
        </w:tc>
        <w:tc>
          <w:tcPr>
            <w:tcW w:w="992" w:type="dxa"/>
          </w:tcPr>
          <w:p w14:paraId="3C59290E" w14:textId="77777777" w:rsidR="00411FEA" w:rsidRPr="00B07B08" w:rsidRDefault="00411FEA" w:rsidP="00AF6C7C">
            <w:pPr>
              <w:spacing w:before="60" w:after="60"/>
              <w:jc w:val="left"/>
              <w:rPr>
                <w:rFonts w:cs="Arial"/>
                <w:b/>
                <w:bCs/>
                <w:sz w:val="22"/>
                <w:szCs w:val="22"/>
              </w:rPr>
            </w:pPr>
            <w:r w:rsidRPr="00B07B08">
              <w:rPr>
                <w:rFonts w:cs="Arial"/>
                <w:sz w:val="22"/>
                <w:szCs w:val="22"/>
              </w:rPr>
              <w:t xml:space="preserve">Two </w:t>
            </w:r>
          </w:p>
        </w:tc>
        <w:tc>
          <w:tcPr>
            <w:tcW w:w="1276" w:type="dxa"/>
          </w:tcPr>
          <w:p w14:paraId="4388C857" w14:textId="77777777" w:rsidR="00411FEA" w:rsidRPr="00B07B08" w:rsidRDefault="00411FEA" w:rsidP="00AF6C7C">
            <w:pPr>
              <w:spacing w:before="60" w:after="60"/>
              <w:jc w:val="left"/>
              <w:rPr>
                <w:rFonts w:cs="Arial"/>
                <w:b/>
                <w:bCs/>
                <w:sz w:val="22"/>
                <w:szCs w:val="22"/>
              </w:rPr>
            </w:pPr>
            <w:r w:rsidRPr="00B07B08">
              <w:rPr>
                <w:rFonts w:cs="Arial"/>
                <w:sz w:val="22"/>
                <w:szCs w:val="22"/>
              </w:rPr>
              <w:t xml:space="preserve">8 weeks </w:t>
            </w:r>
          </w:p>
        </w:tc>
        <w:tc>
          <w:tcPr>
            <w:tcW w:w="4961" w:type="dxa"/>
          </w:tcPr>
          <w:p w14:paraId="717A8BAB" w14:textId="77777777" w:rsidR="00411FEA" w:rsidRPr="00B07B08" w:rsidRDefault="00411FEA" w:rsidP="00AF6C7C">
            <w:pPr>
              <w:spacing w:before="60" w:after="60"/>
              <w:jc w:val="left"/>
              <w:rPr>
                <w:rFonts w:cs="Arial"/>
                <w:sz w:val="22"/>
                <w:szCs w:val="22"/>
              </w:rPr>
            </w:pPr>
          </w:p>
        </w:tc>
      </w:tr>
    </w:tbl>
    <w:p w14:paraId="01020B43" w14:textId="2CBFA603" w:rsidR="00191405" w:rsidRPr="00191405" w:rsidRDefault="00191405" w:rsidP="000028EA">
      <w:pPr>
        <w:tabs>
          <w:tab w:val="left" w:pos="8360"/>
        </w:tabs>
        <w:rPr>
          <w:sz w:val="6"/>
          <w:szCs w:val="6"/>
        </w:rPr>
      </w:pPr>
    </w:p>
    <w:sectPr w:rsidR="00191405" w:rsidRPr="00191405" w:rsidSect="000517D7">
      <w:headerReference w:type="even" r:id="rId99"/>
      <w:footerReference w:type="default" r:id="rId100"/>
      <w:headerReference w:type="first" r:id="rId101"/>
      <w:footerReference w:type="first" r:id="rId102"/>
      <w:type w:val="continuous"/>
      <w:pgSz w:w="11906" w:h="16838" w:code="9"/>
      <w:pgMar w:top="-709" w:right="720" w:bottom="720" w:left="720" w:header="567"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CE87" w14:textId="77777777" w:rsidR="001633F2" w:rsidRDefault="001633F2" w:rsidP="00B227F7">
      <w:r>
        <w:separator/>
      </w:r>
    </w:p>
  </w:endnote>
  <w:endnote w:type="continuationSeparator" w:id="0">
    <w:p w14:paraId="40781880" w14:textId="77777777" w:rsidR="001633F2" w:rsidRDefault="001633F2" w:rsidP="00B227F7">
      <w:r>
        <w:continuationSeparator/>
      </w:r>
    </w:p>
  </w:endnote>
  <w:endnote w:type="continuationNotice" w:id="1">
    <w:p w14:paraId="679933A5" w14:textId="77777777" w:rsidR="001633F2" w:rsidRDefault="00163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variable"/>
    <w:sig w:usb0="800000AF" w:usb1="4000204A" w:usb2="00000000" w:usb3="00000000" w:csb0="00000001" w:csb1="00000000"/>
  </w:font>
  <w:font w:name="Frutiger-Light">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0131" w14:textId="5DB28DE7" w:rsidR="001633F2" w:rsidRPr="005029D4" w:rsidRDefault="001633F2">
    <w:pPr>
      <w:pStyle w:val="Footer"/>
      <w:rPr>
        <w:rFonts w:ascii="Arial" w:hAnsi="Arial"/>
        <w:sz w:val="20"/>
      </w:rPr>
    </w:pPr>
    <w:r w:rsidRPr="00E26C8C">
      <w:rPr>
        <w:rFonts w:ascii="Arial" w:hAnsi="Arial"/>
        <w:sz w:val="20"/>
      </w:rPr>
      <w:t xml:space="preserve">COVID-19 mRNA vaccine BNT162b2 </w:t>
    </w:r>
    <w:r w:rsidRPr="001A2005">
      <w:rPr>
        <w:rFonts w:ascii="Arial" w:hAnsi="Arial"/>
        <w:sz w:val="20"/>
      </w:rPr>
      <w:t>PGD</w:t>
    </w:r>
    <w:r w:rsidRPr="00173296">
      <w:rPr>
        <w:rFonts w:ascii="Arial" w:hAnsi="Arial"/>
        <w:sz w:val="20"/>
      </w:rPr>
      <w:t xml:space="preserve"> v0</w:t>
    </w:r>
    <w:r>
      <w:rPr>
        <w:rFonts w:ascii="Arial" w:hAnsi="Arial"/>
        <w:sz w:val="20"/>
      </w:rPr>
      <w:t>6.00 Valid from: 19/11/2021 Expiry: 31/03</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sz w:val="20"/>
      </w:rPr>
      <w:t>23</w:t>
    </w:r>
    <w:r w:rsidRPr="0004464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861C" w14:textId="5608342F" w:rsidR="001633F2" w:rsidRDefault="001633F2">
    <w:pPr>
      <w:pStyle w:val="Footer"/>
    </w:pPr>
    <w:bookmarkStart w:id="48" w:name="_Hlk57929256"/>
    <w:r w:rsidRPr="00E26C8C">
      <w:rPr>
        <w:rFonts w:ascii="Arial" w:hAnsi="Arial"/>
        <w:sz w:val="20"/>
      </w:rPr>
      <w:t xml:space="preserve">COVID-19 mRNA vaccine BNT162b2 </w:t>
    </w:r>
    <w:r w:rsidRPr="001A2005">
      <w:rPr>
        <w:rFonts w:ascii="Arial" w:hAnsi="Arial"/>
        <w:sz w:val="20"/>
      </w:rPr>
      <w:t>PGD</w:t>
    </w:r>
    <w:r w:rsidRPr="00173296">
      <w:rPr>
        <w:rFonts w:ascii="Arial" w:hAnsi="Arial"/>
        <w:sz w:val="20"/>
      </w:rPr>
      <w:t xml:space="preserve"> v0</w:t>
    </w:r>
    <w:r>
      <w:rPr>
        <w:rFonts w:ascii="Arial" w:hAnsi="Arial"/>
        <w:sz w:val="20"/>
      </w:rPr>
      <w:t>6.00 Valid from: 19/11/2021 Expiry: 31/03</w:t>
    </w:r>
    <w:r w:rsidRPr="00173296">
      <w:rPr>
        <w:rFonts w:ascii="Arial" w:hAnsi="Arial"/>
        <w:sz w:val="20"/>
      </w:rPr>
      <w:t>/20</w:t>
    </w:r>
    <w:r>
      <w:rPr>
        <w:rFonts w:ascii="Arial" w:hAnsi="Arial"/>
        <w:sz w:val="20"/>
      </w:rPr>
      <w:t xml:space="preserve">22    </w:t>
    </w:r>
    <w:bookmarkEnd w:id="48"/>
    <w:r>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sz w:val="20"/>
      </w:rPr>
      <w:t>23</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5109F" w14:textId="77777777" w:rsidR="001633F2" w:rsidRDefault="001633F2" w:rsidP="00B227F7">
      <w:r>
        <w:separator/>
      </w:r>
    </w:p>
  </w:footnote>
  <w:footnote w:type="continuationSeparator" w:id="0">
    <w:p w14:paraId="0EE58380" w14:textId="77777777" w:rsidR="001633F2" w:rsidRDefault="001633F2" w:rsidP="00B227F7">
      <w:r>
        <w:continuationSeparator/>
      </w:r>
    </w:p>
  </w:footnote>
  <w:footnote w:type="continuationNotice" w:id="1">
    <w:p w14:paraId="10A7F10D" w14:textId="77777777" w:rsidR="001633F2" w:rsidRDefault="001633F2"/>
  </w:footnote>
  <w:footnote w:id="2">
    <w:p w14:paraId="1411F92D" w14:textId="2C3E57AC" w:rsidR="001633F2" w:rsidRDefault="001633F2">
      <w:pPr>
        <w:pStyle w:val="FootnoteText"/>
      </w:pPr>
      <w:r>
        <w:rPr>
          <w:rStyle w:val="FootnoteReference"/>
        </w:rPr>
        <w:footnoteRef/>
      </w:r>
      <w:r>
        <w:t xml:space="preserve"> </w:t>
      </w:r>
      <w:r w:rsidRPr="007D4DB3">
        <w:t xml:space="preserve">This includes any relevant amendments to legislation (such as </w:t>
      </w:r>
      <w:hyperlink r:id="rId1" w:history="1">
        <w:r w:rsidRPr="007D4DB3">
          <w:rPr>
            <w:rStyle w:val="Hyperlink"/>
          </w:rPr>
          <w:t>2013 No.235</w:t>
        </w:r>
      </w:hyperlink>
      <w:r w:rsidRPr="007D4DB3">
        <w:t xml:space="preserve">, </w:t>
      </w:r>
      <w:hyperlink r:id="rId2" w:history="1">
        <w:r w:rsidRPr="007D4DB3">
          <w:rPr>
            <w:rStyle w:val="Hyperlink"/>
          </w:rPr>
          <w:t>2015 No.178</w:t>
        </w:r>
      </w:hyperlink>
      <w:r w:rsidRPr="007D4DB3">
        <w:t xml:space="preserve">, </w:t>
      </w:r>
      <w:hyperlink r:id="rId3" w:history="1">
        <w:r w:rsidRPr="007D4DB3">
          <w:rPr>
            <w:rStyle w:val="Hyperlink"/>
          </w:rPr>
          <w:t>2015 No.323</w:t>
        </w:r>
      </w:hyperlink>
      <w:r w:rsidRPr="007D4DB3">
        <w:t xml:space="preserve"> and</w:t>
      </w:r>
      <w:r w:rsidRPr="007D4DB3">
        <w:rPr>
          <w:rStyle w:val="Hyperlink"/>
        </w:rPr>
        <w:t xml:space="preserve"> </w:t>
      </w:r>
      <w:hyperlink r:id="rId4" w:history="1">
        <w:r w:rsidRPr="007D4DB3">
          <w:rPr>
            <w:rStyle w:val="Hyperlink"/>
          </w:rPr>
          <w:t>2020 No.1125</w:t>
        </w:r>
      </w:hyperlink>
      <w:r>
        <w:t>).</w:t>
      </w:r>
    </w:p>
  </w:footnote>
  <w:footnote w:id="3">
    <w:p w14:paraId="34F5A17D" w14:textId="77777777" w:rsidR="001633F2" w:rsidRPr="000E478E" w:rsidRDefault="001633F2" w:rsidP="00BD583E">
      <w:pPr>
        <w:ind w:left="142" w:hanging="142"/>
        <w:rPr>
          <w:rFonts w:cs="Arial"/>
          <w:sz w:val="20"/>
        </w:rPr>
      </w:pPr>
      <w:r w:rsidRPr="007D4DB3">
        <w:rPr>
          <w:rStyle w:val="FootnoteReference"/>
          <w:sz w:val="20"/>
        </w:rPr>
        <w:footnoteRef/>
      </w:r>
      <w:r w:rsidRPr="007D4DB3">
        <w:rPr>
          <w:sz w:val="20"/>
        </w:rPr>
        <w:t xml:space="preserve"> </w:t>
      </w:r>
      <w:r w:rsidRPr="007D4DB3">
        <w:rPr>
          <w:rFonts w:cs="Arial"/>
          <w:sz w:val="20"/>
        </w:rPr>
        <w:t>Exclusion</w:t>
      </w:r>
      <w:r w:rsidRPr="004E3683">
        <w:rPr>
          <w:rFonts w:cs="Arial"/>
          <w:sz w:val="20"/>
        </w:rPr>
        <w:t xml:space="preserve">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4">
    <w:p w14:paraId="58D3365D" w14:textId="77777777" w:rsidR="001633F2" w:rsidRDefault="001633F2" w:rsidP="0099186D">
      <w:pPr>
        <w:pStyle w:val="CommentText"/>
      </w:pPr>
      <w:r>
        <w:rPr>
          <w:rStyle w:val="FootnoteReference"/>
        </w:rPr>
        <w:footnoteRef/>
      </w:r>
      <w:r>
        <w:t xml:space="preserve"> Contains polyethylene glycol (PEG), r</w:t>
      </w:r>
      <w:r w:rsidRPr="00C15334">
        <w:t xml:space="preserve">efer </w:t>
      </w:r>
      <w:r w:rsidRPr="00992877">
        <w:t xml:space="preserve">to </w:t>
      </w:r>
      <w:hyperlink r:id="rId5" w:history="1">
        <w:hyperlink r:id="rId6" w:history="1">
          <w:r w:rsidRPr="00E26C8C">
            <w:rPr>
              <w:rStyle w:val="Hyperlink"/>
              <w:rFonts w:cs="Arial"/>
            </w:rPr>
            <w:t>Regulation 174 Information for UK Healthcare Professionals</w:t>
          </w:r>
        </w:hyperlink>
      </w:hyperlink>
      <w:r w:rsidRPr="004C6AE9">
        <w:t xml:space="preserve"> for </w:t>
      </w:r>
      <w:r>
        <w:t xml:space="preserve">a </w:t>
      </w:r>
      <w:r w:rsidRPr="004C6AE9">
        <w:t>full list of excipients.</w:t>
      </w:r>
    </w:p>
  </w:footnote>
  <w:footnote w:id="5">
    <w:p w14:paraId="1C367464" w14:textId="1AA28CB8" w:rsidR="001633F2" w:rsidRDefault="001633F2">
      <w:pPr>
        <w:pStyle w:val="FootnoteText"/>
      </w:pPr>
      <w:r>
        <w:rPr>
          <w:rStyle w:val="FootnoteReference"/>
        </w:rPr>
        <w:footnoteRef/>
      </w:r>
      <w:r>
        <w:t xml:space="preserve"> </w:t>
      </w:r>
      <w:r w:rsidRPr="00A34E1B">
        <w:t xml:space="preserve">At risk groups are listed in the </w:t>
      </w:r>
      <w:r w:rsidRPr="00431046">
        <w:t xml:space="preserve">Green Book </w:t>
      </w:r>
      <w:hyperlink r:id="rId7" w:history="1">
        <w:r w:rsidRPr="00766E35">
          <w:rPr>
            <w:rStyle w:val="Hyperlink"/>
          </w:rPr>
          <w:t>Chapter 14a</w:t>
        </w:r>
      </w:hyperlink>
      <w:r w:rsidRPr="00431046">
        <w:t xml:space="preserve"> (Table</w:t>
      </w:r>
      <w:r w:rsidRPr="00A34E1B">
        <w:t xml:space="preserve"> 3 for individuals 16 years of age and over and Table 4 for children aged 12-15 years).</w:t>
      </w:r>
    </w:p>
  </w:footnote>
  <w:footnote w:id="6">
    <w:p w14:paraId="1C795D3B" w14:textId="4248404F" w:rsidR="001633F2" w:rsidRDefault="001633F2">
      <w:pPr>
        <w:pStyle w:val="FootnoteText"/>
      </w:pPr>
      <w:r>
        <w:rPr>
          <w:rStyle w:val="FootnoteReference"/>
        </w:rPr>
        <w:footnoteRef/>
      </w:r>
      <w:r>
        <w:t xml:space="preserve"> </w:t>
      </w:r>
      <w:bookmarkStart w:id="30" w:name="_Hlk87878496"/>
      <w:r w:rsidRPr="001E4360">
        <w:t>T</w:t>
      </w:r>
      <w:r w:rsidRPr="001E4360">
        <w:rPr>
          <w:rFonts w:cs="Arial"/>
          <w:color w:val="000000"/>
        </w:rPr>
        <w:t xml:space="preserve">here will be a transitional period where this </w:t>
      </w:r>
      <w:r>
        <w:rPr>
          <w:rFonts w:cs="Arial"/>
          <w:color w:val="000000"/>
        </w:rPr>
        <w:t>PGD</w:t>
      </w:r>
      <w:r w:rsidRPr="001E4360">
        <w:rPr>
          <w:rFonts w:cs="Arial"/>
          <w:color w:val="000000"/>
        </w:rPr>
        <w:t xml:space="preserve"> can be used to administer second doses for those </w:t>
      </w:r>
      <w:r>
        <w:rPr>
          <w:rFonts w:cs="Arial"/>
          <w:color w:val="000000"/>
        </w:rPr>
        <w:t xml:space="preserve">from </w:t>
      </w:r>
      <w:r w:rsidRPr="001E4360">
        <w:rPr>
          <w:rFonts w:cs="Arial"/>
          <w:color w:val="000000"/>
        </w:rPr>
        <w:t>17</w:t>
      </w:r>
      <w:r>
        <w:rPr>
          <w:rFonts w:cs="Arial"/>
          <w:color w:val="000000"/>
        </w:rPr>
        <w:t xml:space="preserve"> years and 9 months of age</w:t>
      </w:r>
      <w:r w:rsidRPr="001E4360">
        <w:rPr>
          <w:rFonts w:cs="Arial"/>
          <w:color w:val="000000"/>
        </w:rPr>
        <w:t xml:space="preserve"> (not </w:t>
      </w:r>
      <w:r w:rsidRPr="001E4360">
        <w:rPr>
          <w:rFonts w:cs="Arial"/>
        </w:rPr>
        <w:t>in a risk group</w:t>
      </w:r>
      <w:r w:rsidRPr="001E4360">
        <w:rPr>
          <w:rFonts w:cs="Arial"/>
          <w:color w:val="000000"/>
        </w:rPr>
        <w:t>) who have an existing second dose appointment booked at 8 weeks.</w:t>
      </w:r>
      <w:bookmarkEnd w:id="30"/>
    </w:p>
  </w:footnote>
  <w:footnote w:id="7">
    <w:p w14:paraId="17FB1AA4" w14:textId="626B8E1D" w:rsidR="001633F2" w:rsidRPr="00650A9B" w:rsidRDefault="001633F2" w:rsidP="009B16D6">
      <w:pPr>
        <w:pStyle w:val="CommentText"/>
        <w:rPr>
          <w:rFonts w:eastAsiaTheme="minorHAnsi" w:cs="Arial"/>
          <w:color w:val="000000"/>
          <w:lang w:eastAsia="en-US"/>
        </w:rPr>
      </w:pPr>
      <w:r>
        <w:rPr>
          <w:rStyle w:val="FootnoteReference"/>
        </w:rPr>
        <w:footnoteRef/>
      </w:r>
      <w:r>
        <w:t xml:space="preserve"> </w:t>
      </w:r>
      <w:r w:rsidRPr="00650A9B">
        <w:rPr>
          <w:rFonts w:cs="Arial"/>
        </w:rPr>
        <w:t xml:space="preserve">For individuals who have had proven SARS-CoV-2 infection (see </w:t>
      </w:r>
      <w:hyperlink w:anchor="CautionsHistoryOfInfection" w:history="1">
        <w:r w:rsidRPr="002401AA">
          <w:rPr>
            <w:rStyle w:val="Hyperlink"/>
          </w:rPr>
          <w:t>Cautions</w:t>
        </w:r>
      </w:hyperlink>
      <w:r w:rsidRPr="00650A9B">
        <w:rPr>
          <w:rFonts w:cs="Arial"/>
        </w:rPr>
        <w:t>),</w:t>
      </w:r>
      <w:r w:rsidRPr="00650A9B">
        <w:t xml:space="preserve"> vaccination shoul</w:t>
      </w:r>
      <w:r w:rsidRPr="00650A9B">
        <w:rPr>
          <w:rFonts w:eastAsiaTheme="minorHAnsi" w:cs="Arial"/>
          <w:color w:val="000000"/>
          <w:lang w:eastAsia="en-US"/>
        </w:rPr>
        <w:t>d ideally be deferred until:</w:t>
      </w:r>
    </w:p>
    <w:p w14:paraId="53E63388" w14:textId="77777777" w:rsidR="001633F2" w:rsidRPr="00621E6D" w:rsidRDefault="001633F2" w:rsidP="00621E6D">
      <w:pPr>
        <w:pStyle w:val="CommentText"/>
        <w:numPr>
          <w:ilvl w:val="0"/>
          <w:numId w:val="40"/>
        </w:numPr>
        <w:ind w:left="426" w:hanging="284"/>
      </w:pPr>
      <w:r w:rsidRPr="00650A9B">
        <w:rPr>
          <w:rFonts w:eastAsiaTheme="minorHAnsi" w:cs="Arial"/>
          <w:color w:val="000000"/>
          <w:lang w:eastAsia="en-US"/>
        </w:rPr>
        <w:t>at least twelve weeks from onset (or sample date) for those under 18 years of age who are not in a risk group</w:t>
      </w:r>
    </w:p>
    <w:p w14:paraId="0AD15559" w14:textId="3DAA936B" w:rsidR="001633F2" w:rsidRDefault="001633F2" w:rsidP="00621E6D">
      <w:pPr>
        <w:pStyle w:val="CommentText"/>
        <w:numPr>
          <w:ilvl w:val="0"/>
          <w:numId w:val="40"/>
        </w:numPr>
        <w:ind w:left="426" w:hanging="284"/>
      </w:pPr>
      <w:r w:rsidRPr="00621E6D">
        <w:rPr>
          <w:rFonts w:eastAsiaTheme="minorHAnsi" w:cs="Arial"/>
          <w:color w:val="000000"/>
          <w:lang w:eastAsia="en-US"/>
        </w:rPr>
        <w:t>at least four weeks from onset (or sample date) for individuals in a risk group and all those over 18 years of age</w:t>
      </w:r>
    </w:p>
  </w:footnote>
  <w:footnote w:id="8">
    <w:p w14:paraId="1B60D54F" w14:textId="77777777" w:rsidR="001633F2" w:rsidRDefault="001633F2" w:rsidP="00411FEA">
      <w:pPr>
        <w:pStyle w:val="FootnoteText"/>
      </w:pPr>
      <w:r>
        <w:rPr>
          <w:rStyle w:val="FootnoteReference"/>
        </w:rPr>
        <w:footnoteRef/>
      </w:r>
      <w:r>
        <w:t xml:space="preserve"> </w:t>
      </w:r>
      <w:r w:rsidRPr="00A34E1B">
        <w:t xml:space="preserve">At risk groups are listed in the </w:t>
      </w:r>
      <w:r w:rsidRPr="00431046">
        <w:t xml:space="preserve">Green Book </w:t>
      </w:r>
      <w:hyperlink r:id="rId8" w:history="1">
        <w:r w:rsidRPr="00885E47">
          <w:rPr>
            <w:rStyle w:val="Hyperlink"/>
          </w:rPr>
          <w:t>Chapter 14a</w:t>
        </w:r>
      </w:hyperlink>
      <w:r w:rsidRPr="00431046">
        <w:t xml:space="preserve"> (Table</w:t>
      </w:r>
      <w:r w:rsidRPr="00A34E1B">
        <w:t xml:space="preserve"> 3 for individuals 16 years of age and over and Table 4 for children aged 12-15 years).</w:t>
      </w:r>
    </w:p>
  </w:footnote>
  <w:footnote w:id="9">
    <w:p w14:paraId="18D58CE7" w14:textId="22ADCC08" w:rsidR="001633F2" w:rsidRDefault="001633F2">
      <w:pPr>
        <w:pStyle w:val="FootnoteText"/>
      </w:pPr>
      <w:r>
        <w:rPr>
          <w:rStyle w:val="FootnoteReference"/>
        </w:rPr>
        <w:footnoteRef/>
      </w:r>
      <w:r>
        <w:t xml:space="preserve"> </w:t>
      </w:r>
      <w:r w:rsidRPr="001E4360">
        <w:t>T</w:t>
      </w:r>
      <w:r w:rsidRPr="001E4360">
        <w:rPr>
          <w:rFonts w:cs="Arial"/>
          <w:color w:val="000000"/>
        </w:rPr>
        <w:t xml:space="preserve">here will be a transitional period where this </w:t>
      </w:r>
      <w:r>
        <w:rPr>
          <w:rFonts w:cs="Arial"/>
          <w:color w:val="000000"/>
        </w:rPr>
        <w:t>PGD</w:t>
      </w:r>
      <w:r w:rsidRPr="001E4360">
        <w:rPr>
          <w:rFonts w:cs="Arial"/>
          <w:color w:val="000000"/>
        </w:rPr>
        <w:t xml:space="preserve"> can be used to administer second doses for those </w:t>
      </w:r>
      <w:r>
        <w:rPr>
          <w:rFonts w:cs="Arial"/>
          <w:color w:val="000000"/>
        </w:rPr>
        <w:t xml:space="preserve">from </w:t>
      </w:r>
      <w:r w:rsidRPr="001E4360">
        <w:rPr>
          <w:rFonts w:cs="Arial"/>
          <w:color w:val="000000"/>
        </w:rPr>
        <w:t>17</w:t>
      </w:r>
      <w:r>
        <w:rPr>
          <w:rFonts w:cs="Arial"/>
          <w:color w:val="000000"/>
        </w:rPr>
        <w:t xml:space="preserve"> years and 9 months of age</w:t>
      </w:r>
      <w:r w:rsidRPr="001E4360">
        <w:rPr>
          <w:rFonts w:cs="Arial"/>
          <w:color w:val="000000"/>
        </w:rPr>
        <w:t xml:space="preserve"> (not </w:t>
      </w:r>
      <w:r w:rsidRPr="001E4360">
        <w:rPr>
          <w:rFonts w:cs="Arial"/>
        </w:rPr>
        <w:t>in a risk group</w:t>
      </w:r>
      <w:r w:rsidRPr="001E4360">
        <w:rPr>
          <w:rFonts w:cs="Arial"/>
          <w:color w:val="000000"/>
        </w:rPr>
        <w:t>) who have an existing second dose appointment booked at 8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669D" w14:textId="7862D29D" w:rsidR="001633F2" w:rsidRDefault="00B01374">
    <w:pPr>
      <w:pStyle w:val="Header"/>
    </w:pPr>
    <w:r>
      <w:rPr>
        <w:noProof/>
      </w:rPr>
      <w:pict w14:anchorId="1DA8E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6.7pt;height:198.6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3997" w14:textId="71F8FF30" w:rsidR="001633F2" w:rsidRPr="00766E35" w:rsidRDefault="001633F2" w:rsidP="005070A2">
    <w:pPr>
      <w:pStyle w:val="Header"/>
      <w:tabs>
        <w:tab w:val="clear" w:pos="4153"/>
        <w:tab w:val="clear" w:pos="8306"/>
        <w:tab w:val="left" w:pos="8620"/>
      </w:tabs>
      <w:ind w:left="-284"/>
      <w:rPr>
        <w:rFonts w:ascii="Arial" w:hAnsi="Arial"/>
      </w:rPr>
    </w:pPr>
    <w:r>
      <w:rPr>
        <w:rFonts w:ascii="Arial" w:hAnsi="Arial"/>
        <w:noProof/>
      </w:rPr>
      <w:drawing>
        <wp:anchor distT="0" distB="0" distL="114300" distR="114300" simplePos="0" relativeHeight="251657216" behindDoc="1" locked="0" layoutInCell="1" allowOverlap="1" wp14:anchorId="4D7F5C6D" wp14:editId="27C1F600">
          <wp:simplePos x="0" y="0"/>
          <wp:positionH relativeFrom="column">
            <wp:posOffset>5321300</wp:posOffset>
          </wp:positionH>
          <wp:positionV relativeFrom="paragraph">
            <wp:posOffset>167005</wp:posOffset>
          </wp:positionV>
          <wp:extent cx="1127760"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EA5A5B" wp14:editId="0F994322">
          <wp:extent cx="1295400" cy="1231900"/>
          <wp:effectExtent l="0" t="0" r="0" b="0"/>
          <wp:docPr id="7" name="Picture 7"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stretch>
                    <a:fillRect/>
                  </a:stretch>
                </pic:blipFill>
                <pic:spPr>
                  <a:xfrm>
                    <a:off x="0" y="0"/>
                    <a:ext cx="1295400" cy="1231900"/>
                  </a:xfrm>
                  <a:prstGeom prst="rect">
                    <a:avLst/>
                  </a:prstGeom>
                </pic:spPr>
              </pic:pic>
            </a:graphicData>
          </a:graphic>
        </wp:inline>
      </w:drawing>
    </w:r>
    <w:r>
      <w:rPr>
        <w:rFonts w:ascii="Arial" w:hAnsi="Arial"/>
      </w:rPr>
      <w:tab/>
    </w:r>
  </w:p>
  <w:p w14:paraId="7A304CA2" w14:textId="07C6D5D0" w:rsidR="001633F2" w:rsidRDefault="001633F2" w:rsidP="007B2C02">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55D3"/>
    <w:multiLevelType w:val="hybridMultilevel"/>
    <w:tmpl w:val="719011B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 w15:restartNumberingAfterBreak="0">
    <w:nsid w:val="0A725E5C"/>
    <w:multiLevelType w:val="hybridMultilevel"/>
    <w:tmpl w:val="5E4C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D672D"/>
    <w:multiLevelType w:val="hybridMultilevel"/>
    <w:tmpl w:val="F73E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48CA"/>
    <w:multiLevelType w:val="hybridMultilevel"/>
    <w:tmpl w:val="7D26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31B2C"/>
    <w:multiLevelType w:val="hybridMultilevel"/>
    <w:tmpl w:val="892A7C4A"/>
    <w:lvl w:ilvl="0" w:tplc="C0C0343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F9E4501"/>
    <w:multiLevelType w:val="hybridMultilevel"/>
    <w:tmpl w:val="F46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53314"/>
    <w:multiLevelType w:val="hybridMultilevel"/>
    <w:tmpl w:val="CF8E2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D5964"/>
    <w:multiLevelType w:val="hybridMultilevel"/>
    <w:tmpl w:val="20F23B9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0"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86F35"/>
    <w:multiLevelType w:val="hybridMultilevel"/>
    <w:tmpl w:val="1F888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67152"/>
    <w:multiLevelType w:val="hybridMultilevel"/>
    <w:tmpl w:val="4660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7EDAE3EA"/>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A5FEC"/>
    <w:multiLevelType w:val="hybridMultilevel"/>
    <w:tmpl w:val="6A06C214"/>
    <w:lvl w:ilvl="0" w:tplc="0166EED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F56"/>
    <w:multiLevelType w:val="hybridMultilevel"/>
    <w:tmpl w:val="70BE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51E94"/>
    <w:multiLevelType w:val="hybridMultilevel"/>
    <w:tmpl w:val="998C07D0"/>
    <w:lvl w:ilvl="0" w:tplc="08090001">
      <w:start w:val="1"/>
      <w:numFmt w:val="bullet"/>
      <w:lvlText w:val=""/>
      <w:lvlJc w:val="left"/>
      <w:pPr>
        <w:ind w:left="720" w:hanging="360"/>
      </w:pPr>
      <w:rPr>
        <w:rFonts w:ascii="Symbol" w:hAnsi="Symbol" w:hint="default"/>
      </w:rPr>
    </w:lvl>
    <w:lvl w:ilvl="1" w:tplc="0166EED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B6BE8"/>
    <w:multiLevelType w:val="hybridMultilevel"/>
    <w:tmpl w:val="E21A841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21504"/>
    <w:multiLevelType w:val="hybridMultilevel"/>
    <w:tmpl w:val="D09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04EB1"/>
    <w:multiLevelType w:val="hybridMultilevel"/>
    <w:tmpl w:val="3D0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024BC"/>
    <w:multiLevelType w:val="hybridMultilevel"/>
    <w:tmpl w:val="EAC2D9C6"/>
    <w:lvl w:ilvl="0" w:tplc="0166EED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0785D"/>
    <w:multiLevelType w:val="hybridMultilevel"/>
    <w:tmpl w:val="8FA2DA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116E8"/>
    <w:multiLevelType w:val="hybridMultilevel"/>
    <w:tmpl w:val="A4CCB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352CB"/>
    <w:multiLevelType w:val="hybridMultilevel"/>
    <w:tmpl w:val="1C460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80237"/>
    <w:multiLevelType w:val="hybridMultilevel"/>
    <w:tmpl w:val="8ECCB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D1376"/>
    <w:multiLevelType w:val="hybridMultilevel"/>
    <w:tmpl w:val="7F12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0"/>
  </w:num>
  <w:num w:numId="4">
    <w:abstractNumId w:val="3"/>
  </w:num>
  <w:num w:numId="5">
    <w:abstractNumId w:val="38"/>
  </w:num>
  <w:num w:numId="6">
    <w:abstractNumId w:val="8"/>
  </w:num>
  <w:num w:numId="7">
    <w:abstractNumId w:val="23"/>
  </w:num>
  <w:num w:numId="8">
    <w:abstractNumId w:val="15"/>
  </w:num>
  <w:num w:numId="9">
    <w:abstractNumId w:val="22"/>
  </w:num>
  <w:num w:numId="10">
    <w:abstractNumId w:val="11"/>
  </w:num>
  <w:num w:numId="11">
    <w:abstractNumId w:val="34"/>
  </w:num>
  <w:num w:numId="12">
    <w:abstractNumId w:val="21"/>
  </w:num>
  <w:num w:numId="13">
    <w:abstractNumId w:val="36"/>
  </w:num>
  <w:num w:numId="14">
    <w:abstractNumId w:val="26"/>
  </w:num>
  <w:num w:numId="15">
    <w:abstractNumId w:val="32"/>
  </w:num>
  <w:num w:numId="16">
    <w:abstractNumId w:val="20"/>
  </w:num>
  <w:num w:numId="17">
    <w:abstractNumId w:val="31"/>
  </w:num>
  <w:num w:numId="18">
    <w:abstractNumId w:val="4"/>
  </w:num>
  <w:num w:numId="19">
    <w:abstractNumId w:val="16"/>
  </w:num>
  <w:num w:numId="20">
    <w:abstractNumId w:val="35"/>
  </w:num>
  <w:num w:numId="21">
    <w:abstractNumId w:val="0"/>
  </w:num>
  <w:num w:numId="22">
    <w:abstractNumId w:val="9"/>
  </w:num>
  <w:num w:numId="23">
    <w:abstractNumId w:val="18"/>
  </w:num>
  <w:num w:numId="24">
    <w:abstractNumId w:val="30"/>
  </w:num>
  <w:num w:numId="25">
    <w:abstractNumId w:val="14"/>
  </w:num>
  <w:num w:numId="26">
    <w:abstractNumId w:val="33"/>
  </w:num>
  <w:num w:numId="27">
    <w:abstractNumId w:val="12"/>
  </w:num>
  <w:num w:numId="28">
    <w:abstractNumId w:val="28"/>
  </w:num>
  <w:num w:numId="29">
    <w:abstractNumId w:val="29"/>
  </w:num>
  <w:num w:numId="30">
    <w:abstractNumId w:val="2"/>
  </w:num>
  <w:num w:numId="31">
    <w:abstractNumId w:val="6"/>
  </w:num>
  <w:num w:numId="32">
    <w:abstractNumId w:val="24"/>
  </w:num>
  <w:num w:numId="33">
    <w:abstractNumId w:val="37"/>
  </w:num>
  <w:num w:numId="34">
    <w:abstractNumId w:val="1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
  </w:num>
  <w:num w:numId="38">
    <w:abstractNumId w:val="1"/>
  </w:num>
  <w:num w:numId="39">
    <w:abstractNumId w:val="25"/>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GQJNDO1FPQWZGU58+gOphb5xcAwK7fz9OcMo1W58ujEzquFCa3bOIAxaip82fb8N+GsZ9qTUYrR/+ZWTz2kUnA==" w:salt="B/w6K83QWwfzA5UZjFdzGA=="/>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F7"/>
    <w:rsid w:val="000010D0"/>
    <w:rsid w:val="00001C8C"/>
    <w:rsid w:val="000028EA"/>
    <w:rsid w:val="00003F67"/>
    <w:rsid w:val="000041B2"/>
    <w:rsid w:val="000041B9"/>
    <w:rsid w:val="00005FB9"/>
    <w:rsid w:val="00006FA0"/>
    <w:rsid w:val="00007AC8"/>
    <w:rsid w:val="00011785"/>
    <w:rsid w:val="000119C9"/>
    <w:rsid w:val="00012ADE"/>
    <w:rsid w:val="00014B49"/>
    <w:rsid w:val="00016384"/>
    <w:rsid w:val="000202B2"/>
    <w:rsid w:val="000207D7"/>
    <w:rsid w:val="00021058"/>
    <w:rsid w:val="000222D4"/>
    <w:rsid w:val="00022A97"/>
    <w:rsid w:val="0002625D"/>
    <w:rsid w:val="00027613"/>
    <w:rsid w:val="00031004"/>
    <w:rsid w:val="00032CD2"/>
    <w:rsid w:val="00033B40"/>
    <w:rsid w:val="00034424"/>
    <w:rsid w:val="00035D60"/>
    <w:rsid w:val="00036D0F"/>
    <w:rsid w:val="00037BA1"/>
    <w:rsid w:val="00037FCB"/>
    <w:rsid w:val="00040066"/>
    <w:rsid w:val="00040435"/>
    <w:rsid w:val="00040B9A"/>
    <w:rsid w:val="00042A67"/>
    <w:rsid w:val="000449DD"/>
    <w:rsid w:val="00044C91"/>
    <w:rsid w:val="000451D5"/>
    <w:rsid w:val="00046691"/>
    <w:rsid w:val="00046CF5"/>
    <w:rsid w:val="0005011C"/>
    <w:rsid w:val="000517D7"/>
    <w:rsid w:val="00051E4D"/>
    <w:rsid w:val="00051EC8"/>
    <w:rsid w:val="0005238A"/>
    <w:rsid w:val="00052AD3"/>
    <w:rsid w:val="000569BE"/>
    <w:rsid w:val="00056CC8"/>
    <w:rsid w:val="00060E38"/>
    <w:rsid w:val="0006208A"/>
    <w:rsid w:val="00062B8F"/>
    <w:rsid w:val="00066B2C"/>
    <w:rsid w:val="00067D86"/>
    <w:rsid w:val="00070C4B"/>
    <w:rsid w:val="000713D3"/>
    <w:rsid w:val="000723B9"/>
    <w:rsid w:val="0007263B"/>
    <w:rsid w:val="00072E39"/>
    <w:rsid w:val="0007467A"/>
    <w:rsid w:val="000779F8"/>
    <w:rsid w:val="00077AD8"/>
    <w:rsid w:val="00081B7F"/>
    <w:rsid w:val="000829FA"/>
    <w:rsid w:val="00084680"/>
    <w:rsid w:val="00090296"/>
    <w:rsid w:val="00090802"/>
    <w:rsid w:val="000A1617"/>
    <w:rsid w:val="000A1813"/>
    <w:rsid w:val="000A31FA"/>
    <w:rsid w:val="000A559B"/>
    <w:rsid w:val="000A5F41"/>
    <w:rsid w:val="000A78DA"/>
    <w:rsid w:val="000B0DBB"/>
    <w:rsid w:val="000B0DFE"/>
    <w:rsid w:val="000B2D67"/>
    <w:rsid w:val="000B35B7"/>
    <w:rsid w:val="000B35EC"/>
    <w:rsid w:val="000B44FC"/>
    <w:rsid w:val="000B51A4"/>
    <w:rsid w:val="000C1591"/>
    <w:rsid w:val="000C1DB9"/>
    <w:rsid w:val="000C32CB"/>
    <w:rsid w:val="000C4376"/>
    <w:rsid w:val="000C6CE0"/>
    <w:rsid w:val="000C73E6"/>
    <w:rsid w:val="000D3475"/>
    <w:rsid w:val="000D5CE4"/>
    <w:rsid w:val="000E25F8"/>
    <w:rsid w:val="000E3A5F"/>
    <w:rsid w:val="000E3F41"/>
    <w:rsid w:val="000E4EFD"/>
    <w:rsid w:val="000E674B"/>
    <w:rsid w:val="000E6837"/>
    <w:rsid w:val="000E6870"/>
    <w:rsid w:val="000E6DB5"/>
    <w:rsid w:val="000F281C"/>
    <w:rsid w:val="000F30D7"/>
    <w:rsid w:val="000F398C"/>
    <w:rsid w:val="000F4C65"/>
    <w:rsid w:val="000F53BA"/>
    <w:rsid w:val="000F6615"/>
    <w:rsid w:val="00101372"/>
    <w:rsid w:val="00105D8C"/>
    <w:rsid w:val="001125CE"/>
    <w:rsid w:val="00112702"/>
    <w:rsid w:val="00113FA6"/>
    <w:rsid w:val="0011456C"/>
    <w:rsid w:val="00115024"/>
    <w:rsid w:val="001155E9"/>
    <w:rsid w:val="00117E12"/>
    <w:rsid w:val="00120913"/>
    <w:rsid w:val="001244CB"/>
    <w:rsid w:val="00125E06"/>
    <w:rsid w:val="001269A9"/>
    <w:rsid w:val="001276FD"/>
    <w:rsid w:val="001279F8"/>
    <w:rsid w:val="00130338"/>
    <w:rsid w:val="0013189B"/>
    <w:rsid w:val="00132135"/>
    <w:rsid w:val="0013265E"/>
    <w:rsid w:val="00134A81"/>
    <w:rsid w:val="00136EDB"/>
    <w:rsid w:val="00140F56"/>
    <w:rsid w:val="0014347D"/>
    <w:rsid w:val="00143CB9"/>
    <w:rsid w:val="00144339"/>
    <w:rsid w:val="0014453F"/>
    <w:rsid w:val="001462A5"/>
    <w:rsid w:val="0014646F"/>
    <w:rsid w:val="001468ED"/>
    <w:rsid w:val="0015436F"/>
    <w:rsid w:val="0015473F"/>
    <w:rsid w:val="00160C5F"/>
    <w:rsid w:val="00161522"/>
    <w:rsid w:val="00161712"/>
    <w:rsid w:val="00162489"/>
    <w:rsid w:val="001633F2"/>
    <w:rsid w:val="00164FBF"/>
    <w:rsid w:val="001708C2"/>
    <w:rsid w:val="00170E8A"/>
    <w:rsid w:val="00171CA9"/>
    <w:rsid w:val="001727FD"/>
    <w:rsid w:val="00174307"/>
    <w:rsid w:val="00175204"/>
    <w:rsid w:val="001753DC"/>
    <w:rsid w:val="00175B2D"/>
    <w:rsid w:val="00182102"/>
    <w:rsid w:val="00182A73"/>
    <w:rsid w:val="00182FFB"/>
    <w:rsid w:val="00183958"/>
    <w:rsid w:val="00184111"/>
    <w:rsid w:val="00185172"/>
    <w:rsid w:val="00186E28"/>
    <w:rsid w:val="00190151"/>
    <w:rsid w:val="001909A2"/>
    <w:rsid w:val="00190F03"/>
    <w:rsid w:val="00191405"/>
    <w:rsid w:val="001916BB"/>
    <w:rsid w:val="00192E52"/>
    <w:rsid w:val="0019380F"/>
    <w:rsid w:val="00196196"/>
    <w:rsid w:val="0019720B"/>
    <w:rsid w:val="001A2005"/>
    <w:rsid w:val="001B06DD"/>
    <w:rsid w:val="001B5767"/>
    <w:rsid w:val="001B5C0A"/>
    <w:rsid w:val="001B6AFA"/>
    <w:rsid w:val="001B7453"/>
    <w:rsid w:val="001B7B5B"/>
    <w:rsid w:val="001C0672"/>
    <w:rsid w:val="001C2225"/>
    <w:rsid w:val="001C3F84"/>
    <w:rsid w:val="001C5B45"/>
    <w:rsid w:val="001D0245"/>
    <w:rsid w:val="001D0874"/>
    <w:rsid w:val="001D1420"/>
    <w:rsid w:val="001D2566"/>
    <w:rsid w:val="001D2D0F"/>
    <w:rsid w:val="001D4915"/>
    <w:rsid w:val="001D565C"/>
    <w:rsid w:val="001D5847"/>
    <w:rsid w:val="001D5E0D"/>
    <w:rsid w:val="001D712F"/>
    <w:rsid w:val="001D7E89"/>
    <w:rsid w:val="001E28F9"/>
    <w:rsid w:val="001E50B9"/>
    <w:rsid w:val="001E5C94"/>
    <w:rsid w:val="001E6D47"/>
    <w:rsid w:val="001F09F8"/>
    <w:rsid w:val="001F12CD"/>
    <w:rsid w:val="001F2443"/>
    <w:rsid w:val="001F378B"/>
    <w:rsid w:val="001F3F3A"/>
    <w:rsid w:val="001F630C"/>
    <w:rsid w:val="001F6BFF"/>
    <w:rsid w:val="001F7175"/>
    <w:rsid w:val="001F79AC"/>
    <w:rsid w:val="001F7DD0"/>
    <w:rsid w:val="002004A0"/>
    <w:rsid w:val="0020152D"/>
    <w:rsid w:val="002018A9"/>
    <w:rsid w:val="00202770"/>
    <w:rsid w:val="002030B2"/>
    <w:rsid w:val="002034D7"/>
    <w:rsid w:val="00203D24"/>
    <w:rsid w:val="0020405B"/>
    <w:rsid w:val="00204BD5"/>
    <w:rsid w:val="0020561A"/>
    <w:rsid w:val="0020683D"/>
    <w:rsid w:val="00207E98"/>
    <w:rsid w:val="00210C27"/>
    <w:rsid w:val="002116A3"/>
    <w:rsid w:val="00211830"/>
    <w:rsid w:val="00211EA1"/>
    <w:rsid w:val="00213C02"/>
    <w:rsid w:val="00216CB3"/>
    <w:rsid w:val="00220A73"/>
    <w:rsid w:val="00221C56"/>
    <w:rsid w:val="002242E9"/>
    <w:rsid w:val="002270F5"/>
    <w:rsid w:val="00227880"/>
    <w:rsid w:val="00227DB5"/>
    <w:rsid w:val="00231B09"/>
    <w:rsid w:val="00232228"/>
    <w:rsid w:val="0023282B"/>
    <w:rsid w:val="00233BF0"/>
    <w:rsid w:val="00237BC4"/>
    <w:rsid w:val="002421EE"/>
    <w:rsid w:val="0024316A"/>
    <w:rsid w:val="002432F8"/>
    <w:rsid w:val="00245ECF"/>
    <w:rsid w:val="00250208"/>
    <w:rsid w:val="00250EFD"/>
    <w:rsid w:val="0025360B"/>
    <w:rsid w:val="002547A2"/>
    <w:rsid w:val="00254F35"/>
    <w:rsid w:val="0025515A"/>
    <w:rsid w:val="00255EC1"/>
    <w:rsid w:val="002577BC"/>
    <w:rsid w:val="0025780A"/>
    <w:rsid w:val="00257D08"/>
    <w:rsid w:val="0026397E"/>
    <w:rsid w:val="00263AA8"/>
    <w:rsid w:val="00272168"/>
    <w:rsid w:val="00274154"/>
    <w:rsid w:val="00274CC8"/>
    <w:rsid w:val="00275FBC"/>
    <w:rsid w:val="00277607"/>
    <w:rsid w:val="00282B5B"/>
    <w:rsid w:val="00284F5F"/>
    <w:rsid w:val="00285873"/>
    <w:rsid w:val="00286CEE"/>
    <w:rsid w:val="00291345"/>
    <w:rsid w:val="00295D7E"/>
    <w:rsid w:val="00297DFC"/>
    <w:rsid w:val="002A1CF3"/>
    <w:rsid w:val="002A245D"/>
    <w:rsid w:val="002A2FFB"/>
    <w:rsid w:val="002A4706"/>
    <w:rsid w:val="002A4DFA"/>
    <w:rsid w:val="002A619D"/>
    <w:rsid w:val="002A7D63"/>
    <w:rsid w:val="002B07A8"/>
    <w:rsid w:val="002B2CCE"/>
    <w:rsid w:val="002B52E3"/>
    <w:rsid w:val="002B66DF"/>
    <w:rsid w:val="002C026E"/>
    <w:rsid w:val="002C28C8"/>
    <w:rsid w:val="002C3A0A"/>
    <w:rsid w:val="002C3E85"/>
    <w:rsid w:val="002C6CC4"/>
    <w:rsid w:val="002D0973"/>
    <w:rsid w:val="002D40E9"/>
    <w:rsid w:val="002D5083"/>
    <w:rsid w:val="002D623E"/>
    <w:rsid w:val="002D698D"/>
    <w:rsid w:val="002D758F"/>
    <w:rsid w:val="002D7895"/>
    <w:rsid w:val="002E18C5"/>
    <w:rsid w:val="002E18DB"/>
    <w:rsid w:val="002E1CD6"/>
    <w:rsid w:val="002E3469"/>
    <w:rsid w:val="002E76DF"/>
    <w:rsid w:val="002F1130"/>
    <w:rsid w:val="002F1FC9"/>
    <w:rsid w:val="002F4D55"/>
    <w:rsid w:val="002F6735"/>
    <w:rsid w:val="002F6B40"/>
    <w:rsid w:val="002F79DB"/>
    <w:rsid w:val="003011F0"/>
    <w:rsid w:val="00301A3D"/>
    <w:rsid w:val="00301DAD"/>
    <w:rsid w:val="00303AD0"/>
    <w:rsid w:val="00303B21"/>
    <w:rsid w:val="00303FA3"/>
    <w:rsid w:val="0030484D"/>
    <w:rsid w:val="00307D22"/>
    <w:rsid w:val="00310CDE"/>
    <w:rsid w:val="00314CB8"/>
    <w:rsid w:val="00316877"/>
    <w:rsid w:val="00316AB2"/>
    <w:rsid w:val="00317170"/>
    <w:rsid w:val="003176F9"/>
    <w:rsid w:val="00321D7B"/>
    <w:rsid w:val="00323371"/>
    <w:rsid w:val="00331AAB"/>
    <w:rsid w:val="00333D1C"/>
    <w:rsid w:val="00333F5F"/>
    <w:rsid w:val="00333FD5"/>
    <w:rsid w:val="00335AAE"/>
    <w:rsid w:val="00336503"/>
    <w:rsid w:val="00337FE2"/>
    <w:rsid w:val="0034013A"/>
    <w:rsid w:val="0034018E"/>
    <w:rsid w:val="00340AE9"/>
    <w:rsid w:val="00340FD3"/>
    <w:rsid w:val="00343311"/>
    <w:rsid w:val="00343A26"/>
    <w:rsid w:val="00344FC9"/>
    <w:rsid w:val="00350E7F"/>
    <w:rsid w:val="00351ACB"/>
    <w:rsid w:val="00351FF6"/>
    <w:rsid w:val="00354D45"/>
    <w:rsid w:val="0035502B"/>
    <w:rsid w:val="003623DE"/>
    <w:rsid w:val="0036687C"/>
    <w:rsid w:val="00366DE7"/>
    <w:rsid w:val="00366E32"/>
    <w:rsid w:val="003673E4"/>
    <w:rsid w:val="00373184"/>
    <w:rsid w:val="00373377"/>
    <w:rsid w:val="003741B4"/>
    <w:rsid w:val="003805A9"/>
    <w:rsid w:val="0038167B"/>
    <w:rsid w:val="00381A4F"/>
    <w:rsid w:val="00383FCA"/>
    <w:rsid w:val="0038506D"/>
    <w:rsid w:val="00385CB2"/>
    <w:rsid w:val="00385F52"/>
    <w:rsid w:val="00387073"/>
    <w:rsid w:val="003879FA"/>
    <w:rsid w:val="00387C69"/>
    <w:rsid w:val="00391237"/>
    <w:rsid w:val="003912B2"/>
    <w:rsid w:val="0039138A"/>
    <w:rsid w:val="003915DC"/>
    <w:rsid w:val="00394F70"/>
    <w:rsid w:val="00394FC2"/>
    <w:rsid w:val="0039721E"/>
    <w:rsid w:val="00397CA5"/>
    <w:rsid w:val="00397CC2"/>
    <w:rsid w:val="003A3C65"/>
    <w:rsid w:val="003A4D9B"/>
    <w:rsid w:val="003A7E05"/>
    <w:rsid w:val="003B019C"/>
    <w:rsid w:val="003B0EE9"/>
    <w:rsid w:val="003B2252"/>
    <w:rsid w:val="003B2F58"/>
    <w:rsid w:val="003B3F92"/>
    <w:rsid w:val="003B4BA2"/>
    <w:rsid w:val="003B516E"/>
    <w:rsid w:val="003B5C38"/>
    <w:rsid w:val="003B676D"/>
    <w:rsid w:val="003B77E0"/>
    <w:rsid w:val="003C052D"/>
    <w:rsid w:val="003C243F"/>
    <w:rsid w:val="003C7AA4"/>
    <w:rsid w:val="003D020F"/>
    <w:rsid w:val="003D13F7"/>
    <w:rsid w:val="003D1D60"/>
    <w:rsid w:val="003D321E"/>
    <w:rsid w:val="003D4408"/>
    <w:rsid w:val="003E0223"/>
    <w:rsid w:val="003E14A3"/>
    <w:rsid w:val="003E2E61"/>
    <w:rsid w:val="003E2F30"/>
    <w:rsid w:val="003E301D"/>
    <w:rsid w:val="003E310E"/>
    <w:rsid w:val="003E7BF3"/>
    <w:rsid w:val="003E7E7C"/>
    <w:rsid w:val="003F173E"/>
    <w:rsid w:val="003F1D32"/>
    <w:rsid w:val="003F2E53"/>
    <w:rsid w:val="003F673F"/>
    <w:rsid w:val="003F7A71"/>
    <w:rsid w:val="003F7F72"/>
    <w:rsid w:val="004014ED"/>
    <w:rsid w:val="004015BE"/>
    <w:rsid w:val="004037BE"/>
    <w:rsid w:val="0040489D"/>
    <w:rsid w:val="00404D4F"/>
    <w:rsid w:val="00406A2A"/>
    <w:rsid w:val="004076AA"/>
    <w:rsid w:val="0041073A"/>
    <w:rsid w:val="00411FEA"/>
    <w:rsid w:val="00412E41"/>
    <w:rsid w:val="004146DB"/>
    <w:rsid w:val="00416455"/>
    <w:rsid w:val="00416C72"/>
    <w:rsid w:val="00417CE4"/>
    <w:rsid w:val="00420715"/>
    <w:rsid w:val="00422351"/>
    <w:rsid w:val="004240A9"/>
    <w:rsid w:val="00424F75"/>
    <w:rsid w:val="0042654D"/>
    <w:rsid w:val="00426AD6"/>
    <w:rsid w:val="0042767D"/>
    <w:rsid w:val="00431069"/>
    <w:rsid w:val="0043186B"/>
    <w:rsid w:val="00431CFB"/>
    <w:rsid w:val="00432EA4"/>
    <w:rsid w:val="004337FC"/>
    <w:rsid w:val="00434094"/>
    <w:rsid w:val="004343A5"/>
    <w:rsid w:val="0043466C"/>
    <w:rsid w:val="00436B19"/>
    <w:rsid w:val="004429D7"/>
    <w:rsid w:val="00443687"/>
    <w:rsid w:val="00443988"/>
    <w:rsid w:val="004469D3"/>
    <w:rsid w:val="004506BD"/>
    <w:rsid w:val="0045404B"/>
    <w:rsid w:val="00455A2A"/>
    <w:rsid w:val="00455D3A"/>
    <w:rsid w:val="00455EA2"/>
    <w:rsid w:val="00455F36"/>
    <w:rsid w:val="00457E75"/>
    <w:rsid w:val="0046046F"/>
    <w:rsid w:val="00460C63"/>
    <w:rsid w:val="004623A8"/>
    <w:rsid w:val="00464431"/>
    <w:rsid w:val="004645B3"/>
    <w:rsid w:val="00464C92"/>
    <w:rsid w:val="00465810"/>
    <w:rsid w:val="00467DEB"/>
    <w:rsid w:val="00470102"/>
    <w:rsid w:val="004705A6"/>
    <w:rsid w:val="00471646"/>
    <w:rsid w:val="00473599"/>
    <w:rsid w:val="0047458A"/>
    <w:rsid w:val="00475F4D"/>
    <w:rsid w:val="00476671"/>
    <w:rsid w:val="00476C46"/>
    <w:rsid w:val="0047799F"/>
    <w:rsid w:val="00484796"/>
    <w:rsid w:val="004854DA"/>
    <w:rsid w:val="0048635A"/>
    <w:rsid w:val="004864DC"/>
    <w:rsid w:val="00486FC8"/>
    <w:rsid w:val="004870E2"/>
    <w:rsid w:val="00487768"/>
    <w:rsid w:val="004878EA"/>
    <w:rsid w:val="004911FC"/>
    <w:rsid w:val="00491E1F"/>
    <w:rsid w:val="00492219"/>
    <w:rsid w:val="004922EB"/>
    <w:rsid w:val="00492512"/>
    <w:rsid w:val="00493D99"/>
    <w:rsid w:val="00494C40"/>
    <w:rsid w:val="004A1B0E"/>
    <w:rsid w:val="004A290A"/>
    <w:rsid w:val="004A4CA3"/>
    <w:rsid w:val="004A4D48"/>
    <w:rsid w:val="004B006E"/>
    <w:rsid w:val="004B0FFA"/>
    <w:rsid w:val="004B33AF"/>
    <w:rsid w:val="004B71FC"/>
    <w:rsid w:val="004C3B51"/>
    <w:rsid w:val="004C6AE9"/>
    <w:rsid w:val="004C6E25"/>
    <w:rsid w:val="004C732B"/>
    <w:rsid w:val="004D1648"/>
    <w:rsid w:val="004D2F96"/>
    <w:rsid w:val="004E0196"/>
    <w:rsid w:val="004E0209"/>
    <w:rsid w:val="004E2365"/>
    <w:rsid w:val="004E2588"/>
    <w:rsid w:val="004E28B9"/>
    <w:rsid w:val="004E55A0"/>
    <w:rsid w:val="004E6F22"/>
    <w:rsid w:val="004E7320"/>
    <w:rsid w:val="004E7655"/>
    <w:rsid w:val="004E7A37"/>
    <w:rsid w:val="004F2FF7"/>
    <w:rsid w:val="004F3775"/>
    <w:rsid w:val="004F3CEA"/>
    <w:rsid w:val="004F3FA7"/>
    <w:rsid w:val="00500457"/>
    <w:rsid w:val="00501B26"/>
    <w:rsid w:val="00501DF3"/>
    <w:rsid w:val="005023A9"/>
    <w:rsid w:val="005026EE"/>
    <w:rsid w:val="005029D4"/>
    <w:rsid w:val="00502C28"/>
    <w:rsid w:val="005070A2"/>
    <w:rsid w:val="00512689"/>
    <w:rsid w:val="0051368F"/>
    <w:rsid w:val="0051647D"/>
    <w:rsid w:val="00516B39"/>
    <w:rsid w:val="00524C29"/>
    <w:rsid w:val="0052506A"/>
    <w:rsid w:val="0052640E"/>
    <w:rsid w:val="00531630"/>
    <w:rsid w:val="005325D7"/>
    <w:rsid w:val="0053312A"/>
    <w:rsid w:val="00535434"/>
    <w:rsid w:val="00537CAD"/>
    <w:rsid w:val="00542022"/>
    <w:rsid w:val="00543084"/>
    <w:rsid w:val="00543F84"/>
    <w:rsid w:val="0054617E"/>
    <w:rsid w:val="00546E07"/>
    <w:rsid w:val="0054765A"/>
    <w:rsid w:val="00550135"/>
    <w:rsid w:val="005503B8"/>
    <w:rsid w:val="0055527F"/>
    <w:rsid w:val="00555973"/>
    <w:rsid w:val="00556F37"/>
    <w:rsid w:val="0056161F"/>
    <w:rsid w:val="00562417"/>
    <w:rsid w:val="00564997"/>
    <w:rsid w:val="00564A07"/>
    <w:rsid w:val="00565CE1"/>
    <w:rsid w:val="00565F6E"/>
    <w:rsid w:val="00567C31"/>
    <w:rsid w:val="00571744"/>
    <w:rsid w:val="00572860"/>
    <w:rsid w:val="00574146"/>
    <w:rsid w:val="00575145"/>
    <w:rsid w:val="0057609C"/>
    <w:rsid w:val="005773E3"/>
    <w:rsid w:val="0058040A"/>
    <w:rsid w:val="005807D0"/>
    <w:rsid w:val="00580892"/>
    <w:rsid w:val="00581501"/>
    <w:rsid w:val="00582987"/>
    <w:rsid w:val="00583336"/>
    <w:rsid w:val="00584372"/>
    <w:rsid w:val="00584DCB"/>
    <w:rsid w:val="0059144C"/>
    <w:rsid w:val="005916C9"/>
    <w:rsid w:val="00591A04"/>
    <w:rsid w:val="00591AE5"/>
    <w:rsid w:val="00593AA4"/>
    <w:rsid w:val="00593C59"/>
    <w:rsid w:val="00596A63"/>
    <w:rsid w:val="00597B92"/>
    <w:rsid w:val="005A0136"/>
    <w:rsid w:val="005A7E4F"/>
    <w:rsid w:val="005B0F91"/>
    <w:rsid w:val="005B10EB"/>
    <w:rsid w:val="005B12E5"/>
    <w:rsid w:val="005B154A"/>
    <w:rsid w:val="005B6589"/>
    <w:rsid w:val="005B75DF"/>
    <w:rsid w:val="005C37A0"/>
    <w:rsid w:val="005C4FD3"/>
    <w:rsid w:val="005C506B"/>
    <w:rsid w:val="005C7AE5"/>
    <w:rsid w:val="005D0B18"/>
    <w:rsid w:val="005D0D52"/>
    <w:rsid w:val="005D11F6"/>
    <w:rsid w:val="005D13F2"/>
    <w:rsid w:val="005D223C"/>
    <w:rsid w:val="005D2BA4"/>
    <w:rsid w:val="005D5BDB"/>
    <w:rsid w:val="005E087A"/>
    <w:rsid w:val="005E0A8F"/>
    <w:rsid w:val="005E1247"/>
    <w:rsid w:val="005E1C74"/>
    <w:rsid w:val="005E2076"/>
    <w:rsid w:val="005E2BC3"/>
    <w:rsid w:val="005E3778"/>
    <w:rsid w:val="005F005C"/>
    <w:rsid w:val="005F24E1"/>
    <w:rsid w:val="005F3527"/>
    <w:rsid w:val="005F564C"/>
    <w:rsid w:val="005F6B81"/>
    <w:rsid w:val="005F75A3"/>
    <w:rsid w:val="00601654"/>
    <w:rsid w:val="00601F5E"/>
    <w:rsid w:val="00603EF9"/>
    <w:rsid w:val="00607142"/>
    <w:rsid w:val="00607746"/>
    <w:rsid w:val="00607BC1"/>
    <w:rsid w:val="006124F3"/>
    <w:rsid w:val="00613B6D"/>
    <w:rsid w:val="00615D2F"/>
    <w:rsid w:val="00621E6D"/>
    <w:rsid w:val="0062236B"/>
    <w:rsid w:val="006329A1"/>
    <w:rsid w:val="00632BFF"/>
    <w:rsid w:val="00633200"/>
    <w:rsid w:val="006332C2"/>
    <w:rsid w:val="00633BC6"/>
    <w:rsid w:val="00633CED"/>
    <w:rsid w:val="0064113A"/>
    <w:rsid w:val="0064161B"/>
    <w:rsid w:val="00641CBF"/>
    <w:rsid w:val="006433D6"/>
    <w:rsid w:val="00650261"/>
    <w:rsid w:val="0065207B"/>
    <w:rsid w:val="006529CA"/>
    <w:rsid w:val="006532E9"/>
    <w:rsid w:val="00653B14"/>
    <w:rsid w:val="0065479B"/>
    <w:rsid w:val="00656001"/>
    <w:rsid w:val="00660DF2"/>
    <w:rsid w:val="006618C3"/>
    <w:rsid w:val="006626DF"/>
    <w:rsid w:val="00666786"/>
    <w:rsid w:val="006668EC"/>
    <w:rsid w:val="006701FE"/>
    <w:rsid w:val="00671E47"/>
    <w:rsid w:val="00672164"/>
    <w:rsid w:val="00672486"/>
    <w:rsid w:val="006733B8"/>
    <w:rsid w:val="00674B1B"/>
    <w:rsid w:val="006800E1"/>
    <w:rsid w:val="00680882"/>
    <w:rsid w:val="0068102D"/>
    <w:rsid w:val="00682439"/>
    <w:rsid w:val="006909FB"/>
    <w:rsid w:val="00696252"/>
    <w:rsid w:val="006971BD"/>
    <w:rsid w:val="006A0911"/>
    <w:rsid w:val="006A1388"/>
    <w:rsid w:val="006A2685"/>
    <w:rsid w:val="006A55A5"/>
    <w:rsid w:val="006A6732"/>
    <w:rsid w:val="006A7487"/>
    <w:rsid w:val="006B6AE3"/>
    <w:rsid w:val="006B6AF6"/>
    <w:rsid w:val="006B6E24"/>
    <w:rsid w:val="006B74CD"/>
    <w:rsid w:val="006B7E99"/>
    <w:rsid w:val="006C340F"/>
    <w:rsid w:val="006C5049"/>
    <w:rsid w:val="006D2B13"/>
    <w:rsid w:val="006D38C2"/>
    <w:rsid w:val="006D714E"/>
    <w:rsid w:val="006D7639"/>
    <w:rsid w:val="006E0D68"/>
    <w:rsid w:val="006E123C"/>
    <w:rsid w:val="006E2BB4"/>
    <w:rsid w:val="006E30BD"/>
    <w:rsid w:val="006E31E4"/>
    <w:rsid w:val="006E31F0"/>
    <w:rsid w:val="006E4049"/>
    <w:rsid w:val="006E4459"/>
    <w:rsid w:val="006E4A32"/>
    <w:rsid w:val="006E6380"/>
    <w:rsid w:val="006F2265"/>
    <w:rsid w:val="006F2D92"/>
    <w:rsid w:val="006F40A2"/>
    <w:rsid w:val="006F4A83"/>
    <w:rsid w:val="00703803"/>
    <w:rsid w:val="007047D1"/>
    <w:rsid w:val="00706E74"/>
    <w:rsid w:val="00710D1F"/>
    <w:rsid w:val="007144E3"/>
    <w:rsid w:val="00714BE8"/>
    <w:rsid w:val="00714FF9"/>
    <w:rsid w:val="00715F0F"/>
    <w:rsid w:val="00717A09"/>
    <w:rsid w:val="00720035"/>
    <w:rsid w:val="00721639"/>
    <w:rsid w:val="00722F20"/>
    <w:rsid w:val="00722FEA"/>
    <w:rsid w:val="00724073"/>
    <w:rsid w:val="00724977"/>
    <w:rsid w:val="00724B4A"/>
    <w:rsid w:val="00734DFF"/>
    <w:rsid w:val="007364AF"/>
    <w:rsid w:val="00737F39"/>
    <w:rsid w:val="00740EED"/>
    <w:rsid w:val="00740FEB"/>
    <w:rsid w:val="007436F9"/>
    <w:rsid w:val="00743957"/>
    <w:rsid w:val="00743FC8"/>
    <w:rsid w:val="007448FC"/>
    <w:rsid w:val="00747477"/>
    <w:rsid w:val="00751DCA"/>
    <w:rsid w:val="00751F73"/>
    <w:rsid w:val="00752323"/>
    <w:rsid w:val="0075570F"/>
    <w:rsid w:val="00760CAA"/>
    <w:rsid w:val="007635C1"/>
    <w:rsid w:val="00765DD4"/>
    <w:rsid w:val="0076616F"/>
    <w:rsid w:val="00766D09"/>
    <w:rsid w:val="00767D38"/>
    <w:rsid w:val="007738B7"/>
    <w:rsid w:val="00775CBB"/>
    <w:rsid w:val="00776D31"/>
    <w:rsid w:val="00780271"/>
    <w:rsid w:val="00780364"/>
    <w:rsid w:val="007836C2"/>
    <w:rsid w:val="007867DF"/>
    <w:rsid w:val="00786E65"/>
    <w:rsid w:val="00790C47"/>
    <w:rsid w:val="00793259"/>
    <w:rsid w:val="007941D2"/>
    <w:rsid w:val="00795B24"/>
    <w:rsid w:val="00795CE5"/>
    <w:rsid w:val="007A057C"/>
    <w:rsid w:val="007A2DFA"/>
    <w:rsid w:val="007A55C6"/>
    <w:rsid w:val="007A743D"/>
    <w:rsid w:val="007B18EC"/>
    <w:rsid w:val="007B192C"/>
    <w:rsid w:val="007B21F2"/>
    <w:rsid w:val="007B2C02"/>
    <w:rsid w:val="007B4240"/>
    <w:rsid w:val="007B48BE"/>
    <w:rsid w:val="007B7931"/>
    <w:rsid w:val="007C014F"/>
    <w:rsid w:val="007C11A7"/>
    <w:rsid w:val="007C57BE"/>
    <w:rsid w:val="007D118C"/>
    <w:rsid w:val="007D3EC6"/>
    <w:rsid w:val="007D3F6B"/>
    <w:rsid w:val="007D4DB3"/>
    <w:rsid w:val="007D5A99"/>
    <w:rsid w:val="007D5ACD"/>
    <w:rsid w:val="007D65D7"/>
    <w:rsid w:val="007D6EC2"/>
    <w:rsid w:val="007D7EE5"/>
    <w:rsid w:val="007E18D6"/>
    <w:rsid w:val="007E322A"/>
    <w:rsid w:val="007E3269"/>
    <w:rsid w:val="007E346D"/>
    <w:rsid w:val="007F34E7"/>
    <w:rsid w:val="007F5548"/>
    <w:rsid w:val="007F5E5D"/>
    <w:rsid w:val="007F5EE8"/>
    <w:rsid w:val="008000F3"/>
    <w:rsid w:val="008032EC"/>
    <w:rsid w:val="0080358A"/>
    <w:rsid w:val="00807448"/>
    <w:rsid w:val="008075C8"/>
    <w:rsid w:val="00807C6F"/>
    <w:rsid w:val="008106D6"/>
    <w:rsid w:val="00814D70"/>
    <w:rsid w:val="00815AF2"/>
    <w:rsid w:val="0081784B"/>
    <w:rsid w:val="00817C61"/>
    <w:rsid w:val="00820ABD"/>
    <w:rsid w:val="00823759"/>
    <w:rsid w:val="00824D8C"/>
    <w:rsid w:val="00830452"/>
    <w:rsid w:val="008304BD"/>
    <w:rsid w:val="00831C61"/>
    <w:rsid w:val="00831F46"/>
    <w:rsid w:val="00832FC7"/>
    <w:rsid w:val="00834E24"/>
    <w:rsid w:val="00835DB3"/>
    <w:rsid w:val="00836263"/>
    <w:rsid w:val="00836602"/>
    <w:rsid w:val="008368E7"/>
    <w:rsid w:val="00837C9F"/>
    <w:rsid w:val="0084162D"/>
    <w:rsid w:val="0084215D"/>
    <w:rsid w:val="00842DE0"/>
    <w:rsid w:val="0084310F"/>
    <w:rsid w:val="00843921"/>
    <w:rsid w:val="00843D03"/>
    <w:rsid w:val="00844476"/>
    <w:rsid w:val="00845114"/>
    <w:rsid w:val="00845E39"/>
    <w:rsid w:val="00845EFF"/>
    <w:rsid w:val="00850A5E"/>
    <w:rsid w:val="00851578"/>
    <w:rsid w:val="008525B9"/>
    <w:rsid w:val="00852E70"/>
    <w:rsid w:val="00857890"/>
    <w:rsid w:val="00857E5A"/>
    <w:rsid w:val="00860935"/>
    <w:rsid w:val="008629E4"/>
    <w:rsid w:val="008649E4"/>
    <w:rsid w:val="00864A54"/>
    <w:rsid w:val="0086672D"/>
    <w:rsid w:val="00870318"/>
    <w:rsid w:val="008729B1"/>
    <w:rsid w:val="00874E8C"/>
    <w:rsid w:val="0088108E"/>
    <w:rsid w:val="008816E7"/>
    <w:rsid w:val="00882C3A"/>
    <w:rsid w:val="008840AA"/>
    <w:rsid w:val="00884780"/>
    <w:rsid w:val="00884BBA"/>
    <w:rsid w:val="00884E24"/>
    <w:rsid w:val="00890E07"/>
    <w:rsid w:val="008929CB"/>
    <w:rsid w:val="008946BC"/>
    <w:rsid w:val="00896B48"/>
    <w:rsid w:val="008971C8"/>
    <w:rsid w:val="008A0EA1"/>
    <w:rsid w:val="008A23C0"/>
    <w:rsid w:val="008A37D9"/>
    <w:rsid w:val="008A44E2"/>
    <w:rsid w:val="008A735F"/>
    <w:rsid w:val="008B2300"/>
    <w:rsid w:val="008B2EE9"/>
    <w:rsid w:val="008B378A"/>
    <w:rsid w:val="008B42F6"/>
    <w:rsid w:val="008B4CBC"/>
    <w:rsid w:val="008B6753"/>
    <w:rsid w:val="008B67AB"/>
    <w:rsid w:val="008B7121"/>
    <w:rsid w:val="008C0C5D"/>
    <w:rsid w:val="008C71A0"/>
    <w:rsid w:val="008D068F"/>
    <w:rsid w:val="008D06F4"/>
    <w:rsid w:val="008D0D66"/>
    <w:rsid w:val="008D20E6"/>
    <w:rsid w:val="008D3726"/>
    <w:rsid w:val="008D4C5F"/>
    <w:rsid w:val="008D6C54"/>
    <w:rsid w:val="008E291A"/>
    <w:rsid w:val="008E3E4F"/>
    <w:rsid w:val="008E3F8A"/>
    <w:rsid w:val="008E7387"/>
    <w:rsid w:val="008F050B"/>
    <w:rsid w:val="008F1517"/>
    <w:rsid w:val="008F284D"/>
    <w:rsid w:val="008F699D"/>
    <w:rsid w:val="008F6C21"/>
    <w:rsid w:val="00900729"/>
    <w:rsid w:val="0091062C"/>
    <w:rsid w:val="00912C62"/>
    <w:rsid w:val="00913899"/>
    <w:rsid w:val="00913958"/>
    <w:rsid w:val="00916097"/>
    <w:rsid w:val="0091783F"/>
    <w:rsid w:val="00917A1D"/>
    <w:rsid w:val="00917FA4"/>
    <w:rsid w:val="00924B85"/>
    <w:rsid w:val="0092509F"/>
    <w:rsid w:val="0092587B"/>
    <w:rsid w:val="009276F8"/>
    <w:rsid w:val="009301FD"/>
    <w:rsid w:val="00932E95"/>
    <w:rsid w:val="00933641"/>
    <w:rsid w:val="009337A8"/>
    <w:rsid w:val="00934348"/>
    <w:rsid w:val="00935863"/>
    <w:rsid w:val="0093731B"/>
    <w:rsid w:val="00940D62"/>
    <w:rsid w:val="0094192F"/>
    <w:rsid w:val="009419A1"/>
    <w:rsid w:val="009436BC"/>
    <w:rsid w:val="009441BE"/>
    <w:rsid w:val="00944A38"/>
    <w:rsid w:val="00946490"/>
    <w:rsid w:val="00946497"/>
    <w:rsid w:val="00947CE2"/>
    <w:rsid w:val="0095030D"/>
    <w:rsid w:val="00953BAC"/>
    <w:rsid w:val="00954F73"/>
    <w:rsid w:val="009557CD"/>
    <w:rsid w:val="00956F0B"/>
    <w:rsid w:val="009574A9"/>
    <w:rsid w:val="009615C0"/>
    <w:rsid w:val="00961AE6"/>
    <w:rsid w:val="00963B8A"/>
    <w:rsid w:val="00965B7A"/>
    <w:rsid w:val="009677EC"/>
    <w:rsid w:val="00970469"/>
    <w:rsid w:val="009708C8"/>
    <w:rsid w:val="009712AA"/>
    <w:rsid w:val="009739EF"/>
    <w:rsid w:val="00974901"/>
    <w:rsid w:val="00974FB7"/>
    <w:rsid w:val="00976A60"/>
    <w:rsid w:val="00977476"/>
    <w:rsid w:val="0098063A"/>
    <w:rsid w:val="00980713"/>
    <w:rsid w:val="00981D38"/>
    <w:rsid w:val="00982890"/>
    <w:rsid w:val="009833C0"/>
    <w:rsid w:val="00984564"/>
    <w:rsid w:val="009859E5"/>
    <w:rsid w:val="00986859"/>
    <w:rsid w:val="00986868"/>
    <w:rsid w:val="0099186D"/>
    <w:rsid w:val="00992877"/>
    <w:rsid w:val="009940DB"/>
    <w:rsid w:val="00994459"/>
    <w:rsid w:val="009948C4"/>
    <w:rsid w:val="00994A31"/>
    <w:rsid w:val="0099605A"/>
    <w:rsid w:val="0099681D"/>
    <w:rsid w:val="0099689E"/>
    <w:rsid w:val="009970AB"/>
    <w:rsid w:val="00997EF2"/>
    <w:rsid w:val="009A1FD0"/>
    <w:rsid w:val="009A2149"/>
    <w:rsid w:val="009A2869"/>
    <w:rsid w:val="009A4520"/>
    <w:rsid w:val="009A54A3"/>
    <w:rsid w:val="009A569D"/>
    <w:rsid w:val="009A5934"/>
    <w:rsid w:val="009B04B1"/>
    <w:rsid w:val="009B0842"/>
    <w:rsid w:val="009B16D6"/>
    <w:rsid w:val="009B1E7F"/>
    <w:rsid w:val="009B2243"/>
    <w:rsid w:val="009B26F0"/>
    <w:rsid w:val="009B4E80"/>
    <w:rsid w:val="009B4FC8"/>
    <w:rsid w:val="009B566D"/>
    <w:rsid w:val="009B70C9"/>
    <w:rsid w:val="009B719A"/>
    <w:rsid w:val="009B746D"/>
    <w:rsid w:val="009C1840"/>
    <w:rsid w:val="009C442E"/>
    <w:rsid w:val="009C4EEA"/>
    <w:rsid w:val="009D0BC1"/>
    <w:rsid w:val="009D1AD7"/>
    <w:rsid w:val="009D354C"/>
    <w:rsid w:val="009D43AA"/>
    <w:rsid w:val="009D5CD5"/>
    <w:rsid w:val="009D5D41"/>
    <w:rsid w:val="009D760C"/>
    <w:rsid w:val="009D7CBD"/>
    <w:rsid w:val="009E0271"/>
    <w:rsid w:val="009E5855"/>
    <w:rsid w:val="009E6117"/>
    <w:rsid w:val="009E7F42"/>
    <w:rsid w:val="009F0114"/>
    <w:rsid w:val="009F0AB8"/>
    <w:rsid w:val="009F1DCB"/>
    <w:rsid w:val="009F2025"/>
    <w:rsid w:val="009F32AD"/>
    <w:rsid w:val="009F34B8"/>
    <w:rsid w:val="009F76DF"/>
    <w:rsid w:val="009F7D98"/>
    <w:rsid w:val="00A00409"/>
    <w:rsid w:val="00A004FA"/>
    <w:rsid w:val="00A020FF"/>
    <w:rsid w:val="00A05DC8"/>
    <w:rsid w:val="00A06572"/>
    <w:rsid w:val="00A0748C"/>
    <w:rsid w:val="00A10078"/>
    <w:rsid w:val="00A1391B"/>
    <w:rsid w:val="00A14B7A"/>
    <w:rsid w:val="00A1534A"/>
    <w:rsid w:val="00A157CD"/>
    <w:rsid w:val="00A15BF8"/>
    <w:rsid w:val="00A16153"/>
    <w:rsid w:val="00A16F92"/>
    <w:rsid w:val="00A17678"/>
    <w:rsid w:val="00A22A3D"/>
    <w:rsid w:val="00A235C3"/>
    <w:rsid w:val="00A23AB7"/>
    <w:rsid w:val="00A23E50"/>
    <w:rsid w:val="00A2447A"/>
    <w:rsid w:val="00A251B7"/>
    <w:rsid w:val="00A26D83"/>
    <w:rsid w:val="00A274FA"/>
    <w:rsid w:val="00A27668"/>
    <w:rsid w:val="00A30886"/>
    <w:rsid w:val="00A311A6"/>
    <w:rsid w:val="00A3178D"/>
    <w:rsid w:val="00A32691"/>
    <w:rsid w:val="00A332CA"/>
    <w:rsid w:val="00A333B0"/>
    <w:rsid w:val="00A3500B"/>
    <w:rsid w:val="00A350F8"/>
    <w:rsid w:val="00A36153"/>
    <w:rsid w:val="00A36A13"/>
    <w:rsid w:val="00A40349"/>
    <w:rsid w:val="00A44702"/>
    <w:rsid w:val="00A47A45"/>
    <w:rsid w:val="00A60878"/>
    <w:rsid w:val="00A61D2B"/>
    <w:rsid w:val="00A62771"/>
    <w:rsid w:val="00A62F8F"/>
    <w:rsid w:val="00A631D5"/>
    <w:rsid w:val="00A632DB"/>
    <w:rsid w:val="00A64D1E"/>
    <w:rsid w:val="00A66CA6"/>
    <w:rsid w:val="00A67A0E"/>
    <w:rsid w:val="00A745F0"/>
    <w:rsid w:val="00A7461E"/>
    <w:rsid w:val="00A76284"/>
    <w:rsid w:val="00A8046D"/>
    <w:rsid w:val="00A81915"/>
    <w:rsid w:val="00A833DD"/>
    <w:rsid w:val="00A838FC"/>
    <w:rsid w:val="00A83980"/>
    <w:rsid w:val="00A84395"/>
    <w:rsid w:val="00A8586C"/>
    <w:rsid w:val="00A86711"/>
    <w:rsid w:val="00A86BD2"/>
    <w:rsid w:val="00A8709A"/>
    <w:rsid w:val="00A913A6"/>
    <w:rsid w:val="00A9166F"/>
    <w:rsid w:val="00A92AAA"/>
    <w:rsid w:val="00A93624"/>
    <w:rsid w:val="00A939F9"/>
    <w:rsid w:val="00A93C10"/>
    <w:rsid w:val="00A9550F"/>
    <w:rsid w:val="00A966A8"/>
    <w:rsid w:val="00A96994"/>
    <w:rsid w:val="00A96EE7"/>
    <w:rsid w:val="00AA20F0"/>
    <w:rsid w:val="00AA370F"/>
    <w:rsid w:val="00AA4A9C"/>
    <w:rsid w:val="00AA4C6D"/>
    <w:rsid w:val="00AA4F8B"/>
    <w:rsid w:val="00AA5C51"/>
    <w:rsid w:val="00AA755E"/>
    <w:rsid w:val="00AB2ECC"/>
    <w:rsid w:val="00AB4D2E"/>
    <w:rsid w:val="00AB55C2"/>
    <w:rsid w:val="00AB58B6"/>
    <w:rsid w:val="00AC0CD7"/>
    <w:rsid w:val="00AC0F2D"/>
    <w:rsid w:val="00AC21C3"/>
    <w:rsid w:val="00AC2962"/>
    <w:rsid w:val="00AC2A21"/>
    <w:rsid w:val="00AC2F09"/>
    <w:rsid w:val="00AC32BB"/>
    <w:rsid w:val="00AC3CCD"/>
    <w:rsid w:val="00AC3CDB"/>
    <w:rsid w:val="00AC40D6"/>
    <w:rsid w:val="00AC74B4"/>
    <w:rsid w:val="00AD0AC1"/>
    <w:rsid w:val="00AD19D9"/>
    <w:rsid w:val="00AD3081"/>
    <w:rsid w:val="00AD353B"/>
    <w:rsid w:val="00AD381C"/>
    <w:rsid w:val="00AD40C1"/>
    <w:rsid w:val="00AD485D"/>
    <w:rsid w:val="00AD4BC8"/>
    <w:rsid w:val="00AD607C"/>
    <w:rsid w:val="00AE07A7"/>
    <w:rsid w:val="00AE0941"/>
    <w:rsid w:val="00AE1C08"/>
    <w:rsid w:val="00AE4B8E"/>
    <w:rsid w:val="00AE5611"/>
    <w:rsid w:val="00AE67A4"/>
    <w:rsid w:val="00AE6D99"/>
    <w:rsid w:val="00AE6EC0"/>
    <w:rsid w:val="00AF6C7C"/>
    <w:rsid w:val="00B00968"/>
    <w:rsid w:val="00B01374"/>
    <w:rsid w:val="00B02474"/>
    <w:rsid w:val="00B02949"/>
    <w:rsid w:val="00B04459"/>
    <w:rsid w:val="00B04D7B"/>
    <w:rsid w:val="00B07B08"/>
    <w:rsid w:val="00B07D20"/>
    <w:rsid w:val="00B11BEB"/>
    <w:rsid w:val="00B139F5"/>
    <w:rsid w:val="00B151FB"/>
    <w:rsid w:val="00B16E93"/>
    <w:rsid w:val="00B17774"/>
    <w:rsid w:val="00B17E37"/>
    <w:rsid w:val="00B20002"/>
    <w:rsid w:val="00B20261"/>
    <w:rsid w:val="00B21DF5"/>
    <w:rsid w:val="00B227F7"/>
    <w:rsid w:val="00B22CCA"/>
    <w:rsid w:val="00B22F82"/>
    <w:rsid w:val="00B241D4"/>
    <w:rsid w:val="00B25B4F"/>
    <w:rsid w:val="00B34C32"/>
    <w:rsid w:val="00B34CA8"/>
    <w:rsid w:val="00B352CA"/>
    <w:rsid w:val="00B404CC"/>
    <w:rsid w:val="00B4168B"/>
    <w:rsid w:val="00B41C95"/>
    <w:rsid w:val="00B42118"/>
    <w:rsid w:val="00B4377D"/>
    <w:rsid w:val="00B43781"/>
    <w:rsid w:val="00B45D88"/>
    <w:rsid w:val="00B4666F"/>
    <w:rsid w:val="00B471B4"/>
    <w:rsid w:val="00B511AA"/>
    <w:rsid w:val="00B51A14"/>
    <w:rsid w:val="00B52518"/>
    <w:rsid w:val="00B52745"/>
    <w:rsid w:val="00B53F21"/>
    <w:rsid w:val="00B54AAF"/>
    <w:rsid w:val="00B55D20"/>
    <w:rsid w:val="00B565B8"/>
    <w:rsid w:val="00B56DB5"/>
    <w:rsid w:val="00B575CF"/>
    <w:rsid w:val="00B57801"/>
    <w:rsid w:val="00B57A60"/>
    <w:rsid w:val="00B61731"/>
    <w:rsid w:val="00B61FEC"/>
    <w:rsid w:val="00B63B9B"/>
    <w:rsid w:val="00B66342"/>
    <w:rsid w:val="00B6766F"/>
    <w:rsid w:val="00B70861"/>
    <w:rsid w:val="00B70A2F"/>
    <w:rsid w:val="00B71FE4"/>
    <w:rsid w:val="00B73D3C"/>
    <w:rsid w:val="00B75036"/>
    <w:rsid w:val="00B75C63"/>
    <w:rsid w:val="00B8009C"/>
    <w:rsid w:val="00B80708"/>
    <w:rsid w:val="00B81028"/>
    <w:rsid w:val="00B81690"/>
    <w:rsid w:val="00B82BDE"/>
    <w:rsid w:val="00B85A2C"/>
    <w:rsid w:val="00B864AD"/>
    <w:rsid w:val="00B865B6"/>
    <w:rsid w:val="00B9050E"/>
    <w:rsid w:val="00B91DAF"/>
    <w:rsid w:val="00B93660"/>
    <w:rsid w:val="00B97FA9"/>
    <w:rsid w:val="00BA0B9F"/>
    <w:rsid w:val="00BA1266"/>
    <w:rsid w:val="00BA2014"/>
    <w:rsid w:val="00BA280E"/>
    <w:rsid w:val="00BA677A"/>
    <w:rsid w:val="00BA68F9"/>
    <w:rsid w:val="00BB010D"/>
    <w:rsid w:val="00BB04A5"/>
    <w:rsid w:val="00BB26A7"/>
    <w:rsid w:val="00BB30EC"/>
    <w:rsid w:val="00BB3D75"/>
    <w:rsid w:val="00BB41AE"/>
    <w:rsid w:val="00BB441B"/>
    <w:rsid w:val="00BB58F4"/>
    <w:rsid w:val="00BB5C53"/>
    <w:rsid w:val="00BB64C7"/>
    <w:rsid w:val="00BC07F1"/>
    <w:rsid w:val="00BC3856"/>
    <w:rsid w:val="00BC3F72"/>
    <w:rsid w:val="00BC4449"/>
    <w:rsid w:val="00BC4584"/>
    <w:rsid w:val="00BC4760"/>
    <w:rsid w:val="00BC4814"/>
    <w:rsid w:val="00BC553F"/>
    <w:rsid w:val="00BC63B4"/>
    <w:rsid w:val="00BD3F71"/>
    <w:rsid w:val="00BD583E"/>
    <w:rsid w:val="00BD67B9"/>
    <w:rsid w:val="00BE0F14"/>
    <w:rsid w:val="00BE5205"/>
    <w:rsid w:val="00BE6624"/>
    <w:rsid w:val="00BF023E"/>
    <w:rsid w:val="00BF0D3C"/>
    <w:rsid w:val="00BF2AE4"/>
    <w:rsid w:val="00BF5204"/>
    <w:rsid w:val="00BF7501"/>
    <w:rsid w:val="00C01127"/>
    <w:rsid w:val="00C0340C"/>
    <w:rsid w:val="00C03876"/>
    <w:rsid w:val="00C05A39"/>
    <w:rsid w:val="00C06B6B"/>
    <w:rsid w:val="00C10F4D"/>
    <w:rsid w:val="00C1121F"/>
    <w:rsid w:val="00C11717"/>
    <w:rsid w:val="00C11E55"/>
    <w:rsid w:val="00C1486B"/>
    <w:rsid w:val="00C150CB"/>
    <w:rsid w:val="00C15334"/>
    <w:rsid w:val="00C15DF7"/>
    <w:rsid w:val="00C16D85"/>
    <w:rsid w:val="00C23875"/>
    <w:rsid w:val="00C27BD3"/>
    <w:rsid w:val="00C3002C"/>
    <w:rsid w:val="00C31387"/>
    <w:rsid w:val="00C31945"/>
    <w:rsid w:val="00C33E97"/>
    <w:rsid w:val="00C342EB"/>
    <w:rsid w:val="00C343AC"/>
    <w:rsid w:val="00C34E29"/>
    <w:rsid w:val="00C3619F"/>
    <w:rsid w:val="00C37797"/>
    <w:rsid w:val="00C40DC8"/>
    <w:rsid w:val="00C41005"/>
    <w:rsid w:val="00C4104A"/>
    <w:rsid w:val="00C4128D"/>
    <w:rsid w:val="00C41CD7"/>
    <w:rsid w:val="00C46763"/>
    <w:rsid w:val="00C46C8B"/>
    <w:rsid w:val="00C47B19"/>
    <w:rsid w:val="00C51DFC"/>
    <w:rsid w:val="00C5451B"/>
    <w:rsid w:val="00C55242"/>
    <w:rsid w:val="00C560A8"/>
    <w:rsid w:val="00C5611F"/>
    <w:rsid w:val="00C6130F"/>
    <w:rsid w:val="00C61A31"/>
    <w:rsid w:val="00C6428B"/>
    <w:rsid w:val="00C64580"/>
    <w:rsid w:val="00C647A0"/>
    <w:rsid w:val="00C655CD"/>
    <w:rsid w:val="00C65B81"/>
    <w:rsid w:val="00C667CD"/>
    <w:rsid w:val="00C723D9"/>
    <w:rsid w:val="00C734D8"/>
    <w:rsid w:val="00C750B6"/>
    <w:rsid w:val="00C75D11"/>
    <w:rsid w:val="00C80D3D"/>
    <w:rsid w:val="00C827F9"/>
    <w:rsid w:val="00C84E68"/>
    <w:rsid w:val="00C87613"/>
    <w:rsid w:val="00C928B0"/>
    <w:rsid w:val="00C92EEB"/>
    <w:rsid w:val="00C9321E"/>
    <w:rsid w:val="00C93591"/>
    <w:rsid w:val="00C95750"/>
    <w:rsid w:val="00C97378"/>
    <w:rsid w:val="00CA0631"/>
    <w:rsid w:val="00CA5861"/>
    <w:rsid w:val="00CA605A"/>
    <w:rsid w:val="00CA6119"/>
    <w:rsid w:val="00CB5441"/>
    <w:rsid w:val="00CB67A1"/>
    <w:rsid w:val="00CC002D"/>
    <w:rsid w:val="00CC4910"/>
    <w:rsid w:val="00CC5603"/>
    <w:rsid w:val="00CC5EC7"/>
    <w:rsid w:val="00CC7E9D"/>
    <w:rsid w:val="00CD00AA"/>
    <w:rsid w:val="00CD035C"/>
    <w:rsid w:val="00CD0A80"/>
    <w:rsid w:val="00CD2598"/>
    <w:rsid w:val="00CD34D4"/>
    <w:rsid w:val="00CD3CD0"/>
    <w:rsid w:val="00CD6CAC"/>
    <w:rsid w:val="00CE0435"/>
    <w:rsid w:val="00CE05C3"/>
    <w:rsid w:val="00CE1A4B"/>
    <w:rsid w:val="00CE1D4F"/>
    <w:rsid w:val="00CE263E"/>
    <w:rsid w:val="00CF1262"/>
    <w:rsid w:val="00CF2CBE"/>
    <w:rsid w:val="00CF457A"/>
    <w:rsid w:val="00CF5B4E"/>
    <w:rsid w:val="00D00220"/>
    <w:rsid w:val="00D03F47"/>
    <w:rsid w:val="00D04FCB"/>
    <w:rsid w:val="00D050CC"/>
    <w:rsid w:val="00D1276A"/>
    <w:rsid w:val="00D13EDB"/>
    <w:rsid w:val="00D15915"/>
    <w:rsid w:val="00D177E9"/>
    <w:rsid w:val="00D201B4"/>
    <w:rsid w:val="00D25669"/>
    <w:rsid w:val="00D25C6D"/>
    <w:rsid w:val="00D25E6C"/>
    <w:rsid w:val="00D265DE"/>
    <w:rsid w:val="00D2728F"/>
    <w:rsid w:val="00D3381F"/>
    <w:rsid w:val="00D33DA7"/>
    <w:rsid w:val="00D35281"/>
    <w:rsid w:val="00D3540E"/>
    <w:rsid w:val="00D36524"/>
    <w:rsid w:val="00D42DD5"/>
    <w:rsid w:val="00D4432E"/>
    <w:rsid w:val="00D446AA"/>
    <w:rsid w:val="00D46649"/>
    <w:rsid w:val="00D47FD9"/>
    <w:rsid w:val="00D50934"/>
    <w:rsid w:val="00D50CE9"/>
    <w:rsid w:val="00D522CA"/>
    <w:rsid w:val="00D52DC3"/>
    <w:rsid w:val="00D53D2C"/>
    <w:rsid w:val="00D54B1A"/>
    <w:rsid w:val="00D56751"/>
    <w:rsid w:val="00D56B10"/>
    <w:rsid w:val="00D57629"/>
    <w:rsid w:val="00D57F9D"/>
    <w:rsid w:val="00D60496"/>
    <w:rsid w:val="00D61567"/>
    <w:rsid w:val="00D61963"/>
    <w:rsid w:val="00D706B8"/>
    <w:rsid w:val="00D712D1"/>
    <w:rsid w:val="00D7172A"/>
    <w:rsid w:val="00D72708"/>
    <w:rsid w:val="00D72F87"/>
    <w:rsid w:val="00D75B8F"/>
    <w:rsid w:val="00D75C3D"/>
    <w:rsid w:val="00D77DB1"/>
    <w:rsid w:val="00D81D31"/>
    <w:rsid w:val="00D82C5E"/>
    <w:rsid w:val="00D82FA2"/>
    <w:rsid w:val="00D836FE"/>
    <w:rsid w:val="00D846D6"/>
    <w:rsid w:val="00D92DF6"/>
    <w:rsid w:val="00D9443E"/>
    <w:rsid w:val="00D9499C"/>
    <w:rsid w:val="00D953AA"/>
    <w:rsid w:val="00D955BE"/>
    <w:rsid w:val="00D96D0C"/>
    <w:rsid w:val="00D97B0D"/>
    <w:rsid w:val="00D97EBC"/>
    <w:rsid w:val="00DA0C4B"/>
    <w:rsid w:val="00DA103D"/>
    <w:rsid w:val="00DA1E83"/>
    <w:rsid w:val="00DA29FE"/>
    <w:rsid w:val="00DA3459"/>
    <w:rsid w:val="00DA6115"/>
    <w:rsid w:val="00DA77CF"/>
    <w:rsid w:val="00DB017B"/>
    <w:rsid w:val="00DB1D85"/>
    <w:rsid w:val="00DB2DBB"/>
    <w:rsid w:val="00DB341F"/>
    <w:rsid w:val="00DB36F1"/>
    <w:rsid w:val="00DB46DE"/>
    <w:rsid w:val="00DB4A47"/>
    <w:rsid w:val="00DB5DA1"/>
    <w:rsid w:val="00DB7FAE"/>
    <w:rsid w:val="00DC02FE"/>
    <w:rsid w:val="00DC098F"/>
    <w:rsid w:val="00DC29F0"/>
    <w:rsid w:val="00DC2B2A"/>
    <w:rsid w:val="00DC4985"/>
    <w:rsid w:val="00DC4D9A"/>
    <w:rsid w:val="00DD1300"/>
    <w:rsid w:val="00DD3796"/>
    <w:rsid w:val="00DD4B2D"/>
    <w:rsid w:val="00DD7BA8"/>
    <w:rsid w:val="00DD7EAF"/>
    <w:rsid w:val="00DE001F"/>
    <w:rsid w:val="00DE0834"/>
    <w:rsid w:val="00DE1F0B"/>
    <w:rsid w:val="00DE1F97"/>
    <w:rsid w:val="00DE1FB6"/>
    <w:rsid w:val="00DE3CCC"/>
    <w:rsid w:val="00DE3E37"/>
    <w:rsid w:val="00DE45C8"/>
    <w:rsid w:val="00DE4ADF"/>
    <w:rsid w:val="00DE5601"/>
    <w:rsid w:val="00DE5DBF"/>
    <w:rsid w:val="00DF0141"/>
    <w:rsid w:val="00DF1A84"/>
    <w:rsid w:val="00DF2380"/>
    <w:rsid w:val="00DF5724"/>
    <w:rsid w:val="00E00ACF"/>
    <w:rsid w:val="00E00B32"/>
    <w:rsid w:val="00E00C78"/>
    <w:rsid w:val="00E01B07"/>
    <w:rsid w:val="00E058FE"/>
    <w:rsid w:val="00E06485"/>
    <w:rsid w:val="00E065BA"/>
    <w:rsid w:val="00E11185"/>
    <w:rsid w:val="00E135B2"/>
    <w:rsid w:val="00E14A52"/>
    <w:rsid w:val="00E152D4"/>
    <w:rsid w:val="00E15533"/>
    <w:rsid w:val="00E23D10"/>
    <w:rsid w:val="00E248F9"/>
    <w:rsid w:val="00E25E68"/>
    <w:rsid w:val="00E265A6"/>
    <w:rsid w:val="00E26C8C"/>
    <w:rsid w:val="00E279AA"/>
    <w:rsid w:val="00E27D2B"/>
    <w:rsid w:val="00E30508"/>
    <w:rsid w:val="00E31855"/>
    <w:rsid w:val="00E32B75"/>
    <w:rsid w:val="00E365ED"/>
    <w:rsid w:val="00E37C50"/>
    <w:rsid w:val="00E37E4E"/>
    <w:rsid w:val="00E41920"/>
    <w:rsid w:val="00E426F2"/>
    <w:rsid w:val="00E42BCD"/>
    <w:rsid w:val="00E42DC2"/>
    <w:rsid w:val="00E4344D"/>
    <w:rsid w:val="00E512CD"/>
    <w:rsid w:val="00E532AE"/>
    <w:rsid w:val="00E56171"/>
    <w:rsid w:val="00E5643D"/>
    <w:rsid w:val="00E56F70"/>
    <w:rsid w:val="00E628EE"/>
    <w:rsid w:val="00E62DED"/>
    <w:rsid w:val="00E642C9"/>
    <w:rsid w:val="00E643F2"/>
    <w:rsid w:val="00E64C1D"/>
    <w:rsid w:val="00E65586"/>
    <w:rsid w:val="00E65629"/>
    <w:rsid w:val="00E70C36"/>
    <w:rsid w:val="00E7122D"/>
    <w:rsid w:val="00E74D44"/>
    <w:rsid w:val="00E76001"/>
    <w:rsid w:val="00E76515"/>
    <w:rsid w:val="00E77C78"/>
    <w:rsid w:val="00E824B2"/>
    <w:rsid w:val="00E84908"/>
    <w:rsid w:val="00E85C9A"/>
    <w:rsid w:val="00E90E7E"/>
    <w:rsid w:val="00E9244A"/>
    <w:rsid w:val="00E92F34"/>
    <w:rsid w:val="00E94563"/>
    <w:rsid w:val="00E95991"/>
    <w:rsid w:val="00E95DA5"/>
    <w:rsid w:val="00E9787B"/>
    <w:rsid w:val="00EA1880"/>
    <w:rsid w:val="00EA1A23"/>
    <w:rsid w:val="00EA1DCB"/>
    <w:rsid w:val="00EA39BA"/>
    <w:rsid w:val="00EA449B"/>
    <w:rsid w:val="00EA798B"/>
    <w:rsid w:val="00EB28BE"/>
    <w:rsid w:val="00EB32CE"/>
    <w:rsid w:val="00EB3C38"/>
    <w:rsid w:val="00EB5551"/>
    <w:rsid w:val="00EB72EF"/>
    <w:rsid w:val="00EC1145"/>
    <w:rsid w:val="00EC1D50"/>
    <w:rsid w:val="00EC41DD"/>
    <w:rsid w:val="00EC4722"/>
    <w:rsid w:val="00EC7BBE"/>
    <w:rsid w:val="00ED1643"/>
    <w:rsid w:val="00ED3846"/>
    <w:rsid w:val="00ED54FF"/>
    <w:rsid w:val="00ED5DB0"/>
    <w:rsid w:val="00ED713E"/>
    <w:rsid w:val="00EE1095"/>
    <w:rsid w:val="00EE3CD9"/>
    <w:rsid w:val="00EE648F"/>
    <w:rsid w:val="00EE6B02"/>
    <w:rsid w:val="00EE772C"/>
    <w:rsid w:val="00EE7DD7"/>
    <w:rsid w:val="00EF092E"/>
    <w:rsid w:val="00EF0CDA"/>
    <w:rsid w:val="00EF33B1"/>
    <w:rsid w:val="00EF353C"/>
    <w:rsid w:val="00EF37C0"/>
    <w:rsid w:val="00EF3CBE"/>
    <w:rsid w:val="00EF4D76"/>
    <w:rsid w:val="00EF50DF"/>
    <w:rsid w:val="00EF5298"/>
    <w:rsid w:val="00EF5F0E"/>
    <w:rsid w:val="00F00236"/>
    <w:rsid w:val="00F01A7D"/>
    <w:rsid w:val="00F01BC6"/>
    <w:rsid w:val="00F01C68"/>
    <w:rsid w:val="00F02010"/>
    <w:rsid w:val="00F036BF"/>
    <w:rsid w:val="00F04706"/>
    <w:rsid w:val="00F0697E"/>
    <w:rsid w:val="00F10B39"/>
    <w:rsid w:val="00F12CCA"/>
    <w:rsid w:val="00F13370"/>
    <w:rsid w:val="00F1572E"/>
    <w:rsid w:val="00F159AA"/>
    <w:rsid w:val="00F203BD"/>
    <w:rsid w:val="00F20DFA"/>
    <w:rsid w:val="00F230F1"/>
    <w:rsid w:val="00F23DF2"/>
    <w:rsid w:val="00F23F67"/>
    <w:rsid w:val="00F256D1"/>
    <w:rsid w:val="00F259C0"/>
    <w:rsid w:val="00F27066"/>
    <w:rsid w:val="00F302F8"/>
    <w:rsid w:val="00F31D57"/>
    <w:rsid w:val="00F32593"/>
    <w:rsid w:val="00F34254"/>
    <w:rsid w:val="00F3599C"/>
    <w:rsid w:val="00F41209"/>
    <w:rsid w:val="00F41262"/>
    <w:rsid w:val="00F41871"/>
    <w:rsid w:val="00F42F83"/>
    <w:rsid w:val="00F47737"/>
    <w:rsid w:val="00F5495B"/>
    <w:rsid w:val="00F54F42"/>
    <w:rsid w:val="00F56C8B"/>
    <w:rsid w:val="00F579CA"/>
    <w:rsid w:val="00F613B6"/>
    <w:rsid w:val="00F63EB1"/>
    <w:rsid w:val="00F63F1A"/>
    <w:rsid w:val="00F6579C"/>
    <w:rsid w:val="00F65A73"/>
    <w:rsid w:val="00F668AA"/>
    <w:rsid w:val="00F67D1E"/>
    <w:rsid w:val="00F7126A"/>
    <w:rsid w:val="00F73B73"/>
    <w:rsid w:val="00F7443E"/>
    <w:rsid w:val="00F76BE7"/>
    <w:rsid w:val="00F76FE1"/>
    <w:rsid w:val="00F770A8"/>
    <w:rsid w:val="00F7725B"/>
    <w:rsid w:val="00F7799E"/>
    <w:rsid w:val="00F800BE"/>
    <w:rsid w:val="00F802AC"/>
    <w:rsid w:val="00F81A55"/>
    <w:rsid w:val="00F845AD"/>
    <w:rsid w:val="00F84D7E"/>
    <w:rsid w:val="00F866FF"/>
    <w:rsid w:val="00F9021E"/>
    <w:rsid w:val="00F90712"/>
    <w:rsid w:val="00F90DA2"/>
    <w:rsid w:val="00F91021"/>
    <w:rsid w:val="00F95A99"/>
    <w:rsid w:val="00F974F6"/>
    <w:rsid w:val="00F97992"/>
    <w:rsid w:val="00FA0687"/>
    <w:rsid w:val="00FA08C6"/>
    <w:rsid w:val="00FA0CBB"/>
    <w:rsid w:val="00FA0CCF"/>
    <w:rsid w:val="00FA0FCE"/>
    <w:rsid w:val="00FA4B2B"/>
    <w:rsid w:val="00FA4B3F"/>
    <w:rsid w:val="00FA6463"/>
    <w:rsid w:val="00FA7402"/>
    <w:rsid w:val="00FB0F05"/>
    <w:rsid w:val="00FB2E35"/>
    <w:rsid w:val="00FB7E25"/>
    <w:rsid w:val="00FC0015"/>
    <w:rsid w:val="00FC09B6"/>
    <w:rsid w:val="00FC539A"/>
    <w:rsid w:val="00FC7794"/>
    <w:rsid w:val="00FD2D35"/>
    <w:rsid w:val="00FD524D"/>
    <w:rsid w:val="00FD7504"/>
    <w:rsid w:val="00FE1461"/>
    <w:rsid w:val="00FE271B"/>
    <w:rsid w:val="00FE2DA5"/>
    <w:rsid w:val="00FE37B0"/>
    <w:rsid w:val="00FE4706"/>
    <w:rsid w:val="00FE5655"/>
    <w:rsid w:val="00FE5ADA"/>
    <w:rsid w:val="00FF1C7D"/>
    <w:rsid w:val="00FF2C82"/>
    <w:rsid w:val="00FF3904"/>
    <w:rsid w:val="00FF7D9D"/>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5CAB5C"/>
  <w15:chartTrackingRefBased/>
  <w15:docId w15:val="{68D9CE2C-5650-4CB6-A620-4DA35736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7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227F7"/>
    <w:pPr>
      <w:keepNext/>
      <w:spacing w:after="120"/>
      <w:outlineLvl w:val="0"/>
    </w:pPr>
    <w:rPr>
      <w:rFonts w:ascii="Times New Roman" w:hAnsi="Times New Roman"/>
      <w:sz w:val="28"/>
    </w:rPr>
  </w:style>
  <w:style w:type="paragraph" w:styleId="Heading2">
    <w:name w:val="heading 2"/>
    <w:basedOn w:val="Normal"/>
    <w:next w:val="Normal"/>
    <w:link w:val="Heading2Char"/>
    <w:qFormat/>
    <w:rsid w:val="00B227F7"/>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714FF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B227F7"/>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227F7"/>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227F7"/>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227F7"/>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7F7"/>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B227F7"/>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B227F7"/>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B227F7"/>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B227F7"/>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B227F7"/>
    <w:rPr>
      <w:rFonts w:ascii="Times New Roman" w:eastAsia="Times New Roman" w:hAnsi="Times New Roman" w:cs="Times New Roman"/>
      <w:b/>
      <w:i/>
      <w:sz w:val="24"/>
      <w:szCs w:val="20"/>
      <w:lang w:eastAsia="en-GB"/>
    </w:rPr>
  </w:style>
  <w:style w:type="paragraph" w:styleId="Header">
    <w:name w:val="header"/>
    <w:basedOn w:val="Normal"/>
    <w:link w:val="HeaderChar"/>
    <w:rsid w:val="00B227F7"/>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227F7"/>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227F7"/>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227F7"/>
    <w:rPr>
      <w:rFonts w:ascii="Times New Roman" w:eastAsia="Times New Roman" w:hAnsi="Times New Roman" w:cs="Times New Roman"/>
      <w:sz w:val="24"/>
      <w:szCs w:val="20"/>
      <w:lang w:eastAsia="en-GB"/>
    </w:rPr>
  </w:style>
  <w:style w:type="character" w:styleId="PageNumber">
    <w:name w:val="page number"/>
    <w:basedOn w:val="DefaultParagraphFont"/>
    <w:rsid w:val="00B227F7"/>
  </w:style>
  <w:style w:type="character" w:styleId="Hyperlink">
    <w:name w:val="Hyperlink"/>
    <w:basedOn w:val="DefaultParagraphFont"/>
    <w:uiPriority w:val="99"/>
    <w:rsid w:val="00B227F7"/>
    <w:rPr>
      <w:color w:val="0000FF"/>
      <w:u w:val="single"/>
    </w:rPr>
  </w:style>
  <w:style w:type="paragraph" w:styleId="BodyText2">
    <w:name w:val="Body Text 2"/>
    <w:basedOn w:val="Normal"/>
    <w:link w:val="BodyText2Char"/>
    <w:rsid w:val="00B227F7"/>
    <w:pPr>
      <w:overflowPunct/>
      <w:autoSpaceDE/>
      <w:autoSpaceDN/>
      <w:adjustRightInd/>
      <w:textAlignment w:val="auto"/>
    </w:pPr>
    <w:rPr>
      <w:sz w:val="17"/>
    </w:rPr>
  </w:style>
  <w:style w:type="character" w:customStyle="1" w:styleId="BodyText2Char">
    <w:name w:val="Body Text 2 Char"/>
    <w:basedOn w:val="DefaultParagraphFont"/>
    <w:link w:val="BodyText2"/>
    <w:rsid w:val="00B227F7"/>
    <w:rPr>
      <w:rFonts w:ascii="Arial" w:eastAsia="Times New Roman" w:hAnsi="Arial" w:cs="Times New Roman"/>
      <w:sz w:val="17"/>
      <w:szCs w:val="20"/>
      <w:lang w:eastAsia="en-GB"/>
    </w:rPr>
  </w:style>
  <w:style w:type="paragraph" w:styleId="BodyText3">
    <w:name w:val="Body Text 3"/>
    <w:basedOn w:val="Normal"/>
    <w:link w:val="BodyText3Char"/>
    <w:rsid w:val="00B227F7"/>
    <w:pPr>
      <w:spacing w:after="120"/>
    </w:pPr>
    <w:rPr>
      <w:sz w:val="16"/>
      <w:szCs w:val="16"/>
    </w:rPr>
  </w:style>
  <w:style w:type="character" w:customStyle="1" w:styleId="BodyText3Char">
    <w:name w:val="Body Text 3 Char"/>
    <w:basedOn w:val="DefaultParagraphFont"/>
    <w:link w:val="BodyText3"/>
    <w:rsid w:val="00B227F7"/>
    <w:rPr>
      <w:rFonts w:ascii="Arial" w:eastAsia="Times New Roman" w:hAnsi="Arial" w:cs="Times New Roman"/>
      <w:sz w:val="16"/>
      <w:szCs w:val="16"/>
      <w:lang w:eastAsia="en-GB"/>
    </w:rPr>
  </w:style>
  <w:style w:type="paragraph" w:styleId="NormalWeb">
    <w:name w:val="Normal (Web)"/>
    <w:basedOn w:val="Normal"/>
    <w:uiPriority w:val="99"/>
    <w:rsid w:val="00B227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227F7"/>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227F7"/>
    <w:rPr>
      <w:b/>
      <w:bCs/>
    </w:rPr>
  </w:style>
  <w:style w:type="paragraph" w:styleId="FootnoteText">
    <w:name w:val="footnote text"/>
    <w:basedOn w:val="Normal"/>
    <w:link w:val="FootnoteTextChar"/>
    <w:uiPriority w:val="99"/>
    <w:unhideWhenUsed/>
    <w:rsid w:val="00B227F7"/>
    <w:rPr>
      <w:sz w:val="20"/>
    </w:rPr>
  </w:style>
  <w:style w:type="character" w:customStyle="1" w:styleId="FootnoteTextChar">
    <w:name w:val="Footnote Text Char"/>
    <w:basedOn w:val="DefaultParagraphFont"/>
    <w:link w:val="FootnoteText"/>
    <w:uiPriority w:val="99"/>
    <w:rsid w:val="00B227F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27F7"/>
    <w:rPr>
      <w:vertAlign w:val="superscript"/>
    </w:rPr>
  </w:style>
  <w:style w:type="paragraph" w:styleId="BodyText">
    <w:name w:val="Body Text"/>
    <w:basedOn w:val="Normal"/>
    <w:link w:val="BodyTextChar"/>
    <w:unhideWhenUsed/>
    <w:rsid w:val="00B227F7"/>
    <w:pPr>
      <w:spacing w:after="120"/>
    </w:pPr>
  </w:style>
  <w:style w:type="character" w:customStyle="1" w:styleId="BodyTextChar">
    <w:name w:val="Body Text Char"/>
    <w:basedOn w:val="DefaultParagraphFont"/>
    <w:link w:val="BodyText"/>
    <w:rsid w:val="00B227F7"/>
    <w:rPr>
      <w:rFonts w:ascii="Arial" w:eastAsia="Times New Roman" w:hAnsi="Arial" w:cs="Times New Roman"/>
      <w:sz w:val="24"/>
      <w:szCs w:val="20"/>
      <w:lang w:eastAsia="en-GB"/>
    </w:rPr>
  </w:style>
  <w:style w:type="paragraph" w:customStyle="1" w:styleId="Default">
    <w:name w:val="Default"/>
    <w:rsid w:val="00B227F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227F7"/>
    <w:pPr>
      <w:ind w:left="720"/>
      <w:contextualSpacing/>
    </w:pPr>
  </w:style>
  <w:style w:type="paragraph" w:styleId="BalloonText">
    <w:name w:val="Balloon Text"/>
    <w:basedOn w:val="Normal"/>
    <w:link w:val="BalloonTextChar"/>
    <w:uiPriority w:val="99"/>
    <w:semiHidden/>
    <w:unhideWhenUsed/>
    <w:rsid w:val="00B227F7"/>
    <w:rPr>
      <w:rFonts w:ascii="Tahoma" w:hAnsi="Tahoma" w:cs="Tahoma"/>
      <w:sz w:val="16"/>
      <w:szCs w:val="16"/>
    </w:rPr>
  </w:style>
  <w:style w:type="character" w:customStyle="1" w:styleId="BalloonTextChar">
    <w:name w:val="Balloon Text Char"/>
    <w:basedOn w:val="DefaultParagraphFont"/>
    <w:link w:val="BalloonText"/>
    <w:uiPriority w:val="99"/>
    <w:semiHidden/>
    <w:rsid w:val="00B227F7"/>
    <w:rPr>
      <w:rFonts w:ascii="Tahoma" w:eastAsia="Times New Roman" w:hAnsi="Tahoma" w:cs="Tahoma"/>
      <w:sz w:val="16"/>
      <w:szCs w:val="16"/>
      <w:lang w:eastAsia="en-GB"/>
    </w:rPr>
  </w:style>
  <w:style w:type="paragraph" w:styleId="Title">
    <w:name w:val="Title"/>
    <w:basedOn w:val="Normal"/>
    <w:link w:val="TitleChar"/>
    <w:qFormat/>
    <w:rsid w:val="00B227F7"/>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B227F7"/>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B227F7"/>
  </w:style>
  <w:style w:type="paragraph" w:customStyle="1" w:styleId="Tabletext">
    <w:name w:val="Table text"/>
    <w:basedOn w:val="Normal"/>
    <w:rsid w:val="00B227F7"/>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B227F7"/>
    <w:rPr>
      <w:sz w:val="16"/>
      <w:szCs w:val="16"/>
    </w:rPr>
  </w:style>
  <w:style w:type="paragraph" w:styleId="CommentText">
    <w:name w:val="annotation text"/>
    <w:basedOn w:val="Normal"/>
    <w:link w:val="CommentTextChar"/>
    <w:uiPriority w:val="99"/>
    <w:unhideWhenUsed/>
    <w:rsid w:val="00B227F7"/>
    <w:rPr>
      <w:sz w:val="20"/>
    </w:rPr>
  </w:style>
  <w:style w:type="character" w:customStyle="1" w:styleId="CommentTextChar">
    <w:name w:val="Comment Text Char"/>
    <w:basedOn w:val="DefaultParagraphFont"/>
    <w:link w:val="CommentText"/>
    <w:uiPriority w:val="99"/>
    <w:rsid w:val="00B227F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227F7"/>
    <w:rPr>
      <w:b/>
      <w:bCs/>
    </w:rPr>
  </w:style>
  <w:style w:type="character" w:customStyle="1" w:styleId="CommentSubjectChar">
    <w:name w:val="Comment Subject Char"/>
    <w:basedOn w:val="CommentTextChar"/>
    <w:link w:val="CommentSubject"/>
    <w:uiPriority w:val="99"/>
    <w:semiHidden/>
    <w:rsid w:val="00B227F7"/>
    <w:rPr>
      <w:rFonts w:ascii="Arial" w:eastAsia="Times New Roman" w:hAnsi="Arial" w:cs="Times New Roman"/>
      <w:b/>
      <w:bCs/>
      <w:sz w:val="20"/>
      <w:szCs w:val="20"/>
      <w:lang w:eastAsia="en-GB"/>
    </w:rPr>
  </w:style>
  <w:style w:type="table" w:styleId="TableGrid">
    <w:name w:val="Table Grid"/>
    <w:basedOn w:val="TableNormal"/>
    <w:uiPriority w:val="59"/>
    <w:rsid w:val="00B227F7"/>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6">
    <w:name w:val="A6"/>
    <w:uiPriority w:val="99"/>
    <w:rsid w:val="00B227F7"/>
    <w:rPr>
      <w:rFonts w:cs="TimesNewRomanPS"/>
      <w:color w:val="191817"/>
      <w:sz w:val="16"/>
      <w:szCs w:val="16"/>
    </w:rPr>
  </w:style>
  <w:style w:type="paragraph" w:customStyle="1" w:styleId="Pa4">
    <w:name w:val="Pa4"/>
    <w:basedOn w:val="Default"/>
    <w:next w:val="Default"/>
    <w:uiPriority w:val="99"/>
    <w:rsid w:val="00B227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B227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B227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B227F7"/>
    <w:rPr>
      <w:rFonts w:ascii="ZapfDingbats" w:eastAsia="ZapfDingbats" w:cs="ZapfDingbats"/>
      <w:color w:val="53AF2E"/>
      <w:sz w:val="14"/>
      <w:szCs w:val="14"/>
    </w:rPr>
  </w:style>
  <w:style w:type="paragraph" w:styleId="Revision">
    <w:name w:val="Revision"/>
    <w:hidden/>
    <w:uiPriority w:val="99"/>
    <w:semiHidden/>
    <w:rsid w:val="00B227F7"/>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B227F7"/>
    <w:rPr>
      <w:color w:val="954F72" w:themeColor="followedHyperlink"/>
      <w:u w:val="single"/>
    </w:rPr>
  </w:style>
  <w:style w:type="character" w:styleId="PlaceholderText">
    <w:name w:val="Placeholder Text"/>
    <w:basedOn w:val="DefaultParagraphFont"/>
    <w:uiPriority w:val="99"/>
    <w:semiHidden/>
    <w:rsid w:val="00B227F7"/>
    <w:rPr>
      <w:color w:val="808080"/>
    </w:rPr>
  </w:style>
  <w:style w:type="paragraph" w:customStyle="1" w:styleId="Pa5">
    <w:name w:val="Pa5"/>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227F7"/>
    <w:rPr>
      <w:rFonts w:ascii="Frutiger 45 Light" w:hAnsi="Frutiger 45 Light" w:cs="Frutiger 45 Light"/>
      <w:b/>
      <w:bCs/>
      <w:color w:val="000000"/>
      <w:sz w:val="18"/>
      <w:szCs w:val="18"/>
    </w:rPr>
  </w:style>
  <w:style w:type="character" w:customStyle="1" w:styleId="A11">
    <w:name w:val="A11"/>
    <w:uiPriority w:val="99"/>
    <w:rsid w:val="00B227F7"/>
    <w:rPr>
      <w:rFonts w:cs="Frutiger 55 Roman"/>
      <w:color w:val="000000"/>
    </w:rPr>
  </w:style>
  <w:style w:type="character" w:customStyle="1" w:styleId="A12">
    <w:name w:val="A12"/>
    <w:uiPriority w:val="99"/>
    <w:rsid w:val="00B227F7"/>
    <w:rPr>
      <w:rFonts w:cs="Frutiger 55 Roman"/>
      <w:color w:val="000000"/>
      <w:sz w:val="8"/>
      <w:szCs w:val="8"/>
    </w:rPr>
  </w:style>
  <w:style w:type="paragraph" w:customStyle="1" w:styleId="Pa2">
    <w:name w:val="Pa2"/>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227F7"/>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227F7"/>
    <w:rPr>
      <w:color w:val="000000"/>
      <w:sz w:val="12"/>
      <w:szCs w:val="12"/>
    </w:rPr>
  </w:style>
  <w:style w:type="character" w:customStyle="1" w:styleId="A1">
    <w:name w:val="A1"/>
    <w:uiPriority w:val="99"/>
    <w:rsid w:val="00B227F7"/>
    <w:rPr>
      <w:rFonts w:cs="Helvetica Light"/>
      <w:color w:val="000000"/>
      <w:sz w:val="20"/>
      <w:szCs w:val="20"/>
    </w:rPr>
  </w:style>
  <w:style w:type="character" w:customStyle="1" w:styleId="st1">
    <w:name w:val="st1"/>
    <w:basedOn w:val="DefaultParagraphFont"/>
    <w:rsid w:val="00B227F7"/>
  </w:style>
  <w:style w:type="paragraph" w:customStyle="1" w:styleId="CM13">
    <w:name w:val="CM13"/>
    <w:basedOn w:val="Default"/>
    <w:next w:val="Default"/>
    <w:uiPriority w:val="99"/>
    <w:rsid w:val="00B227F7"/>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227F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227F7"/>
    <w:rPr>
      <w:rFonts w:ascii="ZapfDingbats" w:hAnsi="ZapfDingbats" w:cs="ZapfDingbats"/>
      <w:color w:val="000000"/>
      <w:sz w:val="14"/>
      <w:szCs w:val="14"/>
    </w:rPr>
  </w:style>
  <w:style w:type="paragraph" w:customStyle="1" w:styleId="Pa15">
    <w:name w:val="Pa15"/>
    <w:basedOn w:val="Default"/>
    <w:next w:val="Default"/>
    <w:uiPriority w:val="99"/>
    <w:rsid w:val="00B227F7"/>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227F7"/>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227F7"/>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227F7"/>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B227F7"/>
    <w:rPr>
      <w:sz w:val="20"/>
    </w:rPr>
  </w:style>
  <w:style w:type="character" w:customStyle="1" w:styleId="EndnoteTextChar">
    <w:name w:val="Endnote Text Char"/>
    <w:basedOn w:val="DefaultParagraphFont"/>
    <w:link w:val="EndnoteText"/>
    <w:uiPriority w:val="99"/>
    <w:semiHidden/>
    <w:rsid w:val="00B227F7"/>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B227F7"/>
    <w:rPr>
      <w:vertAlign w:val="superscript"/>
    </w:rPr>
  </w:style>
  <w:style w:type="paragraph" w:customStyle="1" w:styleId="PHEBodycopy">
    <w:name w:val="PHE Body copy"/>
    <w:basedOn w:val="Normal"/>
    <w:rsid w:val="00B227F7"/>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B227F7"/>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54B1A"/>
    <w:rPr>
      <w:rFonts w:ascii="Arial" w:eastAsia="Times New Roman" w:hAnsi="Arial" w:cs="Times New Roman"/>
      <w:sz w:val="24"/>
      <w:szCs w:val="20"/>
      <w:lang w:eastAsia="en-GB"/>
    </w:rPr>
  </w:style>
  <w:style w:type="paragraph" w:customStyle="1" w:styleId="PHEBulletpoints">
    <w:name w:val="PHE Bullet points"/>
    <w:link w:val="PHEBulletpointsChar"/>
    <w:rsid w:val="006124F3"/>
    <w:pPr>
      <w:numPr>
        <w:numId w:val="1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124F3"/>
    <w:rPr>
      <w:rFonts w:ascii="Arial" w:eastAsia="Times New Roman" w:hAnsi="Arial" w:cs="Times New Roman"/>
      <w:sz w:val="24"/>
      <w:szCs w:val="24"/>
    </w:rPr>
  </w:style>
  <w:style w:type="character" w:customStyle="1" w:styleId="fontstyle01">
    <w:name w:val="fontstyle01"/>
    <w:basedOn w:val="DefaultParagraphFont"/>
    <w:rsid w:val="00207E98"/>
    <w:rPr>
      <w:rFonts w:ascii="Frutiger-Light" w:hAnsi="Frutiger-Light"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B66342"/>
    <w:rPr>
      <w:color w:val="808080"/>
      <w:shd w:val="clear" w:color="auto" w:fill="E6E6E6"/>
    </w:rPr>
  </w:style>
  <w:style w:type="character" w:customStyle="1" w:styleId="Heading3Char">
    <w:name w:val="Heading 3 Char"/>
    <w:basedOn w:val="DefaultParagraphFont"/>
    <w:link w:val="Heading3"/>
    <w:uiPriority w:val="9"/>
    <w:semiHidden/>
    <w:rsid w:val="00714FF9"/>
    <w:rPr>
      <w:rFonts w:asciiTheme="majorHAnsi" w:eastAsiaTheme="majorEastAsia" w:hAnsiTheme="majorHAnsi" w:cstheme="majorBidi"/>
      <w:color w:val="1F3763" w:themeColor="accent1" w:themeShade="7F"/>
      <w:sz w:val="24"/>
      <w:szCs w:val="24"/>
      <w:lang w:eastAsia="en-GB"/>
    </w:rPr>
  </w:style>
  <w:style w:type="character" w:customStyle="1" w:styleId="UnresolvedMention3">
    <w:name w:val="Unresolved Mention3"/>
    <w:basedOn w:val="DefaultParagraphFont"/>
    <w:uiPriority w:val="99"/>
    <w:semiHidden/>
    <w:unhideWhenUsed/>
    <w:rsid w:val="00436B19"/>
    <w:rPr>
      <w:color w:val="808080"/>
      <w:shd w:val="clear" w:color="auto" w:fill="E6E6E6"/>
    </w:rPr>
  </w:style>
  <w:style w:type="character" w:customStyle="1" w:styleId="UnresolvedMention4">
    <w:name w:val="Unresolved Mention4"/>
    <w:basedOn w:val="DefaultParagraphFont"/>
    <w:uiPriority w:val="99"/>
    <w:semiHidden/>
    <w:unhideWhenUsed/>
    <w:rsid w:val="00340AE9"/>
    <w:rPr>
      <w:color w:val="808080"/>
      <w:shd w:val="clear" w:color="auto" w:fill="E6E6E6"/>
    </w:rPr>
  </w:style>
  <w:style w:type="character" w:customStyle="1" w:styleId="UnresolvedMention40">
    <w:name w:val="Unresolved Mention4"/>
    <w:basedOn w:val="DefaultParagraphFont"/>
    <w:uiPriority w:val="99"/>
    <w:semiHidden/>
    <w:unhideWhenUsed/>
    <w:rsid w:val="003B2252"/>
    <w:rPr>
      <w:color w:val="808080"/>
      <w:shd w:val="clear" w:color="auto" w:fill="E6E6E6"/>
    </w:rPr>
  </w:style>
  <w:style w:type="character" w:styleId="UnresolvedMention">
    <w:name w:val="Unresolved Mention"/>
    <w:basedOn w:val="DefaultParagraphFont"/>
    <w:uiPriority w:val="99"/>
    <w:semiHidden/>
    <w:unhideWhenUsed/>
    <w:rsid w:val="00BA68F9"/>
    <w:rPr>
      <w:color w:val="605E5C"/>
      <w:shd w:val="clear" w:color="auto" w:fill="E1DFDD"/>
    </w:rPr>
  </w:style>
  <w:style w:type="character" w:customStyle="1" w:styleId="A9">
    <w:name w:val="A9"/>
    <w:uiPriority w:val="99"/>
    <w:rsid w:val="00B97FA9"/>
    <w:rPr>
      <w:rFonts w:cs="Frutiger 45 Light"/>
      <w:color w:val="000000"/>
      <w:u w:val="single"/>
    </w:rPr>
  </w:style>
  <w:style w:type="paragraph" w:customStyle="1" w:styleId="Pa11">
    <w:name w:val="Pa11"/>
    <w:basedOn w:val="Default"/>
    <w:next w:val="Default"/>
    <w:uiPriority w:val="99"/>
    <w:rsid w:val="00917A1D"/>
    <w:pPr>
      <w:spacing w:line="241" w:lineRule="atLeast"/>
    </w:pPr>
    <w:rPr>
      <w:rFonts w:ascii="Frutiger 45 Light" w:eastAsiaTheme="minorHAnsi" w:hAnsi="Frutiger 45 Light" w:cstheme="minorBidi"/>
      <w:color w:val="auto"/>
      <w:lang w:eastAsia="en-US"/>
    </w:rPr>
  </w:style>
  <w:style w:type="character" w:customStyle="1" w:styleId="UnresolvedMention5">
    <w:name w:val="Unresolved Mention5"/>
    <w:basedOn w:val="DefaultParagraphFont"/>
    <w:uiPriority w:val="99"/>
    <w:semiHidden/>
    <w:unhideWhenUsed/>
    <w:rsid w:val="0088108E"/>
    <w:rPr>
      <w:color w:val="605E5C"/>
      <w:shd w:val="clear" w:color="auto" w:fill="E1DFDD"/>
    </w:rPr>
  </w:style>
  <w:style w:type="character" w:customStyle="1" w:styleId="A10">
    <w:name w:val="A10"/>
    <w:uiPriority w:val="99"/>
    <w:rsid w:val="00411FEA"/>
    <w:rPr>
      <w:rFonts w:cs="Frutiger 45 Light"/>
      <w:color w:val="1F5C9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702">
      <w:bodyDiv w:val="1"/>
      <w:marLeft w:val="0"/>
      <w:marRight w:val="0"/>
      <w:marTop w:val="0"/>
      <w:marBottom w:val="0"/>
      <w:divBdr>
        <w:top w:val="none" w:sz="0" w:space="0" w:color="auto"/>
        <w:left w:val="none" w:sz="0" w:space="0" w:color="auto"/>
        <w:bottom w:val="none" w:sz="0" w:space="0" w:color="auto"/>
        <w:right w:val="none" w:sz="0" w:space="0" w:color="auto"/>
      </w:divBdr>
      <w:divsChild>
        <w:div w:id="796292504">
          <w:marLeft w:val="0"/>
          <w:marRight w:val="0"/>
          <w:marTop w:val="0"/>
          <w:marBottom w:val="0"/>
          <w:divBdr>
            <w:top w:val="none" w:sz="0" w:space="0" w:color="auto"/>
            <w:left w:val="none" w:sz="0" w:space="0" w:color="auto"/>
            <w:bottom w:val="none" w:sz="0" w:space="0" w:color="auto"/>
            <w:right w:val="none" w:sz="0" w:space="0" w:color="auto"/>
          </w:divBdr>
        </w:div>
      </w:divsChild>
    </w:div>
    <w:div w:id="25327518">
      <w:bodyDiv w:val="1"/>
      <w:marLeft w:val="0"/>
      <w:marRight w:val="0"/>
      <w:marTop w:val="0"/>
      <w:marBottom w:val="0"/>
      <w:divBdr>
        <w:top w:val="none" w:sz="0" w:space="0" w:color="auto"/>
        <w:left w:val="none" w:sz="0" w:space="0" w:color="auto"/>
        <w:bottom w:val="none" w:sz="0" w:space="0" w:color="auto"/>
        <w:right w:val="none" w:sz="0" w:space="0" w:color="auto"/>
      </w:divBdr>
    </w:div>
    <w:div w:id="71466221">
      <w:bodyDiv w:val="1"/>
      <w:marLeft w:val="0"/>
      <w:marRight w:val="0"/>
      <w:marTop w:val="0"/>
      <w:marBottom w:val="0"/>
      <w:divBdr>
        <w:top w:val="none" w:sz="0" w:space="0" w:color="auto"/>
        <w:left w:val="none" w:sz="0" w:space="0" w:color="auto"/>
        <w:bottom w:val="none" w:sz="0" w:space="0" w:color="auto"/>
        <w:right w:val="none" w:sz="0" w:space="0" w:color="auto"/>
      </w:divBdr>
    </w:div>
    <w:div w:id="108403446">
      <w:bodyDiv w:val="1"/>
      <w:marLeft w:val="0"/>
      <w:marRight w:val="0"/>
      <w:marTop w:val="0"/>
      <w:marBottom w:val="0"/>
      <w:divBdr>
        <w:top w:val="none" w:sz="0" w:space="0" w:color="auto"/>
        <w:left w:val="none" w:sz="0" w:space="0" w:color="auto"/>
        <w:bottom w:val="none" w:sz="0" w:space="0" w:color="auto"/>
        <w:right w:val="none" w:sz="0" w:space="0" w:color="auto"/>
      </w:divBdr>
    </w:div>
    <w:div w:id="109666506">
      <w:bodyDiv w:val="1"/>
      <w:marLeft w:val="0"/>
      <w:marRight w:val="0"/>
      <w:marTop w:val="0"/>
      <w:marBottom w:val="0"/>
      <w:divBdr>
        <w:top w:val="none" w:sz="0" w:space="0" w:color="auto"/>
        <w:left w:val="none" w:sz="0" w:space="0" w:color="auto"/>
        <w:bottom w:val="none" w:sz="0" w:space="0" w:color="auto"/>
        <w:right w:val="none" w:sz="0" w:space="0" w:color="auto"/>
      </w:divBdr>
    </w:div>
    <w:div w:id="115950752">
      <w:bodyDiv w:val="1"/>
      <w:marLeft w:val="0"/>
      <w:marRight w:val="0"/>
      <w:marTop w:val="0"/>
      <w:marBottom w:val="0"/>
      <w:divBdr>
        <w:top w:val="none" w:sz="0" w:space="0" w:color="auto"/>
        <w:left w:val="none" w:sz="0" w:space="0" w:color="auto"/>
        <w:bottom w:val="none" w:sz="0" w:space="0" w:color="auto"/>
        <w:right w:val="none" w:sz="0" w:space="0" w:color="auto"/>
      </w:divBdr>
    </w:div>
    <w:div w:id="379402056">
      <w:bodyDiv w:val="1"/>
      <w:marLeft w:val="0"/>
      <w:marRight w:val="0"/>
      <w:marTop w:val="0"/>
      <w:marBottom w:val="0"/>
      <w:divBdr>
        <w:top w:val="none" w:sz="0" w:space="0" w:color="auto"/>
        <w:left w:val="none" w:sz="0" w:space="0" w:color="auto"/>
        <w:bottom w:val="none" w:sz="0" w:space="0" w:color="auto"/>
        <w:right w:val="none" w:sz="0" w:space="0" w:color="auto"/>
      </w:divBdr>
    </w:div>
    <w:div w:id="386073068">
      <w:bodyDiv w:val="1"/>
      <w:marLeft w:val="0"/>
      <w:marRight w:val="0"/>
      <w:marTop w:val="0"/>
      <w:marBottom w:val="0"/>
      <w:divBdr>
        <w:top w:val="none" w:sz="0" w:space="0" w:color="auto"/>
        <w:left w:val="none" w:sz="0" w:space="0" w:color="auto"/>
        <w:bottom w:val="none" w:sz="0" w:space="0" w:color="auto"/>
        <w:right w:val="none" w:sz="0" w:space="0" w:color="auto"/>
      </w:divBdr>
    </w:div>
    <w:div w:id="486283986">
      <w:bodyDiv w:val="1"/>
      <w:marLeft w:val="0"/>
      <w:marRight w:val="0"/>
      <w:marTop w:val="0"/>
      <w:marBottom w:val="0"/>
      <w:divBdr>
        <w:top w:val="none" w:sz="0" w:space="0" w:color="auto"/>
        <w:left w:val="none" w:sz="0" w:space="0" w:color="auto"/>
        <w:bottom w:val="none" w:sz="0" w:space="0" w:color="auto"/>
        <w:right w:val="none" w:sz="0" w:space="0" w:color="auto"/>
      </w:divBdr>
    </w:div>
    <w:div w:id="534193631">
      <w:bodyDiv w:val="1"/>
      <w:marLeft w:val="0"/>
      <w:marRight w:val="0"/>
      <w:marTop w:val="0"/>
      <w:marBottom w:val="0"/>
      <w:divBdr>
        <w:top w:val="none" w:sz="0" w:space="0" w:color="auto"/>
        <w:left w:val="none" w:sz="0" w:space="0" w:color="auto"/>
        <w:bottom w:val="none" w:sz="0" w:space="0" w:color="auto"/>
        <w:right w:val="none" w:sz="0" w:space="0" w:color="auto"/>
      </w:divBdr>
    </w:div>
    <w:div w:id="537425815">
      <w:bodyDiv w:val="1"/>
      <w:marLeft w:val="0"/>
      <w:marRight w:val="0"/>
      <w:marTop w:val="0"/>
      <w:marBottom w:val="0"/>
      <w:divBdr>
        <w:top w:val="none" w:sz="0" w:space="0" w:color="auto"/>
        <w:left w:val="none" w:sz="0" w:space="0" w:color="auto"/>
        <w:bottom w:val="none" w:sz="0" w:space="0" w:color="auto"/>
        <w:right w:val="none" w:sz="0" w:space="0" w:color="auto"/>
      </w:divBdr>
    </w:div>
    <w:div w:id="545727333">
      <w:bodyDiv w:val="1"/>
      <w:marLeft w:val="0"/>
      <w:marRight w:val="0"/>
      <w:marTop w:val="0"/>
      <w:marBottom w:val="0"/>
      <w:divBdr>
        <w:top w:val="none" w:sz="0" w:space="0" w:color="auto"/>
        <w:left w:val="none" w:sz="0" w:space="0" w:color="auto"/>
        <w:bottom w:val="none" w:sz="0" w:space="0" w:color="auto"/>
        <w:right w:val="none" w:sz="0" w:space="0" w:color="auto"/>
      </w:divBdr>
    </w:div>
    <w:div w:id="619381316">
      <w:bodyDiv w:val="1"/>
      <w:marLeft w:val="0"/>
      <w:marRight w:val="0"/>
      <w:marTop w:val="0"/>
      <w:marBottom w:val="0"/>
      <w:divBdr>
        <w:top w:val="none" w:sz="0" w:space="0" w:color="auto"/>
        <w:left w:val="none" w:sz="0" w:space="0" w:color="auto"/>
        <w:bottom w:val="none" w:sz="0" w:space="0" w:color="auto"/>
        <w:right w:val="none" w:sz="0" w:space="0" w:color="auto"/>
      </w:divBdr>
    </w:div>
    <w:div w:id="638535127">
      <w:bodyDiv w:val="1"/>
      <w:marLeft w:val="0"/>
      <w:marRight w:val="0"/>
      <w:marTop w:val="0"/>
      <w:marBottom w:val="0"/>
      <w:divBdr>
        <w:top w:val="none" w:sz="0" w:space="0" w:color="auto"/>
        <w:left w:val="none" w:sz="0" w:space="0" w:color="auto"/>
        <w:bottom w:val="none" w:sz="0" w:space="0" w:color="auto"/>
        <w:right w:val="none" w:sz="0" w:space="0" w:color="auto"/>
      </w:divBdr>
    </w:div>
    <w:div w:id="650719109">
      <w:bodyDiv w:val="1"/>
      <w:marLeft w:val="0"/>
      <w:marRight w:val="0"/>
      <w:marTop w:val="0"/>
      <w:marBottom w:val="0"/>
      <w:divBdr>
        <w:top w:val="none" w:sz="0" w:space="0" w:color="auto"/>
        <w:left w:val="none" w:sz="0" w:space="0" w:color="auto"/>
        <w:bottom w:val="none" w:sz="0" w:space="0" w:color="auto"/>
        <w:right w:val="none" w:sz="0" w:space="0" w:color="auto"/>
      </w:divBdr>
    </w:div>
    <w:div w:id="807936189">
      <w:bodyDiv w:val="1"/>
      <w:marLeft w:val="0"/>
      <w:marRight w:val="0"/>
      <w:marTop w:val="0"/>
      <w:marBottom w:val="0"/>
      <w:divBdr>
        <w:top w:val="none" w:sz="0" w:space="0" w:color="auto"/>
        <w:left w:val="none" w:sz="0" w:space="0" w:color="auto"/>
        <w:bottom w:val="none" w:sz="0" w:space="0" w:color="auto"/>
        <w:right w:val="none" w:sz="0" w:space="0" w:color="auto"/>
      </w:divBdr>
    </w:div>
    <w:div w:id="817306671">
      <w:bodyDiv w:val="1"/>
      <w:marLeft w:val="0"/>
      <w:marRight w:val="0"/>
      <w:marTop w:val="0"/>
      <w:marBottom w:val="0"/>
      <w:divBdr>
        <w:top w:val="none" w:sz="0" w:space="0" w:color="auto"/>
        <w:left w:val="none" w:sz="0" w:space="0" w:color="auto"/>
        <w:bottom w:val="none" w:sz="0" w:space="0" w:color="auto"/>
        <w:right w:val="none" w:sz="0" w:space="0" w:color="auto"/>
      </w:divBdr>
    </w:div>
    <w:div w:id="944727373">
      <w:bodyDiv w:val="1"/>
      <w:marLeft w:val="0"/>
      <w:marRight w:val="0"/>
      <w:marTop w:val="0"/>
      <w:marBottom w:val="0"/>
      <w:divBdr>
        <w:top w:val="none" w:sz="0" w:space="0" w:color="auto"/>
        <w:left w:val="none" w:sz="0" w:space="0" w:color="auto"/>
        <w:bottom w:val="none" w:sz="0" w:space="0" w:color="auto"/>
        <w:right w:val="none" w:sz="0" w:space="0" w:color="auto"/>
      </w:divBdr>
    </w:div>
    <w:div w:id="1110589100">
      <w:bodyDiv w:val="1"/>
      <w:marLeft w:val="0"/>
      <w:marRight w:val="0"/>
      <w:marTop w:val="0"/>
      <w:marBottom w:val="0"/>
      <w:divBdr>
        <w:top w:val="none" w:sz="0" w:space="0" w:color="auto"/>
        <w:left w:val="none" w:sz="0" w:space="0" w:color="auto"/>
        <w:bottom w:val="none" w:sz="0" w:space="0" w:color="auto"/>
        <w:right w:val="none" w:sz="0" w:space="0" w:color="auto"/>
      </w:divBdr>
    </w:div>
    <w:div w:id="1111584719">
      <w:bodyDiv w:val="1"/>
      <w:marLeft w:val="0"/>
      <w:marRight w:val="0"/>
      <w:marTop w:val="0"/>
      <w:marBottom w:val="0"/>
      <w:divBdr>
        <w:top w:val="none" w:sz="0" w:space="0" w:color="auto"/>
        <w:left w:val="none" w:sz="0" w:space="0" w:color="auto"/>
        <w:bottom w:val="none" w:sz="0" w:space="0" w:color="auto"/>
        <w:right w:val="none" w:sz="0" w:space="0" w:color="auto"/>
      </w:divBdr>
    </w:div>
    <w:div w:id="1154679719">
      <w:bodyDiv w:val="1"/>
      <w:marLeft w:val="0"/>
      <w:marRight w:val="0"/>
      <w:marTop w:val="0"/>
      <w:marBottom w:val="0"/>
      <w:divBdr>
        <w:top w:val="none" w:sz="0" w:space="0" w:color="auto"/>
        <w:left w:val="none" w:sz="0" w:space="0" w:color="auto"/>
        <w:bottom w:val="none" w:sz="0" w:space="0" w:color="auto"/>
        <w:right w:val="none" w:sz="0" w:space="0" w:color="auto"/>
      </w:divBdr>
    </w:div>
    <w:div w:id="1169252553">
      <w:bodyDiv w:val="1"/>
      <w:marLeft w:val="0"/>
      <w:marRight w:val="0"/>
      <w:marTop w:val="0"/>
      <w:marBottom w:val="0"/>
      <w:divBdr>
        <w:top w:val="none" w:sz="0" w:space="0" w:color="auto"/>
        <w:left w:val="none" w:sz="0" w:space="0" w:color="auto"/>
        <w:bottom w:val="none" w:sz="0" w:space="0" w:color="auto"/>
        <w:right w:val="none" w:sz="0" w:space="0" w:color="auto"/>
      </w:divBdr>
    </w:div>
    <w:div w:id="1169566122">
      <w:bodyDiv w:val="1"/>
      <w:marLeft w:val="0"/>
      <w:marRight w:val="0"/>
      <w:marTop w:val="0"/>
      <w:marBottom w:val="0"/>
      <w:divBdr>
        <w:top w:val="none" w:sz="0" w:space="0" w:color="auto"/>
        <w:left w:val="none" w:sz="0" w:space="0" w:color="auto"/>
        <w:bottom w:val="none" w:sz="0" w:space="0" w:color="auto"/>
        <w:right w:val="none" w:sz="0" w:space="0" w:color="auto"/>
      </w:divBdr>
    </w:div>
    <w:div w:id="1322733775">
      <w:bodyDiv w:val="1"/>
      <w:marLeft w:val="0"/>
      <w:marRight w:val="0"/>
      <w:marTop w:val="0"/>
      <w:marBottom w:val="0"/>
      <w:divBdr>
        <w:top w:val="none" w:sz="0" w:space="0" w:color="auto"/>
        <w:left w:val="none" w:sz="0" w:space="0" w:color="auto"/>
        <w:bottom w:val="none" w:sz="0" w:space="0" w:color="auto"/>
        <w:right w:val="none" w:sz="0" w:space="0" w:color="auto"/>
      </w:divBdr>
    </w:div>
    <w:div w:id="1337999773">
      <w:bodyDiv w:val="1"/>
      <w:marLeft w:val="0"/>
      <w:marRight w:val="0"/>
      <w:marTop w:val="0"/>
      <w:marBottom w:val="0"/>
      <w:divBdr>
        <w:top w:val="none" w:sz="0" w:space="0" w:color="auto"/>
        <w:left w:val="none" w:sz="0" w:space="0" w:color="auto"/>
        <w:bottom w:val="none" w:sz="0" w:space="0" w:color="auto"/>
        <w:right w:val="none" w:sz="0" w:space="0" w:color="auto"/>
      </w:divBdr>
      <w:divsChild>
        <w:div w:id="1797796176">
          <w:marLeft w:val="0"/>
          <w:marRight w:val="0"/>
          <w:marTop w:val="0"/>
          <w:marBottom w:val="0"/>
          <w:divBdr>
            <w:top w:val="none" w:sz="0" w:space="0" w:color="auto"/>
            <w:left w:val="none" w:sz="0" w:space="0" w:color="auto"/>
            <w:bottom w:val="none" w:sz="0" w:space="0" w:color="auto"/>
            <w:right w:val="none" w:sz="0" w:space="0" w:color="auto"/>
          </w:divBdr>
          <w:divsChild>
            <w:div w:id="269901460">
              <w:marLeft w:val="0"/>
              <w:marRight w:val="0"/>
              <w:marTop w:val="0"/>
              <w:marBottom w:val="0"/>
              <w:divBdr>
                <w:top w:val="none" w:sz="0" w:space="0" w:color="auto"/>
                <w:left w:val="none" w:sz="0" w:space="0" w:color="auto"/>
                <w:bottom w:val="none" w:sz="0" w:space="0" w:color="auto"/>
                <w:right w:val="none" w:sz="0" w:space="0" w:color="auto"/>
              </w:divBdr>
              <w:divsChild>
                <w:div w:id="135219926">
                  <w:marLeft w:val="0"/>
                  <w:marRight w:val="0"/>
                  <w:marTop w:val="0"/>
                  <w:marBottom w:val="0"/>
                  <w:divBdr>
                    <w:top w:val="none" w:sz="0" w:space="0" w:color="auto"/>
                    <w:left w:val="none" w:sz="0" w:space="0" w:color="auto"/>
                    <w:bottom w:val="none" w:sz="0" w:space="0" w:color="auto"/>
                    <w:right w:val="none" w:sz="0" w:space="0" w:color="auto"/>
                  </w:divBdr>
                  <w:divsChild>
                    <w:div w:id="173618150">
                      <w:marLeft w:val="0"/>
                      <w:marRight w:val="0"/>
                      <w:marTop w:val="0"/>
                      <w:marBottom w:val="0"/>
                      <w:divBdr>
                        <w:top w:val="none" w:sz="0" w:space="0" w:color="auto"/>
                        <w:left w:val="none" w:sz="0" w:space="0" w:color="auto"/>
                        <w:bottom w:val="none" w:sz="0" w:space="0" w:color="auto"/>
                        <w:right w:val="none" w:sz="0" w:space="0" w:color="auto"/>
                      </w:divBdr>
                      <w:divsChild>
                        <w:div w:id="1772314000">
                          <w:marLeft w:val="0"/>
                          <w:marRight w:val="0"/>
                          <w:marTop w:val="0"/>
                          <w:marBottom w:val="0"/>
                          <w:divBdr>
                            <w:top w:val="none" w:sz="0" w:space="0" w:color="auto"/>
                            <w:left w:val="none" w:sz="0" w:space="0" w:color="auto"/>
                            <w:bottom w:val="none" w:sz="0" w:space="0" w:color="auto"/>
                            <w:right w:val="none" w:sz="0" w:space="0" w:color="auto"/>
                          </w:divBdr>
                          <w:divsChild>
                            <w:div w:id="484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0555">
      <w:bodyDiv w:val="1"/>
      <w:marLeft w:val="0"/>
      <w:marRight w:val="0"/>
      <w:marTop w:val="0"/>
      <w:marBottom w:val="0"/>
      <w:divBdr>
        <w:top w:val="none" w:sz="0" w:space="0" w:color="auto"/>
        <w:left w:val="none" w:sz="0" w:space="0" w:color="auto"/>
        <w:bottom w:val="none" w:sz="0" w:space="0" w:color="auto"/>
        <w:right w:val="none" w:sz="0" w:space="0" w:color="auto"/>
      </w:divBdr>
    </w:div>
    <w:div w:id="1407459533">
      <w:bodyDiv w:val="1"/>
      <w:marLeft w:val="0"/>
      <w:marRight w:val="0"/>
      <w:marTop w:val="0"/>
      <w:marBottom w:val="0"/>
      <w:divBdr>
        <w:top w:val="none" w:sz="0" w:space="0" w:color="auto"/>
        <w:left w:val="none" w:sz="0" w:space="0" w:color="auto"/>
        <w:bottom w:val="none" w:sz="0" w:space="0" w:color="auto"/>
        <w:right w:val="none" w:sz="0" w:space="0" w:color="auto"/>
      </w:divBdr>
    </w:div>
    <w:div w:id="1418356844">
      <w:bodyDiv w:val="1"/>
      <w:marLeft w:val="0"/>
      <w:marRight w:val="0"/>
      <w:marTop w:val="0"/>
      <w:marBottom w:val="0"/>
      <w:divBdr>
        <w:top w:val="none" w:sz="0" w:space="0" w:color="auto"/>
        <w:left w:val="none" w:sz="0" w:space="0" w:color="auto"/>
        <w:bottom w:val="none" w:sz="0" w:space="0" w:color="auto"/>
        <w:right w:val="none" w:sz="0" w:space="0" w:color="auto"/>
      </w:divBdr>
    </w:div>
    <w:div w:id="1478842296">
      <w:bodyDiv w:val="1"/>
      <w:marLeft w:val="0"/>
      <w:marRight w:val="0"/>
      <w:marTop w:val="0"/>
      <w:marBottom w:val="0"/>
      <w:divBdr>
        <w:top w:val="none" w:sz="0" w:space="0" w:color="auto"/>
        <w:left w:val="none" w:sz="0" w:space="0" w:color="auto"/>
        <w:bottom w:val="none" w:sz="0" w:space="0" w:color="auto"/>
        <w:right w:val="none" w:sz="0" w:space="0" w:color="auto"/>
      </w:divBdr>
    </w:div>
    <w:div w:id="1522931393">
      <w:bodyDiv w:val="1"/>
      <w:marLeft w:val="0"/>
      <w:marRight w:val="0"/>
      <w:marTop w:val="0"/>
      <w:marBottom w:val="0"/>
      <w:divBdr>
        <w:top w:val="none" w:sz="0" w:space="0" w:color="auto"/>
        <w:left w:val="none" w:sz="0" w:space="0" w:color="auto"/>
        <w:bottom w:val="none" w:sz="0" w:space="0" w:color="auto"/>
        <w:right w:val="none" w:sz="0" w:space="0" w:color="auto"/>
      </w:divBdr>
    </w:div>
    <w:div w:id="1544440326">
      <w:bodyDiv w:val="1"/>
      <w:marLeft w:val="0"/>
      <w:marRight w:val="0"/>
      <w:marTop w:val="0"/>
      <w:marBottom w:val="0"/>
      <w:divBdr>
        <w:top w:val="none" w:sz="0" w:space="0" w:color="auto"/>
        <w:left w:val="none" w:sz="0" w:space="0" w:color="auto"/>
        <w:bottom w:val="none" w:sz="0" w:space="0" w:color="auto"/>
        <w:right w:val="none" w:sz="0" w:space="0" w:color="auto"/>
      </w:divBdr>
    </w:div>
    <w:div w:id="1582250496">
      <w:bodyDiv w:val="1"/>
      <w:marLeft w:val="0"/>
      <w:marRight w:val="0"/>
      <w:marTop w:val="0"/>
      <w:marBottom w:val="0"/>
      <w:divBdr>
        <w:top w:val="none" w:sz="0" w:space="0" w:color="auto"/>
        <w:left w:val="none" w:sz="0" w:space="0" w:color="auto"/>
        <w:bottom w:val="none" w:sz="0" w:space="0" w:color="auto"/>
        <w:right w:val="none" w:sz="0" w:space="0" w:color="auto"/>
      </w:divBdr>
    </w:div>
    <w:div w:id="1670059910">
      <w:bodyDiv w:val="1"/>
      <w:marLeft w:val="0"/>
      <w:marRight w:val="0"/>
      <w:marTop w:val="0"/>
      <w:marBottom w:val="0"/>
      <w:divBdr>
        <w:top w:val="none" w:sz="0" w:space="0" w:color="auto"/>
        <w:left w:val="none" w:sz="0" w:space="0" w:color="auto"/>
        <w:bottom w:val="none" w:sz="0" w:space="0" w:color="auto"/>
        <w:right w:val="none" w:sz="0" w:space="0" w:color="auto"/>
      </w:divBdr>
    </w:div>
    <w:div w:id="1754627218">
      <w:bodyDiv w:val="1"/>
      <w:marLeft w:val="0"/>
      <w:marRight w:val="0"/>
      <w:marTop w:val="0"/>
      <w:marBottom w:val="0"/>
      <w:divBdr>
        <w:top w:val="none" w:sz="0" w:space="0" w:color="auto"/>
        <w:left w:val="none" w:sz="0" w:space="0" w:color="auto"/>
        <w:bottom w:val="none" w:sz="0" w:space="0" w:color="auto"/>
        <w:right w:val="none" w:sz="0" w:space="0" w:color="auto"/>
      </w:divBdr>
    </w:div>
    <w:div w:id="1837652844">
      <w:bodyDiv w:val="1"/>
      <w:marLeft w:val="0"/>
      <w:marRight w:val="0"/>
      <w:marTop w:val="0"/>
      <w:marBottom w:val="0"/>
      <w:divBdr>
        <w:top w:val="none" w:sz="0" w:space="0" w:color="auto"/>
        <w:left w:val="none" w:sz="0" w:space="0" w:color="auto"/>
        <w:bottom w:val="none" w:sz="0" w:space="0" w:color="auto"/>
        <w:right w:val="none" w:sz="0" w:space="0" w:color="auto"/>
      </w:divBdr>
    </w:div>
    <w:div w:id="1908495145">
      <w:bodyDiv w:val="1"/>
      <w:marLeft w:val="0"/>
      <w:marRight w:val="0"/>
      <w:marTop w:val="0"/>
      <w:marBottom w:val="0"/>
      <w:divBdr>
        <w:top w:val="none" w:sz="0" w:space="0" w:color="auto"/>
        <w:left w:val="none" w:sz="0" w:space="0" w:color="auto"/>
        <w:bottom w:val="none" w:sz="0" w:space="0" w:color="auto"/>
        <w:right w:val="none" w:sz="0" w:space="0" w:color="auto"/>
      </w:divBdr>
    </w:div>
    <w:div w:id="1934583032">
      <w:bodyDiv w:val="1"/>
      <w:marLeft w:val="0"/>
      <w:marRight w:val="0"/>
      <w:marTop w:val="0"/>
      <w:marBottom w:val="0"/>
      <w:divBdr>
        <w:top w:val="none" w:sz="0" w:space="0" w:color="auto"/>
        <w:left w:val="none" w:sz="0" w:space="0" w:color="auto"/>
        <w:bottom w:val="none" w:sz="0" w:space="0" w:color="auto"/>
        <w:right w:val="none" w:sz="0" w:space="0" w:color="auto"/>
      </w:divBdr>
    </w:div>
    <w:div w:id="1995834048">
      <w:bodyDiv w:val="1"/>
      <w:marLeft w:val="0"/>
      <w:marRight w:val="0"/>
      <w:marTop w:val="0"/>
      <w:marBottom w:val="0"/>
      <w:divBdr>
        <w:top w:val="none" w:sz="0" w:space="0" w:color="auto"/>
        <w:left w:val="none" w:sz="0" w:space="0" w:color="auto"/>
        <w:bottom w:val="none" w:sz="0" w:space="0" w:color="auto"/>
        <w:right w:val="none" w:sz="0" w:space="0" w:color="auto"/>
      </w:divBdr>
    </w:div>
    <w:div w:id="20303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immunisation-against-infectious-disease-the-green-book" TargetMode="External"/><Relationship Id="rId21" Type="http://schemas.openxmlformats.org/officeDocument/2006/relationships/image" Target="media/image4.png"/><Relationship Id="rId42" Type="http://schemas.openxmlformats.org/officeDocument/2006/relationships/hyperlink" Target="https://www.gov.uk/government/publications/regulatory-approval-of-pfizer-biontech-vaccine-for-covid-19"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www.gov.uk/government/publications/regulatory-approval-of-pfizer-biontech-vaccine-for-covid-19" TargetMode="External"/><Relationship Id="rId68" Type="http://schemas.openxmlformats.org/officeDocument/2006/relationships/hyperlink" Target="https://www.gov.uk/government/publications/regulatory-approval-of-pfizer-biontech-vaccine-for-covid-19" TargetMode="External"/><Relationship Id="rId84" Type="http://schemas.openxmlformats.org/officeDocument/2006/relationships/hyperlink" Target="https://www.gov.uk/government/publications/covid-19-vaccinator-training-recommendations/training-recommendations-for-covid-19-vaccinators" TargetMode="External"/><Relationship Id="rId89" Type="http://schemas.openxmlformats.org/officeDocument/2006/relationships/hyperlink" Target="https://www.gov.uk/government/publications/regulatory-approval-of-pfizer-biontech-vaccine-for-covid-19" TargetMode="External"/><Relationship Id="rId7" Type="http://schemas.openxmlformats.org/officeDocument/2006/relationships/settings" Target="settings.xml"/><Relationship Id="rId71" Type="http://schemas.openxmlformats.org/officeDocument/2006/relationships/hyperlink" Target="https://www.gov.uk/government/publications/vaccine-safety-and-adverse-events-following-immunisation-the-green-book-chapter-8" TargetMode="External"/><Relationship Id="rId92" Type="http://schemas.openxmlformats.org/officeDocument/2006/relationships/hyperlink" Target="https://www.england.nhs.uk/publication/management-and-disposal-of-healthcare-waste-htm-07-01/" TargetMode="External"/><Relationship Id="rId2" Type="http://schemas.openxmlformats.org/officeDocument/2006/relationships/customXml" Target="../customXml/item2.xml"/><Relationship Id="rId16" Type="http://schemas.openxmlformats.org/officeDocument/2006/relationships/hyperlink" Target="https://www.gov.uk/government/publications/covid-19-the-green-book-chapter-14a" TargetMode="External"/><Relationship Id="rId29" Type="http://schemas.openxmlformats.org/officeDocument/2006/relationships/hyperlink" Target="https://www.legislation.gov.uk/ukpga/2005/9/contents"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nice.org.uk/guidance/mpg2/resources" TargetMode="External"/><Relationship Id="rId32" Type="http://schemas.openxmlformats.org/officeDocument/2006/relationships/hyperlink" Target="https://www.gov.uk/government/collections/covid-19-vaccination-programme"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publications/consent-the-green-book-chapter-2" TargetMode="External"/><Relationship Id="rId45" Type="http://schemas.openxmlformats.org/officeDocument/2006/relationships/hyperlink" Target="https://www.gov.uk/government/publications/covid-19-the-green-book-chapter-14a" TargetMode="External"/><Relationship Id="rId53" Type="http://schemas.openxmlformats.org/officeDocument/2006/relationships/hyperlink" Target="https://www.legislation.gov.uk/uksi/2020/1125/contents/made" TargetMode="External"/><Relationship Id="rId58" Type="http://schemas.openxmlformats.org/officeDocument/2006/relationships/hyperlink" Target="https://www.gov.uk/government/publications/covid-19-the-green-book-chapter-14a" TargetMode="External"/><Relationship Id="rId66" Type="http://schemas.openxmlformats.org/officeDocument/2006/relationships/hyperlink" Target="https://www.england.nhs.uk/publication/management-and-disposal-of-healthcare-waste-htm-07-01/" TargetMode="External"/><Relationship Id="rId74" Type="http://schemas.openxmlformats.org/officeDocument/2006/relationships/hyperlink" Target="https://www.gov.uk/government/publications/covid-19-vaccination-booster-dose-resources" TargetMode="External"/><Relationship Id="rId79" Type="http://schemas.openxmlformats.org/officeDocument/2006/relationships/hyperlink" Target="https://www.gov.uk/government/publications/immunisation-of-individuals-with-underlying-medical-conditions-the-green-book-chapter-7" TargetMode="External"/><Relationship Id="rId87" Type="http://schemas.openxmlformats.org/officeDocument/2006/relationships/hyperlink" Target="https://www.gov.uk/government/publications/covid-19-vaccination-programme-guidance-for-healthcare-practitioners" TargetMode="External"/><Relationship Id="rId102"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covid-19-the-green-book-chapter-14a" TargetMode="External"/><Relationship Id="rId82" Type="http://schemas.openxmlformats.org/officeDocument/2006/relationships/hyperlink" Target="https://www.gov.uk/government/collections/immunisation-against-infectious-disease-the-green-book" TargetMode="External"/><Relationship Id="rId90" Type="http://schemas.openxmlformats.org/officeDocument/2006/relationships/hyperlink" Target="https://www.gov.uk/government/publications/regulatory-approval-of-pfizer-biontech-vaccine-for-covid-19" TargetMode="External"/><Relationship Id="rId95" Type="http://schemas.openxmlformats.org/officeDocument/2006/relationships/hyperlink" Target="https://www.gov.uk/government/publications/patient-group-directions-pgds/patient-group-directions-who-can-use-them" TargetMode="External"/><Relationship Id="rId19" Type="http://schemas.openxmlformats.org/officeDocument/2006/relationships/image" Target="media/image2.png"/><Relationship Id="rId14" Type="http://schemas.openxmlformats.org/officeDocument/2006/relationships/hyperlink" Target="https://www.gov.uk/government/publications/covid-19-the-green-book-chapter-14a" TargetMode="External"/><Relationship Id="rId22" Type="http://schemas.openxmlformats.org/officeDocument/2006/relationships/image" Target="cid:image001.png@01D78AE3.7E2BADC0" TargetMode="External"/><Relationship Id="rId27" Type="http://schemas.openxmlformats.org/officeDocument/2006/relationships/hyperlink" Target="https://www.gov.uk/government/publications/covid-19-vaccinator-training-recommendations/training-recommendations-for-covid-19-vaccinators" TargetMode="External"/><Relationship Id="rId30" Type="http://schemas.openxmlformats.org/officeDocument/2006/relationships/hyperlink" Target="https://www.gov.uk/government/publications/consent-the-green-book-chapter-2" TargetMode="External"/><Relationship Id="rId35" Type="http://schemas.openxmlformats.org/officeDocument/2006/relationships/hyperlink" Target="https://www.gov.uk/government/publications/covid-19-vaccinator-competency-assessment-tool"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legislation.gov.uk/ukpga/2005/9/contents" TargetMode="External"/><Relationship Id="rId56" Type="http://schemas.openxmlformats.org/officeDocument/2006/relationships/hyperlink" Target="https://www.gov.uk/government/publications/regulatory-approval-of-pfizer-biontech-vaccine-for-covid-19" TargetMode="External"/><Relationship Id="rId64" Type="http://schemas.openxmlformats.org/officeDocument/2006/relationships/hyperlink" Target="https://www.gov.uk/government/publications/regulatory-approval-of-pfizer-biontech-vaccine-for-covid-19" TargetMode="External"/><Relationship Id="rId69" Type="http://schemas.openxmlformats.org/officeDocument/2006/relationships/hyperlink" Target="https://coronavirus-yellowcard.mhra.gov.uk/" TargetMode="External"/><Relationship Id="rId77" Type="http://schemas.openxmlformats.org/officeDocument/2006/relationships/hyperlink" Target="https://www.gov.uk/government/publications/covid-19-the-green-book-chapter-14a"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legislation.gov.uk/uksi/2020/1594/regulation/4/made" TargetMode="External"/><Relationship Id="rId72" Type="http://schemas.openxmlformats.org/officeDocument/2006/relationships/hyperlink" Target="https://www.gov.uk/government/publications/covid-19-vaccination-what-to-expect-after-vaccination" TargetMode="External"/><Relationship Id="rId80" Type="http://schemas.openxmlformats.org/officeDocument/2006/relationships/hyperlink" Target="https://www.legislation.gov.uk/ukpga/2005/9/contents" TargetMode="External"/><Relationship Id="rId85" Type="http://schemas.openxmlformats.org/officeDocument/2006/relationships/hyperlink" Target="https://www.e-lfh.org.uk/programmes/covid-19-vaccination/" TargetMode="External"/><Relationship Id="rId93" Type="http://schemas.openxmlformats.org/officeDocument/2006/relationships/hyperlink" Target="https://www.nice.org.uk/guidance/mpg2" TargetMode="External"/><Relationship Id="rId98" Type="http://schemas.openxmlformats.org/officeDocument/2006/relationships/hyperlink" Target="https://www.legislation.gov.uk/uksi/2020/1594/regulation/4/made" TargetMode="External"/><Relationship Id="rId3" Type="http://schemas.openxmlformats.org/officeDocument/2006/relationships/customXml" Target="../customXml/item3.xml"/><Relationship Id="rId12" Type="http://schemas.openxmlformats.org/officeDocument/2006/relationships/hyperlink" Target="https://www.gov.uk/government/collections/covid-19-vaccination-programme" TargetMode="External"/><Relationship Id="rId17" Type="http://schemas.openxmlformats.org/officeDocument/2006/relationships/hyperlink" Target="https://www.gov.uk/government/publications/covid-19-the-green-book-chapter-14a" TargetMode="External"/><Relationship Id="rId25" Type="http://schemas.openxmlformats.org/officeDocument/2006/relationships/hyperlink" Target="https://www.gov.uk/government/publications/regulatory-approval-of-pfizer-biontech-vaccine-for-covid-19"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regulatory-approval-of-pfizer-biontech-vaccine-for-covid-19" TargetMode="External"/><Relationship Id="rId59" Type="http://schemas.openxmlformats.org/officeDocument/2006/relationships/hyperlink" Target="https://www.gov.uk/government/publications/covid-19-the-green-book-chapter-14a" TargetMode="External"/><Relationship Id="rId67" Type="http://schemas.openxmlformats.org/officeDocument/2006/relationships/hyperlink" Target="https://www.gov.uk/government/publications/covid-19-vaccination-what-to-expect-after-vaccination" TargetMode="External"/><Relationship Id="rId103"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hyperlink" Target="https://www.gov.uk/government/collections/immunisation-against-infectious-disease-the-green-book" TargetMode="External"/><Relationship Id="rId54" Type="http://schemas.openxmlformats.org/officeDocument/2006/relationships/hyperlink" Target="https://www.england.nhs.uk/coronavirus/publication/patient-group-direction-for-comirnaty-pfizer-biontech/" TargetMode="External"/><Relationship Id="rId62" Type="http://schemas.openxmlformats.org/officeDocument/2006/relationships/hyperlink" Target="https://www.gov.uk/government/publications/regulatory-approval-of-pfizer-biontech-vaccine-for-covid-19"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www.gov.uk/government/publications/covid-19-the-green-book-chapter-14a" TargetMode="External"/><Relationship Id="rId83" Type="http://schemas.openxmlformats.org/officeDocument/2006/relationships/hyperlink" Target="https://www.gov.uk/government/collections/covid-19-vaccination-programme" TargetMode="External"/><Relationship Id="rId88" Type="http://schemas.openxmlformats.org/officeDocument/2006/relationships/hyperlink" Target="https://assets.publishing.service.gov.uk/government/uploads/system/uploads/attachment_data/file/940566/Information_for_UK_recipients_on_Pfizer_BioNTech_COVID-19_vaccine.pdf" TargetMode="External"/><Relationship Id="rId91" Type="http://schemas.openxmlformats.org/officeDocument/2006/relationships/hyperlink" Target="https://www.gov.uk/government/publications/regulatory-approval-of-pfizer-biontech-vaccine-for-covid-19" TargetMode="External"/><Relationship Id="rId96" Type="http://schemas.openxmlformats.org/officeDocument/2006/relationships/hyperlink" Target="https://www.legislation.gov.uk/uksi/2012/1916/cont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the-green-book-chapter-14a" TargetMode="External"/><Relationship Id="rId23" Type="http://schemas.openxmlformats.org/officeDocument/2006/relationships/hyperlink" Target="https://www.gov.uk/government/publications/patient-group-directions-pgds/patient-group-directions-who-can-use-them" TargetMode="External"/><Relationship Id="rId28" Type="http://schemas.openxmlformats.org/officeDocument/2006/relationships/hyperlink" Target="https://www.e-lfh.org.uk/programmes/covid-19-vaccination/" TargetMode="External"/><Relationship Id="rId36" Type="http://schemas.openxmlformats.org/officeDocument/2006/relationships/hyperlink" Target="https://www.gov.uk/government/collections/covid-19-vaccination-programme" TargetMode="External"/><Relationship Id="rId49" Type="http://schemas.openxmlformats.org/officeDocument/2006/relationships/hyperlink" Target="https://www.gov.uk/government/publications/consent-the-green-book-chapter-2" TargetMode="External"/><Relationship Id="rId57" Type="http://schemas.openxmlformats.org/officeDocument/2006/relationships/hyperlink" Target="https://www.gov.uk/government/publications/regulatory-approval-of-pfizer-biontech-vaccine-for-covid-19" TargetMode="External"/><Relationship Id="rId10" Type="http://schemas.openxmlformats.org/officeDocument/2006/relationships/endnotes" Target="endnotes.xml"/><Relationship Id="rId31" Type="http://schemas.openxmlformats.org/officeDocument/2006/relationships/hyperlink" Target="https://www.gov.uk/government/collections/immunisation-against-infectious-disease-the-green-book"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regulatory-approval-of-pfizer-biontech-vaccine-for-covid-19" TargetMode="External"/><Relationship Id="rId60" Type="http://schemas.openxmlformats.org/officeDocument/2006/relationships/hyperlink" Target="https://www.gov.uk/government/publications/covid-19-booster-vaccine-programme-for-winter-2021-to-2022-jcvi-statement-november-2021" TargetMode="External"/><Relationship Id="rId65" Type="http://schemas.openxmlformats.org/officeDocument/2006/relationships/hyperlink" Target="https://www.gov.uk/government/publications/regulatory-approval-of-pfizer-biontech-vaccine-for-covid-19" TargetMode="External"/><Relationship Id="rId73" Type="http://schemas.openxmlformats.org/officeDocument/2006/relationships/hyperlink" Target="https://www.gov.uk/government/publications/covid-19-vaccination-women-of-childbearing-age-currently-pregnant-planning-a-pregnancy-or-breastfeeding" TargetMode="External"/><Relationship Id="rId78" Type="http://schemas.openxmlformats.org/officeDocument/2006/relationships/hyperlink" Target="https://www.gov.uk/government/publications/covid-19-the-green-book-chapter-14a" TargetMode="External"/><Relationship Id="rId81" Type="http://schemas.openxmlformats.org/officeDocument/2006/relationships/hyperlink" Target="https://www.gov.uk/government/publications/covid-19-the-green-book-chapter-14a" TargetMode="External"/><Relationship Id="rId86" Type="http://schemas.openxmlformats.org/officeDocument/2006/relationships/hyperlink" Target="https://www.gov.uk/government/publications/covid-19-vaccinator-competency-assessment-tool" TargetMode="External"/><Relationship Id="rId94" Type="http://schemas.openxmlformats.org/officeDocument/2006/relationships/hyperlink" Target="https://www.nice.org.uk/guidance/mpg2/resources"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mmunisation@phe.gov.uk" TargetMode="External"/><Relationship Id="rId18" Type="http://schemas.openxmlformats.org/officeDocument/2006/relationships/image" Target="media/image1.jpeg"/><Relationship Id="rId39" Type="http://schemas.openxmlformats.org/officeDocument/2006/relationships/hyperlink" Target="https://www.legislation.gov.uk/ukpga/2005/9/contents" TargetMode="External"/><Relationship Id="rId34" Type="http://schemas.openxmlformats.org/officeDocument/2006/relationships/hyperlink" Target="https://www.gov.uk/government/publications/covid-19-vaccination-programme-guidance-for-healthcare-practitioners"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gov.uk/government/publications/regulatory-approval-of-covid-19-vaccine-astrazeneca" TargetMode="External"/><Relationship Id="rId76" Type="http://schemas.openxmlformats.org/officeDocument/2006/relationships/hyperlink" Target="https://coronavirus-yellowcard.mhra.gov.uk/" TargetMode="External"/><Relationship Id="rId97" Type="http://schemas.openxmlformats.org/officeDocument/2006/relationships/hyperlink" Target="https://www.legislation.gov.uk/uksi/2020/1125/contents/made"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ovid-19-the-green-book-chapter-14a" TargetMode="External"/><Relationship Id="rId3" Type="http://schemas.openxmlformats.org/officeDocument/2006/relationships/hyperlink" Target="http://www.legislation.gov.uk/uksi/2015/323/contents/made" TargetMode="External"/><Relationship Id="rId7" Type="http://schemas.openxmlformats.org/officeDocument/2006/relationships/hyperlink" Target="https://www.gov.uk/government/publications/covid-19-the-green-book-chapter-14a"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6" Type="http://schemas.openxmlformats.org/officeDocument/2006/relationships/hyperlink" Target="https://www.gov.uk/government/publications/regulatory-approval-of-pfizer-biontech-vaccine-for-covid-19" TargetMode="External"/><Relationship Id="rId5" Type="http://schemas.openxmlformats.org/officeDocument/2006/relationships/hyperlink" Target="https://www.gov.uk/government/publications/regulatory-approval-of-pfizer-biontech-vaccine-for-covid-19" TargetMode="External"/><Relationship Id="rId4" Type="http://schemas.openxmlformats.org/officeDocument/2006/relationships/hyperlink" Target="https://www.legislation.gov.uk/uksi/2020/1125/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7" ma:contentTypeDescription="Create a new document." ma:contentTypeScope="" ma:versionID="f67bb168ce0653c17268aaa643698900">
  <xsd:schema xmlns:xsd="http://www.w3.org/2001/XMLSchema" xmlns:xs="http://www.w3.org/2001/XMLSchema" xmlns:p="http://schemas.microsoft.com/office/2006/metadata/properties" xmlns:ns2="9af0ad1d-52b3-4668-a206-4e8bbcac2776" xmlns:ns3="34f15714-548d-495f-a9b0-f58ce09e51d1" targetNamespace="http://schemas.microsoft.com/office/2006/metadata/properties" ma:root="true" ma:fieldsID="78b76731f9b32af1d8c6ffcdbe6126bc" ns2:_="" ns3:_="">
    <xsd:import namespace="9af0ad1d-52b3-4668-a206-4e8bbcac2776"/>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ad1d-52b3-4668-a206-4e8bbcac27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228D-7F13-4BAF-8B42-F5B566999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ad1d-52b3-4668-a206-4e8bbcac2776"/>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A0D55-5146-4B17-A5C1-DB8E341D542E}">
  <ds:schemaRefs>
    <ds:schemaRef ds:uri="http://schemas.microsoft.com/sharepoint/v3/contenttype/forms"/>
  </ds:schemaRefs>
</ds:datastoreItem>
</file>

<file path=customXml/itemProps3.xml><?xml version="1.0" encoding="utf-8"?>
<ds:datastoreItem xmlns:ds="http://schemas.openxmlformats.org/officeDocument/2006/customXml" ds:itemID="{A3E49425-5E78-4C01-8724-B9B2D1BC8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DA3F30-A279-47AE-B677-FBAFFE6A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11121</Words>
  <Characters>63391</Characters>
  <Application>Microsoft Office Word</Application>
  <DocSecurity>12</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Health England</dc:creator>
  <cp:keywords/>
  <dc:description/>
  <cp:lastModifiedBy>Joanne</cp:lastModifiedBy>
  <cp:revision>2</cp:revision>
  <cp:lastPrinted>2021-09-21T11:10:00Z</cp:lastPrinted>
  <dcterms:created xsi:type="dcterms:W3CDTF">2021-11-20T13:47:00Z</dcterms:created>
  <dcterms:modified xsi:type="dcterms:W3CDTF">2021-11-20T13:47:00Z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0x010100897AC277373E8B4681C9DB58EB544EDB</vt:lpwstr>
  </property>
</Properties>
</file>