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43845" w14:textId="0E448272" w:rsidR="005C09B2" w:rsidRDefault="002871EC" w:rsidP="00BF4DE0">
      <w:bookmarkStart w:id="0" w:name="_MacBuGuideStaticData_10602H"/>
      <w:bookmarkStart w:id="1" w:name="_MacBuGuideStaticData_3130H"/>
      <w:bookmarkStart w:id="2" w:name="_MacBuGuideStaticData_543H"/>
      <w:bookmarkStart w:id="3" w:name="_MacBuGuideStaticData_2275V"/>
      <w:r w:rsidRPr="00DD6E4F">
        <w:rPr>
          <w:i/>
          <w:noProof/>
          <w:lang w:eastAsia="en-GB"/>
        </w:rPr>
        <w:drawing>
          <wp:anchor distT="0" distB="0" distL="114300" distR="114300" simplePos="0" relativeHeight="251681280" behindDoc="0" locked="0" layoutInCell="1" allowOverlap="1" wp14:anchorId="734439D1" wp14:editId="27EF74B5">
            <wp:simplePos x="0" y="0"/>
            <wp:positionH relativeFrom="page">
              <wp:posOffset>5942965</wp:posOffset>
            </wp:positionH>
            <wp:positionV relativeFrom="page">
              <wp:posOffset>506095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5" name="Picture 23"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14:paraId="73443846" w14:textId="77777777" w:rsidR="00DD6E4F" w:rsidRDefault="00DD6E4F" w:rsidP="00BF4DE0">
      <w:pPr>
        <w:rPr>
          <w:i/>
        </w:rPr>
      </w:pPr>
    </w:p>
    <w:p w14:paraId="73443847" w14:textId="77777777" w:rsidR="00DD6E4F" w:rsidRDefault="00DD6E4F" w:rsidP="00BF4DE0">
      <w:pPr>
        <w:rPr>
          <w:i/>
        </w:rPr>
      </w:pPr>
    </w:p>
    <w:p w14:paraId="73443848" w14:textId="77777777" w:rsidR="00DD6E4F" w:rsidRDefault="00DD6E4F" w:rsidP="00BF4DE0">
      <w:pPr>
        <w:rPr>
          <w:i/>
        </w:rPr>
      </w:pPr>
    </w:p>
    <w:p w14:paraId="73443849" w14:textId="77777777" w:rsidR="00DD6E4F" w:rsidRDefault="00DD6E4F" w:rsidP="00BF4DE0">
      <w:pPr>
        <w:rPr>
          <w:i/>
        </w:rPr>
      </w:pPr>
    </w:p>
    <w:p w14:paraId="7344384A" w14:textId="77777777" w:rsidR="00DD6E4F" w:rsidRDefault="00DD6E4F" w:rsidP="00BF4DE0">
      <w:pPr>
        <w:rPr>
          <w:i/>
        </w:rPr>
      </w:pPr>
    </w:p>
    <w:p w14:paraId="7344384B" w14:textId="09B725EC" w:rsidR="00DD6E4F" w:rsidRDefault="00967AE8" w:rsidP="00BF4DE0">
      <w:pPr>
        <w:rPr>
          <w:i/>
        </w:rPr>
      </w:pPr>
      <w:r w:rsidRPr="00DD6E4F">
        <w:rPr>
          <w:i/>
          <w:noProof/>
          <w:lang w:eastAsia="en-GB"/>
        </w:rPr>
        <mc:AlternateContent>
          <mc:Choice Requires="wps">
            <w:drawing>
              <wp:anchor distT="0" distB="0" distL="114300" distR="114300" simplePos="0" relativeHeight="251646464" behindDoc="0" locked="0" layoutInCell="1" allowOverlap="1" wp14:anchorId="734439D3" wp14:editId="0F1FEF73">
                <wp:simplePos x="0" y="0"/>
                <wp:positionH relativeFrom="page">
                  <wp:posOffset>906780</wp:posOffset>
                </wp:positionH>
                <wp:positionV relativeFrom="page">
                  <wp:posOffset>4058285</wp:posOffset>
                </wp:positionV>
                <wp:extent cx="5911850" cy="1513205"/>
                <wp:effectExtent l="0" t="0" r="0" b="0"/>
                <wp:wrapThrough wrapText="bothSides">
                  <wp:wrapPolygon edited="0">
                    <wp:start x="139" y="0"/>
                    <wp:lineTo x="139" y="21210"/>
                    <wp:lineTo x="21368" y="21210"/>
                    <wp:lineTo x="21368" y="0"/>
                    <wp:lineTo x="139"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1850" cy="151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8EB60" w14:textId="5368C713" w:rsidR="00711797" w:rsidRPr="00DA65FC" w:rsidRDefault="00711797" w:rsidP="00DA65FC">
                            <w:pPr>
                              <w:pStyle w:val="Title"/>
                              <w:rPr>
                                <w:sz w:val="72"/>
                                <w:szCs w:val="72"/>
                              </w:rPr>
                            </w:pPr>
                            <w:r w:rsidRPr="00DA65FC">
                              <w:rPr>
                                <w:sz w:val="72"/>
                                <w:szCs w:val="72"/>
                              </w:rPr>
                              <w:t>CCG – practice agreement</w:t>
                            </w:r>
                          </w:p>
                          <w:p w14:paraId="3E9E211A" w14:textId="77777777" w:rsidR="00711797" w:rsidRPr="00DA65FC" w:rsidRDefault="00711797" w:rsidP="00DA65FC"/>
                          <w:p w14:paraId="734439EE" w14:textId="6B74AFBC" w:rsidR="00711797" w:rsidRPr="00DA65FC" w:rsidRDefault="00711797" w:rsidP="00DA65FC">
                            <w:pPr>
                              <w:pStyle w:val="Title"/>
                              <w:rPr>
                                <w:sz w:val="44"/>
                                <w:szCs w:val="44"/>
                              </w:rPr>
                            </w:pPr>
                            <w:r w:rsidRPr="00DA65FC">
                              <w:rPr>
                                <w:sz w:val="44"/>
                                <w:szCs w:val="44"/>
                              </w:rPr>
                              <w:t>Terms governing th</w:t>
                            </w:r>
                            <w:r>
                              <w:rPr>
                                <w:sz w:val="44"/>
                                <w:szCs w:val="44"/>
                              </w:rPr>
                              <w:t xml:space="preserve">e provision and receipt of </w:t>
                            </w:r>
                            <w:proofErr w:type="spellStart"/>
                            <w:r>
                              <w:rPr>
                                <w:sz w:val="44"/>
                                <w:szCs w:val="44"/>
                              </w:rPr>
                              <w:t>GPSoC</w:t>
                            </w:r>
                            <w:proofErr w:type="spellEnd"/>
                            <w:r w:rsidRPr="00DA65FC">
                              <w:rPr>
                                <w:sz w:val="44"/>
                                <w:szCs w:val="44"/>
                              </w:rPr>
                              <w:t xml:space="preserve"> services and GP</w:t>
                            </w:r>
                            <w:r>
                              <w:rPr>
                                <w:sz w:val="44"/>
                                <w:szCs w:val="44"/>
                              </w:rPr>
                              <w:t xml:space="preserve"> </w:t>
                            </w:r>
                            <w:r w:rsidRPr="00DA65FC">
                              <w:rPr>
                                <w:sz w:val="44"/>
                                <w:szCs w:val="44"/>
                              </w:rPr>
                              <w:t>IT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4pt;margin-top:319.55pt;width:465.5pt;height:119.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IlpgIAAK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" filled="f" stroked="f">
                <v:path arrowok="t"/>
                <v:textbox>
                  <w:txbxContent>
                    <w:p w14:paraId="0CB8EB60" w14:textId="5368C713" w:rsidR="00711797" w:rsidRPr="00DA65FC" w:rsidRDefault="00711797" w:rsidP="00DA65FC">
                      <w:pPr>
                        <w:pStyle w:val="Title"/>
                        <w:rPr>
                          <w:sz w:val="72"/>
                          <w:szCs w:val="72"/>
                        </w:rPr>
                      </w:pPr>
                      <w:r w:rsidRPr="00DA65FC">
                        <w:rPr>
                          <w:sz w:val="72"/>
                          <w:szCs w:val="72"/>
                        </w:rPr>
                        <w:t>CCG – practice agreement</w:t>
                      </w:r>
                    </w:p>
                    <w:p w14:paraId="3E9E211A" w14:textId="77777777" w:rsidR="00711797" w:rsidRPr="00DA65FC" w:rsidRDefault="00711797" w:rsidP="00DA65FC"/>
                    <w:p w14:paraId="734439EE" w14:textId="6B74AFBC" w:rsidR="00711797" w:rsidRPr="00DA65FC" w:rsidRDefault="00711797" w:rsidP="00DA65FC">
                      <w:pPr>
                        <w:pStyle w:val="Title"/>
                        <w:rPr>
                          <w:sz w:val="44"/>
                          <w:szCs w:val="44"/>
                        </w:rPr>
                      </w:pPr>
                      <w:r w:rsidRPr="00DA65FC">
                        <w:rPr>
                          <w:sz w:val="44"/>
                          <w:szCs w:val="44"/>
                        </w:rPr>
                        <w:t>Terms governing th</w:t>
                      </w:r>
                      <w:r>
                        <w:rPr>
                          <w:sz w:val="44"/>
                          <w:szCs w:val="44"/>
                        </w:rPr>
                        <w:t xml:space="preserve">e provision and receipt of </w:t>
                      </w:r>
                      <w:proofErr w:type="spellStart"/>
                      <w:r>
                        <w:rPr>
                          <w:sz w:val="44"/>
                          <w:szCs w:val="44"/>
                        </w:rPr>
                        <w:t>GPSoC</w:t>
                      </w:r>
                      <w:proofErr w:type="spellEnd"/>
                      <w:r w:rsidRPr="00DA65FC">
                        <w:rPr>
                          <w:sz w:val="44"/>
                          <w:szCs w:val="44"/>
                        </w:rPr>
                        <w:t xml:space="preserve"> services and GP</w:t>
                      </w:r>
                      <w:r>
                        <w:rPr>
                          <w:sz w:val="44"/>
                          <w:szCs w:val="44"/>
                        </w:rPr>
                        <w:t xml:space="preserve"> </w:t>
                      </w:r>
                      <w:r w:rsidRPr="00DA65FC">
                        <w:rPr>
                          <w:sz w:val="44"/>
                          <w:szCs w:val="44"/>
                        </w:rPr>
                        <w:t>IT services</w:t>
                      </w:r>
                    </w:p>
                  </w:txbxContent>
                </v:textbox>
                <w10:wrap type="through" anchorx="page" anchory="page"/>
              </v:shape>
            </w:pict>
          </mc:Fallback>
        </mc:AlternateContent>
      </w:r>
    </w:p>
    <w:p w14:paraId="7344384C" w14:textId="55B13124" w:rsidR="00CF4CD5" w:rsidRDefault="00967AE8" w:rsidP="00BF4DE0">
      <w:pPr>
        <w:rPr>
          <w:i/>
        </w:rPr>
      </w:pPr>
      <w:r w:rsidRPr="0047746F">
        <w:rPr>
          <w:noProof/>
          <w:lang w:eastAsia="en-GB"/>
        </w:rPr>
        <w:lastRenderedPageBreak/>
        <w:drawing>
          <wp:inline distT="0" distB="0" distL="0" distR="0" wp14:anchorId="61C1AA18" wp14:editId="52367B2B">
            <wp:extent cx="5731510" cy="8613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8613310"/>
                    </a:xfrm>
                    <a:prstGeom prst="rect">
                      <a:avLst/>
                    </a:prstGeom>
                    <a:noFill/>
                    <a:ln>
                      <a:noFill/>
                    </a:ln>
                  </pic:spPr>
                </pic:pic>
              </a:graphicData>
            </a:graphic>
          </wp:inline>
        </w:drawing>
      </w:r>
    </w:p>
    <w:p w14:paraId="17426EED" w14:textId="22E61080" w:rsidR="00CF4CD5" w:rsidRDefault="00CF4CD5">
      <w:bookmarkStart w:id="4" w:name="_MacBuGuideStaticData_10810H"/>
      <w:bookmarkStart w:id="5" w:name="_MacBuGuideStaticData_3861H"/>
      <w:bookmarkEnd w:id="0"/>
      <w:bookmarkEnd w:id="1"/>
      <w:bookmarkEnd w:id="2"/>
      <w:bookmarkEnd w:id="3"/>
    </w:p>
    <w:p w14:paraId="24CF82E3" w14:textId="77777777" w:rsidR="00713AEE" w:rsidRDefault="00713AEE">
      <w:pPr>
        <w:rPr>
          <w:b/>
          <w:i/>
          <w:color w:val="0072C6" w:themeColor="accent1"/>
        </w:rPr>
      </w:pPr>
      <w:bookmarkStart w:id="6" w:name="_GoBack"/>
      <w:bookmarkEnd w:id="6"/>
    </w:p>
    <w:p w14:paraId="7344385F" w14:textId="6AA62B2C" w:rsidR="00BF4DE0" w:rsidRPr="00AD18FA" w:rsidRDefault="00DA65FC" w:rsidP="00E52ACB">
      <w:pPr>
        <w:rPr>
          <w:b/>
          <w:sz w:val="32"/>
          <w:szCs w:val="32"/>
        </w:rPr>
      </w:pPr>
      <w:r>
        <w:rPr>
          <w:b/>
          <w:sz w:val="32"/>
          <w:szCs w:val="32"/>
        </w:rPr>
        <w:t>CCG practice agreement</w:t>
      </w:r>
    </w:p>
    <w:p w14:paraId="73443860" w14:textId="77777777" w:rsidR="00BF4DE0" w:rsidRPr="00AD18FA" w:rsidRDefault="00BF4DE0" w:rsidP="00821E02"/>
    <w:p w14:paraId="73443862" w14:textId="255FF8D4" w:rsidR="00BF4DE0" w:rsidRDefault="00DA65FC" w:rsidP="00BF4DE0">
      <w:pPr>
        <w:rPr>
          <w:b/>
          <w:sz w:val="28"/>
          <w:szCs w:val="28"/>
        </w:rPr>
      </w:pPr>
      <w:r w:rsidRPr="00DA65FC">
        <w:rPr>
          <w:b/>
          <w:sz w:val="28"/>
          <w:szCs w:val="28"/>
        </w:rPr>
        <w:t>Terms governing th</w:t>
      </w:r>
      <w:r w:rsidR="00AA232D">
        <w:rPr>
          <w:b/>
          <w:sz w:val="28"/>
          <w:szCs w:val="28"/>
        </w:rPr>
        <w:t xml:space="preserve">e provision and receipt of </w:t>
      </w:r>
      <w:proofErr w:type="spellStart"/>
      <w:r w:rsidR="00AA232D">
        <w:rPr>
          <w:b/>
          <w:sz w:val="28"/>
          <w:szCs w:val="28"/>
        </w:rPr>
        <w:t>GPSoC</w:t>
      </w:r>
      <w:proofErr w:type="spellEnd"/>
      <w:r w:rsidRPr="00DA65FC">
        <w:rPr>
          <w:b/>
          <w:sz w:val="28"/>
          <w:szCs w:val="28"/>
        </w:rPr>
        <w:t xml:space="preserve"> services and GP</w:t>
      </w:r>
      <w:r w:rsidR="00AA232D">
        <w:rPr>
          <w:b/>
          <w:sz w:val="28"/>
          <w:szCs w:val="28"/>
        </w:rPr>
        <w:t xml:space="preserve"> </w:t>
      </w:r>
      <w:r w:rsidRPr="00DA65FC">
        <w:rPr>
          <w:b/>
          <w:sz w:val="28"/>
          <w:szCs w:val="28"/>
        </w:rPr>
        <w:t>IT services</w:t>
      </w:r>
    </w:p>
    <w:p w14:paraId="60331B63" w14:textId="77777777" w:rsidR="00DA65FC" w:rsidRDefault="00DA65FC" w:rsidP="00BF4DE0"/>
    <w:p w14:paraId="73443863" w14:textId="23AE7D02" w:rsidR="00AD18FA" w:rsidRDefault="00AD18FA" w:rsidP="00E72C89">
      <w:r>
        <w:t>Version number:</w:t>
      </w:r>
      <w:r w:rsidR="00DA65FC">
        <w:t xml:space="preserve"> 01</w:t>
      </w:r>
    </w:p>
    <w:p w14:paraId="73443864" w14:textId="77777777" w:rsidR="00AD18FA" w:rsidRDefault="00AD18FA" w:rsidP="00E72C89"/>
    <w:p w14:paraId="73443865" w14:textId="2B748399" w:rsidR="00023944" w:rsidRDefault="00023944" w:rsidP="00E72C89">
      <w:r>
        <w:t>First published:</w:t>
      </w:r>
      <w:r w:rsidR="00DA65FC">
        <w:t xml:space="preserve"> </w:t>
      </w:r>
      <w:r w:rsidR="00967AE8">
        <w:t xml:space="preserve">March </w:t>
      </w:r>
      <w:r w:rsidR="00DA65FC">
        <w:t>2015</w:t>
      </w:r>
    </w:p>
    <w:p w14:paraId="73443868" w14:textId="77777777" w:rsidR="00023944" w:rsidRDefault="00023944" w:rsidP="00E72C89"/>
    <w:p w14:paraId="73443869" w14:textId="384920D5" w:rsidR="00023944" w:rsidRDefault="00023944" w:rsidP="00E72C89">
      <w:r>
        <w:t>Prepared by:</w:t>
      </w:r>
      <w:r w:rsidR="00DA65FC">
        <w:t xml:space="preserve"> Patients and Information Directorate, NHS England</w:t>
      </w:r>
    </w:p>
    <w:p w14:paraId="687D65F7" w14:textId="77777777" w:rsidR="00DA65FC" w:rsidRDefault="00DA65FC" w:rsidP="009E6CE1">
      <w:pPr>
        <w:rPr>
          <w:b/>
          <w:i/>
          <w:color w:val="0072C6" w:themeColor="accent1"/>
        </w:rPr>
      </w:pPr>
    </w:p>
    <w:p w14:paraId="7344386B" w14:textId="77777777" w:rsidR="009E6CE1" w:rsidRPr="009E6CE1" w:rsidRDefault="009E6CE1" w:rsidP="009E6CE1">
      <w:pPr>
        <w:rPr>
          <w:rFonts w:eastAsia="Calibri" w:cs="Arial"/>
          <w:bCs w:val="0"/>
          <w:color w:val="242424"/>
          <w:szCs w:val="24"/>
          <w:lang w:val="en-US"/>
        </w:rPr>
      </w:pPr>
      <w:r w:rsidRPr="009E6CE1">
        <w:rPr>
          <w:rFonts w:eastAsia="Calibri" w:cs="Arial"/>
          <w:bCs w:val="0"/>
          <w:color w:val="242424"/>
          <w:sz w:val="22"/>
          <w:szCs w:val="22"/>
          <w:lang w:val="en-US"/>
        </w:rPr>
        <w:t>The NHS Commissioning Board (NHS CB) was established on 1 October 2012 as an executive non-departmental public body. Since 1 April 2013, the NHS Commissioning Board has used the name NHS England for operational purposes</w:t>
      </w:r>
      <w:r>
        <w:rPr>
          <w:rFonts w:eastAsia="Calibri" w:cs="Arial"/>
          <w:bCs w:val="0"/>
          <w:color w:val="242424"/>
          <w:szCs w:val="24"/>
          <w:lang w:val="en-US"/>
        </w:rPr>
        <w:t>.</w:t>
      </w:r>
    </w:p>
    <w:p w14:paraId="2859F6FA" w14:textId="77777777" w:rsidR="00DA65FC" w:rsidRDefault="00BF4DE0" w:rsidP="00DA65FC">
      <w:pPr>
        <w:jc w:val="center"/>
      </w:pPr>
      <w:r>
        <w:br w:type="page"/>
      </w:r>
    </w:p>
    <w:p w14:paraId="6DD99ECD" w14:textId="77777777" w:rsidR="00AA232D" w:rsidRDefault="00AA232D" w:rsidP="00DA65FC">
      <w:pPr>
        <w:jc w:val="center"/>
      </w:pPr>
    </w:p>
    <w:p w14:paraId="50AE0ABE" w14:textId="77777777" w:rsidR="00AA232D" w:rsidRDefault="00AA232D" w:rsidP="00DA65FC">
      <w:pPr>
        <w:jc w:val="center"/>
      </w:pPr>
    </w:p>
    <w:p w14:paraId="3FDF06FF" w14:textId="77777777" w:rsidR="00AA232D" w:rsidRDefault="00AA232D" w:rsidP="00DA65FC">
      <w:pPr>
        <w:jc w:val="center"/>
      </w:pPr>
    </w:p>
    <w:p w14:paraId="6A1C34A8" w14:textId="77777777" w:rsidR="00AA232D" w:rsidRDefault="00AA232D" w:rsidP="00DA65FC">
      <w:pPr>
        <w:jc w:val="center"/>
      </w:pPr>
    </w:p>
    <w:p w14:paraId="571D10EF" w14:textId="77777777" w:rsidR="00AA232D" w:rsidRDefault="00AA232D" w:rsidP="00DA65FC">
      <w:pPr>
        <w:jc w:val="center"/>
      </w:pPr>
    </w:p>
    <w:p w14:paraId="111F7CFD" w14:textId="77777777" w:rsidR="00AA232D" w:rsidRDefault="00AA232D" w:rsidP="00DA65FC">
      <w:pPr>
        <w:jc w:val="center"/>
      </w:pPr>
    </w:p>
    <w:p w14:paraId="000AB96D" w14:textId="77777777" w:rsidR="00AA232D" w:rsidRDefault="00AA232D" w:rsidP="00DA65FC">
      <w:pPr>
        <w:jc w:val="center"/>
      </w:pPr>
    </w:p>
    <w:p w14:paraId="367830F6" w14:textId="77777777" w:rsidR="00AA232D" w:rsidRDefault="00AA232D" w:rsidP="00DA65FC">
      <w:pPr>
        <w:jc w:val="center"/>
      </w:pPr>
    </w:p>
    <w:p w14:paraId="3BFB2735" w14:textId="77777777" w:rsidR="00AA232D" w:rsidRDefault="00AA232D" w:rsidP="00DA65FC">
      <w:pPr>
        <w:jc w:val="center"/>
      </w:pPr>
    </w:p>
    <w:p w14:paraId="0EC65ADF" w14:textId="1E64A093" w:rsidR="00DA65FC" w:rsidRPr="00AA232D" w:rsidRDefault="00DA65FC" w:rsidP="00DA65FC">
      <w:pPr>
        <w:jc w:val="center"/>
        <w:rPr>
          <w:b/>
        </w:rPr>
      </w:pPr>
      <w:r w:rsidRPr="00AA232D">
        <w:rPr>
          <w:b/>
        </w:rPr>
        <w:t>DATED</w:t>
      </w:r>
      <w:r w:rsidRPr="00AA232D">
        <w:rPr>
          <w:b/>
        </w:rPr>
        <w:tab/>
        <w:t>201[ ]</w:t>
      </w:r>
    </w:p>
    <w:p w14:paraId="6A98D7AE" w14:textId="77777777" w:rsidR="00DA65FC" w:rsidRPr="00AA232D" w:rsidRDefault="00DA65FC" w:rsidP="00DA65FC">
      <w:pPr>
        <w:jc w:val="center"/>
        <w:rPr>
          <w:b/>
        </w:rPr>
      </w:pPr>
    </w:p>
    <w:p w14:paraId="049710AC" w14:textId="77777777" w:rsidR="00DA65FC" w:rsidRPr="00AA232D" w:rsidRDefault="00DA65FC" w:rsidP="00DA65FC">
      <w:pPr>
        <w:jc w:val="center"/>
        <w:rPr>
          <w:b/>
        </w:rPr>
      </w:pPr>
    </w:p>
    <w:p w14:paraId="32673D86" w14:textId="77777777" w:rsidR="00DA65FC" w:rsidRPr="00AA232D" w:rsidRDefault="00DA65FC" w:rsidP="00DA65FC">
      <w:pPr>
        <w:jc w:val="center"/>
        <w:rPr>
          <w:b/>
        </w:rPr>
      </w:pPr>
    </w:p>
    <w:p w14:paraId="3DB00982" w14:textId="77777777" w:rsidR="00DA65FC" w:rsidRPr="00AA232D" w:rsidRDefault="00DA65FC" w:rsidP="00DA65FC">
      <w:pPr>
        <w:jc w:val="center"/>
        <w:rPr>
          <w:b/>
        </w:rPr>
      </w:pPr>
    </w:p>
    <w:p w14:paraId="2569932D" w14:textId="77777777" w:rsidR="00DA65FC" w:rsidRPr="00AA232D" w:rsidRDefault="00DA65FC" w:rsidP="00DA65FC">
      <w:pPr>
        <w:jc w:val="center"/>
        <w:rPr>
          <w:b/>
        </w:rPr>
      </w:pPr>
      <w:r w:rsidRPr="00AA232D">
        <w:rPr>
          <w:b/>
        </w:rPr>
        <w:t>(1) [Clinical Commissioning Group]</w:t>
      </w:r>
    </w:p>
    <w:p w14:paraId="5E3FDBBE" w14:textId="77777777" w:rsidR="00DA65FC" w:rsidRPr="00AA232D" w:rsidRDefault="00DA65FC" w:rsidP="00DA65FC">
      <w:pPr>
        <w:jc w:val="center"/>
        <w:rPr>
          <w:b/>
        </w:rPr>
      </w:pPr>
    </w:p>
    <w:p w14:paraId="52DE0348" w14:textId="77777777" w:rsidR="00DA65FC" w:rsidRPr="00AA232D" w:rsidRDefault="00DA65FC" w:rsidP="00DA65FC">
      <w:pPr>
        <w:jc w:val="center"/>
        <w:rPr>
          <w:b/>
        </w:rPr>
      </w:pPr>
      <w:r w:rsidRPr="00AA232D">
        <w:rPr>
          <w:b/>
        </w:rPr>
        <w:t xml:space="preserve">- </w:t>
      </w:r>
      <w:proofErr w:type="gramStart"/>
      <w:r w:rsidRPr="00AA232D">
        <w:rPr>
          <w:b/>
        </w:rPr>
        <w:t>and</w:t>
      </w:r>
      <w:proofErr w:type="gramEnd"/>
      <w:r w:rsidRPr="00AA232D">
        <w:rPr>
          <w:b/>
        </w:rPr>
        <w:t xml:space="preserve"> -</w:t>
      </w:r>
    </w:p>
    <w:p w14:paraId="2A30B348" w14:textId="77777777" w:rsidR="00DA65FC" w:rsidRPr="00AA232D" w:rsidRDefault="00DA65FC" w:rsidP="00DA65FC">
      <w:pPr>
        <w:jc w:val="center"/>
        <w:rPr>
          <w:b/>
        </w:rPr>
      </w:pPr>
    </w:p>
    <w:p w14:paraId="295A87A1" w14:textId="77777777" w:rsidR="00DA65FC" w:rsidRPr="00AA232D" w:rsidRDefault="00DA65FC" w:rsidP="00DA65FC">
      <w:pPr>
        <w:jc w:val="center"/>
        <w:rPr>
          <w:b/>
        </w:rPr>
      </w:pPr>
      <w:r w:rsidRPr="00AA232D">
        <w:rPr>
          <w:b/>
        </w:rPr>
        <w:t>(2) [PRACTICE]</w:t>
      </w:r>
    </w:p>
    <w:p w14:paraId="1112075B" w14:textId="77777777" w:rsidR="00DA65FC" w:rsidRPr="00AA232D" w:rsidRDefault="00DA65FC" w:rsidP="00DA65FC">
      <w:pPr>
        <w:jc w:val="center"/>
        <w:rPr>
          <w:b/>
        </w:rPr>
      </w:pPr>
    </w:p>
    <w:p w14:paraId="7BB0D5B1" w14:textId="77777777" w:rsidR="00DA65FC" w:rsidRPr="00AA232D" w:rsidRDefault="00DA65FC" w:rsidP="00DA65FC">
      <w:pPr>
        <w:jc w:val="center"/>
        <w:rPr>
          <w:b/>
        </w:rPr>
      </w:pPr>
    </w:p>
    <w:p w14:paraId="4A02EAE0" w14:textId="77777777" w:rsidR="00DA65FC" w:rsidRPr="00AA232D" w:rsidRDefault="00DA65FC" w:rsidP="00DA65FC">
      <w:pPr>
        <w:jc w:val="center"/>
        <w:rPr>
          <w:b/>
        </w:rPr>
      </w:pPr>
    </w:p>
    <w:p w14:paraId="6CF96BB7" w14:textId="77777777" w:rsidR="00DA65FC" w:rsidRPr="00AA232D" w:rsidRDefault="00DA65FC" w:rsidP="00DA65FC">
      <w:pPr>
        <w:jc w:val="center"/>
        <w:rPr>
          <w:b/>
        </w:rPr>
      </w:pPr>
    </w:p>
    <w:p w14:paraId="37A62B3D" w14:textId="77777777" w:rsidR="00DA65FC" w:rsidRPr="00AA232D" w:rsidRDefault="00DA65FC" w:rsidP="00DA65FC">
      <w:pPr>
        <w:jc w:val="center"/>
        <w:rPr>
          <w:b/>
        </w:rPr>
      </w:pPr>
    </w:p>
    <w:p w14:paraId="7CD5A264" w14:textId="77777777" w:rsidR="00DA65FC" w:rsidRPr="00AA232D" w:rsidRDefault="00DA65FC" w:rsidP="00DA65FC">
      <w:pPr>
        <w:jc w:val="center"/>
        <w:rPr>
          <w:b/>
        </w:rPr>
      </w:pPr>
    </w:p>
    <w:p w14:paraId="2AC3D15D" w14:textId="67C5BFBF" w:rsidR="00DA65FC" w:rsidRPr="00AA232D" w:rsidRDefault="00DA65FC" w:rsidP="00DA65FC">
      <w:pPr>
        <w:jc w:val="center"/>
        <w:rPr>
          <w:b/>
        </w:rPr>
      </w:pPr>
    </w:p>
    <w:p w14:paraId="35439A27" w14:textId="77777777" w:rsidR="00DA65FC" w:rsidRPr="00AA232D" w:rsidRDefault="00DA65FC" w:rsidP="00DA65FC">
      <w:pPr>
        <w:jc w:val="center"/>
        <w:rPr>
          <w:b/>
        </w:rPr>
      </w:pPr>
      <w:r w:rsidRPr="00AA232D">
        <w:rPr>
          <w:b/>
        </w:rPr>
        <w:t>CCG - PRACTICE AGREEMENT</w:t>
      </w:r>
    </w:p>
    <w:p w14:paraId="62CDBD16" w14:textId="2D0C9020" w:rsidR="00CF4CD5" w:rsidRDefault="00DA65FC" w:rsidP="00CF4CD5">
      <w:pPr>
        <w:jc w:val="center"/>
        <w:rPr>
          <w:b/>
        </w:rPr>
      </w:pPr>
      <w:r w:rsidRPr="00AA232D">
        <w:rPr>
          <w:b/>
        </w:rPr>
        <w:t>TERMS GOVERNING THE PROVISION AND RECEIPT OF GPSOC SERVICES AND GP IT SERVICES</w:t>
      </w:r>
    </w:p>
    <w:p w14:paraId="5601EEA5" w14:textId="77777777" w:rsidR="00CF4CD5" w:rsidRDefault="00CF4CD5">
      <w:pPr>
        <w:rPr>
          <w:b/>
        </w:rPr>
      </w:pPr>
      <w:r>
        <w:rPr>
          <w:b/>
        </w:rPr>
        <w:br w:type="page"/>
      </w:r>
    </w:p>
    <w:sdt>
      <w:sdtPr>
        <w:rPr>
          <w:b/>
        </w:rPr>
        <w:id w:val="1125507802"/>
        <w:docPartObj>
          <w:docPartGallery w:val="Table of Contents"/>
          <w:docPartUnique/>
        </w:docPartObj>
      </w:sdtPr>
      <w:sdtEndPr>
        <w:rPr>
          <w:b w:val="0"/>
          <w:noProof/>
        </w:rPr>
      </w:sdtEndPr>
      <w:sdtContent>
        <w:p w14:paraId="73443872" w14:textId="58E40745" w:rsidR="00237034" w:rsidRPr="00CF4CD5" w:rsidRDefault="00237034" w:rsidP="004B70EB">
          <w:pPr>
            <w:rPr>
              <w:b/>
            </w:rPr>
          </w:pPr>
        </w:p>
        <w:p w14:paraId="3DACB441" w14:textId="77777777" w:rsidR="00B27385" w:rsidRPr="004B70EB" w:rsidRDefault="00237034">
          <w:pPr>
            <w:pStyle w:val="TOC1"/>
            <w:tabs>
              <w:tab w:val="left" w:pos="480"/>
            </w:tabs>
            <w:rPr>
              <w:rFonts w:asciiTheme="minorHAnsi" w:eastAsiaTheme="minorEastAsia" w:hAnsiTheme="minorHAnsi" w:cstheme="minorBidi"/>
              <w:bCs w:val="0"/>
              <w:noProof/>
              <w:sz w:val="20"/>
              <w:szCs w:val="22"/>
              <w:lang w:eastAsia="en-GB"/>
            </w:rPr>
          </w:pPr>
          <w:r>
            <w:fldChar w:fldCharType="begin"/>
          </w:r>
          <w:r>
            <w:instrText xml:space="preserve"> TOC \o "1-3" \h \z \u </w:instrText>
          </w:r>
          <w:r>
            <w:fldChar w:fldCharType="separate"/>
          </w:r>
          <w:hyperlink w:anchor="_Toc414462256" w:history="1">
            <w:r w:rsidR="00B27385" w:rsidRPr="004B70EB">
              <w:rPr>
                <w:rStyle w:val="Hyperlink"/>
                <w:noProof/>
                <w:sz w:val="22"/>
              </w:rPr>
              <w:t>1.</w:t>
            </w:r>
            <w:r w:rsidR="00B27385" w:rsidRPr="004B70EB">
              <w:rPr>
                <w:rFonts w:asciiTheme="minorHAnsi" w:eastAsiaTheme="minorEastAsia" w:hAnsiTheme="minorHAnsi" w:cstheme="minorBidi"/>
                <w:bCs w:val="0"/>
                <w:noProof/>
                <w:sz w:val="20"/>
                <w:szCs w:val="22"/>
                <w:lang w:eastAsia="en-GB"/>
              </w:rPr>
              <w:tab/>
            </w:r>
            <w:r w:rsidR="00B27385" w:rsidRPr="004B70EB">
              <w:rPr>
                <w:rStyle w:val="Hyperlink"/>
                <w:noProof/>
                <w:sz w:val="22"/>
              </w:rPr>
              <w:t>Definitions</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_Toc414462256 \h </w:instrText>
            </w:r>
            <w:r w:rsidR="00B27385" w:rsidRPr="004B70EB">
              <w:rPr>
                <w:noProof/>
                <w:webHidden/>
                <w:sz w:val="22"/>
              </w:rPr>
            </w:r>
            <w:r w:rsidR="00B27385" w:rsidRPr="004B70EB">
              <w:rPr>
                <w:noProof/>
                <w:webHidden/>
                <w:sz w:val="22"/>
              </w:rPr>
              <w:fldChar w:fldCharType="separate"/>
            </w:r>
            <w:r w:rsidR="00E82D77">
              <w:rPr>
                <w:noProof/>
                <w:webHidden/>
                <w:sz w:val="22"/>
              </w:rPr>
              <w:t>1</w:t>
            </w:r>
            <w:r w:rsidR="00B27385" w:rsidRPr="004B70EB">
              <w:rPr>
                <w:noProof/>
                <w:webHidden/>
                <w:sz w:val="22"/>
              </w:rPr>
              <w:fldChar w:fldCharType="end"/>
            </w:r>
          </w:hyperlink>
        </w:p>
        <w:p w14:paraId="258BFA2E" w14:textId="77777777" w:rsidR="00B27385" w:rsidRPr="004B70EB" w:rsidRDefault="004B70EB">
          <w:pPr>
            <w:pStyle w:val="TOC1"/>
            <w:tabs>
              <w:tab w:val="left" w:pos="480"/>
            </w:tabs>
            <w:rPr>
              <w:rFonts w:asciiTheme="minorHAnsi" w:eastAsiaTheme="minorEastAsia" w:hAnsiTheme="minorHAnsi" w:cstheme="minorBidi"/>
              <w:bCs w:val="0"/>
              <w:noProof/>
              <w:sz w:val="20"/>
              <w:szCs w:val="22"/>
              <w:lang w:eastAsia="en-GB"/>
            </w:rPr>
          </w:pPr>
          <w:hyperlink w:anchor="_Toc414462257" w:history="1">
            <w:r w:rsidR="00B27385" w:rsidRPr="004B70EB">
              <w:rPr>
                <w:rStyle w:val="Hyperlink"/>
                <w:noProof/>
                <w:sz w:val="22"/>
              </w:rPr>
              <w:t>2.</w:t>
            </w:r>
            <w:r w:rsidR="00B27385" w:rsidRPr="004B70EB">
              <w:rPr>
                <w:rFonts w:asciiTheme="minorHAnsi" w:eastAsiaTheme="minorEastAsia" w:hAnsiTheme="minorHAnsi" w:cstheme="minorBidi"/>
                <w:bCs w:val="0"/>
                <w:noProof/>
                <w:sz w:val="20"/>
                <w:szCs w:val="22"/>
                <w:lang w:eastAsia="en-GB"/>
              </w:rPr>
              <w:tab/>
            </w:r>
            <w:r w:rsidR="00B27385" w:rsidRPr="004B70EB">
              <w:rPr>
                <w:rStyle w:val="Hyperlink"/>
                <w:noProof/>
                <w:sz w:val="22"/>
              </w:rPr>
              <w:t>Background</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_Toc414462257 \h </w:instrText>
            </w:r>
            <w:r w:rsidR="00B27385" w:rsidRPr="004B70EB">
              <w:rPr>
                <w:noProof/>
                <w:webHidden/>
                <w:sz w:val="22"/>
              </w:rPr>
            </w:r>
            <w:r w:rsidR="00B27385" w:rsidRPr="004B70EB">
              <w:rPr>
                <w:noProof/>
                <w:webHidden/>
                <w:sz w:val="22"/>
              </w:rPr>
              <w:fldChar w:fldCharType="separate"/>
            </w:r>
            <w:r w:rsidR="00E82D77">
              <w:rPr>
                <w:noProof/>
                <w:webHidden/>
                <w:sz w:val="22"/>
              </w:rPr>
              <w:t>4</w:t>
            </w:r>
            <w:r w:rsidR="00B27385" w:rsidRPr="004B70EB">
              <w:rPr>
                <w:noProof/>
                <w:webHidden/>
                <w:sz w:val="22"/>
              </w:rPr>
              <w:fldChar w:fldCharType="end"/>
            </w:r>
          </w:hyperlink>
        </w:p>
        <w:p w14:paraId="06098504" w14:textId="77777777" w:rsidR="00B27385" w:rsidRPr="004B70EB" w:rsidRDefault="004B70EB">
          <w:pPr>
            <w:pStyle w:val="TOC1"/>
            <w:tabs>
              <w:tab w:val="left" w:pos="480"/>
            </w:tabs>
            <w:rPr>
              <w:rFonts w:asciiTheme="minorHAnsi" w:eastAsiaTheme="minorEastAsia" w:hAnsiTheme="minorHAnsi" w:cstheme="minorBidi"/>
              <w:bCs w:val="0"/>
              <w:noProof/>
              <w:sz w:val="20"/>
              <w:szCs w:val="22"/>
              <w:lang w:eastAsia="en-GB"/>
            </w:rPr>
          </w:pPr>
          <w:hyperlink w:anchor="_Toc414462258" w:history="1">
            <w:r w:rsidR="00B27385" w:rsidRPr="004B70EB">
              <w:rPr>
                <w:rStyle w:val="Hyperlink"/>
                <w:noProof/>
                <w:sz w:val="22"/>
              </w:rPr>
              <w:t>3.</w:t>
            </w:r>
            <w:r w:rsidR="00B27385" w:rsidRPr="004B70EB">
              <w:rPr>
                <w:rFonts w:asciiTheme="minorHAnsi" w:eastAsiaTheme="minorEastAsia" w:hAnsiTheme="minorHAnsi" w:cstheme="minorBidi"/>
                <w:bCs w:val="0"/>
                <w:noProof/>
                <w:sz w:val="20"/>
                <w:szCs w:val="22"/>
                <w:lang w:eastAsia="en-GB"/>
              </w:rPr>
              <w:tab/>
            </w:r>
            <w:r w:rsidR="00B27385" w:rsidRPr="004B70EB">
              <w:rPr>
                <w:rStyle w:val="Hyperlink"/>
                <w:noProof/>
                <w:sz w:val="22"/>
              </w:rPr>
              <w:t>Mutual responsibilities of the parties</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_Toc414462258 \h </w:instrText>
            </w:r>
            <w:r w:rsidR="00B27385" w:rsidRPr="004B70EB">
              <w:rPr>
                <w:noProof/>
                <w:webHidden/>
                <w:sz w:val="22"/>
              </w:rPr>
            </w:r>
            <w:r w:rsidR="00B27385" w:rsidRPr="004B70EB">
              <w:rPr>
                <w:noProof/>
                <w:webHidden/>
                <w:sz w:val="22"/>
              </w:rPr>
              <w:fldChar w:fldCharType="separate"/>
            </w:r>
            <w:r w:rsidR="00E82D77">
              <w:rPr>
                <w:noProof/>
                <w:webHidden/>
                <w:sz w:val="22"/>
              </w:rPr>
              <w:t>6</w:t>
            </w:r>
            <w:r w:rsidR="00B27385" w:rsidRPr="004B70EB">
              <w:rPr>
                <w:noProof/>
                <w:webHidden/>
                <w:sz w:val="22"/>
              </w:rPr>
              <w:fldChar w:fldCharType="end"/>
            </w:r>
          </w:hyperlink>
        </w:p>
        <w:p w14:paraId="364096D0"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59" w:history="1">
            <w:r w:rsidR="00B27385" w:rsidRPr="004B70EB">
              <w:rPr>
                <w:rStyle w:val="Hyperlink"/>
                <w:noProof/>
                <w:sz w:val="22"/>
              </w:rPr>
              <w:t>Services</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_Toc414462259 \h </w:instrText>
            </w:r>
            <w:r w:rsidR="00B27385" w:rsidRPr="004B70EB">
              <w:rPr>
                <w:noProof/>
                <w:webHidden/>
                <w:sz w:val="22"/>
              </w:rPr>
            </w:r>
            <w:r w:rsidR="00B27385" w:rsidRPr="004B70EB">
              <w:rPr>
                <w:noProof/>
                <w:webHidden/>
                <w:sz w:val="22"/>
              </w:rPr>
              <w:fldChar w:fldCharType="separate"/>
            </w:r>
            <w:r w:rsidR="00E82D77">
              <w:rPr>
                <w:noProof/>
                <w:webHidden/>
                <w:sz w:val="22"/>
              </w:rPr>
              <w:t>6</w:t>
            </w:r>
            <w:r w:rsidR="00B27385" w:rsidRPr="004B70EB">
              <w:rPr>
                <w:noProof/>
                <w:webHidden/>
                <w:sz w:val="22"/>
              </w:rPr>
              <w:fldChar w:fldCharType="end"/>
            </w:r>
          </w:hyperlink>
        </w:p>
        <w:p w14:paraId="66E6716B"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60" w:history="1">
            <w:r w:rsidR="00B27385" w:rsidRPr="004B70EB">
              <w:rPr>
                <w:rStyle w:val="Hyperlink"/>
                <w:noProof/>
                <w:sz w:val="22"/>
              </w:rPr>
              <w:t>Service Review</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_Toc414462260 \h </w:instrText>
            </w:r>
            <w:r w:rsidR="00B27385" w:rsidRPr="004B70EB">
              <w:rPr>
                <w:noProof/>
                <w:webHidden/>
                <w:sz w:val="22"/>
              </w:rPr>
            </w:r>
            <w:r w:rsidR="00B27385" w:rsidRPr="004B70EB">
              <w:rPr>
                <w:noProof/>
                <w:webHidden/>
                <w:sz w:val="22"/>
              </w:rPr>
              <w:fldChar w:fldCharType="separate"/>
            </w:r>
            <w:r w:rsidR="00E82D77">
              <w:rPr>
                <w:noProof/>
                <w:webHidden/>
                <w:sz w:val="22"/>
              </w:rPr>
              <w:t>7</w:t>
            </w:r>
            <w:r w:rsidR="00B27385" w:rsidRPr="004B70EB">
              <w:rPr>
                <w:noProof/>
                <w:webHidden/>
                <w:sz w:val="22"/>
              </w:rPr>
              <w:fldChar w:fldCharType="end"/>
            </w:r>
          </w:hyperlink>
        </w:p>
        <w:p w14:paraId="3199F721"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61" w:history="1">
            <w:r w:rsidR="00B27385" w:rsidRPr="004B70EB">
              <w:rPr>
                <w:rStyle w:val="Hyperlink"/>
                <w:noProof/>
                <w:sz w:val="22"/>
              </w:rPr>
              <w:t>Choice of Principal Clinical System</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_Toc414462261 \h </w:instrText>
            </w:r>
            <w:r w:rsidR="00B27385" w:rsidRPr="004B70EB">
              <w:rPr>
                <w:noProof/>
                <w:webHidden/>
                <w:sz w:val="22"/>
              </w:rPr>
            </w:r>
            <w:r w:rsidR="00B27385" w:rsidRPr="004B70EB">
              <w:rPr>
                <w:noProof/>
                <w:webHidden/>
                <w:sz w:val="22"/>
              </w:rPr>
              <w:fldChar w:fldCharType="separate"/>
            </w:r>
            <w:r w:rsidR="00E82D77">
              <w:rPr>
                <w:noProof/>
                <w:webHidden/>
                <w:sz w:val="22"/>
              </w:rPr>
              <w:t>7</w:t>
            </w:r>
            <w:r w:rsidR="00B27385" w:rsidRPr="004B70EB">
              <w:rPr>
                <w:noProof/>
                <w:webHidden/>
                <w:sz w:val="22"/>
              </w:rPr>
              <w:fldChar w:fldCharType="end"/>
            </w:r>
          </w:hyperlink>
        </w:p>
        <w:p w14:paraId="7AAA7DFC"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62" w:history="1">
            <w:r w:rsidR="00B27385" w:rsidRPr="004B70EB">
              <w:rPr>
                <w:rStyle w:val="Hyperlink"/>
                <w:noProof/>
                <w:sz w:val="22"/>
              </w:rPr>
              <w:t>Selection of GPSoC Services</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_Toc414462262 \h </w:instrText>
            </w:r>
            <w:r w:rsidR="00B27385" w:rsidRPr="004B70EB">
              <w:rPr>
                <w:noProof/>
                <w:webHidden/>
                <w:sz w:val="22"/>
              </w:rPr>
            </w:r>
            <w:r w:rsidR="00B27385" w:rsidRPr="004B70EB">
              <w:rPr>
                <w:noProof/>
                <w:webHidden/>
                <w:sz w:val="22"/>
              </w:rPr>
              <w:fldChar w:fldCharType="separate"/>
            </w:r>
            <w:r w:rsidR="00E82D77">
              <w:rPr>
                <w:noProof/>
                <w:webHidden/>
                <w:sz w:val="22"/>
              </w:rPr>
              <w:t>8</w:t>
            </w:r>
            <w:r w:rsidR="00B27385" w:rsidRPr="004B70EB">
              <w:rPr>
                <w:noProof/>
                <w:webHidden/>
                <w:sz w:val="22"/>
              </w:rPr>
              <w:fldChar w:fldCharType="end"/>
            </w:r>
          </w:hyperlink>
        </w:p>
        <w:p w14:paraId="79B013F2"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63" w:history="1">
            <w:r w:rsidR="00B27385" w:rsidRPr="004B70EB">
              <w:rPr>
                <w:rStyle w:val="Hyperlink"/>
                <w:noProof/>
                <w:sz w:val="22"/>
              </w:rPr>
              <w:t>Business Continuity and Disaster Recovery</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_Toc414462263 \h </w:instrText>
            </w:r>
            <w:r w:rsidR="00B27385" w:rsidRPr="004B70EB">
              <w:rPr>
                <w:noProof/>
                <w:webHidden/>
                <w:sz w:val="22"/>
              </w:rPr>
            </w:r>
            <w:r w:rsidR="00B27385" w:rsidRPr="004B70EB">
              <w:rPr>
                <w:noProof/>
                <w:webHidden/>
                <w:sz w:val="22"/>
              </w:rPr>
              <w:fldChar w:fldCharType="separate"/>
            </w:r>
            <w:r w:rsidR="00E82D77">
              <w:rPr>
                <w:noProof/>
                <w:webHidden/>
                <w:sz w:val="22"/>
              </w:rPr>
              <w:t>8</w:t>
            </w:r>
            <w:r w:rsidR="00B27385" w:rsidRPr="004B70EB">
              <w:rPr>
                <w:noProof/>
                <w:webHidden/>
                <w:sz w:val="22"/>
              </w:rPr>
              <w:fldChar w:fldCharType="end"/>
            </w:r>
          </w:hyperlink>
        </w:p>
        <w:p w14:paraId="72FA1E3A"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64" w:history="1">
            <w:r w:rsidR="00B27385" w:rsidRPr="004B70EB">
              <w:rPr>
                <w:rStyle w:val="Hyperlink"/>
                <w:noProof/>
                <w:sz w:val="22"/>
              </w:rPr>
              <w:t>Confidentiality</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_Toc414462264 \h </w:instrText>
            </w:r>
            <w:r w:rsidR="00B27385" w:rsidRPr="004B70EB">
              <w:rPr>
                <w:noProof/>
                <w:webHidden/>
                <w:sz w:val="22"/>
              </w:rPr>
            </w:r>
            <w:r w:rsidR="00B27385" w:rsidRPr="004B70EB">
              <w:rPr>
                <w:noProof/>
                <w:webHidden/>
                <w:sz w:val="22"/>
              </w:rPr>
              <w:fldChar w:fldCharType="separate"/>
            </w:r>
            <w:r w:rsidR="00E82D77">
              <w:rPr>
                <w:noProof/>
                <w:webHidden/>
                <w:sz w:val="22"/>
              </w:rPr>
              <w:t>9</w:t>
            </w:r>
            <w:r w:rsidR="00B27385" w:rsidRPr="004B70EB">
              <w:rPr>
                <w:noProof/>
                <w:webHidden/>
                <w:sz w:val="22"/>
              </w:rPr>
              <w:fldChar w:fldCharType="end"/>
            </w:r>
          </w:hyperlink>
        </w:p>
        <w:p w14:paraId="006685E5"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65" w:history="1">
            <w:r w:rsidR="00B27385" w:rsidRPr="004B70EB">
              <w:rPr>
                <w:rStyle w:val="Hyperlink"/>
                <w:noProof/>
                <w:sz w:val="22"/>
              </w:rPr>
              <w:t>Data Protection</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_Toc414462265 \h </w:instrText>
            </w:r>
            <w:r w:rsidR="00B27385" w:rsidRPr="004B70EB">
              <w:rPr>
                <w:noProof/>
                <w:webHidden/>
                <w:sz w:val="22"/>
              </w:rPr>
            </w:r>
            <w:r w:rsidR="00B27385" w:rsidRPr="004B70EB">
              <w:rPr>
                <w:noProof/>
                <w:webHidden/>
                <w:sz w:val="22"/>
              </w:rPr>
              <w:fldChar w:fldCharType="separate"/>
            </w:r>
            <w:r w:rsidR="00E82D77">
              <w:rPr>
                <w:noProof/>
                <w:webHidden/>
                <w:sz w:val="22"/>
              </w:rPr>
              <w:t>9</w:t>
            </w:r>
            <w:r w:rsidR="00B27385" w:rsidRPr="004B70EB">
              <w:rPr>
                <w:noProof/>
                <w:webHidden/>
                <w:sz w:val="22"/>
              </w:rPr>
              <w:fldChar w:fldCharType="end"/>
            </w:r>
          </w:hyperlink>
        </w:p>
        <w:p w14:paraId="782B482D"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66" w:history="1">
            <w:r w:rsidR="00B27385" w:rsidRPr="004B70EB">
              <w:rPr>
                <w:rStyle w:val="Hyperlink"/>
                <w:noProof/>
                <w:sz w:val="22"/>
              </w:rPr>
              <w:t>Training</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_Toc414462266 \h </w:instrText>
            </w:r>
            <w:r w:rsidR="00B27385" w:rsidRPr="004B70EB">
              <w:rPr>
                <w:noProof/>
                <w:webHidden/>
                <w:sz w:val="22"/>
              </w:rPr>
            </w:r>
            <w:r w:rsidR="00B27385" w:rsidRPr="004B70EB">
              <w:rPr>
                <w:noProof/>
                <w:webHidden/>
                <w:sz w:val="22"/>
              </w:rPr>
              <w:fldChar w:fldCharType="separate"/>
            </w:r>
            <w:r w:rsidR="00E82D77">
              <w:rPr>
                <w:noProof/>
                <w:webHidden/>
                <w:sz w:val="22"/>
              </w:rPr>
              <w:t>9</w:t>
            </w:r>
            <w:r w:rsidR="00B27385" w:rsidRPr="004B70EB">
              <w:rPr>
                <w:noProof/>
                <w:webHidden/>
                <w:sz w:val="22"/>
              </w:rPr>
              <w:fldChar w:fldCharType="end"/>
            </w:r>
          </w:hyperlink>
        </w:p>
        <w:p w14:paraId="2F7CEA13" w14:textId="77777777" w:rsidR="00B27385" w:rsidRPr="004B70EB" w:rsidRDefault="004B70EB">
          <w:pPr>
            <w:pStyle w:val="TOC1"/>
            <w:tabs>
              <w:tab w:val="left" w:pos="480"/>
            </w:tabs>
            <w:rPr>
              <w:rFonts w:asciiTheme="minorHAnsi" w:eastAsiaTheme="minorEastAsia" w:hAnsiTheme="minorHAnsi" w:cstheme="minorBidi"/>
              <w:bCs w:val="0"/>
              <w:noProof/>
              <w:sz w:val="20"/>
              <w:szCs w:val="22"/>
              <w:lang w:eastAsia="en-GB"/>
            </w:rPr>
          </w:pPr>
          <w:hyperlink w:anchor="_Toc414462267" w:history="1">
            <w:r w:rsidR="00B27385" w:rsidRPr="004B70EB">
              <w:rPr>
                <w:rStyle w:val="Hyperlink"/>
                <w:noProof/>
                <w:sz w:val="22"/>
              </w:rPr>
              <w:t>4.</w:t>
            </w:r>
            <w:r w:rsidR="00B27385" w:rsidRPr="004B70EB">
              <w:rPr>
                <w:rFonts w:asciiTheme="minorHAnsi" w:eastAsiaTheme="minorEastAsia" w:hAnsiTheme="minorHAnsi" w:cstheme="minorBidi"/>
                <w:bCs w:val="0"/>
                <w:noProof/>
                <w:sz w:val="20"/>
                <w:szCs w:val="22"/>
                <w:lang w:eastAsia="en-GB"/>
              </w:rPr>
              <w:tab/>
            </w:r>
            <w:r w:rsidR="00B27385" w:rsidRPr="004B70EB">
              <w:rPr>
                <w:rStyle w:val="Hyperlink"/>
                <w:noProof/>
                <w:sz w:val="22"/>
              </w:rPr>
              <w:t>CCG responsibilities</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_Toc414462267 \h </w:instrText>
            </w:r>
            <w:r w:rsidR="00B27385" w:rsidRPr="004B70EB">
              <w:rPr>
                <w:noProof/>
                <w:webHidden/>
                <w:sz w:val="22"/>
              </w:rPr>
            </w:r>
            <w:r w:rsidR="00B27385" w:rsidRPr="004B70EB">
              <w:rPr>
                <w:noProof/>
                <w:webHidden/>
                <w:sz w:val="22"/>
              </w:rPr>
              <w:fldChar w:fldCharType="separate"/>
            </w:r>
            <w:r w:rsidR="00E82D77">
              <w:rPr>
                <w:noProof/>
                <w:webHidden/>
                <w:sz w:val="22"/>
              </w:rPr>
              <w:t>11</w:t>
            </w:r>
            <w:r w:rsidR="00B27385" w:rsidRPr="004B70EB">
              <w:rPr>
                <w:noProof/>
                <w:webHidden/>
                <w:sz w:val="22"/>
              </w:rPr>
              <w:fldChar w:fldCharType="end"/>
            </w:r>
          </w:hyperlink>
        </w:p>
        <w:p w14:paraId="662CA933"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68" w:history="1">
            <w:r w:rsidR="00B27385" w:rsidRPr="004B70EB">
              <w:rPr>
                <w:rStyle w:val="Hyperlink"/>
                <w:noProof/>
                <w:sz w:val="22"/>
              </w:rPr>
              <w:t>General</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_Toc414462268 \h </w:instrText>
            </w:r>
            <w:r w:rsidR="00B27385" w:rsidRPr="004B70EB">
              <w:rPr>
                <w:noProof/>
                <w:webHidden/>
                <w:sz w:val="22"/>
              </w:rPr>
            </w:r>
            <w:r w:rsidR="00B27385" w:rsidRPr="004B70EB">
              <w:rPr>
                <w:noProof/>
                <w:webHidden/>
                <w:sz w:val="22"/>
              </w:rPr>
              <w:fldChar w:fldCharType="separate"/>
            </w:r>
            <w:r w:rsidR="00E82D77">
              <w:rPr>
                <w:noProof/>
                <w:webHidden/>
                <w:sz w:val="22"/>
              </w:rPr>
              <w:t>11</w:t>
            </w:r>
            <w:r w:rsidR="00B27385" w:rsidRPr="004B70EB">
              <w:rPr>
                <w:noProof/>
                <w:webHidden/>
                <w:sz w:val="22"/>
              </w:rPr>
              <w:fldChar w:fldCharType="end"/>
            </w:r>
          </w:hyperlink>
        </w:p>
        <w:p w14:paraId="5A64029C"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69" w:history="1">
            <w:r w:rsidR="00B27385" w:rsidRPr="004B70EB">
              <w:rPr>
                <w:rStyle w:val="Hyperlink"/>
                <w:noProof/>
                <w:sz w:val="22"/>
              </w:rPr>
              <w:t>Software and IT Infrastructure</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_Toc414462269 \h </w:instrText>
            </w:r>
            <w:r w:rsidR="00B27385" w:rsidRPr="004B70EB">
              <w:rPr>
                <w:noProof/>
                <w:webHidden/>
                <w:sz w:val="22"/>
              </w:rPr>
            </w:r>
            <w:r w:rsidR="00B27385" w:rsidRPr="004B70EB">
              <w:rPr>
                <w:noProof/>
                <w:webHidden/>
                <w:sz w:val="22"/>
              </w:rPr>
              <w:fldChar w:fldCharType="separate"/>
            </w:r>
            <w:r w:rsidR="00E82D77">
              <w:rPr>
                <w:noProof/>
                <w:webHidden/>
                <w:sz w:val="22"/>
              </w:rPr>
              <w:t>11</w:t>
            </w:r>
            <w:r w:rsidR="00B27385" w:rsidRPr="004B70EB">
              <w:rPr>
                <w:noProof/>
                <w:webHidden/>
                <w:sz w:val="22"/>
              </w:rPr>
              <w:fldChar w:fldCharType="end"/>
            </w:r>
          </w:hyperlink>
        </w:p>
        <w:p w14:paraId="49C508E4"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70" w:history="1">
            <w:r w:rsidR="00B27385" w:rsidRPr="004B70EB">
              <w:rPr>
                <w:rStyle w:val="Hyperlink"/>
                <w:noProof/>
                <w:sz w:val="22"/>
              </w:rPr>
              <w:t>Support &amp; Maintenance Service Levels</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_Toc414462270 \h </w:instrText>
            </w:r>
            <w:r w:rsidR="00B27385" w:rsidRPr="004B70EB">
              <w:rPr>
                <w:noProof/>
                <w:webHidden/>
                <w:sz w:val="22"/>
              </w:rPr>
            </w:r>
            <w:r w:rsidR="00B27385" w:rsidRPr="004B70EB">
              <w:rPr>
                <w:noProof/>
                <w:webHidden/>
                <w:sz w:val="22"/>
              </w:rPr>
              <w:fldChar w:fldCharType="separate"/>
            </w:r>
            <w:r w:rsidR="00E82D77">
              <w:rPr>
                <w:noProof/>
                <w:webHidden/>
                <w:sz w:val="22"/>
              </w:rPr>
              <w:t>11</w:t>
            </w:r>
            <w:r w:rsidR="00B27385" w:rsidRPr="004B70EB">
              <w:rPr>
                <w:noProof/>
                <w:webHidden/>
                <w:sz w:val="22"/>
              </w:rPr>
              <w:fldChar w:fldCharType="end"/>
            </w:r>
          </w:hyperlink>
        </w:p>
        <w:p w14:paraId="26F2F416"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71" w:history="1">
            <w:r w:rsidR="00B27385" w:rsidRPr="004B70EB">
              <w:rPr>
                <w:rStyle w:val="Hyperlink"/>
                <w:noProof/>
                <w:sz w:val="22"/>
              </w:rPr>
              <w:t>System Upgrade and System Migration</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_Toc414462271 \h </w:instrText>
            </w:r>
            <w:r w:rsidR="00B27385" w:rsidRPr="004B70EB">
              <w:rPr>
                <w:noProof/>
                <w:webHidden/>
                <w:sz w:val="22"/>
              </w:rPr>
            </w:r>
            <w:r w:rsidR="00B27385" w:rsidRPr="004B70EB">
              <w:rPr>
                <w:noProof/>
                <w:webHidden/>
                <w:sz w:val="22"/>
              </w:rPr>
              <w:fldChar w:fldCharType="separate"/>
            </w:r>
            <w:r w:rsidR="00E82D77">
              <w:rPr>
                <w:noProof/>
                <w:webHidden/>
                <w:sz w:val="22"/>
              </w:rPr>
              <w:t>11</w:t>
            </w:r>
            <w:r w:rsidR="00B27385" w:rsidRPr="004B70EB">
              <w:rPr>
                <w:noProof/>
                <w:webHidden/>
                <w:sz w:val="22"/>
              </w:rPr>
              <w:fldChar w:fldCharType="end"/>
            </w:r>
          </w:hyperlink>
        </w:p>
        <w:p w14:paraId="518AC0FD"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72" w:history="1">
            <w:r w:rsidR="00B27385" w:rsidRPr="004B70EB">
              <w:rPr>
                <w:rStyle w:val="Hyperlink"/>
                <w:noProof/>
                <w:sz w:val="22"/>
              </w:rPr>
              <w:t>Delegated Responsibility for Delivery of the Services</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_Toc414462272 \h </w:instrText>
            </w:r>
            <w:r w:rsidR="00B27385" w:rsidRPr="004B70EB">
              <w:rPr>
                <w:noProof/>
                <w:webHidden/>
                <w:sz w:val="22"/>
              </w:rPr>
            </w:r>
            <w:r w:rsidR="00B27385" w:rsidRPr="004B70EB">
              <w:rPr>
                <w:noProof/>
                <w:webHidden/>
                <w:sz w:val="22"/>
              </w:rPr>
              <w:fldChar w:fldCharType="separate"/>
            </w:r>
            <w:r w:rsidR="00E82D77">
              <w:rPr>
                <w:noProof/>
                <w:webHidden/>
                <w:sz w:val="22"/>
              </w:rPr>
              <w:t>12</w:t>
            </w:r>
            <w:r w:rsidR="00B27385" w:rsidRPr="004B70EB">
              <w:rPr>
                <w:noProof/>
                <w:webHidden/>
                <w:sz w:val="22"/>
              </w:rPr>
              <w:fldChar w:fldCharType="end"/>
            </w:r>
          </w:hyperlink>
        </w:p>
        <w:p w14:paraId="531A914F" w14:textId="77777777" w:rsidR="00B27385" w:rsidRPr="004B70EB" w:rsidRDefault="004B70EB">
          <w:pPr>
            <w:pStyle w:val="TOC1"/>
            <w:tabs>
              <w:tab w:val="left" w:pos="480"/>
            </w:tabs>
            <w:rPr>
              <w:rFonts w:asciiTheme="minorHAnsi" w:eastAsiaTheme="minorEastAsia" w:hAnsiTheme="minorHAnsi" w:cstheme="minorBidi"/>
              <w:bCs w:val="0"/>
              <w:noProof/>
              <w:sz w:val="20"/>
              <w:szCs w:val="22"/>
              <w:lang w:eastAsia="en-GB"/>
            </w:rPr>
          </w:pPr>
          <w:hyperlink w:anchor="_Toc414462273" w:history="1">
            <w:r w:rsidR="00B27385" w:rsidRPr="004B70EB">
              <w:rPr>
                <w:rStyle w:val="Hyperlink"/>
                <w:noProof/>
                <w:sz w:val="22"/>
              </w:rPr>
              <w:t>5.</w:t>
            </w:r>
            <w:r w:rsidR="00B27385" w:rsidRPr="004B70EB">
              <w:rPr>
                <w:rFonts w:asciiTheme="minorHAnsi" w:eastAsiaTheme="minorEastAsia" w:hAnsiTheme="minorHAnsi" w:cstheme="minorBidi"/>
                <w:bCs w:val="0"/>
                <w:noProof/>
                <w:sz w:val="20"/>
                <w:szCs w:val="22"/>
                <w:lang w:eastAsia="en-GB"/>
              </w:rPr>
              <w:tab/>
            </w:r>
            <w:r w:rsidR="00B27385" w:rsidRPr="004B70EB">
              <w:rPr>
                <w:rStyle w:val="Hyperlink"/>
                <w:noProof/>
                <w:sz w:val="22"/>
              </w:rPr>
              <w:t>Practice responsibilities in respect of the services</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_Toc414462273 \h </w:instrText>
            </w:r>
            <w:r w:rsidR="00B27385" w:rsidRPr="004B70EB">
              <w:rPr>
                <w:noProof/>
                <w:webHidden/>
                <w:sz w:val="22"/>
              </w:rPr>
            </w:r>
            <w:r w:rsidR="00B27385" w:rsidRPr="004B70EB">
              <w:rPr>
                <w:noProof/>
                <w:webHidden/>
                <w:sz w:val="22"/>
              </w:rPr>
              <w:fldChar w:fldCharType="separate"/>
            </w:r>
            <w:r w:rsidR="00E82D77">
              <w:rPr>
                <w:noProof/>
                <w:webHidden/>
                <w:sz w:val="22"/>
              </w:rPr>
              <w:t>13</w:t>
            </w:r>
            <w:r w:rsidR="00B27385" w:rsidRPr="004B70EB">
              <w:rPr>
                <w:noProof/>
                <w:webHidden/>
                <w:sz w:val="22"/>
              </w:rPr>
              <w:fldChar w:fldCharType="end"/>
            </w:r>
          </w:hyperlink>
        </w:p>
        <w:p w14:paraId="3D457704"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74" w:history="1">
            <w:r w:rsidR="00B27385" w:rsidRPr="004B70EB">
              <w:rPr>
                <w:rStyle w:val="Hyperlink"/>
                <w:noProof/>
                <w:sz w:val="22"/>
              </w:rPr>
              <w:t>General</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_Toc414462274 \h </w:instrText>
            </w:r>
            <w:r w:rsidR="00B27385" w:rsidRPr="004B70EB">
              <w:rPr>
                <w:noProof/>
                <w:webHidden/>
                <w:sz w:val="22"/>
              </w:rPr>
            </w:r>
            <w:r w:rsidR="00B27385" w:rsidRPr="004B70EB">
              <w:rPr>
                <w:noProof/>
                <w:webHidden/>
                <w:sz w:val="22"/>
              </w:rPr>
              <w:fldChar w:fldCharType="separate"/>
            </w:r>
            <w:r w:rsidR="00E82D77">
              <w:rPr>
                <w:noProof/>
                <w:webHidden/>
                <w:sz w:val="22"/>
              </w:rPr>
              <w:t>13</w:t>
            </w:r>
            <w:r w:rsidR="00B27385" w:rsidRPr="004B70EB">
              <w:rPr>
                <w:noProof/>
                <w:webHidden/>
                <w:sz w:val="22"/>
              </w:rPr>
              <w:fldChar w:fldCharType="end"/>
            </w:r>
          </w:hyperlink>
        </w:p>
        <w:p w14:paraId="2CF39CD6"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75" w:history="1">
            <w:r w:rsidR="00B27385" w:rsidRPr="004B70EB">
              <w:rPr>
                <w:rStyle w:val="Hyperlink"/>
                <w:noProof/>
                <w:sz w:val="22"/>
              </w:rPr>
              <w:t>Software and IT Infrastructure</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_Toc414462275 \h </w:instrText>
            </w:r>
            <w:r w:rsidR="00B27385" w:rsidRPr="004B70EB">
              <w:rPr>
                <w:noProof/>
                <w:webHidden/>
                <w:sz w:val="22"/>
              </w:rPr>
            </w:r>
            <w:r w:rsidR="00B27385" w:rsidRPr="004B70EB">
              <w:rPr>
                <w:noProof/>
                <w:webHidden/>
                <w:sz w:val="22"/>
              </w:rPr>
              <w:fldChar w:fldCharType="separate"/>
            </w:r>
            <w:r w:rsidR="00E82D77">
              <w:rPr>
                <w:noProof/>
                <w:webHidden/>
                <w:sz w:val="22"/>
              </w:rPr>
              <w:t>13</w:t>
            </w:r>
            <w:r w:rsidR="00B27385" w:rsidRPr="004B70EB">
              <w:rPr>
                <w:noProof/>
                <w:webHidden/>
                <w:sz w:val="22"/>
              </w:rPr>
              <w:fldChar w:fldCharType="end"/>
            </w:r>
          </w:hyperlink>
        </w:p>
        <w:p w14:paraId="18D4830E"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76" w:history="1">
            <w:r w:rsidR="00B27385" w:rsidRPr="004B70EB">
              <w:rPr>
                <w:rStyle w:val="Hyperlink"/>
                <w:noProof/>
                <w:sz w:val="22"/>
              </w:rPr>
              <w:t>Hardware and Software Support</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_Toc414462276 \h </w:instrText>
            </w:r>
            <w:r w:rsidR="00B27385" w:rsidRPr="004B70EB">
              <w:rPr>
                <w:noProof/>
                <w:webHidden/>
                <w:sz w:val="22"/>
              </w:rPr>
            </w:r>
            <w:r w:rsidR="00B27385" w:rsidRPr="004B70EB">
              <w:rPr>
                <w:noProof/>
                <w:webHidden/>
                <w:sz w:val="22"/>
              </w:rPr>
              <w:fldChar w:fldCharType="separate"/>
            </w:r>
            <w:r w:rsidR="00E82D77">
              <w:rPr>
                <w:noProof/>
                <w:webHidden/>
                <w:sz w:val="22"/>
              </w:rPr>
              <w:t>14</w:t>
            </w:r>
            <w:r w:rsidR="00B27385" w:rsidRPr="004B70EB">
              <w:rPr>
                <w:noProof/>
                <w:webHidden/>
                <w:sz w:val="22"/>
              </w:rPr>
              <w:fldChar w:fldCharType="end"/>
            </w:r>
          </w:hyperlink>
        </w:p>
        <w:p w14:paraId="2BB4643D"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77" w:history="1">
            <w:r w:rsidR="00B27385" w:rsidRPr="004B70EB">
              <w:rPr>
                <w:rStyle w:val="Hyperlink"/>
                <w:noProof/>
                <w:sz w:val="22"/>
              </w:rPr>
              <w:t>System Upgrade and System Migration</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_Toc414462277 \h </w:instrText>
            </w:r>
            <w:r w:rsidR="00B27385" w:rsidRPr="004B70EB">
              <w:rPr>
                <w:noProof/>
                <w:webHidden/>
                <w:sz w:val="22"/>
              </w:rPr>
            </w:r>
            <w:r w:rsidR="00B27385" w:rsidRPr="004B70EB">
              <w:rPr>
                <w:noProof/>
                <w:webHidden/>
                <w:sz w:val="22"/>
              </w:rPr>
              <w:fldChar w:fldCharType="separate"/>
            </w:r>
            <w:r w:rsidR="00E82D77">
              <w:rPr>
                <w:noProof/>
                <w:webHidden/>
                <w:sz w:val="22"/>
              </w:rPr>
              <w:t>14</w:t>
            </w:r>
            <w:r w:rsidR="00B27385" w:rsidRPr="004B70EB">
              <w:rPr>
                <w:noProof/>
                <w:webHidden/>
                <w:sz w:val="22"/>
              </w:rPr>
              <w:fldChar w:fldCharType="end"/>
            </w:r>
          </w:hyperlink>
        </w:p>
        <w:p w14:paraId="42763BD2"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78" w:history="1">
            <w:r w:rsidR="00B27385" w:rsidRPr="004B70EB">
              <w:rPr>
                <w:rStyle w:val="Hyperlink"/>
                <w:noProof/>
                <w:sz w:val="22"/>
              </w:rPr>
              <w:t>Premises</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_Toc414462278 \h </w:instrText>
            </w:r>
            <w:r w:rsidR="00B27385" w:rsidRPr="004B70EB">
              <w:rPr>
                <w:noProof/>
                <w:webHidden/>
                <w:sz w:val="22"/>
              </w:rPr>
            </w:r>
            <w:r w:rsidR="00B27385" w:rsidRPr="004B70EB">
              <w:rPr>
                <w:noProof/>
                <w:webHidden/>
                <w:sz w:val="22"/>
              </w:rPr>
              <w:fldChar w:fldCharType="separate"/>
            </w:r>
            <w:r w:rsidR="00E82D77">
              <w:rPr>
                <w:noProof/>
                <w:webHidden/>
                <w:sz w:val="22"/>
              </w:rPr>
              <w:t>15</w:t>
            </w:r>
            <w:r w:rsidR="00B27385" w:rsidRPr="004B70EB">
              <w:rPr>
                <w:noProof/>
                <w:webHidden/>
                <w:sz w:val="22"/>
              </w:rPr>
              <w:fldChar w:fldCharType="end"/>
            </w:r>
          </w:hyperlink>
        </w:p>
        <w:p w14:paraId="4CE1C1F4" w14:textId="77777777" w:rsidR="00B27385" w:rsidRPr="004B70EB" w:rsidRDefault="004B70EB">
          <w:pPr>
            <w:pStyle w:val="TOC1"/>
            <w:tabs>
              <w:tab w:val="left" w:pos="480"/>
            </w:tabs>
            <w:rPr>
              <w:rFonts w:asciiTheme="minorHAnsi" w:eastAsiaTheme="minorEastAsia" w:hAnsiTheme="minorHAnsi" w:cstheme="minorBidi"/>
              <w:bCs w:val="0"/>
              <w:noProof/>
              <w:sz w:val="20"/>
              <w:szCs w:val="22"/>
              <w:lang w:eastAsia="en-GB"/>
            </w:rPr>
          </w:pPr>
          <w:hyperlink w:anchor="_Toc414462279" w:history="1">
            <w:r w:rsidR="00B27385" w:rsidRPr="004B70EB">
              <w:rPr>
                <w:rStyle w:val="Hyperlink"/>
                <w:noProof/>
                <w:sz w:val="22"/>
              </w:rPr>
              <w:t>6.</w:t>
            </w:r>
            <w:r w:rsidR="00B27385" w:rsidRPr="004B70EB">
              <w:rPr>
                <w:rFonts w:asciiTheme="minorHAnsi" w:eastAsiaTheme="minorEastAsia" w:hAnsiTheme="minorHAnsi" w:cstheme="minorBidi"/>
                <w:bCs w:val="0"/>
                <w:noProof/>
                <w:sz w:val="20"/>
                <w:szCs w:val="22"/>
                <w:lang w:eastAsia="en-GB"/>
              </w:rPr>
              <w:tab/>
            </w:r>
            <w:r w:rsidR="00B27385" w:rsidRPr="004B70EB">
              <w:rPr>
                <w:rStyle w:val="Hyperlink"/>
                <w:noProof/>
                <w:sz w:val="22"/>
              </w:rPr>
              <w:t>Escalation and dispute resolution</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_Toc414462279 \h </w:instrText>
            </w:r>
            <w:r w:rsidR="00B27385" w:rsidRPr="004B70EB">
              <w:rPr>
                <w:noProof/>
                <w:webHidden/>
                <w:sz w:val="22"/>
              </w:rPr>
            </w:r>
            <w:r w:rsidR="00B27385" w:rsidRPr="004B70EB">
              <w:rPr>
                <w:noProof/>
                <w:webHidden/>
                <w:sz w:val="22"/>
              </w:rPr>
              <w:fldChar w:fldCharType="separate"/>
            </w:r>
            <w:r w:rsidR="00E82D77">
              <w:rPr>
                <w:noProof/>
                <w:webHidden/>
                <w:sz w:val="22"/>
              </w:rPr>
              <w:t>16</w:t>
            </w:r>
            <w:r w:rsidR="00B27385" w:rsidRPr="004B70EB">
              <w:rPr>
                <w:noProof/>
                <w:webHidden/>
                <w:sz w:val="22"/>
              </w:rPr>
              <w:fldChar w:fldCharType="end"/>
            </w:r>
          </w:hyperlink>
        </w:p>
        <w:p w14:paraId="0BDA7F3E"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80" w:history="1">
            <w:r w:rsidR="00B27385" w:rsidRPr="004B70EB">
              <w:rPr>
                <w:rStyle w:val="Hyperlink"/>
                <w:noProof/>
                <w:sz w:val="22"/>
              </w:rPr>
              <w:t>Escalation Procedure</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_Toc414462280 \h </w:instrText>
            </w:r>
            <w:r w:rsidR="00B27385" w:rsidRPr="004B70EB">
              <w:rPr>
                <w:noProof/>
                <w:webHidden/>
                <w:sz w:val="22"/>
              </w:rPr>
            </w:r>
            <w:r w:rsidR="00B27385" w:rsidRPr="004B70EB">
              <w:rPr>
                <w:noProof/>
                <w:webHidden/>
                <w:sz w:val="22"/>
              </w:rPr>
              <w:fldChar w:fldCharType="separate"/>
            </w:r>
            <w:r w:rsidR="00E82D77">
              <w:rPr>
                <w:noProof/>
                <w:webHidden/>
                <w:sz w:val="22"/>
              </w:rPr>
              <w:t>16</w:t>
            </w:r>
            <w:r w:rsidR="00B27385" w:rsidRPr="004B70EB">
              <w:rPr>
                <w:noProof/>
                <w:webHidden/>
                <w:sz w:val="22"/>
              </w:rPr>
              <w:fldChar w:fldCharType="end"/>
            </w:r>
          </w:hyperlink>
        </w:p>
        <w:p w14:paraId="58501995"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81" w:history="1">
            <w:r w:rsidR="00B27385" w:rsidRPr="004B70EB">
              <w:rPr>
                <w:rStyle w:val="Hyperlink"/>
                <w:noProof/>
                <w:sz w:val="22"/>
              </w:rPr>
              <w:t>Dispute Resolution Procedure</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_Toc414462281 \h </w:instrText>
            </w:r>
            <w:r w:rsidR="00B27385" w:rsidRPr="004B70EB">
              <w:rPr>
                <w:noProof/>
                <w:webHidden/>
                <w:sz w:val="22"/>
              </w:rPr>
            </w:r>
            <w:r w:rsidR="00B27385" w:rsidRPr="004B70EB">
              <w:rPr>
                <w:noProof/>
                <w:webHidden/>
                <w:sz w:val="22"/>
              </w:rPr>
              <w:fldChar w:fldCharType="separate"/>
            </w:r>
            <w:r w:rsidR="00E82D77">
              <w:rPr>
                <w:noProof/>
                <w:webHidden/>
                <w:sz w:val="22"/>
              </w:rPr>
              <w:t>16</w:t>
            </w:r>
            <w:r w:rsidR="00B27385" w:rsidRPr="004B70EB">
              <w:rPr>
                <w:noProof/>
                <w:webHidden/>
                <w:sz w:val="22"/>
              </w:rPr>
              <w:fldChar w:fldCharType="end"/>
            </w:r>
          </w:hyperlink>
        </w:p>
        <w:p w14:paraId="13F23B7A"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82" w:history="1">
            <w:r w:rsidR="00B27385" w:rsidRPr="004B70EB">
              <w:rPr>
                <w:rStyle w:val="Hyperlink"/>
                <w:noProof/>
                <w:sz w:val="22"/>
              </w:rPr>
              <w:t>NHS Litigation Authority</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_Toc414462282 \h </w:instrText>
            </w:r>
            <w:r w:rsidR="00B27385" w:rsidRPr="004B70EB">
              <w:rPr>
                <w:noProof/>
                <w:webHidden/>
                <w:sz w:val="22"/>
              </w:rPr>
            </w:r>
            <w:r w:rsidR="00B27385" w:rsidRPr="004B70EB">
              <w:rPr>
                <w:noProof/>
                <w:webHidden/>
                <w:sz w:val="22"/>
              </w:rPr>
              <w:fldChar w:fldCharType="separate"/>
            </w:r>
            <w:r w:rsidR="00E82D77">
              <w:rPr>
                <w:noProof/>
                <w:webHidden/>
                <w:sz w:val="22"/>
              </w:rPr>
              <w:t>17</w:t>
            </w:r>
            <w:r w:rsidR="00B27385" w:rsidRPr="004B70EB">
              <w:rPr>
                <w:noProof/>
                <w:webHidden/>
                <w:sz w:val="22"/>
              </w:rPr>
              <w:fldChar w:fldCharType="end"/>
            </w:r>
          </w:hyperlink>
        </w:p>
        <w:p w14:paraId="4EE082B3"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83" w:history="1">
            <w:r w:rsidR="00B27385" w:rsidRPr="004B70EB">
              <w:rPr>
                <w:rStyle w:val="Hyperlink"/>
                <w:noProof/>
                <w:sz w:val="22"/>
              </w:rPr>
              <w:t>Expert Determination</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_Toc414462283 \h </w:instrText>
            </w:r>
            <w:r w:rsidR="00B27385" w:rsidRPr="004B70EB">
              <w:rPr>
                <w:noProof/>
                <w:webHidden/>
                <w:sz w:val="22"/>
              </w:rPr>
            </w:r>
            <w:r w:rsidR="00B27385" w:rsidRPr="004B70EB">
              <w:rPr>
                <w:noProof/>
                <w:webHidden/>
                <w:sz w:val="22"/>
              </w:rPr>
              <w:fldChar w:fldCharType="separate"/>
            </w:r>
            <w:r w:rsidR="00E82D77">
              <w:rPr>
                <w:noProof/>
                <w:webHidden/>
                <w:sz w:val="22"/>
              </w:rPr>
              <w:t>17</w:t>
            </w:r>
            <w:r w:rsidR="00B27385" w:rsidRPr="004B70EB">
              <w:rPr>
                <w:noProof/>
                <w:webHidden/>
                <w:sz w:val="22"/>
              </w:rPr>
              <w:fldChar w:fldCharType="end"/>
            </w:r>
          </w:hyperlink>
        </w:p>
        <w:p w14:paraId="1602DC87" w14:textId="77777777" w:rsidR="00B27385" w:rsidRPr="004B70EB" w:rsidRDefault="004B70EB">
          <w:pPr>
            <w:pStyle w:val="TOC1"/>
            <w:tabs>
              <w:tab w:val="left" w:pos="480"/>
            </w:tabs>
            <w:rPr>
              <w:rFonts w:asciiTheme="minorHAnsi" w:eastAsiaTheme="minorEastAsia" w:hAnsiTheme="minorHAnsi" w:cstheme="minorBidi"/>
              <w:bCs w:val="0"/>
              <w:noProof/>
              <w:sz w:val="20"/>
              <w:szCs w:val="22"/>
              <w:lang w:eastAsia="en-GB"/>
            </w:rPr>
          </w:pPr>
          <w:hyperlink w:anchor="_Toc414462284" w:history="1">
            <w:r w:rsidR="00B27385" w:rsidRPr="004B70EB">
              <w:rPr>
                <w:rStyle w:val="Hyperlink"/>
                <w:noProof/>
                <w:sz w:val="22"/>
              </w:rPr>
              <w:t>7.</w:t>
            </w:r>
            <w:r w:rsidR="00B27385" w:rsidRPr="004B70EB">
              <w:rPr>
                <w:rFonts w:asciiTheme="minorHAnsi" w:eastAsiaTheme="minorEastAsia" w:hAnsiTheme="minorHAnsi" w:cstheme="minorBidi"/>
                <w:bCs w:val="0"/>
                <w:noProof/>
                <w:sz w:val="20"/>
                <w:szCs w:val="22"/>
                <w:lang w:eastAsia="en-GB"/>
              </w:rPr>
              <w:tab/>
            </w:r>
            <w:r w:rsidR="00B27385" w:rsidRPr="004B70EB">
              <w:rPr>
                <w:rStyle w:val="Hyperlink"/>
                <w:noProof/>
                <w:sz w:val="22"/>
              </w:rPr>
              <w:t>Force Majeure</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_Toc414462284 \h </w:instrText>
            </w:r>
            <w:r w:rsidR="00B27385" w:rsidRPr="004B70EB">
              <w:rPr>
                <w:noProof/>
                <w:webHidden/>
                <w:sz w:val="22"/>
              </w:rPr>
            </w:r>
            <w:r w:rsidR="00B27385" w:rsidRPr="004B70EB">
              <w:rPr>
                <w:noProof/>
                <w:webHidden/>
                <w:sz w:val="22"/>
              </w:rPr>
              <w:fldChar w:fldCharType="separate"/>
            </w:r>
            <w:r w:rsidR="00E82D77">
              <w:rPr>
                <w:noProof/>
                <w:webHidden/>
                <w:sz w:val="22"/>
              </w:rPr>
              <w:t>19</w:t>
            </w:r>
            <w:r w:rsidR="00B27385" w:rsidRPr="004B70EB">
              <w:rPr>
                <w:noProof/>
                <w:webHidden/>
                <w:sz w:val="22"/>
              </w:rPr>
              <w:fldChar w:fldCharType="end"/>
            </w:r>
          </w:hyperlink>
        </w:p>
        <w:p w14:paraId="06D2F62C" w14:textId="77777777" w:rsidR="00B27385" w:rsidRPr="004B70EB" w:rsidRDefault="004B70EB">
          <w:pPr>
            <w:pStyle w:val="TOC1"/>
            <w:tabs>
              <w:tab w:val="left" w:pos="480"/>
            </w:tabs>
            <w:rPr>
              <w:rFonts w:asciiTheme="minorHAnsi" w:eastAsiaTheme="minorEastAsia" w:hAnsiTheme="minorHAnsi" w:cstheme="minorBidi"/>
              <w:bCs w:val="0"/>
              <w:noProof/>
              <w:sz w:val="20"/>
              <w:szCs w:val="22"/>
              <w:lang w:eastAsia="en-GB"/>
            </w:rPr>
          </w:pPr>
          <w:hyperlink w:anchor="_Toc414462285" w:history="1">
            <w:r w:rsidR="00B27385" w:rsidRPr="004B70EB">
              <w:rPr>
                <w:rStyle w:val="Hyperlink"/>
                <w:noProof/>
                <w:sz w:val="22"/>
              </w:rPr>
              <w:t>8.</w:t>
            </w:r>
            <w:r w:rsidR="00B27385" w:rsidRPr="004B70EB">
              <w:rPr>
                <w:rFonts w:asciiTheme="minorHAnsi" w:eastAsiaTheme="minorEastAsia" w:hAnsiTheme="minorHAnsi" w:cstheme="minorBidi"/>
                <w:bCs w:val="0"/>
                <w:noProof/>
                <w:sz w:val="20"/>
                <w:szCs w:val="22"/>
                <w:lang w:eastAsia="en-GB"/>
              </w:rPr>
              <w:tab/>
            </w:r>
            <w:r w:rsidR="00B27385" w:rsidRPr="004B70EB">
              <w:rPr>
                <w:rStyle w:val="Hyperlink"/>
                <w:noProof/>
                <w:sz w:val="22"/>
              </w:rPr>
              <w:t>Termination of this agreement</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_Toc414462285 \h </w:instrText>
            </w:r>
            <w:r w:rsidR="00B27385" w:rsidRPr="004B70EB">
              <w:rPr>
                <w:noProof/>
                <w:webHidden/>
                <w:sz w:val="22"/>
              </w:rPr>
            </w:r>
            <w:r w:rsidR="00B27385" w:rsidRPr="004B70EB">
              <w:rPr>
                <w:noProof/>
                <w:webHidden/>
                <w:sz w:val="22"/>
              </w:rPr>
              <w:fldChar w:fldCharType="separate"/>
            </w:r>
            <w:r w:rsidR="00E82D77">
              <w:rPr>
                <w:noProof/>
                <w:webHidden/>
                <w:sz w:val="22"/>
              </w:rPr>
              <w:t>20</w:t>
            </w:r>
            <w:r w:rsidR="00B27385" w:rsidRPr="004B70EB">
              <w:rPr>
                <w:noProof/>
                <w:webHidden/>
                <w:sz w:val="22"/>
              </w:rPr>
              <w:fldChar w:fldCharType="end"/>
            </w:r>
          </w:hyperlink>
        </w:p>
        <w:p w14:paraId="663AA244" w14:textId="77777777" w:rsidR="00B27385" w:rsidRPr="004B70EB" w:rsidRDefault="004B70EB">
          <w:pPr>
            <w:pStyle w:val="TOC1"/>
            <w:tabs>
              <w:tab w:val="left" w:pos="480"/>
            </w:tabs>
            <w:rPr>
              <w:rFonts w:asciiTheme="minorHAnsi" w:eastAsiaTheme="minorEastAsia" w:hAnsiTheme="minorHAnsi" w:cstheme="minorBidi"/>
              <w:bCs w:val="0"/>
              <w:noProof/>
              <w:sz w:val="20"/>
              <w:szCs w:val="22"/>
              <w:lang w:eastAsia="en-GB"/>
            </w:rPr>
          </w:pPr>
          <w:hyperlink w:anchor="_Toc414462286" w:history="1">
            <w:r w:rsidR="00B27385" w:rsidRPr="004B70EB">
              <w:rPr>
                <w:rStyle w:val="Hyperlink"/>
                <w:noProof/>
                <w:sz w:val="22"/>
              </w:rPr>
              <w:t>9.</w:t>
            </w:r>
            <w:r w:rsidR="00B27385" w:rsidRPr="004B70EB">
              <w:rPr>
                <w:rFonts w:asciiTheme="minorHAnsi" w:eastAsiaTheme="minorEastAsia" w:hAnsiTheme="minorHAnsi" w:cstheme="minorBidi"/>
                <w:bCs w:val="0"/>
                <w:noProof/>
                <w:sz w:val="20"/>
                <w:szCs w:val="22"/>
                <w:lang w:eastAsia="en-GB"/>
              </w:rPr>
              <w:tab/>
            </w:r>
            <w:r w:rsidR="00B27385" w:rsidRPr="004B70EB">
              <w:rPr>
                <w:rStyle w:val="Hyperlink"/>
                <w:noProof/>
                <w:sz w:val="22"/>
              </w:rPr>
              <w:t>Variations</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_Toc414462286 \h </w:instrText>
            </w:r>
            <w:r w:rsidR="00B27385" w:rsidRPr="004B70EB">
              <w:rPr>
                <w:noProof/>
                <w:webHidden/>
                <w:sz w:val="22"/>
              </w:rPr>
            </w:r>
            <w:r w:rsidR="00B27385" w:rsidRPr="004B70EB">
              <w:rPr>
                <w:noProof/>
                <w:webHidden/>
                <w:sz w:val="22"/>
              </w:rPr>
              <w:fldChar w:fldCharType="separate"/>
            </w:r>
            <w:r w:rsidR="00E82D77">
              <w:rPr>
                <w:noProof/>
                <w:webHidden/>
                <w:sz w:val="22"/>
              </w:rPr>
              <w:t>21</w:t>
            </w:r>
            <w:r w:rsidR="00B27385" w:rsidRPr="004B70EB">
              <w:rPr>
                <w:noProof/>
                <w:webHidden/>
                <w:sz w:val="22"/>
              </w:rPr>
              <w:fldChar w:fldCharType="end"/>
            </w:r>
          </w:hyperlink>
        </w:p>
        <w:p w14:paraId="726FF1F4" w14:textId="77777777" w:rsidR="00B27385" w:rsidRPr="004B70EB" w:rsidRDefault="004B70EB">
          <w:pPr>
            <w:pStyle w:val="TOC1"/>
            <w:tabs>
              <w:tab w:val="left" w:pos="660"/>
            </w:tabs>
            <w:rPr>
              <w:rFonts w:asciiTheme="minorHAnsi" w:eastAsiaTheme="minorEastAsia" w:hAnsiTheme="minorHAnsi" w:cstheme="minorBidi"/>
              <w:bCs w:val="0"/>
              <w:noProof/>
              <w:sz w:val="20"/>
              <w:szCs w:val="22"/>
              <w:lang w:eastAsia="en-GB"/>
            </w:rPr>
          </w:pPr>
          <w:hyperlink w:anchor="_Toc414462287" w:history="1">
            <w:r w:rsidR="00B27385" w:rsidRPr="004B70EB">
              <w:rPr>
                <w:rStyle w:val="Hyperlink"/>
                <w:noProof/>
                <w:sz w:val="22"/>
              </w:rPr>
              <w:t>10.</w:t>
            </w:r>
            <w:r w:rsidR="00B27385" w:rsidRPr="004B70EB">
              <w:rPr>
                <w:rFonts w:asciiTheme="minorHAnsi" w:eastAsiaTheme="minorEastAsia" w:hAnsiTheme="minorHAnsi" w:cstheme="minorBidi"/>
                <w:bCs w:val="0"/>
                <w:noProof/>
                <w:sz w:val="20"/>
                <w:szCs w:val="22"/>
                <w:lang w:eastAsia="en-GB"/>
              </w:rPr>
              <w:tab/>
            </w:r>
            <w:r w:rsidR="00B27385" w:rsidRPr="004B70EB">
              <w:rPr>
                <w:rStyle w:val="Hyperlink"/>
                <w:noProof/>
                <w:sz w:val="22"/>
              </w:rPr>
              <w:t>Third party rights</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_Toc414462287 \h </w:instrText>
            </w:r>
            <w:r w:rsidR="00B27385" w:rsidRPr="004B70EB">
              <w:rPr>
                <w:noProof/>
                <w:webHidden/>
                <w:sz w:val="22"/>
              </w:rPr>
            </w:r>
            <w:r w:rsidR="00B27385" w:rsidRPr="004B70EB">
              <w:rPr>
                <w:noProof/>
                <w:webHidden/>
                <w:sz w:val="22"/>
              </w:rPr>
              <w:fldChar w:fldCharType="separate"/>
            </w:r>
            <w:r w:rsidR="00E82D77">
              <w:rPr>
                <w:noProof/>
                <w:webHidden/>
                <w:sz w:val="22"/>
              </w:rPr>
              <w:t>22</w:t>
            </w:r>
            <w:r w:rsidR="00B27385" w:rsidRPr="004B70EB">
              <w:rPr>
                <w:noProof/>
                <w:webHidden/>
                <w:sz w:val="22"/>
              </w:rPr>
              <w:fldChar w:fldCharType="end"/>
            </w:r>
          </w:hyperlink>
        </w:p>
        <w:p w14:paraId="4BA20305" w14:textId="77777777" w:rsidR="00B27385" w:rsidRPr="004B70EB" w:rsidRDefault="004B70EB">
          <w:pPr>
            <w:pStyle w:val="TOC1"/>
            <w:rPr>
              <w:rFonts w:asciiTheme="minorHAnsi" w:eastAsiaTheme="minorEastAsia" w:hAnsiTheme="minorHAnsi" w:cstheme="minorBidi"/>
              <w:bCs w:val="0"/>
              <w:noProof/>
              <w:sz w:val="20"/>
              <w:szCs w:val="22"/>
              <w:lang w:eastAsia="en-GB"/>
            </w:rPr>
          </w:pPr>
          <w:hyperlink w:anchor="_Toc414462288" w:history="1">
            <w:r w:rsidR="00B27385" w:rsidRPr="004B70EB">
              <w:rPr>
                <w:rStyle w:val="Hyperlink"/>
                <w:noProof/>
                <w:sz w:val="22"/>
              </w:rPr>
              <w:t>Agreement signature page</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_Toc414462288 \h </w:instrText>
            </w:r>
            <w:r w:rsidR="00B27385" w:rsidRPr="004B70EB">
              <w:rPr>
                <w:noProof/>
                <w:webHidden/>
                <w:sz w:val="22"/>
              </w:rPr>
            </w:r>
            <w:r w:rsidR="00B27385" w:rsidRPr="004B70EB">
              <w:rPr>
                <w:noProof/>
                <w:webHidden/>
                <w:sz w:val="22"/>
              </w:rPr>
              <w:fldChar w:fldCharType="separate"/>
            </w:r>
            <w:r w:rsidR="00E82D77">
              <w:rPr>
                <w:noProof/>
                <w:webHidden/>
                <w:sz w:val="22"/>
              </w:rPr>
              <w:t>23</w:t>
            </w:r>
            <w:r w:rsidR="00B27385" w:rsidRPr="004B70EB">
              <w:rPr>
                <w:noProof/>
                <w:webHidden/>
                <w:sz w:val="22"/>
              </w:rPr>
              <w:fldChar w:fldCharType="end"/>
            </w:r>
          </w:hyperlink>
        </w:p>
        <w:p w14:paraId="215AA784" w14:textId="77777777" w:rsidR="00B27385" w:rsidRPr="004B70EB" w:rsidRDefault="004B70EB">
          <w:pPr>
            <w:pStyle w:val="TOC1"/>
            <w:rPr>
              <w:rFonts w:asciiTheme="minorHAnsi" w:eastAsiaTheme="minorEastAsia" w:hAnsiTheme="minorHAnsi" w:cstheme="minorBidi"/>
              <w:bCs w:val="0"/>
              <w:noProof/>
              <w:sz w:val="20"/>
              <w:szCs w:val="22"/>
              <w:lang w:eastAsia="en-GB"/>
            </w:rPr>
          </w:pPr>
          <w:hyperlink w:anchor="_Toc414462289" w:history="1">
            <w:r w:rsidR="00B27385" w:rsidRPr="004B70EB">
              <w:rPr>
                <w:rStyle w:val="Hyperlink"/>
                <w:noProof/>
                <w:sz w:val="22"/>
              </w:rPr>
              <w:t>Appendix 1</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_Toc414462289 \h </w:instrText>
            </w:r>
            <w:r w:rsidR="00B27385" w:rsidRPr="004B70EB">
              <w:rPr>
                <w:noProof/>
                <w:webHidden/>
                <w:sz w:val="22"/>
              </w:rPr>
            </w:r>
            <w:r w:rsidR="00B27385" w:rsidRPr="004B70EB">
              <w:rPr>
                <w:noProof/>
                <w:webHidden/>
                <w:sz w:val="22"/>
              </w:rPr>
              <w:fldChar w:fldCharType="separate"/>
            </w:r>
            <w:r w:rsidR="00E82D77">
              <w:rPr>
                <w:noProof/>
                <w:webHidden/>
                <w:sz w:val="22"/>
              </w:rPr>
              <w:t>24</w:t>
            </w:r>
            <w:r w:rsidR="00B27385" w:rsidRPr="004B70EB">
              <w:rPr>
                <w:noProof/>
                <w:webHidden/>
                <w:sz w:val="22"/>
              </w:rPr>
              <w:fldChar w:fldCharType="end"/>
            </w:r>
          </w:hyperlink>
        </w:p>
        <w:p w14:paraId="2DD93E7B"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90" w:history="1">
            <w:r w:rsidR="00B27385" w:rsidRPr="004B70EB">
              <w:rPr>
                <w:rStyle w:val="Hyperlink"/>
                <w:noProof/>
                <w:sz w:val="22"/>
              </w:rPr>
              <w:t>Summary of Services Table</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_Toc414462290 \h </w:instrText>
            </w:r>
            <w:r w:rsidR="00B27385" w:rsidRPr="004B70EB">
              <w:rPr>
                <w:noProof/>
                <w:webHidden/>
                <w:sz w:val="22"/>
              </w:rPr>
            </w:r>
            <w:r w:rsidR="00B27385" w:rsidRPr="004B70EB">
              <w:rPr>
                <w:noProof/>
                <w:webHidden/>
                <w:sz w:val="22"/>
              </w:rPr>
              <w:fldChar w:fldCharType="separate"/>
            </w:r>
            <w:r w:rsidR="00E82D77">
              <w:rPr>
                <w:noProof/>
                <w:webHidden/>
                <w:sz w:val="22"/>
              </w:rPr>
              <w:t>24</w:t>
            </w:r>
            <w:r w:rsidR="00B27385" w:rsidRPr="004B70EB">
              <w:rPr>
                <w:noProof/>
                <w:webHidden/>
                <w:sz w:val="22"/>
              </w:rPr>
              <w:fldChar w:fldCharType="end"/>
            </w:r>
          </w:hyperlink>
        </w:p>
        <w:p w14:paraId="023ED220" w14:textId="77777777" w:rsidR="00B27385" w:rsidRPr="004B70EB" w:rsidRDefault="004B70EB">
          <w:pPr>
            <w:pStyle w:val="TOC1"/>
            <w:rPr>
              <w:rFonts w:asciiTheme="minorHAnsi" w:eastAsiaTheme="minorEastAsia" w:hAnsiTheme="minorHAnsi" w:cstheme="minorBidi"/>
              <w:bCs w:val="0"/>
              <w:noProof/>
              <w:sz w:val="20"/>
              <w:szCs w:val="22"/>
              <w:lang w:eastAsia="en-GB"/>
            </w:rPr>
          </w:pPr>
          <w:hyperlink w:anchor="_Toc414462291" w:history="1">
            <w:r w:rsidR="00B27385" w:rsidRPr="004B70EB">
              <w:rPr>
                <w:rStyle w:val="Hyperlink"/>
                <w:rFonts w:ascii="Times New Roman" w:hAnsi="Times New Roman"/>
                <w:i/>
                <w:noProof/>
                <w:kern w:val="28"/>
                <w:sz w:val="22"/>
              </w:rPr>
              <w:t>Example table</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_Toc414462291 \h </w:instrText>
            </w:r>
            <w:r w:rsidR="00B27385" w:rsidRPr="004B70EB">
              <w:rPr>
                <w:noProof/>
                <w:webHidden/>
                <w:sz w:val="22"/>
              </w:rPr>
            </w:r>
            <w:r w:rsidR="00B27385" w:rsidRPr="004B70EB">
              <w:rPr>
                <w:noProof/>
                <w:webHidden/>
                <w:sz w:val="22"/>
              </w:rPr>
              <w:fldChar w:fldCharType="separate"/>
            </w:r>
            <w:r w:rsidR="00E82D77">
              <w:rPr>
                <w:noProof/>
                <w:webHidden/>
                <w:sz w:val="22"/>
              </w:rPr>
              <w:t>25</w:t>
            </w:r>
            <w:r w:rsidR="00B27385" w:rsidRPr="004B70EB">
              <w:rPr>
                <w:noProof/>
                <w:webHidden/>
                <w:sz w:val="22"/>
              </w:rPr>
              <w:fldChar w:fldCharType="end"/>
            </w:r>
          </w:hyperlink>
        </w:p>
        <w:p w14:paraId="3F0FB625" w14:textId="77777777" w:rsidR="00B27385" w:rsidRPr="004B70EB" w:rsidRDefault="004B70EB">
          <w:pPr>
            <w:pStyle w:val="TOC1"/>
            <w:rPr>
              <w:rFonts w:asciiTheme="minorHAnsi" w:eastAsiaTheme="minorEastAsia" w:hAnsiTheme="minorHAnsi" w:cstheme="minorBidi"/>
              <w:bCs w:val="0"/>
              <w:noProof/>
              <w:sz w:val="20"/>
              <w:szCs w:val="22"/>
              <w:lang w:eastAsia="en-GB"/>
            </w:rPr>
          </w:pPr>
          <w:hyperlink w:anchor="_Toc414462292" w:history="1">
            <w:r w:rsidR="00B27385" w:rsidRPr="004B70EB">
              <w:rPr>
                <w:rStyle w:val="Hyperlink"/>
                <w:noProof/>
                <w:sz w:val="22"/>
              </w:rPr>
              <w:t>Appendix 2</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_Toc414462292 \h </w:instrText>
            </w:r>
            <w:r w:rsidR="00B27385" w:rsidRPr="004B70EB">
              <w:rPr>
                <w:noProof/>
                <w:webHidden/>
                <w:sz w:val="22"/>
              </w:rPr>
            </w:r>
            <w:r w:rsidR="00B27385" w:rsidRPr="004B70EB">
              <w:rPr>
                <w:noProof/>
                <w:webHidden/>
                <w:sz w:val="22"/>
              </w:rPr>
              <w:fldChar w:fldCharType="separate"/>
            </w:r>
            <w:r w:rsidR="00E82D77">
              <w:rPr>
                <w:noProof/>
                <w:webHidden/>
                <w:sz w:val="22"/>
              </w:rPr>
              <w:t>26</w:t>
            </w:r>
            <w:r w:rsidR="00B27385" w:rsidRPr="004B70EB">
              <w:rPr>
                <w:noProof/>
                <w:webHidden/>
                <w:sz w:val="22"/>
              </w:rPr>
              <w:fldChar w:fldCharType="end"/>
            </w:r>
          </w:hyperlink>
        </w:p>
        <w:p w14:paraId="58CB7CD6"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93" w:history="1">
            <w:r w:rsidR="00B27385" w:rsidRPr="004B70EB">
              <w:rPr>
                <w:rStyle w:val="Hyperlink"/>
                <w:noProof/>
                <w:sz w:val="22"/>
              </w:rPr>
              <w:t>Support &amp; Maintenance Service Levels</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_Toc414462293 \h </w:instrText>
            </w:r>
            <w:r w:rsidR="00B27385" w:rsidRPr="004B70EB">
              <w:rPr>
                <w:noProof/>
                <w:webHidden/>
                <w:sz w:val="22"/>
              </w:rPr>
            </w:r>
            <w:r w:rsidR="00B27385" w:rsidRPr="004B70EB">
              <w:rPr>
                <w:noProof/>
                <w:webHidden/>
                <w:sz w:val="22"/>
              </w:rPr>
              <w:fldChar w:fldCharType="separate"/>
            </w:r>
            <w:r w:rsidR="00E82D77">
              <w:rPr>
                <w:noProof/>
                <w:webHidden/>
                <w:sz w:val="22"/>
              </w:rPr>
              <w:t>26</w:t>
            </w:r>
            <w:r w:rsidR="00B27385" w:rsidRPr="004B70EB">
              <w:rPr>
                <w:noProof/>
                <w:webHidden/>
                <w:sz w:val="22"/>
              </w:rPr>
              <w:fldChar w:fldCharType="end"/>
            </w:r>
          </w:hyperlink>
        </w:p>
        <w:p w14:paraId="118114F5" w14:textId="77777777" w:rsidR="00B27385" w:rsidRPr="004B70EB" w:rsidRDefault="004B70EB">
          <w:pPr>
            <w:pStyle w:val="TOC1"/>
            <w:rPr>
              <w:rFonts w:asciiTheme="minorHAnsi" w:eastAsiaTheme="minorEastAsia" w:hAnsiTheme="minorHAnsi" w:cstheme="minorBidi"/>
              <w:bCs w:val="0"/>
              <w:noProof/>
              <w:sz w:val="20"/>
              <w:szCs w:val="22"/>
              <w:lang w:eastAsia="en-GB"/>
            </w:rPr>
          </w:pPr>
          <w:hyperlink w:anchor="_Toc414462294" w:history="1">
            <w:r w:rsidR="00B27385" w:rsidRPr="004B70EB">
              <w:rPr>
                <w:rStyle w:val="Hyperlink"/>
                <w:noProof/>
                <w:sz w:val="22"/>
              </w:rPr>
              <w:t>Appendix 3</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_Toc414462294 \h </w:instrText>
            </w:r>
            <w:r w:rsidR="00B27385" w:rsidRPr="004B70EB">
              <w:rPr>
                <w:noProof/>
                <w:webHidden/>
                <w:sz w:val="22"/>
              </w:rPr>
            </w:r>
            <w:r w:rsidR="00B27385" w:rsidRPr="004B70EB">
              <w:rPr>
                <w:noProof/>
                <w:webHidden/>
                <w:sz w:val="22"/>
              </w:rPr>
              <w:fldChar w:fldCharType="separate"/>
            </w:r>
            <w:r w:rsidR="00E82D77">
              <w:rPr>
                <w:noProof/>
                <w:webHidden/>
                <w:sz w:val="22"/>
              </w:rPr>
              <w:t>27</w:t>
            </w:r>
            <w:r w:rsidR="00B27385" w:rsidRPr="004B70EB">
              <w:rPr>
                <w:noProof/>
                <w:webHidden/>
                <w:sz w:val="22"/>
              </w:rPr>
              <w:fldChar w:fldCharType="end"/>
            </w:r>
          </w:hyperlink>
        </w:p>
        <w:p w14:paraId="200DAE1B" w14:textId="77777777" w:rsidR="00B27385" w:rsidRPr="004B70EB" w:rsidRDefault="004B70EB">
          <w:pPr>
            <w:pStyle w:val="TOC2"/>
            <w:tabs>
              <w:tab w:val="right" w:leader="dot" w:pos="9054"/>
            </w:tabs>
            <w:rPr>
              <w:rFonts w:asciiTheme="minorHAnsi" w:eastAsiaTheme="minorEastAsia" w:hAnsiTheme="minorHAnsi" w:cstheme="minorBidi"/>
              <w:bCs w:val="0"/>
              <w:noProof/>
              <w:sz w:val="20"/>
              <w:szCs w:val="22"/>
              <w:lang w:eastAsia="en-GB"/>
            </w:rPr>
          </w:pPr>
          <w:hyperlink w:anchor="_Toc414462295" w:history="1">
            <w:r w:rsidR="00B27385" w:rsidRPr="004B70EB">
              <w:rPr>
                <w:rStyle w:val="Hyperlink"/>
                <w:noProof/>
                <w:sz w:val="22"/>
              </w:rPr>
              <w:t>Escalation Procedure</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_Toc414462295 \h </w:instrText>
            </w:r>
            <w:r w:rsidR="00B27385" w:rsidRPr="004B70EB">
              <w:rPr>
                <w:noProof/>
                <w:webHidden/>
                <w:sz w:val="22"/>
              </w:rPr>
            </w:r>
            <w:r w:rsidR="00B27385" w:rsidRPr="004B70EB">
              <w:rPr>
                <w:noProof/>
                <w:webHidden/>
                <w:sz w:val="22"/>
              </w:rPr>
              <w:fldChar w:fldCharType="separate"/>
            </w:r>
            <w:r w:rsidR="00E82D77">
              <w:rPr>
                <w:noProof/>
                <w:webHidden/>
                <w:sz w:val="22"/>
              </w:rPr>
              <w:t>27</w:t>
            </w:r>
            <w:r w:rsidR="00B27385" w:rsidRPr="004B70EB">
              <w:rPr>
                <w:noProof/>
                <w:webHidden/>
                <w:sz w:val="22"/>
              </w:rPr>
              <w:fldChar w:fldCharType="end"/>
            </w:r>
          </w:hyperlink>
        </w:p>
        <w:p w14:paraId="47DD1700" w14:textId="77777777" w:rsidR="00B27385" w:rsidRPr="004B70EB" w:rsidRDefault="004B70EB">
          <w:pPr>
            <w:pStyle w:val="TOC1"/>
            <w:rPr>
              <w:rFonts w:asciiTheme="minorHAnsi" w:eastAsiaTheme="minorEastAsia" w:hAnsiTheme="minorHAnsi" w:cstheme="minorBidi"/>
              <w:bCs w:val="0"/>
              <w:noProof/>
              <w:sz w:val="20"/>
              <w:szCs w:val="22"/>
              <w:lang w:eastAsia="en-GB"/>
            </w:rPr>
          </w:pPr>
          <w:hyperlink w:anchor="_Toc414462296" w:history="1">
            <w:r w:rsidR="00B27385" w:rsidRPr="004B70EB">
              <w:rPr>
                <w:rStyle w:val="Hyperlink"/>
                <w:noProof/>
                <w:sz w:val="22"/>
              </w:rPr>
              <w:t>Appendix 4</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_Toc414462296 \h </w:instrText>
            </w:r>
            <w:r w:rsidR="00B27385" w:rsidRPr="004B70EB">
              <w:rPr>
                <w:noProof/>
                <w:webHidden/>
                <w:sz w:val="22"/>
              </w:rPr>
            </w:r>
            <w:r w:rsidR="00B27385" w:rsidRPr="004B70EB">
              <w:rPr>
                <w:noProof/>
                <w:webHidden/>
                <w:sz w:val="22"/>
              </w:rPr>
              <w:fldChar w:fldCharType="separate"/>
            </w:r>
            <w:r w:rsidR="00E82D77">
              <w:rPr>
                <w:noProof/>
                <w:webHidden/>
                <w:sz w:val="22"/>
              </w:rPr>
              <w:t>28</w:t>
            </w:r>
            <w:r w:rsidR="00B27385" w:rsidRPr="004B70EB">
              <w:rPr>
                <w:noProof/>
                <w:webHidden/>
                <w:sz w:val="22"/>
              </w:rPr>
              <w:fldChar w:fldCharType="end"/>
            </w:r>
          </w:hyperlink>
        </w:p>
        <w:p w14:paraId="07C84900" w14:textId="77777777" w:rsidR="00B27385" w:rsidRDefault="004B70EB">
          <w:pPr>
            <w:pStyle w:val="TOC2"/>
            <w:tabs>
              <w:tab w:val="right" w:leader="dot" w:pos="9054"/>
            </w:tabs>
            <w:rPr>
              <w:rFonts w:asciiTheme="minorHAnsi" w:eastAsiaTheme="minorEastAsia" w:hAnsiTheme="minorHAnsi" w:cstheme="minorBidi"/>
              <w:bCs w:val="0"/>
              <w:noProof/>
              <w:sz w:val="22"/>
              <w:szCs w:val="22"/>
              <w:lang w:eastAsia="en-GB"/>
            </w:rPr>
          </w:pPr>
          <w:hyperlink w:anchor="_Toc414462297" w:history="1">
            <w:r w:rsidR="00B27385" w:rsidRPr="004B70EB">
              <w:rPr>
                <w:rStyle w:val="Hyperlink"/>
                <w:noProof/>
                <w:sz w:val="22"/>
              </w:rPr>
              <w:t>Business Justification Form Guidance and Example for Migration of GPSoC Services</w:t>
            </w:r>
            <w:r w:rsidR="00B27385" w:rsidRPr="004B70EB">
              <w:rPr>
                <w:noProof/>
                <w:webHidden/>
                <w:sz w:val="22"/>
              </w:rPr>
              <w:tab/>
            </w:r>
            <w:r w:rsidR="00B27385" w:rsidRPr="004B70EB">
              <w:rPr>
                <w:noProof/>
                <w:webHidden/>
                <w:sz w:val="22"/>
              </w:rPr>
              <w:fldChar w:fldCharType="begin"/>
            </w:r>
            <w:r w:rsidR="00B27385" w:rsidRPr="004B70EB">
              <w:rPr>
                <w:noProof/>
                <w:webHidden/>
                <w:sz w:val="22"/>
              </w:rPr>
              <w:instrText xml:space="preserve"> PAGEREF _Toc414462297 \h </w:instrText>
            </w:r>
            <w:r w:rsidR="00B27385" w:rsidRPr="004B70EB">
              <w:rPr>
                <w:noProof/>
                <w:webHidden/>
                <w:sz w:val="22"/>
              </w:rPr>
            </w:r>
            <w:r w:rsidR="00B27385" w:rsidRPr="004B70EB">
              <w:rPr>
                <w:noProof/>
                <w:webHidden/>
                <w:sz w:val="22"/>
              </w:rPr>
              <w:fldChar w:fldCharType="separate"/>
            </w:r>
            <w:r w:rsidR="00E82D77">
              <w:rPr>
                <w:noProof/>
                <w:webHidden/>
                <w:sz w:val="22"/>
              </w:rPr>
              <w:t>28</w:t>
            </w:r>
            <w:r w:rsidR="00B27385" w:rsidRPr="004B70EB">
              <w:rPr>
                <w:noProof/>
                <w:webHidden/>
                <w:sz w:val="22"/>
              </w:rPr>
              <w:fldChar w:fldCharType="end"/>
            </w:r>
          </w:hyperlink>
        </w:p>
        <w:p w14:paraId="610ABBCC" w14:textId="77777777" w:rsidR="00A60265" w:rsidRDefault="00237034" w:rsidP="00A716D1">
          <w:pPr>
            <w:rPr>
              <w:noProof/>
            </w:rPr>
          </w:pPr>
          <w:r>
            <w:rPr>
              <w:b/>
              <w:noProof/>
            </w:rPr>
            <w:fldChar w:fldCharType="end"/>
          </w:r>
        </w:p>
      </w:sdtContent>
    </w:sdt>
    <w:p w14:paraId="73443892" w14:textId="3A1F624B" w:rsidR="00BD0523" w:rsidRPr="00A60265" w:rsidRDefault="00AB549D" w:rsidP="00A716D1">
      <w:r>
        <w:br w:type="page"/>
      </w:r>
    </w:p>
    <w:p w14:paraId="26FC82B0" w14:textId="77777777" w:rsidR="00B27385" w:rsidRDefault="00B27385" w:rsidP="00D20652">
      <w:pPr>
        <w:pStyle w:val="Heading1"/>
        <w:numPr>
          <w:ilvl w:val="0"/>
          <w:numId w:val="24"/>
        </w:numPr>
        <w:ind w:left="709" w:hanging="785"/>
        <w:sectPr w:rsidR="00B27385" w:rsidSect="00B668E7">
          <w:headerReference w:type="default" r:id="rId15"/>
          <w:footerReference w:type="even" r:id="rId16"/>
          <w:footerReference w:type="first" r:id="rId17"/>
          <w:type w:val="continuous"/>
          <w:pgSz w:w="11900" w:h="16840" w:code="9"/>
          <w:pgMar w:top="1418" w:right="1418" w:bottom="1418" w:left="1418" w:header="0" w:footer="0" w:gutter="0"/>
          <w:cols w:space="708"/>
          <w:docGrid w:linePitch="326"/>
        </w:sectPr>
      </w:pPr>
      <w:bookmarkStart w:id="7" w:name="_Toc184807689"/>
      <w:bookmarkStart w:id="8" w:name="_Toc398817397"/>
    </w:p>
    <w:p w14:paraId="1F5BFC00" w14:textId="0AB6EF06" w:rsidR="00DA65FC" w:rsidRDefault="00DA65FC" w:rsidP="00D20652">
      <w:pPr>
        <w:pStyle w:val="Heading1"/>
        <w:numPr>
          <w:ilvl w:val="0"/>
          <w:numId w:val="24"/>
        </w:numPr>
        <w:ind w:left="709" w:hanging="785"/>
      </w:pPr>
      <w:bookmarkStart w:id="9" w:name="_Toc414462256"/>
      <w:r w:rsidRPr="00DA65FC">
        <w:lastRenderedPageBreak/>
        <w:t>D</w:t>
      </w:r>
      <w:bookmarkEnd w:id="7"/>
      <w:bookmarkEnd w:id="8"/>
      <w:r>
        <w:t>efinitions</w:t>
      </w:r>
      <w:bookmarkEnd w:id="9"/>
    </w:p>
    <w:p w14:paraId="1629CCCB" w14:textId="77777777" w:rsidR="00C6338E" w:rsidRDefault="00C6338E" w:rsidP="005A4142"/>
    <w:p w14:paraId="43433DE2" w14:textId="0EEBDE67" w:rsidR="00DA65FC" w:rsidRDefault="00DA65FC" w:rsidP="00DA65FC">
      <w:pPr>
        <w:pStyle w:val="ListParagraph"/>
        <w:numPr>
          <w:ilvl w:val="1"/>
          <w:numId w:val="11"/>
        </w:numPr>
      </w:pPr>
      <w:r>
        <w:t>“Add-on GP IT Services” means as defined in the GP IT Operating Model;</w:t>
      </w:r>
    </w:p>
    <w:p w14:paraId="7F4558EF" w14:textId="77777777" w:rsidR="00C6338E" w:rsidRDefault="00C6338E" w:rsidP="00C6338E">
      <w:pPr>
        <w:pStyle w:val="ListParagraph"/>
      </w:pPr>
    </w:p>
    <w:p w14:paraId="253C323F" w14:textId="77777777" w:rsidR="00DA65FC" w:rsidRDefault="00DA65FC" w:rsidP="00DA65FC">
      <w:pPr>
        <w:pStyle w:val="ListParagraph"/>
        <w:numPr>
          <w:ilvl w:val="1"/>
          <w:numId w:val="11"/>
        </w:numPr>
      </w:pPr>
      <w:r>
        <w:t xml:space="preserve"> "APMS Contract" means the Alternative Provider Medical Services contract entered into by NHS England and a Contractor under Section 83(2)(b) of the National Health Service Act 2006;</w:t>
      </w:r>
    </w:p>
    <w:p w14:paraId="2271D385" w14:textId="77777777" w:rsidR="00C6338E" w:rsidRDefault="00C6338E" w:rsidP="00C6338E"/>
    <w:p w14:paraId="022FD986" w14:textId="77777777" w:rsidR="00DA65FC" w:rsidRDefault="00DA65FC" w:rsidP="00DA65FC">
      <w:pPr>
        <w:pStyle w:val="ListParagraph"/>
        <w:numPr>
          <w:ilvl w:val="1"/>
          <w:numId w:val="11"/>
        </w:numPr>
      </w:pPr>
      <w:r>
        <w:t>"Business Justification Form" means the form (a template of which is included at Appendix 4 to this Agreement) which supports the Selection Process;</w:t>
      </w:r>
    </w:p>
    <w:p w14:paraId="0F525DA9" w14:textId="77777777" w:rsidR="00C6338E" w:rsidRDefault="00C6338E" w:rsidP="00C6338E">
      <w:pPr>
        <w:pStyle w:val="ListParagraph"/>
      </w:pPr>
    </w:p>
    <w:p w14:paraId="64C3E8A9" w14:textId="77777777" w:rsidR="00DA65FC" w:rsidRDefault="00DA65FC" w:rsidP="00DA65FC">
      <w:pPr>
        <w:pStyle w:val="ListParagraph"/>
        <w:numPr>
          <w:ilvl w:val="1"/>
          <w:numId w:val="11"/>
        </w:numPr>
      </w:pPr>
      <w:r>
        <w:t xml:space="preserve">"CCG" means a clinical commissioning group; </w:t>
      </w:r>
    </w:p>
    <w:p w14:paraId="56EB8789" w14:textId="77777777" w:rsidR="00C6338E" w:rsidRDefault="00C6338E" w:rsidP="00C6338E">
      <w:pPr>
        <w:pStyle w:val="ListParagraph"/>
      </w:pPr>
    </w:p>
    <w:p w14:paraId="387C0308" w14:textId="77777777" w:rsidR="00DA65FC" w:rsidRDefault="00DA65FC" w:rsidP="00DA65FC">
      <w:pPr>
        <w:pStyle w:val="ListParagraph"/>
        <w:numPr>
          <w:ilvl w:val="1"/>
          <w:numId w:val="11"/>
        </w:numPr>
      </w:pPr>
      <w:r>
        <w:t>"Contract" means the GMS, PMS or APMS Contract entered into by the Contractor and NHS England or other NHS body;</w:t>
      </w:r>
    </w:p>
    <w:p w14:paraId="24BB7514" w14:textId="77777777" w:rsidR="00C6338E" w:rsidRDefault="00C6338E" w:rsidP="00C6338E">
      <w:pPr>
        <w:pStyle w:val="ListParagraph"/>
      </w:pPr>
    </w:p>
    <w:p w14:paraId="731BBA82" w14:textId="77777777" w:rsidR="00DA65FC" w:rsidRDefault="00DA65FC" w:rsidP="00DA65FC">
      <w:pPr>
        <w:pStyle w:val="ListParagraph"/>
        <w:numPr>
          <w:ilvl w:val="1"/>
          <w:numId w:val="11"/>
        </w:numPr>
      </w:pPr>
      <w:r>
        <w:t>"Contractor" means the person or persons that provide primary care services under the Contract at a Practice;</w:t>
      </w:r>
    </w:p>
    <w:p w14:paraId="46873FBB" w14:textId="77777777" w:rsidR="00C6338E" w:rsidRDefault="00C6338E" w:rsidP="00C6338E">
      <w:pPr>
        <w:pStyle w:val="ListParagraph"/>
      </w:pPr>
    </w:p>
    <w:p w14:paraId="777B7723" w14:textId="77777777" w:rsidR="00DA65FC" w:rsidRDefault="00DA65FC" w:rsidP="00DA65FC">
      <w:pPr>
        <w:pStyle w:val="ListParagraph"/>
        <w:numPr>
          <w:ilvl w:val="1"/>
          <w:numId w:val="11"/>
        </w:numPr>
      </w:pPr>
      <w:r>
        <w:t xml:space="preserve">“Core GP IT Services” means as defined in the GP IT Operating Model </w:t>
      </w:r>
    </w:p>
    <w:p w14:paraId="4DA4BD01" w14:textId="77777777" w:rsidR="00C6338E" w:rsidRDefault="00C6338E" w:rsidP="00C6338E">
      <w:pPr>
        <w:pStyle w:val="ListParagraph"/>
      </w:pPr>
    </w:p>
    <w:p w14:paraId="5BC7705C" w14:textId="77777777" w:rsidR="00DA65FC" w:rsidRDefault="00DA65FC" w:rsidP="00DA65FC">
      <w:pPr>
        <w:pStyle w:val="ListParagraph"/>
        <w:numPr>
          <w:ilvl w:val="1"/>
          <w:numId w:val="11"/>
        </w:numPr>
      </w:pPr>
      <w:r>
        <w:t>“Core Hours” means the hours of 07:30 until 20:30 from Monday to Sunday including Public and Bank Holidays;</w:t>
      </w:r>
    </w:p>
    <w:p w14:paraId="43F3A18F" w14:textId="77777777" w:rsidR="00C6338E" w:rsidRDefault="00C6338E" w:rsidP="00C6338E">
      <w:pPr>
        <w:pStyle w:val="ListParagraph"/>
      </w:pPr>
    </w:p>
    <w:p w14:paraId="4BBE5BEF" w14:textId="77777777" w:rsidR="00DA65FC" w:rsidRDefault="00DA65FC" w:rsidP="00DA65FC">
      <w:pPr>
        <w:pStyle w:val="ListParagraph"/>
        <w:numPr>
          <w:ilvl w:val="1"/>
          <w:numId w:val="11"/>
        </w:numPr>
      </w:pPr>
      <w:r>
        <w:t xml:space="preserve"> “Dispute Resolution Procedure” means the dispute resolution procedure set out in paragraph 6 (Dispute Resolution Procedure);</w:t>
      </w:r>
    </w:p>
    <w:p w14:paraId="7489CEC0" w14:textId="77777777" w:rsidR="00C6338E" w:rsidRDefault="00C6338E" w:rsidP="00C6338E">
      <w:pPr>
        <w:pStyle w:val="ListParagraph"/>
      </w:pPr>
    </w:p>
    <w:p w14:paraId="2D289EBB" w14:textId="77777777" w:rsidR="00DA65FC" w:rsidRDefault="00DA65FC" w:rsidP="00DA65FC">
      <w:pPr>
        <w:pStyle w:val="ListParagraph"/>
        <w:numPr>
          <w:ilvl w:val="1"/>
          <w:numId w:val="11"/>
        </w:numPr>
      </w:pPr>
      <w:r>
        <w:t xml:space="preserve">"Expert" means the independent expert appointed in accordance with clause 6.10 or 6.11 of this Agreement; </w:t>
      </w:r>
    </w:p>
    <w:p w14:paraId="65CD99DA" w14:textId="77777777" w:rsidR="00C6338E" w:rsidRDefault="00C6338E" w:rsidP="00C6338E">
      <w:pPr>
        <w:pStyle w:val="ListParagraph"/>
      </w:pPr>
    </w:p>
    <w:p w14:paraId="5C65A3BD" w14:textId="77777777" w:rsidR="00DA65FC" w:rsidRDefault="00DA65FC" w:rsidP="00DA65FC">
      <w:pPr>
        <w:pStyle w:val="ListParagraph"/>
        <w:numPr>
          <w:ilvl w:val="1"/>
          <w:numId w:val="11"/>
        </w:numPr>
      </w:pPr>
      <w:r>
        <w:t>"GMS Contract" means the General Medical Services contract entered into by NHS England and a Contractor under Section 84 of the National Health Service Act 2006;</w:t>
      </w:r>
    </w:p>
    <w:p w14:paraId="1B943503" w14:textId="77777777" w:rsidR="00C6338E" w:rsidRDefault="00C6338E" w:rsidP="00C6338E">
      <w:pPr>
        <w:pStyle w:val="ListParagraph"/>
      </w:pPr>
    </w:p>
    <w:p w14:paraId="08F68998" w14:textId="77777777" w:rsidR="00DA65FC" w:rsidRDefault="00DA65FC" w:rsidP="00DA65FC">
      <w:pPr>
        <w:pStyle w:val="ListParagraph"/>
        <w:numPr>
          <w:ilvl w:val="1"/>
          <w:numId w:val="11"/>
        </w:numPr>
      </w:pPr>
      <w:r>
        <w:t>"GMS Contractual Agreement" means the publication “New GMS Contract 2003 – Investing in General Practice” (the Blue Book);</w:t>
      </w:r>
    </w:p>
    <w:p w14:paraId="1FC26E63" w14:textId="77777777" w:rsidR="00C6338E" w:rsidRDefault="00C6338E" w:rsidP="00C6338E">
      <w:pPr>
        <w:pStyle w:val="ListParagraph"/>
      </w:pPr>
    </w:p>
    <w:p w14:paraId="77474D29" w14:textId="77777777" w:rsidR="00DA65FC" w:rsidRDefault="00DA65FC" w:rsidP="00DA65FC">
      <w:pPr>
        <w:pStyle w:val="ListParagraph"/>
        <w:numPr>
          <w:ilvl w:val="1"/>
          <w:numId w:val="11"/>
        </w:numPr>
      </w:pPr>
      <w:r>
        <w:t xml:space="preserve">"Good Practice Guidelines" means the “Good practice guidelines for general practice electronic patient records” as prepared by the Joint General Practice Information Technology Committee of the General Practitioners Committee and the Royal College of General Practitioners and sponsored by the Department of Health and available at: </w:t>
      </w:r>
      <w:hyperlink r:id="rId18" w:history="1">
        <w:r w:rsidRPr="00E8156A">
          <w:rPr>
            <w:rStyle w:val="Hyperlink"/>
          </w:rPr>
          <w:t>www.gov.uk/government/publications/the-good-practice-guidelines-for-gp-electronic-patient-records-version-4-2011</w:t>
        </w:r>
      </w:hyperlink>
    </w:p>
    <w:p w14:paraId="01118B95" w14:textId="77777777" w:rsidR="00C6338E" w:rsidRDefault="00C6338E" w:rsidP="00C6338E">
      <w:pPr>
        <w:pStyle w:val="ListParagraph"/>
      </w:pPr>
    </w:p>
    <w:p w14:paraId="6F303281" w14:textId="77777777" w:rsidR="00DA65FC" w:rsidRDefault="00DA65FC" w:rsidP="00DA65FC">
      <w:pPr>
        <w:pStyle w:val="ListParagraph"/>
        <w:numPr>
          <w:ilvl w:val="1"/>
          <w:numId w:val="11"/>
        </w:numPr>
      </w:pPr>
      <w:r>
        <w:t>“GP IT Assets” means all assets and rights used by the CCG to provide the Services to the Practice in accordance with this Agreement but excluding any assets owned by the Practice. This also includes any device that stores information;</w:t>
      </w:r>
    </w:p>
    <w:p w14:paraId="19248EC6" w14:textId="77777777" w:rsidR="00C6338E" w:rsidRDefault="00C6338E" w:rsidP="00C6338E">
      <w:pPr>
        <w:pStyle w:val="ListParagraph"/>
      </w:pPr>
    </w:p>
    <w:p w14:paraId="756A72F8" w14:textId="77777777" w:rsidR="00DA65FC" w:rsidRDefault="00DA65FC" w:rsidP="00DA65FC">
      <w:pPr>
        <w:pStyle w:val="ListParagraph"/>
        <w:numPr>
          <w:ilvl w:val="1"/>
          <w:numId w:val="11"/>
        </w:numPr>
      </w:pPr>
      <w:r>
        <w:lastRenderedPageBreak/>
        <w:t>“GP IT Delivery Partner” means a supplier contracted by the CCG for the delivery of GP IT Services;</w:t>
      </w:r>
    </w:p>
    <w:p w14:paraId="2A860BE3" w14:textId="77777777" w:rsidR="00C6338E" w:rsidRDefault="00C6338E" w:rsidP="00C6338E">
      <w:pPr>
        <w:pStyle w:val="ListParagraph"/>
      </w:pPr>
    </w:p>
    <w:p w14:paraId="5C2A0614" w14:textId="61A9A6E5" w:rsidR="00DA65FC" w:rsidRDefault="00DA65FC" w:rsidP="00DA65FC">
      <w:pPr>
        <w:pStyle w:val="ListParagraph"/>
        <w:numPr>
          <w:ilvl w:val="1"/>
          <w:numId w:val="11"/>
        </w:numPr>
      </w:pPr>
      <w:r>
        <w:t xml:space="preserve">“GP IT Operating Model” means the document entitled Securing Excellence in GP IT Services: Operating Model </w:t>
      </w:r>
      <w:hyperlink r:id="rId19" w:history="1">
        <w:r w:rsidRPr="00E8156A">
          <w:rPr>
            <w:rStyle w:val="Hyperlink"/>
          </w:rPr>
          <w:t>www.england.nhs.uk/ourwork/tsd/sst/it-pc/</w:t>
        </w:r>
      </w:hyperlink>
      <w:r>
        <w:t>.</w:t>
      </w:r>
    </w:p>
    <w:p w14:paraId="7382CD27" w14:textId="77777777" w:rsidR="00C6338E" w:rsidRDefault="00C6338E" w:rsidP="00C6338E">
      <w:pPr>
        <w:pStyle w:val="ListParagraph"/>
      </w:pPr>
    </w:p>
    <w:p w14:paraId="6551AE49" w14:textId="77777777" w:rsidR="00DA65FC" w:rsidRDefault="00DA65FC" w:rsidP="00DA65FC">
      <w:pPr>
        <w:pStyle w:val="ListParagraph"/>
        <w:numPr>
          <w:ilvl w:val="1"/>
          <w:numId w:val="11"/>
        </w:numPr>
      </w:pPr>
      <w:r>
        <w:t>“GP IT Services” means Core GP IT Services and Add-on GP IT Services;</w:t>
      </w:r>
    </w:p>
    <w:p w14:paraId="7C0556E0" w14:textId="77777777" w:rsidR="00C6338E" w:rsidRDefault="00C6338E" w:rsidP="00C6338E">
      <w:pPr>
        <w:pStyle w:val="ListParagraph"/>
      </w:pPr>
    </w:p>
    <w:p w14:paraId="1118742E" w14:textId="77777777" w:rsidR="00DA65FC" w:rsidRDefault="00DA65FC" w:rsidP="00DA65FC">
      <w:pPr>
        <w:pStyle w:val="ListParagraph"/>
        <w:numPr>
          <w:ilvl w:val="1"/>
          <w:numId w:val="11"/>
        </w:numPr>
      </w:pPr>
      <w:r>
        <w:t>"</w:t>
      </w:r>
      <w:proofErr w:type="spellStart"/>
      <w:r>
        <w:t>GPSoC</w:t>
      </w:r>
      <w:proofErr w:type="spellEnd"/>
      <w:r>
        <w:t xml:space="preserve"> Call Off Agreement" means an agreement related to the </w:t>
      </w:r>
      <w:proofErr w:type="spellStart"/>
      <w:r>
        <w:t>GPSoC</w:t>
      </w:r>
      <w:proofErr w:type="spellEnd"/>
      <w:r>
        <w:t xml:space="preserve"> Framework Agreement pursuant to which specific </w:t>
      </w:r>
      <w:proofErr w:type="spellStart"/>
      <w:r>
        <w:t>GPSoC</w:t>
      </w:r>
      <w:proofErr w:type="spellEnd"/>
      <w:r>
        <w:t xml:space="preserve"> Services are ordered for specific practices;</w:t>
      </w:r>
    </w:p>
    <w:p w14:paraId="73E2C1CA" w14:textId="77777777" w:rsidR="00C6338E" w:rsidRDefault="00C6338E" w:rsidP="00C6338E">
      <w:pPr>
        <w:pStyle w:val="ListParagraph"/>
      </w:pPr>
    </w:p>
    <w:p w14:paraId="7C1E1A2B" w14:textId="77777777" w:rsidR="00DA65FC" w:rsidRDefault="00DA65FC" w:rsidP="00DA65FC">
      <w:pPr>
        <w:pStyle w:val="ListParagraph"/>
        <w:numPr>
          <w:ilvl w:val="1"/>
          <w:numId w:val="11"/>
        </w:numPr>
      </w:pPr>
      <w:r>
        <w:t>"</w:t>
      </w:r>
      <w:proofErr w:type="spellStart"/>
      <w:r>
        <w:t>GPSoC</w:t>
      </w:r>
      <w:proofErr w:type="spellEnd"/>
      <w:r>
        <w:t xml:space="preserve"> Data Migration Specification" means the national standards applied to data migration for General Practice</w:t>
      </w:r>
    </w:p>
    <w:p w14:paraId="5D314A4F" w14:textId="77777777" w:rsidR="00C6338E" w:rsidRDefault="00C6338E" w:rsidP="00C6338E">
      <w:pPr>
        <w:pStyle w:val="ListParagraph"/>
      </w:pPr>
    </w:p>
    <w:p w14:paraId="6F8F5914" w14:textId="77777777" w:rsidR="00DA65FC" w:rsidRDefault="00DA65FC" w:rsidP="00DA65FC">
      <w:pPr>
        <w:pStyle w:val="ListParagraph"/>
        <w:numPr>
          <w:ilvl w:val="1"/>
          <w:numId w:val="11"/>
        </w:numPr>
      </w:pPr>
      <w:r>
        <w:t>"</w:t>
      </w:r>
      <w:proofErr w:type="spellStart"/>
      <w:r>
        <w:t>GPSoC</w:t>
      </w:r>
      <w:proofErr w:type="spellEnd"/>
      <w:r>
        <w:t xml:space="preserve"> Framework Agreement" means the agreements between the Secretary of State for Health and </w:t>
      </w:r>
      <w:proofErr w:type="spellStart"/>
      <w:r>
        <w:t>GPSoC</w:t>
      </w:r>
      <w:proofErr w:type="spellEnd"/>
      <w:r>
        <w:t xml:space="preserve"> Framework Suppliers for the provision of </w:t>
      </w:r>
      <w:proofErr w:type="spellStart"/>
      <w:r>
        <w:t>GPSoC</w:t>
      </w:r>
      <w:proofErr w:type="spellEnd"/>
      <w:r>
        <w:t xml:space="preserve"> Services available at: </w:t>
      </w:r>
      <w:hyperlink r:id="rId20" w:history="1">
        <w:r w:rsidRPr="00E8156A">
          <w:rPr>
            <w:rStyle w:val="Hyperlink"/>
          </w:rPr>
          <w:t>http://systems.hscic.gov.uk/gpsoc</w:t>
        </w:r>
      </w:hyperlink>
      <w:r>
        <w:t xml:space="preserve"> </w:t>
      </w:r>
    </w:p>
    <w:p w14:paraId="46FC9024" w14:textId="77777777" w:rsidR="00C6338E" w:rsidRDefault="00C6338E" w:rsidP="00C6338E">
      <w:pPr>
        <w:pStyle w:val="ListParagraph"/>
      </w:pPr>
    </w:p>
    <w:p w14:paraId="01038F1F" w14:textId="77777777" w:rsidR="00DA65FC" w:rsidRDefault="00DA65FC" w:rsidP="00DA65FC">
      <w:pPr>
        <w:pStyle w:val="ListParagraph"/>
        <w:numPr>
          <w:ilvl w:val="1"/>
          <w:numId w:val="11"/>
        </w:numPr>
      </w:pPr>
      <w:r>
        <w:t>"</w:t>
      </w:r>
      <w:proofErr w:type="spellStart"/>
      <w:r>
        <w:t>GPSoC</w:t>
      </w:r>
      <w:proofErr w:type="spellEnd"/>
      <w:r>
        <w:t xml:space="preserve"> Framework Supplier" means those suppliers which have signed a </w:t>
      </w:r>
      <w:proofErr w:type="spellStart"/>
      <w:r>
        <w:t>GPSoC</w:t>
      </w:r>
      <w:proofErr w:type="spellEnd"/>
      <w:r>
        <w:t xml:space="preserve"> Framework Agreement with the Secretary of State for Health for the provision of </w:t>
      </w:r>
      <w:proofErr w:type="spellStart"/>
      <w:r>
        <w:t>GPSoC</w:t>
      </w:r>
      <w:proofErr w:type="spellEnd"/>
      <w:r>
        <w:t xml:space="preserve"> Services;</w:t>
      </w:r>
    </w:p>
    <w:p w14:paraId="62328DF1" w14:textId="77777777" w:rsidR="00C6338E" w:rsidRDefault="00C6338E" w:rsidP="00C6338E">
      <w:pPr>
        <w:pStyle w:val="ListParagraph"/>
      </w:pPr>
    </w:p>
    <w:p w14:paraId="4D9EB491" w14:textId="77777777" w:rsidR="00DA65FC" w:rsidRDefault="00DA65FC" w:rsidP="00DA65FC">
      <w:pPr>
        <w:pStyle w:val="ListParagraph"/>
        <w:numPr>
          <w:ilvl w:val="1"/>
          <w:numId w:val="11"/>
        </w:numPr>
      </w:pPr>
      <w:r>
        <w:t>"</w:t>
      </w:r>
      <w:proofErr w:type="spellStart"/>
      <w:r>
        <w:t>GPSoC</w:t>
      </w:r>
      <w:proofErr w:type="spellEnd"/>
      <w:r>
        <w:t xml:space="preserve"> Services" means the services provided by </w:t>
      </w:r>
      <w:proofErr w:type="spellStart"/>
      <w:r>
        <w:t>GPSoC</w:t>
      </w:r>
      <w:proofErr w:type="spellEnd"/>
      <w:r>
        <w:t xml:space="preserve"> Framework Suppliers pursuant to a </w:t>
      </w:r>
      <w:proofErr w:type="spellStart"/>
      <w:r>
        <w:t>GPSoC</w:t>
      </w:r>
      <w:proofErr w:type="spellEnd"/>
      <w:r>
        <w:t xml:space="preserve"> Framework Agreement and </w:t>
      </w:r>
      <w:proofErr w:type="spellStart"/>
      <w:r>
        <w:t>GPSoC</w:t>
      </w:r>
      <w:proofErr w:type="spellEnd"/>
      <w:r>
        <w:t xml:space="preserve"> Call Off Agreement;</w:t>
      </w:r>
    </w:p>
    <w:p w14:paraId="487C40B9" w14:textId="77777777" w:rsidR="00C6338E" w:rsidRDefault="00C6338E" w:rsidP="00C6338E">
      <w:pPr>
        <w:pStyle w:val="ListParagraph"/>
      </w:pPr>
    </w:p>
    <w:p w14:paraId="3E9E3062" w14:textId="77777777" w:rsidR="00DA65FC" w:rsidRDefault="00DA65FC" w:rsidP="00DA65FC">
      <w:pPr>
        <w:pStyle w:val="ListParagraph"/>
        <w:numPr>
          <w:ilvl w:val="1"/>
          <w:numId w:val="11"/>
        </w:numPr>
      </w:pPr>
      <w:r>
        <w:t xml:space="preserve">"HSCIC" means the Health and Social Care Information Centre, the NHS agency responsible for the procurement and delivery of </w:t>
      </w:r>
      <w:proofErr w:type="spellStart"/>
      <w:r>
        <w:t>GPSoC</w:t>
      </w:r>
      <w:proofErr w:type="spellEnd"/>
      <w:r>
        <w:t xml:space="preserve"> Services;</w:t>
      </w:r>
    </w:p>
    <w:p w14:paraId="61CBE1CE" w14:textId="77777777" w:rsidR="00C6338E" w:rsidRDefault="00C6338E" w:rsidP="00C6338E">
      <w:pPr>
        <w:pStyle w:val="ListParagraph"/>
      </w:pPr>
    </w:p>
    <w:p w14:paraId="52B73E2F" w14:textId="77777777" w:rsidR="00DA65FC" w:rsidRDefault="00DA65FC" w:rsidP="00DA65FC">
      <w:pPr>
        <w:pStyle w:val="ListParagraph"/>
        <w:numPr>
          <w:ilvl w:val="1"/>
          <w:numId w:val="11"/>
        </w:numPr>
      </w:pPr>
      <w:r>
        <w:t>"National Services" means collectively N3, Spine, Choose &amp; Book, Electronic Prescription Service, GP2GP, PDS, Summary Care Record, the Access Control Framework and any programme that may be added to the scope from time to time;</w:t>
      </w:r>
    </w:p>
    <w:p w14:paraId="65A28B8D" w14:textId="77777777" w:rsidR="00C6338E" w:rsidRDefault="00C6338E" w:rsidP="00C6338E">
      <w:pPr>
        <w:pStyle w:val="ListParagraph"/>
      </w:pPr>
    </w:p>
    <w:p w14:paraId="589647F7" w14:textId="77777777" w:rsidR="00DA65FC" w:rsidRDefault="00DA65FC" w:rsidP="00DA65FC">
      <w:pPr>
        <w:pStyle w:val="ListParagraph"/>
        <w:numPr>
          <w:ilvl w:val="1"/>
          <w:numId w:val="11"/>
        </w:numPr>
      </w:pPr>
      <w:r>
        <w:t>"NHS Litigation Authority" means the National Health Service Litigation Authority established by Article 2 of the National Health Service Litigation Authority (Establishment and Constitution) Order 1995 and which is the body directed by the Secretary of State to determine disputes in connection with this Agreement that are referred to him in accordance with Section 9(6) of the National Health Service Act 2006;</w:t>
      </w:r>
    </w:p>
    <w:p w14:paraId="27D099C2" w14:textId="77777777" w:rsidR="00C6338E" w:rsidRDefault="00C6338E" w:rsidP="00C6338E">
      <w:pPr>
        <w:pStyle w:val="ListParagraph"/>
      </w:pPr>
    </w:p>
    <w:p w14:paraId="17B1957D" w14:textId="77777777" w:rsidR="00DA65FC" w:rsidRDefault="00DA65FC" w:rsidP="00DA65FC">
      <w:pPr>
        <w:pStyle w:val="ListParagraph"/>
        <w:numPr>
          <w:ilvl w:val="1"/>
          <w:numId w:val="11"/>
        </w:numPr>
      </w:pPr>
      <w:r>
        <w:t xml:space="preserve">"Practice" means all locations where a </w:t>
      </w:r>
      <w:proofErr w:type="spellStart"/>
      <w:r>
        <w:t>GPSoC</w:t>
      </w:r>
      <w:proofErr w:type="spellEnd"/>
      <w:r>
        <w:t xml:space="preserve"> Services are used or are planned to be supplied. A GP practice, including all branch sites of such GP practice, shall constitute a single Practice.  Where more than one GP practice operates from a location or share a common database each separate GP practice shall be counted as a Practice and where one or more GP practices merge, the resulting practice shall be counted as a single Practice;</w:t>
      </w:r>
    </w:p>
    <w:p w14:paraId="4AE4A3AF" w14:textId="77777777" w:rsidR="00C6338E" w:rsidRDefault="00C6338E" w:rsidP="00C6338E">
      <w:pPr>
        <w:pStyle w:val="ListParagraph"/>
      </w:pPr>
    </w:p>
    <w:p w14:paraId="4B654ED0" w14:textId="77777777" w:rsidR="00DA65FC" w:rsidRDefault="00DA65FC" w:rsidP="00DA65FC">
      <w:pPr>
        <w:pStyle w:val="ListParagraph"/>
        <w:numPr>
          <w:ilvl w:val="1"/>
          <w:numId w:val="11"/>
        </w:numPr>
      </w:pPr>
      <w:r>
        <w:lastRenderedPageBreak/>
        <w:t>"PMS Contract" means the Personal Medical Services Agreement entered into by NHS England and a Contractor under Section 92 of the National Health Service Act 2006;</w:t>
      </w:r>
    </w:p>
    <w:p w14:paraId="406842D9" w14:textId="77777777" w:rsidR="00C6338E" w:rsidRDefault="00C6338E" w:rsidP="00C6338E">
      <w:pPr>
        <w:pStyle w:val="ListParagraph"/>
      </w:pPr>
    </w:p>
    <w:p w14:paraId="705DDE5B" w14:textId="77777777" w:rsidR="00DA65FC" w:rsidRDefault="00DA65FC" w:rsidP="00DA65FC">
      <w:pPr>
        <w:pStyle w:val="ListParagraph"/>
        <w:numPr>
          <w:ilvl w:val="1"/>
          <w:numId w:val="11"/>
        </w:numPr>
      </w:pPr>
      <w:r>
        <w:t xml:space="preserve">“Principal Clinical System” means a system provided under Lot 1 of the </w:t>
      </w:r>
      <w:proofErr w:type="spellStart"/>
      <w:r>
        <w:t>GPSoC</w:t>
      </w:r>
      <w:proofErr w:type="spellEnd"/>
      <w:r>
        <w:t xml:space="preserve"> Framework Agreement meeting at least the minimum requirements for such a system as set out in the </w:t>
      </w:r>
      <w:proofErr w:type="spellStart"/>
      <w:r>
        <w:t>GPSoC</w:t>
      </w:r>
      <w:proofErr w:type="spellEnd"/>
      <w:r>
        <w:t xml:space="preserve"> Framework Agreement;</w:t>
      </w:r>
    </w:p>
    <w:p w14:paraId="7AD9433D" w14:textId="77777777" w:rsidR="00C6338E" w:rsidRDefault="00C6338E" w:rsidP="00C6338E">
      <w:pPr>
        <w:pStyle w:val="ListParagraph"/>
      </w:pPr>
    </w:p>
    <w:p w14:paraId="2E52A940" w14:textId="77777777" w:rsidR="00DA65FC" w:rsidRDefault="00DA65FC" w:rsidP="00DA65FC">
      <w:pPr>
        <w:pStyle w:val="ListParagraph"/>
        <w:numPr>
          <w:ilvl w:val="1"/>
          <w:numId w:val="11"/>
        </w:numPr>
      </w:pPr>
      <w:r>
        <w:t xml:space="preserve">“Selection Process” means the process to be followed in order to award and enter into a Call Off Agreement, as set out in the </w:t>
      </w:r>
      <w:proofErr w:type="spellStart"/>
      <w:r>
        <w:t>GPSoC</w:t>
      </w:r>
      <w:proofErr w:type="spellEnd"/>
      <w:r>
        <w:t xml:space="preserve"> Framework Agreement;</w:t>
      </w:r>
    </w:p>
    <w:p w14:paraId="7BF57524" w14:textId="77777777" w:rsidR="00C6338E" w:rsidRDefault="00C6338E" w:rsidP="00C6338E">
      <w:pPr>
        <w:pStyle w:val="ListParagraph"/>
      </w:pPr>
    </w:p>
    <w:p w14:paraId="1202B0BC" w14:textId="77777777" w:rsidR="00DA65FC" w:rsidRDefault="00DA65FC" w:rsidP="00DA65FC">
      <w:pPr>
        <w:pStyle w:val="ListParagraph"/>
        <w:numPr>
          <w:ilvl w:val="1"/>
          <w:numId w:val="11"/>
        </w:numPr>
      </w:pPr>
      <w:r>
        <w:t xml:space="preserve">"Services" means the </w:t>
      </w:r>
      <w:proofErr w:type="spellStart"/>
      <w:r>
        <w:t>GPSoC</w:t>
      </w:r>
      <w:proofErr w:type="spellEnd"/>
      <w:r>
        <w:t xml:space="preserve"> Services and/or GP IT Services commissioned by the CCG and set out in the Summary of Services;  </w:t>
      </w:r>
    </w:p>
    <w:p w14:paraId="129BDB32" w14:textId="77777777" w:rsidR="00C6338E" w:rsidRDefault="00C6338E" w:rsidP="00C6338E">
      <w:pPr>
        <w:pStyle w:val="ListParagraph"/>
      </w:pPr>
    </w:p>
    <w:p w14:paraId="65BFCC8D" w14:textId="77777777" w:rsidR="00DA65FC" w:rsidRDefault="00DA65FC" w:rsidP="00DA65FC">
      <w:pPr>
        <w:pStyle w:val="ListParagraph"/>
        <w:numPr>
          <w:ilvl w:val="1"/>
          <w:numId w:val="11"/>
        </w:numPr>
      </w:pPr>
      <w:r>
        <w:t>"Support &amp; Maintenance Service Levels" means the service levels for support and maintenance agreed by the CCG and the Practice and set out in Appendix 2;</w:t>
      </w:r>
    </w:p>
    <w:p w14:paraId="0034BD0C" w14:textId="77777777" w:rsidR="00C6338E" w:rsidRDefault="00C6338E" w:rsidP="00C6338E">
      <w:pPr>
        <w:pStyle w:val="ListParagraph"/>
      </w:pPr>
    </w:p>
    <w:p w14:paraId="7F198151" w14:textId="77777777" w:rsidR="00DA65FC" w:rsidRDefault="00DA65FC" w:rsidP="00DA65FC">
      <w:pPr>
        <w:pStyle w:val="ListParagraph"/>
        <w:numPr>
          <w:ilvl w:val="1"/>
          <w:numId w:val="11"/>
        </w:numPr>
      </w:pPr>
      <w:r>
        <w:t>"Smart Card" means a security device, the use of which allows individuals to access the National Services;</w:t>
      </w:r>
    </w:p>
    <w:p w14:paraId="02452B76" w14:textId="77777777" w:rsidR="00C6338E" w:rsidRDefault="00C6338E" w:rsidP="00C6338E">
      <w:pPr>
        <w:pStyle w:val="ListParagraph"/>
      </w:pPr>
    </w:p>
    <w:p w14:paraId="6E59C4DE" w14:textId="77777777" w:rsidR="00DA65FC" w:rsidRDefault="00DA65FC" w:rsidP="00DA65FC">
      <w:pPr>
        <w:pStyle w:val="ListParagraph"/>
        <w:numPr>
          <w:ilvl w:val="1"/>
          <w:numId w:val="11"/>
        </w:numPr>
      </w:pPr>
      <w:r>
        <w:t>"Summary of Services" has the meaning given to it in clause 3.1;</w:t>
      </w:r>
    </w:p>
    <w:p w14:paraId="32A106E4" w14:textId="77777777" w:rsidR="00C6338E" w:rsidRDefault="00C6338E" w:rsidP="00C6338E">
      <w:pPr>
        <w:pStyle w:val="ListParagraph"/>
      </w:pPr>
    </w:p>
    <w:p w14:paraId="0B3BDDB7" w14:textId="77777777" w:rsidR="00DA65FC" w:rsidRDefault="00DA65FC" w:rsidP="00DA65FC">
      <w:pPr>
        <w:pStyle w:val="ListParagraph"/>
        <w:numPr>
          <w:ilvl w:val="1"/>
          <w:numId w:val="11"/>
        </w:numPr>
      </w:pPr>
      <w:r>
        <w:t xml:space="preserve">"Supplier" means a </w:t>
      </w:r>
      <w:proofErr w:type="spellStart"/>
      <w:r>
        <w:t>GPSoC</w:t>
      </w:r>
      <w:proofErr w:type="spellEnd"/>
      <w:r>
        <w:t xml:space="preserve"> Framework Supplier or any other supplier providing IT systems, software or hardware to the Practice on behalf of the CCG;</w:t>
      </w:r>
    </w:p>
    <w:p w14:paraId="66922371" w14:textId="77777777" w:rsidR="00C6338E" w:rsidRDefault="00C6338E" w:rsidP="00C6338E">
      <w:pPr>
        <w:pStyle w:val="ListParagraph"/>
      </w:pPr>
    </w:p>
    <w:p w14:paraId="73443897" w14:textId="12B577F2" w:rsidR="00BD0523" w:rsidRPr="00DA65FC" w:rsidRDefault="00DA65FC" w:rsidP="00DA65FC">
      <w:pPr>
        <w:pStyle w:val="ListParagraph"/>
        <w:numPr>
          <w:ilvl w:val="1"/>
          <w:numId w:val="11"/>
        </w:numPr>
      </w:pPr>
      <w:r>
        <w:t xml:space="preserve">"Training Service Requirements" means the training service requirements defined in the terms of the </w:t>
      </w:r>
      <w:proofErr w:type="spellStart"/>
      <w:r>
        <w:t>GPSoC</w:t>
      </w:r>
      <w:proofErr w:type="spellEnd"/>
      <w:r>
        <w:t xml:space="preserve"> Framework Agreement.</w:t>
      </w:r>
      <w:r w:rsidR="00BD0523" w:rsidRPr="00DA65FC">
        <w:rPr>
          <w:i/>
        </w:rPr>
        <w:br w:type="page"/>
      </w:r>
    </w:p>
    <w:p w14:paraId="139FD94B" w14:textId="77777777" w:rsidR="00D20652" w:rsidRPr="00D20652" w:rsidRDefault="00D20652" w:rsidP="00D20652">
      <w:pPr>
        <w:rPr>
          <w:vanish/>
        </w:rPr>
      </w:pPr>
    </w:p>
    <w:p w14:paraId="7909FF7A" w14:textId="7627FC49" w:rsidR="00D20652" w:rsidRDefault="00D20652" w:rsidP="00DA2C18">
      <w:pPr>
        <w:pStyle w:val="Heading1"/>
        <w:numPr>
          <w:ilvl w:val="0"/>
          <w:numId w:val="24"/>
        </w:numPr>
        <w:ind w:left="709" w:hanging="785"/>
      </w:pPr>
      <w:bookmarkStart w:id="10" w:name="_Toc414462257"/>
      <w:r>
        <w:t>Background</w:t>
      </w:r>
      <w:bookmarkEnd w:id="10"/>
    </w:p>
    <w:p w14:paraId="7706680A" w14:textId="77777777" w:rsidR="00DA2C18" w:rsidRPr="00DA2C18" w:rsidRDefault="00DA2C18" w:rsidP="00DA2C18"/>
    <w:p w14:paraId="47AA5E3F" w14:textId="1522F47C" w:rsidR="00C6338E" w:rsidRDefault="00C6338E" w:rsidP="00DA2C18">
      <w:pPr>
        <w:pStyle w:val="ListParagraph"/>
        <w:numPr>
          <w:ilvl w:val="1"/>
          <w:numId w:val="12"/>
        </w:numPr>
      </w:pPr>
      <w:r>
        <w:t xml:space="preserve">NHS England is responsible for the delivery of GP IT Services, but – in order to support local clinical leaders to lead service redesign – NHS England has directed CCGs to carry out the responsibility for delivering certain key elements of GP IT Services. The GP IT Operating Model builds on those foundations, describing the operating arrangements and leadership required to support the effective delivery of GP IT Services, which will be delivered in conjunction with </w:t>
      </w:r>
      <w:proofErr w:type="spellStart"/>
      <w:r>
        <w:t>GPSoC</w:t>
      </w:r>
      <w:proofErr w:type="spellEnd"/>
      <w:r>
        <w:t xml:space="preserve"> Services in order to support general practice.</w:t>
      </w:r>
    </w:p>
    <w:p w14:paraId="70E2D02B" w14:textId="77777777" w:rsidR="00C6338E" w:rsidRDefault="00C6338E" w:rsidP="00C6338E">
      <w:pPr>
        <w:pStyle w:val="ListParagraph"/>
      </w:pPr>
    </w:p>
    <w:p w14:paraId="75401751" w14:textId="77777777" w:rsidR="00C6338E" w:rsidRDefault="00C6338E" w:rsidP="00C6338E">
      <w:pPr>
        <w:pStyle w:val="ListParagraph"/>
        <w:numPr>
          <w:ilvl w:val="1"/>
          <w:numId w:val="12"/>
        </w:numPr>
      </w:pPr>
      <w:r>
        <w:t>These terms set out:</w:t>
      </w:r>
    </w:p>
    <w:p w14:paraId="34BD9B27" w14:textId="77777777" w:rsidR="00C6338E" w:rsidRDefault="00C6338E" w:rsidP="00C6338E">
      <w:pPr>
        <w:pStyle w:val="ListParagraph"/>
      </w:pPr>
    </w:p>
    <w:p w14:paraId="7124F5E2" w14:textId="77777777" w:rsidR="00C6338E" w:rsidRDefault="00C6338E" w:rsidP="00DA2C18">
      <w:pPr>
        <w:pStyle w:val="ListParagraph"/>
        <w:numPr>
          <w:ilvl w:val="2"/>
          <w:numId w:val="12"/>
        </w:numPr>
        <w:ind w:left="1843" w:hanging="1134"/>
      </w:pPr>
      <w:r>
        <w:t xml:space="preserve">the basis on which a CCG will provide the Services to Practices; and </w:t>
      </w:r>
    </w:p>
    <w:p w14:paraId="58F010FB" w14:textId="77777777" w:rsidR="00C6338E" w:rsidRDefault="00C6338E" w:rsidP="00DA2C18">
      <w:pPr>
        <w:pStyle w:val="ListParagraph"/>
        <w:ind w:left="1843" w:hanging="1134"/>
      </w:pPr>
    </w:p>
    <w:p w14:paraId="2EC5B42D" w14:textId="77777777" w:rsidR="00C6338E" w:rsidRDefault="00C6338E" w:rsidP="00DA2C18">
      <w:pPr>
        <w:pStyle w:val="ListParagraph"/>
        <w:numPr>
          <w:ilvl w:val="2"/>
          <w:numId w:val="12"/>
        </w:numPr>
        <w:ind w:left="1843" w:hanging="1134"/>
      </w:pPr>
      <w:proofErr w:type="gramStart"/>
      <w:r>
        <w:t>each</w:t>
      </w:r>
      <w:proofErr w:type="gramEnd"/>
      <w:r>
        <w:t xml:space="preserve"> Practice’s responsibilities in respect of the receipt of these Services.</w:t>
      </w:r>
    </w:p>
    <w:p w14:paraId="50152655" w14:textId="77777777" w:rsidR="00C6338E" w:rsidRDefault="00C6338E" w:rsidP="00C6338E">
      <w:pPr>
        <w:pStyle w:val="ListParagraph"/>
      </w:pPr>
    </w:p>
    <w:p w14:paraId="26C85CF5" w14:textId="719DDC31" w:rsidR="00C6338E" w:rsidRDefault="00C6338E" w:rsidP="00C6338E">
      <w:pPr>
        <w:pStyle w:val="ListParagraph"/>
        <w:numPr>
          <w:ilvl w:val="1"/>
          <w:numId w:val="12"/>
        </w:numPr>
      </w:pPr>
      <w:r>
        <w:t xml:space="preserve">For the avoidance of doubt, the Services constitute all of the information management and technology services, including the </w:t>
      </w:r>
      <w:proofErr w:type="spellStart"/>
      <w:r>
        <w:t>GPSoC</w:t>
      </w:r>
      <w:proofErr w:type="spellEnd"/>
      <w:r>
        <w:t xml:space="preserve"> Services, provided to the Practice by the CCG.</w:t>
      </w:r>
    </w:p>
    <w:p w14:paraId="4844A85D" w14:textId="77777777" w:rsidR="00C6338E" w:rsidRDefault="00C6338E" w:rsidP="00C6338E">
      <w:pPr>
        <w:pStyle w:val="ListParagraph"/>
      </w:pPr>
    </w:p>
    <w:p w14:paraId="47B81637" w14:textId="77777777" w:rsidR="00C6338E" w:rsidRDefault="00C6338E" w:rsidP="00C6338E">
      <w:pPr>
        <w:pStyle w:val="ListParagraph"/>
        <w:numPr>
          <w:ilvl w:val="1"/>
          <w:numId w:val="12"/>
        </w:numPr>
      </w:pPr>
      <w:r>
        <w:t>These terms are a bilateral agreement between:</w:t>
      </w:r>
    </w:p>
    <w:p w14:paraId="37D58AA1" w14:textId="77777777" w:rsidR="00C6338E" w:rsidRDefault="00C6338E" w:rsidP="00C6338E">
      <w:pPr>
        <w:pStyle w:val="ListParagraph"/>
      </w:pPr>
    </w:p>
    <w:p w14:paraId="09150811" w14:textId="322FBA05" w:rsidR="00C6338E" w:rsidRDefault="00C6338E" w:rsidP="00DA2C18">
      <w:pPr>
        <w:pStyle w:val="ListParagraph"/>
        <w:numPr>
          <w:ilvl w:val="2"/>
          <w:numId w:val="12"/>
        </w:numPr>
        <w:ind w:left="1843" w:hanging="1134"/>
      </w:pPr>
      <w:r>
        <w:t>each Practice receiving the Services; and</w:t>
      </w:r>
    </w:p>
    <w:p w14:paraId="214A900D" w14:textId="77777777" w:rsidR="00C6338E" w:rsidRDefault="00C6338E" w:rsidP="00DA2C18">
      <w:pPr>
        <w:ind w:left="709"/>
      </w:pPr>
    </w:p>
    <w:p w14:paraId="37E6ECE7" w14:textId="77777777" w:rsidR="00C6338E" w:rsidRDefault="00C6338E" w:rsidP="00DA2C18">
      <w:pPr>
        <w:pStyle w:val="ListParagraph"/>
        <w:numPr>
          <w:ilvl w:val="2"/>
          <w:numId w:val="12"/>
        </w:numPr>
        <w:ind w:left="1843" w:hanging="1134"/>
      </w:pPr>
      <w:proofErr w:type="gramStart"/>
      <w:r>
        <w:t>the</w:t>
      </w:r>
      <w:proofErr w:type="gramEnd"/>
      <w:r>
        <w:t xml:space="preserve"> applicable CCG providing Services to the Practice.</w:t>
      </w:r>
    </w:p>
    <w:p w14:paraId="7872CF9D" w14:textId="77777777" w:rsidR="00C6338E" w:rsidRDefault="00C6338E" w:rsidP="00C6338E">
      <w:pPr>
        <w:pStyle w:val="ListParagraph"/>
      </w:pPr>
    </w:p>
    <w:p w14:paraId="182C57CD" w14:textId="3255216D" w:rsidR="00C6338E" w:rsidRDefault="00C6338E" w:rsidP="00C6338E">
      <w:pPr>
        <w:pStyle w:val="ListParagraph"/>
        <w:numPr>
          <w:ilvl w:val="1"/>
          <w:numId w:val="12"/>
        </w:numPr>
      </w:pPr>
      <w:r>
        <w:t xml:space="preserve">Where a dispute arising in respect of </w:t>
      </w:r>
      <w:proofErr w:type="gramStart"/>
      <w:r>
        <w:t>either party’s rights and</w:t>
      </w:r>
      <w:proofErr w:type="gramEnd"/>
      <w:r>
        <w:t xml:space="preserve"> responsibilities under this Agreement cannot be resolved by the parties in accordance with the local escalation procedure set out in Appendix 3, the Dispute Resolution Procedure, shall be invoked.</w:t>
      </w:r>
    </w:p>
    <w:p w14:paraId="0EB02DCC" w14:textId="77777777" w:rsidR="00C6338E" w:rsidRDefault="00C6338E" w:rsidP="00C6338E">
      <w:pPr>
        <w:pStyle w:val="ListParagraph"/>
      </w:pPr>
    </w:p>
    <w:p w14:paraId="3A8186DA" w14:textId="77777777" w:rsidR="00D913B6" w:rsidRDefault="00C6338E" w:rsidP="00C6338E">
      <w:pPr>
        <w:pStyle w:val="ListParagraph"/>
        <w:numPr>
          <w:ilvl w:val="1"/>
          <w:numId w:val="12"/>
        </w:numPr>
      </w:pPr>
      <w:r>
        <w:t>A CCG may choose to delegate the fulfilment of part of its responsibilities under this Agreement to a third party such as GP IT Delivery Partner, as described in the GP IT Operating Model.  The GP IT Operating Model also sets out the responsibilities which may not be delegated by the CCG. The CCG will need to ensure that such third party delivers the GP IT Services in line with the obligations set out in this Agreement (see clause 4.12).</w:t>
      </w:r>
    </w:p>
    <w:p w14:paraId="427D79E7" w14:textId="77777777" w:rsidR="00D913B6" w:rsidRDefault="00D913B6" w:rsidP="00D913B6">
      <w:pPr>
        <w:pStyle w:val="ListParagraph"/>
      </w:pPr>
    </w:p>
    <w:p w14:paraId="153EB795" w14:textId="77777777" w:rsidR="00D913B6" w:rsidRDefault="00C6338E" w:rsidP="00C6338E">
      <w:pPr>
        <w:pStyle w:val="ListParagraph"/>
        <w:numPr>
          <w:ilvl w:val="1"/>
          <w:numId w:val="12"/>
        </w:numPr>
      </w:pPr>
      <w:r>
        <w:t xml:space="preserve">This Agreement shall be governed by and construed in accordance with English Law and subject to clause 6 of this Agreement, be subject to the exclusive jurisdiction of the English Courts.  </w:t>
      </w:r>
    </w:p>
    <w:p w14:paraId="2E2C26E3" w14:textId="77777777" w:rsidR="00D913B6" w:rsidRDefault="00D913B6" w:rsidP="00D913B6">
      <w:pPr>
        <w:pStyle w:val="ListParagraph"/>
      </w:pPr>
    </w:p>
    <w:p w14:paraId="4E64496F" w14:textId="77777777" w:rsidR="00D913B6" w:rsidRDefault="00C6338E" w:rsidP="00C6338E">
      <w:pPr>
        <w:pStyle w:val="ListParagraph"/>
        <w:numPr>
          <w:ilvl w:val="1"/>
          <w:numId w:val="12"/>
        </w:numPr>
      </w:pPr>
      <w:r>
        <w:t xml:space="preserve">The terms of this Agreement can only be varied in accordance with the provisions of clause 9. </w:t>
      </w:r>
    </w:p>
    <w:p w14:paraId="60F64F65" w14:textId="77777777" w:rsidR="00D913B6" w:rsidRDefault="00D913B6" w:rsidP="00D913B6">
      <w:pPr>
        <w:pStyle w:val="ListParagraph"/>
      </w:pPr>
    </w:p>
    <w:p w14:paraId="66327CE2" w14:textId="77777777" w:rsidR="00D913B6" w:rsidRDefault="00C6338E" w:rsidP="00C6338E">
      <w:pPr>
        <w:pStyle w:val="ListParagraph"/>
        <w:numPr>
          <w:ilvl w:val="1"/>
          <w:numId w:val="12"/>
        </w:numPr>
      </w:pPr>
      <w:r>
        <w:t>In the event of a conflict between a provision of this Agreement and a provision of the Contract, the provisions of the Contract shall prevail.</w:t>
      </w:r>
    </w:p>
    <w:p w14:paraId="75B8B5B9" w14:textId="77777777" w:rsidR="00D913B6" w:rsidRDefault="00D913B6" w:rsidP="00D913B6">
      <w:pPr>
        <w:pStyle w:val="ListParagraph"/>
      </w:pPr>
    </w:p>
    <w:p w14:paraId="6BF8B09E" w14:textId="77777777" w:rsidR="00D913B6" w:rsidRDefault="00C6338E" w:rsidP="00C6338E">
      <w:pPr>
        <w:pStyle w:val="ListParagraph"/>
        <w:numPr>
          <w:ilvl w:val="1"/>
          <w:numId w:val="12"/>
        </w:numPr>
      </w:pPr>
      <w:r>
        <w:lastRenderedPageBreak/>
        <w:t>Wherever a clause states that the CCG or the Practice shall undertake an activity, the relevant party shall bear its own costs for taking part in the activity unless otherwise stated in this Agreement or in the Contract.</w:t>
      </w:r>
    </w:p>
    <w:p w14:paraId="14AB247F" w14:textId="77777777" w:rsidR="00D913B6" w:rsidRDefault="00D913B6" w:rsidP="00D913B6">
      <w:pPr>
        <w:pStyle w:val="ListParagraph"/>
      </w:pPr>
    </w:p>
    <w:p w14:paraId="14CBF754" w14:textId="460C12FE" w:rsidR="00D913B6" w:rsidRDefault="00C6338E" w:rsidP="00C6338E">
      <w:pPr>
        <w:pStyle w:val="ListParagraph"/>
        <w:numPr>
          <w:ilvl w:val="1"/>
          <w:numId w:val="12"/>
        </w:numPr>
      </w:pPr>
      <w:r>
        <w:t xml:space="preserve">Any references to a body, organisation or agency in this Agreement shall be interpreted to include their successors. </w:t>
      </w:r>
    </w:p>
    <w:p w14:paraId="734438A5" w14:textId="363D6997" w:rsidR="00F623F3" w:rsidRDefault="00D913B6" w:rsidP="00F623F3">
      <w:r>
        <w:br w:type="page"/>
      </w:r>
      <w:bookmarkStart w:id="11" w:name="_Toc388457430"/>
      <w:bookmarkEnd w:id="4"/>
      <w:bookmarkEnd w:id="5"/>
    </w:p>
    <w:p w14:paraId="61837EAA" w14:textId="04EE378E" w:rsidR="00D20652" w:rsidRDefault="00D20652" w:rsidP="002B6313">
      <w:pPr>
        <w:pStyle w:val="Heading1"/>
        <w:numPr>
          <w:ilvl w:val="0"/>
          <w:numId w:val="12"/>
        </w:numPr>
      </w:pPr>
      <w:bookmarkStart w:id="12" w:name="_Toc414462258"/>
      <w:r>
        <w:lastRenderedPageBreak/>
        <w:t>Mutual responsibilities of the parties</w:t>
      </w:r>
      <w:bookmarkEnd w:id="12"/>
    </w:p>
    <w:p w14:paraId="41D6020D" w14:textId="77777777" w:rsidR="002B6313" w:rsidRPr="002B6313" w:rsidRDefault="002B6313" w:rsidP="002B6313"/>
    <w:p w14:paraId="0D557B09" w14:textId="0C9F20B8" w:rsidR="00D20652" w:rsidRDefault="00D20652" w:rsidP="00D20652">
      <w:pPr>
        <w:pStyle w:val="Heading2"/>
        <w:numPr>
          <w:ilvl w:val="0"/>
          <w:numId w:val="0"/>
        </w:numPr>
        <w:ind w:left="576" w:hanging="576"/>
      </w:pPr>
      <w:bookmarkStart w:id="13" w:name="_Toc414462259"/>
      <w:r>
        <w:t>Services</w:t>
      </w:r>
      <w:bookmarkEnd w:id="13"/>
    </w:p>
    <w:p w14:paraId="631AB2B6" w14:textId="77777777" w:rsidR="00D20652" w:rsidRPr="00D20652" w:rsidRDefault="00D20652" w:rsidP="00D20652"/>
    <w:p w14:paraId="3E0F4B37" w14:textId="77777777" w:rsidR="005570B3" w:rsidRDefault="00D913B6" w:rsidP="005570B3">
      <w:pPr>
        <w:pStyle w:val="ListParagraph"/>
        <w:numPr>
          <w:ilvl w:val="1"/>
          <w:numId w:val="27"/>
        </w:numPr>
        <w:ind w:left="709"/>
      </w:pPr>
      <w:r>
        <w:t>The CCG shall complete and maintain an up-to-date summary description of the Services for the Practice ("Summary of Services"). A copy of this description should be maintained in Appendix 1 of this Agreement.</w:t>
      </w:r>
    </w:p>
    <w:p w14:paraId="0EA5F0B0" w14:textId="77777777" w:rsidR="005570B3" w:rsidRDefault="005570B3" w:rsidP="005570B3">
      <w:pPr>
        <w:pStyle w:val="ListParagraph"/>
        <w:ind w:left="709"/>
      </w:pPr>
    </w:p>
    <w:p w14:paraId="27C70F7B" w14:textId="77777777" w:rsidR="005570B3" w:rsidRDefault="00D913B6" w:rsidP="005570B3">
      <w:pPr>
        <w:pStyle w:val="ListParagraph"/>
        <w:numPr>
          <w:ilvl w:val="1"/>
          <w:numId w:val="27"/>
        </w:numPr>
        <w:ind w:left="709"/>
      </w:pPr>
      <w:r>
        <w:t xml:space="preserve">The CCG shall provide the Services identified in the Summary of Services. </w:t>
      </w:r>
    </w:p>
    <w:p w14:paraId="7992179F" w14:textId="77777777" w:rsidR="005570B3" w:rsidRDefault="005570B3" w:rsidP="005570B3">
      <w:pPr>
        <w:pStyle w:val="ListParagraph"/>
      </w:pPr>
    </w:p>
    <w:p w14:paraId="6D93E141" w14:textId="77777777" w:rsidR="005570B3" w:rsidRDefault="00D913B6" w:rsidP="005570B3">
      <w:pPr>
        <w:pStyle w:val="ListParagraph"/>
        <w:numPr>
          <w:ilvl w:val="1"/>
          <w:numId w:val="27"/>
        </w:numPr>
        <w:ind w:left="709"/>
      </w:pPr>
      <w:r>
        <w:t>The CCG shall provide a copy of a new current Summary of Services to the Practice each time it is updated.</w:t>
      </w:r>
    </w:p>
    <w:p w14:paraId="663A06BE" w14:textId="77777777" w:rsidR="005570B3" w:rsidRDefault="005570B3" w:rsidP="005570B3">
      <w:pPr>
        <w:pStyle w:val="ListParagraph"/>
      </w:pPr>
    </w:p>
    <w:p w14:paraId="15C75116" w14:textId="77777777" w:rsidR="005570B3" w:rsidRDefault="00D913B6" w:rsidP="005570B3">
      <w:pPr>
        <w:pStyle w:val="ListParagraph"/>
        <w:numPr>
          <w:ilvl w:val="1"/>
          <w:numId w:val="27"/>
        </w:numPr>
        <w:ind w:left="709"/>
      </w:pPr>
      <w:r>
        <w:t xml:space="preserve">So as to ensure that the Summary of Services remains accurate on an </w:t>
      </w:r>
      <w:proofErr w:type="spellStart"/>
      <w:r>
        <w:t>ongoing</w:t>
      </w:r>
      <w:proofErr w:type="spellEnd"/>
      <w:r>
        <w:t xml:space="preserve"> basis, if the Practice is to receive, or is receiving, services from the CCG which are outside the scope of the Summary of Services, the Practice shall agree with the CCG a revised Summary of Services.</w:t>
      </w:r>
    </w:p>
    <w:p w14:paraId="7EA10E6F" w14:textId="77777777" w:rsidR="005570B3" w:rsidRDefault="005570B3" w:rsidP="005570B3">
      <w:pPr>
        <w:pStyle w:val="ListParagraph"/>
      </w:pPr>
    </w:p>
    <w:p w14:paraId="70BC13D6" w14:textId="77777777" w:rsidR="005570B3" w:rsidRDefault="00D913B6" w:rsidP="005570B3">
      <w:pPr>
        <w:pStyle w:val="ListParagraph"/>
        <w:numPr>
          <w:ilvl w:val="1"/>
          <w:numId w:val="27"/>
        </w:numPr>
        <w:ind w:left="709"/>
      </w:pPr>
      <w:r>
        <w:t>It is the responsibility of the Practice to inform the CCG if the current version of the Summary of Services is out of date or contains errors.</w:t>
      </w:r>
    </w:p>
    <w:p w14:paraId="3366C914" w14:textId="77777777" w:rsidR="005570B3" w:rsidRDefault="005570B3" w:rsidP="005570B3">
      <w:pPr>
        <w:pStyle w:val="ListParagraph"/>
      </w:pPr>
    </w:p>
    <w:p w14:paraId="4940AA12" w14:textId="77777777" w:rsidR="005570B3" w:rsidRDefault="00D913B6" w:rsidP="005570B3">
      <w:pPr>
        <w:pStyle w:val="ListParagraph"/>
        <w:numPr>
          <w:ilvl w:val="1"/>
          <w:numId w:val="27"/>
        </w:numPr>
        <w:ind w:left="709"/>
      </w:pPr>
      <w:r>
        <w:t>The Practice shall notify the CCG of any software and/or hardware used by the Practice, that is installed on or utilises the IT infrastructure provided to the Practice under this Agreement but which has not been provided by the CCG.  Where so notified by the Practice, the CCG may acting reasonably at its discretion decide to:</w:t>
      </w:r>
    </w:p>
    <w:p w14:paraId="557D54A9" w14:textId="77777777" w:rsidR="005570B3" w:rsidRDefault="005570B3" w:rsidP="005570B3">
      <w:pPr>
        <w:pStyle w:val="ListParagraph"/>
      </w:pPr>
    </w:p>
    <w:p w14:paraId="33C1763D" w14:textId="77777777" w:rsidR="005570B3" w:rsidRDefault="00D913B6" w:rsidP="005570B3">
      <w:pPr>
        <w:pStyle w:val="ListParagraph"/>
        <w:numPr>
          <w:ilvl w:val="2"/>
          <w:numId w:val="27"/>
        </w:numPr>
        <w:ind w:left="1843" w:hanging="1134"/>
      </w:pPr>
      <w:r>
        <w:t>provide service desk support for that software and/or hardware and include this provision in the Summary of Services;</w:t>
      </w:r>
    </w:p>
    <w:p w14:paraId="3649031B" w14:textId="77777777" w:rsidR="005570B3" w:rsidRDefault="005570B3" w:rsidP="005570B3">
      <w:pPr>
        <w:ind w:left="709"/>
      </w:pPr>
    </w:p>
    <w:p w14:paraId="0DDE622B" w14:textId="77777777" w:rsidR="005570B3" w:rsidRDefault="00D913B6" w:rsidP="005570B3">
      <w:pPr>
        <w:pStyle w:val="ListParagraph"/>
        <w:numPr>
          <w:ilvl w:val="2"/>
          <w:numId w:val="27"/>
        </w:numPr>
        <w:ind w:left="1843" w:hanging="1134"/>
      </w:pPr>
      <w:r>
        <w:t>approve the use of the software and/or hardware but not provide service desk support; or</w:t>
      </w:r>
    </w:p>
    <w:p w14:paraId="766FAB29" w14:textId="77777777" w:rsidR="005570B3" w:rsidRDefault="005570B3" w:rsidP="005570B3">
      <w:pPr>
        <w:pStyle w:val="ListParagraph"/>
      </w:pPr>
    </w:p>
    <w:p w14:paraId="2469A7D1" w14:textId="77777777" w:rsidR="005570B3" w:rsidRDefault="00D913B6" w:rsidP="005570B3">
      <w:pPr>
        <w:pStyle w:val="ListParagraph"/>
        <w:numPr>
          <w:ilvl w:val="2"/>
          <w:numId w:val="27"/>
        </w:numPr>
        <w:ind w:left="1843" w:hanging="1134"/>
      </w:pPr>
      <w:proofErr w:type="gramStart"/>
      <w:r>
        <w:t>bar</w:t>
      </w:r>
      <w:proofErr w:type="gramEnd"/>
      <w:r>
        <w:t xml:space="preserve"> the use of the software and/or hardware where there is a demonstrable security, integrity and/or performance risk to the Services provided by the CCG.</w:t>
      </w:r>
    </w:p>
    <w:p w14:paraId="372D8204" w14:textId="77777777" w:rsidR="005570B3" w:rsidRDefault="005570B3" w:rsidP="005570B3"/>
    <w:p w14:paraId="5B879B45" w14:textId="77777777" w:rsidR="005570B3" w:rsidRDefault="00D913B6" w:rsidP="005570B3">
      <w:pPr>
        <w:pStyle w:val="ListParagraph"/>
        <w:numPr>
          <w:ilvl w:val="1"/>
          <w:numId w:val="27"/>
        </w:numPr>
        <w:ind w:left="709"/>
      </w:pPr>
      <w:r>
        <w:t>The Practice shall not install any hardware or software or make changes to any hardware/software configuration that is installed on or utilises the IT infrastructure provided to the Practice under this Agreement unless agreed by the CCG, such agreement not to be unreasonably withheld.</w:t>
      </w:r>
    </w:p>
    <w:p w14:paraId="040B344D" w14:textId="77777777" w:rsidR="005570B3" w:rsidRDefault="005570B3" w:rsidP="005570B3">
      <w:pPr>
        <w:ind w:left="-11"/>
      </w:pPr>
    </w:p>
    <w:p w14:paraId="577168DC" w14:textId="77777777" w:rsidR="005570B3" w:rsidRDefault="00D913B6" w:rsidP="005570B3">
      <w:pPr>
        <w:pStyle w:val="ListParagraph"/>
        <w:numPr>
          <w:ilvl w:val="1"/>
          <w:numId w:val="27"/>
        </w:numPr>
        <w:ind w:left="709"/>
      </w:pPr>
      <w:r>
        <w:t>The CCG shall maintain a list of software and hardware (available on request) that may be installed on the IT infrastruct</w:t>
      </w:r>
      <w:r w:rsidR="005570B3">
        <w:t>ure in the Practice.</w:t>
      </w:r>
    </w:p>
    <w:p w14:paraId="44CC7B4D" w14:textId="77777777" w:rsidR="005570B3" w:rsidRDefault="005570B3" w:rsidP="005570B3"/>
    <w:p w14:paraId="69A4F334" w14:textId="77777777" w:rsidR="005570B3" w:rsidRDefault="00D913B6" w:rsidP="005570B3">
      <w:pPr>
        <w:pStyle w:val="ListParagraph"/>
        <w:numPr>
          <w:ilvl w:val="1"/>
          <w:numId w:val="27"/>
        </w:numPr>
        <w:ind w:left="709"/>
      </w:pPr>
      <w:r>
        <w:t xml:space="preserve">A list of third party software that each Supplier states is compatible with each version of </w:t>
      </w:r>
      <w:proofErr w:type="spellStart"/>
      <w:r>
        <w:t>GPSoC</w:t>
      </w:r>
      <w:proofErr w:type="spellEnd"/>
      <w:r>
        <w:t xml:space="preserve"> Services and shall be published at </w:t>
      </w:r>
      <w:hyperlink r:id="rId21" w:history="1">
        <w:r w:rsidRPr="00E8156A">
          <w:rPr>
            <w:rStyle w:val="Hyperlink"/>
          </w:rPr>
          <w:t>http://systems.hscic.gov.uk/gpsoc</w:t>
        </w:r>
      </w:hyperlink>
      <w:r>
        <w:t xml:space="preserve"> and maintained by HSCIC.  The CCG shall </w:t>
      </w:r>
      <w:r>
        <w:lastRenderedPageBreak/>
        <w:t>take this list into account when it makes decisions about software and hardware in use in the Practice in accordance with clauses 3.7 and 3.8.</w:t>
      </w:r>
    </w:p>
    <w:p w14:paraId="0A12494A" w14:textId="77777777" w:rsidR="005570B3" w:rsidRDefault="005570B3" w:rsidP="005570B3"/>
    <w:p w14:paraId="4A925764" w14:textId="77777777" w:rsidR="005570B3" w:rsidRDefault="00D913B6" w:rsidP="005570B3">
      <w:pPr>
        <w:pStyle w:val="ListParagraph"/>
        <w:numPr>
          <w:ilvl w:val="1"/>
          <w:numId w:val="27"/>
        </w:numPr>
        <w:ind w:left="709"/>
      </w:pPr>
      <w:r>
        <w:t>The Practice shall seek the CCG’s permission to participate in any testing or pilot activity which involves changes to the software or hardware configuration in the Practice, such permission not to be unreasonably withheld.</w:t>
      </w:r>
    </w:p>
    <w:p w14:paraId="16FB45F3" w14:textId="77777777" w:rsidR="005570B3" w:rsidRDefault="005570B3" w:rsidP="005570B3"/>
    <w:p w14:paraId="1065294D" w14:textId="77777777" w:rsidR="005570B3" w:rsidRDefault="00D913B6" w:rsidP="005570B3">
      <w:pPr>
        <w:pStyle w:val="ListParagraph"/>
        <w:numPr>
          <w:ilvl w:val="1"/>
          <w:numId w:val="27"/>
        </w:numPr>
        <w:ind w:left="709"/>
      </w:pPr>
      <w:r>
        <w:t xml:space="preserve">The Practice shall comply with the constraints imposed by the CCG pursuant to clauses 3.6 to 3.10 failing which the CCG shall have no responsibility for any failure or degradation of system functionality or performance in this respect which has a business impact. </w:t>
      </w:r>
    </w:p>
    <w:p w14:paraId="310B6EB1" w14:textId="77777777" w:rsidR="005570B3" w:rsidRDefault="005570B3" w:rsidP="005570B3"/>
    <w:p w14:paraId="064BD511" w14:textId="13EE1E41" w:rsidR="00D913B6" w:rsidRDefault="00D913B6" w:rsidP="005570B3">
      <w:pPr>
        <w:pStyle w:val="ListParagraph"/>
        <w:numPr>
          <w:ilvl w:val="1"/>
          <w:numId w:val="27"/>
        </w:numPr>
        <w:ind w:left="709"/>
      </w:pPr>
      <w:r>
        <w:t xml:space="preserve">The Practice shall bear the costs (including remedial work) resulting from a failure or degradation of system functionality or performance relating to software and/or hardware that is not approved by the CCG. </w:t>
      </w:r>
    </w:p>
    <w:p w14:paraId="628ABCC5" w14:textId="77777777" w:rsidR="00D913B6" w:rsidRDefault="00D913B6" w:rsidP="00D913B6"/>
    <w:p w14:paraId="0A0ECCC7" w14:textId="182DCD1F" w:rsidR="00D913B6" w:rsidRDefault="00D913B6" w:rsidP="00D20652">
      <w:pPr>
        <w:pStyle w:val="Heading2"/>
        <w:numPr>
          <w:ilvl w:val="0"/>
          <w:numId w:val="0"/>
        </w:numPr>
        <w:ind w:left="576" w:hanging="576"/>
      </w:pPr>
      <w:bookmarkStart w:id="14" w:name="_Toc414462260"/>
      <w:r>
        <w:t>Service Review</w:t>
      </w:r>
      <w:bookmarkEnd w:id="14"/>
    </w:p>
    <w:p w14:paraId="1246D4C0" w14:textId="77777777" w:rsidR="00D20652" w:rsidRPr="00D20652" w:rsidRDefault="00D20652" w:rsidP="00D20652"/>
    <w:p w14:paraId="51CC252C" w14:textId="768B11F0" w:rsidR="00D913B6" w:rsidRDefault="00D913B6" w:rsidP="005570B3">
      <w:pPr>
        <w:pStyle w:val="ListParagraph"/>
        <w:numPr>
          <w:ilvl w:val="1"/>
          <w:numId w:val="27"/>
        </w:numPr>
        <w:ind w:left="709"/>
      </w:pPr>
      <w:r>
        <w:t>The CCG shall offer to formally review the Services with the Practice at least once a year.  This will include:</w:t>
      </w:r>
    </w:p>
    <w:p w14:paraId="5DFBBD13" w14:textId="77777777" w:rsidR="00D913B6" w:rsidRDefault="00D913B6" w:rsidP="00D913B6">
      <w:pPr>
        <w:pStyle w:val="ListParagraph"/>
      </w:pPr>
    </w:p>
    <w:p w14:paraId="301C0E96" w14:textId="77777777" w:rsidR="00D913B6" w:rsidRDefault="00D913B6" w:rsidP="005570B3">
      <w:pPr>
        <w:pStyle w:val="ListParagraph"/>
        <w:numPr>
          <w:ilvl w:val="2"/>
          <w:numId w:val="27"/>
        </w:numPr>
        <w:ind w:left="1843" w:hanging="1134"/>
      </w:pPr>
      <w:r>
        <w:t>discussion of the performance of the Services;</w:t>
      </w:r>
    </w:p>
    <w:p w14:paraId="1FB93F1C" w14:textId="77777777" w:rsidR="00D913B6" w:rsidRDefault="00D913B6" w:rsidP="005570B3">
      <w:pPr>
        <w:ind w:left="709"/>
      </w:pPr>
    </w:p>
    <w:p w14:paraId="41D4EF88" w14:textId="77777777" w:rsidR="00D913B6" w:rsidRDefault="00D913B6" w:rsidP="005570B3">
      <w:pPr>
        <w:pStyle w:val="ListParagraph"/>
        <w:numPr>
          <w:ilvl w:val="2"/>
          <w:numId w:val="27"/>
        </w:numPr>
        <w:ind w:left="1843" w:hanging="1134"/>
      </w:pPr>
      <w:r>
        <w:t>implementation plans for new services;</w:t>
      </w:r>
    </w:p>
    <w:p w14:paraId="1ACC95B7" w14:textId="77777777" w:rsidR="00D913B6" w:rsidRDefault="00D913B6" w:rsidP="005570B3">
      <w:pPr>
        <w:ind w:left="709"/>
      </w:pPr>
    </w:p>
    <w:p w14:paraId="3128375B" w14:textId="77777777" w:rsidR="00D913B6" w:rsidRDefault="00D913B6" w:rsidP="005570B3">
      <w:pPr>
        <w:pStyle w:val="ListParagraph"/>
        <w:numPr>
          <w:ilvl w:val="2"/>
          <w:numId w:val="27"/>
        </w:numPr>
        <w:ind w:left="1843" w:hanging="1134"/>
      </w:pPr>
      <w:r>
        <w:t>training initiatives;</w:t>
      </w:r>
    </w:p>
    <w:p w14:paraId="34956207" w14:textId="77777777" w:rsidR="00D913B6" w:rsidRDefault="00D913B6" w:rsidP="005570B3">
      <w:pPr>
        <w:ind w:left="709"/>
      </w:pPr>
    </w:p>
    <w:p w14:paraId="425FEA6E" w14:textId="77777777" w:rsidR="00D913B6" w:rsidRDefault="00D913B6" w:rsidP="005570B3">
      <w:pPr>
        <w:pStyle w:val="ListParagraph"/>
        <w:numPr>
          <w:ilvl w:val="2"/>
          <w:numId w:val="27"/>
        </w:numPr>
        <w:ind w:left="1843" w:hanging="1134"/>
      </w:pPr>
      <w:r>
        <w:t>business continuity and disaster recovery arrangements; and</w:t>
      </w:r>
    </w:p>
    <w:p w14:paraId="54F4C8F3" w14:textId="77777777" w:rsidR="00D913B6" w:rsidRDefault="00D913B6" w:rsidP="005570B3">
      <w:pPr>
        <w:ind w:left="709"/>
      </w:pPr>
    </w:p>
    <w:p w14:paraId="540596D5" w14:textId="77777777" w:rsidR="00D913B6" w:rsidRDefault="00D913B6" w:rsidP="005570B3">
      <w:pPr>
        <w:pStyle w:val="ListParagraph"/>
        <w:numPr>
          <w:ilvl w:val="2"/>
          <w:numId w:val="27"/>
        </w:numPr>
        <w:ind w:left="1843" w:hanging="1134"/>
      </w:pPr>
      <w:proofErr w:type="gramStart"/>
      <w:r>
        <w:t>plans</w:t>
      </w:r>
      <w:proofErr w:type="gramEnd"/>
      <w:r>
        <w:t xml:space="preserve"> for future delivery of the Services.</w:t>
      </w:r>
    </w:p>
    <w:p w14:paraId="2197EE71" w14:textId="77777777" w:rsidR="00D913B6" w:rsidRDefault="00D913B6" w:rsidP="005570B3"/>
    <w:p w14:paraId="0B6043CA" w14:textId="75784264" w:rsidR="00D913B6" w:rsidRDefault="00D913B6" w:rsidP="005570B3">
      <w:pPr>
        <w:pStyle w:val="ListParagraph"/>
        <w:numPr>
          <w:ilvl w:val="1"/>
          <w:numId w:val="27"/>
        </w:numPr>
        <w:ind w:left="709"/>
      </w:pPr>
      <w:r>
        <w:t xml:space="preserve">Either party may request additional reviews of the Services in order to address specific issues or agree plans for revisions to the Services.  Both parties shall endeavour to respond to such requests promptly and positively. </w:t>
      </w:r>
    </w:p>
    <w:p w14:paraId="2A8C37A5" w14:textId="77777777" w:rsidR="00D913B6" w:rsidRDefault="00D913B6" w:rsidP="00D913B6"/>
    <w:p w14:paraId="56F3449C" w14:textId="2BEF58C8" w:rsidR="00D913B6" w:rsidRDefault="00D913B6" w:rsidP="00D20652">
      <w:pPr>
        <w:pStyle w:val="Heading2"/>
        <w:numPr>
          <w:ilvl w:val="0"/>
          <w:numId w:val="0"/>
        </w:numPr>
        <w:ind w:left="576" w:hanging="576"/>
      </w:pPr>
      <w:bookmarkStart w:id="15" w:name="_Toc414462261"/>
      <w:r>
        <w:t>Choice of Principal Clinical System</w:t>
      </w:r>
      <w:bookmarkEnd w:id="15"/>
    </w:p>
    <w:p w14:paraId="425C7B0E" w14:textId="77777777" w:rsidR="00D20652" w:rsidRPr="00D20652" w:rsidRDefault="00D20652" w:rsidP="00D20652"/>
    <w:p w14:paraId="25F59902" w14:textId="77777777" w:rsidR="00D913B6" w:rsidRDefault="00D913B6" w:rsidP="005570B3">
      <w:pPr>
        <w:pStyle w:val="ListParagraph"/>
        <w:numPr>
          <w:ilvl w:val="1"/>
          <w:numId w:val="27"/>
        </w:numPr>
        <w:ind w:left="709"/>
      </w:pPr>
      <w:r>
        <w:t xml:space="preserve">The GMS Contractual Agreement includes the following clause which sets out the provisions for a Practice’s choice of system: </w:t>
      </w:r>
    </w:p>
    <w:p w14:paraId="26EA9749" w14:textId="77777777" w:rsidR="00D913B6" w:rsidRDefault="00D913B6" w:rsidP="00D913B6">
      <w:pPr>
        <w:pStyle w:val="ListParagraph"/>
      </w:pPr>
    </w:p>
    <w:p w14:paraId="75D43E53" w14:textId="5E0DA26F" w:rsidR="00D913B6" w:rsidRPr="00D913B6" w:rsidRDefault="00D913B6" w:rsidP="00E01204">
      <w:pPr>
        <w:pStyle w:val="Subtitle"/>
        <w:ind w:left="709"/>
      </w:pPr>
      <w:r w:rsidRPr="00D913B6">
        <w:t>4.34</w:t>
      </w:r>
      <w:r w:rsidR="00E01204">
        <w:t>.</w:t>
      </w:r>
      <w:r w:rsidRPr="00D913B6">
        <w:t xml:space="preserve"> Systems will be accredited against national standards. Each practice will have guaranteed choice from a number of accredited systems that deliver the required functionality. Such choices will be consistent with local development plans (or their equivalents) and in line with local business cases and service level agreements. From 1 April 2003 every practice in the UK will have the choice of RFA-accredited systems. Practices will not subsequently be expected to exercise this right more frequently than every three years.</w:t>
      </w:r>
    </w:p>
    <w:p w14:paraId="6A67DC6D" w14:textId="77777777" w:rsidR="00D913B6" w:rsidRDefault="00D913B6" w:rsidP="00D913B6"/>
    <w:p w14:paraId="5E439FE5" w14:textId="77777777" w:rsidR="00D913B6" w:rsidRDefault="00D913B6" w:rsidP="005570B3">
      <w:pPr>
        <w:pStyle w:val="ListParagraph"/>
        <w:numPr>
          <w:ilvl w:val="1"/>
          <w:numId w:val="27"/>
        </w:numPr>
        <w:ind w:left="709"/>
      </w:pPr>
      <w:r>
        <w:lastRenderedPageBreak/>
        <w:t xml:space="preserve">In order to satisfy the requirements of clause 4.34 of the GMS Contractual Agreement, Practices are provided with a choice of Principal Clinical System. </w:t>
      </w:r>
    </w:p>
    <w:p w14:paraId="108E26B9" w14:textId="77777777" w:rsidR="00D913B6" w:rsidRDefault="00D913B6" w:rsidP="005570B3">
      <w:pPr>
        <w:ind w:left="-11"/>
      </w:pPr>
    </w:p>
    <w:p w14:paraId="0BD1517E" w14:textId="77777777" w:rsidR="00D913B6" w:rsidRDefault="00D913B6" w:rsidP="005570B3">
      <w:pPr>
        <w:pStyle w:val="ListParagraph"/>
        <w:numPr>
          <w:ilvl w:val="1"/>
          <w:numId w:val="27"/>
        </w:numPr>
        <w:ind w:left="709"/>
      </w:pPr>
      <w:r>
        <w:t xml:space="preserve">A Practice may choose to retain its existing Principal Clinical System or migrate to another Principal Clinical System available from a </w:t>
      </w:r>
      <w:proofErr w:type="spellStart"/>
      <w:r>
        <w:t>GPSoC</w:t>
      </w:r>
      <w:proofErr w:type="spellEnd"/>
      <w:r>
        <w:t xml:space="preserve"> Framework Supplier.  </w:t>
      </w:r>
    </w:p>
    <w:p w14:paraId="644C0900" w14:textId="77777777" w:rsidR="00D913B6" w:rsidRDefault="00D913B6" w:rsidP="005570B3">
      <w:pPr>
        <w:ind w:left="-11"/>
      </w:pPr>
    </w:p>
    <w:p w14:paraId="32E0FFDE" w14:textId="77777777" w:rsidR="00D913B6" w:rsidRDefault="00D913B6" w:rsidP="005570B3">
      <w:pPr>
        <w:pStyle w:val="ListParagraph"/>
        <w:numPr>
          <w:ilvl w:val="1"/>
          <w:numId w:val="27"/>
        </w:numPr>
        <w:ind w:left="709"/>
      </w:pPr>
      <w:r>
        <w:t xml:space="preserve">Where a Practice decides to migrate to an alternative Principal Clinical System available it shall make a request to the relevant CCG.  </w:t>
      </w:r>
    </w:p>
    <w:p w14:paraId="21FC48A2" w14:textId="77777777" w:rsidR="00D913B6" w:rsidRDefault="00D913B6" w:rsidP="005570B3">
      <w:pPr>
        <w:ind w:left="-11"/>
      </w:pPr>
    </w:p>
    <w:p w14:paraId="621C4685" w14:textId="7CC4B90E" w:rsidR="00D913B6" w:rsidRDefault="00D913B6" w:rsidP="005570B3">
      <w:pPr>
        <w:pStyle w:val="ListParagraph"/>
        <w:numPr>
          <w:ilvl w:val="1"/>
          <w:numId w:val="27"/>
        </w:numPr>
        <w:ind w:left="709"/>
      </w:pPr>
      <w:r>
        <w:t xml:space="preserve">The CCG may, at its discretion, require the Practice to prepare a Business Justification Form, using the template provided in Appendix 4, to justify the proposed change of system. </w:t>
      </w:r>
    </w:p>
    <w:p w14:paraId="79194343" w14:textId="77777777" w:rsidR="00D913B6" w:rsidRDefault="00D913B6" w:rsidP="00D913B6"/>
    <w:p w14:paraId="59364FDC" w14:textId="2CC21012" w:rsidR="00D913B6" w:rsidRDefault="00D913B6" w:rsidP="00D20652">
      <w:pPr>
        <w:pStyle w:val="Heading2"/>
        <w:numPr>
          <w:ilvl w:val="0"/>
          <w:numId w:val="0"/>
        </w:numPr>
        <w:ind w:left="576" w:hanging="576"/>
      </w:pPr>
      <w:bookmarkStart w:id="16" w:name="_Toc414462262"/>
      <w:r>
        <w:t xml:space="preserve">Selection of </w:t>
      </w:r>
      <w:proofErr w:type="spellStart"/>
      <w:r>
        <w:t>GPSoC</w:t>
      </w:r>
      <w:proofErr w:type="spellEnd"/>
      <w:r>
        <w:t xml:space="preserve"> Services</w:t>
      </w:r>
      <w:bookmarkEnd w:id="16"/>
    </w:p>
    <w:p w14:paraId="70E98F7D" w14:textId="77777777" w:rsidR="00D20652" w:rsidRPr="00D20652" w:rsidRDefault="00D20652" w:rsidP="00D20652"/>
    <w:p w14:paraId="58E8C7B0" w14:textId="77777777" w:rsidR="00D913B6" w:rsidRDefault="00D913B6" w:rsidP="005570B3">
      <w:pPr>
        <w:pStyle w:val="ListParagraph"/>
        <w:numPr>
          <w:ilvl w:val="1"/>
          <w:numId w:val="27"/>
        </w:numPr>
        <w:ind w:left="709"/>
      </w:pPr>
      <w:r>
        <w:t xml:space="preserve">Where a change of Principal Clinical System or order for other </w:t>
      </w:r>
      <w:proofErr w:type="spellStart"/>
      <w:r>
        <w:t>GPSoC</w:t>
      </w:r>
      <w:proofErr w:type="spellEnd"/>
      <w:r>
        <w:t xml:space="preserve"> Services has been agreed, the CCG and the Practice shall jointly undertake the Selection Process and subsequent migration with the relevant Supplier.  The CCG and the Practice shall carry out their responsibilities in respect of the migration activities in accordance with the agreed plan and the </w:t>
      </w:r>
      <w:proofErr w:type="spellStart"/>
      <w:r>
        <w:t>GPSoC</w:t>
      </w:r>
      <w:proofErr w:type="spellEnd"/>
      <w:r>
        <w:t xml:space="preserve"> Data Migration Specification.</w:t>
      </w:r>
    </w:p>
    <w:p w14:paraId="7194A9AA" w14:textId="77777777" w:rsidR="00D913B6" w:rsidRDefault="00D913B6" w:rsidP="005570B3">
      <w:pPr>
        <w:ind w:left="-11"/>
      </w:pPr>
    </w:p>
    <w:p w14:paraId="2B902537" w14:textId="77777777" w:rsidR="00D913B6" w:rsidRDefault="00D913B6" w:rsidP="005570B3">
      <w:pPr>
        <w:pStyle w:val="ListParagraph"/>
        <w:numPr>
          <w:ilvl w:val="1"/>
          <w:numId w:val="27"/>
        </w:numPr>
        <w:ind w:left="709"/>
      </w:pPr>
      <w:r>
        <w:t>Where the Practice and CCG do not agree regarding whether the Practice should migrate from its Principal Clinical System, the parties shall attempt to reach an agreed position using the provisions for escalation and dispute resolution set out in clause 6.</w:t>
      </w:r>
    </w:p>
    <w:p w14:paraId="49B5C063" w14:textId="77777777" w:rsidR="00D913B6" w:rsidRDefault="00D913B6" w:rsidP="005570B3">
      <w:pPr>
        <w:ind w:left="-11"/>
      </w:pPr>
    </w:p>
    <w:p w14:paraId="200BF2C1" w14:textId="53F06DEB" w:rsidR="00D913B6" w:rsidRDefault="00D913B6" w:rsidP="005570B3">
      <w:pPr>
        <w:pStyle w:val="ListParagraph"/>
        <w:numPr>
          <w:ilvl w:val="1"/>
          <w:numId w:val="27"/>
        </w:numPr>
        <w:ind w:left="709"/>
      </w:pPr>
      <w:r>
        <w:t xml:space="preserve">The party that holds the existing contract(s) for the Services set out in Appendix 1, whether the CCG or Practice or both, shall be responsible for terminating any relevant existing contractual arrangements in respect of the services provided to the Practice subject to the prior agreement of the Practice and/or the conclusion of any proceedings initiated under the Dispute Resolution Procedure. </w:t>
      </w:r>
    </w:p>
    <w:p w14:paraId="3EE8B53D" w14:textId="77777777" w:rsidR="00D913B6" w:rsidRDefault="00D913B6" w:rsidP="00D913B6"/>
    <w:p w14:paraId="3148C79F" w14:textId="6AED4D79" w:rsidR="00D913B6" w:rsidRDefault="00D913B6" w:rsidP="00D20652">
      <w:pPr>
        <w:pStyle w:val="Heading2"/>
        <w:numPr>
          <w:ilvl w:val="0"/>
          <w:numId w:val="0"/>
        </w:numPr>
        <w:ind w:left="576" w:hanging="576"/>
      </w:pPr>
      <w:bookmarkStart w:id="17" w:name="_Toc414462263"/>
      <w:r>
        <w:t>Business Continuity and Disaster Recovery</w:t>
      </w:r>
      <w:bookmarkEnd w:id="17"/>
    </w:p>
    <w:p w14:paraId="4B32B295" w14:textId="77777777" w:rsidR="00D20652" w:rsidRPr="00D20652" w:rsidRDefault="00D20652" w:rsidP="00D20652"/>
    <w:p w14:paraId="501EEFFC" w14:textId="43A5AC04" w:rsidR="00D913B6" w:rsidRDefault="00D913B6" w:rsidP="005570B3">
      <w:pPr>
        <w:pStyle w:val="ListParagraph"/>
        <w:numPr>
          <w:ilvl w:val="1"/>
          <w:numId w:val="27"/>
        </w:numPr>
        <w:ind w:left="709"/>
      </w:pPr>
      <w:r>
        <w:t xml:space="preserve">The Practice shall develop business continuity and disaster recovery plans for the Practice in accordance with the guidance referenced in the Good Practice Guidelines chapter 9 </w:t>
      </w:r>
      <w:proofErr w:type="gramStart"/>
      <w:r>
        <w:t>section</w:t>
      </w:r>
      <w:proofErr w:type="gramEnd"/>
      <w:r>
        <w:t xml:space="preserve"> 4.</w:t>
      </w:r>
    </w:p>
    <w:p w14:paraId="2045ADE6" w14:textId="77777777" w:rsidR="00D913B6" w:rsidRDefault="00D913B6" w:rsidP="005570B3">
      <w:pPr>
        <w:ind w:left="-11"/>
      </w:pPr>
    </w:p>
    <w:p w14:paraId="7E8B2F35" w14:textId="77777777" w:rsidR="00D913B6" w:rsidRDefault="00D913B6" w:rsidP="005570B3">
      <w:pPr>
        <w:pStyle w:val="ListParagraph"/>
        <w:numPr>
          <w:ilvl w:val="1"/>
          <w:numId w:val="27"/>
        </w:numPr>
        <w:ind w:left="709"/>
      </w:pPr>
      <w:r>
        <w:t>The CCG shall review the Practice’s business continuity and disaster recovery plan.  The CCG may request changes to the plan to ensure that the Practice’s plans align with good practice and correctly reflect the parties’ responsibilities (including responsibility for associated costs) under the plan.  The CCG shall confirm its agreement to the plan, amended as agreed by the parties.</w:t>
      </w:r>
    </w:p>
    <w:p w14:paraId="3D0D3C25" w14:textId="77777777" w:rsidR="00D913B6" w:rsidRDefault="00D913B6" w:rsidP="005570B3">
      <w:pPr>
        <w:ind w:left="-11"/>
      </w:pPr>
    </w:p>
    <w:p w14:paraId="3E040F07" w14:textId="77777777" w:rsidR="00D913B6" w:rsidRDefault="00D913B6" w:rsidP="005570B3">
      <w:pPr>
        <w:pStyle w:val="ListParagraph"/>
        <w:numPr>
          <w:ilvl w:val="1"/>
          <w:numId w:val="27"/>
        </w:numPr>
        <w:ind w:left="709"/>
      </w:pPr>
      <w:r>
        <w:t>The CCG and the Practice shall perform their duties as set out in the business continuity and disaster recovery plan agreed pursuant to clause 3.24.</w:t>
      </w:r>
    </w:p>
    <w:p w14:paraId="62049C76" w14:textId="77777777" w:rsidR="00D913B6" w:rsidRDefault="00D913B6" w:rsidP="005570B3">
      <w:pPr>
        <w:ind w:left="-11"/>
      </w:pPr>
    </w:p>
    <w:p w14:paraId="1279F695" w14:textId="77777777" w:rsidR="00D913B6" w:rsidRDefault="00D913B6" w:rsidP="005570B3">
      <w:pPr>
        <w:pStyle w:val="ListParagraph"/>
        <w:numPr>
          <w:ilvl w:val="1"/>
          <w:numId w:val="27"/>
        </w:numPr>
        <w:ind w:left="709"/>
      </w:pPr>
      <w:r>
        <w:t xml:space="preserve">The Practice shall perform back-ups of its local server based </w:t>
      </w:r>
      <w:proofErr w:type="spellStart"/>
      <w:r>
        <w:t>GPSoC</w:t>
      </w:r>
      <w:proofErr w:type="spellEnd"/>
      <w:r>
        <w:t xml:space="preserve"> Services in accordance with the </w:t>
      </w:r>
      <w:proofErr w:type="spellStart"/>
      <w:r>
        <w:t>GPSoC</w:t>
      </w:r>
      <w:proofErr w:type="spellEnd"/>
      <w:r>
        <w:t xml:space="preserve"> Framework Supplier’s instructions.</w:t>
      </w:r>
    </w:p>
    <w:p w14:paraId="43C894A2" w14:textId="77777777" w:rsidR="00D913B6" w:rsidRDefault="00D913B6" w:rsidP="005570B3">
      <w:pPr>
        <w:ind w:left="-11"/>
      </w:pPr>
    </w:p>
    <w:p w14:paraId="55A27AFD" w14:textId="6BF57CFB" w:rsidR="00D913B6" w:rsidRDefault="00D913B6" w:rsidP="005570B3">
      <w:pPr>
        <w:pStyle w:val="ListParagraph"/>
        <w:numPr>
          <w:ilvl w:val="1"/>
          <w:numId w:val="27"/>
        </w:numPr>
        <w:ind w:left="709"/>
      </w:pPr>
      <w:r>
        <w:t>The Practice shall ensure that the integrity of its back up data and other key elements of the Practice’s business continuity and disaster recovery plan are tested at regular intervals as set out in the agreed plan.</w:t>
      </w:r>
    </w:p>
    <w:p w14:paraId="3B0D8C18" w14:textId="77777777" w:rsidR="00D913B6" w:rsidRDefault="00D913B6" w:rsidP="00D913B6"/>
    <w:p w14:paraId="3E861D86" w14:textId="5581AD97" w:rsidR="00D913B6" w:rsidRDefault="00D913B6" w:rsidP="00D20652">
      <w:pPr>
        <w:pStyle w:val="Heading2"/>
        <w:numPr>
          <w:ilvl w:val="0"/>
          <w:numId w:val="0"/>
        </w:numPr>
        <w:ind w:left="576" w:hanging="576"/>
      </w:pPr>
      <w:bookmarkStart w:id="18" w:name="_Toc414462264"/>
      <w:r>
        <w:t>Confidentiality</w:t>
      </w:r>
      <w:bookmarkEnd w:id="18"/>
    </w:p>
    <w:p w14:paraId="72F9E7DA" w14:textId="77777777" w:rsidR="00D20652" w:rsidRPr="00D20652" w:rsidRDefault="00D20652" w:rsidP="00D20652"/>
    <w:p w14:paraId="3A2769E2" w14:textId="64C74572" w:rsidR="00D913B6" w:rsidRDefault="00D913B6" w:rsidP="005570B3">
      <w:pPr>
        <w:pStyle w:val="ListParagraph"/>
        <w:numPr>
          <w:ilvl w:val="1"/>
          <w:numId w:val="27"/>
        </w:numPr>
        <w:ind w:left="709"/>
      </w:pPr>
      <w:r>
        <w:t>The CCG and the Practice shall adhere to prevailing security and confidentiality policies at all times.  Further details of current security and confidentiality policies can be found in the Good Practice Guidelines and the GP IT Op</w:t>
      </w:r>
      <w:r w:rsidR="00D20652">
        <w:t>erating Model in section 7.6.</w:t>
      </w:r>
    </w:p>
    <w:p w14:paraId="4BC00A71" w14:textId="77777777" w:rsidR="00D20652" w:rsidRDefault="00D20652" w:rsidP="00D20652"/>
    <w:p w14:paraId="78407B58" w14:textId="22685E40" w:rsidR="00D20652" w:rsidRDefault="00D913B6" w:rsidP="00D20652">
      <w:pPr>
        <w:pStyle w:val="Heading2"/>
        <w:numPr>
          <w:ilvl w:val="0"/>
          <w:numId w:val="0"/>
        </w:numPr>
        <w:ind w:left="576" w:hanging="576"/>
      </w:pPr>
      <w:bookmarkStart w:id="19" w:name="_Toc414462265"/>
      <w:r>
        <w:t>Data Protection</w:t>
      </w:r>
      <w:bookmarkEnd w:id="19"/>
    </w:p>
    <w:p w14:paraId="18F4760C" w14:textId="77777777" w:rsidR="00D20652" w:rsidRPr="00D20652" w:rsidRDefault="00D20652" w:rsidP="00D20652"/>
    <w:p w14:paraId="013A4D34" w14:textId="36E899C3" w:rsidR="00D913B6" w:rsidRDefault="00D913B6" w:rsidP="005570B3">
      <w:pPr>
        <w:pStyle w:val="ListParagraph"/>
        <w:numPr>
          <w:ilvl w:val="1"/>
          <w:numId w:val="27"/>
        </w:numPr>
        <w:ind w:left="709"/>
      </w:pPr>
      <w:r>
        <w:t>For the purpose of clauses 3.30 to 3.31 the terms Process, Personal Data, Data Processor and Data Controller shall have the meanings given to them in the Data Protection Act 1998 ("the Act").</w:t>
      </w:r>
    </w:p>
    <w:p w14:paraId="75AEB3D5" w14:textId="77777777" w:rsidR="00D20652" w:rsidRDefault="00D20652" w:rsidP="005570B3">
      <w:pPr>
        <w:ind w:left="-11"/>
      </w:pPr>
    </w:p>
    <w:p w14:paraId="6E34D566" w14:textId="77777777" w:rsidR="00D20652" w:rsidRDefault="00D913B6" w:rsidP="005570B3">
      <w:pPr>
        <w:pStyle w:val="ListParagraph"/>
        <w:numPr>
          <w:ilvl w:val="1"/>
          <w:numId w:val="27"/>
        </w:numPr>
        <w:ind w:left="709"/>
      </w:pPr>
      <w:r>
        <w:t>Where either the Practice or the CCG carries out any Processing of Personal Data on behalf of the other as Data Controller, the Data Processor shall not perform any of its obligations under these terms or otherwise Process the Personal Data in any way which may cause the Data Controller to breach any of its obligations under the Act and shall:</w:t>
      </w:r>
    </w:p>
    <w:p w14:paraId="177A1F8F" w14:textId="77777777" w:rsidR="00D20652" w:rsidRDefault="00D20652" w:rsidP="00D20652">
      <w:pPr>
        <w:pStyle w:val="ListParagraph"/>
      </w:pPr>
    </w:p>
    <w:p w14:paraId="14DC6BAB" w14:textId="77777777" w:rsidR="00D20652" w:rsidRDefault="00D913B6" w:rsidP="005570B3">
      <w:pPr>
        <w:pStyle w:val="ListParagraph"/>
        <w:numPr>
          <w:ilvl w:val="2"/>
          <w:numId w:val="27"/>
        </w:numPr>
        <w:ind w:left="1843" w:hanging="1134"/>
      </w:pPr>
      <w:r>
        <w:t>act only on instructions from the Data Controller (which may be specific instructions or instructions of a general nature as set out in this Agreement);</w:t>
      </w:r>
    </w:p>
    <w:p w14:paraId="3EC5592B" w14:textId="77777777" w:rsidR="005570B3" w:rsidRDefault="005570B3" w:rsidP="005570B3">
      <w:pPr>
        <w:pStyle w:val="ListParagraph"/>
        <w:ind w:left="1843"/>
      </w:pPr>
    </w:p>
    <w:p w14:paraId="7C7C734E" w14:textId="77777777" w:rsidR="00D20652" w:rsidRDefault="00D913B6" w:rsidP="005570B3">
      <w:pPr>
        <w:pStyle w:val="ListParagraph"/>
        <w:numPr>
          <w:ilvl w:val="2"/>
          <w:numId w:val="27"/>
        </w:numPr>
        <w:ind w:left="1843" w:hanging="1134"/>
      </w:pPr>
      <w:r>
        <w:t>implement appropriate technical and organisational measures to protect Personal Data against unauthorised or unlawful processing and against accidental loss, destruction, damage, alteration or disclosure;</w:t>
      </w:r>
    </w:p>
    <w:p w14:paraId="6C09606E" w14:textId="77777777" w:rsidR="005570B3" w:rsidRDefault="005570B3" w:rsidP="005570B3">
      <w:pPr>
        <w:pStyle w:val="ListParagraph"/>
        <w:ind w:left="1843"/>
      </w:pPr>
    </w:p>
    <w:p w14:paraId="7FDB644E" w14:textId="4D607FEE" w:rsidR="00D913B6" w:rsidRDefault="00D913B6" w:rsidP="005570B3">
      <w:pPr>
        <w:pStyle w:val="ListParagraph"/>
        <w:numPr>
          <w:ilvl w:val="2"/>
          <w:numId w:val="27"/>
        </w:numPr>
        <w:ind w:left="1843" w:hanging="1134"/>
      </w:pPr>
      <w:r>
        <w:t>only process Personal Data to the extent, and in such manner, as is necessary for performance of rights and obligations under this Agreement;</w:t>
      </w:r>
    </w:p>
    <w:p w14:paraId="6C9A06F2" w14:textId="77777777" w:rsidR="005570B3" w:rsidRDefault="005570B3" w:rsidP="005570B3">
      <w:pPr>
        <w:pStyle w:val="ListParagraph"/>
        <w:ind w:left="1843"/>
      </w:pPr>
    </w:p>
    <w:p w14:paraId="1EA40477" w14:textId="3C0DAC36" w:rsidR="00D913B6" w:rsidRDefault="00D913B6" w:rsidP="005570B3">
      <w:pPr>
        <w:pStyle w:val="ListParagraph"/>
        <w:numPr>
          <w:ilvl w:val="2"/>
          <w:numId w:val="27"/>
        </w:numPr>
        <w:ind w:left="1843" w:hanging="1134"/>
      </w:pPr>
      <w:proofErr w:type="gramStart"/>
      <w:r>
        <w:t>not</w:t>
      </w:r>
      <w:proofErr w:type="gramEnd"/>
      <w:r>
        <w:t xml:space="preserve"> transfer any Personal Data outside England without the prior consent of the Data Controller.</w:t>
      </w:r>
    </w:p>
    <w:p w14:paraId="33FA8E2E" w14:textId="77777777" w:rsidR="005570B3" w:rsidRDefault="005570B3" w:rsidP="005570B3"/>
    <w:p w14:paraId="154C1416" w14:textId="0B56B943" w:rsidR="00D913B6" w:rsidRDefault="00D913B6" w:rsidP="005570B3">
      <w:pPr>
        <w:pStyle w:val="ListParagraph"/>
        <w:numPr>
          <w:ilvl w:val="1"/>
          <w:numId w:val="27"/>
        </w:numPr>
        <w:ind w:left="709"/>
      </w:pPr>
      <w:r>
        <w:t>Each party shall comply at all times with the Act and shall not perform its obligations under these terms in such a way as to cause the other party to breach any of its applicable obligations under the Act.</w:t>
      </w:r>
    </w:p>
    <w:p w14:paraId="20B319DA" w14:textId="77777777" w:rsidR="005570B3" w:rsidRDefault="005570B3" w:rsidP="005570B3">
      <w:pPr>
        <w:ind w:left="-11"/>
      </w:pPr>
    </w:p>
    <w:p w14:paraId="22AB5514" w14:textId="77777777" w:rsidR="00D913B6" w:rsidRDefault="00D913B6" w:rsidP="005570B3">
      <w:pPr>
        <w:pStyle w:val="Heading2"/>
        <w:numPr>
          <w:ilvl w:val="0"/>
          <w:numId w:val="0"/>
        </w:numPr>
        <w:ind w:left="576" w:hanging="576"/>
      </w:pPr>
      <w:bookmarkStart w:id="20" w:name="_Toc414462266"/>
      <w:r>
        <w:t>Training</w:t>
      </w:r>
      <w:bookmarkEnd w:id="20"/>
    </w:p>
    <w:p w14:paraId="21EBA5E0" w14:textId="77777777" w:rsidR="00D913B6" w:rsidRDefault="00D913B6" w:rsidP="00D913B6"/>
    <w:p w14:paraId="503F58FC" w14:textId="77777777" w:rsidR="003362FD" w:rsidRDefault="00D913B6" w:rsidP="00D913B6">
      <w:pPr>
        <w:pStyle w:val="ListParagraph"/>
        <w:numPr>
          <w:ilvl w:val="1"/>
          <w:numId w:val="27"/>
        </w:numPr>
        <w:ind w:left="709"/>
      </w:pPr>
      <w:r>
        <w:t xml:space="preserve">The Practice shall carry out a training needs analysis that identifies the Practice staff that </w:t>
      </w:r>
      <w:proofErr w:type="gramStart"/>
      <w:r>
        <w:t>require</w:t>
      </w:r>
      <w:proofErr w:type="gramEnd"/>
      <w:r>
        <w:t xml:space="preserve"> training in the use of the Services and in the support procedures agreed with the CCG and a Supplier. </w:t>
      </w:r>
    </w:p>
    <w:p w14:paraId="6C083993" w14:textId="77777777" w:rsidR="003362FD" w:rsidRDefault="003362FD" w:rsidP="003362FD">
      <w:pPr>
        <w:pStyle w:val="ListParagraph"/>
        <w:ind w:left="709"/>
      </w:pPr>
    </w:p>
    <w:p w14:paraId="2D07B0DD" w14:textId="77777777" w:rsidR="003362FD" w:rsidRDefault="00D913B6" w:rsidP="00D913B6">
      <w:pPr>
        <w:pStyle w:val="ListParagraph"/>
        <w:numPr>
          <w:ilvl w:val="1"/>
          <w:numId w:val="27"/>
        </w:numPr>
        <w:ind w:left="709"/>
      </w:pPr>
      <w:r>
        <w:t xml:space="preserve">The Practice shall ensure that new starters receive adequate training before </w:t>
      </w:r>
      <w:proofErr w:type="spellStart"/>
      <w:r>
        <w:t>GPSoC</w:t>
      </w:r>
      <w:proofErr w:type="spellEnd"/>
      <w:r>
        <w:t xml:space="preserve"> Services are used.</w:t>
      </w:r>
    </w:p>
    <w:p w14:paraId="25A20465" w14:textId="77777777" w:rsidR="003362FD" w:rsidRDefault="003362FD" w:rsidP="003362FD">
      <w:pPr>
        <w:pStyle w:val="ListParagraph"/>
      </w:pPr>
    </w:p>
    <w:p w14:paraId="1C2C194A" w14:textId="77777777" w:rsidR="003362FD" w:rsidRDefault="00D913B6" w:rsidP="00D913B6">
      <w:pPr>
        <w:pStyle w:val="ListParagraph"/>
        <w:numPr>
          <w:ilvl w:val="1"/>
          <w:numId w:val="27"/>
        </w:numPr>
        <w:ind w:left="709"/>
      </w:pPr>
      <w:r>
        <w:t xml:space="preserve">Using the output from the training needs analysis, the Practice shall prepare a training plan for the Practice which identifies the staff to be trained and the training to be provided by the CCG over a six month period or more as agreed by the parties. </w:t>
      </w:r>
    </w:p>
    <w:p w14:paraId="513C8229" w14:textId="77777777" w:rsidR="003362FD" w:rsidRDefault="003362FD" w:rsidP="003362FD">
      <w:pPr>
        <w:pStyle w:val="ListParagraph"/>
      </w:pPr>
    </w:p>
    <w:p w14:paraId="07C59ADF" w14:textId="77777777" w:rsidR="003362FD" w:rsidRDefault="00D913B6" w:rsidP="00D913B6">
      <w:pPr>
        <w:pStyle w:val="ListParagraph"/>
        <w:numPr>
          <w:ilvl w:val="1"/>
          <w:numId w:val="27"/>
        </w:numPr>
        <w:ind w:left="709"/>
      </w:pPr>
      <w:r>
        <w:t>The CCG shall review the Practice’s training plan and may request changes to the plan in line with local priorities and plans for the deployment of services.  The CCG shall confirm its agreement to the training plan, am</w:t>
      </w:r>
      <w:r w:rsidR="003362FD">
        <w:t>ended as agreed by the parties.</w:t>
      </w:r>
    </w:p>
    <w:p w14:paraId="38150719" w14:textId="77777777" w:rsidR="003362FD" w:rsidRDefault="003362FD" w:rsidP="003362FD">
      <w:pPr>
        <w:pStyle w:val="ListParagraph"/>
      </w:pPr>
    </w:p>
    <w:p w14:paraId="7D18D741" w14:textId="77777777" w:rsidR="003362FD" w:rsidRDefault="00D913B6" w:rsidP="00D913B6">
      <w:pPr>
        <w:pStyle w:val="ListParagraph"/>
        <w:numPr>
          <w:ilvl w:val="1"/>
          <w:numId w:val="27"/>
        </w:numPr>
        <w:ind w:left="709"/>
      </w:pPr>
      <w:r>
        <w:t xml:space="preserve">The CCG shall provide training for Practice staff in line with the agreed training plan.  </w:t>
      </w:r>
    </w:p>
    <w:p w14:paraId="4B22F6D0" w14:textId="77777777" w:rsidR="003362FD" w:rsidRDefault="003362FD" w:rsidP="003362FD">
      <w:pPr>
        <w:pStyle w:val="ListParagraph"/>
      </w:pPr>
    </w:p>
    <w:p w14:paraId="002EFBB6" w14:textId="77777777" w:rsidR="003362FD" w:rsidRDefault="00D913B6" w:rsidP="00D913B6">
      <w:pPr>
        <w:pStyle w:val="ListParagraph"/>
        <w:numPr>
          <w:ilvl w:val="1"/>
          <w:numId w:val="27"/>
        </w:numPr>
        <w:ind w:left="709"/>
      </w:pPr>
      <w:r>
        <w:t>The Practice shall ensure that all end users are trained and have a minimum entry level standard as per the NHS IT Skills Pathway including use of relevant operating systems and office productivity software.</w:t>
      </w:r>
    </w:p>
    <w:p w14:paraId="7D7B674C" w14:textId="77777777" w:rsidR="003362FD" w:rsidRDefault="003362FD" w:rsidP="003362FD">
      <w:pPr>
        <w:pStyle w:val="ListParagraph"/>
      </w:pPr>
    </w:p>
    <w:p w14:paraId="5AA2635C" w14:textId="77777777" w:rsidR="003362FD" w:rsidRDefault="00D913B6" w:rsidP="00D913B6">
      <w:pPr>
        <w:pStyle w:val="ListParagraph"/>
        <w:numPr>
          <w:ilvl w:val="1"/>
          <w:numId w:val="27"/>
        </w:numPr>
        <w:ind w:left="709"/>
      </w:pPr>
      <w:r>
        <w:t xml:space="preserve">The CCG shall ensure that all end users are trained in the use of the Services and that this is delivered in line with the Training Service Requirements. </w:t>
      </w:r>
    </w:p>
    <w:p w14:paraId="53EE3298" w14:textId="77777777" w:rsidR="003362FD" w:rsidRDefault="003362FD" w:rsidP="003362FD">
      <w:pPr>
        <w:pStyle w:val="ListParagraph"/>
      </w:pPr>
    </w:p>
    <w:p w14:paraId="3CBCE1A1" w14:textId="77777777" w:rsidR="003362FD" w:rsidRDefault="00D913B6" w:rsidP="00D913B6">
      <w:pPr>
        <w:pStyle w:val="ListParagraph"/>
        <w:numPr>
          <w:ilvl w:val="1"/>
          <w:numId w:val="27"/>
        </w:numPr>
        <w:ind w:left="709"/>
      </w:pPr>
      <w:r>
        <w:t>The Practice shall make its staff available for training in line with any timetable agreed with the CCG or its Supplier(s) and shall be responsible for the costs of making staff available for such training including backfill costs and travel costs.</w:t>
      </w:r>
    </w:p>
    <w:p w14:paraId="75D745A4" w14:textId="77777777" w:rsidR="003362FD" w:rsidRDefault="003362FD" w:rsidP="003362FD">
      <w:pPr>
        <w:pStyle w:val="ListParagraph"/>
      </w:pPr>
    </w:p>
    <w:p w14:paraId="74373415" w14:textId="77777777" w:rsidR="003362FD" w:rsidRDefault="00D913B6" w:rsidP="00D913B6">
      <w:pPr>
        <w:pStyle w:val="ListParagraph"/>
        <w:numPr>
          <w:ilvl w:val="1"/>
          <w:numId w:val="27"/>
        </w:numPr>
        <w:ind w:left="709"/>
      </w:pPr>
      <w:r>
        <w:t xml:space="preserve">The Practice shall maintain an up-to-date record of staff training. </w:t>
      </w:r>
    </w:p>
    <w:p w14:paraId="210AB04D" w14:textId="77777777" w:rsidR="003362FD" w:rsidRDefault="003362FD" w:rsidP="003362FD">
      <w:pPr>
        <w:pStyle w:val="ListParagraph"/>
      </w:pPr>
    </w:p>
    <w:p w14:paraId="734438AD" w14:textId="7081C9D3" w:rsidR="00F623F3" w:rsidRPr="00A716D1" w:rsidRDefault="00D913B6" w:rsidP="00F623F3">
      <w:pPr>
        <w:pStyle w:val="ListParagraph"/>
        <w:numPr>
          <w:ilvl w:val="1"/>
          <w:numId w:val="27"/>
        </w:numPr>
        <w:ind w:left="709"/>
      </w:pPr>
      <w:r>
        <w:t>The parties shall request and agree amendments to the training plan in line with new developments and the changing requirements of the CCG and the Practice.</w:t>
      </w:r>
    </w:p>
    <w:p w14:paraId="381D1A91" w14:textId="77777777" w:rsidR="003362FD" w:rsidRDefault="003362FD">
      <w:pPr>
        <w:rPr>
          <w:rFonts w:cs="Arial"/>
          <w:b/>
          <w:color w:val="0072C6"/>
          <w:kern w:val="32"/>
          <w:sz w:val="32"/>
          <w:szCs w:val="32"/>
        </w:rPr>
      </w:pPr>
      <w:r>
        <w:br w:type="page"/>
      </w:r>
    </w:p>
    <w:p w14:paraId="734438AE" w14:textId="062A505E" w:rsidR="00F623F3" w:rsidRDefault="003362FD" w:rsidP="005570B3">
      <w:pPr>
        <w:pStyle w:val="Heading1"/>
        <w:numPr>
          <w:ilvl w:val="0"/>
          <w:numId w:val="27"/>
        </w:numPr>
      </w:pPr>
      <w:bookmarkStart w:id="21" w:name="_Toc414462267"/>
      <w:r>
        <w:lastRenderedPageBreak/>
        <w:t xml:space="preserve">CCG </w:t>
      </w:r>
      <w:r w:rsidR="00F623F3">
        <w:t>responsibilities</w:t>
      </w:r>
      <w:bookmarkEnd w:id="21"/>
    </w:p>
    <w:p w14:paraId="734438AF" w14:textId="77777777" w:rsidR="00853B39" w:rsidRDefault="00853B39" w:rsidP="00853B39"/>
    <w:p w14:paraId="3CA8C290" w14:textId="77777777" w:rsidR="003362FD" w:rsidRDefault="003362FD" w:rsidP="003362FD">
      <w:r>
        <w:t>The CCG shall:</w:t>
      </w:r>
    </w:p>
    <w:p w14:paraId="313CCFE0" w14:textId="77777777" w:rsidR="003362FD" w:rsidRDefault="003362FD" w:rsidP="003362FD"/>
    <w:p w14:paraId="04FF9BBF" w14:textId="77777777" w:rsidR="003362FD" w:rsidRDefault="003362FD" w:rsidP="00244224">
      <w:pPr>
        <w:pStyle w:val="Heading2"/>
        <w:numPr>
          <w:ilvl w:val="0"/>
          <w:numId w:val="0"/>
        </w:numPr>
        <w:ind w:left="576" w:hanging="576"/>
      </w:pPr>
      <w:bookmarkStart w:id="22" w:name="_Toc414462268"/>
      <w:r>
        <w:t>General</w:t>
      </w:r>
      <w:bookmarkEnd w:id="22"/>
    </w:p>
    <w:p w14:paraId="5D0699EB" w14:textId="77777777" w:rsidR="003362FD" w:rsidRDefault="003362FD" w:rsidP="003362FD"/>
    <w:p w14:paraId="6B12964B" w14:textId="77777777" w:rsidR="00244224" w:rsidRDefault="003362FD" w:rsidP="003362FD">
      <w:pPr>
        <w:pStyle w:val="ListParagraph"/>
        <w:numPr>
          <w:ilvl w:val="1"/>
          <w:numId w:val="27"/>
        </w:numPr>
        <w:ind w:left="709"/>
      </w:pPr>
      <w:r>
        <w:t xml:space="preserve">contract for </w:t>
      </w:r>
      <w:proofErr w:type="spellStart"/>
      <w:r>
        <w:t>GPSoC</w:t>
      </w:r>
      <w:proofErr w:type="spellEnd"/>
      <w:r>
        <w:t xml:space="preserve"> Services, GP IT Core Services and other services as agreed in Appendix 1 to this agreement on behalf of the Practice;</w:t>
      </w:r>
    </w:p>
    <w:p w14:paraId="3F364933" w14:textId="77777777" w:rsidR="00244224" w:rsidRDefault="00244224" w:rsidP="00244224">
      <w:pPr>
        <w:pStyle w:val="ListParagraph"/>
        <w:ind w:left="709"/>
      </w:pPr>
    </w:p>
    <w:p w14:paraId="2EF83231" w14:textId="77777777" w:rsidR="00A700E9" w:rsidRDefault="003362FD" w:rsidP="00A700E9">
      <w:pPr>
        <w:pStyle w:val="ListParagraph"/>
        <w:numPr>
          <w:ilvl w:val="1"/>
          <w:numId w:val="27"/>
        </w:numPr>
        <w:ind w:left="709"/>
      </w:pPr>
      <w:proofErr w:type="gramStart"/>
      <w:r>
        <w:t>liaise</w:t>
      </w:r>
      <w:proofErr w:type="gramEnd"/>
      <w:r>
        <w:t xml:space="preserve"> with the Practice to ensure that the Practice is making best use of the technology available to it.  This includes:</w:t>
      </w:r>
    </w:p>
    <w:p w14:paraId="5BB8B4B1" w14:textId="77777777" w:rsidR="00A700E9" w:rsidRDefault="00A700E9" w:rsidP="00A700E9">
      <w:pPr>
        <w:pStyle w:val="ListParagraph"/>
      </w:pPr>
    </w:p>
    <w:p w14:paraId="763F4E78" w14:textId="77777777" w:rsidR="00A700E9" w:rsidRDefault="003362FD" w:rsidP="003362FD">
      <w:pPr>
        <w:pStyle w:val="ListParagraph"/>
        <w:numPr>
          <w:ilvl w:val="2"/>
          <w:numId w:val="27"/>
        </w:numPr>
        <w:ind w:left="1843" w:hanging="1134"/>
      </w:pPr>
      <w:r>
        <w:t>setting out the CCG’s strategic objec</w:t>
      </w:r>
      <w:r w:rsidR="00A700E9">
        <w:t>tives for general practice IT;</w:t>
      </w:r>
    </w:p>
    <w:p w14:paraId="5623C368" w14:textId="77777777" w:rsidR="00A700E9" w:rsidRDefault="00A700E9" w:rsidP="00A700E9">
      <w:pPr>
        <w:pStyle w:val="ListParagraph"/>
        <w:ind w:left="1843"/>
      </w:pPr>
    </w:p>
    <w:p w14:paraId="4128CBD6" w14:textId="77777777" w:rsidR="00A700E9" w:rsidRDefault="003362FD" w:rsidP="003362FD">
      <w:pPr>
        <w:pStyle w:val="ListParagraph"/>
        <w:numPr>
          <w:ilvl w:val="2"/>
          <w:numId w:val="27"/>
        </w:numPr>
        <w:ind w:left="1843" w:hanging="1134"/>
      </w:pPr>
      <w:r>
        <w:t xml:space="preserve">providing information to allow the Practice to make choices about taking new services; </w:t>
      </w:r>
    </w:p>
    <w:p w14:paraId="61036A63" w14:textId="77777777" w:rsidR="00A700E9" w:rsidRDefault="00A700E9" w:rsidP="00A700E9">
      <w:pPr>
        <w:pStyle w:val="ListParagraph"/>
      </w:pPr>
    </w:p>
    <w:p w14:paraId="023C6686" w14:textId="5520A915" w:rsidR="003362FD" w:rsidRDefault="003362FD" w:rsidP="003362FD">
      <w:pPr>
        <w:pStyle w:val="ListParagraph"/>
        <w:numPr>
          <w:ilvl w:val="2"/>
          <w:numId w:val="27"/>
        </w:numPr>
        <w:ind w:left="1843" w:hanging="1134"/>
      </w:pPr>
      <w:r>
        <w:t>ensuring an up to date audit trail of all GP IT Assets in use at the Practice;</w:t>
      </w:r>
    </w:p>
    <w:p w14:paraId="3488A42B" w14:textId="77777777" w:rsidR="00A700E9" w:rsidRDefault="00A700E9" w:rsidP="00A700E9"/>
    <w:p w14:paraId="6235D674" w14:textId="77777777" w:rsidR="003362FD" w:rsidRDefault="003362FD" w:rsidP="00A700E9">
      <w:pPr>
        <w:pStyle w:val="Heading2"/>
        <w:numPr>
          <w:ilvl w:val="0"/>
          <w:numId w:val="0"/>
        </w:numPr>
        <w:ind w:left="576" w:hanging="576"/>
      </w:pPr>
      <w:bookmarkStart w:id="23" w:name="_Toc414462269"/>
      <w:r>
        <w:t>Software and IT Infrastructure</w:t>
      </w:r>
      <w:bookmarkEnd w:id="23"/>
    </w:p>
    <w:p w14:paraId="46710DB0" w14:textId="77777777" w:rsidR="003362FD" w:rsidRDefault="003362FD" w:rsidP="003362FD"/>
    <w:p w14:paraId="13B1D1AE" w14:textId="77777777" w:rsidR="00A700E9" w:rsidRDefault="003362FD" w:rsidP="003362FD">
      <w:pPr>
        <w:pStyle w:val="ListParagraph"/>
        <w:numPr>
          <w:ilvl w:val="1"/>
          <w:numId w:val="27"/>
        </w:numPr>
        <w:ind w:left="709"/>
      </w:pPr>
      <w:r>
        <w:t>support the software and IT infrastructure required to provide the Services;</w:t>
      </w:r>
    </w:p>
    <w:p w14:paraId="6A065084" w14:textId="77777777" w:rsidR="00A700E9" w:rsidRDefault="00A700E9" w:rsidP="00A700E9">
      <w:pPr>
        <w:pStyle w:val="ListParagraph"/>
        <w:ind w:left="709"/>
      </w:pPr>
    </w:p>
    <w:p w14:paraId="3446D610" w14:textId="77777777" w:rsidR="00A700E9" w:rsidRDefault="003362FD" w:rsidP="003362FD">
      <w:pPr>
        <w:pStyle w:val="ListParagraph"/>
        <w:numPr>
          <w:ilvl w:val="1"/>
          <w:numId w:val="27"/>
        </w:numPr>
        <w:ind w:left="709"/>
      </w:pPr>
      <w:r>
        <w:t>inform the Practice of any licence restrictions contained in the terms under which software is licensed to the CCG and/or Practice by the relevant supplier;</w:t>
      </w:r>
    </w:p>
    <w:p w14:paraId="328F1965" w14:textId="77777777" w:rsidR="00A700E9" w:rsidRDefault="00A700E9" w:rsidP="00A700E9">
      <w:pPr>
        <w:pStyle w:val="ListParagraph"/>
      </w:pPr>
    </w:p>
    <w:p w14:paraId="7776CCEA" w14:textId="77777777" w:rsidR="00A700E9" w:rsidRDefault="003362FD" w:rsidP="003362FD">
      <w:pPr>
        <w:pStyle w:val="ListParagraph"/>
        <w:numPr>
          <w:ilvl w:val="1"/>
          <w:numId w:val="27"/>
        </w:numPr>
        <w:ind w:left="709"/>
      </w:pPr>
      <w:r>
        <w:t>ensure that the Practice IT infrastructure is provided, upgraded and maintained in line with the “General Practice IT Infrastructure Specification” and Operating Environment Guidance published at http://systems.hscic.gov.uk/gpsoc and updated from time to time by Health and Social Care Information Centre;</w:t>
      </w:r>
    </w:p>
    <w:p w14:paraId="52A5A5C8" w14:textId="77777777" w:rsidR="00A700E9" w:rsidRDefault="00A700E9" w:rsidP="00A700E9">
      <w:pPr>
        <w:pStyle w:val="ListParagraph"/>
      </w:pPr>
    </w:p>
    <w:p w14:paraId="0E575F64" w14:textId="77777777" w:rsidR="00A700E9" w:rsidRDefault="003362FD" w:rsidP="003362FD">
      <w:pPr>
        <w:pStyle w:val="ListParagraph"/>
        <w:numPr>
          <w:ilvl w:val="1"/>
          <w:numId w:val="27"/>
        </w:numPr>
        <w:ind w:left="709"/>
      </w:pPr>
      <w:r>
        <w:t>be responsible for the removal and disposal of redundant GP IT Assets;</w:t>
      </w:r>
    </w:p>
    <w:p w14:paraId="37F337D9" w14:textId="77777777" w:rsidR="00A700E9" w:rsidRDefault="00A700E9" w:rsidP="00A700E9">
      <w:pPr>
        <w:pStyle w:val="ListParagraph"/>
      </w:pPr>
    </w:p>
    <w:p w14:paraId="4DDA5DC5" w14:textId="77777777" w:rsidR="00A700E9" w:rsidRDefault="003362FD" w:rsidP="003362FD">
      <w:pPr>
        <w:pStyle w:val="ListParagraph"/>
        <w:numPr>
          <w:ilvl w:val="1"/>
          <w:numId w:val="27"/>
        </w:numPr>
        <w:ind w:left="709"/>
      </w:pPr>
      <w:r>
        <w:t xml:space="preserve">provide the equipment to support the Practice’s use of Smart Cards; </w:t>
      </w:r>
    </w:p>
    <w:p w14:paraId="7CD99968" w14:textId="77777777" w:rsidR="00A700E9" w:rsidRDefault="00A700E9" w:rsidP="00A700E9">
      <w:pPr>
        <w:pStyle w:val="ListParagraph"/>
      </w:pPr>
    </w:p>
    <w:p w14:paraId="039E56DD" w14:textId="4D4C22A3" w:rsidR="003362FD" w:rsidRDefault="003362FD" w:rsidP="003362FD">
      <w:pPr>
        <w:pStyle w:val="ListParagraph"/>
        <w:numPr>
          <w:ilvl w:val="1"/>
          <w:numId w:val="27"/>
        </w:numPr>
        <w:ind w:left="709"/>
      </w:pPr>
      <w:r>
        <w:t>keep anti-virus definitions up to date on all Practice equipment for which it is providing an anti-virus solution;</w:t>
      </w:r>
    </w:p>
    <w:p w14:paraId="79F092DB" w14:textId="77777777" w:rsidR="00A700E9" w:rsidRDefault="00A700E9" w:rsidP="003362FD"/>
    <w:p w14:paraId="6C77118F" w14:textId="77777777" w:rsidR="003362FD" w:rsidRDefault="003362FD" w:rsidP="00A700E9">
      <w:pPr>
        <w:pStyle w:val="Heading2"/>
        <w:numPr>
          <w:ilvl w:val="0"/>
          <w:numId w:val="0"/>
        </w:numPr>
        <w:ind w:left="576" w:hanging="576"/>
      </w:pPr>
      <w:bookmarkStart w:id="24" w:name="_Toc414462270"/>
      <w:r>
        <w:t>Support &amp; Maintenance Service Levels</w:t>
      </w:r>
      <w:bookmarkEnd w:id="24"/>
    </w:p>
    <w:p w14:paraId="2EE97A69" w14:textId="13640E15" w:rsidR="003362FD" w:rsidRDefault="003362FD" w:rsidP="00A700E9">
      <w:pPr>
        <w:pStyle w:val="ListParagraph"/>
        <w:numPr>
          <w:ilvl w:val="1"/>
          <w:numId w:val="27"/>
        </w:numPr>
        <w:ind w:left="709"/>
      </w:pPr>
      <w:r>
        <w:t>perform the Services to meet or exceed the Support</w:t>
      </w:r>
      <w:r w:rsidR="00A700E9">
        <w:t xml:space="preserve"> &amp; Maintenance Service Levels;</w:t>
      </w:r>
    </w:p>
    <w:p w14:paraId="2DCF52F4" w14:textId="77777777" w:rsidR="00A700E9" w:rsidRDefault="00A700E9" w:rsidP="003362FD"/>
    <w:p w14:paraId="4E09D181" w14:textId="77777777" w:rsidR="003362FD" w:rsidRDefault="003362FD" w:rsidP="00A700E9">
      <w:pPr>
        <w:pStyle w:val="Heading2"/>
        <w:numPr>
          <w:ilvl w:val="0"/>
          <w:numId w:val="0"/>
        </w:numPr>
        <w:ind w:left="576" w:hanging="576"/>
      </w:pPr>
      <w:bookmarkStart w:id="25" w:name="_Toc414462271"/>
      <w:r>
        <w:t>System Upgrade and System Migration</w:t>
      </w:r>
      <w:bookmarkEnd w:id="25"/>
    </w:p>
    <w:p w14:paraId="69B72704" w14:textId="77777777" w:rsidR="003362FD" w:rsidRDefault="003362FD" w:rsidP="003362FD"/>
    <w:p w14:paraId="3FB15DC7" w14:textId="77777777" w:rsidR="00A700E9" w:rsidRDefault="003362FD" w:rsidP="003362FD">
      <w:pPr>
        <w:pStyle w:val="ListParagraph"/>
        <w:numPr>
          <w:ilvl w:val="1"/>
          <w:numId w:val="27"/>
        </w:numPr>
        <w:ind w:left="709"/>
      </w:pPr>
      <w:r>
        <w:lastRenderedPageBreak/>
        <w:t xml:space="preserve">fulfil its obligations in respect of the implementation, assurance and acceptance of the upgrade and/or migration of </w:t>
      </w:r>
      <w:proofErr w:type="spellStart"/>
      <w:r>
        <w:t>GPSoC</w:t>
      </w:r>
      <w:proofErr w:type="spellEnd"/>
      <w:r>
        <w:t xml:space="preserve"> Services in accordance with the project plan agreed with the Practice and the relevant Suppliers;</w:t>
      </w:r>
    </w:p>
    <w:p w14:paraId="26B1E344" w14:textId="77777777" w:rsidR="00A700E9" w:rsidRDefault="00A700E9" w:rsidP="00A700E9">
      <w:pPr>
        <w:ind w:left="-11"/>
      </w:pPr>
    </w:p>
    <w:p w14:paraId="40E1A6B1" w14:textId="327C0170" w:rsidR="003362FD" w:rsidRDefault="003362FD" w:rsidP="00A700E9">
      <w:pPr>
        <w:pStyle w:val="ListParagraph"/>
        <w:numPr>
          <w:ilvl w:val="1"/>
          <w:numId w:val="27"/>
        </w:numPr>
        <w:ind w:left="709"/>
      </w:pPr>
      <w:r>
        <w:t xml:space="preserve">undertake its responsibilities in accordance with the current version of the </w:t>
      </w:r>
      <w:proofErr w:type="spellStart"/>
      <w:r>
        <w:t>GPSoC</w:t>
      </w:r>
      <w:proofErr w:type="spellEnd"/>
      <w:r>
        <w:t xml:space="preserve"> Data Migration Specification published at </w:t>
      </w:r>
      <w:hyperlink r:id="rId22" w:history="1">
        <w:r w:rsidR="00A700E9" w:rsidRPr="00E8156A">
          <w:rPr>
            <w:rStyle w:val="Hyperlink"/>
          </w:rPr>
          <w:t>http://systems.hscic.gov.uk/gpsoc</w:t>
        </w:r>
      </w:hyperlink>
      <w:r>
        <w:t xml:space="preserve"> by the Health and Social Care Information Centre and the project plan agreed with the Practice and the relevant Suppliers; </w:t>
      </w:r>
    </w:p>
    <w:p w14:paraId="52853879" w14:textId="77777777" w:rsidR="00A700E9" w:rsidRDefault="00A700E9" w:rsidP="003362FD"/>
    <w:p w14:paraId="2BC4B4BC" w14:textId="77777777" w:rsidR="003362FD" w:rsidRDefault="003362FD" w:rsidP="00A700E9">
      <w:pPr>
        <w:pStyle w:val="Heading2"/>
        <w:numPr>
          <w:ilvl w:val="0"/>
          <w:numId w:val="0"/>
        </w:numPr>
        <w:ind w:left="576" w:hanging="576"/>
      </w:pPr>
      <w:bookmarkStart w:id="26" w:name="_Toc414462272"/>
      <w:r>
        <w:t>Delegated Responsibility for Delivery of the Services</w:t>
      </w:r>
      <w:bookmarkEnd w:id="26"/>
    </w:p>
    <w:p w14:paraId="5BD44AE1" w14:textId="77777777" w:rsidR="00A700E9" w:rsidRDefault="00A700E9" w:rsidP="003362FD"/>
    <w:p w14:paraId="734438B4" w14:textId="362E65D1" w:rsidR="00F623F3" w:rsidRDefault="003362FD" w:rsidP="00A700E9">
      <w:pPr>
        <w:pStyle w:val="ListParagraph"/>
        <w:numPr>
          <w:ilvl w:val="1"/>
          <w:numId w:val="27"/>
        </w:numPr>
        <w:ind w:left="709"/>
      </w:pPr>
      <w:proofErr w:type="gramStart"/>
      <w:r>
        <w:t>ensure</w:t>
      </w:r>
      <w:proofErr w:type="gramEnd"/>
      <w:r>
        <w:t xml:space="preserve"> that any third party providing the GP IT Services on behalf of a CCG is required to deliver the Services in accordance with the relevant CCG responsibilities under this Agreement.</w:t>
      </w:r>
    </w:p>
    <w:p w14:paraId="734438B5" w14:textId="30EF7AFC" w:rsidR="00F623F3" w:rsidRDefault="005A4142" w:rsidP="005570B3">
      <w:pPr>
        <w:pStyle w:val="Heading1"/>
        <w:numPr>
          <w:ilvl w:val="0"/>
          <w:numId w:val="27"/>
        </w:numPr>
      </w:pPr>
      <w:r>
        <w:br w:type="page"/>
      </w:r>
      <w:bookmarkStart w:id="27" w:name="_Toc414462273"/>
      <w:r w:rsidR="00A700E9">
        <w:lastRenderedPageBreak/>
        <w:t>Practice responsibilities in respect of the services</w:t>
      </w:r>
      <w:bookmarkEnd w:id="27"/>
    </w:p>
    <w:p w14:paraId="734438B6" w14:textId="77777777" w:rsidR="00853B39" w:rsidRPr="00F1638B" w:rsidRDefault="00853B39" w:rsidP="00853B39">
      <w:pPr>
        <w:rPr>
          <w:color w:val="FF0000"/>
        </w:rPr>
      </w:pPr>
    </w:p>
    <w:bookmarkEnd w:id="11"/>
    <w:p w14:paraId="61CEB3C8" w14:textId="77777777" w:rsidR="00A700E9" w:rsidRDefault="00A700E9" w:rsidP="00A700E9">
      <w:r>
        <w:t>The Practice shall:</w:t>
      </w:r>
    </w:p>
    <w:p w14:paraId="51D3E03D" w14:textId="77777777" w:rsidR="00A700E9" w:rsidRDefault="00A700E9" w:rsidP="00A700E9"/>
    <w:p w14:paraId="484E632B" w14:textId="77777777" w:rsidR="00A700E9" w:rsidRDefault="00A700E9" w:rsidP="00A700E9">
      <w:pPr>
        <w:pStyle w:val="Heading2"/>
        <w:numPr>
          <w:ilvl w:val="0"/>
          <w:numId w:val="0"/>
        </w:numPr>
        <w:ind w:left="576" w:hanging="576"/>
      </w:pPr>
      <w:bookmarkStart w:id="28" w:name="_Toc414462274"/>
      <w:r>
        <w:t>General</w:t>
      </w:r>
      <w:bookmarkEnd w:id="28"/>
    </w:p>
    <w:p w14:paraId="023F4EC1" w14:textId="77777777" w:rsidR="00A700E9" w:rsidRDefault="00A700E9" w:rsidP="00A700E9"/>
    <w:p w14:paraId="2374F91A" w14:textId="77777777" w:rsidR="00A700E9" w:rsidRDefault="00A700E9" w:rsidP="00A700E9">
      <w:pPr>
        <w:pStyle w:val="ListParagraph"/>
        <w:numPr>
          <w:ilvl w:val="1"/>
          <w:numId w:val="27"/>
        </w:numPr>
        <w:ind w:left="709"/>
      </w:pPr>
      <w:r>
        <w:t xml:space="preserve">comply with the current version of the Good Practice Guidelines; </w:t>
      </w:r>
    </w:p>
    <w:p w14:paraId="654DB089" w14:textId="77777777" w:rsidR="00A700E9" w:rsidRDefault="00A700E9" w:rsidP="00A700E9">
      <w:pPr>
        <w:pStyle w:val="ListParagraph"/>
        <w:ind w:left="709"/>
      </w:pPr>
    </w:p>
    <w:p w14:paraId="06478581" w14:textId="77777777" w:rsidR="00A700E9" w:rsidRDefault="00A700E9" w:rsidP="00A700E9">
      <w:pPr>
        <w:pStyle w:val="ListParagraph"/>
        <w:numPr>
          <w:ilvl w:val="1"/>
          <w:numId w:val="27"/>
        </w:numPr>
        <w:ind w:left="709"/>
      </w:pPr>
      <w:r>
        <w:t>work with the CCG to support the NHS' strategic objectives and policies for information management and technology;</w:t>
      </w:r>
    </w:p>
    <w:p w14:paraId="2FDBC278" w14:textId="77777777" w:rsidR="00A700E9" w:rsidRDefault="00A700E9" w:rsidP="00A700E9">
      <w:pPr>
        <w:pStyle w:val="ListParagraph"/>
      </w:pPr>
    </w:p>
    <w:p w14:paraId="03EFCA28" w14:textId="77777777" w:rsidR="00A700E9" w:rsidRDefault="00A700E9" w:rsidP="00A700E9">
      <w:pPr>
        <w:pStyle w:val="ListParagraph"/>
        <w:numPr>
          <w:ilvl w:val="1"/>
          <w:numId w:val="27"/>
        </w:numPr>
        <w:ind w:left="709"/>
      </w:pPr>
      <w:r>
        <w:t>identify the person with lead responsibility for IT matters in the Practice;</w:t>
      </w:r>
    </w:p>
    <w:p w14:paraId="0CB9C1C1" w14:textId="77777777" w:rsidR="00A700E9" w:rsidRDefault="00A700E9" w:rsidP="00A700E9">
      <w:pPr>
        <w:pStyle w:val="ListParagraph"/>
      </w:pPr>
    </w:p>
    <w:p w14:paraId="7EF9AE1D" w14:textId="77777777" w:rsidR="00A700E9" w:rsidRDefault="00A700E9" w:rsidP="00A700E9">
      <w:pPr>
        <w:pStyle w:val="ListParagraph"/>
        <w:numPr>
          <w:ilvl w:val="1"/>
          <w:numId w:val="27"/>
        </w:numPr>
        <w:ind w:left="709"/>
      </w:pPr>
      <w:r>
        <w:t xml:space="preserve">comply with the </w:t>
      </w:r>
      <w:proofErr w:type="spellStart"/>
      <w:r>
        <w:t>GPSoC</w:t>
      </w:r>
      <w:proofErr w:type="spellEnd"/>
      <w:r>
        <w:t xml:space="preserve"> Framework Agreement and </w:t>
      </w:r>
      <w:proofErr w:type="spellStart"/>
      <w:r>
        <w:t>GPSoC</w:t>
      </w:r>
      <w:proofErr w:type="spellEnd"/>
      <w:r>
        <w:t xml:space="preserve"> Call Off Agreement for the use of the </w:t>
      </w:r>
      <w:proofErr w:type="spellStart"/>
      <w:r>
        <w:t>GPSoC</w:t>
      </w:r>
      <w:proofErr w:type="spellEnd"/>
      <w:r>
        <w:t xml:space="preserve"> Services;</w:t>
      </w:r>
    </w:p>
    <w:p w14:paraId="5B1D1064" w14:textId="77777777" w:rsidR="00A700E9" w:rsidRDefault="00A700E9" w:rsidP="00A700E9">
      <w:pPr>
        <w:pStyle w:val="ListParagraph"/>
      </w:pPr>
    </w:p>
    <w:p w14:paraId="3123CBAF" w14:textId="77777777" w:rsidR="00A700E9" w:rsidRDefault="00A700E9" w:rsidP="00A700E9">
      <w:pPr>
        <w:pStyle w:val="ListParagraph"/>
        <w:numPr>
          <w:ilvl w:val="1"/>
          <w:numId w:val="27"/>
        </w:numPr>
        <w:ind w:left="709"/>
      </w:pPr>
      <w:r>
        <w:t>use every reasonable endeavour to protect Suppliers’ intellectual property rights in respect of the systems and software provided by the CCG;</w:t>
      </w:r>
    </w:p>
    <w:p w14:paraId="3981FC0E" w14:textId="77777777" w:rsidR="00A700E9" w:rsidRDefault="00A700E9" w:rsidP="00A700E9">
      <w:pPr>
        <w:pStyle w:val="ListParagraph"/>
      </w:pPr>
    </w:p>
    <w:p w14:paraId="41417158" w14:textId="77777777" w:rsidR="00A700E9" w:rsidRDefault="00A700E9" w:rsidP="00A700E9">
      <w:pPr>
        <w:pStyle w:val="ListParagraph"/>
        <w:numPr>
          <w:ilvl w:val="1"/>
          <w:numId w:val="27"/>
        </w:numPr>
        <w:ind w:left="709"/>
      </w:pPr>
      <w:r>
        <w:t>involve the Local Medical Committee in IM &amp; T matters, as appropriate;</w:t>
      </w:r>
    </w:p>
    <w:p w14:paraId="29E8D5DA" w14:textId="77777777" w:rsidR="00A700E9" w:rsidRDefault="00A700E9" w:rsidP="00A700E9">
      <w:pPr>
        <w:pStyle w:val="ListParagraph"/>
      </w:pPr>
    </w:p>
    <w:p w14:paraId="389018C2" w14:textId="06A603B4" w:rsidR="00A700E9" w:rsidRDefault="00A700E9" w:rsidP="00A700E9">
      <w:pPr>
        <w:pStyle w:val="ListParagraph"/>
        <w:numPr>
          <w:ilvl w:val="1"/>
          <w:numId w:val="27"/>
        </w:numPr>
        <w:ind w:left="709"/>
      </w:pPr>
      <w:r>
        <w:t xml:space="preserve">consult with the CCG on any developments which will impact on the practice software, IT infrastructure or </w:t>
      </w:r>
      <w:proofErr w:type="spellStart"/>
      <w:r>
        <w:t>GPSoC</w:t>
      </w:r>
      <w:proofErr w:type="spellEnd"/>
      <w:r>
        <w:t xml:space="preserve"> Services;</w:t>
      </w:r>
    </w:p>
    <w:p w14:paraId="707F8DF0" w14:textId="77777777" w:rsidR="00A700E9" w:rsidRDefault="00A700E9" w:rsidP="00A700E9"/>
    <w:p w14:paraId="0B1293C3" w14:textId="77777777" w:rsidR="00A700E9" w:rsidRDefault="00A700E9" w:rsidP="00A700E9">
      <w:pPr>
        <w:pStyle w:val="Heading2"/>
        <w:numPr>
          <w:ilvl w:val="0"/>
          <w:numId w:val="0"/>
        </w:numPr>
        <w:ind w:left="576" w:hanging="576"/>
      </w:pPr>
      <w:bookmarkStart w:id="29" w:name="_Toc414462275"/>
      <w:r>
        <w:t>Software and IT Infrastructure</w:t>
      </w:r>
      <w:bookmarkEnd w:id="29"/>
    </w:p>
    <w:p w14:paraId="687527FF" w14:textId="77777777" w:rsidR="00A700E9" w:rsidRDefault="00A700E9" w:rsidP="00A700E9"/>
    <w:p w14:paraId="67AD3E9D" w14:textId="77777777" w:rsidR="00A700E9" w:rsidRDefault="00A700E9" w:rsidP="00A700E9">
      <w:pPr>
        <w:pStyle w:val="ListParagraph"/>
        <w:numPr>
          <w:ilvl w:val="1"/>
          <w:numId w:val="27"/>
        </w:numPr>
        <w:ind w:left="709"/>
      </w:pPr>
      <w:r>
        <w:t xml:space="preserve">comply with any licence restrictions notified to it by the CCG or Supplier and contained in the terms under which software is licensed to the CCG and/or the Practice by the relevant  Supplier; </w:t>
      </w:r>
    </w:p>
    <w:p w14:paraId="705C4F6B" w14:textId="77777777" w:rsidR="00A700E9" w:rsidRDefault="00A700E9" w:rsidP="00A700E9">
      <w:pPr>
        <w:pStyle w:val="ListParagraph"/>
        <w:ind w:left="709"/>
      </w:pPr>
    </w:p>
    <w:p w14:paraId="22D934F5" w14:textId="77777777" w:rsidR="00A700E9" w:rsidRDefault="00A700E9" w:rsidP="00A700E9">
      <w:pPr>
        <w:pStyle w:val="ListParagraph"/>
        <w:numPr>
          <w:ilvl w:val="1"/>
          <w:numId w:val="27"/>
        </w:numPr>
        <w:ind w:left="709"/>
      </w:pPr>
      <w:r>
        <w:t xml:space="preserve">only use the </w:t>
      </w:r>
      <w:proofErr w:type="spellStart"/>
      <w:r>
        <w:t>GPSoC</w:t>
      </w:r>
      <w:proofErr w:type="spellEnd"/>
      <w:r>
        <w:t xml:space="preserve"> Services while it is covered by a valid agreement with the Supplier;</w:t>
      </w:r>
    </w:p>
    <w:p w14:paraId="55A87742" w14:textId="77777777" w:rsidR="00A700E9" w:rsidRDefault="00A700E9" w:rsidP="00A700E9">
      <w:pPr>
        <w:pStyle w:val="ListParagraph"/>
      </w:pPr>
    </w:p>
    <w:p w14:paraId="6BA5F07D" w14:textId="77777777" w:rsidR="00A700E9" w:rsidRDefault="00A700E9" w:rsidP="00A700E9">
      <w:pPr>
        <w:pStyle w:val="ListParagraph"/>
        <w:numPr>
          <w:ilvl w:val="1"/>
          <w:numId w:val="27"/>
        </w:numPr>
        <w:ind w:left="709"/>
      </w:pPr>
      <w:r>
        <w:t>use N3 services in accordance with the CCG N3 access agreement;</w:t>
      </w:r>
    </w:p>
    <w:p w14:paraId="4068947E" w14:textId="77777777" w:rsidR="00A700E9" w:rsidRDefault="00A700E9" w:rsidP="00A700E9">
      <w:pPr>
        <w:pStyle w:val="ListParagraph"/>
      </w:pPr>
    </w:p>
    <w:p w14:paraId="1C79F52E" w14:textId="77777777" w:rsidR="00A700E9" w:rsidRDefault="00A700E9" w:rsidP="00A700E9">
      <w:pPr>
        <w:pStyle w:val="ListParagraph"/>
        <w:numPr>
          <w:ilvl w:val="1"/>
          <w:numId w:val="27"/>
        </w:numPr>
        <w:ind w:left="709"/>
      </w:pPr>
      <w:r>
        <w:t xml:space="preserve">not try to gain access to those </w:t>
      </w:r>
      <w:proofErr w:type="spellStart"/>
      <w:r>
        <w:t>GPSoC</w:t>
      </w:r>
      <w:proofErr w:type="spellEnd"/>
      <w:r>
        <w:t xml:space="preserve"> Services which are not authorised or configured for such use by the CCG or the Supplier; </w:t>
      </w:r>
    </w:p>
    <w:p w14:paraId="0D66F574" w14:textId="77777777" w:rsidR="00A700E9" w:rsidRDefault="00A700E9" w:rsidP="00A700E9">
      <w:pPr>
        <w:pStyle w:val="ListParagraph"/>
      </w:pPr>
    </w:p>
    <w:p w14:paraId="6355AFEA" w14:textId="77777777" w:rsidR="00A700E9" w:rsidRDefault="00A700E9" w:rsidP="00A700E9">
      <w:pPr>
        <w:pStyle w:val="ListParagraph"/>
        <w:numPr>
          <w:ilvl w:val="1"/>
          <w:numId w:val="27"/>
        </w:numPr>
        <w:ind w:left="709"/>
      </w:pPr>
      <w:r>
        <w:t>not permit any third party access or use of the IT infrastructure without written agreement of the CCG;</w:t>
      </w:r>
    </w:p>
    <w:p w14:paraId="6E1A8DD7" w14:textId="77777777" w:rsidR="00A700E9" w:rsidRDefault="00A700E9" w:rsidP="00A700E9">
      <w:pPr>
        <w:pStyle w:val="ListParagraph"/>
      </w:pPr>
    </w:p>
    <w:p w14:paraId="0CD61630" w14:textId="77777777" w:rsidR="00A700E9" w:rsidRDefault="00A700E9" w:rsidP="00A700E9">
      <w:pPr>
        <w:pStyle w:val="ListParagraph"/>
        <w:numPr>
          <w:ilvl w:val="1"/>
          <w:numId w:val="27"/>
        </w:numPr>
        <w:ind w:left="709"/>
      </w:pPr>
      <w:r>
        <w:t xml:space="preserve">not attempt to disable, amend or tamper with any audit trail or security features that form part of the </w:t>
      </w:r>
      <w:proofErr w:type="spellStart"/>
      <w:r>
        <w:t>GPSoC</w:t>
      </w:r>
      <w:proofErr w:type="spellEnd"/>
      <w:r>
        <w:t xml:space="preserve"> Services or the IT infrastructure on which the system is installed;</w:t>
      </w:r>
    </w:p>
    <w:p w14:paraId="721576FD" w14:textId="77777777" w:rsidR="00A700E9" w:rsidRDefault="00A700E9" w:rsidP="00A700E9">
      <w:pPr>
        <w:pStyle w:val="ListParagraph"/>
      </w:pPr>
    </w:p>
    <w:p w14:paraId="529F61E9" w14:textId="77777777" w:rsidR="00A700E9" w:rsidRDefault="00A700E9" w:rsidP="00A700E9">
      <w:pPr>
        <w:pStyle w:val="ListParagraph"/>
        <w:numPr>
          <w:ilvl w:val="1"/>
          <w:numId w:val="27"/>
        </w:numPr>
        <w:ind w:left="709"/>
      </w:pPr>
      <w:r>
        <w:t xml:space="preserve">install recommended software upgrades and patches in accordance with the CCG’s or the relevant Supplier’s requirements; </w:t>
      </w:r>
    </w:p>
    <w:p w14:paraId="7F53F58C" w14:textId="77777777" w:rsidR="00A700E9" w:rsidRDefault="00A700E9" w:rsidP="00A700E9">
      <w:pPr>
        <w:pStyle w:val="ListParagraph"/>
      </w:pPr>
    </w:p>
    <w:p w14:paraId="53D71FFB" w14:textId="77777777" w:rsidR="00A700E9" w:rsidRDefault="00A700E9" w:rsidP="00A700E9">
      <w:pPr>
        <w:pStyle w:val="ListParagraph"/>
        <w:numPr>
          <w:ilvl w:val="1"/>
          <w:numId w:val="27"/>
        </w:numPr>
        <w:ind w:left="709"/>
      </w:pPr>
      <w:proofErr w:type="gramStart"/>
      <w:r>
        <w:lastRenderedPageBreak/>
        <w:t>maintain</w:t>
      </w:r>
      <w:proofErr w:type="gramEnd"/>
      <w:r>
        <w:t xml:space="preserve"> IT equipment in an environment suitable for such equipment and in accordance with the Supplier’s recommendations. All servers must:</w:t>
      </w:r>
    </w:p>
    <w:p w14:paraId="415B83E7" w14:textId="77777777" w:rsidR="00A700E9" w:rsidRDefault="00A700E9" w:rsidP="00A700E9">
      <w:pPr>
        <w:pStyle w:val="ListParagraph"/>
      </w:pPr>
    </w:p>
    <w:p w14:paraId="6D3F4EEB" w14:textId="77777777" w:rsidR="002B6313" w:rsidRDefault="00A700E9" w:rsidP="002B6313">
      <w:pPr>
        <w:pStyle w:val="ListParagraph"/>
        <w:numPr>
          <w:ilvl w:val="2"/>
          <w:numId w:val="27"/>
        </w:numPr>
        <w:ind w:left="1843" w:hanging="1134"/>
      </w:pPr>
      <w:r>
        <w:t>be physically secure</w:t>
      </w:r>
    </w:p>
    <w:p w14:paraId="558BDB38" w14:textId="77777777" w:rsidR="002B6313" w:rsidRDefault="002B6313" w:rsidP="002B6313">
      <w:pPr>
        <w:pStyle w:val="ListParagraph"/>
        <w:ind w:left="1843"/>
      </w:pPr>
    </w:p>
    <w:p w14:paraId="59E9E9D4" w14:textId="77777777" w:rsidR="002B6313" w:rsidRDefault="00A700E9" w:rsidP="002B6313">
      <w:pPr>
        <w:pStyle w:val="ListParagraph"/>
        <w:numPr>
          <w:ilvl w:val="2"/>
          <w:numId w:val="27"/>
        </w:numPr>
        <w:ind w:left="1843" w:hanging="1134"/>
      </w:pPr>
      <w:r>
        <w:t>be accessible only to authorised personnel</w:t>
      </w:r>
    </w:p>
    <w:p w14:paraId="3C6F841E" w14:textId="77777777" w:rsidR="002B6313" w:rsidRDefault="002B6313" w:rsidP="002B6313">
      <w:pPr>
        <w:pStyle w:val="ListParagraph"/>
      </w:pPr>
    </w:p>
    <w:p w14:paraId="3753DF16" w14:textId="77777777" w:rsidR="002B6313" w:rsidRDefault="00A700E9" w:rsidP="002B6313">
      <w:pPr>
        <w:pStyle w:val="ListParagraph"/>
        <w:numPr>
          <w:ilvl w:val="2"/>
          <w:numId w:val="27"/>
        </w:numPr>
        <w:ind w:left="1843" w:hanging="1134"/>
      </w:pPr>
      <w:r>
        <w:t>be operated in an appropriate climate-controlled environment</w:t>
      </w:r>
    </w:p>
    <w:p w14:paraId="104ACFF2" w14:textId="77777777" w:rsidR="002B6313" w:rsidRDefault="002B6313" w:rsidP="002B6313">
      <w:pPr>
        <w:pStyle w:val="ListParagraph"/>
      </w:pPr>
    </w:p>
    <w:p w14:paraId="11202890" w14:textId="77777777" w:rsidR="002B6313" w:rsidRDefault="00A700E9" w:rsidP="002B6313">
      <w:pPr>
        <w:pStyle w:val="ListParagraph"/>
        <w:numPr>
          <w:ilvl w:val="2"/>
          <w:numId w:val="27"/>
        </w:numPr>
        <w:ind w:left="1843" w:hanging="1134"/>
      </w:pPr>
      <w:r>
        <w:t>have adequate power capacity and fire protection</w:t>
      </w:r>
    </w:p>
    <w:p w14:paraId="188540CD" w14:textId="77777777" w:rsidR="002B6313" w:rsidRDefault="002B6313" w:rsidP="002B6313">
      <w:pPr>
        <w:pStyle w:val="ListParagraph"/>
      </w:pPr>
    </w:p>
    <w:p w14:paraId="338F3C21" w14:textId="77777777" w:rsidR="002B6313" w:rsidRDefault="00A700E9" w:rsidP="002B6313">
      <w:pPr>
        <w:pStyle w:val="ListParagraph"/>
        <w:numPr>
          <w:ilvl w:val="2"/>
          <w:numId w:val="27"/>
        </w:numPr>
        <w:ind w:left="1843" w:hanging="1134"/>
      </w:pPr>
      <w:r>
        <w:t xml:space="preserve">have backup devices plus backup, restore and verification software/service, which must be adequately tested </w:t>
      </w:r>
    </w:p>
    <w:p w14:paraId="14116B7C" w14:textId="77777777" w:rsidR="002B6313" w:rsidRDefault="002B6313" w:rsidP="002B6313">
      <w:pPr>
        <w:pStyle w:val="ListParagraph"/>
      </w:pPr>
    </w:p>
    <w:p w14:paraId="5FC22773" w14:textId="19029B6D" w:rsidR="00A700E9" w:rsidRDefault="00A700E9" w:rsidP="002B6313">
      <w:pPr>
        <w:pStyle w:val="ListParagraph"/>
        <w:numPr>
          <w:ilvl w:val="2"/>
          <w:numId w:val="27"/>
        </w:numPr>
        <w:ind w:left="1843" w:hanging="1134"/>
      </w:pPr>
      <w:r>
        <w:t xml:space="preserve">have an uninterruptible power supply, with battery backup, that incorporates safe automatic power-down in the event of power loss </w:t>
      </w:r>
    </w:p>
    <w:p w14:paraId="2D369CD8" w14:textId="77777777" w:rsidR="00A700E9" w:rsidRDefault="00A700E9" w:rsidP="00A700E9"/>
    <w:p w14:paraId="3670445D" w14:textId="77777777" w:rsidR="00A700E9" w:rsidRDefault="00A700E9" w:rsidP="00A700E9">
      <w:pPr>
        <w:pStyle w:val="Heading2"/>
        <w:numPr>
          <w:ilvl w:val="0"/>
          <w:numId w:val="0"/>
        </w:numPr>
      </w:pPr>
      <w:bookmarkStart w:id="30" w:name="_Toc414462276"/>
      <w:r>
        <w:t>Hardware and Software Support</w:t>
      </w:r>
      <w:bookmarkEnd w:id="30"/>
    </w:p>
    <w:p w14:paraId="0BFB789C" w14:textId="77777777" w:rsidR="00A700E9" w:rsidRDefault="00A700E9" w:rsidP="00A700E9"/>
    <w:p w14:paraId="7EFE9BDA" w14:textId="77777777" w:rsidR="002B6313" w:rsidRDefault="00A700E9" w:rsidP="00A700E9">
      <w:pPr>
        <w:pStyle w:val="ListParagraph"/>
        <w:numPr>
          <w:ilvl w:val="1"/>
          <w:numId w:val="27"/>
        </w:numPr>
        <w:ind w:left="709"/>
      </w:pPr>
      <w:r>
        <w:t>log all faults and technical issues in accordance with the procedures set out by the CCG;</w:t>
      </w:r>
    </w:p>
    <w:p w14:paraId="145C4910" w14:textId="77777777" w:rsidR="002B6313" w:rsidRDefault="002B6313" w:rsidP="002B6313">
      <w:pPr>
        <w:pStyle w:val="ListParagraph"/>
        <w:ind w:left="709"/>
      </w:pPr>
    </w:p>
    <w:p w14:paraId="487DFE10" w14:textId="77777777" w:rsidR="002B6313" w:rsidRDefault="00A700E9" w:rsidP="00A700E9">
      <w:pPr>
        <w:pStyle w:val="ListParagraph"/>
        <w:numPr>
          <w:ilvl w:val="1"/>
          <w:numId w:val="27"/>
        </w:numPr>
        <w:ind w:left="709"/>
      </w:pPr>
      <w:r>
        <w:t xml:space="preserve">report promptly any loss or degradation of the </w:t>
      </w:r>
      <w:proofErr w:type="spellStart"/>
      <w:r>
        <w:t>GPSoC</w:t>
      </w:r>
      <w:proofErr w:type="spellEnd"/>
      <w:r>
        <w:t xml:space="preserve"> Services in accordance with the procedures set out by the CCG and Supplier;</w:t>
      </w:r>
    </w:p>
    <w:p w14:paraId="2493284F" w14:textId="77777777" w:rsidR="002B6313" w:rsidRDefault="002B6313" w:rsidP="002B6313">
      <w:pPr>
        <w:pStyle w:val="ListParagraph"/>
      </w:pPr>
    </w:p>
    <w:p w14:paraId="356831F3" w14:textId="77777777" w:rsidR="002B6313" w:rsidRDefault="00A700E9" w:rsidP="00A700E9">
      <w:pPr>
        <w:pStyle w:val="ListParagraph"/>
        <w:numPr>
          <w:ilvl w:val="1"/>
          <w:numId w:val="27"/>
        </w:numPr>
        <w:ind w:left="709"/>
      </w:pPr>
      <w:r>
        <w:t>provide full details of the problem when logging an issue with the relevant Service Desk and respond promptly to any reasonable request for additional information;</w:t>
      </w:r>
    </w:p>
    <w:p w14:paraId="355B2576" w14:textId="77777777" w:rsidR="002B6313" w:rsidRDefault="002B6313" w:rsidP="002B6313">
      <w:pPr>
        <w:pStyle w:val="ListParagraph"/>
      </w:pPr>
    </w:p>
    <w:p w14:paraId="34773545" w14:textId="77777777" w:rsidR="002B6313" w:rsidRDefault="00A700E9" w:rsidP="00A700E9">
      <w:pPr>
        <w:pStyle w:val="ListParagraph"/>
        <w:numPr>
          <w:ilvl w:val="1"/>
          <w:numId w:val="27"/>
        </w:numPr>
        <w:ind w:left="709"/>
      </w:pPr>
      <w:r>
        <w:t xml:space="preserve">provide access to the premises and the equipment delivering the </w:t>
      </w:r>
      <w:proofErr w:type="spellStart"/>
      <w:r>
        <w:t>GPSoC</w:t>
      </w:r>
      <w:proofErr w:type="spellEnd"/>
      <w:r>
        <w:t xml:space="preserve"> Services outside of  Core Hours where required to enable the CCG, its agents and Suppliers to resolve a Severity 1 or 2 incident;</w:t>
      </w:r>
    </w:p>
    <w:p w14:paraId="23335A6B" w14:textId="77777777" w:rsidR="002B6313" w:rsidRDefault="002B6313" w:rsidP="002B6313">
      <w:pPr>
        <w:pStyle w:val="ListParagraph"/>
      </w:pPr>
    </w:p>
    <w:p w14:paraId="1FD5D4F5" w14:textId="77777777" w:rsidR="002B6313" w:rsidRDefault="00A700E9" w:rsidP="00A700E9">
      <w:pPr>
        <w:pStyle w:val="ListParagraph"/>
        <w:numPr>
          <w:ilvl w:val="1"/>
          <w:numId w:val="27"/>
        </w:numPr>
        <w:ind w:left="709"/>
      </w:pPr>
      <w:r>
        <w:t xml:space="preserve">where remote technical support is provided by the CCG or its Suppliers, allow appropriate access to its systems; </w:t>
      </w:r>
    </w:p>
    <w:p w14:paraId="5D527288" w14:textId="77777777" w:rsidR="002B6313" w:rsidRDefault="002B6313" w:rsidP="002B6313">
      <w:pPr>
        <w:pStyle w:val="ListParagraph"/>
      </w:pPr>
    </w:p>
    <w:p w14:paraId="3B260286" w14:textId="6957833C" w:rsidR="00A700E9" w:rsidRDefault="00A700E9" w:rsidP="00A700E9">
      <w:pPr>
        <w:pStyle w:val="ListParagraph"/>
        <w:numPr>
          <w:ilvl w:val="1"/>
          <w:numId w:val="27"/>
        </w:numPr>
        <w:ind w:left="709"/>
      </w:pPr>
      <w:r>
        <w:t>comply with all reasonable instructions and requests, such as access to particular staff to resolve a technical problem;</w:t>
      </w:r>
    </w:p>
    <w:p w14:paraId="21AA4E33" w14:textId="77777777" w:rsidR="002B6313" w:rsidRDefault="002B6313" w:rsidP="00A700E9"/>
    <w:p w14:paraId="1D86ADC8" w14:textId="0EAD7904" w:rsidR="002B6313" w:rsidRDefault="00A700E9" w:rsidP="002B6313">
      <w:pPr>
        <w:pStyle w:val="Heading2"/>
        <w:numPr>
          <w:ilvl w:val="0"/>
          <w:numId w:val="0"/>
        </w:numPr>
      </w:pPr>
      <w:bookmarkStart w:id="31" w:name="_Toc414462277"/>
      <w:r>
        <w:t>System Upgrade and System Migration</w:t>
      </w:r>
      <w:bookmarkEnd w:id="31"/>
    </w:p>
    <w:p w14:paraId="6528F331" w14:textId="77777777" w:rsidR="002B6313" w:rsidRDefault="00A700E9" w:rsidP="00A700E9">
      <w:pPr>
        <w:pStyle w:val="ListParagraph"/>
        <w:numPr>
          <w:ilvl w:val="1"/>
          <w:numId w:val="27"/>
        </w:numPr>
        <w:ind w:left="709"/>
      </w:pPr>
      <w:r>
        <w:t xml:space="preserve">fulfil its obligations in respect of the implementation, assurance and acceptance of </w:t>
      </w:r>
      <w:proofErr w:type="spellStart"/>
      <w:r>
        <w:t>GPSoC</w:t>
      </w:r>
      <w:proofErr w:type="spellEnd"/>
      <w:r>
        <w:t xml:space="preserve"> Services upgrade or migration in accordance with the project plan agreed with the CCG and the relevant Suppliers;</w:t>
      </w:r>
    </w:p>
    <w:p w14:paraId="6699B9E3" w14:textId="77777777" w:rsidR="002B6313" w:rsidRDefault="002B6313" w:rsidP="002B6313">
      <w:pPr>
        <w:pStyle w:val="ListParagraph"/>
        <w:ind w:left="709"/>
      </w:pPr>
    </w:p>
    <w:p w14:paraId="7D5A5A4E" w14:textId="77777777" w:rsidR="002B6313" w:rsidRDefault="00A700E9" w:rsidP="00A700E9">
      <w:pPr>
        <w:pStyle w:val="ListParagraph"/>
        <w:numPr>
          <w:ilvl w:val="1"/>
          <w:numId w:val="27"/>
        </w:numPr>
        <w:ind w:left="709"/>
      </w:pPr>
      <w:r>
        <w:t xml:space="preserve">identify existing third party software which it requests that the Supplier interfaces with the </w:t>
      </w:r>
      <w:proofErr w:type="spellStart"/>
      <w:r>
        <w:t>GPSoC</w:t>
      </w:r>
      <w:proofErr w:type="spellEnd"/>
      <w:r>
        <w:t xml:space="preserve"> Services;</w:t>
      </w:r>
    </w:p>
    <w:p w14:paraId="63657C43" w14:textId="77777777" w:rsidR="002B6313" w:rsidRDefault="002B6313" w:rsidP="002B6313">
      <w:pPr>
        <w:pStyle w:val="ListParagraph"/>
      </w:pPr>
    </w:p>
    <w:p w14:paraId="3398660D" w14:textId="0E47611E" w:rsidR="00A700E9" w:rsidRDefault="00A700E9" w:rsidP="00A700E9">
      <w:pPr>
        <w:pStyle w:val="ListParagraph"/>
        <w:numPr>
          <w:ilvl w:val="1"/>
          <w:numId w:val="27"/>
        </w:numPr>
        <w:ind w:left="709"/>
      </w:pPr>
      <w:r>
        <w:t xml:space="preserve">undertake its responsibilities in accordance with the current version of the </w:t>
      </w:r>
      <w:proofErr w:type="spellStart"/>
      <w:r>
        <w:t>GPSoC</w:t>
      </w:r>
      <w:proofErr w:type="spellEnd"/>
      <w:r>
        <w:t xml:space="preserve"> Data Migration Specification published by the Health and Social Care </w:t>
      </w:r>
      <w:r>
        <w:lastRenderedPageBreak/>
        <w:t>Information Centre and the project plan agreed with the CCG and the relevant Suppliers;</w:t>
      </w:r>
    </w:p>
    <w:p w14:paraId="5A0A0330" w14:textId="77777777" w:rsidR="002B6313" w:rsidRDefault="002B6313" w:rsidP="002B6313"/>
    <w:p w14:paraId="788FD337" w14:textId="77777777" w:rsidR="00A700E9" w:rsidRDefault="00A700E9" w:rsidP="002B6313">
      <w:pPr>
        <w:pStyle w:val="Heading2"/>
        <w:numPr>
          <w:ilvl w:val="0"/>
          <w:numId w:val="0"/>
        </w:numPr>
        <w:ind w:left="576" w:hanging="576"/>
      </w:pPr>
      <w:bookmarkStart w:id="32" w:name="_Toc414462278"/>
      <w:r>
        <w:t>Premises</w:t>
      </w:r>
      <w:bookmarkEnd w:id="32"/>
    </w:p>
    <w:p w14:paraId="52F17A36" w14:textId="77777777" w:rsidR="002B6313" w:rsidRDefault="002B6313" w:rsidP="00A700E9"/>
    <w:p w14:paraId="60043A06" w14:textId="77777777" w:rsidR="002B6313" w:rsidRDefault="00A700E9" w:rsidP="00A700E9">
      <w:pPr>
        <w:pStyle w:val="ListParagraph"/>
        <w:numPr>
          <w:ilvl w:val="1"/>
          <w:numId w:val="27"/>
        </w:numPr>
        <w:ind w:left="709"/>
      </w:pPr>
      <w:r>
        <w:t xml:space="preserve">allow the CCG, its agents and Suppliers access to the Practice premises and the equipment delivering </w:t>
      </w:r>
      <w:proofErr w:type="spellStart"/>
      <w:r>
        <w:t>GPSoC</w:t>
      </w:r>
      <w:proofErr w:type="spellEnd"/>
      <w:r>
        <w:t xml:space="preserve"> Services during Core Hours and otherwise on reasonable notice for the purposes of fulfilling their obligations in respect of the Services;  </w:t>
      </w:r>
    </w:p>
    <w:p w14:paraId="427352B2" w14:textId="77777777" w:rsidR="002B6313" w:rsidRDefault="002B6313" w:rsidP="002B6313">
      <w:pPr>
        <w:pStyle w:val="ListParagraph"/>
        <w:ind w:left="709"/>
      </w:pPr>
    </w:p>
    <w:p w14:paraId="43A1FBB1" w14:textId="77777777" w:rsidR="002B6313" w:rsidRDefault="00A700E9" w:rsidP="00A700E9">
      <w:pPr>
        <w:pStyle w:val="ListParagraph"/>
        <w:numPr>
          <w:ilvl w:val="1"/>
          <w:numId w:val="27"/>
        </w:numPr>
        <w:ind w:left="709"/>
      </w:pPr>
      <w:r>
        <w:t>provide the CCG and the Supplier with full contact details for a primary and a secondary contact at the Practice who will provide the necessary information and access to premises and equipment to resolve problems with the Services;</w:t>
      </w:r>
    </w:p>
    <w:p w14:paraId="46BE2282" w14:textId="77777777" w:rsidR="002B6313" w:rsidRDefault="002B6313" w:rsidP="002B6313">
      <w:pPr>
        <w:pStyle w:val="ListParagraph"/>
      </w:pPr>
    </w:p>
    <w:p w14:paraId="167BEC64" w14:textId="77777777" w:rsidR="002B6313" w:rsidRDefault="00A700E9" w:rsidP="00A700E9">
      <w:pPr>
        <w:pStyle w:val="ListParagraph"/>
        <w:numPr>
          <w:ilvl w:val="1"/>
          <w:numId w:val="27"/>
        </w:numPr>
        <w:ind w:left="709"/>
      </w:pPr>
      <w:r>
        <w:t>ensure that it has adequate security measures in place in the Practice's premises, consulting the CCG and the relevant Supplier for advice relating to the IT infrastructure;</w:t>
      </w:r>
    </w:p>
    <w:p w14:paraId="4912CBA1" w14:textId="77777777" w:rsidR="002B6313" w:rsidRDefault="002B6313" w:rsidP="002B6313">
      <w:pPr>
        <w:pStyle w:val="ListParagraph"/>
      </w:pPr>
    </w:p>
    <w:p w14:paraId="7B380FCD" w14:textId="77777777" w:rsidR="002B6313" w:rsidRDefault="00A700E9" w:rsidP="00A700E9">
      <w:pPr>
        <w:pStyle w:val="ListParagraph"/>
        <w:numPr>
          <w:ilvl w:val="1"/>
          <w:numId w:val="27"/>
        </w:numPr>
        <w:ind w:left="709"/>
      </w:pPr>
      <w:r>
        <w:t>following any security breach where the CCG discovers inadequate security arrangements within a Practice and notifies the Practice of such, carry out the necessary upgrade(s) to its security arrangements;</w:t>
      </w:r>
    </w:p>
    <w:p w14:paraId="48B1D191" w14:textId="77777777" w:rsidR="002B6313" w:rsidRDefault="002B6313" w:rsidP="002B6313">
      <w:pPr>
        <w:pStyle w:val="ListParagraph"/>
      </w:pPr>
    </w:p>
    <w:p w14:paraId="3CB0C0A8" w14:textId="77777777" w:rsidR="002B6313" w:rsidRDefault="00A700E9" w:rsidP="00A700E9">
      <w:pPr>
        <w:pStyle w:val="ListParagraph"/>
        <w:numPr>
          <w:ilvl w:val="1"/>
          <w:numId w:val="27"/>
        </w:numPr>
        <w:ind w:left="709"/>
      </w:pPr>
      <w:proofErr w:type="gramStart"/>
      <w:r>
        <w:t>ensure</w:t>
      </w:r>
      <w:proofErr w:type="gramEnd"/>
      <w:r>
        <w:t xml:space="preserve"> that it has taken reasonable precautions to ensure that NHS England and Supplier owned equipment is protected from theft and malicious damage. Practices should be aware that they have a responsibility to inform their insurance companies that IT equipment will be on their premises. Practices are advised to insure practice-owned IT equipment and ensure cover for the consequences of any loss;</w:t>
      </w:r>
    </w:p>
    <w:p w14:paraId="02E4999E" w14:textId="77777777" w:rsidR="002B6313" w:rsidRDefault="002B6313" w:rsidP="002B6313">
      <w:pPr>
        <w:pStyle w:val="ListParagraph"/>
      </w:pPr>
    </w:p>
    <w:p w14:paraId="2A1D9196" w14:textId="77777777" w:rsidR="002B6313" w:rsidRDefault="00A700E9" w:rsidP="00A700E9">
      <w:pPr>
        <w:pStyle w:val="ListParagraph"/>
        <w:numPr>
          <w:ilvl w:val="1"/>
          <w:numId w:val="27"/>
        </w:numPr>
        <w:ind w:left="709"/>
      </w:pPr>
      <w:r>
        <w:t>at all times ensure that adequate security arrangements are in place in the practice premises in order to protect NHS-owned equipment;</w:t>
      </w:r>
    </w:p>
    <w:p w14:paraId="476365CE" w14:textId="77777777" w:rsidR="002B6313" w:rsidRDefault="002B6313" w:rsidP="002B6313">
      <w:pPr>
        <w:pStyle w:val="ListParagraph"/>
      </w:pPr>
    </w:p>
    <w:p w14:paraId="3E2F58C1" w14:textId="4B66F21F" w:rsidR="00A700E9" w:rsidRDefault="00A700E9" w:rsidP="00A700E9">
      <w:pPr>
        <w:pStyle w:val="ListParagraph"/>
        <w:numPr>
          <w:ilvl w:val="1"/>
          <w:numId w:val="27"/>
        </w:numPr>
        <w:ind w:left="709"/>
      </w:pPr>
      <w:proofErr w:type="gramStart"/>
      <w:r>
        <w:t>acknowledge</w:t>
      </w:r>
      <w:proofErr w:type="gramEnd"/>
      <w:r>
        <w:t xml:space="preserve"> that the CCG shall have no liability in respect of any loss due to  data loss or failure to meet the Support &amp; Maintenance Service Levels where this has been caused by a security breach or inadequate security arrangements at the Practice's premises.</w:t>
      </w:r>
    </w:p>
    <w:p w14:paraId="14DE64FE" w14:textId="32D519EC" w:rsidR="002B6313" w:rsidRDefault="002B6313">
      <w:r>
        <w:br w:type="page"/>
      </w:r>
    </w:p>
    <w:p w14:paraId="396CC0CD" w14:textId="73A29548" w:rsidR="00A700E9" w:rsidRDefault="002B6313" w:rsidP="000A6FA4">
      <w:pPr>
        <w:pStyle w:val="Heading1"/>
        <w:numPr>
          <w:ilvl w:val="0"/>
          <w:numId w:val="27"/>
        </w:numPr>
      </w:pPr>
      <w:bookmarkStart w:id="33" w:name="_Toc414462279"/>
      <w:r>
        <w:lastRenderedPageBreak/>
        <w:t>Escalation and dispute resolution</w:t>
      </w:r>
      <w:bookmarkEnd w:id="33"/>
    </w:p>
    <w:p w14:paraId="0B783192" w14:textId="77777777" w:rsidR="002B6313" w:rsidRDefault="002B6313" w:rsidP="002B6313"/>
    <w:p w14:paraId="13650599" w14:textId="4938607D" w:rsidR="00A700E9" w:rsidRDefault="00A700E9" w:rsidP="002B6313">
      <w:pPr>
        <w:pStyle w:val="Heading2"/>
        <w:numPr>
          <w:ilvl w:val="0"/>
          <w:numId w:val="0"/>
        </w:numPr>
        <w:ind w:left="576" w:hanging="576"/>
      </w:pPr>
      <w:bookmarkStart w:id="34" w:name="_Toc414462280"/>
      <w:r>
        <w:t>Escalation Procedure</w:t>
      </w:r>
      <w:bookmarkEnd w:id="34"/>
    </w:p>
    <w:p w14:paraId="05426AF2" w14:textId="77777777" w:rsidR="002B6313" w:rsidRPr="000A6FA4" w:rsidRDefault="002B6313" w:rsidP="000A6FA4">
      <w:pPr>
        <w:rPr>
          <w:vanish/>
        </w:rPr>
      </w:pPr>
    </w:p>
    <w:p w14:paraId="3E98771F" w14:textId="77777777" w:rsidR="002B6313" w:rsidRDefault="00A700E9" w:rsidP="00A700E9">
      <w:pPr>
        <w:pStyle w:val="ListParagraph"/>
        <w:numPr>
          <w:ilvl w:val="1"/>
          <w:numId w:val="27"/>
        </w:numPr>
        <w:ind w:left="709"/>
      </w:pPr>
      <w:r>
        <w:t>The parties acknowledge that the CCG, Practice and Supplier need to work together to ensure the smooth running of the Services.  To enable this, a list of nominated contacts for the Practice and the CCG shall be agreed and maintained by the parties. Communication relating to contractual disputes shall be between the relevant contacts dependin</w:t>
      </w:r>
      <w:r w:rsidR="002B6313">
        <w:t>g on the nature of the dispute.</w:t>
      </w:r>
    </w:p>
    <w:p w14:paraId="07776D64" w14:textId="77777777" w:rsidR="002B6313" w:rsidRDefault="002B6313" w:rsidP="002B6313">
      <w:pPr>
        <w:pStyle w:val="ListParagraph"/>
        <w:ind w:left="709"/>
      </w:pPr>
    </w:p>
    <w:p w14:paraId="5888DF9A" w14:textId="77777777" w:rsidR="002B6313" w:rsidRDefault="00A700E9" w:rsidP="00A700E9">
      <w:pPr>
        <w:pStyle w:val="ListParagraph"/>
        <w:numPr>
          <w:ilvl w:val="1"/>
          <w:numId w:val="27"/>
        </w:numPr>
        <w:ind w:left="709"/>
      </w:pPr>
      <w:r>
        <w:t xml:space="preserve">Where a dispute cannot be resolved by the nominated contacts the dispute shall be referred up the management chain within the Practice and the CCG as appropriate. </w:t>
      </w:r>
    </w:p>
    <w:p w14:paraId="3E12BA19" w14:textId="77777777" w:rsidR="002B6313" w:rsidRDefault="002B6313" w:rsidP="002B6313">
      <w:pPr>
        <w:pStyle w:val="ListParagraph"/>
      </w:pPr>
    </w:p>
    <w:p w14:paraId="015A1D4E" w14:textId="77777777" w:rsidR="002B6313" w:rsidRDefault="00A700E9" w:rsidP="00A700E9">
      <w:pPr>
        <w:pStyle w:val="ListParagraph"/>
        <w:numPr>
          <w:ilvl w:val="1"/>
          <w:numId w:val="27"/>
        </w:numPr>
        <w:ind w:left="709"/>
      </w:pPr>
      <w:r>
        <w:t>Where an escalation procedure is already in place and functions to the satisfaction of both parties then this shall be included in Appendix 3 to this Agreement.</w:t>
      </w:r>
    </w:p>
    <w:p w14:paraId="4C5C73CE" w14:textId="77777777" w:rsidR="002B6313" w:rsidRDefault="002B6313" w:rsidP="002B6313">
      <w:pPr>
        <w:pStyle w:val="ListParagraph"/>
      </w:pPr>
    </w:p>
    <w:p w14:paraId="07B0574C" w14:textId="77777777" w:rsidR="002B6313" w:rsidRDefault="00A700E9" w:rsidP="00A700E9">
      <w:pPr>
        <w:pStyle w:val="ListParagraph"/>
        <w:numPr>
          <w:ilvl w:val="1"/>
          <w:numId w:val="27"/>
        </w:numPr>
        <w:ind w:left="709"/>
      </w:pPr>
      <w:r>
        <w:t xml:space="preserve">Where no escalation procedure exists the parties shall develop a process which involves escalation to named contacts or roles within each organisation that have the authority to agree a resolution to the dispute.  This escalation procedure shall be included in Appendix 3 to this Agreement.  </w:t>
      </w:r>
    </w:p>
    <w:p w14:paraId="28AD6A62" w14:textId="77777777" w:rsidR="002B6313" w:rsidRDefault="002B6313" w:rsidP="002B6313">
      <w:pPr>
        <w:pStyle w:val="ListParagraph"/>
      </w:pPr>
    </w:p>
    <w:p w14:paraId="399D702E" w14:textId="77777777" w:rsidR="002B6313" w:rsidRDefault="00A700E9" w:rsidP="00A700E9">
      <w:pPr>
        <w:pStyle w:val="ListParagraph"/>
        <w:numPr>
          <w:ilvl w:val="1"/>
          <w:numId w:val="27"/>
        </w:numPr>
        <w:ind w:left="709"/>
      </w:pPr>
      <w:r>
        <w:t>If the parties are unable to resolve the dispute within a reasonable timescale as set out in the escalation procedure then either party (both having considered whether the dispute should be referred to mediation) shall refer the dispute for determination in accordance with the Dispute Resolution Procedure.</w:t>
      </w:r>
    </w:p>
    <w:p w14:paraId="64A72D3C" w14:textId="77777777" w:rsidR="002B6313" w:rsidRDefault="002B6313" w:rsidP="002B6313">
      <w:pPr>
        <w:pStyle w:val="ListParagraph"/>
      </w:pPr>
    </w:p>
    <w:p w14:paraId="7E4A51E5" w14:textId="77777777" w:rsidR="002B6313" w:rsidRDefault="00A700E9" w:rsidP="00A700E9">
      <w:pPr>
        <w:pStyle w:val="ListParagraph"/>
        <w:numPr>
          <w:ilvl w:val="1"/>
          <w:numId w:val="27"/>
        </w:numPr>
        <w:ind w:left="709"/>
      </w:pPr>
      <w:r>
        <w:t>Prior to initiating the Dispute Resolution Procedure the parties shall:</w:t>
      </w:r>
    </w:p>
    <w:p w14:paraId="771CD2FD" w14:textId="77777777" w:rsidR="002B6313" w:rsidRDefault="002B6313" w:rsidP="002B6313">
      <w:pPr>
        <w:pStyle w:val="ListParagraph"/>
      </w:pPr>
    </w:p>
    <w:p w14:paraId="28BBB618" w14:textId="77777777" w:rsidR="002B6313" w:rsidRDefault="00A700E9" w:rsidP="00A700E9">
      <w:pPr>
        <w:pStyle w:val="ListParagraph"/>
        <w:numPr>
          <w:ilvl w:val="2"/>
          <w:numId w:val="27"/>
        </w:numPr>
        <w:ind w:left="1843" w:hanging="1134"/>
      </w:pPr>
      <w:r>
        <w:t>reasonably demonstrate why the dispute cannot be resolved without escalation to the next level in the escalation procedure; and</w:t>
      </w:r>
    </w:p>
    <w:p w14:paraId="395D8B6D" w14:textId="77777777" w:rsidR="002B6313" w:rsidRDefault="002B6313" w:rsidP="002B6313">
      <w:pPr>
        <w:pStyle w:val="ListParagraph"/>
        <w:ind w:left="1843"/>
      </w:pPr>
    </w:p>
    <w:p w14:paraId="29A13C1A" w14:textId="44458073" w:rsidR="00A700E9" w:rsidRDefault="00A700E9" w:rsidP="00A700E9">
      <w:pPr>
        <w:pStyle w:val="ListParagraph"/>
        <w:numPr>
          <w:ilvl w:val="2"/>
          <w:numId w:val="27"/>
        </w:numPr>
        <w:ind w:left="1843" w:hanging="1134"/>
      </w:pPr>
      <w:proofErr w:type="gramStart"/>
      <w:r>
        <w:t>take</w:t>
      </w:r>
      <w:proofErr w:type="gramEnd"/>
      <w:r>
        <w:t xml:space="preserve"> account of any </w:t>
      </w:r>
      <w:proofErr w:type="spellStart"/>
      <w:r>
        <w:t>ongoing</w:t>
      </w:r>
      <w:proofErr w:type="spellEnd"/>
      <w:r>
        <w:t xml:space="preserve"> dispute under the </w:t>
      </w:r>
      <w:proofErr w:type="spellStart"/>
      <w:r>
        <w:t>GPSoC</w:t>
      </w:r>
      <w:proofErr w:type="spellEnd"/>
      <w:r>
        <w:t xml:space="preserve"> Framework Agreement and, if appropriate, suspend or delay resolution of the dispute under these terms until resolution of the </w:t>
      </w:r>
      <w:proofErr w:type="spellStart"/>
      <w:r>
        <w:t>ongoing</w:t>
      </w:r>
      <w:proofErr w:type="spellEnd"/>
      <w:r>
        <w:t xml:space="preserve"> dispute under the </w:t>
      </w:r>
      <w:proofErr w:type="spellStart"/>
      <w:r>
        <w:t>GPSoC</w:t>
      </w:r>
      <w:proofErr w:type="spellEnd"/>
      <w:r>
        <w:t xml:space="preserve"> Framework Agreement or join the resolution process under the relevant agreement.</w:t>
      </w:r>
    </w:p>
    <w:p w14:paraId="54BAB1A8" w14:textId="77777777" w:rsidR="002B6313" w:rsidRDefault="002B6313" w:rsidP="00A700E9"/>
    <w:p w14:paraId="298B8990" w14:textId="77777777" w:rsidR="00A700E9" w:rsidRDefault="00A700E9" w:rsidP="002B6313">
      <w:pPr>
        <w:pStyle w:val="Heading2"/>
        <w:numPr>
          <w:ilvl w:val="0"/>
          <w:numId w:val="0"/>
        </w:numPr>
        <w:ind w:left="576" w:hanging="576"/>
      </w:pPr>
      <w:bookmarkStart w:id="35" w:name="_Toc414462281"/>
      <w:r>
        <w:t>Dispute Resolution Procedure</w:t>
      </w:r>
      <w:bookmarkEnd w:id="35"/>
    </w:p>
    <w:p w14:paraId="378B6808" w14:textId="77777777" w:rsidR="002B6313" w:rsidRDefault="00A700E9" w:rsidP="00A700E9">
      <w:pPr>
        <w:pStyle w:val="ListParagraph"/>
        <w:numPr>
          <w:ilvl w:val="1"/>
          <w:numId w:val="27"/>
        </w:numPr>
        <w:ind w:left="709"/>
      </w:pPr>
      <w:r>
        <w:t>In respect of unresolved disputes, the parties shall follow one of the following routes of dispute resolution as applicable:</w:t>
      </w:r>
    </w:p>
    <w:p w14:paraId="24F80FAF" w14:textId="77777777" w:rsidR="002B6313" w:rsidRDefault="002B6313" w:rsidP="002B6313">
      <w:pPr>
        <w:pStyle w:val="ListParagraph"/>
        <w:ind w:left="709"/>
      </w:pPr>
    </w:p>
    <w:p w14:paraId="2E9B39C1" w14:textId="77777777" w:rsidR="002B6313" w:rsidRDefault="00A700E9" w:rsidP="00A700E9">
      <w:pPr>
        <w:pStyle w:val="ListParagraph"/>
        <w:numPr>
          <w:ilvl w:val="2"/>
          <w:numId w:val="27"/>
        </w:numPr>
        <w:ind w:left="1843" w:hanging="1134"/>
      </w:pPr>
      <w:r>
        <w:t>if the Practice has elected to be regarded as (or in the case of a Practice with a PMS Contract the Practice is regarded as being) a  Health Service Body then the dispute shall be referred to the Secretary of State under Section 9(6) or 9(7) of the National Health Service Act 2006; or</w:t>
      </w:r>
    </w:p>
    <w:p w14:paraId="63969F90" w14:textId="77777777" w:rsidR="002B6313" w:rsidRDefault="002B6313" w:rsidP="002B6313">
      <w:pPr>
        <w:pStyle w:val="ListParagraph"/>
        <w:ind w:left="1843"/>
      </w:pPr>
    </w:p>
    <w:p w14:paraId="1807C75D" w14:textId="14037470" w:rsidR="00A700E9" w:rsidRDefault="00A700E9" w:rsidP="00A700E9">
      <w:pPr>
        <w:pStyle w:val="ListParagraph"/>
        <w:numPr>
          <w:ilvl w:val="2"/>
          <w:numId w:val="27"/>
        </w:numPr>
        <w:ind w:left="1843" w:hanging="1134"/>
      </w:pPr>
      <w:r>
        <w:t>if the Practice has not elected to be regarded as (or in the case of a Practice with a PMS Contract the Practice has objected in writing to being regarded as) a Health Service Body, then the parties shall follow the expert determination process set out in clauses 6.10 to 6.16.</w:t>
      </w:r>
    </w:p>
    <w:p w14:paraId="24743DF7" w14:textId="77777777" w:rsidR="002B6313" w:rsidRDefault="002B6313" w:rsidP="00A700E9"/>
    <w:p w14:paraId="7D780ACE" w14:textId="557AAACC" w:rsidR="00A700E9" w:rsidRDefault="00A700E9" w:rsidP="002B6313">
      <w:pPr>
        <w:pStyle w:val="ListParagraph"/>
        <w:numPr>
          <w:ilvl w:val="1"/>
          <w:numId w:val="27"/>
        </w:numPr>
        <w:ind w:left="709"/>
      </w:pPr>
      <w:r>
        <w:t>The parties shall continue to comply with the terms of this Agreement during the determination of the dispute.</w:t>
      </w:r>
    </w:p>
    <w:p w14:paraId="6108C440" w14:textId="77777777" w:rsidR="002B6313" w:rsidRDefault="002B6313" w:rsidP="00A700E9"/>
    <w:p w14:paraId="014380BE" w14:textId="77777777" w:rsidR="00A700E9" w:rsidRDefault="00A700E9" w:rsidP="002B6313">
      <w:pPr>
        <w:pStyle w:val="Heading2"/>
        <w:numPr>
          <w:ilvl w:val="0"/>
          <w:numId w:val="0"/>
        </w:numPr>
        <w:ind w:left="576" w:hanging="576"/>
      </w:pPr>
      <w:bookmarkStart w:id="36" w:name="_Toc414462282"/>
      <w:r>
        <w:t>NHS Litigation Authority</w:t>
      </w:r>
      <w:bookmarkEnd w:id="36"/>
      <w:r>
        <w:t xml:space="preserve"> </w:t>
      </w:r>
    </w:p>
    <w:p w14:paraId="285DB726" w14:textId="77777777" w:rsidR="002B6313" w:rsidRDefault="002B6313" w:rsidP="00A700E9"/>
    <w:p w14:paraId="15AEAEE6" w14:textId="55FF1767" w:rsidR="00A700E9" w:rsidRDefault="00A700E9" w:rsidP="002B6313">
      <w:pPr>
        <w:pStyle w:val="ListParagraph"/>
        <w:numPr>
          <w:ilvl w:val="1"/>
          <w:numId w:val="27"/>
        </w:numPr>
        <w:ind w:left="709"/>
      </w:pPr>
      <w:r>
        <w:t xml:space="preserve">The NHS Litigation Authority will determine any dispute referred to the Secretary of State in accordance with Section 9(6) or 9(7) of the National Health Service Act 2006 as set out in directions issued by the Secretary of State and any relevant Regulations.  </w:t>
      </w:r>
    </w:p>
    <w:p w14:paraId="1118FB06" w14:textId="77777777" w:rsidR="002B6313" w:rsidRDefault="002B6313" w:rsidP="00A700E9"/>
    <w:p w14:paraId="69787808" w14:textId="77777777" w:rsidR="00A700E9" w:rsidRDefault="00A700E9" w:rsidP="002B6313">
      <w:pPr>
        <w:pStyle w:val="Heading2"/>
        <w:numPr>
          <w:ilvl w:val="0"/>
          <w:numId w:val="0"/>
        </w:numPr>
        <w:ind w:left="576" w:hanging="576"/>
      </w:pPr>
      <w:bookmarkStart w:id="37" w:name="_Toc414462283"/>
      <w:r>
        <w:t>Expert Determination</w:t>
      </w:r>
      <w:bookmarkEnd w:id="37"/>
    </w:p>
    <w:p w14:paraId="0662D5EC" w14:textId="77777777" w:rsidR="002B6313" w:rsidRDefault="002B6313" w:rsidP="00A700E9"/>
    <w:p w14:paraId="2FFE7206" w14:textId="77777777" w:rsidR="002B6313" w:rsidRDefault="00A700E9" w:rsidP="00A700E9">
      <w:pPr>
        <w:pStyle w:val="ListParagraph"/>
        <w:numPr>
          <w:ilvl w:val="1"/>
          <w:numId w:val="27"/>
        </w:numPr>
        <w:ind w:left="709"/>
      </w:pPr>
      <w:r>
        <w:t xml:space="preserve">If the parties are to resolve a dispute through Expert determination, then the parties shall first agree on the appointment of an independent Expert.  </w:t>
      </w:r>
    </w:p>
    <w:p w14:paraId="107DD37E" w14:textId="77777777" w:rsidR="002B6313" w:rsidRDefault="002B6313" w:rsidP="002B6313">
      <w:pPr>
        <w:pStyle w:val="ListParagraph"/>
        <w:ind w:left="709"/>
      </w:pPr>
    </w:p>
    <w:p w14:paraId="7777A603" w14:textId="77777777" w:rsidR="002B6313" w:rsidRDefault="00A700E9" w:rsidP="00A700E9">
      <w:pPr>
        <w:pStyle w:val="ListParagraph"/>
        <w:numPr>
          <w:ilvl w:val="1"/>
          <w:numId w:val="27"/>
        </w:numPr>
        <w:ind w:left="709"/>
      </w:pPr>
      <w:r>
        <w:t>To the extent the parties are unable to agree on the Expert within 10 working days of either party giving written notice that it intends to refer the dispute to an Expert for determination, then an Expert shall be appointed:</w:t>
      </w:r>
    </w:p>
    <w:p w14:paraId="69E85370" w14:textId="77777777" w:rsidR="002B6313" w:rsidRDefault="002B6313" w:rsidP="002B6313">
      <w:pPr>
        <w:pStyle w:val="ListParagraph"/>
      </w:pPr>
    </w:p>
    <w:p w14:paraId="0F0D4E98" w14:textId="77777777" w:rsidR="000A6FA4" w:rsidRDefault="00A700E9" w:rsidP="00A700E9">
      <w:pPr>
        <w:pStyle w:val="ListParagraph"/>
        <w:numPr>
          <w:ilvl w:val="2"/>
          <w:numId w:val="27"/>
        </w:numPr>
        <w:ind w:left="1843" w:hanging="1134"/>
      </w:pPr>
      <w:r>
        <w:t>in relation to a dispute which relates to any aspect of the technology underlying the Services or which is otherwise of a scientifically technical nature, by the Primary Healthcare Specialist Group of the British Computer Society (or such association understood by the parties to have replaced it); or</w:t>
      </w:r>
    </w:p>
    <w:p w14:paraId="0F6602E7" w14:textId="77777777" w:rsidR="000A6FA4" w:rsidRDefault="000A6FA4" w:rsidP="000A6FA4">
      <w:pPr>
        <w:ind w:left="709"/>
      </w:pPr>
    </w:p>
    <w:p w14:paraId="73ED5094" w14:textId="01E23247" w:rsidR="00A700E9" w:rsidRDefault="00A700E9" w:rsidP="00A700E9">
      <w:pPr>
        <w:pStyle w:val="ListParagraph"/>
        <w:numPr>
          <w:ilvl w:val="2"/>
          <w:numId w:val="27"/>
        </w:numPr>
        <w:ind w:left="1843" w:hanging="1134"/>
      </w:pPr>
      <w:proofErr w:type="gramStart"/>
      <w:r>
        <w:t>in</w:t>
      </w:r>
      <w:proofErr w:type="gramEnd"/>
      <w:r>
        <w:t xml:space="preserve"> relation to any other dispute, by an appropriate professional body or, if this cannot be agreed, by the Chairman of the Law</w:t>
      </w:r>
      <w:r w:rsidR="000A6FA4">
        <w:t xml:space="preserve"> Society of England and Wales.</w:t>
      </w:r>
    </w:p>
    <w:p w14:paraId="5DAF805E" w14:textId="77777777" w:rsidR="000A6FA4" w:rsidRDefault="000A6FA4" w:rsidP="000A6FA4"/>
    <w:p w14:paraId="0D390AB3" w14:textId="77777777" w:rsidR="000A6FA4" w:rsidRDefault="00A700E9" w:rsidP="00A700E9">
      <w:pPr>
        <w:pStyle w:val="ListParagraph"/>
        <w:numPr>
          <w:ilvl w:val="1"/>
          <w:numId w:val="27"/>
        </w:numPr>
        <w:ind w:left="709"/>
      </w:pPr>
      <w:r>
        <w:t>The Expert appointed shall act on the following basis:</w:t>
      </w:r>
    </w:p>
    <w:p w14:paraId="34637EBF" w14:textId="77777777" w:rsidR="000A6FA4" w:rsidRDefault="000A6FA4" w:rsidP="000A6FA4">
      <w:pPr>
        <w:ind w:left="-11"/>
      </w:pPr>
    </w:p>
    <w:p w14:paraId="379C4BDE" w14:textId="77777777" w:rsidR="000A6FA4" w:rsidRDefault="00A700E9" w:rsidP="00A700E9">
      <w:pPr>
        <w:pStyle w:val="ListParagraph"/>
        <w:numPr>
          <w:ilvl w:val="2"/>
          <w:numId w:val="27"/>
        </w:numPr>
        <w:ind w:left="1843" w:hanging="1134"/>
      </w:pPr>
      <w:r>
        <w:t>the Expert shall act as an expert and not as an arbitrator and shall act fairly and impartially;</w:t>
      </w:r>
    </w:p>
    <w:p w14:paraId="53A9EA42" w14:textId="77777777" w:rsidR="000A6FA4" w:rsidRDefault="000A6FA4" w:rsidP="000A6FA4">
      <w:pPr>
        <w:ind w:left="709"/>
      </w:pPr>
    </w:p>
    <w:p w14:paraId="19DA341B" w14:textId="77777777" w:rsidR="000A6FA4" w:rsidRDefault="00A700E9" w:rsidP="00A700E9">
      <w:pPr>
        <w:pStyle w:val="ListParagraph"/>
        <w:numPr>
          <w:ilvl w:val="2"/>
          <w:numId w:val="27"/>
        </w:numPr>
        <w:ind w:left="1843" w:hanging="1134"/>
      </w:pPr>
      <w:r>
        <w:t>the Expert's determination shall, in the absence of material failure by the Expert, be final and binding on the parties; and</w:t>
      </w:r>
    </w:p>
    <w:p w14:paraId="21EF8323" w14:textId="77777777" w:rsidR="000A6FA4" w:rsidRDefault="000A6FA4" w:rsidP="000A6FA4">
      <w:pPr>
        <w:pStyle w:val="ListParagraph"/>
      </w:pPr>
    </w:p>
    <w:p w14:paraId="2D87F7ED" w14:textId="630DC29A" w:rsidR="00A700E9" w:rsidRDefault="00A700E9" w:rsidP="00A700E9">
      <w:pPr>
        <w:pStyle w:val="ListParagraph"/>
        <w:numPr>
          <w:ilvl w:val="2"/>
          <w:numId w:val="27"/>
        </w:numPr>
        <w:ind w:left="1843" w:hanging="1134"/>
      </w:pPr>
      <w:r>
        <w:t xml:space="preserve">the Expert shall decide the procedure to be followed in the determination (including but not limited to whether further expert evidence is to be provided by the parties or obtained independently by the Expert) and shall be requested to make their determination in writing within 25 working days after their appointment or as soon as </w:t>
      </w:r>
      <w:r>
        <w:lastRenderedPageBreak/>
        <w:t>reasonably practical thereafter.  The parties shall provide such documentation and/or information as the Expert shall require for the purposes of the determination.</w:t>
      </w:r>
    </w:p>
    <w:p w14:paraId="7E4DCBDA" w14:textId="77777777" w:rsidR="000A6FA4" w:rsidRDefault="000A6FA4" w:rsidP="000A6FA4"/>
    <w:p w14:paraId="0BD223FC" w14:textId="77777777" w:rsidR="000A6FA4" w:rsidRDefault="00A700E9" w:rsidP="00A700E9">
      <w:pPr>
        <w:pStyle w:val="ListParagraph"/>
        <w:numPr>
          <w:ilvl w:val="1"/>
          <w:numId w:val="27"/>
        </w:numPr>
        <w:ind w:left="709"/>
      </w:pPr>
      <w:r>
        <w:t>Any amount payable by one party to another as a result of the Expert's determination shall be due and payable within 20 working days of the Expert's determination being notified by the parties.</w:t>
      </w:r>
    </w:p>
    <w:p w14:paraId="00B986B0" w14:textId="77777777" w:rsidR="000A6FA4" w:rsidRDefault="000A6FA4" w:rsidP="000A6FA4">
      <w:pPr>
        <w:ind w:left="-11"/>
      </w:pPr>
    </w:p>
    <w:p w14:paraId="3CBDD597" w14:textId="77777777" w:rsidR="000A6FA4" w:rsidRDefault="00A700E9" w:rsidP="00A700E9">
      <w:pPr>
        <w:pStyle w:val="ListParagraph"/>
        <w:numPr>
          <w:ilvl w:val="1"/>
          <w:numId w:val="27"/>
        </w:numPr>
        <w:ind w:left="709"/>
      </w:pPr>
      <w:r>
        <w:t>The process shall be conducted in private and shall be confidential.</w:t>
      </w:r>
    </w:p>
    <w:p w14:paraId="7D2C3091" w14:textId="77777777" w:rsidR="000A6FA4" w:rsidRDefault="000A6FA4" w:rsidP="000A6FA4">
      <w:pPr>
        <w:pStyle w:val="ListParagraph"/>
      </w:pPr>
    </w:p>
    <w:p w14:paraId="56485F68" w14:textId="77777777" w:rsidR="000A6FA4" w:rsidRDefault="00A700E9" w:rsidP="00A700E9">
      <w:pPr>
        <w:pStyle w:val="ListParagraph"/>
        <w:numPr>
          <w:ilvl w:val="1"/>
          <w:numId w:val="27"/>
        </w:numPr>
        <w:ind w:left="709"/>
      </w:pPr>
      <w:r>
        <w:t>The Expert shall determine how and by whom the costs of the determination, including the fees and expenses of the Expert are to be paid.</w:t>
      </w:r>
    </w:p>
    <w:p w14:paraId="3A1C789E" w14:textId="77777777" w:rsidR="000A6FA4" w:rsidRDefault="000A6FA4" w:rsidP="000A6FA4">
      <w:pPr>
        <w:pStyle w:val="ListParagraph"/>
      </w:pPr>
    </w:p>
    <w:p w14:paraId="55954531" w14:textId="3180ED4D" w:rsidR="00A700E9" w:rsidRDefault="00A700E9" w:rsidP="00A700E9">
      <w:pPr>
        <w:pStyle w:val="ListParagraph"/>
        <w:numPr>
          <w:ilvl w:val="1"/>
          <w:numId w:val="27"/>
        </w:numPr>
        <w:ind w:left="709"/>
      </w:pPr>
      <w:r>
        <w:t xml:space="preserve">The parties shall continue to comply with the terms of this Agreement during the determination of the dispute. </w:t>
      </w:r>
    </w:p>
    <w:p w14:paraId="2CD6801D" w14:textId="0BED4570" w:rsidR="00E8655B" w:rsidRDefault="00E8655B">
      <w:r>
        <w:br w:type="page"/>
      </w:r>
    </w:p>
    <w:p w14:paraId="5A8C39A6" w14:textId="04B0C76E" w:rsidR="00A700E9" w:rsidRDefault="00A700E9" w:rsidP="000A6FA4">
      <w:pPr>
        <w:pStyle w:val="Heading1"/>
        <w:numPr>
          <w:ilvl w:val="0"/>
          <w:numId w:val="27"/>
        </w:numPr>
      </w:pPr>
      <w:bookmarkStart w:id="38" w:name="_Toc414462284"/>
      <w:r>
        <w:lastRenderedPageBreak/>
        <w:t>F</w:t>
      </w:r>
      <w:r w:rsidR="000A6FA4">
        <w:t>orce Majeure</w:t>
      </w:r>
      <w:bookmarkEnd w:id="38"/>
    </w:p>
    <w:p w14:paraId="3BFD9E25" w14:textId="77777777" w:rsidR="000A6FA4" w:rsidRDefault="000A6FA4" w:rsidP="00A700E9"/>
    <w:p w14:paraId="508C6EC5" w14:textId="2606145A" w:rsidR="00A700E9" w:rsidRDefault="00A700E9" w:rsidP="000A6FA4">
      <w:pPr>
        <w:pStyle w:val="ListParagraph"/>
        <w:numPr>
          <w:ilvl w:val="1"/>
          <w:numId w:val="27"/>
        </w:numPr>
        <w:ind w:left="709"/>
      </w:pPr>
      <w:r>
        <w:t>Neither the CCG nor the Practice shall have any liability to the other for non-performance of its obligations to the extent that this is as a result of a Force Majeure Event, provided the party claiming relief notifies the other party of the event in writing as soon as r</w:t>
      </w:r>
      <w:r w:rsidR="000A6FA4">
        <w:t>easonably practicable.</w:t>
      </w:r>
    </w:p>
    <w:p w14:paraId="52478E3F" w14:textId="77777777" w:rsidR="000A6FA4" w:rsidRDefault="000A6FA4" w:rsidP="000A6FA4">
      <w:pPr>
        <w:ind w:left="-11"/>
      </w:pPr>
    </w:p>
    <w:p w14:paraId="4F4C7D22" w14:textId="77777777" w:rsidR="000A6FA4" w:rsidRDefault="00A700E9" w:rsidP="00A700E9">
      <w:pPr>
        <w:pStyle w:val="ListParagraph"/>
        <w:numPr>
          <w:ilvl w:val="1"/>
          <w:numId w:val="27"/>
        </w:numPr>
        <w:ind w:left="709"/>
      </w:pPr>
      <w:r>
        <w:t xml:space="preserve">For the purposes of these terms, a </w:t>
      </w:r>
      <w:r w:rsidRPr="000A6FA4">
        <w:rPr>
          <w:b/>
        </w:rPr>
        <w:t>Force Majeure Event</w:t>
      </w:r>
      <w:r>
        <w:t xml:space="preserve"> means:</w:t>
      </w:r>
    </w:p>
    <w:p w14:paraId="4CBD93EF" w14:textId="77777777" w:rsidR="000A6FA4" w:rsidRDefault="000A6FA4" w:rsidP="000A6FA4">
      <w:pPr>
        <w:pStyle w:val="ListParagraph"/>
        <w:ind w:left="3240"/>
      </w:pPr>
    </w:p>
    <w:p w14:paraId="75F6CDDB" w14:textId="77777777" w:rsidR="000A6FA4" w:rsidRDefault="00A700E9" w:rsidP="000A6FA4">
      <w:pPr>
        <w:pStyle w:val="ListParagraph"/>
        <w:numPr>
          <w:ilvl w:val="3"/>
          <w:numId w:val="27"/>
        </w:numPr>
        <w:ind w:left="1843" w:hanging="1134"/>
      </w:pPr>
      <w:r>
        <w:t xml:space="preserve">war, civil war, armed conflict or terrorist attack arising within and affecting the United Kingdom; or </w:t>
      </w:r>
    </w:p>
    <w:p w14:paraId="6769465F" w14:textId="77777777" w:rsidR="000A6FA4" w:rsidRDefault="000A6FA4" w:rsidP="000A6FA4">
      <w:pPr>
        <w:pStyle w:val="ListParagraph"/>
        <w:ind w:left="1843" w:hanging="1134"/>
      </w:pPr>
    </w:p>
    <w:p w14:paraId="40C3A80B" w14:textId="77777777" w:rsidR="000A6FA4" w:rsidRDefault="00A700E9" w:rsidP="000A6FA4">
      <w:pPr>
        <w:pStyle w:val="ListParagraph"/>
        <w:numPr>
          <w:ilvl w:val="3"/>
          <w:numId w:val="27"/>
        </w:numPr>
        <w:ind w:left="1843" w:hanging="1134"/>
      </w:pPr>
      <w:r>
        <w:t>nuclear, chemical or biological contamination of the CCG's, Supplier’s or  Practice's property arising from any of the events as set out in (a) above; or</w:t>
      </w:r>
    </w:p>
    <w:p w14:paraId="649C9E14" w14:textId="77777777" w:rsidR="000A6FA4" w:rsidRDefault="000A6FA4" w:rsidP="000A6FA4">
      <w:pPr>
        <w:pStyle w:val="ListParagraph"/>
        <w:ind w:left="1843" w:hanging="1134"/>
      </w:pPr>
    </w:p>
    <w:p w14:paraId="1A0CE91A" w14:textId="77777777" w:rsidR="000A6FA4" w:rsidRDefault="00A700E9" w:rsidP="000A6FA4">
      <w:pPr>
        <w:pStyle w:val="ListParagraph"/>
        <w:numPr>
          <w:ilvl w:val="3"/>
          <w:numId w:val="27"/>
        </w:numPr>
        <w:ind w:left="1843" w:hanging="1134"/>
      </w:pPr>
      <w:r>
        <w:t>fire and explosion; or</w:t>
      </w:r>
    </w:p>
    <w:p w14:paraId="0F5C57AF" w14:textId="77777777" w:rsidR="000A6FA4" w:rsidRDefault="000A6FA4" w:rsidP="000A6FA4">
      <w:pPr>
        <w:pStyle w:val="ListParagraph"/>
        <w:ind w:left="1843" w:hanging="1134"/>
      </w:pPr>
    </w:p>
    <w:p w14:paraId="61ABDFBD" w14:textId="77777777" w:rsidR="000A6FA4" w:rsidRDefault="00A700E9" w:rsidP="000A6FA4">
      <w:pPr>
        <w:pStyle w:val="ListParagraph"/>
        <w:numPr>
          <w:ilvl w:val="3"/>
          <w:numId w:val="27"/>
        </w:numPr>
        <w:ind w:left="1843" w:hanging="1134"/>
      </w:pPr>
      <w:r>
        <w:t>an act of God which includes all uncontrollable natural forces and natural disasters including flood, avalanche, storms, unforeseeable accidents or equipment failure which are not the fault of the party relying upon such circumstances but shall specifically exclude any industrial action and any acts or omissions of any employees in the course of their employment or consultants in the course of their engagement; or</w:t>
      </w:r>
    </w:p>
    <w:p w14:paraId="0FFF7942" w14:textId="19B351F8" w:rsidR="000A6FA4" w:rsidRDefault="00A700E9" w:rsidP="000A6FA4">
      <w:pPr>
        <w:pStyle w:val="ListParagraph"/>
        <w:ind w:left="1843" w:hanging="1134"/>
      </w:pPr>
      <w:r>
        <w:t xml:space="preserve"> </w:t>
      </w:r>
    </w:p>
    <w:p w14:paraId="76A93215" w14:textId="56DB92AC" w:rsidR="00A700E9" w:rsidRDefault="00A700E9" w:rsidP="000A6FA4">
      <w:pPr>
        <w:pStyle w:val="ListParagraph"/>
        <w:numPr>
          <w:ilvl w:val="3"/>
          <w:numId w:val="27"/>
        </w:numPr>
        <w:ind w:left="1843" w:hanging="1134"/>
      </w:pPr>
      <w:proofErr w:type="gramStart"/>
      <w:r>
        <w:t>a</w:t>
      </w:r>
      <w:proofErr w:type="gramEnd"/>
      <w:r>
        <w:t xml:space="preserve"> national emergency declared by Her Majesty's Government.</w:t>
      </w:r>
    </w:p>
    <w:p w14:paraId="4096A514" w14:textId="77777777" w:rsidR="000A6FA4" w:rsidRDefault="000A6FA4" w:rsidP="000A6FA4"/>
    <w:p w14:paraId="53F355D3" w14:textId="593FC21A" w:rsidR="00E8655B" w:rsidRDefault="00A700E9" w:rsidP="000A6FA4">
      <w:pPr>
        <w:pStyle w:val="ListParagraph"/>
        <w:numPr>
          <w:ilvl w:val="1"/>
          <w:numId w:val="27"/>
        </w:numPr>
        <w:ind w:left="709"/>
      </w:pPr>
      <w:r>
        <w:t>Neither party shall be able to claim relief from a Force Majeure Event to the extent that the party affected by the Force Majeure Event is required to comply with obligations relating to the event in the business continuity and disaster recovery plan agreed in accordance with clause 3.24 but has failed to do so.</w:t>
      </w:r>
    </w:p>
    <w:p w14:paraId="429495B3" w14:textId="515D2558" w:rsidR="00A700E9" w:rsidRDefault="00E8655B" w:rsidP="00E8655B">
      <w:r>
        <w:br w:type="page"/>
      </w:r>
    </w:p>
    <w:p w14:paraId="393065C8" w14:textId="1B2596F7" w:rsidR="00A700E9" w:rsidRDefault="00544EFA" w:rsidP="00544EFA">
      <w:pPr>
        <w:pStyle w:val="Heading1"/>
        <w:numPr>
          <w:ilvl w:val="0"/>
          <w:numId w:val="27"/>
        </w:numPr>
      </w:pPr>
      <w:bookmarkStart w:id="39" w:name="_Toc414462285"/>
      <w:r>
        <w:lastRenderedPageBreak/>
        <w:t>Termination of this agreement</w:t>
      </w:r>
      <w:bookmarkEnd w:id="39"/>
    </w:p>
    <w:p w14:paraId="5719FDAC" w14:textId="77777777" w:rsidR="00544EFA" w:rsidRDefault="00544EFA" w:rsidP="00544EFA"/>
    <w:p w14:paraId="10BD733D" w14:textId="607DBDF1" w:rsidR="00A700E9" w:rsidRDefault="00A700E9" w:rsidP="00E8655B">
      <w:pPr>
        <w:pStyle w:val="ListParagraph"/>
        <w:numPr>
          <w:ilvl w:val="1"/>
          <w:numId w:val="27"/>
        </w:numPr>
        <w:ind w:left="709"/>
      </w:pPr>
      <w:r>
        <w:t>Subject to the provisions of clause 8.2, this Agreement may only be terminated in the following circumstances:</w:t>
      </w:r>
    </w:p>
    <w:p w14:paraId="055672C6" w14:textId="77777777" w:rsidR="00544EFA" w:rsidRDefault="00544EFA" w:rsidP="00E8655B"/>
    <w:p w14:paraId="5C586D67" w14:textId="485CDA04" w:rsidR="00E8655B" w:rsidRDefault="00A700E9" w:rsidP="00A700E9">
      <w:pPr>
        <w:pStyle w:val="ListParagraph"/>
        <w:numPr>
          <w:ilvl w:val="3"/>
          <w:numId w:val="27"/>
        </w:numPr>
        <w:ind w:left="1843" w:hanging="1134"/>
      </w:pPr>
      <w:r>
        <w:t>up</w:t>
      </w:r>
      <w:r w:rsidR="00E8655B">
        <w:t>on termination of the Contract;</w:t>
      </w:r>
    </w:p>
    <w:p w14:paraId="2D24A85E" w14:textId="77777777" w:rsidR="00E8655B" w:rsidRDefault="00E8655B" w:rsidP="00E8655B">
      <w:pPr>
        <w:pStyle w:val="ListParagraph"/>
        <w:ind w:left="1843"/>
      </w:pPr>
    </w:p>
    <w:p w14:paraId="38F61AB8" w14:textId="77777777" w:rsidR="00E8655B" w:rsidRDefault="00A700E9" w:rsidP="00A700E9">
      <w:pPr>
        <w:pStyle w:val="ListParagraph"/>
        <w:numPr>
          <w:ilvl w:val="3"/>
          <w:numId w:val="27"/>
        </w:numPr>
        <w:ind w:left="1843" w:hanging="1134"/>
      </w:pPr>
      <w:r>
        <w:t>if the Practice ceases to exist; or</w:t>
      </w:r>
    </w:p>
    <w:p w14:paraId="4AB7C0D2" w14:textId="77777777" w:rsidR="00E8655B" w:rsidRDefault="00E8655B" w:rsidP="00E8655B">
      <w:pPr>
        <w:pStyle w:val="ListParagraph"/>
      </w:pPr>
    </w:p>
    <w:p w14:paraId="5C12D1C1" w14:textId="77777777" w:rsidR="00E8655B" w:rsidRDefault="00A700E9" w:rsidP="00A700E9">
      <w:pPr>
        <w:pStyle w:val="ListParagraph"/>
        <w:numPr>
          <w:ilvl w:val="3"/>
          <w:numId w:val="27"/>
        </w:numPr>
        <w:ind w:left="1843" w:hanging="1134"/>
      </w:pPr>
      <w:r>
        <w:t>if the Practice is no longer within the jurisdiction of the CCG with whom the Agreement was signed; or</w:t>
      </w:r>
    </w:p>
    <w:p w14:paraId="4D836BB9" w14:textId="77777777" w:rsidR="00E8655B" w:rsidRDefault="00E8655B" w:rsidP="00E8655B">
      <w:pPr>
        <w:pStyle w:val="ListParagraph"/>
      </w:pPr>
    </w:p>
    <w:p w14:paraId="03FE3351" w14:textId="5905C5D5" w:rsidR="00A700E9" w:rsidRDefault="00A700E9" w:rsidP="00A700E9">
      <w:pPr>
        <w:pStyle w:val="ListParagraph"/>
        <w:numPr>
          <w:ilvl w:val="3"/>
          <w:numId w:val="27"/>
        </w:numPr>
        <w:ind w:left="1843" w:hanging="1134"/>
      </w:pPr>
      <w:proofErr w:type="gramStart"/>
      <w:r>
        <w:t>if</w:t>
      </w:r>
      <w:proofErr w:type="gramEnd"/>
      <w:r>
        <w:t xml:space="preserve"> the parties mutually agree to set this Agreement aside.</w:t>
      </w:r>
    </w:p>
    <w:p w14:paraId="5B0F600B" w14:textId="77777777" w:rsidR="00E8655B" w:rsidRDefault="00E8655B" w:rsidP="00A700E9"/>
    <w:p w14:paraId="4A0355E2" w14:textId="1000DDA0" w:rsidR="00A700E9" w:rsidRDefault="00A700E9" w:rsidP="00E8655B">
      <w:pPr>
        <w:pStyle w:val="ListParagraph"/>
        <w:numPr>
          <w:ilvl w:val="1"/>
          <w:numId w:val="27"/>
        </w:numPr>
        <w:ind w:left="709"/>
      </w:pPr>
      <w:r>
        <w:t>Either party may, without prejudice to its other rights or remedies, terminate, in whole or in part, this Agreement with immediate effect by written notice to the other party if the other party commits a material breach of this Agreement (being a single event or a series of events which are together a material breach) which is incapable of remedy or which, if capable of remedy, has not been remedied within 30 days of receipt of a written notice specifying the breach and requiring the same to be remedied.</w:t>
      </w:r>
    </w:p>
    <w:p w14:paraId="1D7564DE" w14:textId="77777777" w:rsidR="00E8655B" w:rsidRDefault="00E8655B" w:rsidP="00E8655B">
      <w:pPr>
        <w:ind w:left="-11"/>
      </w:pPr>
    </w:p>
    <w:p w14:paraId="699442E1" w14:textId="77777777" w:rsidR="00E8655B" w:rsidRDefault="00A700E9" w:rsidP="00A700E9">
      <w:pPr>
        <w:pStyle w:val="ListParagraph"/>
        <w:numPr>
          <w:ilvl w:val="1"/>
          <w:numId w:val="27"/>
        </w:numPr>
        <w:ind w:left="709"/>
      </w:pPr>
      <w:r>
        <w:t xml:space="preserve">The CCG shall notify HSCIC within 5 days of the termination of a CCG-Practice Agreement with a Practice and agree what action needs to be taken in respect of any commitments under the </w:t>
      </w:r>
      <w:proofErr w:type="spellStart"/>
      <w:r>
        <w:t>GPSoC</w:t>
      </w:r>
      <w:proofErr w:type="spellEnd"/>
      <w:r>
        <w:t xml:space="preserve"> Framework Agreement and </w:t>
      </w:r>
      <w:proofErr w:type="spellStart"/>
      <w:r>
        <w:t>GPSoC</w:t>
      </w:r>
      <w:proofErr w:type="spellEnd"/>
      <w:r>
        <w:t xml:space="preserve"> Call </w:t>
      </w:r>
      <w:proofErr w:type="gramStart"/>
      <w:r>
        <w:t>Off</w:t>
      </w:r>
      <w:proofErr w:type="gramEnd"/>
      <w:r>
        <w:t xml:space="preserve"> Agreement in respect of that Practice. </w:t>
      </w:r>
    </w:p>
    <w:p w14:paraId="02C5B89B" w14:textId="77777777" w:rsidR="00E8655B" w:rsidRDefault="00E8655B" w:rsidP="00E8655B">
      <w:pPr>
        <w:pStyle w:val="ListParagraph"/>
      </w:pPr>
    </w:p>
    <w:p w14:paraId="3F4A134A" w14:textId="1190BB0D" w:rsidR="00E8655B" w:rsidRDefault="00A700E9" w:rsidP="00A700E9">
      <w:pPr>
        <w:pStyle w:val="ListParagraph"/>
        <w:numPr>
          <w:ilvl w:val="1"/>
          <w:numId w:val="27"/>
        </w:numPr>
        <w:ind w:left="709"/>
      </w:pPr>
      <w:r>
        <w:t xml:space="preserve">The CCG shall </w:t>
      </w:r>
      <w:r w:rsidR="00D07E7D">
        <w:t>notify NHS England</w:t>
      </w:r>
      <w:r>
        <w:t xml:space="preserve"> within 5 days of the termination of a CCG-Practice Agreement with a Practice and agree what action needs to be taken in respect of any commitments under the GP IT Operating Model.</w:t>
      </w:r>
    </w:p>
    <w:p w14:paraId="7C5764D0" w14:textId="3185C42C" w:rsidR="00E8655B" w:rsidRDefault="00E8655B" w:rsidP="00E8655B">
      <w:r>
        <w:br w:type="page"/>
      </w:r>
    </w:p>
    <w:p w14:paraId="421A0391" w14:textId="55ED9ABB" w:rsidR="00A700E9" w:rsidRDefault="00E8655B" w:rsidP="00E8655B">
      <w:pPr>
        <w:pStyle w:val="Heading1"/>
        <w:numPr>
          <w:ilvl w:val="0"/>
          <w:numId w:val="27"/>
        </w:numPr>
      </w:pPr>
      <w:bookmarkStart w:id="40" w:name="_Toc414462286"/>
      <w:r>
        <w:lastRenderedPageBreak/>
        <w:t>Variations</w:t>
      </w:r>
      <w:bookmarkEnd w:id="40"/>
    </w:p>
    <w:p w14:paraId="17D2C571" w14:textId="77777777" w:rsidR="00E8655B" w:rsidRDefault="00E8655B" w:rsidP="00A700E9"/>
    <w:p w14:paraId="66C93314" w14:textId="77777777" w:rsidR="00E8655B" w:rsidRDefault="00A700E9" w:rsidP="00A700E9">
      <w:pPr>
        <w:pStyle w:val="ListParagraph"/>
        <w:numPr>
          <w:ilvl w:val="1"/>
          <w:numId w:val="27"/>
        </w:numPr>
        <w:ind w:left="709"/>
      </w:pPr>
      <w:r>
        <w:t>Appendices 1 (Summary of Services), 2 (Support &amp; Maintenance Service Levels) and 3 (Escalation Procedure) shall be customised by the CCG and agreed locally with Practices.   Where local amendments to any Appendices contradict the provisions of this Agreement the clauses in the Agreement shall take precedence.</w:t>
      </w:r>
    </w:p>
    <w:p w14:paraId="17636991" w14:textId="77777777" w:rsidR="00E8655B" w:rsidRDefault="00E8655B" w:rsidP="00E8655B">
      <w:pPr>
        <w:pStyle w:val="ListParagraph"/>
        <w:ind w:left="709"/>
      </w:pPr>
    </w:p>
    <w:p w14:paraId="50FC3A45" w14:textId="77777777" w:rsidR="00E8655B" w:rsidRDefault="00A700E9" w:rsidP="00A700E9">
      <w:pPr>
        <w:pStyle w:val="ListParagraph"/>
        <w:numPr>
          <w:ilvl w:val="1"/>
          <w:numId w:val="27"/>
        </w:numPr>
        <w:ind w:left="709"/>
      </w:pPr>
      <w:r>
        <w:t xml:space="preserve">Other than changes to Appendices 1, 2 and 3, no change to this Agreement shall be made by either the CCG or the Practice unless the change is approved by HSCIC.   </w:t>
      </w:r>
    </w:p>
    <w:p w14:paraId="77D0E1DA" w14:textId="77777777" w:rsidR="00E8655B" w:rsidRDefault="00E8655B" w:rsidP="00E8655B">
      <w:pPr>
        <w:pStyle w:val="ListParagraph"/>
      </w:pPr>
    </w:p>
    <w:p w14:paraId="146233C3" w14:textId="77544B12" w:rsidR="00A700E9" w:rsidRDefault="00A700E9" w:rsidP="00A700E9">
      <w:pPr>
        <w:pStyle w:val="ListParagraph"/>
        <w:numPr>
          <w:ilvl w:val="1"/>
          <w:numId w:val="27"/>
        </w:numPr>
        <w:ind w:left="709"/>
      </w:pPr>
      <w:r>
        <w:t>Where there is a need to introduce national variations to this Agreement in order to take account of changing IM&amp;T requirements, HSCIC will make the necessary changes and publish a revised version of this Agreement.  The CCG and the Practice commit to work together to incorporate the published changes into this Agreement and to execute a revised version of this Agreement as soon as reasonably practicable following publication of the updated template.</w:t>
      </w:r>
    </w:p>
    <w:p w14:paraId="16C613C3" w14:textId="77777777" w:rsidR="00E8655B" w:rsidRDefault="00E8655B">
      <w:r>
        <w:br w:type="page"/>
      </w:r>
    </w:p>
    <w:p w14:paraId="16687245" w14:textId="561BA4DA" w:rsidR="00A700E9" w:rsidRDefault="00E8655B" w:rsidP="00E8655B">
      <w:pPr>
        <w:pStyle w:val="Heading1"/>
        <w:numPr>
          <w:ilvl w:val="0"/>
          <w:numId w:val="27"/>
        </w:numPr>
      </w:pPr>
      <w:bookmarkStart w:id="41" w:name="_Toc414462287"/>
      <w:r>
        <w:lastRenderedPageBreak/>
        <w:t>Third party rights</w:t>
      </w:r>
      <w:bookmarkEnd w:id="41"/>
    </w:p>
    <w:p w14:paraId="774967AF" w14:textId="77777777" w:rsidR="00E8655B" w:rsidRDefault="00E8655B" w:rsidP="00E8655B"/>
    <w:p w14:paraId="3FF47DE9" w14:textId="6DADA038" w:rsidR="00E8655B" w:rsidRDefault="00A700E9" w:rsidP="00E8655B">
      <w:pPr>
        <w:pStyle w:val="ListParagraph"/>
        <w:numPr>
          <w:ilvl w:val="1"/>
          <w:numId w:val="27"/>
        </w:numPr>
        <w:ind w:left="709"/>
      </w:pPr>
      <w:r>
        <w:t>Only the CCG and the Practice may enforce the terms of this Agreement. No third party is entitled to enforce any terms of this Agreement under the Contracts (Rights of Third Parties) Act 1999</w:t>
      </w:r>
      <w:r w:rsidR="00E8655B">
        <w:t>.</w:t>
      </w:r>
    </w:p>
    <w:p w14:paraId="38E86B39" w14:textId="77777777" w:rsidR="00E8655B" w:rsidRDefault="00E8655B">
      <w:r>
        <w:br w:type="page"/>
      </w:r>
    </w:p>
    <w:p w14:paraId="3FD443A9" w14:textId="17C92623" w:rsidR="00A700E9" w:rsidRDefault="00E8655B" w:rsidP="00E8655B">
      <w:pPr>
        <w:pStyle w:val="Heading1"/>
        <w:numPr>
          <w:ilvl w:val="0"/>
          <w:numId w:val="0"/>
        </w:numPr>
        <w:ind w:left="432" w:hanging="432"/>
      </w:pPr>
      <w:bookmarkStart w:id="42" w:name="_Toc414462288"/>
      <w:r>
        <w:lastRenderedPageBreak/>
        <w:t>Agreement signature page</w:t>
      </w:r>
      <w:bookmarkEnd w:id="42"/>
    </w:p>
    <w:p w14:paraId="34D984D1" w14:textId="77777777" w:rsidR="00E8655B" w:rsidRDefault="00E8655B" w:rsidP="00A700E9"/>
    <w:p w14:paraId="64CE9BA9" w14:textId="77777777" w:rsidR="00E8655B" w:rsidRDefault="00E8655B" w:rsidP="00A700E9"/>
    <w:p w14:paraId="4D348A4D" w14:textId="77777777" w:rsidR="00A700E9" w:rsidRDefault="00A700E9" w:rsidP="00A700E9">
      <w:r>
        <w:t>The parties hereby agree to the terms of the Agreement:</w:t>
      </w:r>
    </w:p>
    <w:p w14:paraId="7076CDC9" w14:textId="77777777" w:rsidR="001064CF" w:rsidRDefault="001064CF" w:rsidP="00A700E9"/>
    <w:p w14:paraId="18C18B1D" w14:textId="77777777" w:rsidR="001064CF" w:rsidRDefault="001064CF" w:rsidP="00A700E9"/>
    <w:p w14:paraId="66082355" w14:textId="77777777" w:rsidR="001064CF" w:rsidRDefault="001064CF" w:rsidP="00A700E9"/>
    <w:p w14:paraId="40EEDEF4" w14:textId="77777777" w:rsidR="001064CF" w:rsidRDefault="001064CF" w:rsidP="00A700E9"/>
    <w:p w14:paraId="2D197A76" w14:textId="77777777" w:rsidR="001064CF" w:rsidRDefault="001064CF" w:rsidP="00A700E9"/>
    <w:p w14:paraId="457BC5A7" w14:textId="77777777" w:rsidR="001064CF" w:rsidRDefault="001064CF" w:rsidP="00A700E9"/>
    <w:p w14:paraId="385A67C4" w14:textId="77777777" w:rsidR="001064CF" w:rsidRDefault="001064CF" w:rsidP="00A700E9"/>
    <w:p w14:paraId="26EC1D85" w14:textId="77777777" w:rsidR="001064CF" w:rsidRDefault="001064CF" w:rsidP="00A700E9"/>
    <w:p w14:paraId="614072E1" w14:textId="77777777" w:rsidR="001064CF" w:rsidRDefault="001064CF" w:rsidP="00A700E9"/>
    <w:tbl>
      <w:tblPr>
        <w:tblStyle w:val="TableGrid"/>
        <w:tblW w:w="0" w:type="auto"/>
        <w:tblInd w:w="-34" w:type="dxa"/>
        <w:tblBorders>
          <w:top w:val="none" w:sz="0" w:space="0" w:color="auto"/>
          <w:left w:val="none" w:sz="0" w:space="0" w:color="auto"/>
          <w:bottom w:val="none" w:sz="0" w:space="0" w:color="auto"/>
          <w:right w:val="none" w:sz="0" w:space="0" w:color="auto"/>
          <w:insideH w:val="dashed" w:sz="4" w:space="0" w:color="auto"/>
        </w:tblBorders>
        <w:tblLook w:val="04A0" w:firstRow="1" w:lastRow="0" w:firstColumn="1" w:lastColumn="0" w:noHBand="0" w:noVBand="1"/>
      </w:tblPr>
      <w:tblGrid>
        <w:gridCol w:w="9314"/>
      </w:tblGrid>
      <w:tr w:rsidR="001064CF" w14:paraId="4011CF07" w14:textId="77777777" w:rsidTr="001064CF">
        <w:tc>
          <w:tcPr>
            <w:tcW w:w="9314" w:type="dxa"/>
          </w:tcPr>
          <w:p w14:paraId="339A433A" w14:textId="77777777" w:rsidR="001064CF" w:rsidRDefault="001064CF" w:rsidP="00A700E9"/>
        </w:tc>
      </w:tr>
      <w:tr w:rsidR="001064CF" w14:paraId="642EB55E" w14:textId="77777777" w:rsidTr="001064CF">
        <w:tc>
          <w:tcPr>
            <w:tcW w:w="9314" w:type="dxa"/>
          </w:tcPr>
          <w:p w14:paraId="6EF0BA0D" w14:textId="77777777" w:rsidR="001064CF" w:rsidRDefault="001064CF" w:rsidP="00A700E9"/>
          <w:p w14:paraId="064019E9" w14:textId="56C220F2" w:rsidR="001064CF" w:rsidRDefault="001064CF" w:rsidP="00A700E9">
            <w:r>
              <w:t>Authorised signatory for and on behalf of the CCG</w:t>
            </w:r>
          </w:p>
        </w:tc>
      </w:tr>
    </w:tbl>
    <w:tbl>
      <w:tblPr>
        <w:tblStyle w:val="TableGrid"/>
        <w:tblpPr w:leftFromText="180" w:rightFromText="180" w:vertAnchor="text" w:horzAnchor="margin" w:tblpXSpec="right" w:tblpY="135"/>
        <w:tblW w:w="0" w:type="auto"/>
        <w:tblBorders>
          <w:top w:val="none" w:sz="0" w:space="0" w:color="auto"/>
          <w:left w:val="none" w:sz="0" w:space="0" w:color="auto"/>
          <w:bottom w:val="dashed" w:sz="4" w:space="0" w:color="auto"/>
          <w:right w:val="none" w:sz="0" w:space="0" w:color="auto"/>
          <w:insideH w:val="dashed" w:sz="4" w:space="0" w:color="auto"/>
        </w:tblBorders>
        <w:tblLook w:val="0000" w:firstRow="0" w:lastRow="0" w:firstColumn="0" w:lastColumn="0" w:noHBand="0" w:noVBand="0"/>
      </w:tblPr>
      <w:tblGrid>
        <w:gridCol w:w="7196"/>
      </w:tblGrid>
      <w:tr w:rsidR="001064CF" w14:paraId="7584517F" w14:textId="77777777" w:rsidTr="001064CF">
        <w:trPr>
          <w:trHeight w:val="636"/>
        </w:trPr>
        <w:tc>
          <w:tcPr>
            <w:tcW w:w="7196" w:type="dxa"/>
          </w:tcPr>
          <w:p w14:paraId="42814D6E" w14:textId="77777777" w:rsidR="001064CF" w:rsidRDefault="001064CF" w:rsidP="001064CF"/>
        </w:tc>
      </w:tr>
      <w:tr w:rsidR="001064CF" w14:paraId="16BDA90C" w14:textId="77777777" w:rsidTr="001064CF">
        <w:trPr>
          <w:trHeight w:val="636"/>
        </w:trPr>
        <w:tc>
          <w:tcPr>
            <w:tcW w:w="7196" w:type="dxa"/>
          </w:tcPr>
          <w:p w14:paraId="70375B7C" w14:textId="77777777" w:rsidR="001064CF" w:rsidRDefault="001064CF" w:rsidP="001064CF"/>
        </w:tc>
      </w:tr>
      <w:tr w:rsidR="001064CF" w14:paraId="105B1C00" w14:textId="77777777" w:rsidTr="001064CF">
        <w:trPr>
          <w:trHeight w:val="636"/>
        </w:trPr>
        <w:tc>
          <w:tcPr>
            <w:tcW w:w="7196" w:type="dxa"/>
          </w:tcPr>
          <w:p w14:paraId="050AF4B9" w14:textId="77777777" w:rsidR="001064CF" w:rsidRDefault="001064CF" w:rsidP="001064CF"/>
        </w:tc>
      </w:tr>
    </w:tbl>
    <w:p w14:paraId="381C1159" w14:textId="77777777" w:rsidR="00A700E9" w:rsidRDefault="00A700E9" w:rsidP="00A700E9"/>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809"/>
      </w:tblGrid>
      <w:tr w:rsidR="001064CF" w14:paraId="0AC0590A" w14:textId="77777777" w:rsidTr="001064CF">
        <w:tc>
          <w:tcPr>
            <w:tcW w:w="1809" w:type="dxa"/>
            <w:vAlign w:val="bottom"/>
          </w:tcPr>
          <w:p w14:paraId="689FD9B1" w14:textId="77777777" w:rsidR="001064CF" w:rsidRDefault="001064CF" w:rsidP="001064CF">
            <w:pPr>
              <w:jc w:val="right"/>
            </w:pPr>
          </w:p>
          <w:p w14:paraId="6395F40C" w14:textId="576F55CF" w:rsidR="001064CF" w:rsidRDefault="001064CF" w:rsidP="001064CF">
            <w:pPr>
              <w:jc w:val="right"/>
            </w:pPr>
            <w:r>
              <w:t>Print Name(s)</w:t>
            </w:r>
          </w:p>
        </w:tc>
      </w:tr>
      <w:tr w:rsidR="001064CF" w14:paraId="63195C44" w14:textId="77777777" w:rsidTr="001064CF">
        <w:tc>
          <w:tcPr>
            <w:tcW w:w="1809" w:type="dxa"/>
            <w:vAlign w:val="bottom"/>
          </w:tcPr>
          <w:p w14:paraId="20EEF9F9" w14:textId="77777777" w:rsidR="001064CF" w:rsidRDefault="001064CF" w:rsidP="001064CF">
            <w:pPr>
              <w:jc w:val="right"/>
            </w:pPr>
          </w:p>
          <w:p w14:paraId="10247E99" w14:textId="653BBF5D" w:rsidR="001064CF" w:rsidRDefault="001064CF" w:rsidP="001064CF">
            <w:pPr>
              <w:jc w:val="right"/>
            </w:pPr>
            <w:r>
              <w:t>Position</w:t>
            </w:r>
          </w:p>
        </w:tc>
      </w:tr>
      <w:tr w:rsidR="001064CF" w14:paraId="0D71FA66" w14:textId="77777777" w:rsidTr="001064CF">
        <w:tc>
          <w:tcPr>
            <w:tcW w:w="1809" w:type="dxa"/>
            <w:vAlign w:val="bottom"/>
          </w:tcPr>
          <w:p w14:paraId="0781FDB7" w14:textId="77777777" w:rsidR="001064CF" w:rsidRDefault="001064CF" w:rsidP="001064CF">
            <w:pPr>
              <w:jc w:val="right"/>
            </w:pPr>
          </w:p>
          <w:p w14:paraId="5EF58EBE" w14:textId="40293278" w:rsidR="001064CF" w:rsidRDefault="001064CF" w:rsidP="001064CF">
            <w:pPr>
              <w:jc w:val="right"/>
            </w:pPr>
            <w:r>
              <w:t>Date</w:t>
            </w:r>
          </w:p>
        </w:tc>
      </w:tr>
    </w:tbl>
    <w:p w14:paraId="7BE7BC1A" w14:textId="77777777" w:rsidR="001064CF" w:rsidRDefault="001064CF" w:rsidP="00A700E9"/>
    <w:p w14:paraId="26198993" w14:textId="77777777" w:rsidR="00A700E9" w:rsidRDefault="00A700E9" w:rsidP="00A700E9"/>
    <w:p w14:paraId="1B2372D3" w14:textId="249345F0" w:rsidR="001064CF" w:rsidRDefault="00A700E9" w:rsidP="001064CF">
      <w:r>
        <w:t xml:space="preserve"> </w:t>
      </w:r>
    </w:p>
    <w:p w14:paraId="39F8D7C7" w14:textId="77777777" w:rsidR="001064CF" w:rsidRDefault="001064CF" w:rsidP="001064CF"/>
    <w:p w14:paraId="1A7ABFF1" w14:textId="77777777" w:rsidR="001064CF" w:rsidRDefault="001064CF" w:rsidP="001064CF"/>
    <w:p w14:paraId="4B3539DA" w14:textId="77777777" w:rsidR="001064CF" w:rsidRDefault="001064CF" w:rsidP="001064CF"/>
    <w:p w14:paraId="53F9456C" w14:textId="77777777" w:rsidR="001064CF" w:rsidRDefault="001064CF" w:rsidP="001064CF"/>
    <w:p w14:paraId="1CE92949" w14:textId="77777777" w:rsidR="001064CF" w:rsidRDefault="001064CF" w:rsidP="001064CF"/>
    <w:p w14:paraId="7F4BAAB5" w14:textId="77777777" w:rsidR="001064CF" w:rsidRDefault="001064CF" w:rsidP="001064CF"/>
    <w:p w14:paraId="37E1A252" w14:textId="77777777" w:rsidR="001064CF" w:rsidRDefault="001064CF" w:rsidP="001064CF"/>
    <w:p w14:paraId="661D0498" w14:textId="77777777" w:rsidR="001064CF" w:rsidRDefault="001064CF" w:rsidP="001064CF"/>
    <w:p w14:paraId="02462F23" w14:textId="77777777" w:rsidR="001064CF" w:rsidRDefault="001064CF" w:rsidP="001064CF"/>
    <w:tbl>
      <w:tblPr>
        <w:tblStyle w:val="TableGrid"/>
        <w:tblW w:w="0" w:type="auto"/>
        <w:tblInd w:w="-34" w:type="dxa"/>
        <w:tblBorders>
          <w:top w:val="none" w:sz="0" w:space="0" w:color="auto"/>
          <w:left w:val="none" w:sz="0" w:space="0" w:color="auto"/>
          <w:bottom w:val="none" w:sz="0" w:space="0" w:color="auto"/>
          <w:right w:val="none" w:sz="0" w:space="0" w:color="auto"/>
          <w:insideH w:val="dashed" w:sz="4" w:space="0" w:color="auto"/>
        </w:tblBorders>
        <w:tblLook w:val="04A0" w:firstRow="1" w:lastRow="0" w:firstColumn="1" w:lastColumn="0" w:noHBand="0" w:noVBand="1"/>
      </w:tblPr>
      <w:tblGrid>
        <w:gridCol w:w="9314"/>
      </w:tblGrid>
      <w:tr w:rsidR="001064CF" w14:paraId="27354B11" w14:textId="77777777" w:rsidTr="001064CF">
        <w:tc>
          <w:tcPr>
            <w:tcW w:w="9314" w:type="dxa"/>
          </w:tcPr>
          <w:p w14:paraId="72224170" w14:textId="77777777" w:rsidR="001064CF" w:rsidRDefault="001064CF" w:rsidP="001064CF"/>
        </w:tc>
      </w:tr>
      <w:tr w:rsidR="001064CF" w14:paraId="4E4C9A5A" w14:textId="77777777" w:rsidTr="001064CF">
        <w:tc>
          <w:tcPr>
            <w:tcW w:w="9314" w:type="dxa"/>
          </w:tcPr>
          <w:p w14:paraId="428D9BE0" w14:textId="77777777" w:rsidR="001064CF" w:rsidRDefault="001064CF" w:rsidP="001064CF"/>
          <w:p w14:paraId="4DA1ABE7" w14:textId="67478E82" w:rsidR="001064CF" w:rsidRDefault="001064CF" w:rsidP="001064CF">
            <w:r>
              <w:t>Authorised signatory for and on behalf of the Practice</w:t>
            </w:r>
          </w:p>
        </w:tc>
      </w:tr>
    </w:tbl>
    <w:tbl>
      <w:tblPr>
        <w:tblStyle w:val="TableGrid"/>
        <w:tblpPr w:leftFromText="180" w:rightFromText="180" w:vertAnchor="text" w:horzAnchor="margin" w:tblpXSpec="right" w:tblpY="135"/>
        <w:tblW w:w="0" w:type="auto"/>
        <w:tblBorders>
          <w:top w:val="none" w:sz="0" w:space="0" w:color="auto"/>
          <w:left w:val="none" w:sz="0" w:space="0" w:color="auto"/>
          <w:bottom w:val="dashed" w:sz="4" w:space="0" w:color="auto"/>
          <w:right w:val="none" w:sz="0" w:space="0" w:color="auto"/>
          <w:insideH w:val="dashed" w:sz="4" w:space="0" w:color="auto"/>
        </w:tblBorders>
        <w:tblLook w:val="0000" w:firstRow="0" w:lastRow="0" w:firstColumn="0" w:lastColumn="0" w:noHBand="0" w:noVBand="0"/>
      </w:tblPr>
      <w:tblGrid>
        <w:gridCol w:w="7196"/>
      </w:tblGrid>
      <w:tr w:rsidR="001064CF" w14:paraId="4D35FFF2" w14:textId="77777777" w:rsidTr="001064CF">
        <w:trPr>
          <w:trHeight w:val="636"/>
        </w:trPr>
        <w:tc>
          <w:tcPr>
            <w:tcW w:w="7196" w:type="dxa"/>
          </w:tcPr>
          <w:p w14:paraId="6BCA5BF0" w14:textId="77777777" w:rsidR="001064CF" w:rsidRDefault="001064CF" w:rsidP="001064CF"/>
        </w:tc>
      </w:tr>
      <w:tr w:rsidR="001064CF" w14:paraId="04EEB2AB" w14:textId="77777777" w:rsidTr="001064CF">
        <w:trPr>
          <w:trHeight w:val="636"/>
        </w:trPr>
        <w:tc>
          <w:tcPr>
            <w:tcW w:w="7196" w:type="dxa"/>
          </w:tcPr>
          <w:p w14:paraId="2BA8C733" w14:textId="77777777" w:rsidR="001064CF" w:rsidRDefault="001064CF" w:rsidP="001064CF"/>
        </w:tc>
      </w:tr>
      <w:tr w:rsidR="001064CF" w14:paraId="0DC5B8D0" w14:textId="77777777" w:rsidTr="001064CF">
        <w:trPr>
          <w:trHeight w:val="636"/>
        </w:trPr>
        <w:tc>
          <w:tcPr>
            <w:tcW w:w="7196" w:type="dxa"/>
          </w:tcPr>
          <w:p w14:paraId="5448F401" w14:textId="77777777" w:rsidR="001064CF" w:rsidRDefault="001064CF" w:rsidP="001064CF"/>
        </w:tc>
      </w:tr>
    </w:tbl>
    <w:p w14:paraId="754FACFF" w14:textId="77777777" w:rsidR="001064CF" w:rsidRDefault="001064CF" w:rsidP="001064CF"/>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809"/>
      </w:tblGrid>
      <w:tr w:rsidR="001064CF" w14:paraId="0307A3A1" w14:textId="77777777" w:rsidTr="001064CF">
        <w:tc>
          <w:tcPr>
            <w:tcW w:w="1809" w:type="dxa"/>
            <w:vAlign w:val="bottom"/>
          </w:tcPr>
          <w:p w14:paraId="0CAC9DA3" w14:textId="77777777" w:rsidR="001064CF" w:rsidRDefault="001064CF" w:rsidP="001064CF">
            <w:pPr>
              <w:jc w:val="right"/>
            </w:pPr>
          </w:p>
          <w:p w14:paraId="55283860" w14:textId="77777777" w:rsidR="001064CF" w:rsidRDefault="001064CF" w:rsidP="001064CF">
            <w:pPr>
              <w:jc w:val="right"/>
            </w:pPr>
            <w:r>
              <w:t>Print Name(s)</w:t>
            </w:r>
          </w:p>
        </w:tc>
      </w:tr>
      <w:tr w:rsidR="001064CF" w14:paraId="08A98A88" w14:textId="77777777" w:rsidTr="001064CF">
        <w:tc>
          <w:tcPr>
            <w:tcW w:w="1809" w:type="dxa"/>
            <w:vAlign w:val="bottom"/>
          </w:tcPr>
          <w:p w14:paraId="571D086A" w14:textId="77777777" w:rsidR="001064CF" w:rsidRDefault="001064CF" w:rsidP="001064CF">
            <w:pPr>
              <w:jc w:val="right"/>
            </w:pPr>
          </w:p>
          <w:p w14:paraId="0FD8BBCE" w14:textId="77777777" w:rsidR="001064CF" w:rsidRDefault="001064CF" w:rsidP="001064CF">
            <w:pPr>
              <w:jc w:val="right"/>
            </w:pPr>
            <w:r>
              <w:t>Position</w:t>
            </w:r>
          </w:p>
        </w:tc>
      </w:tr>
      <w:tr w:rsidR="001064CF" w14:paraId="591DCB1A" w14:textId="77777777" w:rsidTr="001064CF">
        <w:tc>
          <w:tcPr>
            <w:tcW w:w="1809" w:type="dxa"/>
            <w:vAlign w:val="bottom"/>
          </w:tcPr>
          <w:p w14:paraId="6B343BD3" w14:textId="77777777" w:rsidR="001064CF" w:rsidRDefault="001064CF" w:rsidP="001064CF">
            <w:pPr>
              <w:jc w:val="right"/>
            </w:pPr>
          </w:p>
          <w:p w14:paraId="4DE8053D" w14:textId="77777777" w:rsidR="001064CF" w:rsidRDefault="001064CF" w:rsidP="001064CF">
            <w:pPr>
              <w:jc w:val="right"/>
            </w:pPr>
            <w:r>
              <w:t>Date</w:t>
            </w:r>
          </w:p>
        </w:tc>
      </w:tr>
    </w:tbl>
    <w:p w14:paraId="67058B65" w14:textId="77777777" w:rsidR="001064CF" w:rsidRDefault="001064CF" w:rsidP="001064CF"/>
    <w:p w14:paraId="5AC1918F" w14:textId="77777777" w:rsidR="001064CF" w:rsidRDefault="001064CF" w:rsidP="001064CF"/>
    <w:p w14:paraId="3CBF8FD7" w14:textId="77777777" w:rsidR="00A700E9" w:rsidRDefault="00A700E9" w:rsidP="00A700E9"/>
    <w:p w14:paraId="45501A9B" w14:textId="77777777" w:rsidR="001064CF" w:rsidRDefault="001064CF">
      <w:r>
        <w:br w:type="page"/>
      </w:r>
    </w:p>
    <w:p w14:paraId="1BFDF0DE" w14:textId="598B051D" w:rsidR="00A700E9" w:rsidRDefault="00A700E9" w:rsidP="00E01204">
      <w:pPr>
        <w:pStyle w:val="Heading1"/>
        <w:numPr>
          <w:ilvl w:val="0"/>
          <w:numId w:val="0"/>
        </w:numPr>
        <w:ind w:left="432" w:hanging="432"/>
      </w:pPr>
      <w:bookmarkStart w:id="43" w:name="_Toc414462289"/>
      <w:r>
        <w:lastRenderedPageBreak/>
        <w:t>Appendix 1</w:t>
      </w:r>
      <w:bookmarkEnd w:id="43"/>
      <w:r>
        <w:t xml:space="preserve"> </w:t>
      </w:r>
    </w:p>
    <w:p w14:paraId="3C2E7A11" w14:textId="77777777" w:rsidR="00E01204" w:rsidRDefault="00E01204" w:rsidP="00A700E9"/>
    <w:p w14:paraId="780E2C3E" w14:textId="77777777" w:rsidR="00A700E9" w:rsidRDefault="00A700E9" w:rsidP="00E01204">
      <w:pPr>
        <w:pStyle w:val="Heading2"/>
        <w:numPr>
          <w:ilvl w:val="0"/>
          <w:numId w:val="0"/>
        </w:numPr>
        <w:ind w:left="576" w:hanging="576"/>
      </w:pPr>
      <w:bookmarkStart w:id="44" w:name="_Toc414462290"/>
      <w:r>
        <w:t>Summary of Services Table</w:t>
      </w:r>
      <w:bookmarkEnd w:id="44"/>
      <w:r>
        <w:t xml:space="preserve"> </w:t>
      </w:r>
    </w:p>
    <w:p w14:paraId="52C43E2F" w14:textId="77777777" w:rsidR="00A700E9" w:rsidRDefault="00A700E9" w:rsidP="00E01204">
      <w:pPr>
        <w:pStyle w:val="Subtitle"/>
      </w:pPr>
      <w:r>
        <w:t>Note: CCGs and Practices are required to provide a Summary of Services Table to be provided in this appendix that describes the services to be delivered and received under the terms of this agreement. An example table is provided below to give direction on how to represent the Summary of Services, however the CCG and Practice are able to provide this in any format, acceptable to both parties, that accurately reflects the services being provided and received.</w:t>
      </w:r>
    </w:p>
    <w:p w14:paraId="4D926E0F" w14:textId="77777777" w:rsidR="00A700E9" w:rsidRDefault="00A700E9" w:rsidP="00A700E9"/>
    <w:tbl>
      <w:tblPr>
        <w:tblW w:w="9180" w:type="dxa"/>
        <w:tblCellMar>
          <w:left w:w="0" w:type="dxa"/>
          <w:right w:w="0" w:type="dxa"/>
        </w:tblCellMar>
        <w:tblLook w:val="04A0" w:firstRow="1" w:lastRow="0" w:firstColumn="1" w:lastColumn="0" w:noHBand="0" w:noVBand="1"/>
      </w:tblPr>
      <w:tblGrid>
        <w:gridCol w:w="1757"/>
        <w:gridCol w:w="7423"/>
      </w:tblGrid>
      <w:tr w:rsidR="00E01204" w:rsidRPr="00E01204" w14:paraId="3E5E9B04" w14:textId="77777777" w:rsidTr="00E01204">
        <w:trPr>
          <w:trHeight w:val="447"/>
        </w:trPr>
        <w:tc>
          <w:tcPr>
            <w:tcW w:w="17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7F4791" w14:textId="77777777" w:rsidR="00E01204" w:rsidRPr="00E01204" w:rsidRDefault="00E01204" w:rsidP="00E01204">
            <w:pPr>
              <w:spacing w:before="240" w:after="240"/>
              <w:rPr>
                <w:rFonts w:eastAsia="Calibri" w:cs="Arial"/>
                <w:b/>
                <w:bCs w:val="0"/>
                <w:color w:val="242424"/>
                <w:sz w:val="22"/>
                <w:szCs w:val="22"/>
                <w:lang w:val="en-US"/>
              </w:rPr>
            </w:pPr>
            <w:r w:rsidRPr="00E01204">
              <w:rPr>
                <w:rFonts w:eastAsia="Calibri" w:cs="Arial"/>
                <w:b/>
                <w:bCs w:val="0"/>
                <w:color w:val="242424"/>
                <w:sz w:val="22"/>
                <w:szCs w:val="22"/>
                <w:lang w:val="en-US"/>
              </w:rPr>
              <w:t>Service Type</w:t>
            </w:r>
          </w:p>
        </w:tc>
        <w:tc>
          <w:tcPr>
            <w:tcW w:w="74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E94DE9" w14:textId="77777777" w:rsidR="00E01204" w:rsidRPr="00E01204" w:rsidRDefault="00E01204" w:rsidP="00E01204">
            <w:pPr>
              <w:spacing w:before="240" w:after="240"/>
              <w:rPr>
                <w:rFonts w:eastAsia="Calibri" w:cs="Arial"/>
                <w:b/>
                <w:bCs w:val="0"/>
                <w:color w:val="242424"/>
                <w:sz w:val="22"/>
                <w:szCs w:val="22"/>
                <w:lang w:val="en-US"/>
              </w:rPr>
            </w:pPr>
            <w:r w:rsidRPr="00E01204">
              <w:rPr>
                <w:rFonts w:eastAsia="Calibri" w:cs="Arial"/>
                <w:b/>
                <w:bCs w:val="0"/>
                <w:color w:val="242424"/>
                <w:sz w:val="22"/>
                <w:szCs w:val="22"/>
                <w:lang w:val="en-US"/>
              </w:rPr>
              <w:t>Details of Service and Provider(s)</w:t>
            </w:r>
          </w:p>
        </w:tc>
      </w:tr>
      <w:tr w:rsidR="00E01204" w:rsidRPr="00E01204" w14:paraId="16EFBADC" w14:textId="77777777" w:rsidTr="00E01204">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DCB35" w14:textId="77777777" w:rsidR="00E01204" w:rsidRPr="00E01204" w:rsidRDefault="00E01204" w:rsidP="00E01204">
            <w:pPr>
              <w:spacing w:before="240" w:after="240"/>
              <w:rPr>
                <w:rFonts w:eastAsia="Calibri" w:cs="Arial"/>
                <w:b/>
                <w:bCs w:val="0"/>
                <w:color w:val="242424"/>
                <w:sz w:val="22"/>
                <w:szCs w:val="22"/>
                <w:lang w:val="en-US"/>
              </w:rPr>
            </w:pPr>
            <w:proofErr w:type="spellStart"/>
            <w:r w:rsidRPr="00E01204">
              <w:rPr>
                <w:rFonts w:eastAsia="Calibri" w:cs="Arial"/>
                <w:b/>
                <w:bCs w:val="0"/>
                <w:color w:val="242424"/>
                <w:sz w:val="22"/>
                <w:szCs w:val="22"/>
                <w:lang w:val="en-US"/>
              </w:rPr>
              <w:t>GPSoC</w:t>
            </w:r>
            <w:proofErr w:type="spellEnd"/>
            <w:r w:rsidRPr="00E01204">
              <w:rPr>
                <w:rFonts w:eastAsia="Calibri" w:cs="Arial"/>
                <w:b/>
                <w:bCs w:val="0"/>
                <w:color w:val="242424"/>
                <w:sz w:val="22"/>
                <w:szCs w:val="22"/>
                <w:lang w:val="en-US"/>
              </w:rPr>
              <w:t xml:space="preserve"> Services</w:t>
            </w:r>
          </w:p>
        </w:tc>
        <w:tc>
          <w:tcPr>
            <w:tcW w:w="7423" w:type="dxa"/>
            <w:tcBorders>
              <w:top w:val="nil"/>
              <w:left w:val="nil"/>
              <w:bottom w:val="single" w:sz="8" w:space="0" w:color="auto"/>
              <w:right w:val="single" w:sz="8" w:space="0" w:color="auto"/>
            </w:tcBorders>
            <w:tcMar>
              <w:top w:w="0" w:type="dxa"/>
              <w:left w:w="108" w:type="dxa"/>
              <w:bottom w:w="0" w:type="dxa"/>
              <w:right w:w="108" w:type="dxa"/>
            </w:tcMar>
            <w:hideMark/>
          </w:tcPr>
          <w:p w14:paraId="65199987" w14:textId="77777777" w:rsidR="00E01204" w:rsidRPr="00E01204" w:rsidRDefault="00E01204" w:rsidP="00E01204">
            <w:p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 xml:space="preserve">The practice receives the following </w:t>
            </w:r>
            <w:proofErr w:type="spellStart"/>
            <w:r w:rsidRPr="00E01204">
              <w:rPr>
                <w:rFonts w:eastAsia="Calibri" w:cs="Arial"/>
                <w:bCs w:val="0"/>
                <w:color w:val="242424"/>
                <w:sz w:val="22"/>
                <w:szCs w:val="22"/>
                <w:lang w:val="en-US"/>
              </w:rPr>
              <w:t>GPSoC</w:t>
            </w:r>
            <w:proofErr w:type="spellEnd"/>
            <w:r w:rsidRPr="00E01204">
              <w:rPr>
                <w:rFonts w:eastAsia="Calibri" w:cs="Arial"/>
                <w:bCs w:val="0"/>
                <w:color w:val="242424"/>
                <w:sz w:val="22"/>
                <w:szCs w:val="22"/>
                <w:lang w:val="en-US"/>
              </w:rPr>
              <w:t xml:space="preserve"> Services as defined in the </w:t>
            </w:r>
            <w:proofErr w:type="spellStart"/>
            <w:r w:rsidRPr="00E01204">
              <w:rPr>
                <w:rFonts w:eastAsia="Calibri" w:cs="Arial"/>
                <w:bCs w:val="0"/>
                <w:color w:val="242424"/>
                <w:sz w:val="22"/>
                <w:szCs w:val="22"/>
                <w:lang w:val="en-US"/>
              </w:rPr>
              <w:t>GPSoC</w:t>
            </w:r>
            <w:proofErr w:type="spellEnd"/>
            <w:r w:rsidRPr="00E01204">
              <w:rPr>
                <w:rFonts w:eastAsia="Calibri" w:cs="Arial"/>
                <w:bCs w:val="0"/>
                <w:color w:val="242424"/>
                <w:sz w:val="22"/>
                <w:szCs w:val="22"/>
                <w:lang w:val="en-US"/>
              </w:rPr>
              <w:t xml:space="preserve"> Framework Agreement(s):</w:t>
            </w:r>
          </w:p>
          <w:p w14:paraId="2223B1C0" w14:textId="77777777" w:rsidR="00E01204" w:rsidRPr="00E01204" w:rsidRDefault="00E01204" w:rsidP="00E01204">
            <w:pPr>
              <w:numPr>
                <w:ilvl w:val="0"/>
                <w:numId w:val="41"/>
              </w:numPr>
              <w:spacing w:before="240" w:after="240"/>
              <w:ind w:hanging="357"/>
              <w:rPr>
                <w:rFonts w:eastAsia="Calibri" w:cs="Arial"/>
                <w:bCs w:val="0"/>
                <w:color w:val="242424"/>
                <w:sz w:val="22"/>
                <w:szCs w:val="22"/>
                <w:lang w:val="en-US"/>
              </w:rPr>
            </w:pPr>
            <w:r w:rsidRPr="00E01204">
              <w:rPr>
                <w:rFonts w:eastAsia="Calibri" w:cs="Arial"/>
                <w:bCs w:val="0"/>
                <w:color w:val="242424"/>
                <w:sz w:val="22"/>
                <w:szCs w:val="22"/>
                <w:lang w:val="en-US"/>
              </w:rPr>
              <w:t>Principal Clinical System (Lot 1)</w:t>
            </w:r>
          </w:p>
          <w:p w14:paraId="4E66E732" w14:textId="77777777" w:rsidR="00E01204" w:rsidRPr="00E01204" w:rsidRDefault="00E01204" w:rsidP="00E01204">
            <w:pPr>
              <w:numPr>
                <w:ilvl w:val="0"/>
                <w:numId w:val="41"/>
              </w:numPr>
              <w:spacing w:before="240" w:after="240"/>
              <w:ind w:hanging="357"/>
              <w:rPr>
                <w:rFonts w:eastAsia="Calibri" w:cs="Arial"/>
                <w:bCs w:val="0"/>
                <w:color w:val="242424"/>
                <w:sz w:val="22"/>
                <w:szCs w:val="22"/>
                <w:lang w:val="en-US"/>
              </w:rPr>
            </w:pPr>
            <w:r w:rsidRPr="00E01204">
              <w:rPr>
                <w:rFonts w:eastAsia="Calibri" w:cs="Arial"/>
                <w:bCs w:val="0"/>
                <w:color w:val="242424"/>
                <w:sz w:val="22"/>
                <w:szCs w:val="22"/>
                <w:lang w:val="en-US"/>
              </w:rPr>
              <w:t>Subsidiary Modules (Lot 1)</w:t>
            </w:r>
          </w:p>
          <w:p w14:paraId="5CC037D6" w14:textId="77777777" w:rsidR="00E01204" w:rsidRPr="00E01204" w:rsidRDefault="00E01204" w:rsidP="00E01204">
            <w:pPr>
              <w:numPr>
                <w:ilvl w:val="1"/>
                <w:numId w:val="41"/>
              </w:numPr>
              <w:spacing w:before="240" w:after="240"/>
              <w:ind w:hanging="357"/>
              <w:rPr>
                <w:rFonts w:eastAsia="Calibri" w:cs="Arial"/>
                <w:bCs w:val="0"/>
                <w:color w:val="242424"/>
                <w:sz w:val="22"/>
                <w:szCs w:val="22"/>
                <w:lang w:val="en-US"/>
              </w:rPr>
            </w:pPr>
            <w:r w:rsidRPr="00E01204">
              <w:rPr>
                <w:rFonts w:eastAsia="Calibri" w:cs="Arial"/>
                <w:bCs w:val="0"/>
                <w:color w:val="242424"/>
                <w:sz w:val="22"/>
                <w:szCs w:val="22"/>
                <w:lang w:val="en-US"/>
              </w:rPr>
              <w:t>Appointments</w:t>
            </w:r>
          </w:p>
          <w:p w14:paraId="552B024E" w14:textId="77777777" w:rsidR="00E01204" w:rsidRPr="00E01204" w:rsidRDefault="00E01204" w:rsidP="00E01204">
            <w:pPr>
              <w:numPr>
                <w:ilvl w:val="1"/>
                <w:numId w:val="41"/>
              </w:numPr>
              <w:spacing w:before="240" w:after="240"/>
              <w:ind w:hanging="357"/>
              <w:rPr>
                <w:rFonts w:eastAsia="Calibri" w:cs="Arial"/>
                <w:bCs w:val="0"/>
                <w:color w:val="242424"/>
                <w:sz w:val="22"/>
                <w:szCs w:val="22"/>
                <w:lang w:val="en-US"/>
              </w:rPr>
            </w:pPr>
            <w:r w:rsidRPr="00E01204">
              <w:rPr>
                <w:rFonts w:eastAsia="Calibri" w:cs="Arial"/>
                <w:bCs w:val="0"/>
                <w:color w:val="242424"/>
                <w:sz w:val="22"/>
                <w:szCs w:val="22"/>
                <w:lang w:val="en-US"/>
              </w:rPr>
              <w:t>Document management</w:t>
            </w:r>
          </w:p>
          <w:p w14:paraId="6E0443F3" w14:textId="77777777" w:rsidR="00E01204" w:rsidRPr="00E01204" w:rsidRDefault="00E01204" w:rsidP="00E01204">
            <w:pPr>
              <w:numPr>
                <w:ilvl w:val="1"/>
                <w:numId w:val="41"/>
              </w:numPr>
              <w:spacing w:before="240" w:after="240"/>
              <w:ind w:hanging="357"/>
              <w:rPr>
                <w:rFonts w:eastAsia="Calibri" w:cs="Arial"/>
                <w:bCs w:val="0"/>
                <w:color w:val="242424"/>
                <w:sz w:val="22"/>
                <w:szCs w:val="22"/>
                <w:lang w:val="en-US"/>
              </w:rPr>
            </w:pPr>
            <w:r w:rsidRPr="00E01204">
              <w:rPr>
                <w:rFonts w:eastAsia="Calibri" w:cs="Arial"/>
                <w:bCs w:val="0"/>
                <w:color w:val="242424"/>
                <w:sz w:val="22"/>
                <w:szCs w:val="22"/>
                <w:lang w:val="en-US"/>
              </w:rPr>
              <w:t>Workflow and task management</w:t>
            </w:r>
          </w:p>
          <w:p w14:paraId="34AFA469" w14:textId="77777777" w:rsidR="00E01204" w:rsidRPr="00E01204" w:rsidRDefault="00E01204" w:rsidP="00E01204">
            <w:pPr>
              <w:numPr>
                <w:ilvl w:val="1"/>
                <w:numId w:val="41"/>
              </w:numPr>
              <w:spacing w:before="240" w:after="240"/>
              <w:ind w:hanging="357"/>
              <w:rPr>
                <w:rFonts w:eastAsia="Calibri" w:cs="Arial"/>
                <w:bCs w:val="0"/>
                <w:color w:val="242424"/>
                <w:sz w:val="22"/>
                <w:szCs w:val="22"/>
                <w:lang w:val="en-US"/>
              </w:rPr>
            </w:pPr>
            <w:proofErr w:type="spellStart"/>
            <w:r w:rsidRPr="00E01204">
              <w:rPr>
                <w:rFonts w:eastAsia="Calibri" w:cs="Arial"/>
                <w:bCs w:val="0"/>
                <w:color w:val="242424"/>
                <w:sz w:val="22"/>
                <w:szCs w:val="22"/>
                <w:lang w:val="en-US"/>
              </w:rPr>
              <w:t>Telehealth</w:t>
            </w:r>
            <w:proofErr w:type="spellEnd"/>
          </w:p>
          <w:p w14:paraId="51430F9C" w14:textId="77777777" w:rsidR="00E01204" w:rsidRPr="00E01204" w:rsidRDefault="00E01204" w:rsidP="00E01204">
            <w:pPr>
              <w:numPr>
                <w:ilvl w:val="1"/>
                <w:numId w:val="41"/>
              </w:numPr>
              <w:spacing w:before="240" w:after="240"/>
              <w:ind w:hanging="357"/>
              <w:rPr>
                <w:rFonts w:eastAsia="Calibri" w:cs="Arial"/>
                <w:bCs w:val="0"/>
                <w:color w:val="242424"/>
                <w:sz w:val="22"/>
                <w:szCs w:val="22"/>
                <w:lang w:val="en-US"/>
              </w:rPr>
            </w:pPr>
            <w:r w:rsidRPr="00E01204">
              <w:rPr>
                <w:rFonts w:eastAsia="Calibri" w:cs="Arial"/>
                <w:bCs w:val="0"/>
                <w:color w:val="242424"/>
                <w:sz w:val="22"/>
                <w:szCs w:val="22"/>
                <w:lang w:val="en-US"/>
              </w:rPr>
              <w:t>Clinical Decision Support</w:t>
            </w:r>
          </w:p>
          <w:p w14:paraId="14BAA7BF" w14:textId="77777777" w:rsidR="00E01204" w:rsidRPr="00E01204" w:rsidRDefault="00E01204" w:rsidP="00E01204">
            <w:pPr>
              <w:numPr>
                <w:ilvl w:val="1"/>
                <w:numId w:val="41"/>
              </w:numPr>
              <w:spacing w:before="240" w:after="240"/>
              <w:ind w:hanging="357"/>
              <w:rPr>
                <w:rFonts w:eastAsia="Calibri" w:cs="Arial"/>
                <w:bCs w:val="0"/>
                <w:color w:val="242424"/>
                <w:sz w:val="22"/>
                <w:szCs w:val="22"/>
                <w:lang w:val="en-US"/>
              </w:rPr>
            </w:pPr>
            <w:r w:rsidRPr="00E01204">
              <w:rPr>
                <w:rFonts w:eastAsia="Calibri" w:cs="Arial"/>
                <w:bCs w:val="0"/>
                <w:color w:val="242424"/>
                <w:sz w:val="22"/>
                <w:szCs w:val="22"/>
                <w:lang w:val="en-US"/>
              </w:rPr>
              <w:t>Data Entry Forms</w:t>
            </w:r>
          </w:p>
          <w:p w14:paraId="57C1F638" w14:textId="77777777" w:rsidR="00E01204" w:rsidRPr="00E01204" w:rsidRDefault="00E01204" w:rsidP="00E01204">
            <w:pPr>
              <w:numPr>
                <w:ilvl w:val="1"/>
                <w:numId w:val="41"/>
              </w:numPr>
              <w:spacing w:before="240" w:after="240"/>
              <w:ind w:hanging="357"/>
              <w:rPr>
                <w:rFonts w:eastAsia="Calibri" w:cs="Arial"/>
                <w:bCs w:val="0"/>
                <w:color w:val="242424"/>
                <w:sz w:val="22"/>
                <w:szCs w:val="22"/>
                <w:lang w:val="en-US"/>
              </w:rPr>
            </w:pPr>
            <w:r w:rsidRPr="00E01204">
              <w:rPr>
                <w:rFonts w:eastAsia="Calibri" w:cs="Arial"/>
                <w:bCs w:val="0"/>
                <w:color w:val="242424"/>
                <w:sz w:val="22"/>
                <w:szCs w:val="22"/>
                <w:lang w:val="en-US"/>
              </w:rPr>
              <w:t>Mobile Clinical Applications</w:t>
            </w:r>
          </w:p>
          <w:p w14:paraId="470FA626" w14:textId="77777777" w:rsidR="00E01204" w:rsidRPr="00E01204" w:rsidRDefault="00E01204" w:rsidP="00E01204">
            <w:pPr>
              <w:numPr>
                <w:ilvl w:val="0"/>
                <w:numId w:val="41"/>
              </w:numPr>
              <w:spacing w:before="240" w:after="240"/>
              <w:ind w:left="714" w:hanging="357"/>
              <w:rPr>
                <w:rFonts w:eastAsia="Calibri" w:cs="Arial"/>
                <w:bCs w:val="0"/>
                <w:color w:val="242424"/>
                <w:sz w:val="22"/>
                <w:szCs w:val="22"/>
                <w:lang w:val="en-US"/>
              </w:rPr>
            </w:pPr>
            <w:r w:rsidRPr="00E01204">
              <w:rPr>
                <w:rFonts w:eastAsia="Calibri" w:cs="Arial"/>
                <w:bCs w:val="0"/>
                <w:color w:val="242424"/>
                <w:sz w:val="22"/>
                <w:szCs w:val="22"/>
                <w:lang w:val="en-US"/>
              </w:rPr>
              <w:t>Additional GP IT Services (Lot 2)</w:t>
            </w:r>
          </w:p>
          <w:p w14:paraId="640AE43C" w14:textId="7F95FF9C" w:rsidR="00E01204" w:rsidRPr="00E01204" w:rsidRDefault="00E01204" w:rsidP="00E01204">
            <w:pPr>
              <w:numPr>
                <w:ilvl w:val="0"/>
                <w:numId w:val="41"/>
              </w:numPr>
              <w:spacing w:before="240" w:after="240"/>
              <w:ind w:left="714" w:hanging="357"/>
              <w:rPr>
                <w:rFonts w:eastAsia="Calibri" w:cs="Arial"/>
                <w:bCs w:val="0"/>
                <w:color w:val="242424"/>
                <w:sz w:val="22"/>
                <w:szCs w:val="22"/>
                <w:lang w:val="en-US"/>
              </w:rPr>
            </w:pPr>
            <w:r w:rsidRPr="00E01204">
              <w:rPr>
                <w:rFonts w:eastAsia="Calibri" w:cs="Arial"/>
                <w:bCs w:val="0"/>
                <w:color w:val="242424"/>
                <w:sz w:val="22"/>
                <w:szCs w:val="22"/>
                <w:lang w:val="en-US"/>
              </w:rPr>
              <w:t>Cross-Care Setting Interoperable Services (Lot 3)</w:t>
            </w:r>
          </w:p>
          <w:p w14:paraId="62D99E25" w14:textId="5C315E6B" w:rsidR="00E01204" w:rsidRPr="00E01204" w:rsidRDefault="00E01204" w:rsidP="00E01204">
            <w:pPr>
              <w:spacing w:before="240" w:after="240"/>
              <w:ind w:left="1457" w:hanging="1457"/>
              <w:rPr>
                <w:rFonts w:eastAsia="Calibri" w:cs="Arial"/>
                <w:bCs w:val="0"/>
                <w:color w:val="242424"/>
                <w:sz w:val="22"/>
                <w:szCs w:val="22"/>
                <w:lang w:val="en-US"/>
              </w:rPr>
            </w:pPr>
            <w:r w:rsidRPr="00E01204">
              <w:rPr>
                <w:rFonts w:eastAsia="Calibri" w:cs="Arial"/>
                <w:bCs w:val="0"/>
                <w:color w:val="242424"/>
                <w:sz w:val="22"/>
                <w:szCs w:val="22"/>
                <w:lang w:val="en-US"/>
              </w:rPr>
              <w:t>Provided by:</w:t>
            </w:r>
          </w:p>
          <w:p w14:paraId="5194D312" w14:textId="77777777" w:rsidR="00E01204" w:rsidRPr="00E01204" w:rsidRDefault="00E01204" w:rsidP="00E01204">
            <w:pPr>
              <w:numPr>
                <w:ilvl w:val="0"/>
                <w:numId w:val="42"/>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[Name of supplier(s)]</w:t>
            </w:r>
          </w:p>
          <w:p w14:paraId="55724D61" w14:textId="77777777" w:rsidR="00E01204" w:rsidRPr="00E01204" w:rsidRDefault="00E01204" w:rsidP="00E01204">
            <w:pPr>
              <w:numPr>
                <w:ilvl w:val="0"/>
                <w:numId w:val="42"/>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[Name of system(s)]</w:t>
            </w:r>
          </w:p>
          <w:p w14:paraId="703E0917" w14:textId="71ADA8F6" w:rsidR="00E01204" w:rsidRPr="00E01204" w:rsidRDefault="00E01204" w:rsidP="00E01204">
            <w:pPr>
              <w:numPr>
                <w:ilvl w:val="0"/>
                <w:numId w:val="42"/>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[Service commencement date(s)] </w:t>
            </w:r>
          </w:p>
        </w:tc>
      </w:tr>
      <w:tr w:rsidR="00E01204" w:rsidRPr="00E01204" w14:paraId="4585D5E8" w14:textId="77777777" w:rsidTr="00E01204">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E03502" w14:textId="77777777" w:rsidR="00E01204" w:rsidRPr="00E01204" w:rsidRDefault="00E01204" w:rsidP="00E01204">
            <w:pPr>
              <w:spacing w:before="240" w:after="240"/>
              <w:rPr>
                <w:rFonts w:eastAsia="Calibri" w:cs="Arial"/>
                <w:b/>
                <w:bCs w:val="0"/>
                <w:color w:val="242424"/>
                <w:sz w:val="22"/>
                <w:szCs w:val="22"/>
                <w:lang w:val="en-US"/>
              </w:rPr>
            </w:pPr>
            <w:r w:rsidRPr="00E01204">
              <w:rPr>
                <w:rFonts w:eastAsia="Calibri" w:cs="Arial"/>
                <w:b/>
                <w:bCs w:val="0"/>
                <w:color w:val="242424"/>
                <w:sz w:val="22"/>
                <w:szCs w:val="22"/>
                <w:lang w:val="en-US"/>
              </w:rPr>
              <w:t>Core GP IT Services</w:t>
            </w:r>
          </w:p>
        </w:tc>
        <w:tc>
          <w:tcPr>
            <w:tcW w:w="7423" w:type="dxa"/>
            <w:tcBorders>
              <w:top w:val="nil"/>
              <w:left w:val="nil"/>
              <w:bottom w:val="single" w:sz="8" w:space="0" w:color="auto"/>
              <w:right w:val="single" w:sz="8" w:space="0" w:color="auto"/>
            </w:tcBorders>
            <w:tcMar>
              <w:top w:w="0" w:type="dxa"/>
              <w:left w:w="108" w:type="dxa"/>
              <w:bottom w:w="0" w:type="dxa"/>
              <w:right w:w="108" w:type="dxa"/>
            </w:tcMar>
            <w:hideMark/>
          </w:tcPr>
          <w:p w14:paraId="055E5237" w14:textId="77777777" w:rsidR="00E01204" w:rsidRPr="00E01204" w:rsidRDefault="00E01204" w:rsidP="00E01204">
            <w:p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Practice receives the Core GP IT Services as described in the GP IT Operating Model from:</w:t>
            </w:r>
          </w:p>
          <w:p w14:paraId="0E84BC35" w14:textId="77777777" w:rsidR="00E01204" w:rsidRPr="00E01204" w:rsidRDefault="00E01204" w:rsidP="00E01204">
            <w:pPr>
              <w:numPr>
                <w:ilvl w:val="0"/>
                <w:numId w:val="42"/>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[Name of provider(s)]</w:t>
            </w:r>
          </w:p>
          <w:p w14:paraId="153507E3" w14:textId="77777777" w:rsidR="00E01204" w:rsidRPr="00E01204" w:rsidRDefault="00E01204" w:rsidP="00E01204">
            <w:pPr>
              <w:numPr>
                <w:ilvl w:val="0"/>
                <w:numId w:val="42"/>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lastRenderedPageBreak/>
              <w:t>[Contact tel. number(s)]</w:t>
            </w:r>
          </w:p>
          <w:p w14:paraId="6FA26EE9" w14:textId="4D40FEBE" w:rsidR="00E01204" w:rsidRPr="00E01204" w:rsidRDefault="00E01204" w:rsidP="00E01204">
            <w:pPr>
              <w:numPr>
                <w:ilvl w:val="0"/>
                <w:numId w:val="42"/>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[Contact email address(</w:t>
            </w:r>
            <w:proofErr w:type="spellStart"/>
            <w:r w:rsidRPr="00E01204">
              <w:rPr>
                <w:rFonts w:eastAsia="Calibri" w:cs="Arial"/>
                <w:bCs w:val="0"/>
                <w:color w:val="242424"/>
                <w:sz w:val="22"/>
                <w:szCs w:val="22"/>
                <w:lang w:val="en-US"/>
              </w:rPr>
              <w:t>es</w:t>
            </w:r>
            <w:proofErr w:type="spellEnd"/>
            <w:r w:rsidRPr="00E01204">
              <w:rPr>
                <w:rFonts w:eastAsia="Calibri" w:cs="Arial"/>
                <w:bCs w:val="0"/>
                <w:color w:val="242424"/>
                <w:sz w:val="22"/>
                <w:szCs w:val="22"/>
                <w:lang w:val="en-US"/>
              </w:rPr>
              <w:t>)]</w:t>
            </w:r>
          </w:p>
        </w:tc>
      </w:tr>
      <w:tr w:rsidR="00E01204" w:rsidRPr="00E01204" w14:paraId="7058CF81" w14:textId="77777777" w:rsidTr="00E01204">
        <w:tc>
          <w:tcPr>
            <w:tcW w:w="1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C0976" w14:textId="77777777" w:rsidR="00E01204" w:rsidRPr="00E01204" w:rsidRDefault="00E01204" w:rsidP="00E01204">
            <w:pPr>
              <w:spacing w:before="240" w:after="240"/>
              <w:rPr>
                <w:rFonts w:eastAsia="Calibri" w:cs="Arial"/>
                <w:b/>
                <w:bCs w:val="0"/>
                <w:color w:val="242424"/>
                <w:sz w:val="22"/>
                <w:szCs w:val="22"/>
                <w:lang w:val="en-US"/>
              </w:rPr>
            </w:pPr>
            <w:r w:rsidRPr="00E01204">
              <w:rPr>
                <w:rFonts w:eastAsia="Calibri" w:cs="Arial"/>
                <w:b/>
                <w:bCs w:val="0"/>
                <w:color w:val="242424"/>
                <w:sz w:val="22"/>
                <w:szCs w:val="22"/>
                <w:lang w:val="en-US"/>
              </w:rPr>
              <w:lastRenderedPageBreak/>
              <w:t>Add-on GP IT Services</w:t>
            </w:r>
          </w:p>
        </w:tc>
        <w:tc>
          <w:tcPr>
            <w:tcW w:w="7423" w:type="dxa"/>
            <w:tcBorders>
              <w:top w:val="nil"/>
              <w:left w:val="nil"/>
              <w:bottom w:val="single" w:sz="8" w:space="0" w:color="auto"/>
              <w:right w:val="single" w:sz="8" w:space="0" w:color="auto"/>
            </w:tcBorders>
            <w:tcMar>
              <w:top w:w="0" w:type="dxa"/>
              <w:left w:w="108" w:type="dxa"/>
              <w:bottom w:w="0" w:type="dxa"/>
              <w:right w:w="108" w:type="dxa"/>
            </w:tcMar>
            <w:hideMark/>
          </w:tcPr>
          <w:p w14:paraId="5DB3C816" w14:textId="77777777" w:rsidR="00E01204" w:rsidRPr="00E01204" w:rsidRDefault="00E01204" w:rsidP="00E01204">
            <w:p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Practice receives the following Add-on GP IT Services (examples provided below):</w:t>
            </w:r>
          </w:p>
          <w:p w14:paraId="550FD420" w14:textId="77777777" w:rsidR="00E01204" w:rsidRPr="00E01204" w:rsidRDefault="00E01204" w:rsidP="00E01204">
            <w:pPr>
              <w:numPr>
                <w:ilvl w:val="0"/>
                <w:numId w:val="43"/>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Top-up N3 service</w:t>
            </w:r>
          </w:p>
          <w:p w14:paraId="5B49AB30" w14:textId="77777777" w:rsidR="00E01204" w:rsidRPr="00E01204" w:rsidRDefault="00E01204" w:rsidP="00E01204">
            <w:pPr>
              <w:numPr>
                <w:ilvl w:val="0"/>
                <w:numId w:val="43"/>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Remote access VDI support</w:t>
            </w:r>
          </w:p>
          <w:p w14:paraId="343928EE" w14:textId="77777777" w:rsidR="00E01204" w:rsidRPr="00E01204" w:rsidRDefault="00E01204" w:rsidP="00E01204">
            <w:pPr>
              <w:numPr>
                <w:ilvl w:val="0"/>
                <w:numId w:val="43"/>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Training Services</w:t>
            </w:r>
          </w:p>
          <w:p w14:paraId="37F2B797" w14:textId="062EB97B" w:rsidR="00E01204" w:rsidRPr="00E01204" w:rsidRDefault="00E01204" w:rsidP="00E01204">
            <w:pPr>
              <w:numPr>
                <w:ilvl w:val="0"/>
                <w:numId w:val="43"/>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Data Quality Services</w:t>
            </w:r>
          </w:p>
          <w:p w14:paraId="7579E356" w14:textId="77777777" w:rsidR="00E01204" w:rsidRPr="00E01204" w:rsidRDefault="00E01204" w:rsidP="00E01204">
            <w:p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Provided by:</w:t>
            </w:r>
          </w:p>
          <w:p w14:paraId="60133F05" w14:textId="77777777" w:rsidR="00E01204" w:rsidRPr="00E01204" w:rsidRDefault="00E01204" w:rsidP="00E01204">
            <w:pPr>
              <w:numPr>
                <w:ilvl w:val="0"/>
                <w:numId w:val="44"/>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[Name of provider(s)]</w:t>
            </w:r>
          </w:p>
          <w:p w14:paraId="5D65887E" w14:textId="77777777" w:rsidR="00E01204" w:rsidRPr="00E01204" w:rsidRDefault="00E01204" w:rsidP="00E01204">
            <w:pPr>
              <w:numPr>
                <w:ilvl w:val="0"/>
                <w:numId w:val="44"/>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[Contact tel. number(s)]</w:t>
            </w:r>
          </w:p>
          <w:p w14:paraId="1B323646" w14:textId="77777777" w:rsidR="00E01204" w:rsidRPr="00E01204" w:rsidRDefault="00E01204" w:rsidP="00E01204">
            <w:pPr>
              <w:numPr>
                <w:ilvl w:val="0"/>
                <w:numId w:val="44"/>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[Contact email address(</w:t>
            </w:r>
            <w:proofErr w:type="spellStart"/>
            <w:r w:rsidRPr="00E01204">
              <w:rPr>
                <w:rFonts w:eastAsia="Calibri" w:cs="Arial"/>
                <w:bCs w:val="0"/>
                <w:color w:val="242424"/>
                <w:sz w:val="22"/>
                <w:szCs w:val="22"/>
                <w:lang w:val="en-US"/>
              </w:rPr>
              <w:t>es</w:t>
            </w:r>
            <w:proofErr w:type="spellEnd"/>
            <w:r w:rsidRPr="00E01204">
              <w:rPr>
                <w:rFonts w:eastAsia="Calibri" w:cs="Arial"/>
                <w:bCs w:val="0"/>
                <w:color w:val="242424"/>
                <w:sz w:val="22"/>
                <w:szCs w:val="22"/>
                <w:lang w:val="en-US"/>
              </w:rPr>
              <w:t>)]</w:t>
            </w:r>
          </w:p>
        </w:tc>
      </w:tr>
      <w:tr w:rsidR="00E01204" w:rsidRPr="00E01204" w14:paraId="015C6F11" w14:textId="77777777" w:rsidTr="00E01204">
        <w:tc>
          <w:tcPr>
            <w:tcW w:w="1757" w:type="dxa"/>
            <w:tcBorders>
              <w:top w:val="nil"/>
              <w:left w:val="single" w:sz="8" w:space="0" w:color="auto"/>
              <w:bottom w:val="single" w:sz="8" w:space="0" w:color="auto"/>
              <w:right w:val="single" w:sz="8" w:space="0" w:color="auto"/>
            </w:tcBorders>
            <w:shd w:val="clear" w:color="auto" w:fill="DFDFDF"/>
            <w:tcMar>
              <w:top w:w="0" w:type="dxa"/>
              <w:left w:w="108" w:type="dxa"/>
              <w:bottom w:w="0" w:type="dxa"/>
              <w:right w:w="108" w:type="dxa"/>
            </w:tcMar>
            <w:hideMark/>
          </w:tcPr>
          <w:p w14:paraId="1A1D6AEC" w14:textId="7C23213E" w:rsidR="00E01204" w:rsidRPr="00E01204" w:rsidRDefault="00E01204" w:rsidP="009F7294">
            <w:pPr>
              <w:spacing w:before="240" w:after="240"/>
              <w:rPr>
                <w:rFonts w:eastAsia="Calibri" w:cs="Arial"/>
                <w:b/>
                <w:bCs w:val="0"/>
                <w:color w:val="242424"/>
                <w:sz w:val="22"/>
                <w:szCs w:val="22"/>
                <w:lang w:val="en-US"/>
              </w:rPr>
            </w:pPr>
            <w:r w:rsidRPr="00E01204">
              <w:rPr>
                <w:rFonts w:eastAsia="Calibri" w:cs="Arial"/>
                <w:b/>
                <w:bCs w:val="0"/>
                <w:color w:val="242424"/>
                <w:sz w:val="22"/>
                <w:szCs w:val="22"/>
                <w:lang w:val="en-US"/>
              </w:rPr>
              <w:t xml:space="preserve">Other services commissioned by the </w:t>
            </w:r>
            <w:r w:rsidR="009F7294">
              <w:rPr>
                <w:rFonts w:eastAsia="Calibri" w:cs="Arial"/>
                <w:b/>
                <w:bCs w:val="0"/>
                <w:color w:val="242424"/>
                <w:sz w:val="22"/>
                <w:szCs w:val="22"/>
                <w:lang w:val="en-US"/>
              </w:rPr>
              <w:t>NHS England</w:t>
            </w:r>
          </w:p>
        </w:tc>
        <w:tc>
          <w:tcPr>
            <w:tcW w:w="7423" w:type="dxa"/>
            <w:tcBorders>
              <w:top w:val="nil"/>
              <w:left w:val="nil"/>
              <w:bottom w:val="single" w:sz="8" w:space="0" w:color="auto"/>
              <w:right w:val="single" w:sz="8" w:space="0" w:color="auto"/>
            </w:tcBorders>
            <w:shd w:val="clear" w:color="auto" w:fill="DFDFDF"/>
            <w:tcMar>
              <w:top w:w="0" w:type="dxa"/>
              <w:left w:w="108" w:type="dxa"/>
              <w:bottom w:w="0" w:type="dxa"/>
              <w:right w:w="108" w:type="dxa"/>
            </w:tcMar>
            <w:hideMark/>
          </w:tcPr>
          <w:p w14:paraId="759B984D" w14:textId="4BCD7742" w:rsidR="00E01204" w:rsidRPr="00E01204" w:rsidRDefault="00E01204" w:rsidP="00E01204">
            <w:p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Please note that the following services in use at practices a</w:t>
            </w:r>
            <w:r w:rsidR="009F7294">
              <w:rPr>
                <w:rFonts w:eastAsia="Calibri" w:cs="Arial"/>
                <w:bCs w:val="0"/>
                <w:color w:val="242424"/>
                <w:sz w:val="22"/>
                <w:szCs w:val="22"/>
                <w:lang w:val="en-US"/>
              </w:rPr>
              <w:t>re commissioned by NHS England</w:t>
            </w:r>
            <w:r w:rsidRPr="00E01204">
              <w:rPr>
                <w:rFonts w:eastAsia="Calibri" w:cs="Arial"/>
                <w:bCs w:val="0"/>
                <w:color w:val="242424"/>
                <w:sz w:val="22"/>
                <w:szCs w:val="22"/>
                <w:lang w:val="en-US"/>
              </w:rPr>
              <w:t xml:space="preserve"> and not the CCG. These services are therefore out of scope of this agreement. For completion, these services are detailed below (examples provided):</w:t>
            </w:r>
          </w:p>
          <w:p w14:paraId="6D2EC77E" w14:textId="77777777" w:rsidR="00E01204" w:rsidRPr="00E01204" w:rsidRDefault="00E01204" w:rsidP="00E01204">
            <w:pPr>
              <w:numPr>
                <w:ilvl w:val="0"/>
                <w:numId w:val="45"/>
              </w:numPr>
              <w:spacing w:before="240" w:after="240"/>
              <w:ind w:left="714" w:hanging="357"/>
              <w:rPr>
                <w:rFonts w:eastAsia="Calibri" w:cs="Arial"/>
                <w:bCs w:val="0"/>
                <w:color w:val="242424"/>
                <w:sz w:val="22"/>
                <w:szCs w:val="22"/>
                <w:lang w:val="en-US"/>
              </w:rPr>
            </w:pPr>
            <w:r w:rsidRPr="00E01204">
              <w:rPr>
                <w:rFonts w:eastAsia="Calibri" w:cs="Arial"/>
                <w:bCs w:val="0"/>
                <w:color w:val="242424"/>
                <w:sz w:val="22"/>
                <w:szCs w:val="22"/>
                <w:lang w:val="en-US"/>
              </w:rPr>
              <w:t>Capital refresh programme</w:t>
            </w:r>
          </w:p>
          <w:p w14:paraId="36A820FD" w14:textId="77777777" w:rsidR="00E01204" w:rsidRPr="00E01204" w:rsidRDefault="00E01204" w:rsidP="00E01204">
            <w:pPr>
              <w:numPr>
                <w:ilvl w:val="0"/>
                <w:numId w:val="45"/>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 xml:space="preserve">Registration Authority (RA) </w:t>
            </w:r>
          </w:p>
          <w:p w14:paraId="6B065942" w14:textId="77777777" w:rsidR="00E01204" w:rsidRPr="00E01204" w:rsidRDefault="00E01204" w:rsidP="00E01204">
            <w:pPr>
              <w:numPr>
                <w:ilvl w:val="0"/>
                <w:numId w:val="45"/>
              </w:numPr>
              <w:spacing w:before="240" w:after="240"/>
              <w:rPr>
                <w:rFonts w:eastAsia="Calibri" w:cs="Arial"/>
                <w:bCs w:val="0"/>
                <w:color w:val="242424"/>
                <w:sz w:val="22"/>
                <w:szCs w:val="22"/>
                <w:lang w:val="en-US"/>
              </w:rPr>
            </w:pPr>
            <w:proofErr w:type="spellStart"/>
            <w:r w:rsidRPr="00E01204">
              <w:rPr>
                <w:rFonts w:eastAsia="Calibri" w:cs="Arial"/>
                <w:bCs w:val="0"/>
                <w:color w:val="242424"/>
                <w:sz w:val="22"/>
                <w:szCs w:val="22"/>
                <w:lang w:val="en-US"/>
              </w:rPr>
              <w:t>NHSmail</w:t>
            </w:r>
            <w:proofErr w:type="spellEnd"/>
            <w:r w:rsidRPr="00E01204">
              <w:rPr>
                <w:rFonts w:eastAsia="Calibri" w:cs="Arial"/>
                <w:bCs w:val="0"/>
                <w:color w:val="242424"/>
                <w:sz w:val="22"/>
                <w:szCs w:val="22"/>
                <w:lang w:val="en-US"/>
              </w:rPr>
              <w:t xml:space="preserve"> Administration and Support </w:t>
            </w:r>
          </w:p>
          <w:p w14:paraId="6D9B2086" w14:textId="77777777" w:rsidR="00E01204" w:rsidRPr="00E01204" w:rsidRDefault="00E01204" w:rsidP="00E01204">
            <w:pPr>
              <w:numPr>
                <w:ilvl w:val="0"/>
                <w:numId w:val="45"/>
              </w:numPr>
              <w:spacing w:before="240" w:after="240"/>
              <w:ind w:left="714" w:hanging="357"/>
              <w:rPr>
                <w:rFonts w:eastAsia="Calibri" w:cs="Arial"/>
                <w:bCs w:val="0"/>
                <w:color w:val="242424"/>
                <w:sz w:val="22"/>
                <w:szCs w:val="22"/>
                <w:lang w:val="en-US"/>
              </w:rPr>
            </w:pPr>
            <w:r w:rsidRPr="00E01204">
              <w:rPr>
                <w:rFonts w:eastAsia="Calibri" w:cs="Arial"/>
                <w:bCs w:val="0"/>
                <w:color w:val="242424"/>
                <w:sz w:val="22"/>
                <w:szCs w:val="22"/>
                <w:lang w:val="en-US"/>
              </w:rPr>
              <w:t>Clinical Safety Assurance Functions</w:t>
            </w:r>
          </w:p>
          <w:p w14:paraId="54C511C7" w14:textId="02B0A766" w:rsidR="00E01204" w:rsidRPr="00E01204" w:rsidRDefault="00E01204" w:rsidP="00E01204">
            <w:pPr>
              <w:numPr>
                <w:ilvl w:val="0"/>
                <w:numId w:val="45"/>
              </w:numPr>
              <w:spacing w:before="240" w:after="240"/>
              <w:ind w:left="714" w:hanging="357"/>
              <w:rPr>
                <w:rFonts w:eastAsia="Calibri" w:cs="Arial"/>
                <w:bCs w:val="0"/>
                <w:color w:val="242424"/>
                <w:sz w:val="22"/>
                <w:szCs w:val="22"/>
                <w:lang w:val="en-US"/>
              </w:rPr>
            </w:pPr>
            <w:r w:rsidRPr="00E01204">
              <w:rPr>
                <w:rFonts w:eastAsia="Calibri" w:cs="Arial"/>
                <w:bCs w:val="0"/>
                <w:color w:val="242424"/>
                <w:sz w:val="22"/>
                <w:szCs w:val="22"/>
                <w:lang w:val="en-US"/>
              </w:rPr>
              <w:t>Information Governance Support Service</w:t>
            </w:r>
          </w:p>
          <w:p w14:paraId="2747EA84" w14:textId="77777777" w:rsidR="00E01204" w:rsidRPr="00E01204" w:rsidRDefault="00E01204" w:rsidP="00E01204">
            <w:p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Provided by:</w:t>
            </w:r>
          </w:p>
          <w:p w14:paraId="0CFCA106" w14:textId="77777777" w:rsidR="00E01204" w:rsidRPr="00E01204" w:rsidRDefault="00E01204" w:rsidP="00E01204">
            <w:pPr>
              <w:numPr>
                <w:ilvl w:val="0"/>
                <w:numId w:val="44"/>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[Name of provider(s)]</w:t>
            </w:r>
          </w:p>
          <w:p w14:paraId="52BA1934" w14:textId="77777777" w:rsidR="00E01204" w:rsidRPr="00E01204" w:rsidRDefault="00E01204" w:rsidP="00E01204">
            <w:pPr>
              <w:numPr>
                <w:ilvl w:val="0"/>
                <w:numId w:val="44"/>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[Contact tel. number(s)]</w:t>
            </w:r>
          </w:p>
          <w:p w14:paraId="4865B84E" w14:textId="77777777" w:rsidR="00E01204" w:rsidRPr="00E01204" w:rsidRDefault="00E01204" w:rsidP="00E01204">
            <w:pPr>
              <w:numPr>
                <w:ilvl w:val="0"/>
                <w:numId w:val="44"/>
              </w:numPr>
              <w:spacing w:before="240" w:after="240"/>
              <w:rPr>
                <w:rFonts w:eastAsia="Calibri" w:cs="Arial"/>
                <w:bCs w:val="0"/>
                <w:color w:val="242424"/>
                <w:sz w:val="22"/>
                <w:szCs w:val="22"/>
                <w:lang w:val="en-US"/>
              </w:rPr>
            </w:pPr>
            <w:r w:rsidRPr="00E01204">
              <w:rPr>
                <w:rFonts w:eastAsia="Calibri" w:cs="Arial"/>
                <w:bCs w:val="0"/>
                <w:color w:val="242424"/>
                <w:sz w:val="22"/>
                <w:szCs w:val="22"/>
                <w:lang w:val="en-US"/>
              </w:rPr>
              <w:t>[Contact email address(</w:t>
            </w:r>
            <w:proofErr w:type="spellStart"/>
            <w:r w:rsidRPr="00E01204">
              <w:rPr>
                <w:rFonts w:eastAsia="Calibri" w:cs="Arial"/>
                <w:bCs w:val="0"/>
                <w:color w:val="242424"/>
                <w:sz w:val="22"/>
                <w:szCs w:val="22"/>
                <w:lang w:val="en-US"/>
              </w:rPr>
              <w:t>es</w:t>
            </w:r>
            <w:proofErr w:type="spellEnd"/>
            <w:r w:rsidRPr="00E01204">
              <w:rPr>
                <w:rFonts w:eastAsia="Calibri" w:cs="Arial"/>
                <w:bCs w:val="0"/>
                <w:color w:val="242424"/>
                <w:sz w:val="22"/>
                <w:szCs w:val="22"/>
                <w:lang w:val="en-US"/>
              </w:rPr>
              <w:t>)]</w:t>
            </w:r>
          </w:p>
        </w:tc>
      </w:tr>
    </w:tbl>
    <w:p w14:paraId="521D93C6" w14:textId="77777777" w:rsidR="00E01204" w:rsidRPr="00E01204" w:rsidRDefault="00E01204" w:rsidP="00E01204">
      <w:pPr>
        <w:overflowPunct w:val="0"/>
        <w:autoSpaceDE w:val="0"/>
        <w:autoSpaceDN w:val="0"/>
        <w:adjustRightInd w:val="0"/>
        <w:spacing w:after="240" w:line="360" w:lineRule="auto"/>
        <w:textAlignment w:val="baseline"/>
        <w:outlineLvl w:val="0"/>
        <w:rPr>
          <w:rFonts w:ascii="Times New Roman" w:hAnsi="Times New Roman"/>
          <w:i/>
          <w:kern w:val="28"/>
          <w:sz w:val="22"/>
          <w:szCs w:val="20"/>
        </w:rPr>
      </w:pPr>
      <w:bookmarkStart w:id="45" w:name="_Toc414462291"/>
      <w:r w:rsidRPr="00E01204">
        <w:rPr>
          <w:rFonts w:ascii="Times New Roman" w:hAnsi="Times New Roman"/>
          <w:i/>
          <w:kern w:val="28"/>
          <w:sz w:val="22"/>
          <w:szCs w:val="20"/>
        </w:rPr>
        <w:t>Example table</w:t>
      </w:r>
      <w:bookmarkEnd w:id="45"/>
    </w:p>
    <w:p w14:paraId="0670DD40" w14:textId="77777777" w:rsidR="00A700E9" w:rsidRDefault="00A700E9" w:rsidP="00A700E9"/>
    <w:p w14:paraId="32E49DFE" w14:textId="77777777" w:rsidR="00A700E9" w:rsidRDefault="00A700E9" w:rsidP="00A700E9"/>
    <w:p w14:paraId="078DE687" w14:textId="77777777" w:rsidR="00A700E9" w:rsidRDefault="00A700E9" w:rsidP="00A700E9"/>
    <w:p w14:paraId="69D186EE" w14:textId="77777777" w:rsidR="00A700E9" w:rsidRDefault="00A700E9" w:rsidP="00A700E9"/>
    <w:p w14:paraId="26325A04" w14:textId="77777777" w:rsidR="00A700E9" w:rsidRDefault="00A700E9" w:rsidP="00A700E9"/>
    <w:p w14:paraId="74B40119" w14:textId="77777777" w:rsidR="00A700E9" w:rsidRDefault="00A700E9" w:rsidP="00A700E9">
      <w:r>
        <w:t xml:space="preserve"> </w:t>
      </w:r>
    </w:p>
    <w:p w14:paraId="389B1E62" w14:textId="77777777" w:rsidR="00A700E9" w:rsidRDefault="00A700E9" w:rsidP="00123C8E">
      <w:pPr>
        <w:pStyle w:val="Heading1"/>
        <w:numPr>
          <w:ilvl w:val="0"/>
          <w:numId w:val="0"/>
        </w:numPr>
        <w:ind w:left="432" w:hanging="432"/>
      </w:pPr>
      <w:bookmarkStart w:id="46" w:name="_Toc414462292"/>
      <w:r>
        <w:t>Appendix 2</w:t>
      </w:r>
      <w:bookmarkEnd w:id="46"/>
      <w:r>
        <w:t xml:space="preserve"> </w:t>
      </w:r>
      <w:r>
        <w:tab/>
      </w:r>
    </w:p>
    <w:p w14:paraId="42DDB0BC" w14:textId="77777777" w:rsidR="00123C8E" w:rsidRDefault="00123C8E" w:rsidP="00A700E9"/>
    <w:p w14:paraId="31E96AA5" w14:textId="77777777" w:rsidR="00A700E9" w:rsidRDefault="00A700E9" w:rsidP="00123C8E">
      <w:pPr>
        <w:pStyle w:val="Heading2"/>
        <w:numPr>
          <w:ilvl w:val="0"/>
          <w:numId w:val="0"/>
        </w:numPr>
        <w:ind w:left="576" w:hanging="576"/>
      </w:pPr>
      <w:bookmarkStart w:id="47" w:name="_Toc414462293"/>
      <w:r>
        <w:t>Support &amp; Maintenance Service Levels</w:t>
      </w:r>
      <w:bookmarkEnd w:id="47"/>
    </w:p>
    <w:p w14:paraId="5D1104C3" w14:textId="77777777" w:rsidR="00123C8E" w:rsidRDefault="00123C8E" w:rsidP="00A700E9"/>
    <w:p w14:paraId="62AD1BFF" w14:textId="77777777" w:rsidR="00A700E9" w:rsidRDefault="00A700E9" w:rsidP="00123C8E">
      <w:pPr>
        <w:pStyle w:val="Subtitle"/>
      </w:pPr>
      <w:r>
        <w:t xml:space="preserve">NOTE: Every CCG must include a local service level agreement in this section of the agreement prior to signing this agreement with each Practice.  This service level agreement applies to the Services provided by the CCG to the Practice. </w:t>
      </w:r>
    </w:p>
    <w:p w14:paraId="26180099" w14:textId="77777777" w:rsidR="00A700E9" w:rsidRDefault="00A700E9" w:rsidP="00123C8E">
      <w:pPr>
        <w:pStyle w:val="Subtitle"/>
      </w:pPr>
    </w:p>
    <w:p w14:paraId="01DBA3D6" w14:textId="4DCBA0D6" w:rsidR="00A700E9" w:rsidRDefault="00A700E9" w:rsidP="00123C8E">
      <w:pPr>
        <w:pStyle w:val="Subtitle"/>
      </w:pPr>
      <w:r>
        <w:t>Example SLA documentation can be found at the following address (</w:t>
      </w:r>
      <w:hyperlink r:id="rId23" w:history="1">
        <w:r w:rsidR="00123C8E" w:rsidRPr="00E8156A">
          <w:rPr>
            <w:rStyle w:val="Hyperlink"/>
          </w:rPr>
          <w:t>www.england.nhs.uk/ourwork/tsd/sst/it-pc/)</w:t>
        </w:r>
      </w:hyperlink>
    </w:p>
    <w:p w14:paraId="255C9ED6" w14:textId="77777777" w:rsidR="00A60265" w:rsidRDefault="00A60265">
      <w:r>
        <w:br w:type="page"/>
      </w:r>
    </w:p>
    <w:p w14:paraId="5C61BBDD" w14:textId="46903561" w:rsidR="00A700E9" w:rsidRDefault="00A700E9" w:rsidP="00A60265">
      <w:pPr>
        <w:pStyle w:val="Heading1"/>
        <w:numPr>
          <w:ilvl w:val="0"/>
          <w:numId w:val="0"/>
        </w:numPr>
        <w:ind w:left="432" w:hanging="432"/>
      </w:pPr>
      <w:bookmarkStart w:id="48" w:name="_Toc414462294"/>
      <w:r>
        <w:lastRenderedPageBreak/>
        <w:t>Appendix 3</w:t>
      </w:r>
      <w:bookmarkEnd w:id="48"/>
      <w:r>
        <w:t xml:space="preserve"> </w:t>
      </w:r>
      <w:r>
        <w:tab/>
      </w:r>
    </w:p>
    <w:p w14:paraId="345F8395" w14:textId="77777777" w:rsidR="00A60265" w:rsidRDefault="00A60265" w:rsidP="00A700E9"/>
    <w:p w14:paraId="2C70E6AD" w14:textId="77777777" w:rsidR="00A700E9" w:rsidRDefault="00A700E9" w:rsidP="00A60265">
      <w:pPr>
        <w:pStyle w:val="Heading2"/>
        <w:numPr>
          <w:ilvl w:val="0"/>
          <w:numId w:val="0"/>
        </w:numPr>
        <w:ind w:left="576" w:hanging="576"/>
      </w:pPr>
      <w:bookmarkStart w:id="49" w:name="_Toc414462295"/>
      <w:r>
        <w:t>Escalation Procedure</w:t>
      </w:r>
      <w:bookmarkEnd w:id="49"/>
    </w:p>
    <w:p w14:paraId="68843E86" w14:textId="77777777" w:rsidR="00A60265" w:rsidRDefault="00A60265" w:rsidP="00A60265">
      <w:pPr>
        <w:pStyle w:val="Subtitle"/>
      </w:pPr>
    </w:p>
    <w:p w14:paraId="024E4914" w14:textId="77777777" w:rsidR="00A700E9" w:rsidRDefault="00A700E9" w:rsidP="00A60265">
      <w:pPr>
        <w:pStyle w:val="Subtitle"/>
      </w:pPr>
      <w:r>
        <w:t>NOTE: Every CCG must include a local escalation procedure in this section of the Agreement prior to signing this Agreement with each Practice.  For further information see paragraph 6.</w:t>
      </w:r>
    </w:p>
    <w:p w14:paraId="03824B12" w14:textId="77777777" w:rsidR="00A60265" w:rsidRDefault="00A60265">
      <w:r>
        <w:br w:type="page"/>
      </w:r>
    </w:p>
    <w:p w14:paraId="746A547C" w14:textId="36CA21DF" w:rsidR="00A700E9" w:rsidRDefault="00A700E9" w:rsidP="00A60265">
      <w:pPr>
        <w:pStyle w:val="Heading1"/>
        <w:numPr>
          <w:ilvl w:val="0"/>
          <w:numId w:val="0"/>
        </w:numPr>
        <w:ind w:left="432" w:hanging="432"/>
      </w:pPr>
      <w:bookmarkStart w:id="50" w:name="_Toc414462296"/>
      <w:r>
        <w:lastRenderedPageBreak/>
        <w:t>Appendix 4</w:t>
      </w:r>
      <w:bookmarkEnd w:id="50"/>
      <w:r>
        <w:t xml:space="preserve"> </w:t>
      </w:r>
      <w:r>
        <w:tab/>
      </w:r>
    </w:p>
    <w:p w14:paraId="193A7005" w14:textId="77777777" w:rsidR="00A60265" w:rsidRDefault="00A60265" w:rsidP="00A700E9"/>
    <w:p w14:paraId="38AC23E4" w14:textId="7686A8DE" w:rsidR="00A700E9" w:rsidRDefault="00A700E9" w:rsidP="00A60265">
      <w:pPr>
        <w:pStyle w:val="Heading2"/>
        <w:numPr>
          <w:ilvl w:val="0"/>
          <w:numId w:val="0"/>
        </w:numPr>
      </w:pPr>
      <w:bookmarkStart w:id="51" w:name="_Toc414462297"/>
      <w:r>
        <w:t xml:space="preserve">Business Justification Form Guidance and Example for Migration of </w:t>
      </w:r>
      <w:proofErr w:type="spellStart"/>
      <w:r>
        <w:t>GPSoC</w:t>
      </w:r>
      <w:proofErr w:type="spellEnd"/>
      <w:r>
        <w:t xml:space="preserve"> Services</w:t>
      </w:r>
      <w:bookmarkEnd w:id="51"/>
    </w:p>
    <w:p w14:paraId="0883E30B" w14:textId="77777777" w:rsidR="00A60265" w:rsidRDefault="00A60265" w:rsidP="00A700E9"/>
    <w:bookmarkStart w:id="52" w:name="_MON_1465655765"/>
    <w:bookmarkEnd w:id="52"/>
    <w:p w14:paraId="734439CE" w14:textId="72D5CE7C" w:rsidR="00996AB8" w:rsidRDefault="00A60265" w:rsidP="00A700E9">
      <w:r>
        <w:rPr>
          <w:b/>
          <w:bCs w:val="0"/>
          <w:i/>
          <w:iCs/>
        </w:rPr>
        <w:object w:dxaOrig="1531" w:dyaOrig="1002" w14:anchorId="1E490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50.5pt" o:ole="">
            <v:imagedata r:id="rId24" o:title=""/>
          </v:shape>
          <o:OLEObject Type="Embed" ProgID="Word.Document.12" ShapeID="_x0000_i1025" DrawAspect="Icon" ObjectID="_1488801983" r:id="rId25">
            <o:FieldCodes>\s</o:FieldCodes>
          </o:OLEObject>
        </w:object>
      </w:r>
    </w:p>
    <w:sectPr w:rsidR="00996AB8" w:rsidSect="00711797">
      <w:type w:val="continuous"/>
      <w:pgSz w:w="11900" w:h="16840"/>
      <w:pgMar w:top="1418" w:right="1418" w:bottom="1418" w:left="1418" w:header="0" w:footer="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439D9" w14:textId="77777777" w:rsidR="00711797" w:rsidRDefault="00711797" w:rsidP="00A716D1">
      <w:r>
        <w:separator/>
      </w:r>
    </w:p>
  </w:endnote>
  <w:endnote w:type="continuationSeparator" w:id="0">
    <w:p w14:paraId="734439DA" w14:textId="77777777" w:rsidR="00711797" w:rsidRDefault="00711797"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439DF" w14:textId="77777777" w:rsidR="00711797" w:rsidRDefault="00711797" w:rsidP="00A716D1">
    <w:pPr>
      <w:pStyle w:val="Footer"/>
      <w:rPr>
        <w:rStyle w:val="PageNumber"/>
      </w:rPr>
    </w:pPr>
    <w:r>
      <w:rPr>
        <w:rStyle w:val="PageNumber"/>
      </w:rPr>
      <w:fldChar w:fldCharType="begin"/>
    </w:r>
    <w:r>
      <w:rPr>
        <w:rStyle w:val="PageNumber"/>
      </w:rPr>
      <w:instrText xml:space="preserve">PAGE  </w:instrText>
    </w:r>
    <w:r w:rsidR="00B668E7">
      <w:rPr>
        <w:rStyle w:val="PageNumber"/>
      </w:rPr>
      <w:fldChar w:fldCharType="separate"/>
    </w:r>
    <w:r w:rsidR="00B668E7">
      <w:rPr>
        <w:rStyle w:val="PageNumber"/>
        <w:noProof/>
      </w:rPr>
      <w:t>28</w:t>
    </w:r>
    <w:r>
      <w:rPr>
        <w:rStyle w:val="PageNumber"/>
      </w:rPr>
      <w:fldChar w:fldCharType="end"/>
    </w:r>
  </w:p>
  <w:p w14:paraId="734439E0" w14:textId="77777777" w:rsidR="00711797" w:rsidRDefault="00711797" w:rsidP="00A716D1">
    <w:pPr>
      <w:pStyle w:val="Footer"/>
    </w:pPr>
  </w:p>
  <w:p w14:paraId="61F40F16" w14:textId="77777777" w:rsidR="00711797" w:rsidRDefault="007117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430950"/>
      <w:docPartObj>
        <w:docPartGallery w:val="Page Numbers (Bottom of Page)"/>
        <w:docPartUnique/>
      </w:docPartObj>
    </w:sdtPr>
    <w:sdtEndPr>
      <w:rPr>
        <w:noProof/>
      </w:rPr>
    </w:sdtEndPr>
    <w:sdtContent>
      <w:p w14:paraId="29B1B7B3" w14:textId="52340A51" w:rsidR="00711797" w:rsidRDefault="00711797">
        <w:pPr>
          <w:pStyle w:val="Footer"/>
          <w:jc w:val="center"/>
        </w:pPr>
        <w:r>
          <w:fldChar w:fldCharType="begin"/>
        </w:r>
        <w:r>
          <w:instrText xml:space="preserve"> PAGE   \* MERGEFORMAT </w:instrText>
        </w:r>
        <w:r>
          <w:fldChar w:fldCharType="separate"/>
        </w:r>
        <w:r w:rsidR="00E82D77">
          <w:rPr>
            <w:noProof/>
          </w:rPr>
          <w:t>1</w:t>
        </w:r>
        <w:r>
          <w:rPr>
            <w:noProof/>
          </w:rPr>
          <w:fldChar w:fldCharType="end"/>
        </w:r>
      </w:p>
    </w:sdtContent>
  </w:sdt>
  <w:p w14:paraId="641D2D57" w14:textId="77777777" w:rsidR="00711797" w:rsidRDefault="00711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439D7" w14:textId="77777777" w:rsidR="00711797" w:rsidRDefault="00711797" w:rsidP="00A716D1">
      <w:r>
        <w:separator/>
      </w:r>
    </w:p>
  </w:footnote>
  <w:footnote w:type="continuationSeparator" w:id="0">
    <w:p w14:paraId="734439D8" w14:textId="77777777" w:rsidR="00711797" w:rsidRDefault="00711797"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439DB" w14:textId="77777777" w:rsidR="00711797" w:rsidRDefault="00711797">
    <w:pPr>
      <w:pStyle w:val="Header"/>
    </w:pPr>
  </w:p>
  <w:p w14:paraId="734439DC" w14:textId="77777777" w:rsidR="00711797" w:rsidRDefault="00711797" w:rsidP="00695D70">
    <w:pPr>
      <w:pStyle w:val="Header"/>
      <w:jc w:val="center"/>
    </w:pPr>
  </w:p>
  <w:sdt>
    <w:sdtPr>
      <w:alias w:val="Protective Marking"/>
      <w:tag w:val="Protective Marking"/>
      <w:id w:val="329103039"/>
      <w:dropDownList>
        <w:listItem w:displayText="OFFICIAL" w:value="OFFICIAL"/>
        <w:listItem w:displayText="OFFICIAL-SENSITIVE: COMMERCIAL" w:value="OFFICIAL-SENSITIVE: COMMERCIAL"/>
        <w:listItem w:displayText="OFFICIAL-SENSITIVE: PERSONAL" w:value="OFFICIAL-SENSITIVE: PERSONAL"/>
      </w:dropDownList>
    </w:sdtPr>
    <w:sdtContent>
      <w:p w14:paraId="734439DD" w14:textId="56FB2C88" w:rsidR="00711797" w:rsidRDefault="00711797" w:rsidP="00695D70">
        <w:pPr>
          <w:pStyle w:val="Header"/>
          <w:jc w:val="center"/>
        </w:pPr>
        <w:r>
          <w:t>OFFICIAL</w:t>
        </w:r>
      </w:p>
    </w:sdtContent>
  </w:sdt>
  <w:p w14:paraId="734439DE" w14:textId="77777777" w:rsidR="00711797" w:rsidRDefault="00711797" w:rsidP="00695D70">
    <w:pPr>
      <w:pStyle w:val="Header"/>
      <w:jc w:val="center"/>
    </w:pPr>
  </w:p>
  <w:p w14:paraId="1AFD75D1" w14:textId="77777777" w:rsidR="00711797" w:rsidRDefault="007117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A5846DC"/>
    <w:lvl w:ilvl="0">
      <w:start w:val="1"/>
      <w:numFmt w:val="bullet"/>
      <w:lvlText w:val=""/>
      <w:lvlJc w:val="left"/>
      <w:pPr>
        <w:tabs>
          <w:tab w:val="num" w:pos="360"/>
        </w:tabs>
        <w:ind w:left="360" w:hanging="360"/>
      </w:pPr>
      <w:rPr>
        <w:rFonts w:ascii="Symbol" w:hAnsi="Symbol" w:hint="default"/>
      </w:rPr>
    </w:lvl>
  </w:abstractNum>
  <w:abstractNum w:abstractNumId="1">
    <w:nsid w:val="01AA7F59"/>
    <w:multiLevelType w:val="hybridMultilevel"/>
    <w:tmpl w:val="A15E3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4207C7E"/>
    <w:multiLevelType w:val="hybridMultilevel"/>
    <w:tmpl w:val="A1D87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357DDE"/>
    <w:multiLevelType w:val="multilevel"/>
    <w:tmpl w:val="2D603668"/>
    <w:lvl w:ilvl="0">
      <w:start w:val="3"/>
      <w:numFmt w:val="decimal"/>
      <w:lvlText w:val="%1."/>
      <w:lvlJc w:val="left"/>
      <w:pPr>
        <w:ind w:left="390" w:hanging="390"/>
      </w:pPr>
      <w:rPr>
        <w:rFonts w:hint="default"/>
        <w:color w:val="0070C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lowerLetter"/>
      <w:lvlText w:val="%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9BF2025"/>
    <w:multiLevelType w:val="multilevel"/>
    <w:tmpl w:val="C0C8538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FD59AD"/>
    <w:multiLevelType w:val="hybridMultilevel"/>
    <w:tmpl w:val="F74601AE"/>
    <w:lvl w:ilvl="0" w:tplc="6A9EB4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FC089D"/>
    <w:multiLevelType w:val="hybridMultilevel"/>
    <w:tmpl w:val="8DC8C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4E0BD9"/>
    <w:multiLevelType w:val="multilevel"/>
    <w:tmpl w:val="6478B558"/>
    <w:lvl w:ilvl="0">
      <w:start w:val="1"/>
      <w:numFmt w:val="none"/>
      <w:pStyle w:val="Heading1"/>
      <w:lvlText w:val="6"/>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279D66D7"/>
    <w:multiLevelType w:val="hybridMultilevel"/>
    <w:tmpl w:val="37B45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C644B1"/>
    <w:multiLevelType w:val="hybridMultilevel"/>
    <w:tmpl w:val="24B0D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923501A"/>
    <w:multiLevelType w:val="hybridMultilevel"/>
    <w:tmpl w:val="8BA4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A12AFF"/>
    <w:multiLevelType w:val="hybridMultilevel"/>
    <w:tmpl w:val="8D44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FC93792"/>
    <w:multiLevelType w:val="hybridMultilevel"/>
    <w:tmpl w:val="1152B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C4D6653"/>
    <w:multiLevelType w:val="hybridMultilevel"/>
    <w:tmpl w:val="7576B4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D142B9A"/>
    <w:multiLevelType w:val="multilevel"/>
    <w:tmpl w:val="D32E4AC8"/>
    <w:lvl w:ilvl="0">
      <w:start w:val="1"/>
      <w:numFmt w:val="none"/>
      <w:lvlText w:val="3."/>
      <w:lvlJc w:val="left"/>
      <w:pPr>
        <w:ind w:left="465" w:hanging="465"/>
      </w:pPr>
      <w:rPr>
        <w:rFonts w:hint="default"/>
        <w:color w:val="0070C0"/>
      </w:rPr>
    </w:lvl>
    <w:lvl w:ilvl="1">
      <w:start w:val="1"/>
      <w:numFmt w:val="decimal"/>
      <w:lvlText w:val="2.%2."/>
      <w:lvlJc w:val="left"/>
      <w:pPr>
        <w:ind w:left="720" w:hanging="72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11"/>
  </w:num>
  <w:num w:numId="8">
    <w:abstractNumId w:val="6"/>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6"/>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15"/>
  </w:num>
  <w:num w:numId="25">
    <w:abstractNumId w:val="7"/>
  </w:num>
  <w:num w:numId="26">
    <w:abstractNumId w:val="7"/>
  </w:num>
  <w:num w:numId="27">
    <w:abstractNumId w:val="3"/>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10"/>
  </w:num>
  <w:num w:numId="42">
    <w:abstractNumId w:val="8"/>
  </w:num>
  <w:num w:numId="43">
    <w:abstractNumId w:val="14"/>
  </w:num>
  <w:num w:numId="44">
    <w:abstractNumId w:val="2"/>
  </w:num>
  <w:num w:numId="45">
    <w:abstractNumId w:val="1"/>
  </w:num>
  <w:num w:numId="46">
    <w:abstractNumId w:val="7"/>
  </w:num>
  <w:num w:numId="47">
    <w:abstractNumId w:val="7"/>
  </w:num>
  <w:num w:numId="48">
    <w:abstractNumId w:val="7"/>
  </w:num>
  <w:num w:numId="4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2174B"/>
    <w:rsid w:val="00023944"/>
    <w:rsid w:val="00031797"/>
    <w:rsid w:val="000325BD"/>
    <w:rsid w:val="000419B4"/>
    <w:rsid w:val="00055930"/>
    <w:rsid w:val="000A6FA4"/>
    <w:rsid w:val="00102A99"/>
    <w:rsid w:val="001064CF"/>
    <w:rsid w:val="00123C8E"/>
    <w:rsid w:val="00152FB6"/>
    <w:rsid w:val="00174767"/>
    <w:rsid w:val="001A3439"/>
    <w:rsid w:val="001B62FE"/>
    <w:rsid w:val="001C77AD"/>
    <w:rsid w:val="001D6315"/>
    <w:rsid w:val="001E477C"/>
    <w:rsid w:val="00211279"/>
    <w:rsid w:val="00211C1A"/>
    <w:rsid w:val="00222A7E"/>
    <w:rsid w:val="00237034"/>
    <w:rsid w:val="00244224"/>
    <w:rsid w:val="0025692A"/>
    <w:rsid w:val="002871EC"/>
    <w:rsid w:val="002A0C8D"/>
    <w:rsid w:val="002B6313"/>
    <w:rsid w:val="002C542F"/>
    <w:rsid w:val="002E4212"/>
    <w:rsid w:val="002F2335"/>
    <w:rsid w:val="0033126A"/>
    <w:rsid w:val="003357B2"/>
    <w:rsid w:val="003362FD"/>
    <w:rsid w:val="00344C9D"/>
    <w:rsid w:val="00397E3E"/>
    <w:rsid w:val="003A13D3"/>
    <w:rsid w:val="003B2D5D"/>
    <w:rsid w:val="003B511C"/>
    <w:rsid w:val="003E1C1F"/>
    <w:rsid w:val="003F4F0A"/>
    <w:rsid w:val="004409E2"/>
    <w:rsid w:val="00460D6B"/>
    <w:rsid w:val="004704A2"/>
    <w:rsid w:val="004863FB"/>
    <w:rsid w:val="004B70EB"/>
    <w:rsid w:val="004E2398"/>
    <w:rsid w:val="004F439E"/>
    <w:rsid w:val="004F6B93"/>
    <w:rsid w:val="005045B3"/>
    <w:rsid w:val="00544EFA"/>
    <w:rsid w:val="005570B3"/>
    <w:rsid w:val="005629D1"/>
    <w:rsid w:val="005868C3"/>
    <w:rsid w:val="005A4142"/>
    <w:rsid w:val="005B40B1"/>
    <w:rsid w:val="005C09B2"/>
    <w:rsid w:val="005D6B38"/>
    <w:rsid w:val="005E65DC"/>
    <w:rsid w:val="005F27A1"/>
    <w:rsid w:val="0063792A"/>
    <w:rsid w:val="00662ED9"/>
    <w:rsid w:val="00667E6C"/>
    <w:rsid w:val="0069518C"/>
    <w:rsid w:val="00695D70"/>
    <w:rsid w:val="006968CB"/>
    <w:rsid w:val="006A0B73"/>
    <w:rsid w:val="006B613F"/>
    <w:rsid w:val="006C5902"/>
    <w:rsid w:val="006D4362"/>
    <w:rsid w:val="006F0007"/>
    <w:rsid w:val="006F595D"/>
    <w:rsid w:val="006F6EE6"/>
    <w:rsid w:val="0071074D"/>
    <w:rsid w:val="00711797"/>
    <w:rsid w:val="00713AEE"/>
    <w:rsid w:val="0078519C"/>
    <w:rsid w:val="00785EED"/>
    <w:rsid w:val="00792BCE"/>
    <w:rsid w:val="007C490B"/>
    <w:rsid w:val="007E08F7"/>
    <w:rsid w:val="00821E02"/>
    <w:rsid w:val="008230AE"/>
    <w:rsid w:val="00831944"/>
    <w:rsid w:val="00853B39"/>
    <w:rsid w:val="008548AB"/>
    <w:rsid w:val="00894880"/>
    <w:rsid w:val="008A0516"/>
    <w:rsid w:val="008A4B40"/>
    <w:rsid w:val="008B71E5"/>
    <w:rsid w:val="008C174F"/>
    <w:rsid w:val="008D1D3C"/>
    <w:rsid w:val="008E574F"/>
    <w:rsid w:val="0090040F"/>
    <w:rsid w:val="00947CBB"/>
    <w:rsid w:val="00967AE8"/>
    <w:rsid w:val="00990557"/>
    <w:rsid w:val="00996AB8"/>
    <w:rsid w:val="009A3546"/>
    <w:rsid w:val="009C3A3D"/>
    <w:rsid w:val="009D0885"/>
    <w:rsid w:val="009D7A81"/>
    <w:rsid w:val="009E6CE1"/>
    <w:rsid w:val="009F7294"/>
    <w:rsid w:val="00A2093B"/>
    <w:rsid w:val="00A4250E"/>
    <w:rsid w:val="00A5078E"/>
    <w:rsid w:val="00A55267"/>
    <w:rsid w:val="00A60265"/>
    <w:rsid w:val="00A700E9"/>
    <w:rsid w:val="00A716D1"/>
    <w:rsid w:val="00A71B20"/>
    <w:rsid w:val="00AA232D"/>
    <w:rsid w:val="00AB549D"/>
    <w:rsid w:val="00AC5067"/>
    <w:rsid w:val="00AD18FA"/>
    <w:rsid w:val="00AE0D75"/>
    <w:rsid w:val="00AE3334"/>
    <w:rsid w:val="00B27385"/>
    <w:rsid w:val="00B429DF"/>
    <w:rsid w:val="00B44E3A"/>
    <w:rsid w:val="00B51CDD"/>
    <w:rsid w:val="00B668E7"/>
    <w:rsid w:val="00B875DD"/>
    <w:rsid w:val="00B961B8"/>
    <w:rsid w:val="00BA1EF6"/>
    <w:rsid w:val="00BD0523"/>
    <w:rsid w:val="00BE3726"/>
    <w:rsid w:val="00BF20AE"/>
    <w:rsid w:val="00BF4DE0"/>
    <w:rsid w:val="00C16200"/>
    <w:rsid w:val="00C51EE0"/>
    <w:rsid w:val="00C6338E"/>
    <w:rsid w:val="00C751B5"/>
    <w:rsid w:val="00C77E34"/>
    <w:rsid w:val="00C8067B"/>
    <w:rsid w:val="00C90A4B"/>
    <w:rsid w:val="00C94F2C"/>
    <w:rsid w:val="00C953C8"/>
    <w:rsid w:val="00CA78CE"/>
    <w:rsid w:val="00CC5B4D"/>
    <w:rsid w:val="00CD478E"/>
    <w:rsid w:val="00CE2F07"/>
    <w:rsid w:val="00CE3904"/>
    <w:rsid w:val="00CF4CD5"/>
    <w:rsid w:val="00D04A3A"/>
    <w:rsid w:val="00D07E7D"/>
    <w:rsid w:val="00D20652"/>
    <w:rsid w:val="00D76BA1"/>
    <w:rsid w:val="00D86A05"/>
    <w:rsid w:val="00D913B6"/>
    <w:rsid w:val="00D9536A"/>
    <w:rsid w:val="00DA2AB7"/>
    <w:rsid w:val="00DA2C18"/>
    <w:rsid w:val="00DA65FC"/>
    <w:rsid w:val="00DC174C"/>
    <w:rsid w:val="00DC7716"/>
    <w:rsid w:val="00DD6E4F"/>
    <w:rsid w:val="00DE703A"/>
    <w:rsid w:val="00E01204"/>
    <w:rsid w:val="00E01309"/>
    <w:rsid w:val="00E033C2"/>
    <w:rsid w:val="00E3236C"/>
    <w:rsid w:val="00E3238D"/>
    <w:rsid w:val="00E52ACB"/>
    <w:rsid w:val="00E72C89"/>
    <w:rsid w:val="00E82D77"/>
    <w:rsid w:val="00E8655B"/>
    <w:rsid w:val="00E9155B"/>
    <w:rsid w:val="00EB549C"/>
    <w:rsid w:val="00F119E7"/>
    <w:rsid w:val="00F11B7F"/>
    <w:rsid w:val="00F1638B"/>
    <w:rsid w:val="00F623F3"/>
    <w:rsid w:val="00F76189"/>
    <w:rsid w:val="00F775D6"/>
    <w:rsid w:val="00FA7FDE"/>
    <w:rsid w:val="00FB587A"/>
    <w:rsid w:val="00FE464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7344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3"/>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695D70"/>
    <w:rPr>
      <w:color w:val="808080"/>
    </w:rPr>
  </w:style>
  <w:style w:type="paragraph" w:styleId="Subtitle">
    <w:name w:val="Subtitle"/>
    <w:basedOn w:val="Normal"/>
    <w:next w:val="Normal"/>
    <w:link w:val="SubtitleChar"/>
    <w:uiPriority w:val="11"/>
    <w:qFormat/>
    <w:rsid w:val="00E01204"/>
    <w:pPr>
      <w:numPr>
        <w:ilvl w:val="1"/>
      </w:numPr>
    </w:pPr>
    <w:rPr>
      <w:rFonts w:asciiTheme="majorHAnsi" w:eastAsiaTheme="majorEastAsia" w:hAnsiTheme="majorHAnsi" w:cstheme="majorBidi"/>
      <w:i/>
      <w:iCs/>
      <w:color w:val="0072C6" w:themeColor="accent1"/>
      <w:spacing w:val="15"/>
      <w:szCs w:val="24"/>
    </w:rPr>
  </w:style>
  <w:style w:type="character" w:customStyle="1" w:styleId="SubtitleChar">
    <w:name w:val="Subtitle Char"/>
    <w:basedOn w:val="DefaultParagraphFont"/>
    <w:link w:val="Subtitle"/>
    <w:uiPriority w:val="11"/>
    <w:rsid w:val="00E01204"/>
    <w:rPr>
      <w:rFonts w:asciiTheme="majorHAnsi" w:eastAsiaTheme="majorEastAsia" w:hAnsiTheme="majorHAnsi" w:cstheme="majorBidi"/>
      <w:bCs/>
      <w:i/>
      <w:iCs/>
      <w:color w:val="0072C6" w:themeColor="accent1"/>
      <w:spacing w:val="1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basedOn w:val="Normal"/>
    <w:next w:val="Normal"/>
    <w:link w:val="Heading1Char"/>
    <w:uiPriority w:val="9"/>
    <w:qFormat/>
    <w:rsid w:val="00A716D1"/>
    <w:pPr>
      <w:numPr>
        <w:numId w:val="3"/>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3"/>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3"/>
      </w:numPr>
      <w:spacing w:line="360" w:lineRule="auto"/>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3"/>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3"/>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3"/>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695D70"/>
    <w:rPr>
      <w:color w:val="808080"/>
    </w:rPr>
  </w:style>
  <w:style w:type="paragraph" w:styleId="Subtitle">
    <w:name w:val="Subtitle"/>
    <w:basedOn w:val="Normal"/>
    <w:next w:val="Normal"/>
    <w:link w:val="SubtitleChar"/>
    <w:uiPriority w:val="11"/>
    <w:qFormat/>
    <w:rsid w:val="00E01204"/>
    <w:pPr>
      <w:numPr>
        <w:ilvl w:val="1"/>
      </w:numPr>
    </w:pPr>
    <w:rPr>
      <w:rFonts w:asciiTheme="majorHAnsi" w:eastAsiaTheme="majorEastAsia" w:hAnsiTheme="majorHAnsi" w:cstheme="majorBidi"/>
      <w:i/>
      <w:iCs/>
      <w:color w:val="0072C6" w:themeColor="accent1"/>
      <w:spacing w:val="15"/>
      <w:szCs w:val="24"/>
    </w:rPr>
  </w:style>
  <w:style w:type="character" w:customStyle="1" w:styleId="SubtitleChar">
    <w:name w:val="Subtitle Char"/>
    <w:basedOn w:val="DefaultParagraphFont"/>
    <w:link w:val="Subtitle"/>
    <w:uiPriority w:val="11"/>
    <w:rsid w:val="00E01204"/>
    <w:rPr>
      <w:rFonts w:asciiTheme="majorHAnsi" w:eastAsiaTheme="majorEastAsia" w:hAnsiTheme="majorHAnsi" w:cstheme="majorBidi"/>
      <w:bCs/>
      <w:i/>
      <w:iCs/>
      <w:color w:val="0072C6" w:themeColor="accent1"/>
      <w:spacing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63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www.gov.uk/government/publications/the-good-practice-guidelines-for-gp-electronic-patient-records-version-4-201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ystems.hscic.gov.uk/gpsoc"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ystems.hscic.gov.uk/gps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england.nhs.uk/ourwork/tsd/sst/it-pc/)"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england.nhs.uk/ourwork/tsd/sst/it-p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systems.hscic.gov.uk/gpsoc"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CA"/>
    <w:rsid w:val="00B52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521C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521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K57F673QWXRZ-1374-130</_dlc_DocId>
    <_dlc_DocIdUrl xmlns="cccaf3ac-2de9-44d4-aa31-54302fceb5f7">
      <Url>https://nhsengland.sharepoint.com/TeamCentre/VisionandValues/_layouts/15/DocIdRedir.aspx?ID=K57F673QWXRZ-1374-130</Url>
      <Description>K57F673QWXRZ-1374-130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2" ma:contentTypeDescription="Create a new document." ma:contentTypeScope="" ma:versionID="8cd6abf06a585dbec0a9774a2eedb002">
  <xsd:schema xmlns:xsd="http://www.w3.org/2001/XMLSchema" xmlns:xs="http://www.w3.org/2001/XMLSchema" xmlns:p="http://schemas.microsoft.com/office/2006/metadata/properties" xmlns:ns2="cccaf3ac-2de9-44d4-aa31-54302fceb5f7" xmlns:ns3="11cf67b4-8be8-4203-926d-b1451d6a3644" targetNamespace="http://schemas.microsoft.com/office/2006/metadata/properties" ma:root="true" ma:fieldsID="4bd47732f3729956df668e3793f57a8c" ns2:_="" ns3:_="">
    <xsd:import namespace="cccaf3ac-2de9-44d4-aa31-54302fceb5f7"/>
    <xsd:import namespace="11cf67b4-8be8-4203-926d-b1451d6a36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1CC75-53C5-4DD1-A551-3B72BDC96556}">
  <ds:schemaRefs>
    <ds:schemaRef ds:uri="http://schemas.microsoft.com/sharepoint/v3/contenttype/forms"/>
  </ds:schemaRefs>
</ds:datastoreItem>
</file>

<file path=customXml/itemProps2.xml><?xml version="1.0" encoding="utf-8"?>
<ds:datastoreItem xmlns:ds="http://schemas.openxmlformats.org/officeDocument/2006/customXml" ds:itemID="{E82D1951-1B75-4392-817E-C01D2878B2C1}">
  <ds:schemaRefs>
    <ds:schemaRef ds:uri="http://schemas.microsoft.com/office/infopath/2007/PartnerControls"/>
    <ds:schemaRef ds:uri="http://purl.org/dc/dcmitype/"/>
    <ds:schemaRef ds:uri="http://schemas.microsoft.com/office/2006/documentManagement/types"/>
    <ds:schemaRef ds:uri="http://purl.org/dc/terms/"/>
    <ds:schemaRef ds:uri="11cf67b4-8be8-4203-926d-b1451d6a3644"/>
    <ds:schemaRef ds:uri="http://www.w3.org/XML/1998/namespace"/>
    <ds:schemaRef ds:uri="http://purl.org/dc/elements/1.1/"/>
    <ds:schemaRef ds:uri="http://schemas.openxmlformats.org/package/2006/metadata/core-properties"/>
    <ds:schemaRef ds:uri="cccaf3ac-2de9-44d4-aa31-54302fceb5f7"/>
    <ds:schemaRef ds:uri="http://schemas.microsoft.com/office/2006/metadata/properties"/>
  </ds:schemaRefs>
</ds:datastoreItem>
</file>

<file path=customXml/itemProps3.xml><?xml version="1.0" encoding="utf-8"?>
<ds:datastoreItem xmlns:ds="http://schemas.openxmlformats.org/officeDocument/2006/customXml" ds:itemID="{B9404F3D-9859-46F4-BAD2-F049C7695C5A}">
  <ds:schemaRefs>
    <ds:schemaRef ds:uri="http://schemas.microsoft.com/sharepoint/events"/>
  </ds:schemaRefs>
</ds:datastoreItem>
</file>

<file path=customXml/itemProps4.xml><?xml version="1.0" encoding="utf-8"?>
<ds:datastoreItem xmlns:ds="http://schemas.openxmlformats.org/officeDocument/2006/customXml" ds:itemID="{FE592042-56FE-486C-BA14-11B186C45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11cf67b4-8be8-4203-926d-b1451d6a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CAB9CE-1308-4088-BDA4-5F154197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10</TotalTime>
  <Pages>33</Pages>
  <Words>6512</Words>
  <Characters>37122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NHS England policy template 3 - no photo on cover</vt:lpstr>
    </vt:vector>
  </TitlesOfParts>
  <Company>Smith &amp; Milton</Company>
  <LinksUpToDate>false</LinksUpToDate>
  <CharactersWithSpaces>43547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policy template 3 - no photo on cover</dc:title>
  <dc:creator>Sarah Hunter</dc:creator>
  <cp:lastModifiedBy>Vincent, Chris</cp:lastModifiedBy>
  <cp:revision>6</cp:revision>
  <cp:lastPrinted>2015-03-25T15:18:00Z</cp:lastPrinted>
  <dcterms:created xsi:type="dcterms:W3CDTF">2015-03-25T15:10:00Z</dcterms:created>
  <dcterms:modified xsi:type="dcterms:W3CDTF">2015-03-25T15:19:00Z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d1577a7a-7ab1-4818-b2a2-7495ff99b5ce</vt:lpwstr>
  </property>
</Properties>
</file>