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44" w:rsidRDefault="004906B1" w:rsidP="004906B1">
      <w:pPr>
        <w:spacing w:after="0"/>
        <w:ind w:left="7200" w:firstLine="720"/>
        <w:rPr>
          <w:b/>
          <w:sz w:val="28"/>
          <w:szCs w:val="28"/>
        </w:rPr>
      </w:pPr>
      <w:r>
        <w:rPr>
          <w:b/>
          <w:noProof/>
          <w:sz w:val="28"/>
          <w:szCs w:val="28"/>
          <w:lang w:eastAsia="en-GB"/>
        </w:rPr>
        <w:drawing>
          <wp:inline distT="0" distB="0" distL="0" distR="0" wp14:anchorId="4CFCA4F5">
            <wp:extent cx="116459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920750"/>
                    </a:xfrm>
                    <a:prstGeom prst="rect">
                      <a:avLst/>
                    </a:prstGeom>
                    <a:noFill/>
                  </pic:spPr>
                </pic:pic>
              </a:graphicData>
            </a:graphic>
          </wp:inline>
        </w:drawing>
      </w:r>
    </w:p>
    <w:p w:rsidR="00F73FC3" w:rsidRDefault="00F73FC3" w:rsidP="00E25F56">
      <w:pPr>
        <w:spacing w:after="0"/>
        <w:jc w:val="center"/>
        <w:rPr>
          <w:b/>
          <w:sz w:val="28"/>
          <w:szCs w:val="28"/>
        </w:rPr>
      </w:pPr>
      <w:r w:rsidRPr="00535CAA">
        <w:rPr>
          <w:b/>
          <w:sz w:val="28"/>
          <w:szCs w:val="28"/>
        </w:rPr>
        <w:t>CQRS FAQ</w:t>
      </w:r>
      <w:r>
        <w:rPr>
          <w:b/>
          <w:sz w:val="28"/>
          <w:szCs w:val="28"/>
        </w:rPr>
        <w:t>s</w:t>
      </w:r>
      <w:r w:rsidRPr="00535CAA">
        <w:rPr>
          <w:b/>
          <w:sz w:val="28"/>
          <w:szCs w:val="28"/>
        </w:rPr>
        <w:t xml:space="preserve"> for </w:t>
      </w:r>
      <w:r>
        <w:rPr>
          <w:b/>
          <w:sz w:val="28"/>
          <w:szCs w:val="28"/>
        </w:rPr>
        <w:t xml:space="preserve">Section 7A </w:t>
      </w:r>
      <w:r w:rsidRPr="00535CAA">
        <w:rPr>
          <w:b/>
          <w:sz w:val="28"/>
          <w:szCs w:val="28"/>
        </w:rPr>
        <w:t>Public Health Enhanced Services</w:t>
      </w:r>
    </w:p>
    <w:p w:rsidR="006E5376" w:rsidRDefault="006E5376" w:rsidP="00E25F56">
      <w:pPr>
        <w:spacing w:after="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3FC3" w:rsidTr="006F56F4">
        <w:tc>
          <w:tcPr>
            <w:tcW w:w="9242" w:type="dxa"/>
            <w:shd w:val="clear" w:color="auto" w:fill="D9D9D9" w:themeFill="background1" w:themeFillShade="D9"/>
          </w:tcPr>
          <w:p w:rsidR="00F73FC3" w:rsidRPr="004F6FE1" w:rsidRDefault="004021E9" w:rsidP="00325B14">
            <w:pPr>
              <w:spacing w:after="0"/>
              <w:rPr>
                <w:b/>
                <w:sz w:val="24"/>
                <w:szCs w:val="24"/>
              </w:rPr>
            </w:pPr>
            <w:r>
              <w:rPr>
                <w:b/>
                <w:sz w:val="24"/>
                <w:szCs w:val="24"/>
              </w:rPr>
              <w:t>Why can’t I see the services on CQRS?</w:t>
            </w:r>
          </w:p>
        </w:tc>
      </w:tr>
      <w:tr w:rsidR="00F73FC3" w:rsidTr="00243439">
        <w:tc>
          <w:tcPr>
            <w:tcW w:w="9242" w:type="dxa"/>
            <w:shd w:val="clear" w:color="auto" w:fill="auto"/>
          </w:tcPr>
          <w:p w:rsidR="00F73FC3" w:rsidRPr="00D86244" w:rsidRDefault="004021E9" w:rsidP="0063537F">
            <w:pPr>
              <w:rPr>
                <w:color w:val="0000FF"/>
                <w:u w:val="single"/>
              </w:rPr>
            </w:pPr>
            <w:r w:rsidRPr="0063537F">
              <w:t xml:space="preserve">Once services are available Nationally, we will offer them out to practices </w:t>
            </w:r>
            <w:r w:rsidR="00D86244">
              <w:t>via CQRS</w:t>
            </w:r>
            <w:r w:rsidRPr="0063537F">
              <w:t>.  Therefore, prior to contacting us with an issue, please c</w:t>
            </w:r>
            <w:r w:rsidR="00F73FC3" w:rsidRPr="0063537F">
              <w:t xml:space="preserve">heck you have </w:t>
            </w:r>
            <w:r w:rsidR="00D86244">
              <w:t>accepted the offer that was sent</w:t>
            </w:r>
            <w:r w:rsidR="00B11D46" w:rsidRPr="00D35860">
              <w:rPr>
                <w:rStyle w:val="Hyperlink"/>
                <w:color w:val="000000" w:themeColor="text1"/>
                <w:u w:val="none"/>
              </w:rPr>
              <w:t>.</w:t>
            </w:r>
          </w:p>
        </w:tc>
      </w:tr>
      <w:tr w:rsidR="00F73FC3" w:rsidTr="006F56F4">
        <w:tc>
          <w:tcPr>
            <w:tcW w:w="9242" w:type="dxa"/>
            <w:shd w:val="clear" w:color="auto" w:fill="D9D9D9" w:themeFill="background1" w:themeFillShade="D9"/>
          </w:tcPr>
          <w:p w:rsidR="00F73FC3" w:rsidRPr="004F6FE1" w:rsidRDefault="00F73FC3" w:rsidP="00325B14">
            <w:pPr>
              <w:spacing w:after="0"/>
              <w:rPr>
                <w:b/>
                <w:sz w:val="24"/>
                <w:szCs w:val="24"/>
              </w:rPr>
            </w:pPr>
            <w:r w:rsidRPr="004F6FE1">
              <w:rPr>
                <w:b/>
                <w:sz w:val="24"/>
                <w:szCs w:val="24"/>
              </w:rPr>
              <w:t>Can I claim for v</w:t>
            </w:r>
            <w:r w:rsidR="00C34F60">
              <w:rPr>
                <w:b/>
                <w:sz w:val="24"/>
                <w:szCs w:val="24"/>
              </w:rPr>
              <w:t>accinations cumulatively (i.e. quarterly</w:t>
            </w:r>
            <w:r w:rsidRPr="004F6FE1">
              <w:rPr>
                <w:b/>
                <w:sz w:val="24"/>
                <w:szCs w:val="24"/>
              </w:rPr>
              <w:t>)</w:t>
            </w:r>
            <w:r w:rsidR="00D35860" w:rsidRPr="0045766E">
              <w:rPr>
                <w:b/>
                <w:sz w:val="24"/>
                <w:szCs w:val="24"/>
              </w:rPr>
              <w:t>?</w:t>
            </w:r>
          </w:p>
        </w:tc>
      </w:tr>
      <w:tr w:rsidR="00F73FC3" w:rsidTr="00243439">
        <w:tc>
          <w:tcPr>
            <w:tcW w:w="9242" w:type="dxa"/>
            <w:shd w:val="clear" w:color="auto" w:fill="auto"/>
          </w:tcPr>
          <w:p w:rsidR="00F73FC3" w:rsidRPr="0063537F" w:rsidRDefault="00BD2158" w:rsidP="00243439">
            <w:r w:rsidRPr="0063537F">
              <w:rPr>
                <w:b/>
                <w:u w:val="single"/>
              </w:rPr>
              <w:t>NO</w:t>
            </w:r>
            <w:r w:rsidR="00C34F60" w:rsidRPr="0063537F">
              <w:rPr>
                <w:b/>
                <w:u w:val="single"/>
              </w:rPr>
              <w:t>,</w:t>
            </w:r>
            <w:r w:rsidR="00F73FC3" w:rsidRPr="0063537F">
              <w:t xml:space="preserve"> </w:t>
            </w:r>
            <w:r w:rsidR="00C34F60" w:rsidRPr="0063537F">
              <w:t>Public Health claims should be made as identified within the Service Specifications on a monthly basis via CQRS for all</w:t>
            </w:r>
            <w:r w:rsidR="00F73FC3" w:rsidRPr="0063537F">
              <w:t xml:space="preserve"> repo</w:t>
            </w:r>
            <w:r w:rsidR="00C34F60" w:rsidRPr="0063537F">
              <w:t xml:space="preserve">rting and data collection achievements. </w:t>
            </w:r>
          </w:p>
          <w:p w:rsidR="000D7CD9" w:rsidRPr="00D35860" w:rsidRDefault="000D7CD9" w:rsidP="00D400D1">
            <w:pPr>
              <w:rPr>
                <w:color w:val="FF0000"/>
                <w:sz w:val="24"/>
                <w:szCs w:val="24"/>
              </w:rPr>
            </w:pPr>
            <w:r w:rsidRPr="0063537F">
              <w:t xml:space="preserve">Any declarations which appear to be cumulative will be </w:t>
            </w:r>
            <w:r w:rsidR="00D400D1" w:rsidRPr="0063537F">
              <w:t>reverted back to the practice with a note attached asking for the figures to be reviewed and will only be approved once</w:t>
            </w:r>
            <w:r w:rsidRPr="0063537F">
              <w:t xml:space="preserve"> the pr</w:t>
            </w:r>
            <w:r w:rsidR="00C34F60" w:rsidRPr="0063537F">
              <w:t>actice can evidence the figures within the reporting month are accurate.</w:t>
            </w:r>
            <w:r w:rsidR="00C34F60">
              <w:rPr>
                <w:sz w:val="24"/>
                <w:szCs w:val="24"/>
              </w:rPr>
              <w:t xml:space="preserve"> </w:t>
            </w:r>
            <w:r w:rsidR="00D35860" w:rsidRPr="0045766E">
              <w:t>Evidence is deemed as a screenshot of your clinical system for the vaccinations in question, in addition to the completion of the reconciliation claim form that we send out to you in response to your reconciliation claim.</w:t>
            </w:r>
          </w:p>
        </w:tc>
      </w:tr>
      <w:tr w:rsidR="00350DD9" w:rsidTr="00350DD9">
        <w:tc>
          <w:tcPr>
            <w:tcW w:w="9242" w:type="dxa"/>
            <w:shd w:val="clear" w:color="auto" w:fill="D9D9D9" w:themeFill="background1" w:themeFillShade="D9"/>
          </w:tcPr>
          <w:p w:rsidR="00350DD9" w:rsidRPr="00D35860" w:rsidRDefault="00350DD9" w:rsidP="00325B14">
            <w:pPr>
              <w:spacing w:after="0"/>
              <w:rPr>
                <w:b/>
                <w:color w:val="FF0000"/>
                <w:sz w:val="24"/>
                <w:szCs w:val="24"/>
              </w:rPr>
            </w:pPr>
            <w:r w:rsidRPr="00350DD9">
              <w:rPr>
                <w:b/>
                <w:sz w:val="24"/>
                <w:szCs w:val="24"/>
              </w:rPr>
              <w:t>Why is</w:t>
            </w:r>
            <w:r>
              <w:rPr>
                <w:b/>
                <w:sz w:val="24"/>
                <w:szCs w:val="24"/>
              </w:rPr>
              <w:t xml:space="preserve"> </w:t>
            </w:r>
            <w:r w:rsidR="000936EF">
              <w:rPr>
                <w:b/>
                <w:sz w:val="24"/>
                <w:szCs w:val="24"/>
              </w:rPr>
              <w:t xml:space="preserve">the </w:t>
            </w:r>
            <w:r>
              <w:rPr>
                <w:b/>
                <w:sz w:val="24"/>
                <w:szCs w:val="24"/>
              </w:rPr>
              <w:t>payment for</w:t>
            </w:r>
            <w:r w:rsidRPr="00350DD9">
              <w:rPr>
                <w:b/>
                <w:sz w:val="24"/>
                <w:szCs w:val="24"/>
              </w:rPr>
              <w:t xml:space="preserve"> PCV</w:t>
            </w:r>
            <w:r>
              <w:rPr>
                <w:b/>
                <w:sz w:val="24"/>
                <w:szCs w:val="24"/>
              </w:rPr>
              <w:t xml:space="preserve"> </w:t>
            </w:r>
            <w:r w:rsidRPr="00350DD9">
              <w:rPr>
                <w:b/>
                <w:sz w:val="24"/>
                <w:szCs w:val="24"/>
              </w:rPr>
              <w:t xml:space="preserve">Hib/Men C </w:t>
            </w:r>
            <w:r>
              <w:rPr>
                <w:b/>
                <w:sz w:val="24"/>
                <w:szCs w:val="24"/>
              </w:rPr>
              <w:t>now</w:t>
            </w:r>
            <w:r w:rsidR="000936EF">
              <w:rPr>
                <w:b/>
                <w:sz w:val="24"/>
                <w:szCs w:val="24"/>
              </w:rPr>
              <w:t xml:space="preserve"> made</w:t>
            </w:r>
            <w:r>
              <w:rPr>
                <w:b/>
                <w:sz w:val="24"/>
                <w:szCs w:val="24"/>
              </w:rPr>
              <w:t xml:space="preserve"> via CQRS</w:t>
            </w:r>
            <w:r w:rsidR="00D35860" w:rsidRPr="0045766E">
              <w:rPr>
                <w:b/>
                <w:sz w:val="24"/>
                <w:szCs w:val="24"/>
              </w:rPr>
              <w:t>?</w:t>
            </w:r>
          </w:p>
        </w:tc>
      </w:tr>
      <w:tr w:rsidR="00350DD9" w:rsidTr="00350DD9">
        <w:tc>
          <w:tcPr>
            <w:tcW w:w="9242" w:type="dxa"/>
            <w:shd w:val="clear" w:color="auto" w:fill="FFFFFF" w:themeFill="background1"/>
          </w:tcPr>
          <w:p w:rsidR="00350DD9" w:rsidRPr="0063537F" w:rsidRDefault="000936EF" w:rsidP="00D35860">
            <w:r w:rsidRPr="0063537F">
              <w:t>This was added as an alternative pay</w:t>
            </w:r>
            <w:r w:rsidR="00EF10C7">
              <w:t>ment route for practices as it is</w:t>
            </w:r>
            <w:r w:rsidRPr="0063537F">
              <w:t xml:space="preserve"> considered an easier option to enter data on </w:t>
            </w:r>
            <w:r w:rsidR="00D86244">
              <w:t xml:space="preserve">a </w:t>
            </w:r>
            <w:r w:rsidRPr="0063537F">
              <w:t xml:space="preserve">quarterly basis rather than </w:t>
            </w:r>
            <w:r w:rsidR="0019775A" w:rsidRPr="0063537F">
              <w:t xml:space="preserve">various </w:t>
            </w:r>
            <w:r w:rsidR="0019775A">
              <w:t>Regions</w:t>
            </w:r>
            <w:r w:rsidRPr="0063537F">
              <w:t xml:space="preserve"> </w:t>
            </w:r>
            <w:r w:rsidR="00D35860" w:rsidRPr="0045766E">
              <w:t>using</w:t>
            </w:r>
            <w:r w:rsidRPr="00D35860">
              <w:rPr>
                <w:color w:val="FF0000"/>
              </w:rPr>
              <w:t xml:space="preserve"> </w:t>
            </w:r>
            <w:r w:rsidRPr="0063537F">
              <w:t xml:space="preserve">different payment </w:t>
            </w:r>
            <w:r w:rsidR="005F2209" w:rsidRPr="0063537F">
              <w:t>mechanisms</w:t>
            </w:r>
            <w:r w:rsidRPr="0063537F">
              <w:t>.</w:t>
            </w:r>
          </w:p>
        </w:tc>
      </w:tr>
      <w:tr w:rsidR="00F73FC3" w:rsidTr="006F56F4">
        <w:tc>
          <w:tcPr>
            <w:tcW w:w="9242" w:type="dxa"/>
            <w:shd w:val="clear" w:color="auto" w:fill="D9D9D9" w:themeFill="background1" w:themeFillShade="D9"/>
          </w:tcPr>
          <w:p w:rsidR="00F73FC3" w:rsidRPr="004F6FE1" w:rsidRDefault="0063537F" w:rsidP="00325B14">
            <w:pPr>
              <w:spacing w:after="0"/>
              <w:rPr>
                <w:b/>
                <w:sz w:val="24"/>
                <w:szCs w:val="24"/>
              </w:rPr>
            </w:pPr>
            <w:r>
              <w:rPr>
                <w:b/>
                <w:sz w:val="24"/>
                <w:szCs w:val="24"/>
              </w:rPr>
              <w:t>Services which require a manual entry</w:t>
            </w:r>
          </w:p>
        </w:tc>
      </w:tr>
      <w:tr w:rsidR="00F73FC3" w:rsidTr="00243439">
        <w:tc>
          <w:tcPr>
            <w:tcW w:w="9242" w:type="dxa"/>
            <w:shd w:val="clear" w:color="auto" w:fill="auto"/>
          </w:tcPr>
          <w:p w:rsidR="00F73FC3" w:rsidRPr="0045766E" w:rsidRDefault="0045766E" w:rsidP="00243439">
            <w:pPr>
              <w:jc w:val="both"/>
            </w:pPr>
            <w:r>
              <w:t>As of</w:t>
            </w:r>
            <w:r w:rsidR="00F73FC3" w:rsidRPr="0045766E">
              <w:t xml:space="preserve"> 1</w:t>
            </w:r>
            <w:r w:rsidR="005249FF" w:rsidRPr="0045766E">
              <w:rPr>
                <w:vertAlign w:val="superscript"/>
              </w:rPr>
              <w:t>st</w:t>
            </w:r>
            <w:r w:rsidR="005249FF" w:rsidRPr="0045766E">
              <w:t xml:space="preserve"> </w:t>
            </w:r>
            <w:r w:rsidR="00F73FC3" w:rsidRPr="0045766E">
              <w:t>April</w:t>
            </w:r>
            <w:r w:rsidR="00903B66" w:rsidRPr="0045766E">
              <w:t xml:space="preserve"> </w:t>
            </w:r>
            <w:r w:rsidR="00D35860" w:rsidRPr="0045766E">
              <w:t>20</w:t>
            </w:r>
            <w:r w:rsidR="00903B66" w:rsidRPr="0045766E">
              <w:t>16</w:t>
            </w:r>
            <w:r w:rsidR="00350DD9" w:rsidRPr="0045766E">
              <w:t xml:space="preserve"> it </w:t>
            </w:r>
            <w:r w:rsidR="00D35860" w:rsidRPr="0045766E">
              <w:t>is</w:t>
            </w:r>
            <w:r w:rsidR="00350DD9" w:rsidRPr="0045766E">
              <w:t xml:space="preserve"> no</w:t>
            </w:r>
            <w:r>
              <w:t xml:space="preserve"> longer</w:t>
            </w:r>
            <w:r w:rsidR="00F73FC3" w:rsidRPr="0045766E">
              <w:t xml:space="preserve"> possible to manually enter data for a month until that month ha</w:t>
            </w:r>
            <w:r>
              <w:t>s</w:t>
            </w:r>
            <w:r w:rsidR="00F73FC3" w:rsidRPr="0045766E">
              <w:t xml:space="preserve"> </w:t>
            </w:r>
            <w:r w:rsidR="00BD2158" w:rsidRPr="0045766E">
              <w:t>ende</w:t>
            </w:r>
            <w:r w:rsidR="00F73FC3" w:rsidRPr="0045766E">
              <w:t>d. This is to prevent GP practices incorrectly submitting data against fu</w:t>
            </w:r>
            <w:r w:rsidR="00EF10C7" w:rsidRPr="0045766E">
              <w:t xml:space="preserve">ture dates.  For example it is not </w:t>
            </w:r>
            <w:r w:rsidR="00F73FC3" w:rsidRPr="0045766E">
              <w:t>possible to en</w:t>
            </w:r>
            <w:r w:rsidR="005249FF" w:rsidRPr="0045766E">
              <w:t>ter data for March until the 1</w:t>
            </w:r>
            <w:r w:rsidR="005249FF" w:rsidRPr="0045766E">
              <w:rPr>
                <w:vertAlign w:val="superscript"/>
              </w:rPr>
              <w:t>st</w:t>
            </w:r>
            <w:r w:rsidR="005249FF" w:rsidRPr="0045766E">
              <w:t xml:space="preserve"> </w:t>
            </w:r>
            <w:r w:rsidR="00F73FC3" w:rsidRPr="0045766E">
              <w:t>April.</w:t>
            </w:r>
          </w:p>
          <w:p w:rsidR="005F2209" w:rsidRPr="0063537F" w:rsidRDefault="005F2209" w:rsidP="00243439">
            <w:pPr>
              <w:jc w:val="both"/>
            </w:pPr>
            <w:r w:rsidRPr="0063537F">
              <w:t>For vaccinations &amp; immunisation services, CQRS will generate a task/message notification where manual entry is required for each achievement date. The notification to manually enter dat</w:t>
            </w:r>
            <w:r w:rsidR="005249FF">
              <w:t xml:space="preserve">a will appear in CQRS on </w:t>
            </w:r>
            <w:r w:rsidR="005249FF" w:rsidRPr="0045766E">
              <w:t>the 1</w:t>
            </w:r>
            <w:r w:rsidR="005249FF" w:rsidRPr="0045766E">
              <w:rPr>
                <w:vertAlign w:val="superscript"/>
              </w:rPr>
              <w:t>st</w:t>
            </w:r>
            <w:r w:rsidR="005249FF" w:rsidRPr="0045766E">
              <w:t xml:space="preserve"> </w:t>
            </w:r>
            <w:r w:rsidRPr="0045766E">
              <w:t xml:space="preserve">day of the </w:t>
            </w:r>
            <w:r w:rsidRPr="0063537F">
              <w:t xml:space="preserve">month, relating to the previous month’s data. For example the notification to enter May data for the MMR vaccination programme, will </w:t>
            </w:r>
            <w:r w:rsidRPr="0045766E">
              <w:t>appear on the 1</w:t>
            </w:r>
            <w:r w:rsidR="005249FF" w:rsidRPr="0045766E">
              <w:rPr>
                <w:vertAlign w:val="superscript"/>
              </w:rPr>
              <w:t>st</w:t>
            </w:r>
            <w:r w:rsidR="005249FF" w:rsidRPr="0045766E">
              <w:t xml:space="preserve"> </w:t>
            </w:r>
            <w:r w:rsidRPr="0045766E">
              <w:t>June.</w:t>
            </w:r>
          </w:p>
          <w:p w:rsidR="007C3E25" w:rsidRDefault="0063537F" w:rsidP="0063537F">
            <w:pPr>
              <w:jc w:val="both"/>
            </w:pPr>
            <w:r w:rsidRPr="0063537F">
              <w:t>If there is an error in the data entered, providing the achievement has not been declared,</w:t>
            </w:r>
            <w:r w:rsidRPr="0063537F">
              <w:rPr>
                <w:b/>
              </w:rPr>
              <w:t xml:space="preserve"> </w:t>
            </w:r>
            <w:r w:rsidRPr="0063537F">
              <w:t>practice</w:t>
            </w:r>
            <w:r w:rsidR="00EF10C7">
              <w:t>s are able to amend the figures at this point.</w:t>
            </w:r>
          </w:p>
          <w:p w:rsidR="00335E21" w:rsidRPr="006B184C" w:rsidRDefault="00335E21" w:rsidP="0045766E">
            <w:pPr>
              <w:jc w:val="both"/>
            </w:pPr>
            <w:r>
              <w:t xml:space="preserve">For practices that are not set up for automatic extraction, data cannot be added to a regime until the automatic extraction has completed.  Once the automatic extraction has completed a task/message notification will be </w:t>
            </w:r>
            <w:r w:rsidRPr="0045766E">
              <w:t xml:space="preserve">sent </w:t>
            </w:r>
            <w:r w:rsidR="005249FF" w:rsidRPr="0045766E">
              <w:t>highlighting</w:t>
            </w:r>
            <w:r w:rsidRPr="0045766E">
              <w:t xml:space="preserve"> that the </w:t>
            </w:r>
            <w:r>
              <w:t>manual entry is required.</w:t>
            </w:r>
          </w:p>
        </w:tc>
      </w:tr>
      <w:tr w:rsidR="00EB7BBC" w:rsidTr="00EB7BBC">
        <w:tc>
          <w:tcPr>
            <w:tcW w:w="9242" w:type="dxa"/>
            <w:shd w:val="clear" w:color="auto" w:fill="D9D9D9" w:themeFill="background1" w:themeFillShade="D9"/>
          </w:tcPr>
          <w:p w:rsidR="00EB7BBC" w:rsidRPr="00EB7BBC" w:rsidRDefault="00EB7BBC" w:rsidP="00325B14">
            <w:pPr>
              <w:spacing w:after="0"/>
              <w:jc w:val="both"/>
              <w:rPr>
                <w:b/>
                <w:sz w:val="24"/>
                <w:szCs w:val="24"/>
              </w:rPr>
            </w:pPr>
            <w:r w:rsidRPr="00EB7BBC">
              <w:rPr>
                <w:b/>
                <w:sz w:val="24"/>
                <w:szCs w:val="24"/>
              </w:rPr>
              <w:t>What should I do if there are no figures to declare within an achievement date?</w:t>
            </w:r>
          </w:p>
        </w:tc>
      </w:tr>
      <w:tr w:rsidR="00EB7BBC" w:rsidTr="00EB7BBC">
        <w:tc>
          <w:tcPr>
            <w:tcW w:w="9242" w:type="dxa"/>
            <w:shd w:val="clear" w:color="auto" w:fill="FFFFFF" w:themeFill="background1"/>
          </w:tcPr>
          <w:p w:rsidR="00EB7BBC" w:rsidRDefault="00EB7BBC" w:rsidP="006876F1">
            <w:pPr>
              <w:jc w:val="both"/>
            </w:pPr>
            <w:r w:rsidRPr="00EB7BBC">
              <w:t xml:space="preserve">Practices should </w:t>
            </w:r>
            <w:r w:rsidR="006876F1">
              <w:t xml:space="preserve">declare all </w:t>
            </w:r>
            <w:r w:rsidRPr="00EB7BBC">
              <w:t>achievement</w:t>
            </w:r>
            <w:r>
              <w:t xml:space="preserve"> dates, including a zero return for manual entries.</w:t>
            </w:r>
          </w:p>
          <w:p w:rsidR="004906B1" w:rsidRPr="00EB7BBC" w:rsidRDefault="004906B1" w:rsidP="006876F1">
            <w:pPr>
              <w:jc w:val="both"/>
            </w:pPr>
            <w:bookmarkStart w:id="0" w:name="_GoBack"/>
            <w:bookmarkEnd w:id="0"/>
          </w:p>
        </w:tc>
      </w:tr>
      <w:tr w:rsidR="0063537F" w:rsidTr="0063537F">
        <w:tc>
          <w:tcPr>
            <w:tcW w:w="9242" w:type="dxa"/>
            <w:shd w:val="clear" w:color="auto" w:fill="D9D9D9" w:themeFill="background1" w:themeFillShade="D9"/>
          </w:tcPr>
          <w:p w:rsidR="0063537F" w:rsidRPr="00AD3C58" w:rsidRDefault="0063537F" w:rsidP="00325B14">
            <w:pPr>
              <w:spacing w:after="0"/>
              <w:jc w:val="both"/>
              <w:rPr>
                <w:b/>
                <w:sz w:val="24"/>
                <w:szCs w:val="24"/>
              </w:rPr>
            </w:pPr>
            <w:r w:rsidRPr="00AD3C58">
              <w:rPr>
                <w:b/>
                <w:sz w:val="24"/>
                <w:szCs w:val="24"/>
              </w:rPr>
              <w:lastRenderedPageBreak/>
              <w:t>Services which have an automated extraction</w:t>
            </w:r>
          </w:p>
        </w:tc>
      </w:tr>
      <w:tr w:rsidR="0063537F" w:rsidTr="00243439">
        <w:tc>
          <w:tcPr>
            <w:tcW w:w="9242" w:type="dxa"/>
            <w:shd w:val="clear" w:color="auto" w:fill="auto"/>
          </w:tcPr>
          <w:p w:rsidR="0063537F" w:rsidRPr="00AD3C58" w:rsidRDefault="0063537F" w:rsidP="0063537F">
            <w:pPr>
              <w:jc w:val="both"/>
            </w:pPr>
            <w:r w:rsidRPr="00AD3C58">
              <w:t>If an automated collection was not received for a GP practice where an automated collection should have been received, a notification to manually enter data will appear the day after the automated extract was scheduled to complete. (If CQRS receives all the required data from the automated collection, manual entry will not be required and a notification will not be sent).</w:t>
            </w:r>
          </w:p>
          <w:p w:rsidR="0063537F" w:rsidRPr="00EF10C7" w:rsidRDefault="0063537F" w:rsidP="005249FF">
            <w:pPr>
              <w:jc w:val="both"/>
            </w:pPr>
            <w:r w:rsidRPr="00634084">
              <w:rPr>
                <w:b/>
              </w:rPr>
              <w:t>For example:</w:t>
            </w:r>
            <w:r w:rsidRPr="00AD3C58">
              <w:t xml:space="preserve"> the childhood seasonal influenza collection for October </w:t>
            </w:r>
            <w:r w:rsidRPr="0045766E">
              <w:t>completes on the 13</w:t>
            </w:r>
            <w:r w:rsidR="005249FF" w:rsidRPr="0045766E">
              <w:rPr>
                <w:vertAlign w:val="superscript"/>
              </w:rPr>
              <w:t>th</w:t>
            </w:r>
            <w:r w:rsidRPr="0045766E">
              <w:t xml:space="preserve"> November and practices A, B and C received data whilst GP practices D and E di</w:t>
            </w:r>
            <w:r w:rsidRPr="00AD3C58">
              <w:t xml:space="preserve">d not receive data. CQRS will notify practices D </w:t>
            </w:r>
            <w:r w:rsidRPr="0045766E">
              <w:t>and E on the 14</w:t>
            </w:r>
            <w:r w:rsidR="005249FF" w:rsidRPr="0045766E">
              <w:rPr>
                <w:vertAlign w:val="superscript"/>
              </w:rPr>
              <w:t>th</w:t>
            </w:r>
            <w:r w:rsidR="005249FF" w:rsidRPr="0045766E">
              <w:t xml:space="preserve"> </w:t>
            </w:r>
            <w:r w:rsidRPr="0045766E">
              <w:t xml:space="preserve">November </w:t>
            </w:r>
            <w:r w:rsidRPr="00AD3C58">
              <w:t>that they need to manually enter data. GP practices A, B and C will not receive a notification to manually enter data.</w:t>
            </w:r>
          </w:p>
        </w:tc>
      </w:tr>
      <w:tr w:rsidR="00EF10C7" w:rsidTr="0019775A">
        <w:tc>
          <w:tcPr>
            <w:tcW w:w="9242" w:type="dxa"/>
            <w:shd w:val="clear" w:color="auto" w:fill="D9D9D9" w:themeFill="background1" w:themeFillShade="D9"/>
          </w:tcPr>
          <w:p w:rsidR="00EF10C7" w:rsidRPr="00AD3C58" w:rsidRDefault="00EF10C7" w:rsidP="00325B14">
            <w:pPr>
              <w:spacing w:after="0"/>
              <w:jc w:val="both"/>
            </w:pPr>
            <w:r w:rsidRPr="004F6FE1">
              <w:rPr>
                <w:b/>
                <w:sz w:val="24"/>
                <w:szCs w:val="24"/>
              </w:rPr>
              <w:t>What do I do if an automated extraction</w:t>
            </w:r>
            <w:r>
              <w:rPr>
                <w:b/>
                <w:sz w:val="24"/>
                <w:szCs w:val="24"/>
              </w:rPr>
              <w:t xml:space="preserve"> has not run?</w:t>
            </w:r>
          </w:p>
        </w:tc>
      </w:tr>
      <w:tr w:rsidR="00EF10C7" w:rsidTr="00243439">
        <w:tc>
          <w:tcPr>
            <w:tcW w:w="9242" w:type="dxa"/>
            <w:shd w:val="clear" w:color="auto" w:fill="auto"/>
          </w:tcPr>
          <w:p w:rsidR="0019775A" w:rsidRPr="0019775A" w:rsidRDefault="0019775A" w:rsidP="0019775A">
            <w:pPr>
              <w:jc w:val="both"/>
            </w:pPr>
            <w:r w:rsidRPr="0019775A">
              <w:t>NHS Digital will notify NHS England of a failed extraction providing a date as to when and if a re</w:t>
            </w:r>
            <w:r w:rsidR="0045766E">
              <w:t>-</w:t>
            </w:r>
            <w:r w:rsidRPr="0019775A">
              <w:t>run will take place, we will then relay this message to practices. Practices are not expected to do anything at this stage unless notified by NHS England to do so.</w:t>
            </w:r>
          </w:p>
          <w:p w:rsidR="00EF10C7" w:rsidRPr="0019775A" w:rsidRDefault="0019775A" w:rsidP="0019775A">
            <w:pPr>
              <w:jc w:val="both"/>
              <w:rPr>
                <w:b/>
                <w:i/>
                <w:sz w:val="24"/>
                <w:szCs w:val="24"/>
              </w:rPr>
            </w:pPr>
            <w:r w:rsidRPr="0019775A">
              <w:rPr>
                <w:b/>
                <w:i/>
              </w:rPr>
              <w:t>If practices have declared their figures for the achievement date in question, we will not appro</w:t>
            </w:r>
            <w:r w:rsidR="005249FF">
              <w:rPr>
                <w:b/>
                <w:i/>
              </w:rPr>
              <w:t>ve until after the re</w:t>
            </w:r>
            <w:r w:rsidRPr="0019775A">
              <w:rPr>
                <w:b/>
                <w:i/>
              </w:rPr>
              <w:t>run is complete for all clinical system providers.</w:t>
            </w:r>
          </w:p>
        </w:tc>
      </w:tr>
      <w:tr w:rsidR="000A0C84" w:rsidTr="00EF10C7">
        <w:tc>
          <w:tcPr>
            <w:tcW w:w="9242" w:type="dxa"/>
            <w:shd w:val="clear" w:color="auto" w:fill="D9D9D9" w:themeFill="background1" w:themeFillShade="D9"/>
          </w:tcPr>
          <w:p w:rsidR="000A0C84" w:rsidRPr="00AD3C58" w:rsidRDefault="000A0C84" w:rsidP="00325B14">
            <w:pPr>
              <w:spacing w:after="0"/>
              <w:jc w:val="both"/>
            </w:pPr>
            <w:r w:rsidRPr="00A97BB6">
              <w:rPr>
                <w:b/>
                <w:sz w:val="24"/>
                <w:szCs w:val="24"/>
              </w:rPr>
              <w:t>What do I do if the extracted data is incorrect?</w:t>
            </w:r>
          </w:p>
        </w:tc>
      </w:tr>
      <w:tr w:rsidR="000A0C84" w:rsidTr="00243439">
        <w:tc>
          <w:tcPr>
            <w:tcW w:w="9242" w:type="dxa"/>
            <w:shd w:val="clear" w:color="auto" w:fill="auto"/>
          </w:tcPr>
          <w:p w:rsidR="000A0C84" w:rsidRPr="0019775A" w:rsidRDefault="000A0C84" w:rsidP="000A0C84">
            <w:pPr>
              <w:jc w:val="both"/>
            </w:pPr>
            <w:r w:rsidRPr="0019775A">
              <w:t xml:space="preserve">99% of incorrect achievements are due to the inaccurate </w:t>
            </w:r>
            <w:r w:rsidR="00F564F2">
              <w:t>Read Code</w:t>
            </w:r>
            <w:r w:rsidRPr="0019775A">
              <w:t>s being entered into GP clinical systems for extracted services.</w:t>
            </w:r>
            <w:r w:rsidR="007C3E25">
              <w:t xml:space="preserve">  Check the GMS Technical Guidelines to ensure that correct </w:t>
            </w:r>
            <w:r w:rsidR="00F564F2">
              <w:t>Read Code</w:t>
            </w:r>
            <w:r w:rsidR="007C3E25">
              <w:t>s are being used.</w:t>
            </w:r>
          </w:p>
          <w:p w:rsidR="006B184C" w:rsidRPr="007C3E25" w:rsidRDefault="000A0C84" w:rsidP="00335E21">
            <w:pPr>
              <w:jc w:val="both"/>
            </w:pPr>
            <w:r w:rsidRPr="0019775A">
              <w:t xml:space="preserve">If the figures are incorrect, </w:t>
            </w:r>
            <w:r w:rsidRPr="007C3E25">
              <w:rPr>
                <w:b/>
              </w:rPr>
              <w:t>do not</w:t>
            </w:r>
            <w:r w:rsidRPr="007C3E25">
              <w:t xml:space="preserve"> </w:t>
            </w:r>
            <w:r w:rsidRPr="0019775A">
              <w:t xml:space="preserve">declare achievements on CQRS as this can lead to inaccurate payments being financial approved by NHS England. </w:t>
            </w:r>
            <w:r w:rsidR="007C3E25">
              <w:t>T</w:t>
            </w:r>
            <w:r w:rsidRPr="0019775A">
              <w:t xml:space="preserve">he practice </w:t>
            </w:r>
            <w:r w:rsidR="007C3E25">
              <w:t xml:space="preserve">should </w:t>
            </w:r>
            <w:r w:rsidRPr="0019775A">
              <w:t xml:space="preserve">then complete </w:t>
            </w:r>
            <w:r w:rsidR="007C3E25">
              <w:t xml:space="preserve">a claim </w:t>
            </w:r>
            <w:r w:rsidRPr="0019775A">
              <w:t xml:space="preserve">form and send it to </w:t>
            </w:r>
            <w:hyperlink r:id="rId10" w:history="1">
              <w:r w:rsidR="00335E21" w:rsidRPr="007535DE">
                <w:rPr>
                  <w:rStyle w:val="Hyperlink"/>
                </w:rPr>
                <w:t>england.londonimms@nhs.net</w:t>
              </w:r>
            </w:hyperlink>
            <w:r w:rsidR="00335E21">
              <w:t xml:space="preserve"> </w:t>
            </w:r>
            <w:r w:rsidRPr="0019775A">
              <w:t>for an amendment to be made.</w:t>
            </w:r>
            <w:r w:rsidR="007C3E25">
              <w:t xml:space="preserve">  A screen shot from the clinical system will also need to be sent as evidence of the correct figures.</w:t>
            </w:r>
          </w:p>
        </w:tc>
      </w:tr>
      <w:tr w:rsidR="00A228D9" w:rsidTr="00470229">
        <w:tc>
          <w:tcPr>
            <w:tcW w:w="9242" w:type="dxa"/>
            <w:shd w:val="clear" w:color="auto" w:fill="BFBFBF" w:themeFill="background1" w:themeFillShade="BF"/>
          </w:tcPr>
          <w:p w:rsidR="00A228D9" w:rsidRPr="00470229" w:rsidRDefault="00A228D9" w:rsidP="00470229">
            <w:pPr>
              <w:spacing w:after="0"/>
              <w:jc w:val="both"/>
              <w:rPr>
                <w:sz w:val="24"/>
                <w:szCs w:val="24"/>
              </w:rPr>
            </w:pPr>
            <w:r w:rsidRPr="0045766E">
              <w:rPr>
                <w:b/>
                <w:sz w:val="24"/>
                <w:szCs w:val="24"/>
              </w:rPr>
              <w:t>Why is there a delay in approving my automated extraction declaration</w:t>
            </w:r>
            <w:r w:rsidR="00470229" w:rsidRPr="0045766E">
              <w:rPr>
                <w:b/>
                <w:sz w:val="24"/>
                <w:szCs w:val="24"/>
              </w:rPr>
              <w:t>s?</w:t>
            </w:r>
          </w:p>
        </w:tc>
      </w:tr>
      <w:tr w:rsidR="00A228D9" w:rsidTr="00243439">
        <w:tc>
          <w:tcPr>
            <w:tcW w:w="9242" w:type="dxa"/>
            <w:shd w:val="clear" w:color="auto" w:fill="auto"/>
          </w:tcPr>
          <w:p w:rsidR="006E5376" w:rsidRDefault="00E86DD0" w:rsidP="00470229">
            <w:pPr>
              <w:jc w:val="both"/>
            </w:pPr>
            <w:r>
              <w:t>We approve all declared payments from 25</w:t>
            </w:r>
            <w:r w:rsidRPr="00E86DD0">
              <w:rPr>
                <w:vertAlign w:val="superscript"/>
              </w:rPr>
              <w:t>th</w:t>
            </w:r>
            <w:r>
              <w:t xml:space="preserve"> of the month.  Practice</w:t>
            </w:r>
            <w:r w:rsidR="008B213F">
              <w:t>s</w:t>
            </w:r>
            <w:r>
              <w:t xml:space="preserve"> need to ensure that all </w:t>
            </w:r>
            <w:r w:rsidR="008B213F">
              <w:t xml:space="preserve">extractions are checked and </w:t>
            </w:r>
            <w:r>
              <w:t>declar</w:t>
            </w:r>
            <w:r w:rsidR="008B213F">
              <w:t>ed</w:t>
            </w:r>
            <w:r>
              <w:t xml:space="preserve"> by 24</w:t>
            </w:r>
            <w:r w:rsidRPr="00E86DD0">
              <w:rPr>
                <w:vertAlign w:val="superscript"/>
              </w:rPr>
              <w:t>th</w:t>
            </w:r>
            <w:r>
              <w:t xml:space="preserve"> of the month to ensure that they are included in the payment run for that month.  </w:t>
            </w:r>
            <w:r w:rsidR="008B213F">
              <w:t xml:space="preserve"> </w:t>
            </w:r>
          </w:p>
          <w:p w:rsidR="00470229" w:rsidRDefault="008B213F" w:rsidP="005249FF">
            <w:pPr>
              <w:jc w:val="both"/>
            </w:pPr>
            <w:r>
              <w:t xml:space="preserve">Items declared </w:t>
            </w:r>
            <w:r w:rsidRPr="0045766E">
              <w:t xml:space="preserve">after </w:t>
            </w:r>
            <w:r w:rsidR="005249FF" w:rsidRPr="0045766E">
              <w:t>financial</w:t>
            </w:r>
            <w:r w:rsidRPr="0045766E">
              <w:t xml:space="preserve"> approvals</w:t>
            </w:r>
            <w:r w:rsidR="005249FF" w:rsidRPr="0045766E">
              <w:t xml:space="preserve"> have been made are</w:t>
            </w:r>
            <w:r w:rsidRPr="0045766E">
              <w:t xml:space="preserve"> late claim</w:t>
            </w:r>
            <w:r w:rsidR="005249FF" w:rsidRPr="0045766E">
              <w:t>s</w:t>
            </w:r>
            <w:r w:rsidRPr="0045766E">
              <w:t xml:space="preserve">.  These </w:t>
            </w:r>
            <w:r>
              <w:t>items need to be manually added individually to our master payment spreadsheets.  Therefore, whilst we will strive to approve items declared later than 24</w:t>
            </w:r>
            <w:r w:rsidRPr="008B213F">
              <w:rPr>
                <w:vertAlign w:val="superscript"/>
              </w:rPr>
              <w:t>th</w:t>
            </w:r>
            <w:r>
              <w:t xml:space="preserve"> of the month</w:t>
            </w:r>
            <w:r w:rsidR="00702539">
              <w:t xml:space="preserve"> we cannot guarantee this.  These items will be processed in due course and will be included in the next payment run.</w:t>
            </w:r>
          </w:p>
        </w:tc>
      </w:tr>
      <w:tr w:rsidR="000A0C84" w:rsidTr="0019775A">
        <w:tc>
          <w:tcPr>
            <w:tcW w:w="9242" w:type="dxa"/>
            <w:shd w:val="clear" w:color="auto" w:fill="D9D9D9" w:themeFill="background1" w:themeFillShade="D9"/>
          </w:tcPr>
          <w:p w:rsidR="000A0C84" w:rsidRPr="0019775A" w:rsidRDefault="0019775A" w:rsidP="00325B14">
            <w:pPr>
              <w:spacing w:after="0"/>
              <w:jc w:val="both"/>
              <w:rPr>
                <w:b/>
                <w:sz w:val="24"/>
                <w:szCs w:val="24"/>
              </w:rPr>
            </w:pPr>
            <w:r w:rsidRPr="0019775A">
              <w:rPr>
                <w:b/>
                <w:sz w:val="24"/>
                <w:szCs w:val="24"/>
              </w:rPr>
              <w:t>What happens if previous achievements have incorrect data?</w:t>
            </w:r>
          </w:p>
        </w:tc>
      </w:tr>
      <w:tr w:rsidR="000A0C84" w:rsidTr="00243439">
        <w:tc>
          <w:tcPr>
            <w:tcW w:w="9242" w:type="dxa"/>
            <w:shd w:val="clear" w:color="auto" w:fill="auto"/>
          </w:tcPr>
          <w:p w:rsidR="0019775A" w:rsidRPr="00477D48" w:rsidRDefault="0019775A" w:rsidP="007A5207">
            <w:pPr>
              <w:spacing w:after="120"/>
              <w:jc w:val="both"/>
            </w:pPr>
            <w:r w:rsidRPr="00477D48">
              <w:t xml:space="preserve">If retrospective amendments are required, you will need to complete the </w:t>
            </w:r>
            <w:r w:rsidR="00702539">
              <w:t>claim</w:t>
            </w:r>
            <w:r w:rsidRPr="00477D48">
              <w:t xml:space="preserve"> </w:t>
            </w:r>
            <w:r w:rsidRPr="0045766E">
              <w:t>form and send</w:t>
            </w:r>
            <w:r w:rsidR="005249FF" w:rsidRPr="0045766E">
              <w:t xml:space="preserve"> it</w:t>
            </w:r>
            <w:r w:rsidRPr="0045766E">
              <w:t xml:space="preserve"> to </w:t>
            </w:r>
            <w:r w:rsidRPr="00477D48">
              <w:t xml:space="preserve">the email address shown </w:t>
            </w:r>
            <w:r w:rsidR="00702539">
              <w:t xml:space="preserve">on the </w:t>
            </w:r>
            <w:r w:rsidRPr="00477D48">
              <w:t>form.</w:t>
            </w:r>
            <w:r w:rsidR="00702539">
              <w:t xml:space="preserve">  </w:t>
            </w:r>
            <w:r w:rsidR="00702539" w:rsidRPr="00702539">
              <w:t>A screen shot from the clinical system will also need to be sent as evidence of the correct figures.</w:t>
            </w:r>
          </w:p>
          <w:p w:rsidR="0019775A" w:rsidRPr="00477D48" w:rsidRDefault="0019775A" w:rsidP="007A5207">
            <w:pPr>
              <w:spacing w:after="120"/>
              <w:jc w:val="both"/>
            </w:pPr>
            <w:r w:rsidRPr="00477D48">
              <w:t xml:space="preserve">If the declaration has not been financially approved by the </w:t>
            </w:r>
            <w:r w:rsidR="00702539">
              <w:t>Payment</w:t>
            </w:r>
            <w:r w:rsidRPr="00477D48">
              <w:t xml:space="preserve"> Team, the amendment will be made on CQRS and practices will receive a notification for checking and re declaring.</w:t>
            </w:r>
          </w:p>
          <w:p w:rsidR="00325B14" w:rsidRDefault="0019775A" w:rsidP="007A5207">
            <w:pPr>
              <w:spacing w:after="120"/>
              <w:jc w:val="both"/>
            </w:pPr>
            <w:r w:rsidRPr="00477D48">
              <w:t xml:space="preserve">If the declaration has been financially approved (Sent to SSD), a manual payment will be arranged </w:t>
            </w:r>
            <w:r w:rsidRPr="00477D48">
              <w:lastRenderedPageBreak/>
              <w:t>outside of CQRS.</w:t>
            </w:r>
            <w:r w:rsidR="00325B14" w:rsidRPr="00AD3C58">
              <w:t xml:space="preserve"> </w:t>
            </w:r>
          </w:p>
          <w:p w:rsidR="00702539" w:rsidRPr="00AD3C58" w:rsidRDefault="00702539" w:rsidP="007A5207">
            <w:pPr>
              <w:spacing w:after="120"/>
              <w:jc w:val="both"/>
            </w:pPr>
            <w:r>
              <w:t>Data should only be declared once it has been checked and confirmed as correct.  This will ensure that the monthly data on CQRS is correct and also limit the need for a manual claim to be processed outside of the system.</w:t>
            </w:r>
          </w:p>
        </w:tc>
      </w:tr>
      <w:tr w:rsidR="002E79C9" w:rsidTr="007466A4">
        <w:tc>
          <w:tcPr>
            <w:tcW w:w="9242" w:type="dxa"/>
            <w:shd w:val="clear" w:color="auto" w:fill="D9D9D9" w:themeFill="background1" w:themeFillShade="D9"/>
          </w:tcPr>
          <w:p w:rsidR="002E79C9" w:rsidRPr="00477D48" w:rsidRDefault="002E79C9" w:rsidP="00325B14">
            <w:pPr>
              <w:spacing w:after="0"/>
              <w:jc w:val="both"/>
            </w:pPr>
            <w:r w:rsidRPr="00560C2E">
              <w:rPr>
                <w:b/>
                <w:sz w:val="24"/>
                <w:szCs w:val="24"/>
              </w:rPr>
              <w:lastRenderedPageBreak/>
              <w:t>Why has my declaration been reverted back to the practice?</w:t>
            </w:r>
          </w:p>
        </w:tc>
      </w:tr>
      <w:tr w:rsidR="002E79C9" w:rsidTr="00243439">
        <w:tc>
          <w:tcPr>
            <w:tcW w:w="9242" w:type="dxa"/>
            <w:shd w:val="clear" w:color="auto" w:fill="auto"/>
          </w:tcPr>
          <w:p w:rsidR="003F1DBD" w:rsidRDefault="00CE7460" w:rsidP="007A5207">
            <w:pPr>
              <w:spacing w:after="120"/>
              <w:jc w:val="both"/>
            </w:pPr>
            <w:r>
              <w:t>CQRS have created a ‘revert to previous action’ facility.  This means</w:t>
            </w:r>
            <w:r w:rsidR="003F1DBD">
              <w:t xml:space="preserve"> </w:t>
            </w:r>
            <w:r w:rsidR="003A2092">
              <w:t>that</w:t>
            </w:r>
            <w:r>
              <w:t xml:space="preserve"> should we find an anomaly with a declaration; we are able to return it back to the practice with a notation advising of the action required.  </w:t>
            </w:r>
          </w:p>
          <w:p w:rsidR="003F1DBD" w:rsidRDefault="003F1DBD" w:rsidP="007A5207">
            <w:pPr>
              <w:spacing w:after="120"/>
              <w:jc w:val="both"/>
            </w:pPr>
            <w:r>
              <w:t xml:space="preserve">This is also helpful for when practices make a declaration adding their own note.  We can then send a message back to the practice </w:t>
            </w:r>
            <w:r w:rsidR="0092144F">
              <w:t>advising of the action they need to take</w:t>
            </w:r>
            <w:r>
              <w:t>.</w:t>
            </w:r>
          </w:p>
          <w:p w:rsidR="007466A4" w:rsidRDefault="007466A4" w:rsidP="007A5207">
            <w:pPr>
              <w:spacing w:after="120"/>
              <w:jc w:val="both"/>
            </w:pPr>
            <w:r>
              <w:t xml:space="preserve">For example: </w:t>
            </w:r>
            <w:r w:rsidR="003F1DBD">
              <w:t xml:space="preserve">A practice declares an achievement which has an automated extraction and adds a note advising the figures are incorrect.  Whilst we appreciate the note, we are not able to </w:t>
            </w:r>
            <w:r w:rsidR="00AF5DEF">
              <w:t>amend the data without having received a claim form and supporting evidence</w:t>
            </w:r>
            <w:r w:rsidR="003F1DBD">
              <w:t>.</w:t>
            </w:r>
          </w:p>
          <w:p w:rsidR="007466A4" w:rsidRDefault="003F1DBD" w:rsidP="007A5207">
            <w:pPr>
              <w:spacing w:after="120"/>
              <w:jc w:val="both"/>
            </w:pPr>
            <w:r>
              <w:t xml:space="preserve">Therefore, </w:t>
            </w:r>
            <w:r w:rsidR="007466A4">
              <w:t>If you find a declaration has been reverted back to the practice, please ensure you read the notes attached and action where relevant.</w:t>
            </w:r>
          </w:p>
          <w:p w:rsidR="002E79C9" w:rsidRPr="007466A4" w:rsidRDefault="007466A4" w:rsidP="007A5207">
            <w:pPr>
              <w:spacing w:after="120"/>
              <w:jc w:val="both"/>
              <w:rPr>
                <w:b/>
                <w:i/>
              </w:rPr>
            </w:pPr>
            <w:r w:rsidRPr="007466A4">
              <w:rPr>
                <w:b/>
                <w:i/>
              </w:rPr>
              <w:t>There are quite a few practices that are not reading the notation on a reverted declaration and sending it back through aga</w:t>
            </w:r>
            <w:r w:rsidR="003F1DBD">
              <w:rPr>
                <w:b/>
                <w:i/>
              </w:rPr>
              <w:t>in. Should this happen more than once on a single declaration, we will put it</w:t>
            </w:r>
            <w:r w:rsidRPr="007466A4">
              <w:rPr>
                <w:b/>
                <w:i/>
              </w:rPr>
              <w:t xml:space="preserve"> ‘on hold’ until the action has taken place and this will delay payment.</w:t>
            </w:r>
          </w:p>
        </w:tc>
      </w:tr>
      <w:tr w:rsidR="00634084" w:rsidTr="00634084">
        <w:tc>
          <w:tcPr>
            <w:tcW w:w="9242" w:type="dxa"/>
            <w:shd w:val="clear" w:color="auto" w:fill="D9D9D9" w:themeFill="background1" w:themeFillShade="D9"/>
          </w:tcPr>
          <w:p w:rsidR="00634084" w:rsidRDefault="00634084" w:rsidP="00325B14">
            <w:pPr>
              <w:spacing w:after="0"/>
              <w:jc w:val="both"/>
            </w:pPr>
            <w:r w:rsidRPr="007F3809">
              <w:rPr>
                <w:b/>
                <w:sz w:val="24"/>
                <w:szCs w:val="24"/>
              </w:rPr>
              <w:t>Why h</w:t>
            </w:r>
            <w:r>
              <w:rPr>
                <w:b/>
                <w:sz w:val="24"/>
                <w:szCs w:val="24"/>
              </w:rPr>
              <w:t>as my declaration been placed ‘on hold’ in CQRS?</w:t>
            </w:r>
          </w:p>
        </w:tc>
      </w:tr>
      <w:tr w:rsidR="00634084" w:rsidTr="00243439">
        <w:tc>
          <w:tcPr>
            <w:tcW w:w="9242" w:type="dxa"/>
            <w:shd w:val="clear" w:color="auto" w:fill="auto"/>
          </w:tcPr>
          <w:p w:rsidR="00325B14" w:rsidRDefault="00634084" w:rsidP="00325B14">
            <w:pPr>
              <w:spacing w:after="120"/>
              <w:jc w:val="both"/>
            </w:pPr>
            <w:r w:rsidRPr="00DC7B52">
              <w:t xml:space="preserve">If you receive a task/notification regarding a declaration which has been moved to this status, it is because the practice has not responded to our notes and to avoid accidental approval for payment we change the status for monitoring.  </w:t>
            </w:r>
          </w:p>
          <w:p w:rsidR="00634084" w:rsidRPr="00DC7B52" w:rsidRDefault="00634084" w:rsidP="00325B14">
            <w:pPr>
              <w:spacing w:after="120"/>
              <w:jc w:val="both"/>
            </w:pPr>
            <w:r w:rsidRPr="00DC7B52">
              <w:t>Once the declaration with the query has been resolved, we can easily re instate it.</w:t>
            </w:r>
          </w:p>
          <w:p w:rsidR="0016575E" w:rsidRPr="0016575E" w:rsidRDefault="0016575E" w:rsidP="00325B14">
            <w:pPr>
              <w:spacing w:after="120"/>
              <w:jc w:val="both"/>
              <w:rPr>
                <w:b/>
                <w:i/>
              </w:rPr>
            </w:pPr>
            <w:r w:rsidRPr="00DC7B52">
              <w:rPr>
                <w:b/>
                <w:i/>
              </w:rPr>
              <w:t>Again this will delay payment</w:t>
            </w:r>
          </w:p>
        </w:tc>
      </w:tr>
      <w:tr w:rsidR="0016575E" w:rsidTr="0016575E">
        <w:tc>
          <w:tcPr>
            <w:tcW w:w="9242" w:type="dxa"/>
            <w:shd w:val="clear" w:color="auto" w:fill="D9D9D9" w:themeFill="background1" w:themeFillShade="D9"/>
          </w:tcPr>
          <w:p w:rsidR="0016575E" w:rsidRDefault="0016575E" w:rsidP="00325B14">
            <w:pPr>
              <w:spacing w:after="0"/>
              <w:jc w:val="both"/>
              <w:rPr>
                <w:sz w:val="24"/>
                <w:szCs w:val="24"/>
              </w:rPr>
            </w:pPr>
            <w:r w:rsidRPr="004F6FE1">
              <w:rPr>
                <w:b/>
                <w:sz w:val="24"/>
                <w:szCs w:val="24"/>
              </w:rPr>
              <w:t>How can I find out which services have outstanding claims?</w:t>
            </w:r>
          </w:p>
        </w:tc>
      </w:tr>
      <w:tr w:rsidR="0016575E" w:rsidTr="00243439">
        <w:tc>
          <w:tcPr>
            <w:tcW w:w="9242" w:type="dxa"/>
            <w:shd w:val="clear" w:color="auto" w:fill="auto"/>
          </w:tcPr>
          <w:p w:rsidR="006B184C" w:rsidRDefault="0016575E" w:rsidP="00A17840">
            <w:pPr>
              <w:spacing w:after="120"/>
              <w:jc w:val="both"/>
            </w:pPr>
            <w:r w:rsidRPr="00DC7B52">
              <w:t xml:space="preserve">Practices can run an Annual Activity </w:t>
            </w:r>
            <w:r w:rsidR="00A17840">
              <w:t>Summary</w:t>
            </w:r>
            <w:r w:rsidRPr="00DC7B52">
              <w:t xml:space="preserve"> by financial year on CQRS, for all services they are signed up to provide. This will show a colour coding status for each achievement period for</w:t>
            </w:r>
            <w:r w:rsidR="00325B14">
              <w:t xml:space="preserve"> these services.</w:t>
            </w:r>
            <w:r w:rsidR="00325B14" w:rsidRPr="00DC7B52">
              <w:t xml:space="preserve"> </w:t>
            </w:r>
            <w:r w:rsidR="00A17840">
              <w:t xml:space="preserve"> This is found under Reports (achievement tab).  There is also a Payment Declaration report that will show annual activity or a Provider Payment Declaration Report that will show annual activity for a single regime.  Both of these are found under the Reports (Declarations tab).</w:t>
            </w:r>
          </w:p>
          <w:p w:rsidR="00A17840" w:rsidRPr="00DC7B52" w:rsidRDefault="00A17840" w:rsidP="00A17840">
            <w:pPr>
              <w:spacing w:after="120"/>
              <w:jc w:val="both"/>
            </w:pPr>
            <w:r>
              <w:t xml:space="preserve">Practices are encouraged to run reports and check data prior to raising a query. </w:t>
            </w:r>
          </w:p>
        </w:tc>
      </w:tr>
      <w:tr w:rsidR="006876F1" w:rsidTr="00F564F2">
        <w:tc>
          <w:tcPr>
            <w:tcW w:w="9242" w:type="dxa"/>
            <w:shd w:val="clear" w:color="auto" w:fill="D9D9D9" w:themeFill="background1" w:themeFillShade="D9"/>
          </w:tcPr>
          <w:p w:rsidR="006876F1" w:rsidRDefault="006876F1" w:rsidP="00372050">
            <w:pPr>
              <w:shd w:val="clear" w:color="auto" w:fill="D9D9D9" w:themeFill="background1" w:themeFillShade="D9"/>
              <w:spacing w:after="0"/>
              <w:rPr>
                <w:b/>
                <w:sz w:val="24"/>
                <w:szCs w:val="24"/>
              </w:rPr>
            </w:pPr>
            <w:r w:rsidRPr="004F6FE1">
              <w:rPr>
                <w:b/>
                <w:sz w:val="24"/>
                <w:szCs w:val="24"/>
              </w:rPr>
              <w:t xml:space="preserve">What Read </w:t>
            </w:r>
            <w:r>
              <w:rPr>
                <w:b/>
                <w:sz w:val="24"/>
                <w:szCs w:val="24"/>
              </w:rPr>
              <w:t>C</w:t>
            </w:r>
            <w:r w:rsidRPr="004F6FE1">
              <w:rPr>
                <w:b/>
                <w:sz w:val="24"/>
                <w:szCs w:val="24"/>
              </w:rPr>
              <w:t>odes does a practice need to enter</w:t>
            </w:r>
            <w:r>
              <w:rPr>
                <w:b/>
                <w:sz w:val="24"/>
                <w:szCs w:val="24"/>
              </w:rPr>
              <w:t>,</w:t>
            </w:r>
            <w:r w:rsidRPr="004F6FE1">
              <w:rPr>
                <w:b/>
                <w:sz w:val="24"/>
                <w:szCs w:val="24"/>
              </w:rPr>
              <w:t xml:space="preserve"> in order for this data to be collected by </w:t>
            </w:r>
          </w:p>
          <w:p w:rsidR="006876F1" w:rsidRPr="004F6FE1" w:rsidRDefault="006876F1" w:rsidP="00372050">
            <w:pPr>
              <w:shd w:val="clear" w:color="auto" w:fill="D9D9D9" w:themeFill="background1" w:themeFillShade="D9"/>
              <w:spacing w:after="0"/>
              <w:rPr>
                <w:b/>
                <w:sz w:val="24"/>
                <w:szCs w:val="24"/>
              </w:rPr>
            </w:pPr>
            <w:r w:rsidRPr="004F6FE1">
              <w:rPr>
                <w:b/>
                <w:sz w:val="24"/>
                <w:szCs w:val="24"/>
              </w:rPr>
              <w:t xml:space="preserve">GPES </w:t>
            </w:r>
            <w:r>
              <w:rPr>
                <w:b/>
                <w:sz w:val="24"/>
                <w:szCs w:val="24"/>
              </w:rPr>
              <w:t>and</w:t>
            </w:r>
            <w:r w:rsidRPr="004F6FE1">
              <w:rPr>
                <w:b/>
                <w:sz w:val="24"/>
                <w:szCs w:val="24"/>
              </w:rPr>
              <w:t xml:space="preserve"> calculate</w:t>
            </w:r>
            <w:r>
              <w:rPr>
                <w:b/>
                <w:sz w:val="24"/>
                <w:szCs w:val="24"/>
              </w:rPr>
              <w:t xml:space="preserve"> correct</w:t>
            </w:r>
            <w:r w:rsidRPr="004F6FE1">
              <w:rPr>
                <w:b/>
                <w:sz w:val="24"/>
                <w:szCs w:val="24"/>
              </w:rPr>
              <w:t xml:space="preserve"> achievement</w:t>
            </w:r>
            <w:r>
              <w:rPr>
                <w:b/>
                <w:sz w:val="24"/>
                <w:szCs w:val="24"/>
              </w:rPr>
              <w:t>s</w:t>
            </w:r>
            <w:r w:rsidRPr="004F6FE1">
              <w:rPr>
                <w:b/>
                <w:sz w:val="24"/>
                <w:szCs w:val="24"/>
              </w:rPr>
              <w:t>?</w:t>
            </w:r>
          </w:p>
        </w:tc>
      </w:tr>
      <w:tr w:rsidR="00F73FC3" w:rsidTr="00243439">
        <w:tc>
          <w:tcPr>
            <w:tcW w:w="9242" w:type="dxa"/>
            <w:shd w:val="clear" w:color="auto" w:fill="auto"/>
          </w:tcPr>
          <w:p w:rsidR="006B184C" w:rsidRDefault="00121ED9" w:rsidP="003907F6">
            <w:r w:rsidRPr="00AD3C58">
              <w:t>The Read C</w:t>
            </w:r>
            <w:r w:rsidR="00F73FC3" w:rsidRPr="00AD3C58">
              <w:t xml:space="preserve">odes for Public Health </w:t>
            </w:r>
            <w:r w:rsidR="0045766E">
              <w:t>D</w:t>
            </w:r>
            <w:r w:rsidR="00F73FC3" w:rsidRPr="00AD3C58">
              <w:t xml:space="preserve">ES are detailed in the </w:t>
            </w:r>
            <w:r w:rsidR="00D400D1" w:rsidRPr="00AD3C58">
              <w:t>2017-18</w:t>
            </w:r>
            <w:r w:rsidR="003907F6" w:rsidRPr="00AD3C58">
              <w:t xml:space="preserve"> Technical requirements for GMS contract changes, which is available to view on NHS Employers (see links below)</w:t>
            </w:r>
            <w:r w:rsidR="00F73FC3" w:rsidRPr="00AD3C58">
              <w:t xml:space="preserve">. Practices must code the activity in line with the technical </w:t>
            </w:r>
            <w:r w:rsidR="003907F6" w:rsidRPr="00AD3C58">
              <w:t>requirements</w:t>
            </w:r>
            <w:r w:rsidR="00F73FC3" w:rsidRPr="00AD3C58">
              <w:t xml:space="preserve"> or payment will be delayed. Further details</w:t>
            </w:r>
            <w:r w:rsidR="003907F6" w:rsidRPr="00AD3C58">
              <w:t xml:space="preserve"> are also in the Business Rules</w:t>
            </w:r>
            <w:r w:rsidR="00D400D1" w:rsidRPr="00AD3C58">
              <w:t xml:space="preserve"> with can be found on the NHS Digital </w:t>
            </w:r>
            <w:r w:rsidR="003907F6" w:rsidRPr="00AD3C58">
              <w:t>website.</w:t>
            </w:r>
          </w:p>
          <w:p w:rsidR="007A5207" w:rsidRPr="00AD3C58" w:rsidRDefault="007A5207" w:rsidP="003907F6"/>
        </w:tc>
      </w:tr>
      <w:tr w:rsidR="00F73FC3" w:rsidTr="006F56F4">
        <w:tc>
          <w:tcPr>
            <w:tcW w:w="9242" w:type="dxa"/>
            <w:shd w:val="clear" w:color="auto" w:fill="D9D9D9" w:themeFill="background1" w:themeFillShade="D9"/>
          </w:tcPr>
          <w:p w:rsidR="00F73FC3" w:rsidRPr="004F6FE1" w:rsidRDefault="00F73FC3" w:rsidP="00325B14">
            <w:pPr>
              <w:spacing w:after="0"/>
              <w:rPr>
                <w:b/>
                <w:sz w:val="24"/>
                <w:szCs w:val="24"/>
              </w:rPr>
            </w:pPr>
            <w:r w:rsidRPr="004F6FE1">
              <w:rPr>
                <w:b/>
                <w:sz w:val="24"/>
                <w:szCs w:val="24"/>
              </w:rPr>
              <w:lastRenderedPageBreak/>
              <w:t>Where a practice has been using Read codes not included in the guidance and audit requirements, Business Rules or technical requirements document, are practices expected to re-code patients?</w:t>
            </w:r>
          </w:p>
        </w:tc>
      </w:tr>
      <w:tr w:rsidR="00F73FC3" w:rsidTr="00243439">
        <w:tc>
          <w:tcPr>
            <w:tcW w:w="9242" w:type="dxa"/>
            <w:shd w:val="clear" w:color="auto" w:fill="auto"/>
          </w:tcPr>
          <w:p w:rsidR="00F73FC3" w:rsidRPr="00AD3C58" w:rsidRDefault="00F73FC3" w:rsidP="008B13D0">
            <w:pPr>
              <w:spacing w:line="240" w:lineRule="auto"/>
              <w:jc w:val="both"/>
            </w:pPr>
            <w:r w:rsidRPr="00AD3C58">
              <w:t>Yes, all services being supported by CQRS require that practices who intend to participate in these services record their achievement in the clinical syst</w:t>
            </w:r>
            <w:r w:rsidR="00121ED9" w:rsidRPr="00AD3C58">
              <w:t>ems</w:t>
            </w:r>
            <w:r w:rsidR="008B13D0" w:rsidRPr="00AD3C58">
              <w:t xml:space="preserve"> before automatic extracts are scheduled to take place</w:t>
            </w:r>
            <w:r w:rsidRPr="00AD3C58">
              <w:t>. This should be re</w:t>
            </w:r>
            <w:r w:rsidR="00121ED9" w:rsidRPr="00AD3C58">
              <w:t>corded using the relevant Read C</w:t>
            </w:r>
            <w:r w:rsidRPr="00AD3C58">
              <w:t>odes in the guidance and audit requirements, technical requirements document or Business Rules from the date those services commence. As such, practices would need to re-code using the relevant codes.</w:t>
            </w:r>
          </w:p>
        </w:tc>
      </w:tr>
      <w:tr w:rsidR="00E05B7F" w:rsidTr="00E05B7F">
        <w:tc>
          <w:tcPr>
            <w:tcW w:w="9242" w:type="dxa"/>
            <w:shd w:val="clear" w:color="auto" w:fill="D9D9D9" w:themeFill="background1" w:themeFillShade="D9"/>
          </w:tcPr>
          <w:p w:rsidR="00E05B7F" w:rsidRPr="00560C2E" w:rsidRDefault="00E05B7F" w:rsidP="00325B14">
            <w:pPr>
              <w:spacing w:after="0"/>
              <w:jc w:val="both"/>
              <w:rPr>
                <w:b/>
                <w:sz w:val="24"/>
                <w:szCs w:val="24"/>
              </w:rPr>
            </w:pPr>
            <w:r w:rsidRPr="00560C2E">
              <w:rPr>
                <w:b/>
                <w:sz w:val="24"/>
                <w:szCs w:val="24"/>
              </w:rPr>
              <w:t>Who do I contact regarding unpaid declarations?</w:t>
            </w:r>
          </w:p>
        </w:tc>
      </w:tr>
      <w:tr w:rsidR="00E05B7F" w:rsidTr="00E05B7F">
        <w:tc>
          <w:tcPr>
            <w:tcW w:w="9242" w:type="dxa"/>
            <w:shd w:val="clear" w:color="auto" w:fill="FFFFFF" w:themeFill="background1"/>
          </w:tcPr>
          <w:p w:rsidR="00FC00F9" w:rsidRPr="00FC00F9" w:rsidRDefault="00E05B7F" w:rsidP="00FC00F9">
            <w:pPr>
              <w:jc w:val="both"/>
              <w:rPr>
                <w:rFonts w:asciiTheme="minorHAnsi" w:hAnsiTheme="minorHAnsi" w:cstheme="minorHAnsi"/>
              </w:rPr>
            </w:pPr>
            <w:r w:rsidRPr="00DC7B52">
              <w:t>If the status of your declaration is showing as ‘Sent to SSD’ on the CQRS System, you will need to contact the payment agency directly as once we have financially approved the declarations we are unable to access further details.</w:t>
            </w:r>
            <w:r w:rsidR="00FC00F9">
              <w:t xml:space="preserve">  </w:t>
            </w:r>
            <w:r w:rsidR="00CE56DD">
              <w:t>Capita now have an online query form.  This can be accessed from their contact us page on the main website:</w:t>
            </w:r>
          </w:p>
          <w:p w:rsidR="00CE56DD" w:rsidRDefault="004906B1" w:rsidP="00FC00F9">
            <w:pPr>
              <w:spacing w:after="0"/>
              <w:rPr>
                <w:rFonts w:asciiTheme="minorHAnsi" w:hAnsiTheme="minorHAnsi" w:cstheme="minorHAnsi"/>
              </w:rPr>
            </w:pPr>
            <w:hyperlink r:id="rId11" w:history="1">
              <w:r w:rsidR="00CE56DD" w:rsidRPr="00212F03">
                <w:rPr>
                  <w:rStyle w:val="Hyperlink"/>
                  <w:rFonts w:asciiTheme="minorHAnsi" w:hAnsiTheme="minorHAnsi" w:cstheme="minorHAnsi"/>
                </w:rPr>
                <w:t>www.pcse.england.nhs.uk/contact-us</w:t>
              </w:r>
            </w:hyperlink>
          </w:p>
          <w:p w:rsidR="00E05B7F" w:rsidRPr="00E05B7F" w:rsidRDefault="00E05B7F" w:rsidP="006E0A8C">
            <w:pPr>
              <w:spacing w:after="0"/>
              <w:rPr>
                <w:rFonts w:ascii="Arial" w:hAnsi="Arial" w:cs="Arial"/>
              </w:rPr>
            </w:pPr>
          </w:p>
        </w:tc>
      </w:tr>
      <w:tr w:rsidR="00F73FC3" w:rsidTr="00350DD9">
        <w:tc>
          <w:tcPr>
            <w:tcW w:w="9242" w:type="dxa"/>
            <w:shd w:val="clear" w:color="auto" w:fill="D9D9D9" w:themeFill="background1" w:themeFillShade="D9"/>
          </w:tcPr>
          <w:p w:rsidR="00F73FC3" w:rsidRPr="004F6FE1" w:rsidRDefault="00F73FC3" w:rsidP="00325B14">
            <w:pPr>
              <w:spacing w:after="0"/>
              <w:jc w:val="both"/>
              <w:rPr>
                <w:b/>
                <w:sz w:val="24"/>
                <w:szCs w:val="24"/>
              </w:rPr>
            </w:pPr>
            <w:r w:rsidRPr="004F6FE1">
              <w:rPr>
                <w:b/>
                <w:sz w:val="24"/>
                <w:szCs w:val="24"/>
              </w:rPr>
              <w:t>What happens if I give a vaccination outside of the Service Specification time scales, (e.g. Rotavirus – 2nd jab</w:t>
            </w:r>
            <w:r w:rsidR="00062595" w:rsidRPr="006E0A8C">
              <w:rPr>
                <w:b/>
                <w:sz w:val="24"/>
                <w:szCs w:val="24"/>
              </w:rPr>
              <w:t>)?</w:t>
            </w:r>
          </w:p>
        </w:tc>
      </w:tr>
      <w:tr w:rsidR="00F73FC3" w:rsidTr="00243439">
        <w:tc>
          <w:tcPr>
            <w:tcW w:w="9242" w:type="dxa"/>
            <w:shd w:val="clear" w:color="auto" w:fill="auto"/>
          </w:tcPr>
          <w:p w:rsidR="00F73FC3" w:rsidRPr="00DC7B52" w:rsidRDefault="00F73FC3" w:rsidP="00062595">
            <w:pPr>
              <w:jc w:val="both"/>
            </w:pPr>
            <w:r w:rsidRPr="00DC7B52">
              <w:t xml:space="preserve">Currently National Guidance has advised payment cannot be made if a vaccination has been given </w:t>
            </w:r>
            <w:r w:rsidRPr="006E0A8C">
              <w:t xml:space="preserve">outside of the </w:t>
            </w:r>
            <w:r w:rsidR="00062595" w:rsidRPr="006E0A8C">
              <w:t>criteria</w:t>
            </w:r>
            <w:r w:rsidRPr="006E0A8C">
              <w:t>.  However, d</w:t>
            </w:r>
            <w:r w:rsidR="00903B66" w:rsidRPr="006E0A8C">
              <w:t xml:space="preserve">ependant on the </w:t>
            </w:r>
            <w:r w:rsidR="00062595" w:rsidRPr="006E0A8C">
              <w:t>criteria</w:t>
            </w:r>
            <w:r w:rsidR="00903B66" w:rsidRPr="006E0A8C">
              <w:t xml:space="preserve"> the R</w:t>
            </w:r>
            <w:r w:rsidRPr="006E0A8C">
              <w:t xml:space="preserve">egional </w:t>
            </w:r>
            <w:r w:rsidRPr="00DC7B52">
              <w:t>Team will make a d</w:t>
            </w:r>
            <w:r w:rsidR="0028436B" w:rsidRPr="00DC7B52">
              <w:t xml:space="preserve">ecision </w:t>
            </w:r>
            <w:r w:rsidRPr="00DC7B52">
              <w:t>as to whether a practice will receive payment.</w:t>
            </w:r>
          </w:p>
        </w:tc>
      </w:tr>
      <w:tr w:rsidR="00F73FC3" w:rsidTr="006F56F4">
        <w:tc>
          <w:tcPr>
            <w:tcW w:w="9242" w:type="dxa"/>
            <w:shd w:val="clear" w:color="auto" w:fill="D9D9D9" w:themeFill="background1" w:themeFillShade="D9"/>
          </w:tcPr>
          <w:p w:rsidR="00F73FC3" w:rsidRPr="004F6FE1" w:rsidRDefault="00062DBA" w:rsidP="00325B14">
            <w:pPr>
              <w:spacing w:after="0"/>
              <w:jc w:val="both"/>
              <w:rPr>
                <w:b/>
                <w:sz w:val="24"/>
                <w:szCs w:val="24"/>
              </w:rPr>
            </w:pPr>
            <w:r w:rsidRPr="00062DBA">
              <w:rPr>
                <w:b/>
                <w:sz w:val="24"/>
                <w:szCs w:val="24"/>
              </w:rPr>
              <w:t xml:space="preserve">Can we give </w:t>
            </w:r>
            <w:r>
              <w:rPr>
                <w:b/>
                <w:sz w:val="24"/>
                <w:szCs w:val="24"/>
              </w:rPr>
              <w:t>a vaccination</w:t>
            </w:r>
            <w:r w:rsidR="00F73FC3" w:rsidRPr="004F6FE1">
              <w:rPr>
                <w:b/>
                <w:sz w:val="24"/>
                <w:szCs w:val="24"/>
              </w:rPr>
              <w:t xml:space="preserve"> to a patie</w:t>
            </w:r>
            <w:r>
              <w:rPr>
                <w:b/>
                <w:sz w:val="24"/>
                <w:szCs w:val="24"/>
              </w:rPr>
              <w:t>nt outside of a cohort as stated in</w:t>
            </w:r>
            <w:r w:rsidR="00F73FC3" w:rsidRPr="004F6FE1">
              <w:rPr>
                <w:b/>
                <w:sz w:val="24"/>
                <w:szCs w:val="24"/>
              </w:rPr>
              <w:t xml:space="preserve"> the Service Specification?</w:t>
            </w:r>
          </w:p>
        </w:tc>
      </w:tr>
      <w:tr w:rsidR="00F73FC3" w:rsidTr="00243439">
        <w:tc>
          <w:tcPr>
            <w:tcW w:w="9242" w:type="dxa"/>
            <w:shd w:val="clear" w:color="auto" w:fill="auto"/>
          </w:tcPr>
          <w:p w:rsidR="006B184C" w:rsidRPr="006E0A8C" w:rsidRDefault="006E0A8C" w:rsidP="00FC00F9">
            <w:pPr>
              <w:spacing w:after="0"/>
              <w:jc w:val="both"/>
              <w:rPr>
                <w:sz w:val="24"/>
                <w:szCs w:val="24"/>
              </w:rPr>
            </w:pPr>
            <w:r>
              <w:t>I</w:t>
            </w:r>
            <w:r w:rsidR="00062595" w:rsidRPr="006E0A8C">
              <w:t>t is</w:t>
            </w:r>
            <w:r w:rsidR="00062DBA" w:rsidRPr="006E0A8C">
              <w:t xml:space="preserve"> the responsibility of the named Cli</w:t>
            </w:r>
            <w:r>
              <w:t>nical Lead within your practice to determine whether the vaccination is required, however, p</w:t>
            </w:r>
            <w:r w:rsidRPr="00DC7B52">
              <w:t xml:space="preserve">ayment will not be made for </w:t>
            </w:r>
            <w:r>
              <w:t>these patients.</w:t>
            </w:r>
          </w:p>
          <w:p w:rsidR="00FC00F9" w:rsidRPr="004F6FE1" w:rsidRDefault="00FC00F9" w:rsidP="00FC00F9">
            <w:pPr>
              <w:spacing w:after="0"/>
              <w:jc w:val="both"/>
              <w:rPr>
                <w:sz w:val="24"/>
                <w:szCs w:val="24"/>
              </w:rPr>
            </w:pPr>
          </w:p>
        </w:tc>
      </w:tr>
      <w:tr w:rsidR="00F73FC3" w:rsidTr="006F56F4">
        <w:tc>
          <w:tcPr>
            <w:tcW w:w="9242" w:type="dxa"/>
            <w:shd w:val="clear" w:color="auto" w:fill="D9D9D9" w:themeFill="background1" w:themeFillShade="D9"/>
          </w:tcPr>
          <w:p w:rsidR="00F73FC3" w:rsidRPr="004F6FE1" w:rsidRDefault="00F73FC3" w:rsidP="006E0A8C">
            <w:pPr>
              <w:spacing w:after="0"/>
              <w:jc w:val="both"/>
              <w:rPr>
                <w:b/>
                <w:sz w:val="24"/>
                <w:szCs w:val="24"/>
              </w:rPr>
            </w:pPr>
            <w:r w:rsidRPr="004F6FE1">
              <w:rPr>
                <w:b/>
                <w:sz w:val="24"/>
                <w:szCs w:val="24"/>
              </w:rPr>
              <w:t xml:space="preserve">How do I receive </w:t>
            </w:r>
            <w:r w:rsidR="006E0A8C">
              <w:rPr>
                <w:b/>
                <w:sz w:val="24"/>
                <w:szCs w:val="24"/>
              </w:rPr>
              <w:t>further</w:t>
            </w:r>
            <w:r w:rsidRPr="004F6FE1">
              <w:rPr>
                <w:b/>
                <w:sz w:val="24"/>
                <w:szCs w:val="24"/>
              </w:rPr>
              <w:t xml:space="preserve"> </w:t>
            </w:r>
            <w:r w:rsidR="006E0A8C">
              <w:rPr>
                <w:b/>
                <w:sz w:val="24"/>
                <w:szCs w:val="24"/>
              </w:rPr>
              <w:t>information</w:t>
            </w:r>
            <w:r w:rsidRPr="004F6FE1">
              <w:rPr>
                <w:b/>
                <w:sz w:val="24"/>
                <w:szCs w:val="24"/>
              </w:rPr>
              <w:t>?</w:t>
            </w:r>
          </w:p>
        </w:tc>
      </w:tr>
      <w:tr w:rsidR="00F73FC3" w:rsidTr="00243439">
        <w:tc>
          <w:tcPr>
            <w:tcW w:w="9242" w:type="dxa"/>
            <w:shd w:val="clear" w:color="auto" w:fill="auto"/>
          </w:tcPr>
          <w:p w:rsidR="00FC00F9" w:rsidRDefault="006E0A8C" w:rsidP="00FC00F9">
            <w:pPr>
              <w:spacing w:after="0"/>
            </w:pPr>
            <w:r>
              <w:t>I</w:t>
            </w:r>
            <w:r w:rsidR="00F73FC3" w:rsidRPr="00DC7B52">
              <w:t>nformation can be accessed via the NHS England and NHS Employers websites, where Service Specifications and Technical guidance(s) can be found.</w:t>
            </w:r>
          </w:p>
          <w:p w:rsidR="00F73FC3" w:rsidRPr="00DC7B52" w:rsidRDefault="004906B1" w:rsidP="00FC00F9">
            <w:pPr>
              <w:spacing w:after="0"/>
            </w:pPr>
            <w:hyperlink r:id="rId12" w:history="1">
              <w:r w:rsidR="00F73FC3" w:rsidRPr="00DC7B52">
                <w:rPr>
                  <w:color w:val="0000FF"/>
                  <w:u w:val="single"/>
                </w:rPr>
                <w:t>https://www.england.nhs.uk/com</w:t>
              </w:r>
              <w:r w:rsidR="00F73FC3" w:rsidRPr="00DC7B52">
                <w:rPr>
                  <w:color w:val="0000FF"/>
                  <w:u w:val="single"/>
                </w:rPr>
                <w:t>m</w:t>
              </w:r>
              <w:r w:rsidR="00F73FC3" w:rsidRPr="00DC7B52">
                <w:rPr>
                  <w:color w:val="0000FF"/>
                  <w:u w:val="single"/>
                </w:rPr>
                <w:t>issioning/pub-hlth-res/</w:t>
              </w:r>
            </w:hyperlink>
          </w:p>
          <w:p w:rsidR="00DC7B52" w:rsidRDefault="004906B1" w:rsidP="00FC00F9">
            <w:pPr>
              <w:spacing w:after="0"/>
              <w:rPr>
                <w:rStyle w:val="Hyperlink"/>
              </w:rPr>
            </w:pPr>
            <w:hyperlink r:id="rId13" w:history="1">
              <w:r w:rsidR="00DC7B52" w:rsidRPr="00FD5FFA">
                <w:rPr>
                  <w:rStyle w:val="Hyperlink"/>
                </w:rPr>
                <w:t>http://www.nhsemployer</w:t>
              </w:r>
              <w:r w:rsidR="00DC7B52" w:rsidRPr="00FD5FFA">
                <w:rPr>
                  <w:rStyle w:val="Hyperlink"/>
                </w:rPr>
                <w:t>s</w:t>
              </w:r>
              <w:r w:rsidR="00DC7B52" w:rsidRPr="00FD5FFA">
                <w:rPr>
                  <w:rStyle w:val="Hyperlink"/>
                </w:rPr>
                <w:t>.org/your-workforce/primary-care-contacts/general-medical-services/vaccination-and-immunisation/2017-18-vaccinations-and-immunisations</w:t>
              </w:r>
            </w:hyperlink>
          </w:p>
          <w:p w:rsidR="00D157E3" w:rsidRPr="006B184C" w:rsidRDefault="00D157E3" w:rsidP="00FC00F9">
            <w:pPr>
              <w:spacing w:after="0"/>
              <w:rPr>
                <w:color w:val="0000FF"/>
                <w:u w:val="single"/>
              </w:rPr>
            </w:pPr>
          </w:p>
        </w:tc>
      </w:tr>
      <w:tr w:rsidR="00F73FC3" w:rsidTr="006F56F4">
        <w:tc>
          <w:tcPr>
            <w:tcW w:w="9242" w:type="dxa"/>
            <w:shd w:val="clear" w:color="auto" w:fill="D9D9D9" w:themeFill="background1" w:themeFillShade="D9"/>
          </w:tcPr>
          <w:p w:rsidR="00F73FC3" w:rsidRPr="004F6FE1" w:rsidRDefault="00F73FC3" w:rsidP="00243439">
            <w:pPr>
              <w:rPr>
                <w:b/>
                <w:sz w:val="24"/>
                <w:szCs w:val="24"/>
              </w:rPr>
            </w:pPr>
            <w:r w:rsidRPr="004F6FE1">
              <w:rPr>
                <w:b/>
                <w:sz w:val="24"/>
                <w:szCs w:val="24"/>
              </w:rPr>
              <w:t>How do I find out about GPES extraction</w:t>
            </w:r>
            <w:r w:rsidR="002316BA">
              <w:rPr>
                <w:b/>
                <w:sz w:val="24"/>
                <w:szCs w:val="24"/>
              </w:rPr>
              <w:t xml:space="preserve"> and manual entry</w:t>
            </w:r>
            <w:r w:rsidRPr="004F6FE1">
              <w:rPr>
                <w:b/>
                <w:sz w:val="24"/>
                <w:szCs w:val="24"/>
              </w:rPr>
              <w:t xml:space="preserve"> dates?</w:t>
            </w:r>
          </w:p>
        </w:tc>
      </w:tr>
      <w:tr w:rsidR="00F73FC3" w:rsidTr="00243439">
        <w:tc>
          <w:tcPr>
            <w:tcW w:w="9242" w:type="dxa"/>
            <w:shd w:val="clear" w:color="auto" w:fill="auto"/>
          </w:tcPr>
          <w:p w:rsidR="007A5207" w:rsidRPr="00DC7B52" w:rsidRDefault="00DC7B52" w:rsidP="007A5207">
            <w:pPr>
              <w:rPr>
                <w:b/>
                <w:color w:val="FF0000"/>
              </w:rPr>
            </w:pPr>
            <w:r w:rsidRPr="00DC7B52">
              <w:t>The GP Collections Timetable is available on CQRS</w:t>
            </w:r>
            <w:r w:rsidR="00BB7D61" w:rsidRPr="00DC7B52">
              <w:t>.  It is</w:t>
            </w:r>
            <w:r w:rsidR="00F73FC3" w:rsidRPr="00DC7B52">
              <w:t xml:space="preserve"> a working document which shows all the dates for GPES extractions</w:t>
            </w:r>
            <w:r w:rsidR="002316BA" w:rsidRPr="00DC7B52">
              <w:t xml:space="preserve"> and manual submissions via </w:t>
            </w:r>
            <w:r w:rsidR="002316BA" w:rsidRPr="006E0A8C">
              <w:t>CQRS</w:t>
            </w:r>
            <w:r w:rsidR="00F73FC3" w:rsidRPr="006E0A8C">
              <w:t>.  Practice</w:t>
            </w:r>
            <w:r w:rsidR="00062595" w:rsidRPr="006E0A8C">
              <w:t>s</w:t>
            </w:r>
            <w:r w:rsidR="00F73FC3" w:rsidRPr="006E0A8C">
              <w:t xml:space="preserve"> should view </w:t>
            </w:r>
            <w:r w:rsidR="00F73FC3" w:rsidRPr="00DC7B52">
              <w:t>this regularly as</w:t>
            </w:r>
            <w:r w:rsidR="009C7664" w:rsidRPr="00DC7B52">
              <w:t xml:space="preserve"> the dates can sometimes change. </w:t>
            </w:r>
          </w:p>
        </w:tc>
      </w:tr>
    </w:tbl>
    <w:p w:rsidR="007A5207" w:rsidRDefault="007A52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73FC3" w:rsidTr="006F56F4">
        <w:tc>
          <w:tcPr>
            <w:tcW w:w="9242" w:type="dxa"/>
            <w:shd w:val="clear" w:color="auto" w:fill="D9D9D9" w:themeFill="background1" w:themeFillShade="D9"/>
          </w:tcPr>
          <w:p w:rsidR="00BB3640" w:rsidRPr="004F6FE1" w:rsidRDefault="00F73FC3" w:rsidP="006B184C">
            <w:pPr>
              <w:spacing w:after="0"/>
              <w:rPr>
                <w:b/>
                <w:sz w:val="24"/>
                <w:szCs w:val="24"/>
              </w:rPr>
            </w:pPr>
            <w:r w:rsidRPr="004F6FE1">
              <w:rPr>
                <w:b/>
                <w:sz w:val="24"/>
                <w:szCs w:val="24"/>
              </w:rPr>
              <w:lastRenderedPageBreak/>
              <w:t>Why is there a delay in receiving a response to my email?</w:t>
            </w:r>
          </w:p>
        </w:tc>
      </w:tr>
      <w:tr w:rsidR="00F73FC3" w:rsidTr="00243439">
        <w:tc>
          <w:tcPr>
            <w:tcW w:w="9242" w:type="dxa"/>
            <w:shd w:val="clear" w:color="auto" w:fill="auto"/>
          </w:tcPr>
          <w:p w:rsidR="00062595" w:rsidRPr="006E0A8C" w:rsidRDefault="00062595" w:rsidP="00062595">
            <w:pPr>
              <w:spacing w:after="0" w:line="240" w:lineRule="auto"/>
            </w:pPr>
            <w:r w:rsidRPr="006E0A8C">
              <w:t>Here are some reasons for a delay in receiving a response from the London Team:</w:t>
            </w:r>
          </w:p>
          <w:p w:rsidR="00062595" w:rsidRPr="006E0A8C" w:rsidRDefault="00062595" w:rsidP="00062595">
            <w:pPr>
              <w:pStyle w:val="ListParagraph"/>
              <w:spacing w:after="0" w:line="240" w:lineRule="auto"/>
            </w:pPr>
          </w:p>
          <w:p w:rsidR="00F73FC3" w:rsidRPr="006E0A8C" w:rsidRDefault="00F73FC3" w:rsidP="00243439">
            <w:pPr>
              <w:pStyle w:val="ListParagraph"/>
              <w:numPr>
                <w:ilvl w:val="0"/>
                <w:numId w:val="1"/>
              </w:numPr>
              <w:spacing w:after="0" w:line="240" w:lineRule="auto"/>
            </w:pPr>
            <w:r w:rsidRPr="006E0A8C">
              <w:t>Email</w:t>
            </w:r>
            <w:r w:rsidR="00E02626" w:rsidRPr="006E0A8C">
              <w:t>s</w:t>
            </w:r>
            <w:r w:rsidRPr="006E0A8C">
              <w:t xml:space="preserve"> be</w:t>
            </w:r>
            <w:r w:rsidR="00E02626" w:rsidRPr="006E0A8C">
              <w:t>ing</w:t>
            </w:r>
            <w:r w:rsidRPr="006E0A8C">
              <w:t xml:space="preserve"> sent to</w:t>
            </w:r>
            <w:r w:rsidR="00E02626" w:rsidRPr="006E0A8C">
              <w:t xml:space="preserve"> the</w:t>
            </w:r>
            <w:r w:rsidRPr="006E0A8C">
              <w:t xml:space="preserve"> incorrect address</w:t>
            </w:r>
            <w:r w:rsidR="00062595" w:rsidRPr="006E0A8C">
              <w:t>; the correct email to send it to is:</w:t>
            </w:r>
          </w:p>
          <w:p w:rsidR="00BB3640" w:rsidRDefault="00BB3640" w:rsidP="00062595">
            <w:pPr>
              <w:pStyle w:val="ListParagraph"/>
              <w:spacing w:after="0" w:line="240" w:lineRule="auto"/>
            </w:pPr>
            <w:proofErr w:type="spellStart"/>
            <w:r>
              <w:t>Imms</w:t>
            </w:r>
            <w:proofErr w:type="spellEnd"/>
            <w:r>
              <w:t xml:space="preserve"> Team</w:t>
            </w:r>
            <w:r w:rsidR="00844181" w:rsidRPr="00DC7B52">
              <w:t xml:space="preserve"> – </w:t>
            </w:r>
            <w:hyperlink r:id="rId14" w:history="1">
              <w:r w:rsidRPr="00212F03">
                <w:rPr>
                  <w:rStyle w:val="Hyperlink"/>
                </w:rPr>
                <w:t>england.londonimms@nhs.net</w:t>
              </w:r>
            </w:hyperlink>
            <w:r>
              <w:t xml:space="preserve"> </w:t>
            </w:r>
          </w:p>
          <w:p w:rsidR="00F73FC3" w:rsidRPr="00DC7B52" w:rsidRDefault="00F73FC3" w:rsidP="00243439">
            <w:pPr>
              <w:numPr>
                <w:ilvl w:val="0"/>
                <w:numId w:val="1"/>
              </w:numPr>
              <w:spacing w:after="0" w:line="240" w:lineRule="auto"/>
              <w:contextualSpacing/>
            </w:pPr>
            <w:r w:rsidRPr="00DC7B52">
              <w:t>Emails are not prioritised if a practice is asking for information which is readily available on NHS website</w:t>
            </w:r>
            <w:r w:rsidR="00AE4630" w:rsidRPr="00DC7B52">
              <w:t>s, NHS Digital</w:t>
            </w:r>
            <w:r w:rsidRPr="00DC7B52">
              <w:t>, CQRS or</w:t>
            </w:r>
            <w:r w:rsidR="00E02626" w:rsidRPr="00DC7B52">
              <w:t xml:space="preserve"> has</w:t>
            </w:r>
            <w:r w:rsidRPr="00DC7B52">
              <w:t xml:space="preserve"> already </w:t>
            </w:r>
            <w:r w:rsidR="00E02626" w:rsidRPr="00DC7B52">
              <w:t xml:space="preserve">been </w:t>
            </w:r>
            <w:r w:rsidRPr="00DC7B52">
              <w:t xml:space="preserve">sent to practices. Therefore, it is important to save all information </w:t>
            </w:r>
            <w:r w:rsidR="00E02626" w:rsidRPr="00DC7B52">
              <w:t>sent</w:t>
            </w:r>
            <w:r w:rsidRPr="00DC7B52">
              <w:t xml:space="preserve"> to you.</w:t>
            </w:r>
          </w:p>
          <w:p w:rsidR="00147E7E" w:rsidRPr="00BB3640" w:rsidRDefault="00E02626" w:rsidP="00FC00F9">
            <w:pPr>
              <w:numPr>
                <w:ilvl w:val="0"/>
                <w:numId w:val="1"/>
              </w:numPr>
              <w:spacing w:after="0" w:line="240" w:lineRule="auto"/>
              <w:contextualSpacing/>
              <w:rPr>
                <w:sz w:val="24"/>
                <w:szCs w:val="24"/>
              </w:rPr>
            </w:pPr>
            <w:r w:rsidRPr="00DC7B52">
              <w:t>We receive</w:t>
            </w:r>
            <w:r w:rsidR="00F73FC3" w:rsidRPr="00DC7B52">
              <w:t xml:space="preserve"> a high volume of emails</w:t>
            </w:r>
            <w:r w:rsidRPr="00DC7B52">
              <w:t xml:space="preserve"> and these are prioritised by date of receipt.</w:t>
            </w:r>
          </w:p>
          <w:p w:rsidR="00BB3640" w:rsidRPr="00FC00F9" w:rsidRDefault="00BB3640" w:rsidP="00BB3640">
            <w:pPr>
              <w:spacing w:after="0" w:line="240" w:lineRule="auto"/>
              <w:ind w:left="720"/>
              <w:contextualSpacing/>
              <w:rPr>
                <w:sz w:val="24"/>
                <w:szCs w:val="24"/>
              </w:rPr>
            </w:pPr>
          </w:p>
          <w:p w:rsidR="00BB3640" w:rsidRDefault="00BB3640" w:rsidP="00BB3640">
            <w:pPr>
              <w:pStyle w:val="ListParagraph"/>
              <w:spacing w:after="0" w:line="240" w:lineRule="auto"/>
              <w:ind w:left="0"/>
            </w:pPr>
            <w:r>
              <w:t>We aim to deal with general queries within 2 working days of receipt and process claims within 5 working days of receipt.  Please include your practice code within the subject header.</w:t>
            </w:r>
          </w:p>
          <w:p w:rsidR="00FC00F9" w:rsidRPr="00E77BFD" w:rsidRDefault="00FC00F9" w:rsidP="00654C8D">
            <w:pPr>
              <w:spacing w:after="0" w:line="240" w:lineRule="auto"/>
              <w:ind w:left="720"/>
              <w:contextualSpacing/>
              <w:rPr>
                <w:sz w:val="24"/>
                <w:szCs w:val="24"/>
              </w:rPr>
            </w:pPr>
          </w:p>
        </w:tc>
      </w:tr>
      <w:tr w:rsidR="00F73FC3" w:rsidTr="006F56F4">
        <w:tc>
          <w:tcPr>
            <w:tcW w:w="9242" w:type="dxa"/>
            <w:shd w:val="clear" w:color="auto" w:fill="D9D9D9" w:themeFill="background1" w:themeFillShade="D9"/>
          </w:tcPr>
          <w:p w:rsidR="00F73FC3" w:rsidRPr="004F6FE1" w:rsidRDefault="00F73FC3" w:rsidP="006B184C">
            <w:pPr>
              <w:spacing w:after="0"/>
              <w:rPr>
                <w:b/>
                <w:sz w:val="24"/>
                <w:szCs w:val="24"/>
              </w:rPr>
            </w:pPr>
            <w:r w:rsidRPr="004F6FE1">
              <w:rPr>
                <w:b/>
                <w:sz w:val="24"/>
                <w:szCs w:val="24"/>
              </w:rPr>
              <w:t>GP</w:t>
            </w:r>
            <w:r w:rsidR="00BB3640">
              <w:rPr>
                <w:b/>
                <w:sz w:val="24"/>
                <w:szCs w:val="24"/>
              </w:rPr>
              <w:t xml:space="preserve"> Practice distribution list</w:t>
            </w:r>
          </w:p>
        </w:tc>
      </w:tr>
      <w:tr w:rsidR="00F73FC3" w:rsidTr="00243439">
        <w:tc>
          <w:tcPr>
            <w:tcW w:w="9242" w:type="dxa"/>
            <w:shd w:val="clear" w:color="auto" w:fill="auto"/>
          </w:tcPr>
          <w:p w:rsidR="00B9574B" w:rsidRPr="00DC7B52" w:rsidRDefault="00BB3640" w:rsidP="00B9574B">
            <w:r>
              <w:t xml:space="preserve">The Primary Care Team </w:t>
            </w:r>
            <w:r w:rsidR="004C0700">
              <w:t xml:space="preserve">hold and </w:t>
            </w:r>
            <w:r>
              <w:t xml:space="preserve">maintain the </w:t>
            </w:r>
            <w:r w:rsidR="00F73FC3" w:rsidRPr="00DC7B52">
              <w:t>G</w:t>
            </w:r>
            <w:r w:rsidR="00B9574B" w:rsidRPr="00DC7B52">
              <w:t>P distribution list</w:t>
            </w:r>
            <w:r w:rsidR="004C0700">
              <w:t xml:space="preserve">.  NHS England and Public Health Immunisation Commissioners ask the Primary Care Team to forward </w:t>
            </w:r>
            <w:r w:rsidR="004C0700" w:rsidRPr="006E0A8C">
              <w:t xml:space="preserve">information on </w:t>
            </w:r>
            <w:r w:rsidR="00062595" w:rsidRPr="006E0A8C">
              <w:t>their</w:t>
            </w:r>
            <w:r w:rsidR="004C0700" w:rsidRPr="006E0A8C">
              <w:t xml:space="preserve"> behalf</w:t>
            </w:r>
            <w:r w:rsidR="004C0700">
              <w:t xml:space="preserve">.  </w:t>
            </w:r>
            <w:r w:rsidR="00B9574B" w:rsidRPr="00DC7B52">
              <w:t>Therefore when information comes to your practice you will need to disseminate to the relevant colleague within your practice.</w:t>
            </w:r>
            <w:r w:rsidR="004C0700">
              <w:t xml:space="preserve">  Any queries that arise from these communications should be directed to the Imm</w:t>
            </w:r>
            <w:r w:rsidR="0007736A">
              <w:t>unisation</w:t>
            </w:r>
            <w:r w:rsidR="004C0700">
              <w:t xml:space="preserve"> Team’s generic e-mail address: </w:t>
            </w:r>
            <w:hyperlink r:id="rId15" w:history="1">
              <w:r w:rsidR="004C0700" w:rsidRPr="00212F03">
                <w:rPr>
                  <w:rStyle w:val="Hyperlink"/>
                </w:rPr>
                <w:t>england.londonimms@nhs.net</w:t>
              </w:r>
            </w:hyperlink>
            <w:r w:rsidR="004C0700">
              <w:t xml:space="preserve"> </w:t>
            </w:r>
          </w:p>
          <w:p w:rsidR="004C0700" w:rsidRPr="006E0A8C" w:rsidRDefault="004C0700" w:rsidP="004C0700">
            <w:r w:rsidRPr="006E0A8C">
              <w:t>It is the responsibility of the practice to advise NHS England’s Primary Care Teams of any change</w:t>
            </w:r>
            <w:r w:rsidR="00062595" w:rsidRPr="006E0A8C">
              <w:t>s</w:t>
            </w:r>
            <w:r w:rsidRPr="006E0A8C">
              <w:t xml:space="preserve"> </w:t>
            </w:r>
            <w:r w:rsidR="00062595" w:rsidRPr="006E0A8C">
              <w:t>to their</w:t>
            </w:r>
            <w:r w:rsidRPr="006E0A8C">
              <w:t xml:space="preserve"> contact details.  The NHS England GP distribution list will then be updated to include these changes.</w:t>
            </w:r>
            <w:r w:rsidR="00062595" w:rsidRPr="006E0A8C">
              <w:t xml:space="preserve"> Here are the emails for the Primary Care regional teams:</w:t>
            </w:r>
          </w:p>
          <w:p w:rsidR="004C0700" w:rsidRPr="004C0700" w:rsidRDefault="004C0700" w:rsidP="004C0700">
            <w:pPr>
              <w:spacing w:after="0"/>
            </w:pPr>
            <w:r w:rsidRPr="004C0700">
              <w:t xml:space="preserve">North East: </w:t>
            </w:r>
            <w:hyperlink r:id="rId16" w:history="1">
              <w:r w:rsidRPr="004C0700">
                <w:rPr>
                  <w:rStyle w:val="Hyperlink"/>
                </w:rPr>
                <w:t>england.nel-primarycare@nhs.net</w:t>
              </w:r>
            </w:hyperlink>
            <w:r w:rsidRPr="004C0700">
              <w:t xml:space="preserve"> </w:t>
            </w:r>
          </w:p>
          <w:p w:rsidR="004C0700" w:rsidRPr="004C0700" w:rsidRDefault="004C0700" w:rsidP="004C0700">
            <w:pPr>
              <w:spacing w:after="0"/>
            </w:pPr>
            <w:r w:rsidRPr="004C0700">
              <w:t xml:space="preserve">North West: </w:t>
            </w:r>
            <w:hyperlink r:id="rId17" w:history="1">
              <w:r w:rsidRPr="004C0700">
                <w:rPr>
                  <w:rStyle w:val="Hyperlink"/>
                </w:rPr>
                <w:t>england.lon-nw-pcc@nhs.net</w:t>
              </w:r>
            </w:hyperlink>
            <w:r w:rsidRPr="004C0700">
              <w:t xml:space="preserve"> </w:t>
            </w:r>
          </w:p>
          <w:p w:rsidR="004C0700" w:rsidRPr="004C0700" w:rsidRDefault="004C0700" w:rsidP="004C0700">
            <w:pPr>
              <w:spacing w:after="0"/>
            </w:pPr>
            <w:r w:rsidRPr="004C0700">
              <w:t xml:space="preserve">North Central: </w:t>
            </w:r>
            <w:hyperlink r:id="rId18" w:history="1">
              <w:r w:rsidRPr="004C0700">
                <w:rPr>
                  <w:rStyle w:val="Hyperlink"/>
                </w:rPr>
                <w:t>england.lon-nc-pcc@nhs.net</w:t>
              </w:r>
            </w:hyperlink>
            <w:r w:rsidRPr="004C0700">
              <w:t xml:space="preserve"> </w:t>
            </w:r>
          </w:p>
          <w:p w:rsidR="004C0700" w:rsidRPr="004C0700" w:rsidRDefault="004C0700" w:rsidP="004C0700">
            <w:pPr>
              <w:spacing w:after="0"/>
            </w:pPr>
            <w:r w:rsidRPr="004C0700">
              <w:t xml:space="preserve">South West: </w:t>
            </w:r>
            <w:hyperlink r:id="rId19" w:history="1">
              <w:r w:rsidRPr="004C0700">
                <w:rPr>
                  <w:rStyle w:val="Hyperlink"/>
                </w:rPr>
                <w:t>england.swlprimarycare@nhs.net</w:t>
              </w:r>
            </w:hyperlink>
            <w:r w:rsidRPr="004C0700">
              <w:t xml:space="preserve">     </w:t>
            </w:r>
          </w:p>
          <w:p w:rsidR="00372050" w:rsidRPr="004F6FE1" w:rsidRDefault="004C0700" w:rsidP="004C0700">
            <w:pPr>
              <w:rPr>
                <w:sz w:val="24"/>
                <w:szCs w:val="24"/>
              </w:rPr>
            </w:pPr>
            <w:r w:rsidRPr="004C0700">
              <w:t xml:space="preserve">South East: </w:t>
            </w:r>
            <w:hyperlink r:id="rId20" w:history="1">
              <w:r w:rsidRPr="004C0700">
                <w:rPr>
                  <w:rStyle w:val="Hyperlink"/>
                </w:rPr>
                <w:t>england.selprimarycarequeries@nhs.net</w:t>
              </w:r>
            </w:hyperlink>
          </w:p>
        </w:tc>
      </w:tr>
      <w:tr w:rsidR="00147E7E" w:rsidTr="002D2871">
        <w:tc>
          <w:tcPr>
            <w:tcW w:w="9242" w:type="dxa"/>
            <w:shd w:val="clear" w:color="auto" w:fill="D9D9D9" w:themeFill="background1" w:themeFillShade="D9"/>
          </w:tcPr>
          <w:p w:rsidR="00147E7E" w:rsidRPr="002D2871" w:rsidRDefault="00147E7E" w:rsidP="00FC00F9">
            <w:pPr>
              <w:spacing w:after="0"/>
              <w:rPr>
                <w:b/>
                <w:sz w:val="24"/>
                <w:szCs w:val="24"/>
              </w:rPr>
            </w:pPr>
            <w:r w:rsidRPr="002D2871">
              <w:rPr>
                <w:b/>
                <w:sz w:val="24"/>
                <w:szCs w:val="24"/>
              </w:rPr>
              <w:t>Is there training available for the CQRS system?</w:t>
            </w:r>
          </w:p>
        </w:tc>
      </w:tr>
      <w:tr w:rsidR="00147E7E" w:rsidTr="00243439">
        <w:tc>
          <w:tcPr>
            <w:tcW w:w="9242" w:type="dxa"/>
            <w:shd w:val="clear" w:color="auto" w:fill="auto"/>
          </w:tcPr>
          <w:p w:rsidR="002D2871" w:rsidRPr="0067284E" w:rsidRDefault="00147E7E" w:rsidP="0067284E">
            <w:pPr>
              <w:spacing w:after="120"/>
            </w:pPr>
            <w:r w:rsidRPr="007216DA">
              <w:t>Yes.  You can access the CQRS Le</w:t>
            </w:r>
            <w:r w:rsidR="002D2871" w:rsidRPr="007216DA">
              <w:t>arning Centre on the system where online courses are available.</w:t>
            </w:r>
            <w:r w:rsidR="0067284E">
              <w:t xml:space="preserve">  </w:t>
            </w:r>
            <w:r w:rsidR="00062DBA" w:rsidRPr="007216DA">
              <w:t>We do not provide practice training on CQRS</w:t>
            </w:r>
            <w:r w:rsidR="00062DBA" w:rsidRPr="00062595">
              <w:t>.</w:t>
            </w:r>
          </w:p>
        </w:tc>
      </w:tr>
      <w:tr w:rsidR="00147E7E" w:rsidTr="00147E7E">
        <w:tc>
          <w:tcPr>
            <w:tcW w:w="9242" w:type="dxa"/>
            <w:shd w:val="clear" w:color="auto" w:fill="D9D9D9" w:themeFill="background1" w:themeFillShade="D9"/>
          </w:tcPr>
          <w:p w:rsidR="00147E7E" w:rsidRPr="004F6FE1" w:rsidRDefault="00147E7E" w:rsidP="00FC00F9">
            <w:pPr>
              <w:spacing w:after="0"/>
              <w:rPr>
                <w:sz w:val="24"/>
                <w:szCs w:val="24"/>
              </w:rPr>
            </w:pPr>
            <w:r w:rsidRPr="004F6FE1">
              <w:rPr>
                <w:b/>
                <w:sz w:val="24"/>
                <w:szCs w:val="24"/>
              </w:rPr>
              <w:t>How do I contact CQRS for technical support?</w:t>
            </w:r>
          </w:p>
        </w:tc>
      </w:tr>
      <w:tr w:rsidR="00147E7E" w:rsidTr="00243439">
        <w:tc>
          <w:tcPr>
            <w:tcW w:w="9242" w:type="dxa"/>
            <w:shd w:val="clear" w:color="auto" w:fill="auto"/>
          </w:tcPr>
          <w:p w:rsidR="00F05EB2" w:rsidRDefault="00147E7E" w:rsidP="00795864">
            <w:pPr>
              <w:spacing w:after="0"/>
              <w:rPr>
                <w:b/>
              </w:rPr>
            </w:pPr>
            <w:r w:rsidRPr="007216DA">
              <w:t>For any technical queries about the CQRS system please contact:</w:t>
            </w:r>
            <w:r w:rsidR="00FC00F9">
              <w:rPr>
                <w:b/>
              </w:rPr>
              <w:br/>
            </w:r>
            <w:r w:rsidRPr="007216DA">
              <w:t>CQRS technical support -</w:t>
            </w:r>
            <w:r w:rsidRPr="007216DA">
              <w:rPr>
                <w:b/>
              </w:rPr>
              <w:t xml:space="preserve"> </w:t>
            </w:r>
            <w:hyperlink r:id="rId21" w:history="1">
              <w:r w:rsidRPr="00294B69">
                <w:rPr>
                  <w:color w:val="0000FF"/>
                  <w:u w:val="single"/>
                </w:rPr>
                <w:t>support@cqrs.co.uk</w:t>
              </w:r>
            </w:hyperlink>
            <w:r w:rsidR="00294B69">
              <w:rPr>
                <w:b/>
              </w:rPr>
              <w:t xml:space="preserve"> </w:t>
            </w:r>
          </w:p>
          <w:p w:rsidR="00F05EB2" w:rsidRDefault="00F05EB2" w:rsidP="00795864">
            <w:pPr>
              <w:spacing w:after="0"/>
            </w:pPr>
            <w:r>
              <w:t xml:space="preserve">CQRS </w:t>
            </w:r>
            <w:r w:rsidR="00294B69">
              <w:t xml:space="preserve">service desk - </w:t>
            </w:r>
            <w:hyperlink r:id="rId22" w:history="1">
              <w:r w:rsidR="00294B69" w:rsidRPr="00212F03">
                <w:rPr>
                  <w:rStyle w:val="Hyperlink"/>
                </w:rPr>
                <w:t>CQRSServiceDesk@GDIT.com</w:t>
              </w:r>
            </w:hyperlink>
            <w:r w:rsidRPr="00F05EB2">
              <w:rPr>
                <w:rStyle w:val="Hyperlink"/>
                <w:u w:val="none"/>
              </w:rPr>
              <w:t xml:space="preserve">  </w:t>
            </w:r>
            <w:r w:rsidRPr="00F05EB2">
              <w:rPr>
                <w:rStyle w:val="Hyperlink"/>
                <w:color w:val="auto"/>
                <w:u w:val="none"/>
              </w:rPr>
              <w:t>Tel:</w:t>
            </w:r>
            <w:r w:rsidR="006E0A8C" w:rsidRPr="00F05EB2">
              <w:t xml:space="preserve"> </w:t>
            </w:r>
            <w:r w:rsidR="006E0A8C" w:rsidRPr="006E0A8C">
              <w:t>0800 440 2777 (Mon-Fri 8am to 6pm)</w:t>
            </w:r>
          </w:p>
          <w:p w:rsidR="00294B69" w:rsidRDefault="00294B69" w:rsidP="00795864">
            <w:pPr>
              <w:spacing w:after="0"/>
            </w:pPr>
            <w:r>
              <w:t xml:space="preserve">Information about General Practice (GP) Collections can be found on the NHS Digital website: </w:t>
            </w:r>
            <w:hyperlink r:id="rId23" w:history="1">
              <w:r w:rsidRPr="00212F03">
                <w:rPr>
                  <w:rStyle w:val="Hyperlink"/>
                </w:rPr>
                <w:t>https://digital.nhs.uk/GP-Collections</w:t>
              </w:r>
            </w:hyperlink>
            <w:r>
              <w:t xml:space="preserve"> </w:t>
            </w:r>
          </w:p>
          <w:p w:rsidR="00795864" w:rsidRDefault="00795864" w:rsidP="00795864">
            <w:pPr>
              <w:spacing w:after="0"/>
            </w:pPr>
            <w:r>
              <w:t>Training guides:</w:t>
            </w:r>
            <w:r w:rsidRPr="00795864">
              <w:t xml:space="preserve">  </w:t>
            </w:r>
            <w:hyperlink r:id="rId24" w:history="1">
              <w:r w:rsidRPr="00EE45AB">
                <w:rPr>
                  <w:rStyle w:val="Hyperlink"/>
                </w:rPr>
                <w:t>https://training.cqrs.nhs.uk/user-guides</w:t>
              </w:r>
            </w:hyperlink>
            <w:r>
              <w:t xml:space="preserve"> </w:t>
            </w:r>
          </w:p>
          <w:p w:rsidR="00AB3487" w:rsidRPr="00294B69" w:rsidRDefault="00AB3487" w:rsidP="00AB3487">
            <w:pPr>
              <w:spacing w:after="0"/>
            </w:pPr>
            <w:r>
              <w:t xml:space="preserve">GP Practice Bulletin: </w:t>
            </w:r>
            <w:hyperlink r:id="rId25" w:history="1">
              <w:r w:rsidRPr="00EC60D0">
                <w:rPr>
                  <w:rStyle w:val="Hyperlink"/>
                </w:rPr>
                <w:t>https://dig</w:t>
              </w:r>
              <w:r w:rsidRPr="00EC60D0">
                <w:rPr>
                  <w:rStyle w:val="Hyperlink"/>
                </w:rPr>
                <w:t>i</w:t>
              </w:r>
              <w:r w:rsidRPr="00EC60D0">
                <w:rPr>
                  <w:rStyle w:val="Hyperlink"/>
                </w:rPr>
                <w:t>tal.nhs.uk/bulletins</w:t>
              </w:r>
            </w:hyperlink>
            <w:r>
              <w:t xml:space="preserve"> </w:t>
            </w:r>
          </w:p>
        </w:tc>
      </w:tr>
    </w:tbl>
    <w:p w:rsidR="00F73FC3" w:rsidRDefault="00F73FC3" w:rsidP="00F73FC3">
      <w:pPr>
        <w:spacing w:after="0"/>
        <w:jc w:val="both"/>
        <w:rPr>
          <w:rFonts w:ascii="Arial" w:hAnsi="Arial" w:cs="Arial"/>
          <w:color w:val="000000"/>
        </w:rPr>
      </w:pPr>
    </w:p>
    <w:p w:rsidR="00F73FC3" w:rsidRDefault="00F73FC3" w:rsidP="00F73FC3">
      <w:pPr>
        <w:spacing w:after="0"/>
        <w:jc w:val="both"/>
        <w:rPr>
          <w:rFonts w:ascii="Arial" w:hAnsi="Arial" w:cs="Arial"/>
          <w:color w:val="000000"/>
        </w:rPr>
      </w:pPr>
    </w:p>
    <w:sectPr w:rsidR="00F73FC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09" w:rsidRDefault="001C3809" w:rsidP="00F73FC3">
      <w:pPr>
        <w:spacing w:after="0" w:line="240" w:lineRule="auto"/>
      </w:pPr>
      <w:r>
        <w:separator/>
      </w:r>
    </w:p>
  </w:endnote>
  <w:endnote w:type="continuationSeparator" w:id="0">
    <w:p w:rsidR="001C3809" w:rsidRDefault="001C3809" w:rsidP="00F7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BA" w:rsidRDefault="0007736A">
    <w:pPr>
      <w:pStyle w:val="Footer"/>
    </w:pPr>
    <w:r>
      <w:t>NHS England – London Immunisation Payments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09" w:rsidRDefault="001C3809" w:rsidP="00F73FC3">
      <w:pPr>
        <w:spacing w:after="0" w:line="240" w:lineRule="auto"/>
      </w:pPr>
      <w:r>
        <w:separator/>
      </w:r>
    </w:p>
  </w:footnote>
  <w:footnote w:type="continuationSeparator" w:id="0">
    <w:p w:rsidR="001C3809" w:rsidRDefault="001C3809" w:rsidP="00F7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31" w:rsidRDefault="00350DD9">
    <w:pPr>
      <w:pStyle w:val="Header"/>
    </w:pPr>
    <w:r>
      <w:t xml:space="preserve">Issue </w:t>
    </w:r>
    <w:r w:rsidR="0007736A">
      <w:t>1</w:t>
    </w:r>
    <w:r>
      <w:t xml:space="preserve"> – </w:t>
    </w:r>
    <w:r w:rsidR="00F05EB2">
      <w:t>March</w:t>
    </w:r>
    <w:r w:rsidR="0007736A">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E64"/>
    <w:multiLevelType w:val="hybridMultilevel"/>
    <w:tmpl w:val="B2BA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C3"/>
    <w:rsid w:val="00013AE9"/>
    <w:rsid w:val="00062595"/>
    <w:rsid w:val="00062DBA"/>
    <w:rsid w:val="0007736A"/>
    <w:rsid w:val="000936EF"/>
    <w:rsid w:val="000A0C84"/>
    <w:rsid w:val="000D7CD9"/>
    <w:rsid w:val="00121ED9"/>
    <w:rsid w:val="001363BC"/>
    <w:rsid w:val="00147E7E"/>
    <w:rsid w:val="0016575E"/>
    <w:rsid w:val="0019775A"/>
    <w:rsid w:val="001C3809"/>
    <w:rsid w:val="001F4BF8"/>
    <w:rsid w:val="00230D04"/>
    <w:rsid w:val="002316BA"/>
    <w:rsid w:val="0025037C"/>
    <w:rsid w:val="0028436B"/>
    <w:rsid w:val="002938C6"/>
    <w:rsid w:val="00294B69"/>
    <w:rsid w:val="002D2871"/>
    <w:rsid w:val="002E79C9"/>
    <w:rsid w:val="00325B14"/>
    <w:rsid w:val="00335E21"/>
    <w:rsid w:val="00350DD9"/>
    <w:rsid w:val="00372050"/>
    <w:rsid w:val="003907F6"/>
    <w:rsid w:val="00397559"/>
    <w:rsid w:val="003A2092"/>
    <w:rsid w:val="003F1DBD"/>
    <w:rsid w:val="004021E9"/>
    <w:rsid w:val="00421FC5"/>
    <w:rsid w:val="00457267"/>
    <w:rsid w:val="0045766E"/>
    <w:rsid w:val="00470229"/>
    <w:rsid w:val="00477D48"/>
    <w:rsid w:val="004906B1"/>
    <w:rsid w:val="004C0700"/>
    <w:rsid w:val="004D10EE"/>
    <w:rsid w:val="004D2E11"/>
    <w:rsid w:val="004D3FE8"/>
    <w:rsid w:val="00522165"/>
    <w:rsid w:val="005249FF"/>
    <w:rsid w:val="00560C2E"/>
    <w:rsid w:val="00581830"/>
    <w:rsid w:val="00591029"/>
    <w:rsid w:val="005E0731"/>
    <w:rsid w:val="005F2209"/>
    <w:rsid w:val="005F7C78"/>
    <w:rsid w:val="00634084"/>
    <w:rsid w:val="0063537F"/>
    <w:rsid w:val="00654C8D"/>
    <w:rsid w:val="0067284E"/>
    <w:rsid w:val="00675E29"/>
    <w:rsid w:val="0068473A"/>
    <w:rsid w:val="006876F1"/>
    <w:rsid w:val="006969C4"/>
    <w:rsid w:val="006977B3"/>
    <w:rsid w:val="006B184C"/>
    <w:rsid w:val="006E0A8C"/>
    <w:rsid w:val="006E5376"/>
    <w:rsid w:val="006F56F4"/>
    <w:rsid w:val="006F6EB9"/>
    <w:rsid w:val="00702539"/>
    <w:rsid w:val="007216DA"/>
    <w:rsid w:val="007466A4"/>
    <w:rsid w:val="00795864"/>
    <w:rsid w:val="007A5207"/>
    <w:rsid w:val="007C3E25"/>
    <w:rsid w:val="007F3809"/>
    <w:rsid w:val="00825E0D"/>
    <w:rsid w:val="00844181"/>
    <w:rsid w:val="008A4A20"/>
    <w:rsid w:val="008B13D0"/>
    <w:rsid w:val="008B213F"/>
    <w:rsid w:val="00903B66"/>
    <w:rsid w:val="0092144F"/>
    <w:rsid w:val="009C7664"/>
    <w:rsid w:val="00A133FE"/>
    <w:rsid w:val="00A17840"/>
    <w:rsid w:val="00A228D9"/>
    <w:rsid w:val="00A35E62"/>
    <w:rsid w:val="00A61E2D"/>
    <w:rsid w:val="00A75244"/>
    <w:rsid w:val="00A97BB6"/>
    <w:rsid w:val="00AB3487"/>
    <w:rsid w:val="00AD3C58"/>
    <w:rsid w:val="00AE4630"/>
    <w:rsid w:val="00AF5DEF"/>
    <w:rsid w:val="00B11D46"/>
    <w:rsid w:val="00B20E1C"/>
    <w:rsid w:val="00B825D6"/>
    <w:rsid w:val="00B9574B"/>
    <w:rsid w:val="00BB3640"/>
    <w:rsid w:val="00BB7D61"/>
    <w:rsid w:val="00BD2158"/>
    <w:rsid w:val="00C34F60"/>
    <w:rsid w:val="00C55451"/>
    <w:rsid w:val="00CE56DD"/>
    <w:rsid w:val="00CE7460"/>
    <w:rsid w:val="00D157E3"/>
    <w:rsid w:val="00D35860"/>
    <w:rsid w:val="00D400D1"/>
    <w:rsid w:val="00D7712A"/>
    <w:rsid w:val="00D81CC8"/>
    <w:rsid w:val="00D86244"/>
    <w:rsid w:val="00DC7437"/>
    <w:rsid w:val="00DC7B52"/>
    <w:rsid w:val="00DE3ADF"/>
    <w:rsid w:val="00DF0450"/>
    <w:rsid w:val="00E02626"/>
    <w:rsid w:val="00E05B7F"/>
    <w:rsid w:val="00E25F56"/>
    <w:rsid w:val="00E40D29"/>
    <w:rsid w:val="00E42CD8"/>
    <w:rsid w:val="00E86DD0"/>
    <w:rsid w:val="00EB7BBC"/>
    <w:rsid w:val="00EF10C7"/>
    <w:rsid w:val="00F05EB2"/>
    <w:rsid w:val="00F06076"/>
    <w:rsid w:val="00F5533F"/>
    <w:rsid w:val="00F55B51"/>
    <w:rsid w:val="00F564F2"/>
    <w:rsid w:val="00F73FC3"/>
    <w:rsid w:val="00FC00F9"/>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3FC3"/>
    <w:rPr>
      <w:color w:val="0000FF"/>
      <w:u w:val="single"/>
    </w:rPr>
  </w:style>
  <w:style w:type="paragraph" w:styleId="ListParagraph">
    <w:name w:val="List Paragraph"/>
    <w:basedOn w:val="Normal"/>
    <w:uiPriority w:val="34"/>
    <w:qFormat/>
    <w:rsid w:val="00F73FC3"/>
    <w:pPr>
      <w:ind w:left="720"/>
      <w:contextualSpacing/>
    </w:pPr>
  </w:style>
  <w:style w:type="paragraph" w:styleId="Header">
    <w:name w:val="header"/>
    <w:basedOn w:val="Normal"/>
    <w:link w:val="HeaderChar"/>
    <w:uiPriority w:val="99"/>
    <w:unhideWhenUsed/>
    <w:rsid w:val="00F7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C3"/>
    <w:rPr>
      <w:rFonts w:ascii="Calibri" w:eastAsia="Calibri" w:hAnsi="Calibri" w:cs="Times New Roman"/>
    </w:rPr>
  </w:style>
  <w:style w:type="paragraph" w:styleId="Footer">
    <w:name w:val="footer"/>
    <w:basedOn w:val="Normal"/>
    <w:link w:val="FooterChar"/>
    <w:uiPriority w:val="99"/>
    <w:unhideWhenUsed/>
    <w:rsid w:val="00F7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C3"/>
    <w:rPr>
      <w:rFonts w:ascii="Calibri" w:eastAsia="Calibri" w:hAnsi="Calibri" w:cs="Times New Roman"/>
    </w:rPr>
  </w:style>
  <w:style w:type="character" w:styleId="FollowedHyperlink">
    <w:name w:val="FollowedHyperlink"/>
    <w:basedOn w:val="DefaultParagraphFont"/>
    <w:uiPriority w:val="99"/>
    <w:semiHidden/>
    <w:unhideWhenUsed/>
    <w:rsid w:val="00844181"/>
    <w:rPr>
      <w:color w:val="800080" w:themeColor="followedHyperlink"/>
      <w:u w:val="single"/>
    </w:rPr>
  </w:style>
  <w:style w:type="character" w:styleId="CommentReference">
    <w:name w:val="annotation reference"/>
    <w:basedOn w:val="DefaultParagraphFont"/>
    <w:uiPriority w:val="99"/>
    <w:semiHidden/>
    <w:unhideWhenUsed/>
    <w:rsid w:val="00522165"/>
    <w:rPr>
      <w:sz w:val="16"/>
      <w:szCs w:val="16"/>
    </w:rPr>
  </w:style>
  <w:style w:type="paragraph" w:styleId="CommentText">
    <w:name w:val="annotation text"/>
    <w:basedOn w:val="Normal"/>
    <w:link w:val="CommentTextChar"/>
    <w:uiPriority w:val="99"/>
    <w:semiHidden/>
    <w:unhideWhenUsed/>
    <w:rsid w:val="00522165"/>
    <w:pPr>
      <w:spacing w:line="240" w:lineRule="auto"/>
    </w:pPr>
    <w:rPr>
      <w:sz w:val="20"/>
      <w:szCs w:val="20"/>
    </w:rPr>
  </w:style>
  <w:style w:type="character" w:customStyle="1" w:styleId="CommentTextChar">
    <w:name w:val="Comment Text Char"/>
    <w:basedOn w:val="DefaultParagraphFont"/>
    <w:link w:val="CommentText"/>
    <w:uiPriority w:val="99"/>
    <w:semiHidden/>
    <w:rsid w:val="005221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2165"/>
    <w:rPr>
      <w:b/>
      <w:bCs/>
    </w:rPr>
  </w:style>
  <w:style w:type="character" w:customStyle="1" w:styleId="CommentSubjectChar">
    <w:name w:val="Comment Subject Char"/>
    <w:basedOn w:val="CommentTextChar"/>
    <w:link w:val="CommentSubject"/>
    <w:uiPriority w:val="99"/>
    <w:semiHidden/>
    <w:rsid w:val="005221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2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3FC3"/>
    <w:rPr>
      <w:color w:val="0000FF"/>
      <w:u w:val="single"/>
    </w:rPr>
  </w:style>
  <w:style w:type="paragraph" w:styleId="ListParagraph">
    <w:name w:val="List Paragraph"/>
    <w:basedOn w:val="Normal"/>
    <w:uiPriority w:val="34"/>
    <w:qFormat/>
    <w:rsid w:val="00F73FC3"/>
    <w:pPr>
      <w:ind w:left="720"/>
      <w:contextualSpacing/>
    </w:pPr>
  </w:style>
  <w:style w:type="paragraph" w:styleId="Header">
    <w:name w:val="header"/>
    <w:basedOn w:val="Normal"/>
    <w:link w:val="HeaderChar"/>
    <w:uiPriority w:val="99"/>
    <w:unhideWhenUsed/>
    <w:rsid w:val="00F7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C3"/>
    <w:rPr>
      <w:rFonts w:ascii="Calibri" w:eastAsia="Calibri" w:hAnsi="Calibri" w:cs="Times New Roman"/>
    </w:rPr>
  </w:style>
  <w:style w:type="paragraph" w:styleId="Footer">
    <w:name w:val="footer"/>
    <w:basedOn w:val="Normal"/>
    <w:link w:val="FooterChar"/>
    <w:uiPriority w:val="99"/>
    <w:unhideWhenUsed/>
    <w:rsid w:val="00F7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C3"/>
    <w:rPr>
      <w:rFonts w:ascii="Calibri" w:eastAsia="Calibri" w:hAnsi="Calibri" w:cs="Times New Roman"/>
    </w:rPr>
  </w:style>
  <w:style w:type="character" w:styleId="FollowedHyperlink">
    <w:name w:val="FollowedHyperlink"/>
    <w:basedOn w:val="DefaultParagraphFont"/>
    <w:uiPriority w:val="99"/>
    <w:semiHidden/>
    <w:unhideWhenUsed/>
    <w:rsid w:val="00844181"/>
    <w:rPr>
      <w:color w:val="800080" w:themeColor="followedHyperlink"/>
      <w:u w:val="single"/>
    </w:rPr>
  </w:style>
  <w:style w:type="character" w:styleId="CommentReference">
    <w:name w:val="annotation reference"/>
    <w:basedOn w:val="DefaultParagraphFont"/>
    <w:uiPriority w:val="99"/>
    <w:semiHidden/>
    <w:unhideWhenUsed/>
    <w:rsid w:val="00522165"/>
    <w:rPr>
      <w:sz w:val="16"/>
      <w:szCs w:val="16"/>
    </w:rPr>
  </w:style>
  <w:style w:type="paragraph" w:styleId="CommentText">
    <w:name w:val="annotation text"/>
    <w:basedOn w:val="Normal"/>
    <w:link w:val="CommentTextChar"/>
    <w:uiPriority w:val="99"/>
    <w:semiHidden/>
    <w:unhideWhenUsed/>
    <w:rsid w:val="00522165"/>
    <w:pPr>
      <w:spacing w:line="240" w:lineRule="auto"/>
    </w:pPr>
    <w:rPr>
      <w:sz w:val="20"/>
      <w:szCs w:val="20"/>
    </w:rPr>
  </w:style>
  <w:style w:type="character" w:customStyle="1" w:styleId="CommentTextChar">
    <w:name w:val="Comment Text Char"/>
    <w:basedOn w:val="DefaultParagraphFont"/>
    <w:link w:val="CommentText"/>
    <w:uiPriority w:val="99"/>
    <w:semiHidden/>
    <w:rsid w:val="005221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2165"/>
    <w:rPr>
      <w:b/>
      <w:bCs/>
    </w:rPr>
  </w:style>
  <w:style w:type="character" w:customStyle="1" w:styleId="CommentSubjectChar">
    <w:name w:val="Comment Subject Char"/>
    <w:basedOn w:val="CommentTextChar"/>
    <w:link w:val="CommentSubject"/>
    <w:uiPriority w:val="99"/>
    <w:semiHidden/>
    <w:rsid w:val="005221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2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employers.org/your-workforce/primary-care-contacts/general-medical-services/vaccination-and-immunisation/2017-18-vaccinations-and-immunisations" TargetMode="External"/><Relationship Id="rId18" Type="http://schemas.openxmlformats.org/officeDocument/2006/relationships/hyperlink" Target="mailto:england.lon-nc-pcc@nh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upport@cqrs.co.uk" TargetMode="External"/><Relationship Id="rId7" Type="http://schemas.openxmlformats.org/officeDocument/2006/relationships/footnotes" Target="footnotes.xml"/><Relationship Id="rId12" Type="http://schemas.openxmlformats.org/officeDocument/2006/relationships/hyperlink" Target="https://www.england.nhs.uk/commissioning/pub-hlth-res/" TargetMode="External"/><Relationship Id="rId17" Type="http://schemas.openxmlformats.org/officeDocument/2006/relationships/hyperlink" Target="mailto:england.lon-nw-pcc@nhs.net" TargetMode="External"/><Relationship Id="rId25" Type="http://schemas.openxmlformats.org/officeDocument/2006/relationships/hyperlink" Target="https://digital.nhs.uk/bulletins" TargetMode="External"/><Relationship Id="rId2" Type="http://schemas.openxmlformats.org/officeDocument/2006/relationships/numbering" Target="numbering.xml"/><Relationship Id="rId16" Type="http://schemas.openxmlformats.org/officeDocument/2006/relationships/hyperlink" Target="mailto:england.nel-primarycare@nhs.net" TargetMode="External"/><Relationship Id="rId20" Type="http://schemas.openxmlformats.org/officeDocument/2006/relationships/hyperlink" Target="mailto:england.selprimarycarequeries@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se.england.nhs.uk/contact-us" TargetMode="External"/><Relationship Id="rId24" Type="http://schemas.openxmlformats.org/officeDocument/2006/relationships/hyperlink" Target="https://training.cqrs.nhs.uk/user-guides" TargetMode="External"/><Relationship Id="rId5" Type="http://schemas.openxmlformats.org/officeDocument/2006/relationships/settings" Target="settings.xml"/><Relationship Id="rId15" Type="http://schemas.openxmlformats.org/officeDocument/2006/relationships/hyperlink" Target="mailto:england.londonimms@nhs.net" TargetMode="External"/><Relationship Id="rId23" Type="http://schemas.openxmlformats.org/officeDocument/2006/relationships/hyperlink" Target="https://digital.nhs.uk/GP-Collections" TargetMode="External"/><Relationship Id="rId28" Type="http://schemas.openxmlformats.org/officeDocument/2006/relationships/fontTable" Target="fontTable.xml"/><Relationship Id="rId10" Type="http://schemas.openxmlformats.org/officeDocument/2006/relationships/hyperlink" Target="mailto:england.londonimms@nhs.net" TargetMode="External"/><Relationship Id="rId19" Type="http://schemas.openxmlformats.org/officeDocument/2006/relationships/hyperlink" Target="mailto:england.swlprimarycare@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gland.londonimms@nhs.net" TargetMode="External"/><Relationship Id="rId22" Type="http://schemas.openxmlformats.org/officeDocument/2006/relationships/hyperlink" Target="mailto:CQRSServiceDesk@GDIT.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CAAF-6A12-4AC1-9193-346ADA0B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Sullivan, Zoe</cp:lastModifiedBy>
  <cp:revision>3</cp:revision>
  <dcterms:created xsi:type="dcterms:W3CDTF">2018-03-08T09:54:00Z</dcterms:created>
  <dcterms:modified xsi:type="dcterms:W3CDTF">2018-03-08T10:03:00Z</dcterms:modified>
</cp:coreProperties>
</file>