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5A880" w14:textId="75D1C6DC" w:rsidR="00420964" w:rsidRDefault="00420964">
      <w:r>
        <w:tab/>
      </w:r>
      <w:r>
        <w:tab/>
      </w:r>
      <w:r>
        <w:tab/>
      </w:r>
      <w:r>
        <w:tab/>
      </w:r>
      <w:r>
        <w:tab/>
      </w:r>
      <w:r>
        <w:tab/>
      </w:r>
      <w:r>
        <w:tab/>
      </w:r>
      <w:r>
        <w:tab/>
      </w:r>
      <w:r>
        <w:tab/>
      </w:r>
      <w:r w:rsidR="002F7EDB">
        <w:tab/>
      </w:r>
    </w:p>
    <w:p w14:paraId="363E21A6" w14:textId="04D0CC7B" w:rsidR="00420964" w:rsidRPr="00420964" w:rsidRDefault="00420964" w:rsidP="00420964"/>
    <w:p w14:paraId="089DAD68" w14:textId="25CD3258" w:rsidR="00420964" w:rsidRPr="00420964" w:rsidRDefault="002F7EDB" w:rsidP="00420964">
      <w:r>
        <w:tab/>
      </w:r>
      <w:r>
        <w:tab/>
      </w:r>
      <w:r>
        <w:tab/>
      </w:r>
      <w:r>
        <w:tab/>
      </w:r>
      <w:r>
        <w:tab/>
      </w:r>
      <w:r>
        <w:tab/>
      </w:r>
      <w:r>
        <w:tab/>
      </w:r>
    </w:p>
    <w:p w14:paraId="241228ED" w14:textId="4C1125F3" w:rsidR="00420964" w:rsidRPr="00420964" w:rsidRDefault="00CE7B22" w:rsidP="00420964">
      <w:r w:rsidRPr="00C34FA0">
        <w:rPr>
          <w:rFonts w:ascii="Arial" w:hAnsi="Arial" w:cs="Arial"/>
          <w:noProof/>
          <w:lang w:eastAsia="en-GB"/>
        </w:rPr>
        <mc:AlternateContent>
          <mc:Choice Requires="wps">
            <w:drawing>
              <wp:anchor distT="0" distB="0" distL="114300" distR="114300" simplePos="0" relativeHeight="251659264" behindDoc="0" locked="0" layoutInCell="1" allowOverlap="1" wp14:anchorId="16EFEA6E" wp14:editId="6BD95825">
                <wp:simplePos x="0" y="0"/>
                <wp:positionH relativeFrom="column">
                  <wp:posOffset>167182</wp:posOffset>
                </wp:positionH>
                <wp:positionV relativeFrom="paragraph">
                  <wp:posOffset>150318</wp:posOffset>
                </wp:positionV>
                <wp:extent cx="3543300" cy="12573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35433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36BFC4" w14:textId="77777777" w:rsidR="003D0A82" w:rsidRPr="00B86391" w:rsidRDefault="003D0A82" w:rsidP="00420964">
                            <w:pPr>
                              <w:rPr>
                                <w:rFonts w:ascii="Arial" w:hAnsi="Arial" w:cs="Arial"/>
                                <w:color w:val="003E00"/>
                                <w:sz w:val="28"/>
                                <w:szCs w:val="28"/>
                              </w:rPr>
                            </w:pPr>
                            <w:r w:rsidRPr="00B86391">
                              <w:rPr>
                                <w:rFonts w:ascii="Arial" w:hAnsi="Arial" w:cs="Arial"/>
                                <w:b/>
                                <w:color w:val="003E00"/>
                                <w:sz w:val="28"/>
                                <w:szCs w:val="28"/>
                              </w:rPr>
                              <w:t>PSYCHOLOGICAL APPROACHES CIC</w:t>
                            </w:r>
                          </w:p>
                          <w:p w14:paraId="4767A9C1" w14:textId="77777777" w:rsidR="003D0A82" w:rsidRPr="007F1411" w:rsidRDefault="003D0A82" w:rsidP="00420964">
                            <w:pPr>
                              <w:rPr>
                                <w:rFonts w:ascii="Arial" w:hAnsi="Arial" w:cs="Arial"/>
                                <w:color w:val="2D39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FEA6E" id="_x0000_t202" coordsize="21600,21600" o:spt="202" path="m,l,21600r21600,l21600,xe">
                <v:stroke joinstyle="miter"/>
                <v:path gradientshapeok="t" o:connecttype="rect"/>
              </v:shapetype>
              <v:shape id="Text Box 1" o:spid="_x0000_s1026" type="#_x0000_t202" style="position:absolute;margin-left:13.15pt;margin-top:11.85pt;width:27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fVqAIAAKQ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" filled="f" stroked="f">
                <v:textbox>
                  <w:txbxContent>
                    <w:p w14:paraId="5836BFC4" w14:textId="77777777" w:rsidR="003D0A82" w:rsidRPr="00B86391" w:rsidRDefault="003D0A82" w:rsidP="00420964">
                      <w:pPr>
                        <w:rPr>
                          <w:rFonts w:ascii="Arial" w:hAnsi="Arial" w:cs="Arial"/>
                          <w:color w:val="003E00"/>
                          <w:sz w:val="28"/>
                          <w:szCs w:val="28"/>
                        </w:rPr>
                      </w:pPr>
                      <w:r w:rsidRPr="00B86391">
                        <w:rPr>
                          <w:rFonts w:ascii="Arial" w:hAnsi="Arial" w:cs="Arial"/>
                          <w:b/>
                          <w:color w:val="003E00"/>
                          <w:sz w:val="28"/>
                          <w:szCs w:val="28"/>
                        </w:rPr>
                        <w:t>PSYCHOLOGICAL APPROACHES CIC</w:t>
                      </w:r>
                    </w:p>
                    <w:p w14:paraId="4767A9C1" w14:textId="77777777" w:rsidR="003D0A82" w:rsidRPr="007F1411" w:rsidRDefault="003D0A82" w:rsidP="00420964">
                      <w:pPr>
                        <w:rPr>
                          <w:rFonts w:ascii="Arial" w:hAnsi="Arial" w:cs="Arial"/>
                          <w:color w:val="2D3917"/>
                        </w:rPr>
                      </w:pPr>
                    </w:p>
                  </w:txbxContent>
                </v:textbox>
              </v:shape>
            </w:pict>
          </mc:Fallback>
        </mc:AlternateContent>
      </w:r>
      <w:r w:rsidR="002F7EDB">
        <w:tab/>
      </w:r>
      <w:r w:rsidR="002F7EDB">
        <w:tab/>
      </w:r>
      <w:r w:rsidR="002F7EDB">
        <w:tab/>
      </w:r>
      <w:r w:rsidR="002F7EDB">
        <w:tab/>
      </w:r>
      <w:r w:rsidR="002F7EDB">
        <w:tab/>
      </w:r>
      <w:r w:rsidR="002F7EDB">
        <w:tab/>
      </w:r>
      <w:r w:rsidR="002F7EDB">
        <w:tab/>
      </w:r>
      <w:r w:rsidR="002F7EDB">
        <w:tab/>
      </w:r>
      <w:r w:rsidR="002F7EDB">
        <w:rPr>
          <w:noProof/>
          <w:lang w:eastAsia="en-GB"/>
        </w:rPr>
        <w:drawing>
          <wp:inline distT="0" distB="0" distL="0" distR="0" wp14:anchorId="722FCEB2" wp14:editId="1FF6A583">
            <wp:extent cx="1154430" cy="1014385"/>
            <wp:effectExtent l="203200" t="203200" r="217170" b="2305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ulent 580 minor.jpg"/>
                    <pic:cNvPicPr/>
                  </pic:nvPicPr>
                  <pic:blipFill>
                    <a:blip r:embed="rId8" cstate="email">
                      <a:extLst>
                        <a:ext uri="{28A0092B-C50C-407E-A947-70E740481C1C}">
                          <a14:useLocalDpi xmlns:a14="http://schemas.microsoft.com/office/drawing/2010/main"/>
                        </a:ext>
                      </a:extLst>
                    </a:blip>
                    <a:stretch>
                      <a:fillRect/>
                    </a:stretch>
                  </pic:blipFill>
                  <pic:spPr>
                    <a:xfrm flipH="1">
                      <a:off x="0" y="0"/>
                      <a:ext cx="1157920" cy="1017452"/>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7B8E423" w14:textId="421D77C6" w:rsidR="00420964" w:rsidRPr="00420964" w:rsidRDefault="002F7EDB" w:rsidP="002F7EDB">
      <w:pPr>
        <w:tabs>
          <w:tab w:val="left" w:pos="1080"/>
        </w:tabs>
      </w:pPr>
      <w:r>
        <w:tab/>
      </w:r>
    </w:p>
    <w:p w14:paraId="3B14FCF7" w14:textId="54B1C7D5" w:rsidR="00420964" w:rsidRPr="00420964" w:rsidRDefault="00420964" w:rsidP="00420964"/>
    <w:p w14:paraId="2F3958F0" w14:textId="2F92B2FE" w:rsidR="00420964" w:rsidRPr="00420964" w:rsidRDefault="00420964" w:rsidP="001B6DEE">
      <w:pPr>
        <w:jc w:val="center"/>
      </w:pPr>
    </w:p>
    <w:p w14:paraId="4615B46C" w14:textId="18C94EA6" w:rsidR="00420964" w:rsidRPr="001B6DEE" w:rsidRDefault="001B6DEE" w:rsidP="001B6DEE">
      <w:pPr>
        <w:jc w:val="center"/>
        <w:rPr>
          <w:b/>
          <w:color w:val="4F6228" w:themeColor="accent3" w:themeShade="80"/>
          <w:sz w:val="32"/>
          <w:szCs w:val="32"/>
        </w:rPr>
      </w:pPr>
      <w:r w:rsidRPr="001B6DEE">
        <w:rPr>
          <w:b/>
          <w:color w:val="4F6228" w:themeColor="accent3" w:themeShade="80"/>
          <w:sz w:val="32"/>
          <w:szCs w:val="32"/>
        </w:rPr>
        <w:t>Independent review of progress since an incident of d</w:t>
      </w:r>
      <w:r w:rsidR="009F71CC">
        <w:rPr>
          <w:b/>
          <w:color w:val="4F6228" w:themeColor="accent3" w:themeShade="80"/>
          <w:sz w:val="32"/>
          <w:szCs w:val="32"/>
        </w:rPr>
        <w:t xml:space="preserve">omestic homicide </w:t>
      </w:r>
      <w:r w:rsidR="00974B4D">
        <w:rPr>
          <w:b/>
          <w:color w:val="4F6228" w:themeColor="accent3" w:themeShade="80"/>
          <w:sz w:val="32"/>
          <w:szCs w:val="32"/>
        </w:rPr>
        <w:t>in 2012 by Mr R, a service user</w:t>
      </w:r>
      <w:r w:rsidRPr="001B6DEE">
        <w:rPr>
          <w:b/>
          <w:color w:val="4F6228" w:themeColor="accent3" w:themeShade="80"/>
          <w:sz w:val="32"/>
          <w:szCs w:val="32"/>
        </w:rPr>
        <w:t xml:space="preserve"> at South West London and St </w:t>
      </w:r>
      <w:r w:rsidR="009F71CC">
        <w:rPr>
          <w:b/>
          <w:color w:val="4F6228" w:themeColor="accent3" w:themeShade="80"/>
          <w:sz w:val="32"/>
          <w:szCs w:val="32"/>
        </w:rPr>
        <w:t>George’s</w:t>
      </w:r>
      <w:r w:rsidRPr="001B6DEE">
        <w:rPr>
          <w:b/>
          <w:color w:val="4F6228" w:themeColor="accent3" w:themeShade="80"/>
          <w:sz w:val="32"/>
          <w:szCs w:val="32"/>
        </w:rPr>
        <w:t xml:space="preserve"> Mental Health </w:t>
      </w:r>
      <w:bookmarkStart w:id="0" w:name="_GoBack"/>
      <w:bookmarkEnd w:id="0"/>
      <w:r w:rsidRPr="001B6DEE">
        <w:rPr>
          <w:b/>
          <w:color w:val="4F6228" w:themeColor="accent3" w:themeShade="80"/>
          <w:sz w:val="32"/>
          <w:szCs w:val="32"/>
        </w:rPr>
        <w:t>NHS Trust</w:t>
      </w:r>
    </w:p>
    <w:p w14:paraId="51C69984" w14:textId="77777777" w:rsidR="001B6DEE" w:rsidRDefault="001B6DEE" w:rsidP="001B6DEE">
      <w:pPr>
        <w:jc w:val="center"/>
        <w:rPr>
          <w:b/>
          <w:sz w:val="32"/>
          <w:szCs w:val="32"/>
        </w:rPr>
      </w:pPr>
    </w:p>
    <w:p w14:paraId="4AFC2D20" w14:textId="77777777" w:rsidR="001B6DEE" w:rsidRDefault="001B6DEE" w:rsidP="001B6DEE">
      <w:pPr>
        <w:jc w:val="center"/>
        <w:rPr>
          <w:b/>
          <w:sz w:val="32"/>
          <w:szCs w:val="32"/>
        </w:rPr>
      </w:pPr>
    </w:p>
    <w:p w14:paraId="475C0C1A" w14:textId="77777777" w:rsidR="001B6DEE" w:rsidRPr="001B6DEE" w:rsidRDefault="001B6DEE" w:rsidP="001B6DEE">
      <w:pPr>
        <w:jc w:val="center"/>
        <w:rPr>
          <w:b/>
          <w:sz w:val="32"/>
          <w:szCs w:val="32"/>
        </w:rPr>
      </w:pPr>
    </w:p>
    <w:p w14:paraId="49B766C7" w14:textId="77777777" w:rsidR="00420964" w:rsidRDefault="00420964" w:rsidP="00420964">
      <w:r>
        <w:tab/>
      </w:r>
      <w:r>
        <w:tab/>
      </w:r>
      <w:r>
        <w:tab/>
      </w:r>
      <w:r>
        <w:tab/>
      </w:r>
      <w:r>
        <w:tab/>
      </w:r>
      <w:r>
        <w:tab/>
      </w:r>
      <w:r>
        <w:tab/>
      </w:r>
    </w:p>
    <w:p w14:paraId="63105536" w14:textId="3FA7B62C" w:rsidR="00420964" w:rsidRDefault="001B6DEE" w:rsidP="001B6DEE">
      <w:pPr>
        <w:jc w:val="center"/>
        <w:rPr>
          <w:b/>
          <w:color w:val="4F6228" w:themeColor="accent3" w:themeShade="80"/>
          <w:sz w:val="36"/>
          <w:szCs w:val="36"/>
        </w:rPr>
      </w:pPr>
      <w:r w:rsidRPr="001B6DEE">
        <w:rPr>
          <w:b/>
          <w:color w:val="4F6228" w:themeColor="accent3" w:themeShade="80"/>
          <w:sz w:val="36"/>
          <w:szCs w:val="36"/>
        </w:rPr>
        <w:t>Confidential</w:t>
      </w:r>
    </w:p>
    <w:p w14:paraId="2004949F" w14:textId="77777777" w:rsidR="001B6DEE" w:rsidRDefault="001B6DEE" w:rsidP="001B6DEE">
      <w:pPr>
        <w:jc w:val="center"/>
        <w:rPr>
          <w:b/>
          <w:color w:val="4F6228" w:themeColor="accent3" w:themeShade="80"/>
          <w:sz w:val="36"/>
          <w:szCs w:val="36"/>
        </w:rPr>
      </w:pPr>
    </w:p>
    <w:p w14:paraId="6AC65B0C" w14:textId="0263057E" w:rsidR="001B6DEE" w:rsidRDefault="001B6DEE" w:rsidP="001B6DEE">
      <w:pPr>
        <w:jc w:val="center"/>
        <w:rPr>
          <w:b/>
          <w:color w:val="4F6228" w:themeColor="accent3" w:themeShade="80"/>
          <w:sz w:val="32"/>
          <w:szCs w:val="32"/>
        </w:rPr>
      </w:pPr>
      <w:r w:rsidRPr="001B6DEE">
        <w:rPr>
          <w:b/>
          <w:color w:val="4F6228" w:themeColor="accent3" w:themeShade="80"/>
          <w:sz w:val="32"/>
          <w:szCs w:val="32"/>
        </w:rPr>
        <w:t xml:space="preserve">Independent review under </w:t>
      </w:r>
      <w:r>
        <w:rPr>
          <w:b/>
          <w:color w:val="4F6228" w:themeColor="accent3" w:themeShade="80"/>
          <w:sz w:val="32"/>
          <w:szCs w:val="32"/>
        </w:rPr>
        <w:t>HSG (94) 27</w:t>
      </w:r>
    </w:p>
    <w:p w14:paraId="61C10908" w14:textId="77777777" w:rsidR="001B6DEE" w:rsidRDefault="001B6DEE" w:rsidP="001B6DEE">
      <w:pPr>
        <w:jc w:val="center"/>
        <w:rPr>
          <w:b/>
          <w:color w:val="4F6228" w:themeColor="accent3" w:themeShade="80"/>
          <w:sz w:val="32"/>
          <w:szCs w:val="32"/>
        </w:rPr>
      </w:pPr>
    </w:p>
    <w:p w14:paraId="45845FFB" w14:textId="77777777" w:rsidR="001B6DEE" w:rsidRPr="001B6DEE" w:rsidRDefault="001B6DEE" w:rsidP="001B6DEE">
      <w:pPr>
        <w:jc w:val="center"/>
        <w:rPr>
          <w:sz w:val="32"/>
          <w:szCs w:val="32"/>
        </w:rPr>
      </w:pPr>
    </w:p>
    <w:p w14:paraId="04A1EF75" w14:textId="77777777" w:rsidR="00420964" w:rsidRDefault="00420964" w:rsidP="00420964"/>
    <w:p w14:paraId="536C1220" w14:textId="77777777" w:rsidR="00420964" w:rsidRDefault="00420964" w:rsidP="00420964"/>
    <w:p w14:paraId="3DE79DC3" w14:textId="7CB5B361" w:rsidR="001B6DEE" w:rsidRDefault="001B6DEE" w:rsidP="001B6DEE">
      <w:pPr>
        <w:ind w:firstLine="720"/>
        <w:rPr>
          <w:color w:val="4F6228" w:themeColor="accent3" w:themeShade="80"/>
        </w:rPr>
      </w:pPr>
      <w:r>
        <w:rPr>
          <w:color w:val="4F6228" w:themeColor="accent3" w:themeShade="80"/>
        </w:rPr>
        <w:t>Case number:</w:t>
      </w: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t>32877 / SWLStG</w:t>
      </w:r>
    </w:p>
    <w:p w14:paraId="74BC356F" w14:textId="77777777" w:rsidR="001B6DEE" w:rsidRDefault="001B6DEE" w:rsidP="001B6DEE">
      <w:pPr>
        <w:ind w:firstLine="720"/>
        <w:rPr>
          <w:color w:val="4F6228" w:themeColor="accent3" w:themeShade="80"/>
        </w:rPr>
      </w:pPr>
    </w:p>
    <w:p w14:paraId="61AF850D" w14:textId="77777777" w:rsidR="001B6DEE" w:rsidRDefault="001B6DEE" w:rsidP="001B6DEE">
      <w:pPr>
        <w:ind w:firstLine="720"/>
        <w:rPr>
          <w:color w:val="4F6228" w:themeColor="accent3" w:themeShade="80"/>
        </w:rPr>
      </w:pPr>
      <w:r>
        <w:rPr>
          <w:color w:val="4F6228" w:themeColor="accent3" w:themeShade="80"/>
        </w:rPr>
        <w:t>Initials of service user:</w:t>
      </w:r>
      <w:r>
        <w:rPr>
          <w:color w:val="4F6228" w:themeColor="accent3" w:themeShade="80"/>
        </w:rPr>
        <w:tab/>
      </w:r>
      <w:r>
        <w:rPr>
          <w:color w:val="4F6228" w:themeColor="accent3" w:themeShade="80"/>
        </w:rPr>
        <w:tab/>
        <w:t>Mr R</w:t>
      </w:r>
    </w:p>
    <w:p w14:paraId="25D36317" w14:textId="77777777" w:rsidR="001B6DEE" w:rsidRDefault="001B6DEE" w:rsidP="001B6DEE">
      <w:pPr>
        <w:ind w:firstLine="720"/>
        <w:rPr>
          <w:color w:val="4F6228" w:themeColor="accent3" w:themeShade="80"/>
        </w:rPr>
      </w:pPr>
    </w:p>
    <w:p w14:paraId="398D20E1" w14:textId="77777777" w:rsidR="001B6DEE" w:rsidRDefault="001B6DEE" w:rsidP="001B6DEE">
      <w:pPr>
        <w:ind w:firstLine="720"/>
        <w:rPr>
          <w:color w:val="4F6228" w:themeColor="accent3" w:themeShade="80"/>
        </w:rPr>
      </w:pPr>
      <w:r>
        <w:rPr>
          <w:color w:val="4F6228" w:themeColor="accent3" w:themeShade="80"/>
        </w:rPr>
        <w:t>Incident type:</w:t>
      </w: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t>Domestic homicide</w:t>
      </w:r>
    </w:p>
    <w:p w14:paraId="22AEC736" w14:textId="77777777" w:rsidR="001B6DEE" w:rsidRDefault="001B6DEE" w:rsidP="001B6DEE">
      <w:pPr>
        <w:ind w:firstLine="720"/>
        <w:rPr>
          <w:color w:val="4F6228" w:themeColor="accent3" w:themeShade="80"/>
        </w:rPr>
      </w:pPr>
    </w:p>
    <w:p w14:paraId="261D1EC9" w14:textId="77777777" w:rsidR="001B6DEE" w:rsidRDefault="001B6DEE" w:rsidP="001B6DEE">
      <w:pPr>
        <w:ind w:firstLine="720"/>
        <w:rPr>
          <w:color w:val="4F6228" w:themeColor="accent3" w:themeShade="80"/>
        </w:rPr>
      </w:pPr>
      <w:r>
        <w:rPr>
          <w:color w:val="4F6228" w:themeColor="accent3" w:themeShade="80"/>
        </w:rPr>
        <w:t>Report prepared by:</w:t>
      </w:r>
      <w:r>
        <w:rPr>
          <w:color w:val="4F6228" w:themeColor="accent3" w:themeShade="80"/>
        </w:rPr>
        <w:tab/>
      </w:r>
      <w:r>
        <w:rPr>
          <w:color w:val="4F6228" w:themeColor="accent3" w:themeShade="80"/>
        </w:rPr>
        <w:tab/>
      </w:r>
      <w:r>
        <w:rPr>
          <w:color w:val="4F6228" w:themeColor="accent3" w:themeShade="80"/>
        </w:rPr>
        <w:tab/>
        <w:t>Dr Anne Aiyegbusi</w:t>
      </w:r>
    </w:p>
    <w:p w14:paraId="27CA9909" w14:textId="77777777" w:rsidR="001B6DEE" w:rsidRDefault="001B6DEE" w:rsidP="001B6DEE">
      <w:pPr>
        <w:ind w:firstLine="720"/>
        <w:rPr>
          <w:color w:val="4F6228" w:themeColor="accent3" w:themeShade="80"/>
        </w:rPr>
      </w:pPr>
    </w:p>
    <w:p w14:paraId="225DC198" w14:textId="77777777" w:rsidR="001B6DEE" w:rsidRDefault="001B6DEE" w:rsidP="001B6DEE">
      <w:pPr>
        <w:ind w:firstLine="720"/>
        <w:rPr>
          <w:color w:val="4F6228" w:themeColor="accent3" w:themeShade="80"/>
        </w:rPr>
      </w:pPr>
      <w:r>
        <w:rPr>
          <w:color w:val="4F6228" w:themeColor="accent3" w:themeShade="80"/>
        </w:rPr>
        <w:t>Review team:</w:t>
      </w: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t>Dr Anne Aiyegbusi (chair)</w:t>
      </w:r>
    </w:p>
    <w:p w14:paraId="74003F6C" w14:textId="5B3ED775" w:rsidR="00420964" w:rsidRDefault="001B6DEE" w:rsidP="001B6DEE">
      <w:pPr>
        <w:ind w:firstLine="720"/>
        <w:rPr>
          <w:color w:val="4F6228" w:themeColor="accent3" w:themeShade="80"/>
        </w:rPr>
      </w:pP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t>Dr Deborah Brooke</w:t>
      </w:r>
      <w:r>
        <w:rPr>
          <w:color w:val="4F6228" w:themeColor="accent3" w:themeShade="80"/>
        </w:rPr>
        <w:tab/>
      </w:r>
    </w:p>
    <w:p w14:paraId="14DC825E" w14:textId="161C2235" w:rsidR="001B6DEE" w:rsidRDefault="001B6DEE" w:rsidP="001B6DEE">
      <w:pPr>
        <w:ind w:firstLine="720"/>
        <w:rPr>
          <w:color w:val="4F6228" w:themeColor="accent3" w:themeShade="80"/>
        </w:rPr>
      </w:pP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r>
      <w:r w:rsidR="00924CE8">
        <w:rPr>
          <w:color w:val="4F6228" w:themeColor="accent3" w:themeShade="80"/>
        </w:rPr>
        <w:t>Mr Paul Ralph</w:t>
      </w:r>
    </w:p>
    <w:p w14:paraId="31DD6944" w14:textId="50591030" w:rsidR="00924CE8" w:rsidRPr="001B6DEE" w:rsidRDefault="00924CE8" w:rsidP="001B6DEE">
      <w:pPr>
        <w:ind w:firstLine="720"/>
        <w:rPr>
          <w:color w:val="4F6228" w:themeColor="accent3" w:themeShade="80"/>
        </w:rPr>
      </w:pP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r>
      <w:r>
        <w:rPr>
          <w:color w:val="4F6228" w:themeColor="accent3" w:themeShade="80"/>
        </w:rPr>
        <w:tab/>
        <w:t>Dr Julia Blazdell</w:t>
      </w:r>
    </w:p>
    <w:p w14:paraId="488DFE5B" w14:textId="77777777" w:rsidR="00420964" w:rsidRDefault="00420964" w:rsidP="00420964"/>
    <w:p w14:paraId="0A63C719" w14:textId="77777777" w:rsidR="00420964" w:rsidRDefault="00420964" w:rsidP="00420964"/>
    <w:p w14:paraId="30D9BBFC" w14:textId="77777777" w:rsidR="00420964" w:rsidRDefault="00420964" w:rsidP="00420964"/>
    <w:p w14:paraId="1EA74573" w14:textId="77777777" w:rsidR="00420964" w:rsidRDefault="00420964" w:rsidP="00420964"/>
    <w:p w14:paraId="3B3439D9" w14:textId="2DDCE599" w:rsidR="00420964" w:rsidRPr="00644CF8" w:rsidRDefault="00420964" w:rsidP="00420964">
      <w:pPr>
        <w:rPr>
          <w:color w:val="000000" w:themeColor="text1"/>
        </w:rPr>
      </w:pPr>
      <w:r w:rsidRPr="00644CF8">
        <w:rPr>
          <w:b/>
          <w:color w:val="000000" w:themeColor="text1"/>
        </w:rPr>
        <w:lastRenderedPageBreak/>
        <w:t xml:space="preserve">PSYCHOLOGICAL APPROACHES </w:t>
      </w:r>
      <w:r w:rsidR="002A1DE7" w:rsidRPr="00644CF8">
        <w:rPr>
          <w:b/>
          <w:color w:val="000000" w:themeColor="text1"/>
        </w:rPr>
        <w:t>COMMUNITY INTEREST COMPANY (</w:t>
      </w:r>
      <w:r w:rsidRPr="00644CF8">
        <w:rPr>
          <w:b/>
          <w:color w:val="000000" w:themeColor="text1"/>
        </w:rPr>
        <w:t>CIC</w:t>
      </w:r>
      <w:r w:rsidR="002A1DE7" w:rsidRPr="00644CF8">
        <w:rPr>
          <w:b/>
          <w:color w:val="000000" w:themeColor="text1"/>
        </w:rPr>
        <w:t>)</w:t>
      </w:r>
    </w:p>
    <w:p w14:paraId="5D9C0462" w14:textId="77777777" w:rsidR="00420964" w:rsidRDefault="00420964" w:rsidP="00420964">
      <w:pPr>
        <w:rPr>
          <w:b/>
          <w:color w:val="4F6228" w:themeColor="accent3" w:themeShade="80"/>
        </w:rPr>
      </w:pPr>
    </w:p>
    <w:p w14:paraId="4561198A" w14:textId="5B91D6A1" w:rsidR="00420964" w:rsidRDefault="00420964" w:rsidP="00420964">
      <w:pPr>
        <w:rPr>
          <w:b/>
          <w:color w:val="4F6228" w:themeColor="accent3" w:themeShade="80"/>
        </w:rPr>
      </w:pPr>
      <w:r>
        <w:rPr>
          <w:b/>
          <w:color w:val="4F6228" w:themeColor="accent3" w:themeShade="80"/>
        </w:rPr>
        <w:t>O</w:t>
      </w:r>
      <w:r w:rsidR="006376BE">
        <w:rPr>
          <w:b/>
          <w:color w:val="4F6228" w:themeColor="accent3" w:themeShade="80"/>
        </w:rPr>
        <w:t>u</w:t>
      </w:r>
      <w:r>
        <w:rPr>
          <w:b/>
          <w:color w:val="4F6228" w:themeColor="accent3" w:themeShade="80"/>
        </w:rPr>
        <w:t>r Ethos and our Team</w:t>
      </w:r>
    </w:p>
    <w:p w14:paraId="391D993A" w14:textId="77777777" w:rsidR="00420964" w:rsidRDefault="00420964" w:rsidP="00420964">
      <w:pPr>
        <w:rPr>
          <w:b/>
          <w:color w:val="4F6228" w:themeColor="accent3"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tblGrid>
      <w:tr w:rsidR="00420964" w14:paraId="7EB72A52" w14:textId="77777777" w:rsidTr="00712579">
        <w:tc>
          <w:tcPr>
            <w:tcW w:w="8516" w:type="dxa"/>
          </w:tcPr>
          <w:p w14:paraId="3F8C1498" w14:textId="4C0B1281" w:rsidR="00420964" w:rsidRDefault="00420964" w:rsidP="00420964">
            <w:r>
              <w:t>Psychological Approaches CIC is a not for profit community interest company</w:t>
            </w:r>
            <w:r w:rsidR="005E7136">
              <w:t>.</w:t>
            </w:r>
          </w:p>
          <w:p w14:paraId="7BFEF2D7" w14:textId="157BCC3A" w:rsidR="00420964" w:rsidRPr="00420964" w:rsidRDefault="005E7136" w:rsidP="005E7136">
            <w:r>
              <w:t>We focus</w:t>
            </w:r>
            <w:r w:rsidR="00420964">
              <w:t xml:space="preserve"> on work with individuals with complex mental health needs – often associated with a history of offending and social exclusion for whom services may be difficult to access or sometimes poorly equipped to meet their needs.</w:t>
            </w:r>
          </w:p>
        </w:tc>
      </w:tr>
      <w:tr w:rsidR="00420964" w14:paraId="4357D205" w14:textId="77777777" w:rsidTr="00712579">
        <w:tc>
          <w:tcPr>
            <w:tcW w:w="8516" w:type="dxa"/>
          </w:tcPr>
          <w:p w14:paraId="53DF94AF" w14:textId="77777777" w:rsidR="00420964" w:rsidRDefault="00420964" w:rsidP="00420964">
            <w:pPr>
              <w:rPr>
                <w:b/>
              </w:rPr>
            </w:pPr>
          </w:p>
        </w:tc>
      </w:tr>
      <w:tr w:rsidR="00420964" w14:paraId="2F2968E0" w14:textId="77777777" w:rsidTr="00712579">
        <w:tc>
          <w:tcPr>
            <w:tcW w:w="8516" w:type="dxa"/>
          </w:tcPr>
          <w:p w14:paraId="1B20D87E" w14:textId="77777777" w:rsidR="00420964" w:rsidRDefault="00420964" w:rsidP="00712579">
            <w:r w:rsidRPr="00420964">
              <w:t>Our ethos</w:t>
            </w:r>
            <w:r>
              <w:t xml:space="preserve"> is one of collaboration and partnership wit</w:t>
            </w:r>
            <w:r w:rsidR="00712579">
              <w:t>h other organisations. W</w:t>
            </w:r>
            <w:r>
              <w:t xml:space="preserve">e </w:t>
            </w:r>
            <w:r w:rsidR="00712579">
              <w:t xml:space="preserve">are able to </w:t>
            </w:r>
            <w:r>
              <w:t>support the workforce with a focus on development in the following areas</w:t>
            </w:r>
            <w:r w:rsidR="00712579">
              <w:t>:</w:t>
            </w:r>
          </w:p>
          <w:p w14:paraId="561E28F9" w14:textId="77777777" w:rsidR="00712579" w:rsidRDefault="00712579" w:rsidP="00712579">
            <w:pPr>
              <w:pStyle w:val="ListParagraph"/>
              <w:numPr>
                <w:ilvl w:val="0"/>
                <w:numId w:val="1"/>
              </w:numPr>
            </w:pPr>
            <w:r>
              <w:t>Commitment to the task</w:t>
            </w:r>
          </w:p>
          <w:p w14:paraId="5E16B212" w14:textId="77777777" w:rsidR="00712579" w:rsidRDefault="00712579" w:rsidP="00712579">
            <w:pPr>
              <w:pStyle w:val="ListParagraph"/>
              <w:numPr>
                <w:ilvl w:val="0"/>
                <w:numId w:val="1"/>
              </w:numPr>
            </w:pPr>
            <w:r>
              <w:t>Competence and confidence in service delivery</w:t>
            </w:r>
          </w:p>
          <w:p w14:paraId="27BA3FAC" w14:textId="77777777" w:rsidR="00712579" w:rsidRPr="00420964" w:rsidRDefault="00712579" w:rsidP="00712579">
            <w:pPr>
              <w:pStyle w:val="ListParagraph"/>
              <w:numPr>
                <w:ilvl w:val="0"/>
                <w:numId w:val="1"/>
              </w:numPr>
            </w:pPr>
            <w:r>
              <w:t>Containment of emotional states to support staff wellbeing</w:t>
            </w:r>
          </w:p>
        </w:tc>
      </w:tr>
      <w:tr w:rsidR="00420964" w14:paraId="0E35ECA4" w14:textId="77777777" w:rsidTr="00712579">
        <w:tc>
          <w:tcPr>
            <w:tcW w:w="8516" w:type="dxa"/>
          </w:tcPr>
          <w:p w14:paraId="62A92679" w14:textId="77777777" w:rsidR="00420964" w:rsidRPr="00420964" w:rsidRDefault="00420964" w:rsidP="00420964"/>
        </w:tc>
      </w:tr>
      <w:tr w:rsidR="00420964" w14:paraId="0D25F135" w14:textId="77777777" w:rsidTr="00712579">
        <w:tc>
          <w:tcPr>
            <w:tcW w:w="8516" w:type="dxa"/>
          </w:tcPr>
          <w:p w14:paraId="45C40CA5" w14:textId="77777777" w:rsidR="00420964" w:rsidRPr="00420964" w:rsidRDefault="00712579" w:rsidP="00420964">
            <w:r>
              <w:t>We attend to the evidence base for best practice, and in doing so, we help organisations to review and evaluate series to achieve best outcomes.</w:t>
            </w:r>
          </w:p>
        </w:tc>
      </w:tr>
      <w:tr w:rsidR="00420964" w14:paraId="281654D4" w14:textId="77777777" w:rsidTr="00712579">
        <w:tc>
          <w:tcPr>
            <w:tcW w:w="8516" w:type="dxa"/>
          </w:tcPr>
          <w:p w14:paraId="03A33AE0" w14:textId="77777777" w:rsidR="00420964" w:rsidRPr="00420964" w:rsidRDefault="00420964" w:rsidP="00420964"/>
        </w:tc>
      </w:tr>
      <w:tr w:rsidR="00420964" w14:paraId="3AB684FE" w14:textId="77777777" w:rsidTr="00712579">
        <w:tc>
          <w:tcPr>
            <w:tcW w:w="8516" w:type="dxa"/>
          </w:tcPr>
          <w:p w14:paraId="7BC11E5B" w14:textId="77777777" w:rsidR="00420964" w:rsidRPr="00420964" w:rsidRDefault="00712579" w:rsidP="00420964">
            <w:r>
              <w:t>We understand how important it is to focus on improved quality of care, delivered in ways to maximise efficiency and impact.</w:t>
            </w:r>
          </w:p>
        </w:tc>
      </w:tr>
      <w:tr w:rsidR="00420964" w14:paraId="5CD1F574" w14:textId="77777777" w:rsidTr="00712579">
        <w:tc>
          <w:tcPr>
            <w:tcW w:w="8516" w:type="dxa"/>
          </w:tcPr>
          <w:p w14:paraId="0718C889" w14:textId="77777777" w:rsidR="00420964" w:rsidRPr="00420964" w:rsidRDefault="00420964" w:rsidP="00420964"/>
        </w:tc>
      </w:tr>
      <w:tr w:rsidR="00420964" w14:paraId="1F3CFFC6" w14:textId="77777777" w:rsidTr="00712579">
        <w:tc>
          <w:tcPr>
            <w:tcW w:w="8516" w:type="dxa"/>
          </w:tcPr>
          <w:p w14:paraId="7DC23A21" w14:textId="77777777" w:rsidR="00420964" w:rsidRPr="00420964" w:rsidRDefault="00712579" w:rsidP="00712579">
            <w:r>
              <w:t xml:space="preserve">Our independent serious incident review team comprises five senior practitioners from a multi – disciplinary background with many decades of experience in mental health including forensic mental health services and clinical governance. We adopt a whole team approach to independent serious incident reviews, with an emphasis on peer review and ratification of findings. </w:t>
            </w:r>
          </w:p>
        </w:tc>
      </w:tr>
    </w:tbl>
    <w:p w14:paraId="022D051B" w14:textId="77777777" w:rsidR="00420964" w:rsidRPr="00420964" w:rsidRDefault="00420964" w:rsidP="00420964">
      <w:pPr>
        <w:rPr>
          <w:b/>
        </w:rPr>
      </w:pPr>
    </w:p>
    <w:p w14:paraId="14299CCD" w14:textId="77777777" w:rsidR="00420964" w:rsidRDefault="00420964" w:rsidP="00420964"/>
    <w:p w14:paraId="1B711C99" w14:textId="77777777" w:rsidR="00420964" w:rsidRDefault="00420964" w:rsidP="00420964"/>
    <w:p w14:paraId="5D62E5EF" w14:textId="77777777" w:rsidR="00420964" w:rsidRDefault="00420964" w:rsidP="00420964"/>
    <w:p w14:paraId="361BDF30" w14:textId="6CFAB804" w:rsidR="00420964" w:rsidRDefault="00C46DC4" w:rsidP="00420964">
      <w:r>
        <w:t xml:space="preserve">              </w:t>
      </w:r>
    </w:p>
    <w:p w14:paraId="664DF459" w14:textId="77777777" w:rsidR="00420964" w:rsidRDefault="00420964" w:rsidP="00420964"/>
    <w:p w14:paraId="57A3F836" w14:textId="77777777" w:rsidR="00420964" w:rsidRDefault="00420964" w:rsidP="00420964"/>
    <w:p w14:paraId="48760F73" w14:textId="77777777" w:rsidR="00420964" w:rsidRDefault="00420964" w:rsidP="00420964"/>
    <w:p w14:paraId="743B94D4" w14:textId="77777777" w:rsidR="00420964" w:rsidRDefault="00420964" w:rsidP="00420964"/>
    <w:p w14:paraId="2CC971FE" w14:textId="77777777" w:rsidR="00420964" w:rsidRDefault="00420964" w:rsidP="00420964"/>
    <w:p w14:paraId="4726E32E" w14:textId="77777777" w:rsidR="00420964" w:rsidRDefault="00420964" w:rsidP="00420964"/>
    <w:p w14:paraId="39E6479C" w14:textId="77777777" w:rsidR="00420964" w:rsidRDefault="00420964" w:rsidP="00420964"/>
    <w:p w14:paraId="5255F4BA" w14:textId="77777777" w:rsidR="00420964" w:rsidRDefault="00420964" w:rsidP="00420964"/>
    <w:p w14:paraId="469A613B" w14:textId="77777777" w:rsidR="00420964" w:rsidRDefault="00420964" w:rsidP="00420964"/>
    <w:p w14:paraId="2B90F039" w14:textId="77777777" w:rsidR="00420964" w:rsidRDefault="00420964" w:rsidP="00420964"/>
    <w:p w14:paraId="725C81BC" w14:textId="77777777" w:rsidR="00420964" w:rsidRDefault="00420964" w:rsidP="00420964"/>
    <w:p w14:paraId="61EA10FE" w14:textId="77777777" w:rsidR="00420964" w:rsidRDefault="00420964" w:rsidP="00420964"/>
    <w:p w14:paraId="6B9AB850" w14:textId="77777777" w:rsidR="00712579" w:rsidRDefault="00712579" w:rsidP="00420964"/>
    <w:p w14:paraId="299DBF50" w14:textId="77777777" w:rsidR="00712579" w:rsidRDefault="00712579" w:rsidP="00420964"/>
    <w:p w14:paraId="0738AA7D" w14:textId="77777777" w:rsidR="00C46DC4" w:rsidRDefault="00C46DC4" w:rsidP="00420964"/>
    <w:p w14:paraId="23F13CA7" w14:textId="77777777" w:rsidR="00C46DC4" w:rsidRDefault="00C46DC4" w:rsidP="00420964"/>
    <w:p w14:paraId="3587701D" w14:textId="77777777" w:rsidR="00712579" w:rsidRDefault="00712579" w:rsidP="00420964">
      <w:pPr>
        <w:rPr>
          <w:b/>
          <w:color w:val="4F6228" w:themeColor="accent3"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670"/>
        <w:gridCol w:w="6320"/>
        <w:gridCol w:w="740"/>
      </w:tblGrid>
      <w:tr w:rsidR="002F33EF" w14:paraId="192097B5" w14:textId="25595010" w:rsidTr="002F33EF">
        <w:tc>
          <w:tcPr>
            <w:tcW w:w="578" w:type="dxa"/>
          </w:tcPr>
          <w:p w14:paraId="27E4CB73" w14:textId="77777777" w:rsidR="002F33EF" w:rsidRDefault="002F33EF" w:rsidP="00420964">
            <w:pPr>
              <w:rPr>
                <w:b/>
                <w:color w:val="4F6228" w:themeColor="accent3" w:themeShade="80"/>
              </w:rPr>
            </w:pPr>
          </w:p>
        </w:tc>
        <w:tc>
          <w:tcPr>
            <w:tcW w:w="7185" w:type="dxa"/>
            <w:gridSpan w:val="2"/>
          </w:tcPr>
          <w:p w14:paraId="0F5DB620" w14:textId="2E433AB7" w:rsidR="002F33EF" w:rsidRDefault="002F33EF" w:rsidP="00420964">
            <w:pPr>
              <w:rPr>
                <w:b/>
                <w:color w:val="4F6228" w:themeColor="accent3" w:themeShade="80"/>
              </w:rPr>
            </w:pPr>
            <w:r>
              <w:rPr>
                <w:b/>
                <w:color w:val="4F6228" w:themeColor="accent3" w:themeShade="80"/>
              </w:rPr>
              <w:t>CONTENTS</w:t>
            </w:r>
          </w:p>
        </w:tc>
        <w:tc>
          <w:tcPr>
            <w:tcW w:w="753" w:type="dxa"/>
          </w:tcPr>
          <w:p w14:paraId="6E61454F" w14:textId="77777777" w:rsidR="002F33EF" w:rsidRDefault="002F33EF" w:rsidP="00420964">
            <w:pPr>
              <w:rPr>
                <w:b/>
                <w:color w:val="4F6228" w:themeColor="accent3" w:themeShade="80"/>
              </w:rPr>
            </w:pPr>
          </w:p>
        </w:tc>
      </w:tr>
      <w:tr w:rsidR="002F33EF" w14:paraId="062D745C" w14:textId="24ACDD30" w:rsidTr="002F33EF">
        <w:tc>
          <w:tcPr>
            <w:tcW w:w="578" w:type="dxa"/>
          </w:tcPr>
          <w:p w14:paraId="1268C96F" w14:textId="77777777" w:rsidR="002F33EF" w:rsidRDefault="002F33EF" w:rsidP="00420964">
            <w:pPr>
              <w:rPr>
                <w:b/>
                <w:color w:val="4F6228" w:themeColor="accent3" w:themeShade="80"/>
              </w:rPr>
            </w:pPr>
          </w:p>
        </w:tc>
        <w:tc>
          <w:tcPr>
            <w:tcW w:w="676" w:type="dxa"/>
          </w:tcPr>
          <w:p w14:paraId="59045029" w14:textId="77777777" w:rsidR="002F33EF" w:rsidRDefault="002F33EF" w:rsidP="00420964">
            <w:pPr>
              <w:rPr>
                <w:b/>
                <w:color w:val="4F6228" w:themeColor="accent3" w:themeShade="80"/>
              </w:rPr>
            </w:pPr>
          </w:p>
        </w:tc>
        <w:tc>
          <w:tcPr>
            <w:tcW w:w="6509" w:type="dxa"/>
          </w:tcPr>
          <w:p w14:paraId="15840E83" w14:textId="77777777" w:rsidR="002F33EF" w:rsidRDefault="002F33EF" w:rsidP="00420964">
            <w:pPr>
              <w:rPr>
                <w:b/>
                <w:color w:val="4F6228" w:themeColor="accent3" w:themeShade="80"/>
              </w:rPr>
            </w:pPr>
          </w:p>
        </w:tc>
        <w:tc>
          <w:tcPr>
            <w:tcW w:w="753" w:type="dxa"/>
          </w:tcPr>
          <w:p w14:paraId="16AE4D16" w14:textId="77777777" w:rsidR="002F33EF" w:rsidRDefault="002F33EF" w:rsidP="00420964">
            <w:pPr>
              <w:rPr>
                <w:b/>
                <w:color w:val="4F6228" w:themeColor="accent3" w:themeShade="80"/>
              </w:rPr>
            </w:pPr>
          </w:p>
        </w:tc>
      </w:tr>
      <w:tr w:rsidR="002F33EF" w14:paraId="2A04E055" w14:textId="37D005E2" w:rsidTr="002F33EF">
        <w:tc>
          <w:tcPr>
            <w:tcW w:w="578" w:type="dxa"/>
          </w:tcPr>
          <w:p w14:paraId="18D5ACD0" w14:textId="77972370" w:rsidR="002F33EF" w:rsidRDefault="002F33EF" w:rsidP="00420964">
            <w:pPr>
              <w:rPr>
                <w:b/>
                <w:color w:val="4F6228" w:themeColor="accent3" w:themeShade="80"/>
              </w:rPr>
            </w:pPr>
            <w:r>
              <w:rPr>
                <w:b/>
                <w:color w:val="4F6228" w:themeColor="accent3" w:themeShade="80"/>
              </w:rPr>
              <w:t>1.</w:t>
            </w:r>
          </w:p>
        </w:tc>
        <w:tc>
          <w:tcPr>
            <w:tcW w:w="7185" w:type="dxa"/>
            <w:gridSpan w:val="2"/>
          </w:tcPr>
          <w:p w14:paraId="14AF7414" w14:textId="7C377BB1" w:rsidR="002F33EF" w:rsidRDefault="002F33EF" w:rsidP="00420964">
            <w:pPr>
              <w:rPr>
                <w:b/>
                <w:color w:val="4F6228" w:themeColor="accent3" w:themeShade="80"/>
              </w:rPr>
            </w:pPr>
            <w:r>
              <w:rPr>
                <w:b/>
                <w:color w:val="4F6228" w:themeColor="accent3" w:themeShade="80"/>
              </w:rPr>
              <w:t>EXECUTIVE SUMMARY</w:t>
            </w:r>
          </w:p>
        </w:tc>
        <w:tc>
          <w:tcPr>
            <w:tcW w:w="753" w:type="dxa"/>
          </w:tcPr>
          <w:p w14:paraId="427E6E1E" w14:textId="621E50A5" w:rsidR="002F33EF" w:rsidRDefault="002F33EF" w:rsidP="002F33EF">
            <w:pPr>
              <w:jc w:val="center"/>
              <w:rPr>
                <w:b/>
                <w:color w:val="4F6228" w:themeColor="accent3" w:themeShade="80"/>
              </w:rPr>
            </w:pPr>
            <w:r>
              <w:rPr>
                <w:b/>
                <w:color w:val="4F6228" w:themeColor="accent3" w:themeShade="80"/>
              </w:rPr>
              <w:t>4</w:t>
            </w:r>
          </w:p>
        </w:tc>
      </w:tr>
      <w:tr w:rsidR="002F33EF" w14:paraId="37D9C10C" w14:textId="07534586" w:rsidTr="002F33EF">
        <w:tc>
          <w:tcPr>
            <w:tcW w:w="578" w:type="dxa"/>
          </w:tcPr>
          <w:p w14:paraId="181EF825" w14:textId="77777777" w:rsidR="002F33EF" w:rsidRDefault="002F33EF" w:rsidP="00420964">
            <w:pPr>
              <w:rPr>
                <w:b/>
                <w:color w:val="4F6228" w:themeColor="accent3" w:themeShade="80"/>
              </w:rPr>
            </w:pPr>
          </w:p>
        </w:tc>
        <w:tc>
          <w:tcPr>
            <w:tcW w:w="676" w:type="dxa"/>
          </w:tcPr>
          <w:p w14:paraId="7722600E" w14:textId="12ABBC02" w:rsidR="002F33EF" w:rsidRDefault="004B5238" w:rsidP="00420964">
            <w:pPr>
              <w:rPr>
                <w:b/>
                <w:color w:val="4F6228" w:themeColor="accent3" w:themeShade="80"/>
              </w:rPr>
            </w:pPr>
            <w:r>
              <w:rPr>
                <w:b/>
                <w:color w:val="4F6228" w:themeColor="accent3" w:themeShade="80"/>
              </w:rPr>
              <w:t>1.1</w:t>
            </w:r>
          </w:p>
        </w:tc>
        <w:tc>
          <w:tcPr>
            <w:tcW w:w="6509" w:type="dxa"/>
          </w:tcPr>
          <w:p w14:paraId="7CCBF743" w14:textId="6158642D" w:rsidR="002F33EF" w:rsidRDefault="004B5238" w:rsidP="00420964">
            <w:pPr>
              <w:rPr>
                <w:b/>
                <w:color w:val="4F6228" w:themeColor="accent3" w:themeShade="80"/>
              </w:rPr>
            </w:pPr>
            <w:r>
              <w:rPr>
                <w:b/>
                <w:color w:val="4F6228" w:themeColor="accent3" w:themeShade="80"/>
              </w:rPr>
              <w:t>INTRODUCTION</w:t>
            </w:r>
          </w:p>
        </w:tc>
        <w:tc>
          <w:tcPr>
            <w:tcW w:w="753" w:type="dxa"/>
          </w:tcPr>
          <w:p w14:paraId="209EEA3E" w14:textId="17080F2E" w:rsidR="002F33EF" w:rsidRDefault="004B5238" w:rsidP="002F33EF">
            <w:pPr>
              <w:jc w:val="center"/>
              <w:rPr>
                <w:b/>
                <w:color w:val="4F6228" w:themeColor="accent3" w:themeShade="80"/>
              </w:rPr>
            </w:pPr>
            <w:r>
              <w:rPr>
                <w:b/>
                <w:color w:val="4F6228" w:themeColor="accent3" w:themeShade="80"/>
              </w:rPr>
              <w:t>4</w:t>
            </w:r>
          </w:p>
        </w:tc>
      </w:tr>
      <w:tr w:rsidR="002F33EF" w14:paraId="420C7E5B" w14:textId="77777777" w:rsidTr="002F33EF">
        <w:tc>
          <w:tcPr>
            <w:tcW w:w="578" w:type="dxa"/>
          </w:tcPr>
          <w:p w14:paraId="527B000C" w14:textId="77777777" w:rsidR="002F33EF" w:rsidRDefault="002F33EF" w:rsidP="00420964">
            <w:pPr>
              <w:rPr>
                <w:b/>
                <w:color w:val="4F6228" w:themeColor="accent3" w:themeShade="80"/>
              </w:rPr>
            </w:pPr>
          </w:p>
        </w:tc>
        <w:tc>
          <w:tcPr>
            <w:tcW w:w="676" w:type="dxa"/>
          </w:tcPr>
          <w:p w14:paraId="53BDAA8B" w14:textId="2B3B22B7" w:rsidR="002F33EF" w:rsidRDefault="004B5238" w:rsidP="00420964">
            <w:pPr>
              <w:rPr>
                <w:b/>
                <w:color w:val="4F6228" w:themeColor="accent3" w:themeShade="80"/>
              </w:rPr>
            </w:pPr>
            <w:r>
              <w:rPr>
                <w:b/>
                <w:color w:val="4F6228" w:themeColor="accent3" w:themeShade="80"/>
              </w:rPr>
              <w:t>1.2</w:t>
            </w:r>
          </w:p>
        </w:tc>
        <w:tc>
          <w:tcPr>
            <w:tcW w:w="6509" w:type="dxa"/>
          </w:tcPr>
          <w:p w14:paraId="2E447CB3" w14:textId="16AF9981" w:rsidR="002F33EF" w:rsidRDefault="004B5238" w:rsidP="00420964">
            <w:pPr>
              <w:rPr>
                <w:b/>
                <w:color w:val="4F6228" w:themeColor="accent3" w:themeShade="80"/>
              </w:rPr>
            </w:pPr>
            <w:r>
              <w:rPr>
                <w:b/>
                <w:color w:val="4F6228" w:themeColor="accent3" w:themeShade="80"/>
              </w:rPr>
              <w:t>DETAILS OF THE INCIDENT</w:t>
            </w:r>
          </w:p>
        </w:tc>
        <w:tc>
          <w:tcPr>
            <w:tcW w:w="753" w:type="dxa"/>
          </w:tcPr>
          <w:p w14:paraId="1470AF94" w14:textId="69A0A73A" w:rsidR="002F33EF" w:rsidRDefault="004B5238" w:rsidP="002F33EF">
            <w:pPr>
              <w:jc w:val="center"/>
              <w:rPr>
                <w:b/>
                <w:color w:val="4F6228" w:themeColor="accent3" w:themeShade="80"/>
              </w:rPr>
            </w:pPr>
            <w:r>
              <w:rPr>
                <w:b/>
                <w:color w:val="4F6228" w:themeColor="accent3" w:themeShade="80"/>
              </w:rPr>
              <w:t>4</w:t>
            </w:r>
          </w:p>
        </w:tc>
      </w:tr>
      <w:tr w:rsidR="002F33EF" w14:paraId="7FB0FE08" w14:textId="77777777" w:rsidTr="002F33EF">
        <w:tc>
          <w:tcPr>
            <w:tcW w:w="578" w:type="dxa"/>
          </w:tcPr>
          <w:p w14:paraId="165542A5" w14:textId="77777777" w:rsidR="002F33EF" w:rsidRDefault="002F33EF" w:rsidP="00420964">
            <w:pPr>
              <w:rPr>
                <w:b/>
                <w:color w:val="4F6228" w:themeColor="accent3" w:themeShade="80"/>
              </w:rPr>
            </w:pPr>
          </w:p>
        </w:tc>
        <w:tc>
          <w:tcPr>
            <w:tcW w:w="676" w:type="dxa"/>
          </w:tcPr>
          <w:p w14:paraId="5FEA810A" w14:textId="533C5335" w:rsidR="002F33EF" w:rsidRDefault="004B5238" w:rsidP="00420964">
            <w:pPr>
              <w:rPr>
                <w:b/>
                <w:color w:val="4F6228" w:themeColor="accent3" w:themeShade="80"/>
              </w:rPr>
            </w:pPr>
            <w:r>
              <w:rPr>
                <w:b/>
                <w:color w:val="4F6228" w:themeColor="accent3" w:themeShade="80"/>
              </w:rPr>
              <w:t>1.3</w:t>
            </w:r>
          </w:p>
        </w:tc>
        <w:tc>
          <w:tcPr>
            <w:tcW w:w="6509" w:type="dxa"/>
          </w:tcPr>
          <w:p w14:paraId="42655950" w14:textId="4C50EAC0" w:rsidR="002F33EF" w:rsidRDefault="004B5238" w:rsidP="00420964">
            <w:pPr>
              <w:rPr>
                <w:b/>
                <w:color w:val="4F6228" w:themeColor="accent3" w:themeShade="80"/>
              </w:rPr>
            </w:pPr>
            <w:r>
              <w:rPr>
                <w:b/>
                <w:color w:val="4F6228" w:themeColor="accent3" w:themeShade="80"/>
              </w:rPr>
              <w:t>THE REVIEW PROCESS</w:t>
            </w:r>
          </w:p>
        </w:tc>
        <w:tc>
          <w:tcPr>
            <w:tcW w:w="753" w:type="dxa"/>
          </w:tcPr>
          <w:p w14:paraId="4520357E" w14:textId="574AA110" w:rsidR="002F33EF" w:rsidRDefault="004B5238" w:rsidP="002F33EF">
            <w:pPr>
              <w:jc w:val="center"/>
              <w:rPr>
                <w:b/>
                <w:color w:val="4F6228" w:themeColor="accent3" w:themeShade="80"/>
              </w:rPr>
            </w:pPr>
            <w:r>
              <w:rPr>
                <w:b/>
                <w:color w:val="4F6228" w:themeColor="accent3" w:themeShade="80"/>
              </w:rPr>
              <w:t>4</w:t>
            </w:r>
          </w:p>
        </w:tc>
      </w:tr>
      <w:tr w:rsidR="002F33EF" w14:paraId="2A37DA28" w14:textId="77777777" w:rsidTr="002F33EF">
        <w:tc>
          <w:tcPr>
            <w:tcW w:w="578" w:type="dxa"/>
          </w:tcPr>
          <w:p w14:paraId="74175DE1" w14:textId="77777777" w:rsidR="002F33EF" w:rsidRDefault="002F33EF" w:rsidP="00420964">
            <w:pPr>
              <w:rPr>
                <w:b/>
                <w:color w:val="4F6228" w:themeColor="accent3" w:themeShade="80"/>
              </w:rPr>
            </w:pPr>
          </w:p>
        </w:tc>
        <w:tc>
          <w:tcPr>
            <w:tcW w:w="676" w:type="dxa"/>
          </w:tcPr>
          <w:p w14:paraId="3F7971BB" w14:textId="6511D06E" w:rsidR="002F33EF" w:rsidRDefault="004B5238" w:rsidP="00420964">
            <w:pPr>
              <w:rPr>
                <w:b/>
                <w:color w:val="4F6228" w:themeColor="accent3" w:themeShade="80"/>
              </w:rPr>
            </w:pPr>
            <w:r>
              <w:rPr>
                <w:b/>
                <w:color w:val="4F6228" w:themeColor="accent3" w:themeShade="80"/>
              </w:rPr>
              <w:t>1.4</w:t>
            </w:r>
          </w:p>
        </w:tc>
        <w:tc>
          <w:tcPr>
            <w:tcW w:w="6509" w:type="dxa"/>
          </w:tcPr>
          <w:p w14:paraId="310CF7DD" w14:textId="77760232" w:rsidR="002F33EF" w:rsidRDefault="004B5238" w:rsidP="00420964">
            <w:pPr>
              <w:rPr>
                <w:b/>
                <w:color w:val="4F6228" w:themeColor="accent3" w:themeShade="80"/>
              </w:rPr>
            </w:pPr>
            <w:r>
              <w:rPr>
                <w:b/>
                <w:color w:val="4F6228" w:themeColor="accent3" w:themeShade="80"/>
              </w:rPr>
              <w:t>FINDINGS FROM PREVIOUS REVIEWS</w:t>
            </w:r>
          </w:p>
        </w:tc>
        <w:tc>
          <w:tcPr>
            <w:tcW w:w="753" w:type="dxa"/>
          </w:tcPr>
          <w:p w14:paraId="598DA676" w14:textId="053F2A22" w:rsidR="002F33EF" w:rsidRDefault="004B5238" w:rsidP="002F33EF">
            <w:pPr>
              <w:jc w:val="center"/>
              <w:rPr>
                <w:b/>
                <w:color w:val="4F6228" w:themeColor="accent3" w:themeShade="80"/>
              </w:rPr>
            </w:pPr>
            <w:r>
              <w:rPr>
                <w:b/>
                <w:color w:val="4F6228" w:themeColor="accent3" w:themeShade="80"/>
              </w:rPr>
              <w:t>4</w:t>
            </w:r>
          </w:p>
        </w:tc>
      </w:tr>
      <w:tr w:rsidR="002F33EF" w14:paraId="72E360EC" w14:textId="77777777" w:rsidTr="002F33EF">
        <w:tc>
          <w:tcPr>
            <w:tcW w:w="578" w:type="dxa"/>
          </w:tcPr>
          <w:p w14:paraId="5B20AC44" w14:textId="77777777" w:rsidR="002F33EF" w:rsidRDefault="002F33EF" w:rsidP="00420964">
            <w:pPr>
              <w:rPr>
                <w:b/>
                <w:color w:val="4F6228" w:themeColor="accent3" w:themeShade="80"/>
              </w:rPr>
            </w:pPr>
          </w:p>
        </w:tc>
        <w:tc>
          <w:tcPr>
            <w:tcW w:w="676" w:type="dxa"/>
          </w:tcPr>
          <w:p w14:paraId="0F7D9708" w14:textId="63401877" w:rsidR="002F33EF" w:rsidRDefault="004B5238" w:rsidP="00420964">
            <w:pPr>
              <w:rPr>
                <w:b/>
                <w:color w:val="4F6228" w:themeColor="accent3" w:themeShade="80"/>
              </w:rPr>
            </w:pPr>
            <w:r>
              <w:rPr>
                <w:b/>
                <w:color w:val="4F6228" w:themeColor="accent3" w:themeShade="80"/>
              </w:rPr>
              <w:t>1.5</w:t>
            </w:r>
          </w:p>
        </w:tc>
        <w:tc>
          <w:tcPr>
            <w:tcW w:w="6509" w:type="dxa"/>
          </w:tcPr>
          <w:p w14:paraId="6017B7B7" w14:textId="2CF77D53" w:rsidR="002F33EF" w:rsidRDefault="004B5238" w:rsidP="00420964">
            <w:pPr>
              <w:rPr>
                <w:b/>
                <w:color w:val="4F6228" w:themeColor="accent3" w:themeShade="80"/>
              </w:rPr>
            </w:pPr>
            <w:r>
              <w:rPr>
                <w:b/>
                <w:color w:val="4F6228" w:themeColor="accent3" w:themeShade="80"/>
              </w:rPr>
              <w:t>FINDINGS OF THE CURRENT REVIEW</w:t>
            </w:r>
          </w:p>
        </w:tc>
        <w:tc>
          <w:tcPr>
            <w:tcW w:w="753" w:type="dxa"/>
          </w:tcPr>
          <w:p w14:paraId="08EFCEF6" w14:textId="28F2A523" w:rsidR="002F33EF" w:rsidRDefault="006536E6" w:rsidP="002F33EF">
            <w:pPr>
              <w:jc w:val="center"/>
              <w:rPr>
                <w:b/>
                <w:color w:val="4F6228" w:themeColor="accent3" w:themeShade="80"/>
              </w:rPr>
            </w:pPr>
            <w:r>
              <w:rPr>
                <w:b/>
                <w:color w:val="4F6228" w:themeColor="accent3" w:themeShade="80"/>
              </w:rPr>
              <w:t>5</w:t>
            </w:r>
          </w:p>
        </w:tc>
      </w:tr>
      <w:tr w:rsidR="002F33EF" w14:paraId="2BBB5F83" w14:textId="77777777" w:rsidTr="002F33EF">
        <w:tc>
          <w:tcPr>
            <w:tcW w:w="578" w:type="dxa"/>
          </w:tcPr>
          <w:p w14:paraId="23F67592" w14:textId="77777777" w:rsidR="002F33EF" w:rsidRDefault="002F33EF" w:rsidP="00420964">
            <w:pPr>
              <w:rPr>
                <w:b/>
                <w:color w:val="4F6228" w:themeColor="accent3" w:themeShade="80"/>
              </w:rPr>
            </w:pPr>
          </w:p>
        </w:tc>
        <w:tc>
          <w:tcPr>
            <w:tcW w:w="676" w:type="dxa"/>
          </w:tcPr>
          <w:p w14:paraId="41091E82" w14:textId="7B4B9D88" w:rsidR="002F33EF" w:rsidRDefault="004B5238" w:rsidP="00420964">
            <w:pPr>
              <w:rPr>
                <w:b/>
                <w:color w:val="4F6228" w:themeColor="accent3" w:themeShade="80"/>
              </w:rPr>
            </w:pPr>
            <w:r>
              <w:rPr>
                <w:b/>
                <w:color w:val="4F6228" w:themeColor="accent3" w:themeShade="80"/>
              </w:rPr>
              <w:t>1.6</w:t>
            </w:r>
          </w:p>
        </w:tc>
        <w:tc>
          <w:tcPr>
            <w:tcW w:w="6509" w:type="dxa"/>
          </w:tcPr>
          <w:p w14:paraId="15E42B1C" w14:textId="1EE75B2D" w:rsidR="002F33EF" w:rsidRDefault="004B5238" w:rsidP="00420964">
            <w:pPr>
              <w:rPr>
                <w:b/>
                <w:color w:val="4F6228" w:themeColor="accent3" w:themeShade="80"/>
              </w:rPr>
            </w:pPr>
            <w:r>
              <w:rPr>
                <w:b/>
                <w:color w:val="4F6228" w:themeColor="accent3" w:themeShade="80"/>
              </w:rPr>
              <w:t>CONCLUSIONS</w:t>
            </w:r>
          </w:p>
        </w:tc>
        <w:tc>
          <w:tcPr>
            <w:tcW w:w="753" w:type="dxa"/>
          </w:tcPr>
          <w:p w14:paraId="6D568864" w14:textId="2CA18F10" w:rsidR="002F33EF" w:rsidRDefault="004B5238" w:rsidP="002F33EF">
            <w:pPr>
              <w:jc w:val="center"/>
              <w:rPr>
                <w:b/>
                <w:color w:val="4F6228" w:themeColor="accent3" w:themeShade="80"/>
              </w:rPr>
            </w:pPr>
            <w:r>
              <w:rPr>
                <w:b/>
                <w:color w:val="4F6228" w:themeColor="accent3" w:themeShade="80"/>
              </w:rPr>
              <w:t>6</w:t>
            </w:r>
          </w:p>
        </w:tc>
      </w:tr>
      <w:tr w:rsidR="002F33EF" w14:paraId="4C13583E" w14:textId="0B8D07B8" w:rsidTr="002F33EF">
        <w:tc>
          <w:tcPr>
            <w:tcW w:w="578" w:type="dxa"/>
          </w:tcPr>
          <w:p w14:paraId="37CFBF01" w14:textId="77777777" w:rsidR="002F33EF" w:rsidRDefault="002F33EF" w:rsidP="00420964">
            <w:pPr>
              <w:rPr>
                <w:b/>
                <w:color w:val="4F6228" w:themeColor="accent3" w:themeShade="80"/>
              </w:rPr>
            </w:pPr>
          </w:p>
        </w:tc>
        <w:tc>
          <w:tcPr>
            <w:tcW w:w="676" w:type="dxa"/>
          </w:tcPr>
          <w:p w14:paraId="37DF5471" w14:textId="4CFA17C0" w:rsidR="002F33EF" w:rsidRDefault="004B5238" w:rsidP="00420964">
            <w:pPr>
              <w:rPr>
                <w:b/>
                <w:color w:val="4F6228" w:themeColor="accent3" w:themeShade="80"/>
              </w:rPr>
            </w:pPr>
            <w:r>
              <w:rPr>
                <w:b/>
                <w:color w:val="4F6228" w:themeColor="accent3" w:themeShade="80"/>
              </w:rPr>
              <w:t>1.7</w:t>
            </w:r>
          </w:p>
        </w:tc>
        <w:tc>
          <w:tcPr>
            <w:tcW w:w="6509" w:type="dxa"/>
          </w:tcPr>
          <w:p w14:paraId="0DB74D0B" w14:textId="316E10C5" w:rsidR="002F33EF" w:rsidRDefault="004B5238" w:rsidP="00420964">
            <w:pPr>
              <w:rPr>
                <w:b/>
                <w:color w:val="4F6228" w:themeColor="accent3" w:themeShade="80"/>
              </w:rPr>
            </w:pPr>
            <w:r>
              <w:rPr>
                <w:b/>
                <w:color w:val="4F6228" w:themeColor="accent3" w:themeShade="80"/>
              </w:rPr>
              <w:t>RECOMMENDATIONS</w:t>
            </w:r>
          </w:p>
        </w:tc>
        <w:tc>
          <w:tcPr>
            <w:tcW w:w="753" w:type="dxa"/>
          </w:tcPr>
          <w:p w14:paraId="3C6DE45A" w14:textId="66861E3F" w:rsidR="002F33EF" w:rsidRDefault="004B5238" w:rsidP="002F33EF">
            <w:pPr>
              <w:jc w:val="center"/>
              <w:rPr>
                <w:b/>
                <w:color w:val="4F6228" w:themeColor="accent3" w:themeShade="80"/>
              </w:rPr>
            </w:pPr>
            <w:r>
              <w:rPr>
                <w:b/>
                <w:color w:val="4F6228" w:themeColor="accent3" w:themeShade="80"/>
              </w:rPr>
              <w:t>7</w:t>
            </w:r>
          </w:p>
        </w:tc>
      </w:tr>
      <w:tr w:rsidR="004B5238" w14:paraId="15A35197" w14:textId="77777777" w:rsidTr="002F33EF">
        <w:tc>
          <w:tcPr>
            <w:tcW w:w="578" w:type="dxa"/>
          </w:tcPr>
          <w:p w14:paraId="2F9C5EB6" w14:textId="77777777" w:rsidR="004B5238" w:rsidRDefault="004B5238" w:rsidP="00420964">
            <w:pPr>
              <w:rPr>
                <w:b/>
                <w:color w:val="4F6228" w:themeColor="accent3" w:themeShade="80"/>
              </w:rPr>
            </w:pPr>
          </w:p>
        </w:tc>
        <w:tc>
          <w:tcPr>
            <w:tcW w:w="676" w:type="dxa"/>
          </w:tcPr>
          <w:p w14:paraId="1CEA4609" w14:textId="77777777" w:rsidR="004B5238" w:rsidRDefault="004B5238" w:rsidP="00420964">
            <w:pPr>
              <w:rPr>
                <w:b/>
                <w:color w:val="4F6228" w:themeColor="accent3" w:themeShade="80"/>
              </w:rPr>
            </w:pPr>
          </w:p>
        </w:tc>
        <w:tc>
          <w:tcPr>
            <w:tcW w:w="6509" w:type="dxa"/>
          </w:tcPr>
          <w:p w14:paraId="628D798B" w14:textId="77777777" w:rsidR="004B5238" w:rsidRDefault="004B5238" w:rsidP="00420964">
            <w:pPr>
              <w:rPr>
                <w:b/>
                <w:color w:val="4F6228" w:themeColor="accent3" w:themeShade="80"/>
              </w:rPr>
            </w:pPr>
          </w:p>
        </w:tc>
        <w:tc>
          <w:tcPr>
            <w:tcW w:w="753" w:type="dxa"/>
          </w:tcPr>
          <w:p w14:paraId="687CC520" w14:textId="77777777" w:rsidR="004B5238" w:rsidRDefault="004B5238" w:rsidP="002F33EF">
            <w:pPr>
              <w:jc w:val="center"/>
              <w:rPr>
                <w:b/>
                <w:color w:val="4F6228" w:themeColor="accent3" w:themeShade="80"/>
              </w:rPr>
            </w:pPr>
          </w:p>
        </w:tc>
      </w:tr>
      <w:tr w:rsidR="002F33EF" w14:paraId="644A19E5" w14:textId="5EDE279C" w:rsidTr="002F33EF">
        <w:tc>
          <w:tcPr>
            <w:tcW w:w="578" w:type="dxa"/>
          </w:tcPr>
          <w:p w14:paraId="1D2D13AC" w14:textId="1175B9F0" w:rsidR="002F33EF" w:rsidRDefault="002F33EF" w:rsidP="00420964">
            <w:pPr>
              <w:rPr>
                <w:b/>
                <w:color w:val="4F6228" w:themeColor="accent3" w:themeShade="80"/>
              </w:rPr>
            </w:pPr>
            <w:r>
              <w:rPr>
                <w:b/>
                <w:color w:val="4F6228" w:themeColor="accent3" w:themeShade="80"/>
              </w:rPr>
              <w:t>2.</w:t>
            </w:r>
          </w:p>
        </w:tc>
        <w:tc>
          <w:tcPr>
            <w:tcW w:w="7185" w:type="dxa"/>
            <w:gridSpan w:val="2"/>
          </w:tcPr>
          <w:p w14:paraId="0EAB7F94" w14:textId="0AA44DDE" w:rsidR="002F33EF" w:rsidRDefault="002F33EF" w:rsidP="00420964">
            <w:pPr>
              <w:rPr>
                <w:b/>
                <w:color w:val="4F6228" w:themeColor="accent3" w:themeShade="80"/>
              </w:rPr>
            </w:pPr>
            <w:r>
              <w:rPr>
                <w:b/>
                <w:color w:val="4F6228" w:themeColor="accent3" w:themeShade="80"/>
              </w:rPr>
              <w:t>REPORT OF THE INDEPENDENT REVIEW</w:t>
            </w:r>
          </w:p>
        </w:tc>
        <w:tc>
          <w:tcPr>
            <w:tcW w:w="753" w:type="dxa"/>
          </w:tcPr>
          <w:p w14:paraId="0BA2807D" w14:textId="2147D28C" w:rsidR="002F33EF" w:rsidRDefault="002F33EF" w:rsidP="002F33EF">
            <w:pPr>
              <w:jc w:val="center"/>
              <w:rPr>
                <w:b/>
                <w:color w:val="4F6228" w:themeColor="accent3" w:themeShade="80"/>
              </w:rPr>
            </w:pPr>
            <w:r>
              <w:rPr>
                <w:b/>
                <w:color w:val="4F6228" w:themeColor="accent3" w:themeShade="80"/>
              </w:rPr>
              <w:t xml:space="preserve"> 8</w:t>
            </w:r>
          </w:p>
        </w:tc>
      </w:tr>
      <w:tr w:rsidR="002F33EF" w14:paraId="3AC9D8F5" w14:textId="7427F5B4" w:rsidTr="002F33EF">
        <w:tc>
          <w:tcPr>
            <w:tcW w:w="578" w:type="dxa"/>
          </w:tcPr>
          <w:p w14:paraId="09D04AD3" w14:textId="77777777" w:rsidR="002F33EF" w:rsidRDefault="002F33EF" w:rsidP="00420964">
            <w:pPr>
              <w:rPr>
                <w:b/>
                <w:color w:val="4F6228" w:themeColor="accent3" w:themeShade="80"/>
              </w:rPr>
            </w:pPr>
          </w:p>
        </w:tc>
        <w:tc>
          <w:tcPr>
            <w:tcW w:w="676" w:type="dxa"/>
          </w:tcPr>
          <w:p w14:paraId="16D331F5" w14:textId="18301EB9" w:rsidR="002F33EF" w:rsidRDefault="002F33EF" w:rsidP="00420964">
            <w:pPr>
              <w:rPr>
                <w:b/>
                <w:color w:val="4F6228" w:themeColor="accent3" w:themeShade="80"/>
              </w:rPr>
            </w:pPr>
            <w:r>
              <w:rPr>
                <w:b/>
                <w:color w:val="4F6228" w:themeColor="accent3" w:themeShade="80"/>
              </w:rPr>
              <w:t>2.1</w:t>
            </w:r>
          </w:p>
        </w:tc>
        <w:tc>
          <w:tcPr>
            <w:tcW w:w="6509" w:type="dxa"/>
          </w:tcPr>
          <w:p w14:paraId="3F304B69" w14:textId="6AF20D53" w:rsidR="002F33EF" w:rsidRDefault="002F33EF" w:rsidP="00420964">
            <w:pPr>
              <w:rPr>
                <w:b/>
                <w:color w:val="4F6228" w:themeColor="accent3" w:themeShade="80"/>
              </w:rPr>
            </w:pPr>
            <w:r>
              <w:rPr>
                <w:b/>
                <w:color w:val="4F6228" w:themeColor="accent3" w:themeShade="80"/>
              </w:rPr>
              <w:t>INTRODUCTION</w:t>
            </w:r>
          </w:p>
        </w:tc>
        <w:tc>
          <w:tcPr>
            <w:tcW w:w="753" w:type="dxa"/>
          </w:tcPr>
          <w:p w14:paraId="3C09E05E" w14:textId="0320FAB7" w:rsidR="002F33EF" w:rsidRDefault="006536E6" w:rsidP="002F33EF">
            <w:pPr>
              <w:jc w:val="center"/>
              <w:rPr>
                <w:b/>
                <w:color w:val="4F6228" w:themeColor="accent3" w:themeShade="80"/>
              </w:rPr>
            </w:pPr>
            <w:r>
              <w:rPr>
                <w:b/>
                <w:color w:val="4F6228" w:themeColor="accent3" w:themeShade="80"/>
              </w:rPr>
              <w:t xml:space="preserve"> 8</w:t>
            </w:r>
          </w:p>
        </w:tc>
      </w:tr>
      <w:tr w:rsidR="002F33EF" w14:paraId="709EEABA" w14:textId="61F1583A" w:rsidTr="002F33EF">
        <w:tc>
          <w:tcPr>
            <w:tcW w:w="578" w:type="dxa"/>
          </w:tcPr>
          <w:p w14:paraId="6C94F25D" w14:textId="77777777" w:rsidR="002F33EF" w:rsidRDefault="002F33EF" w:rsidP="00420964">
            <w:pPr>
              <w:rPr>
                <w:b/>
                <w:color w:val="4F6228" w:themeColor="accent3" w:themeShade="80"/>
              </w:rPr>
            </w:pPr>
          </w:p>
        </w:tc>
        <w:tc>
          <w:tcPr>
            <w:tcW w:w="676" w:type="dxa"/>
          </w:tcPr>
          <w:p w14:paraId="2922BEF1" w14:textId="23EDBA77" w:rsidR="002F33EF" w:rsidRDefault="002F33EF" w:rsidP="00420964">
            <w:pPr>
              <w:rPr>
                <w:b/>
                <w:color w:val="4F6228" w:themeColor="accent3" w:themeShade="80"/>
              </w:rPr>
            </w:pPr>
            <w:r>
              <w:rPr>
                <w:b/>
                <w:color w:val="4F6228" w:themeColor="accent3" w:themeShade="80"/>
              </w:rPr>
              <w:t>2.2</w:t>
            </w:r>
          </w:p>
        </w:tc>
        <w:tc>
          <w:tcPr>
            <w:tcW w:w="6509" w:type="dxa"/>
          </w:tcPr>
          <w:p w14:paraId="3503DF6B" w14:textId="72172BB6" w:rsidR="002F33EF" w:rsidRDefault="002F33EF" w:rsidP="00420964">
            <w:pPr>
              <w:rPr>
                <w:b/>
                <w:color w:val="4F6228" w:themeColor="accent3" w:themeShade="80"/>
              </w:rPr>
            </w:pPr>
            <w:r>
              <w:rPr>
                <w:b/>
                <w:color w:val="4F6228" w:themeColor="accent3" w:themeShade="80"/>
              </w:rPr>
              <w:t>ACKNOWLEDGEMENTS</w:t>
            </w:r>
          </w:p>
        </w:tc>
        <w:tc>
          <w:tcPr>
            <w:tcW w:w="753" w:type="dxa"/>
          </w:tcPr>
          <w:p w14:paraId="02D2A05C" w14:textId="1D4AC0EF" w:rsidR="002F33EF" w:rsidRDefault="002F33EF" w:rsidP="002F33EF">
            <w:pPr>
              <w:jc w:val="center"/>
              <w:rPr>
                <w:b/>
                <w:color w:val="4F6228" w:themeColor="accent3" w:themeShade="80"/>
              </w:rPr>
            </w:pPr>
            <w:r>
              <w:rPr>
                <w:b/>
                <w:color w:val="4F6228" w:themeColor="accent3" w:themeShade="80"/>
              </w:rPr>
              <w:t xml:space="preserve"> 9</w:t>
            </w:r>
          </w:p>
        </w:tc>
      </w:tr>
      <w:tr w:rsidR="002F33EF" w14:paraId="4C98D9E6" w14:textId="655EA37D" w:rsidTr="002F33EF">
        <w:tc>
          <w:tcPr>
            <w:tcW w:w="578" w:type="dxa"/>
          </w:tcPr>
          <w:p w14:paraId="1B9FE020" w14:textId="77777777" w:rsidR="002F33EF" w:rsidRDefault="002F33EF" w:rsidP="00420964">
            <w:pPr>
              <w:rPr>
                <w:b/>
                <w:color w:val="4F6228" w:themeColor="accent3" w:themeShade="80"/>
              </w:rPr>
            </w:pPr>
          </w:p>
        </w:tc>
        <w:tc>
          <w:tcPr>
            <w:tcW w:w="676" w:type="dxa"/>
          </w:tcPr>
          <w:p w14:paraId="5F65FD85" w14:textId="372B0B3E" w:rsidR="002F33EF" w:rsidRDefault="002F33EF" w:rsidP="00420964">
            <w:pPr>
              <w:rPr>
                <w:b/>
                <w:color w:val="4F6228" w:themeColor="accent3" w:themeShade="80"/>
              </w:rPr>
            </w:pPr>
            <w:r>
              <w:rPr>
                <w:b/>
                <w:color w:val="4F6228" w:themeColor="accent3" w:themeShade="80"/>
              </w:rPr>
              <w:t>2.3</w:t>
            </w:r>
          </w:p>
        </w:tc>
        <w:tc>
          <w:tcPr>
            <w:tcW w:w="6509" w:type="dxa"/>
          </w:tcPr>
          <w:p w14:paraId="66BBC59C" w14:textId="095B271D" w:rsidR="002F33EF" w:rsidRDefault="002F33EF" w:rsidP="00420964">
            <w:pPr>
              <w:rPr>
                <w:b/>
                <w:color w:val="4F6228" w:themeColor="accent3" w:themeShade="80"/>
              </w:rPr>
            </w:pPr>
            <w:r>
              <w:rPr>
                <w:b/>
                <w:color w:val="4F6228" w:themeColor="accent3" w:themeShade="80"/>
              </w:rPr>
              <w:t>REVIEW TEAM</w:t>
            </w:r>
          </w:p>
        </w:tc>
        <w:tc>
          <w:tcPr>
            <w:tcW w:w="753" w:type="dxa"/>
          </w:tcPr>
          <w:p w14:paraId="7AB2E9D8" w14:textId="4A6752F7" w:rsidR="002F33EF" w:rsidRDefault="003D0A82" w:rsidP="006536E6">
            <w:pPr>
              <w:rPr>
                <w:b/>
                <w:color w:val="4F6228" w:themeColor="accent3" w:themeShade="80"/>
              </w:rPr>
            </w:pPr>
            <w:r>
              <w:rPr>
                <w:b/>
                <w:color w:val="4F6228" w:themeColor="accent3" w:themeShade="80"/>
              </w:rPr>
              <w:t xml:space="preserve">    9</w:t>
            </w:r>
          </w:p>
        </w:tc>
      </w:tr>
      <w:tr w:rsidR="003D0A82" w14:paraId="1575B07F" w14:textId="3CC208D7" w:rsidTr="002F33EF">
        <w:tc>
          <w:tcPr>
            <w:tcW w:w="578" w:type="dxa"/>
          </w:tcPr>
          <w:p w14:paraId="1EEC196F" w14:textId="77777777" w:rsidR="003D0A82" w:rsidRDefault="003D0A82" w:rsidP="00420964">
            <w:pPr>
              <w:rPr>
                <w:b/>
                <w:color w:val="4F6228" w:themeColor="accent3" w:themeShade="80"/>
              </w:rPr>
            </w:pPr>
          </w:p>
        </w:tc>
        <w:tc>
          <w:tcPr>
            <w:tcW w:w="676" w:type="dxa"/>
          </w:tcPr>
          <w:p w14:paraId="629878BC" w14:textId="34A2A86D" w:rsidR="003D0A82" w:rsidRDefault="003D0A82" w:rsidP="00420964">
            <w:pPr>
              <w:rPr>
                <w:b/>
                <w:color w:val="4F6228" w:themeColor="accent3" w:themeShade="80"/>
              </w:rPr>
            </w:pPr>
            <w:r>
              <w:rPr>
                <w:b/>
                <w:color w:val="4F6228" w:themeColor="accent3" w:themeShade="80"/>
              </w:rPr>
              <w:t>2.4</w:t>
            </w:r>
          </w:p>
        </w:tc>
        <w:tc>
          <w:tcPr>
            <w:tcW w:w="6509" w:type="dxa"/>
          </w:tcPr>
          <w:p w14:paraId="0E5CB418" w14:textId="5F243E8E" w:rsidR="003D0A82" w:rsidRDefault="003D0A82" w:rsidP="00420964">
            <w:pPr>
              <w:rPr>
                <w:b/>
                <w:color w:val="4F6228" w:themeColor="accent3" w:themeShade="80"/>
              </w:rPr>
            </w:pPr>
            <w:r>
              <w:rPr>
                <w:b/>
                <w:color w:val="4F6228" w:themeColor="accent3" w:themeShade="80"/>
              </w:rPr>
              <w:t>METHODOLOGY</w:t>
            </w:r>
          </w:p>
        </w:tc>
        <w:tc>
          <w:tcPr>
            <w:tcW w:w="753" w:type="dxa"/>
          </w:tcPr>
          <w:p w14:paraId="7ADA063B" w14:textId="655D61E7" w:rsidR="003D0A82" w:rsidRDefault="003D0A82" w:rsidP="006536E6">
            <w:pPr>
              <w:rPr>
                <w:b/>
                <w:color w:val="4F6228" w:themeColor="accent3" w:themeShade="80"/>
              </w:rPr>
            </w:pPr>
            <w:r>
              <w:rPr>
                <w:b/>
                <w:color w:val="4F6228" w:themeColor="accent3" w:themeShade="80"/>
              </w:rPr>
              <w:t xml:space="preserve">  10</w:t>
            </w:r>
          </w:p>
        </w:tc>
      </w:tr>
      <w:tr w:rsidR="003D0A82" w14:paraId="6910A2FE" w14:textId="192DF561" w:rsidTr="002F33EF">
        <w:tc>
          <w:tcPr>
            <w:tcW w:w="578" w:type="dxa"/>
          </w:tcPr>
          <w:p w14:paraId="5F00BF51" w14:textId="77777777" w:rsidR="003D0A82" w:rsidRDefault="003D0A82" w:rsidP="00420964">
            <w:pPr>
              <w:rPr>
                <w:b/>
                <w:color w:val="4F6228" w:themeColor="accent3" w:themeShade="80"/>
              </w:rPr>
            </w:pPr>
          </w:p>
        </w:tc>
        <w:tc>
          <w:tcPr>
            <w:tcW w:w="676" w:type="dxa"/>
          </w:tcPr>
          <w:p w14:paraId="3AB875B2" w14:textId="3EE30F6D" w:rsidR="003D0A82" w:rsidRDefault="003D0A82" w:rsidP="00420964">
            <w:pPr>
              <w:rPr>
                <w:b/>
                <w:color w:val="4F6228" w:themeColor="accent3" w:themeShade="80"/>
              </w:rPr>
            </w:pPr>
            <w:r>
              <w:rPr>
                <w:b/>
                <w:color w:val="4F6228" w:themeColor="accent3" w:themeShade="80"/>
              </w:rPr>
              <w:t>2.5</w:t>
            </w:r>
          </w:p>
        </w:tc>
        <w:tc>
          <w:tcPr>
            <w:tcW w:w="6509" w:type="dxa"/>
          </w:tcPr>
          <w:p w14:paraId="5187FD63" w14:textId="27D3940D" w:rsidR="003D0A82" w:rsidRDefault="003D0A82" w:rsidP="00420964">
            <w:pPr>
              <w:rPr>
                <w:b/>
                <w:color w:val="4F6228" w:themeColor="accent3" w:themeShade="80"/>
              </w:rPr>
            </w:pPr>
            <w:r>
              <w:rPr>
                <w:b/>
                <w:color w:val="4F6228" w:themeColor="accent3" w:themeShade="80"/>
              </w:rPr>
              <w:t>BACKGROUND TO THE CASE</w:t>
            </w:r>
          </w:p>
        </w:tc>
        <w:tc>
          <w:tcPr>
            <w:tcW w:w="753" w:type="dxa"/>
          </w:tcPr>
          <w:p w14:paraId="132B4C1A" w14:textId="4A81BA14" w:rsidR="003D0A82" w:rsidRDefault="003D0A82" w:rsidP="006536E6">
            <w:pPr>
              <w:rPr>
                <w:b/>
                <w:color w:val="4F6228" w:themeColor="accent3" w:themeShade="80"/>
              </w:rPr>
            </w:pPr>
            <w:r>
              <w:rPr>
                <w:b/>
                <w:color w:val="4F6228" w:themeColor="accent3" w:themeShade="80"/>
              </w:rPr>
              <w:t xml:space="preserve">  11</w:t>
            </w:r>
          </w:p>
        </w:tc>
      </w:tr>
      <w:tr w:rsidR="003D0A82" w14:paraId="6A8E5B0F" w14:textId="7F134E51" w:rsidTr="002F33EF">
        <w:tc>
          <w:tcPr>
            <w:tcW w:w="578" w:type="dxa"/>
          </w:tcPr>
          <w:p w14:paraId="3E49D6EB" w14:textId="77777777" w:rsidR="003D0A82" w:rsidRDefault="003D0A82" w:rsidP="00420964">
            <w:pPr>
              <w:rPr>
                <w:b/>
                <w:color w:val="4F6228" w:themeColor="accent3" w:themeShade="80"/>
              </w:rPr>
            </w:pPr>
          </w:p>
        </w:tc>
        <w:tc>
          <w:tcPr>
            <w:tcW w:w="676" w:type="dxa"/>
          </w:tcPr>
          <w:p w14:paraId="31C6DDBF" w14:textId="504C36BA" w:rsidR="003D0A82" w:rsidRDefault="003D0A82" w:rsidP="00420964">
            <w:pPr>
              <w:rPr>
                <w:b/>
                <w:color w:val="4F6228" w:themeColor="accent3" w:themeShade="80"/>
              </w:rPr>
            </w:pPr>
            <w:r>
              <w:rPr>
                <w:b/>
                <w:color w:val="4F6228" w:themeColor="accent3" w:themeShade="80"/>
              </w:rPr>
              <w:t>2.6</w:t>
            </w:r>
          </w:p>
        </w:tc>
        <w:tc>
          <w:tcPr>
            <w:tcW w:w="6509" w:type="dxa"/>
          </w:tcPr>
          <w:p w14:paraId="3535C333" w14:textId="16DC5697" w:rsidR="003D0A82" w:rsidRDefault="003D0A82" w:rsidP="00420964">
            <w:pPr>
              <w:rPr>
                <w:b/>
                <w:color w:val="4F6228" w:themeColor="accent3" w:themeShade="80"/>
              </w:rPr>
            </w:pPr>
            <w:r>
              <w:rPr>
                <w:b/>
                <w:color w:val="4F6228" w:themeColor="accent3" w:themeShade="80"/>
              </w:rPr>
              <w:t>FINDINGS OF THE PRESENT REVIEW</w:t>
            </w:r>
          </w:p>
        </w:tc>
        <w:tc>
          <w:tcPr>
            <w:tcW w:w="753" w:type="dxa"/>
          </w:tcPr>
          <w:p w14:paraId="22B08791" w14:textId="1DFD91CA" w:rsidR="003D0A82" w:rsidRDefault="003D0A82" w:rsidP="003D0A82">
            <w:pPr>
              <w:rPr>
                <w:b/>
                <w:color w:val="4F6228" w:themeColor="accent3" w:themeShade="80"/>
              </w:rPr>
            </w:pPr>
            <w:r>
              <w:rPr>
                <w:b/>
                <w:color w:val="4F6228" w:themeColor="accent3" w:themeShade="80"/>
              </w:rPr>
              <w:t xml:space="preserve">  13</w:t>
            </w:r>
          </w:p>
        </w:tc>
      </w:tr>
      <w:tr w:rsidR="003D0A82" w14:paraId="0563A25C" w14:textId="694D8F2E" w:rsidTr="002F33EF">
        <w:tc>
          <w:tcPr>
            <w:tcW w:w="578" w:type="dxa"/>
          </w:tcPr>
          <w:p w14:paraId="72483EFD" w14:textId="77777777" w:rsidR="003D0A82" w:rsidRDefault="003D0A82" w:rsidP="00420964">
            <w:pPr>
              <w:rPr>
                <w:b/>
                <w:color w:val="4F6228" w:themeColor="accent3" w:themeShade="80"/>
              </w:rPr>
            </w:pPr>
          </w:p>
        </w:tc>
        <w:tc>
          <w:tcPr>
            <w:tcW w:w="676" w:type="dxa"/>
          </w:tcPr>
          <w:p w14:paraId="58A5695E" w14:textId="77777777" w:rsidR="003D0A82" w:rsidRDefault="003D0A82" w:rsidP="00420964">
            <w:pPr>
              <w:rPr>
                <w:b/>
                <w:color w:val="4F6228" w:themeColor="accent3" w:themeShade="80"/>
              </w:rPr>
            </w:pPr>
          </w:p>
        </w:tc>
        <w:tc>
          <w:tcPr>
            <w:tcW w:w="6509" w:type="dxa"/>
          </w:tcPr>
          <w:p w14:paraId="5CC825EB" w14:textId="77777777" w:rsidR="003D0A82" w:rsidRDefault="003D0A82" w:rsidP="00420964">
            <w:pPr>
              <w:rPr>
                <w:b/>
                <w:color w:val="4F6228" w:themeColor="accent3" w:themeShade="80"/>
              </w:rPr>
            </w:pPr>
          </w:p>
        </w:tc>
        <w:tc>
          <w:tcPr>
            <w:tcW w:w="753" w:type="dxa"/>
          </w:tcPr>
          <w:p w14:paraId="5F7AB8D1" w14:textId="77777777" w:rsidR="003D0A82" w:rsidRDefault="003D0A82" w:rsidP="00420964">
            <w:pPr>
              <w:rPr>
                <w:b/>
                <w:color w:val="4F6228" w:themeColor="accent3" w:themeShade="80"/>
              </w:rPr>
            </w:pPr>
          </w:p>
        </w:tc>
      </w:tr>
      <w:tr w:rsidR="003D0A82" w14:paraId="1D3E4016" w14:textId="0211135B" w:rsidTr="002F33EF">
        <w:tc>
          <w:tcPr>
            <w:tcW w:w="578" w:type="dxa"/>
          </w:tcPr>
          <w:p w14:paraId="5A584BCF" w14:textId="1DF28A3E" w:rsidR="003D0A82" w:rsidRDefault="003D0A82" w:rsidP="00420964">
            <w:pPr>
              <w:rPr>
                <w:b/>
                <w:color w:val="4F6228" w:themeColor="accent3" w:themeShade="80"/>
              </w:rPr>
            </w:pPr>
            <w:r>
              <w:rPr>
                <w:b/>
                <w:color w:val="4F6228" w:themeColor="accent3" w:themeShade="80"/>
              </w:rPr>
              <w:t>3.</w:t>
            </w:r>
          </w:p>
        </w:tc>
        <w:tc>
          <w:tcPr>
            <w:tcW w:w="676" w:type="dxa"/>
          </w:tcPr>
          <w:p w14:paraId="08611A5F" w14:textId="77777777" w:rsidR="003D0A82" w:rsidRDefault="003D0A82" w:rsidP="00420964">
            <w:pPr>
              <w:rPr>
                <w:b/>
                <w:color w:val="4F6228" w:themeColor="accent3" w:themeShade="80"/>
              </w:rPr>
            </w:pPr>
          </w:p>
        </w:tc>
        <w:tc>
          <w:tcPr>
            <w:tcW w:w="6509" w:type="dxa"/>
          </w:tcPr>
          <w:p w14:paraId="103D5DA5" w14:textId="284C09B1" w:rsidR="003D0A82" w:rsidRDefault="003D0A82" w:rsidP="00420964">
            <w:pPr>
              <w:rPr>
                <w:b/>
                <w:color w:val="4F6228" w:themeColor="accent3" w:themeShade="80"/>
              </w:rPr>
            </w:pPr>
            <w:r>
              <w:rPr>
                <w:b/>
                <w:color w:val="4F6228" w:themeColor="accent3" w:themeShade="80"/>
              </w:rPr>
              <w:t>THE EVIDENCE BASE</w:t>
            </w:r>
          </w:p>
        </w:tc>
        <w:tc>
          <w:tcPr>
            <w:tcW w:w="753" w:type="dxa"/>
          </w:tcPr>
          <w:p w14:paraId="64202CF9" w14:textId="4D85FD1C" w:rsidR="003D0A82" w:rsidRDefault="003D0A82" w:rsidP="00420964">
            <w:pPr>
              <w:rPr>
                <w:b/>
                <w:color w:val="4F6228" w:themeColor="accent3" w:themeShade="80"/>
              </w:rPr>
            </w:pPr>
            <w:r>
              <w:rPr>
                <w:b/>
                <w:color w:val="4F6228" w:themeColor="accent3" w:themeShade="80"/>
              </w:rPr>
              <w:t>25</w:t>
            </w:r>
          </w:p>
        </w:tc>
      </w:tr>
      <w:tr w:rsidR="003D0A82" w14:paraId="69F60F78" w14:textId="416A3F06" w:rsidTr="002F33EF">
        <w:tc>
          <w:tcPr>
            <w:tcW w:w="578" w:type="dxa"/>
          </w:tcPr>
          <w:p w14:paraId="782D47DB" w14:textId="77777777" w:rsidR="003D0A82" w:rsidRDefault="003D0A82" w:rsidP="00420964">
            <w:pPr>
              <w:rPr>
                <w:b/>
                <w:color w:val="4F6228" w:themeColor="accent3" w:themeShade="80"/>
              </w:rPr>
            </w:pPr>
          </w:p>
        </w:tc>
        <w:tc>
          <w:tcPr>
            <w:tcW w:w="676" w:type="dxa"/>
          </w:tcPr>
          <w:p w14:paraId="7C2AA1C7" w14:textId="77777777" w:rsidR="003D0A82" w:rsidRDefault="003D0A82" w:rsidP="00420964">
            <w:pPr>
              <w:rPr>
                <w:b/>
                <w:color w:val="4F6228" w:themeColor="accent3" w:themeShade="80"/>
              </w:rPr>
            </w:pPr>
          </w:p>
        </w:tc>
        <w:tc>
          <w:tcPr>
            <w:tcW w:w="6509" w:type="dxa"/>
          </w:tcPr>
          <w:p w14:paraId="0A8D4E00" w14:textId="77777777" w:rsidR="003D0A82" w:rsidRDefault="003D0A82" w:rsidP="00420964">
            <w:pPr>
              <w:rPr>
                <w:b/>
                <w:color w:val="4F6228" w:themeColor="accent3" w:themeShade="80"/>
              </w:rPr>
            </w:pPr>
          </w:p>
        </w:tc>
        <w:tc>
          <w:tcPr>
            <w:tcW w:w="753" w:type="dxa"/>
          </w:tcPr>
          <w:p w14:paraId="2400AF9C" w14:textId="77777777" w:rsidR="003D0A82" w:rsidRDefault="003D0A82" w:rsidP="00420964">
            <w:pPr>
              <w:rPr>
                <w:b/>
                <w:color w:val="4F6228" w:themeColor="accent3" w:themeShade="80"/>
              </w:rPr>
            </w:pPr>
          </w:p>
        </w:tc>
      </w:tr>
      <w:tr w:rsidR="003D0A82" w14:paraId="0E856ED3" w14:textId="495DB2C3" w:rsidTr="002F33EF">
        <w:tc>
          <w:tcPr>
            <w:tcW w:w="578" w:type="dxa"/>
          </w:tcPr>
          <w:p w14:paraId="1FBC54A6" w14:textId="4008866C" w:rsidR="003D0A82" w:rsidRDefault="003D0A82" w:rsidP="00420964">
            <w:pPr>
              <w:rPr>
                <w:b/>
                <w:color w:val="4F6228" w:themeColor="accent3" w:themeShade="80"/>
              </w:rPr>
            </w:pPr>
            <w:r>
              <w:rPr>
                <w:b/>
                <w:color w:val="4F6228" w:themeColor="accent3" w:themeShade="80"/>
              </w:rPr>
              <w:t>4.</w:t>
            </w:r>
          </w:p>
        </w:tc>
        <w:tc>
          <w:tcPr>
            <w:tcW w:w="676" w:type="dxa"/>
          </w:tcPr>
          <w:p w14:paraId="170826EB" w14:textId="77777777" w:rsidR="003D0A82" w:rsidRDefault="003D0A82" w:rsidP="00420964">
            <w:pPr>
              <w:rPr>
                <w:b/>
                <w:color w:val="4F6228" w:themeColor="accent3" w:themeShade="80"/>
              </w:rPr>
            </w:pPr>
          </w:p>
        </w:tc>
        <w:tc>
          <w:tcPr>
            <w:tcW w:w="6509" w:type="dxa"/>
          </w:tcPr>
          <w:p w14:paraId="2EC9CB35" w14:textId="2219A970" w:rsidR="003D0A82" w:rsidRDefault="003D0A82" w:rsidP="00420964">
            <w:pPr>
              <w:rPr>
                <w:b/>
                <w:color w:val="4F6228" w:themeColor="accent3" w:themeShade="80"/>
              </w:rPr>
            </w:pPr>
            <w:r>
              <w:rPr>
                <w:b/>
                <w:color w:val="4F6228" w:themeColor="accent3" w:themeShade="80"/>
              </w:rPr>
              <w:t>THE ORGANISATION</w:t>
            </w:r>
          </w:p>
        </w:tc>
        <w:tc>
          <w:tcPr>
            <w:tcW w:w="753" w:type="dxa"/>
          </w:tcPr>
          <w:p w14:paraId="2A9FBA6F" w14:textId="081CA212" w:rsidR="003D0A82" w:rsidRDefault="003D0A82" w:rsidP="00420964">
            <w:pPr>
              <w:rPr>
                <w:b/>
                <w:color w:val="4F6228" w:themeColor="accent3" w:themeShade="80"/>
              </w:rPr>
            </w:pPr>
            <w:r>
              <w:rPr>
                <w:b/>
                <w:color w:val="4F6228" w:themeColor="accent3" w:themeShade="80"/>
              </w:rPr>
              <w:t>26</w:t>
            </w:r>
          </w:p>
        </w:tc>
      </w:tr>
      <w:tr w:rsidR="003D0A82" w14:paraId="583779FA" w14:textId="4CBFF4C3" w:rsidTr="002F33EF">
        <w:tc>
          <w:tcPr>
            <w:tcW w:w="578" w:type="dxa"/>
          </w:tcPr>
          <w:p w14:paraId="2FF93B77" w14:textId="77777777" w:rsidR="003D0A82" w:rsidRDefault="003D0A82" w:rsidP="00420964">
            <w:pPr>
              <w:rPr>
                <w:b/>
                <w:color w:val="4F6228" w:themeColor="accent3" w:themeShade="80"/>
              </w:rPr>
            </w:pPr>
          </w:p>
        </w:tc>
        <w:tc>
          <w:tcPr>
            <w:tcW w:w="676" w:type="dxa"/>
          </w:tcPr>
          <w:p w14:paraId="076B2185" w14:textId="77777777" w:rsidR="003D0A82" w:rsidRDefault="003D0A82" w:rsidP="00420964">
            <w:pPr>
              <w:rPr>
                <w:b/>
                <w:color w:val="4F6228" w:themeColor="accent3" w:themeShade="80"/>
              </w:rPr>
            </w:pPr>
          </w:p>
        </w:tc>
        <w:tc>
          <w:tcPr>
            <w:tcW w:w="6509" w:type="dxa"/>
          </w:tcPr>
          <w:p w14:paraId="33F1A443" w14:textId="77777777" w:rsidR="003D0A82" w:rsidRDefault="003D0A82" w:rsidP="00420964">
            <w:pPr>
              <w:rPr>
                <w:b/>
                <w:color w:val="4F6228" w:themeColor="accent3" w:themeShade="80"/>
              </w:rPr>
            </w:pPr>
          </w:p>
        </w:tc>
        <w:tc>
          <w:tcPr>
            <w:tcW w:w="753" w:type="dxa"/>
          </w:tcPr>
          <w:p w14:paraId="7B1DBEC5" w14:textId="77777777" w:rsidR="003D0A82" w:rsidRDefault="003D0A82" w:rsidP="00420964">
            <w:pPr>
              <w:rPr>
                <w:b/>
                <w:color w:val="4F6228" w:themeColor="accent3" w:themeShade="80"/>
              </w:rPr>
            </w:pPr>
          </w:p>
        </w:tc>
      </w:tr>
      <w:tr w:rsidR="003D0A82" w14:paraId="02CC1F1D" w14:textId="3F2C74EA" w:rsidTr="002F33EF">
        <w:tc>
          <w:tcPr>
            <w:tcW w:w="578" w:type="dxa"/>
          </w:tcPr>
          <w:p w14:paraId="634F4B47" w14:textId="4D824D0D" w:rsidR="003D0A82" w:rsidRDefault="003D0A82" w:rsidP="00420964">
            <w:pPr>
              <w:rPr>
                <w:b/>
                <w:color w:val="4F6228" w:themeColor="accent3" w:themeShade="80"/>
              </w:rPr>
            </w:pPr>
            <w:r>
              <w:rPr>
                <w:b/>
                <w:color w:val="4F6228" w:themeColor="accent3" w:themeShade="80"/>
              </w:rPr>
              <w:t>5.</w:t>
            </w:r>
          </w:p>
        </w:tc>
        <w:tc>
          <w:tcPr>
            <w:tcW w:w="676" w:type="dxa"/>
          </w:tcPr>
          <w:p w14:paraId="7407CC5D" w14:textId="77777777" w:rsidR="003D0A82" w:rsidRDefault="003D0A82" w:rsidP="00420964">
            <w:pPr>
              <w:rPr>
                <w:b/>
                <w:color w:val="4F6228" w:themeColor="accent3" w:themeShade="80"/>
              </w:rPr>
            </w:pPr>
          </w:p>
        </w:tc>
        <w:tc>
          <w:tcPr>
            <w:tcW w:w="6509" w:type="dxa"/>
          </w:tcPr>
          <w:p w14:paraId="6A38095D" w14:textId="2BAE3437" w:rsidR="003D0A82" w:rsidRDefault="003D0A82" w:rsidP="00420964">
            <w:pPr>
              <w:rPr>
                <w:b/>
                <w:color w:val="4F6228" w:themeColor="accent3" w:themeShade="80"/>
              </w:rPr>
            </w:pPr>
            <w:r>
              <w:rPr>
                <w:b/>
                <w:color w:val="4F6228" w:themeColor="accent3" w:themeShade="80"/>
              </w:rPr>
              <w:t>CONCLUSIONS</w:t>
            </w:r>
          </w:p>
        </w:tc>
        <w:tc>
          <w:tcPr>
            <w:tcW w:w="753" w:type="dxa"/>
          </w:tcPr>
          <w:p w14:paraId="278E1DD6" w14:textId="333E902B" w:rsidR="003D0A82" w:rsidRDefault="003D0A82" w:rsidP="00420964">
            <w:pPr>
              <w:rPr>
                <w:b/>
                <w:color w:val="4F6228" w:themeColor="accent3" w:themeShade="80"/>
              </w:rPr>
            </w:pPr>
            <w:r>
              <w:rPr>
                <w:b/>
                <w:color w:val="4F6228" w:themeColor="accent3" w:themeShade="80"/>
              </w:rPr>
              <w:t>29</w:t>
            </w:r>
          </w:p>
        </w:tc>
      </w:tr>
      <w:tr w:rsidR="003D0A82" w14:paraId="5C7A2CDF" w14:textId="121B52A4" w:rsidTr="002F33EF">
        <w:tc>
          <w:tcPr>
            <w:tcW w:w="578" w:type="dxa"/>
          </w:tcPr>
          <w:p w14:paraId="6BD24558" w14:textId="77777777" w:rsidR="003D0A82" w:rsidRDefault="003D0A82" w:rsidP="00420964">
            <w:pPr>
              <w:rPr>
                <w:b/>
                <w:color w:val="4F6228" w:themeColor="accent3" w:themeShade="80"/>
              </w:rPr>
            </w:pPr>
          </w:p>
        </w:tc>
        <w:tc>
          <w:tcPr>
            <w:tcW w:w="676" w:type="dxa"/>
          </w:tcPr>
          <w:p w14:paraId="7CBB2872" w14:textId="77777777" w:rsidR="003D0A82" w:rsidRDefault="003D0A82" w:rsidP="00420964">
            <w:pPr>
              <w:rPr>
                <w:b/>
                <w:color w:val="4F6228" w:themeColor="accent3" w:themeShade="80"/>
              </w:rPr>
            </w:pPr>
          </w:p>
        </w:tc>
        <w:tc>
          <w:tcPr>
            <w:tcW w:w="6509" w:type="dxa"/>
          </w:tcPr>
          <w:p w14:paraId="330B8856" w14:textId="77777777" w:rsidR="003D0A82" w:rsidRDefault="003D0A82" w:rsidP="00420964">
            <w:pPr>
              <w:rPr>
                <w:b/>
                <w:color w:val="4F6228" w:themeColor="accent3" w:themeShade="80"/>
              </w:rPr>
            </w:pPr>
          </w:p>
        </w:tc>
        <w:tc>
          <w:tcPr>
            <w:tcW w:w="753" w:type="dxa"/>
          </w:tcPr>
          <w:p w14:paraId="3D3E2463" w14:textId="77777777" w:rsidR="003D0A82" w:rsidRDefault="003D0A82" w:rsidP="00420964">
            <w:pPr>
              <w:rPr>
                <w:b/>
                <w:color w:val="4F6228" w:themeColor="accent3" w:themeShade="80"/>
              </w:rPr>
            </w:pPr>
          </w:p>
        </w:tc>
      </w:tr>
      <w:tr w:rsidR="003D0A82" w14:paraId="1B6F8638" w14:textId="1406B665" w:rsidTr="002F33EF">
        <w:tc>
          <w:tcPr>
            <w:tcW w:w="578" w:type="dxa"/>
          </w:tcPr>
          <w:p w14:paraId="56185ADA" w14:textId="2533BCFE" w:rsidR="003D0A82" w:rsidRDefault="003D0A82" w:rsidP="00420964">
            <w:pPr>
              <w:rPr>
                <w:b/>
                <w:color w:val="4F6228" w:themeColor="accent3" w:themeShade="80"/>
              </w:rPr>
            </w:pPr>
            <w:r>
              <w:rPr>
                <w:b/>
                <w:color w:val="4F6228" w:themeColor="accent3" w:themeShade="80"/>
              </w:rPr>
              <w:t>6.</w:t>
            </w:r>
          </w:p>
        </w:tc>
        <w:tc>
          <w:tcPr>
            <w:tcW w:w="676" w:type="dxa"/>
          </w:tcPr>
          <w:p w14:paraId="7F622FFD" w14:textId="77777777" w:rsidR="003D0A82" w:rsidRDefault="003D0A82" w:rsidP="00420964">
            <w:pPr>
              <w:rPr>
                <w:b/>
                <w:color w:val="4F6228" w:themeColor="accent3" w:themeShade="80"/>
              </w:rPr>
            </w:pPr>
          </w:p>
        </w:tc>
        <w:tc>
          <w:tcPr>
            <w:tcW w:w="6509" w:type="dxa"/>
          </w:tcPr>
          <w:p w14:paraId="74D7F218" w14:textId="4CE61EF6" w:rsidR="003D0A82" w:rsidRDefault="003D0A82" w:rsidP="00420964">
            <w:pPr>
              <w:rPr>
                <w:b/>
                <w:color w:val="4F6228" w:themeColor="accent3" w:themeShade="80"/>
              </w:rPr>
            </w:pPr>
            <w:r>
              <w:rPr>
                <w:b/>
                <w:color w:val="4F6228" w:themeColor="accent3" w:themeShade="80"/>
              </w:rPr>
              <w:t>RECOMMENDATIONS</w:t>
            </w:r>
          </w:p>
        </w:tc>
        <w:tc>
          <w:tcPr>
            <w:tcW w:w="753" w:type="dxa"/>
          </w:tcPr>
          <w:p w14:paraId="608FFEA8" w14:textId="022DA26F" w:rsidR="003D0A82" w:rsidRDefault="003D0A82" w:rsidP="00420964">
            <w:pPr>
              <w:rPr>
                <w:b/>
                <w:color w:val="4F6228" w:themeColor="accent3" w:themeShade="80"/>
              </w:rPr>
            </w:pPr>
            <w:r>
              <w:rPr>
                <w:b/>
                <w:color w:val="4F6228" w:themeColor="accent3" w:themeShade="80"/>
              </w:rPr>
              <w:t>33</w:t>
            </w:r>
          </w:p>
        </w:tc>
      </w:tr>
      <w:tr w:rsidR="003D0A82" w14:paraId="7FFF04FF" w14:textId="77777777" w:rsidTr="002F33EF">
        <w:tc>
          <w:tcPr>
            <w:tcW w:w="578" w:type="dxa"/>
          </w:tcPr>
          <w:p w14:paraId="0B8AD3FC" w14:textId="77777777" w:rsidR="003D0A82" w:rsidRDefault="003D0A82" w:rsidP="00420964">
            <w:pPr>
              <w:rPr>
                <w:b/>
                <w:color w:val="4F6228" w:themeColor="accent3" w:themeShade="80"/>
              </w:rPr>
            </w:pPr>
          </w:p>
        </w:tc>
        <w:tc>
          <w:tcPr>
            <w:tcW w:w="676" w:type="dxa"/>
          </w:tcPr>
          <w:p w14:paraId="67F31361" w14:textId="77777777" w:rsidR="003D0A82" w:rsidRDefault="003D0A82" w:rsidP="00420964">
            <w:pPr>
              <w:rPr>
                <w:b/>
                <w:color w:val="4F6228" w:themeColor="accent3" w:themeShade="80"/>
              </w:rPr>
            </w:pPr>
          </w:p>
        </w:tc>
        <w:tc>
          <w:tcPr>
            <w:tcW w:w="6509" w:type="dxa"/>
          </w:tcPr>
          <w:p w14:paraId="733B7037" w14:textId="77777777" w:rsidR="003D0A82" w:rsidRDefault="003D0A82" w:rsidP="00420964">
            <w:pPr>
              <w:rPr>
                <w:b/>
                <w:color w:val="4F6228" w:themeColor="accent3" w:themeShade="80"/>
              </w:rPr>
            </w:pPr>
          </w:p>
        </w:tc>
        <w:tc>
          <w:tcPr>
            <w:tcW w:w="753" w:type="dxa"/>
          </w:tcPr>
          <w:p w14:paraId="4A4CD11C" w14:textId="77777777" w:rsidR="003D0A82" w:rsidRDefault="003D0A82" w:rsidP="00420964">
            <w:pPr>
              <w:rPr>
                <w:b/>
                <w:color w:val="4F6228" w:themeColor="accent3" w:themeShade="80"/>
              </w:rPr>
            </w:pPr>
          </w:p>
        </w:tc>
      </w:tr>
      <w:tr w:rsidR="003D0A82" w14:paraId="39AE47F2" w14:textId="77777777" w:rsidTr="002F33EF">
        <w:tc>
          <w:tcPr>
            <w:tcW w:w="578" w:type="dxa"/>
          </w:tcPr>
          <w:p w14:paraId="53198C42" w14:textId="296BE7F4" w:rsidR="003D0A82" w:rsidRDefault="003D0A82" w:rsidP="00420964">
            <w:pPr>
              <w:rPr>
                <w:b/>
                <w:color w:val="4F6228" w:themeColor="accent3" w:themeShade="80"/>
              </w:rPr>
            </w:pPr>
            <w:r>
              <w:rPr>
                <w:b/>
                <w:color w:val="4F6228" w:themeColor="accent3" w:themeShade="80"/>
              </w:rPr>
              <w:t>7.</w:t>
            </w:r>
          </w:p>
        </w:tc>
        <w:tc>
          <w:tcPr>
            <w:tcW w:w="7185" w:type="dxa"/>
            <w:gridSpan w:val="2"/>
          </w:tcPr>
          <w:p w14:paraId="62F8CC4F" w14:textId="5515DAC6" w:rsidR="003D0A82" w:rsidRDefault="003D0A82" w:rsidP="00420964">
            <w:pPr>
              <w:rPr>
                <w:b/>
                <w:color w:val="4F6228" w:themeColor="accent3" w:themeShade="80"/>
              </w:rPr>
            </w:pPr>
            <w:r>
              <w:rPr>
                <w:b/>
                <w:color w:val="4F6228" w:themeColor="accent3" w:themeShade="80"/>
              </w:rPr>
              <w:t>Appendices</w:t>
            </w:r>
          </w:p>
        </w:tc>
        <w:tc>
          <w:tcPr>
            <w:tcW w:w="753" w:type="dxa"/>
          </w:tcPr>
          <w:p w14:paraId="7DC2EA95" w14:textId="77777777" w:rsidR="003D0A82" w:rsidRDefault="003D0A82" w:rsidP="00420964">
            <w:pPr>
              <w:rPr>
                <w:b/>
                <w:color w:val="4F6228" w:themeColor="accent3" w:themeShade="80"/>
              </w:rPr>
            </w:pPr>
          </w:p>
        </w:tc>
      </w:tr>
      <w:tr w:rsidR="003D0A82" w14:paraId="6794FF01" w14:textId="77777777" w:rsidTr="002F33EF">
        <w:tc>
          <w:tcPr>
            <w:tcW w:w="578" w:type="dxa"/>
          </w:tcPr>
          <w:p w14:paraId="2469CAD0" w14:textId="77777777" w:rsidR="003D0A82" w:rsidRDefault="003D0A82" w:rsidP="00420964">
            <w:pPr>
              <w:rPr>
                <w:b/>
                <w:color w:val="4F6228" w:themeColor="accent3" w:themeShade="80"/>
              </w:rPr>
            </w:pPr>
          </w:p>
        </w:tc>
        <w:tc>
          <w:tcPr>
            <w:tcW w:w="676" w:type="dxa"/>
          </w:tcPr>
          <w:p w14:paraId="09964C35" w14:textId="17C5616B" w:rsidR="003D0A82" w:rsidRDefault="003D0A82" w:rsidP="00420964">
            <w:pPr>
              <w:rPr>
                <w:b/>
                <w:color w:val="4F6228" w:themeColor="accent3" w:themeShade="80"/>
              </w:rPr>
            </w:pPr>
            <w:r>
              <w:rPr>
                <w:b/>
                <w:color w:val="4F6228" w:themeColor="accent3" w:themeShade="80"/>
              </w:rPr>
              <w:t>A.</w:t>
            </w:r>
          </w:p>
        </w:tc>
        <w:tc>
          <w:tcPr>
            <w:tcW w:w="6509" w:type="dxa"/>
          </w:tcPr>
          <w:p w14:paraId="65F63B08" w14:textId="6362E4F9" w:rsidR="003D0A82" w:rsidRDefault="003D0A82" w:rsidP="00420964">
            <w:pPr>
              <w:rPr>
                <w:b/>
                <w:color w:val="4F6228" w:themeColor="accent3" w:themeShade="80"/>
              </w:rPr>
            </w:pPr>
            <w:r>
              <w:rPr>
                <w:b/>
                <w:color w:val="4F6228" w:themeColor="accent3" w:themeShade="80"/>
              </w:rPr>
              <w:t>CORE TERMS OF REFERENCE</w:t>
            </w:r>
          </w:p>
        </w:tc>
        <w:tc>
          <w:tcPr>
            <w:tcW w:w="753" w:type="dxa"/>
          </w:tcPr>
          <w:p w14:paraId="3243A16F" w14:textId="5A72C08B" w:rsidR="003D0A82" w:rsidRDefault="003D0A82" w:rsidP="00420964">
            <w:pPr>
              <w:rPr>
                <w:b/>
                <w:color w:val="4F6228" w:themeColor="accent3" w:themeShade="80"/>
              </w:rPr>
            </w:pPr>
            <w:r>
              <w:rPr>
                <w:b/>
                <w:color w:val="4F6228" w:themeColor="accent3" w:themeShade="80"/>
              </w:rPr>
              <w:t>34</w:t>
            </w:r>
          </w:p>
        </w:tc>
      </w:tr>
      <w:tr w:rsidR="003D0A82" w14:paraId="21DFC115" w14:textId="77777777" w:rsidTr="002F33EF">
        <w:tc>
          <w:tcPr>
            <w:tcW w:w="578" w:type="dxa"/>
          </w:tcPr>
          <w:p w14:paraId="3CFB9B55" w14:textId="77777777" w:rsidR="003D0A82" w:rsidRDefault="003D0A82" w:rsidP="00420964">
            <w:pPr>
              <w:rPr>
                <w:b/>
                <w:color w:val="4F6228" w:themeColor="accent3" w:themeShade="80"/>
              </w:rPr>
            </w:pPr>
          </w:p>
        </w:tc>
        <w:tc>
          <w:tcPr>
            <w:tcW w:w="676" w:type="dxa"/>
          </w:tcPr>
          <w:p w14:paraId="1B82DD2E" w14:textId="0A370CAF" w:rsidR="003D0A82" w:rsidRDefault="003D0A82" w:rsidP="00420964">
            <w:pPr>
              <w:rPr>
                <w:b/>
                <w:color w:val="4F6228" w:themeColor="accent3" w:themeShade="80"/>
              </w:rPr>
            </w:pPr>
            <w:r>
              <w:rPr>
                <w:b/>
                <w:color w:val="4F6228" w:themeColor="accent3" w:themeShade="80"/>
              </w:rPr>
              <w:t>B.</w:t>
            </w:r>
          </w:p>
        </w:tc>
        <w:tc>
          <w:tcPr>
            <w:tcW w:w="6509" w:type="dxa"/>
          </w:tcPr>
          <w:p w14:paraId="066BE443" w14:textId="7CEE3BA2" w:rsidR="003D0A82" w:rsidRDefault="003D0A82" w:rsidP="00420964">
            <w:pPr>
              <w:rPr>
                <w:b/>
                <w:color w:val="4F6228" w:themeColor="accent3" w:themeShade="80"/>
              </w:rPr>
            </w:pPr>
            <w:r>
              <w:rPr>
                <w:b/>
                <w:color w:val="4F6228" w:themeColor="accent3" w:themeShade="80"/>
              </w:rPr>
              <w:t>REVIEW OF THE EVIDENCE BASE</w:t>
            </w:r>
          </w:p>
        </w:tc>
        <w:tc>
          <w:tcPr>
            <w:tcW w:w="753" w:type="dxa"/>
          </w:tcPr>
          <w:p w14:paraId="74209ACE" w14:textId="7F5176B9" w:rsidR="003D0A82" w:rsidRDefault="003D0A82" w:rsidP="00420964">
            <w:pPr>
              <w:rPr>
                <w:b/>
                <w:color w:val="4F6228" w:themeColor="accent3" w:themeShade="80"/>
              </w:rPr>
            </w:pPr>
            <w:r>
              <w:rPr>
                <w:b/>
                <w:color w:val="4F6228" w:themeColor="accent3" w:themeShade="80"/>
              </w:rPr>
              <w:t>35</w:t>
            </w:r>
          </w:p>
        </w:tc>
      </w:tr>
      <w:tr w:rsidR="003D0A82" w14:paraId="17F3D3EB" w14:textId="77777777" w:rsidTr="002F33EF">
        <w:tc>
          <w:tcPr>
            <w:tcW w:w="578" w:type="dxa"/>
          </w:tcPr>
          <w:p w14:paraId="7ED69270" w14:textId="77777777" w:rsidR="003D0A82" w:rsidRDefault="003D0A82" w:rsidP="00420964">
            <w:pPr>
              <w:rPr>
                <w:b/>
                <w:color w:val="4F6228" w:themeColor="accent3" w:themeShade="80"/>
              </w:rPr>
            </w:pPr>
          </w:p>
        </w:tc>
        <w:tc>
          <w:tcPr>
            <w:tcW w:w="676" w:type="dxa"/>
          </w:tcPr>
          <w:p w14:paraId="08BCBEE3" w14:textId="00159752" w:rsidR="003D0A82" w:rsidRDefault="003D0A82" w:rsidP="00420964">
            <w:pPr>
              <w:rPr>
                <w:b/>
                <w:color w:val="4F6228" w:themeColor="accent3" w:themeShade="80"/>
              </w:rPr>
            </w:pPr>
            <w:r>
              <w:rPr>
                <w:b/>
                <w:color w:val="4F6228" w:themeColor="accent3" w:themeShade="80"/>
              </w:rPr>
              <w:t>C.</w:t>
            </w:r>
          </w:p>
        </w:tc>
        <w:tc>
          <w:tcPr>
            <w:tcW w:w="6509" w:type="dxa"/>
          </w:tcPr>
          <w:p w14:paraId="4BF3C908" w14:textId="575ADA10" w:rsidR="003D0A82" w:rsidRDefault="003D0A82" w:rsidP="00420964">
            <w:pPr>
              <w:rPr>
                <w:b/>
                <w:color w:val="4F6228" w:themeColor="accent3" w:themeShade="80"/>
              </w:rPr>
            </w:pPr>
            <w:r>
              <w:rPr>
                <w:b/>
                <w:color w:val="4F6228" w:themeColor="accent3" w:themeShade="80"/>
              </w:rPr>
              <w:t>TRANSCRIPT SERVICE USER AND CARER FOCUS GROUP</w:t>
            </w:r>
          </w:p>
        </w:tc>
        <w:tc>
          <w:tcPr>
            <w:tcW w:w="753" w:type="dxa"/>
          </w:tcPr>
          <w:p w14:paraId="62740515" w14:textId="536C7746" w:rsidR="003D0A82" w:rsidRDefault="003D0A82" w:rsidP="00420964">
            <w:pPr>
              <w:rPr>
                <w:b/>
                <w:color w:val="4F6228" w:themeColor="accent3" w:themeShade="80"/>
              </w:rPr>
            </w:pPr>
            <w:r>
              <w:rPr>
                <w:b/>
                <w:color w:val="4F6228" w:themeColor="accent3" w:themeShade="80"/>
              </w:rPr>
              <w:t>38</w:t>
            </w:r>
          </w:p>
        </w:tc>
      </w:tr>
    </w:tbl>
    <w:p w14:paraId="207CE3CB" w14:textId="77777777" w:rsidR="00712579" w:rsidRDefault="00712579" w:rsidP="00420964">
      <w:pPr>
        <w:rPr>
          <w:b/>
          <w:color w:val="4F6228" w:themeColor="accent3" w:themeShade="80"/>
        </w:rPr>
      </w:pPr>
    </w:p>
    <w:p w14:paraId="723BA73A" w14:textId="77777777" w:rsidR="00712579" w:rsidRDefault="00712579" w:rsidP="00420964">
      <w:pPr>
        <w:rPr>
          <w:b/>
          <w:color w:val="4F6228" w:themeColor="accent3" w:themeShade="80"/>
        </w:rPr>
      </w:pPr>
    </w:p>
    <w:p w14:paraId="758B5D05" w14:textId="77777777" w:rsidR="00712579" w:rsidRPr="00712579" w:rsidRDefault="00712579" w:rsidP="00420964">
      <w:pPr>
        <w:rPr>
          <w:b/>
          <w:color w:val="4F6228" w:themeColor="accent3" w:themeShade="80"/>
        </w:rPr>
      </w:pPr>
    </w:p>
    <w:p w14:paraId="7E7C79E1" w14:textId="77777777" w:rsidR="00712579" w:rsidRDefault="00712579" w:rsidP="00420964"/>
    <w:p w14:paraId="085CB0B1" w14:textId="77777777" w:rsidR="00712579" w:rsidRDefault="00712579" w:rsidP="00420964"/>
    <w:p w14:paraId="66F324D4" w14:textId="77777777" w:rsidR="00712579" w:rsidRDefault="00712579" w:rsidP="00420964"/>
    <w:p w14:paraId="18D8D181" w14:textId="77777777" w:rsidR="00712579" w:rsidRDefault="00712579" w:rsidP="00420964"/>
    <w:p w14:paraId="50E9F856" w14:textId="77777777" w:rsidR="00712579" w:rsidRDefault="00712579" w:rsidP="00420964"/>
    <w:p w14:paraId="3AE8D71B" w14:textId="77777777" w:rsidR="00712579" w:rsidRDefault="00712579" w:rsidP="00420964"/>
    <w:p w14:paraId="1190F4D0" w14:textId="77777777" w:rsidR="00712579" w:rsidRDefault="00712579" w:rsidP="00420964"/>
    <w:p w14:paraId="010C866A" w14:textId="77777777" w:rsidR="00712579" w:rsidRDefault="00712579" w:rsidP="00420964"/>
    <w:p w14:paraId="588D427C" w14:textId="77777777" w:rsidR="00712579" w:rsidRDefault="00712579" w:rsidP="00420964"/>
    <w:p w14:paraId="3E3C6ECF" w14:textId="77777777" w:rsidR="00712579" w:rsidRDefault="00712579" w:rsidP="00420964"/>
    <w:p w14:paraId="2F73BF63" w14:textId="77777777" w:rsidR="00712579" w:rsidRDefault="00712579" w:rsidP="00420964"/>
    <w:p w14:paraId="0681F7AF" w14:textId="77777777" w:rsidR="00712579" w:rsidRDefault="00712579" w:rsidP="00420964"/>
    <w:p w14:paraId="4307A953" w14:textId="77777777" w:rsidR="00712579" w:rsidRDefault="00712579" w:rsidP="00420964"/>
    <w:p w14:paraId="1F000996" w14:textId="77777777" w:rsidR="00712579" w:rsidRDefault="00712579" w:rsidP="00420964"/>
    <w:p w14:paraId="7B2290A2" w14:textId="77777777" w:rsidR="00CE7B22" w:rsidRDefault="00CE7B22" w:rsidP="0042096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838"/>
        <w:gridCol w:w="6661"/>
      </w:tblGrid>
      <w:tr w:rsidR="00C9501F" w14:paraId="176E89C3" w14:textId="77777777" w:rsidTr="005D5B61">
        <w:tc>
          <w:tcPr>
            <w:tcW w:w="817" w:type="dxa"/>
          </w:tcPr>
          <w:p w14:paraId="784EEAC5" w14:textId="77777777" w:rsidR="00C9501F" w:rsidRPr="00C9501F" w:rsidRDefault="00C9501F" w:rsidP="00420964">
            <w:pPr>
              <w:rPr>
                <w:b/>
                <w:color w:val="4F6228" w:themeColor="accent3" w:themeShade="80"/>
              </w:rPr>
            </w:pPr>
            <w:r w:rsidRPr="00C9501F">
              <w:rPr>
                <w:b/>
                <w:color w:val="4F6228" w:themeColor="accent3" w:themeShade="80"/>
                <w:sz w:val="28"/>
                <w:szCs w:val="28"/>
              </w:rPr>
              <w:t>1</w:t>
            </w:r>
            <w:r w:rsidRPr="00C9501F">
              <w:rPr>
                <w:b/>
                <w:color w:val="4F6228" w:themeColor="accent3" w:themeShade="80"/>
              </w:rPr>
              <w:t>.</w:t>
            </w:r>
          </w:p>
        </w:tc>
        <w:tc>
          <w:tcPr>
            <w:tcW w:w="7699" w:type="dxa"/>
            <w:gridSpan w:val="2"/>
          </w:tcPr>
          <w:p w14:paraId="06918380" w14:textId="77777777" w:rsidR="00C9501F" w:rsidRPr="00C9501F" w:rsidRDefault="00C9501F" w:rsidP="00420964">
            <w:pPr>
              <w:rPr>
                <w:b/>
                <w:color w:val="4F6228" w:themeColor="accent3" w:themeShade="80"/>
                <w:sz w:val="28"/>
                <w:szCs w:val="28"/>
              </w:rPr>
            </w:pPr>
            <w:r w:rsidRPr="00C9501F">
              <w:rPr>
                <w:b/>
                <w:color w:val="4F6228" w:themeColor="accent3" w:themeShade="80"/>
                <w:sz w:val="28"/>
                <w:szCs w:val="28"/>
              </w:rPr>
              <w:t>EXECUTIVE SUMMARY</w:t>
            </w:r>
          </w:p>
        </w:tc>
      </w:tr>
      <w:tr w:rsidR="00C9501F" w14:paraId="0D2E1B75" w14:textId="77777777" w:rsidTr="005D5B61">
        <w:tc>
          <w:tcPr>
            <w:tcW w:w="817" w:type="dxa"/>
          </w:tcPr>
          <w:p w14:paraId="06A7C387" w14:textId="77777777" w:rsidR="00712579" w:rsidRDefault="00712579" w:rsidP="00420964"/>
        </w:tc>
        <w:tc>
          <w:tcPr>
            <w:tcW w:w="851" w:type="dxa"/>
          </w:tcPr>
          <w:p w14:paraId="6D04C2AB" w14:textId="77777777" w:rsidR="00712579" w:rsidRDefault="00712579" w:rsidP="00420964"/>
        </w:tc>
        <w:tc>
          <w:tcPr>
            <w:tcW w:w="6848" w:type="dxa"/>
          </w:tcPr>
          <w:p w14:paraId="6AAD15E6" w14:textId="77777777" w:rsidR="00712579" w:rsidRDefault="00712579" w:rsidP="00420964"/>
        </w:tc>
      </w:tr>
      <w:tr w:rsidR="00C9501F" w14:paraId="06CADC5E" w14:textId="77777777" w:rsidTr="005D5B61">
        <w:tc>
          <w:tcPr>
            <w:tcW w:w="817" w:type="dxa"/>
          </w:tcPr>
          <w:p w14:paraId="3CE0177E" w14:textId="77777777" w:rsidR="00712579" w:rsidRDefault="00712579" w:rsidP="00420964"/>
        </w:tc>
        <w:tc>
          <w:tcPr>
            <w:tcW w:w="851" w:type="dxa"/>
          </w:tcPr>
          <w:p w14:paraId="7BF21B41" w14:textId="77777777" w:rsidR="00712579" w:rsidRPr="009F71CC" w:rsidRDefault="00C9501F" w:rsidP="00420964">
            <w:pPr>
              <w:rPr>
                <w:b/>
                <w:color w:val="4F6228" w:themeColor="accent3" w:themeShade="80"/>
              </w:rPr>
            </w:pPr>
            <w:r w:rsidRPr="009F71CC">
              <w:rPr>
                <w:b/>
                <w:color w:val="4F6228" w:themeColor="accent3" w:themeShade="80"/>
              </w:rPr>
              <w:t>1.1</w:t>
            </w:r>
          </w:p>
        </w:tc>
        <w:tc>
          <w:tcPr>
            <w:tcW w:w="6848" w:type="dxa"/>
          </w:tcPr>
          <w:p w14:paraId="120C8EB1" w14:textId="77777777" w:rsidR="00712579" w:rsidRPr="00C9501F" w:rsidRDefault="00C9501F" w:rsidP="00420964">
            <w:pPr>
              <w:rPr>
                <w:b/>
                <w:color w:val="4F6228" w:themeColor="accent3" w:themeShade="80"/>
              </w:rPr>
            </w:pPr>
            <w:r w:rsidRPr="00C9501F">
              <w:rPr>
                <w:b/>
                <w:color w:val="4F6228" w:themeColor="accent3" w:themeShade="80"/>
              </w:rPr>
              <w:t>INTRODUCTION</w:t>
            </w:r>
          </w:p>
        </w:tc>
      </w:tr>
      <w:tr w:rsidR="00C9501F" w14:paraId="236E5728" w14:textId="77777777" w:rsidTr="005D5B61">
        <w:tc>
          <w:tcPr>
            <w:tcW w:w="817" w:type="dxa"/>
          </w:tcPr>
          <w:p w14:paraId="2F74C13D" w14:textId="77777777" w:rsidR="00712579" w:rsidRDefault="00712579" w:rsidP="00420964"/>
        </w:tc>
        <w:tc>
          <w:tcPr>
            <w:tcW w:w="851" w:type="dxa"/>
          </w:tcPr>
          <w:p w14:paraId="2D2618C1" w14:textId="77777777" w:rsidR="00712579" w:rsidRDefault="00712579" w:rsidP="00420964"/>
        </w:tc>
        <w:tc>
          <w:tcPr>
            <w:tcW w:w="6848" w:type="dxa"/>
          </w:tcPr>
          <w:p w14:paraId="2990648E" w14:textId="77777777" w:rsidR="00712579" w:rsidRDefault="00712579" w:rsidP="00420964"/>
        </w:tc>
      </w:tr>
      <w:tr w:rsidR="00C9501F" w14:paraId="250D269D" w14:textId="77777777" w:rsidTr="005D5B61">
        <w:tc>
          <w:tcPr>
            <w:tcW w:w="817" w:type="dxa"/>
          </w:tcPr>
          <w:p w14:paraId="5B125C84" w14:textId="77777777" w:rsidR="00712579" w:rsidRDefault="00712579" w:rsidP="00420964"/>
        </w:tc>
        <w:tc>
          <w:tcPr>
            <w:tcW w:w="851" w:type="dxa"/>
          </w:tcPr>
          <w:p w14:paraId="6A741CA0" w14:textId="6106765E" w:rsidR="00712579" w:rsidRPr="009F71CC" w:rsidRDefault="00F82FE4" w:rsidP="00420964">
            <w:pPr>
              <w:rPr>
                <w:b/>
                <w:color w:val="4F6228" w:themeColor="accent3" w:themeShade="80"/>
              </w:rPr>
            </w:pPr>
            <w:r w:rsidRPr="009F71CC">
              <w:rPr>
                <w:b/>
                <w:color w:val="4F6228" w:themeColor="accent3" w:themeShade="80"/>
              </w:rPr>
              <w:t>1.2</w:t>
            </w:r>
          </w:p>
        </w:tc>
        <w:tc>
          <w:tcPr>
            <w:tcW w:w="6848" w:type="dxa"/>
          </w:tcPr>
          <w:p w14:paraId="037B1CD1" w14:textId="6B6C32EE" w:rsidR="00712579" w:rsidRPr="00F82FE4" w:rsidRDefault="00F82FE4" w:rsidP="00420964">
            <w:pPr>
              <w:rPr>
                <w:b/>
                <w:color w:val="4F6228" w:themeColor="accent3" w:themeShade="80"/>
              </w:rPr>
            </w:pPr>
            <w:r>
              <w:rPr>
                <w:b/>
                <w:color w:val="4F6228" w:themeColor="accent3" w:themeShade="80"/>
              </w:rPr>
              <w:t xml:space="preserve">DETAILS OF </w:t>
            </w:r>
            <w:r w:rsidRPr="00F82FE4">
              <w:rPr>
                <w:b/>
                <w:color w:val="4F6228" w:themeColor="accent3" w:themeShade="80"/>
              </w:rPr>
              <w:t>THE INCIDENT</w:t>
            </w:r>
          </w:p>
        </w:tc>
      </w:tr>
      <w:tr w:rsidR="00C9501F" w14:paraId="7CE0EFA7" w14:textId="77777777" w:rsidTr="005D5B61">
        <w:tc>
          <w:tcPr>
            <w:tcW w:w="817" w:type="dxa"/>
          </w:tcPr>
          <w:p w14:paraId="048F20B7" w14:textId="77777777" w:rsidR="00712579" w:rsidRDefault="00712579" w:rsidP="00420964"/>
        </w:tc>
        <w:tc>
          <w:tcPr>
            <w:tcW w:w="851" w:type="dxa"/>
          </w:tcPr>
          <w:p w14:paraId="01E6D17E" w14:textId="77777777" w:rsidR="00712579" w:rsidRDefault="00712579" w:rsidP="00420964"/>
        </w:tc>
        <w:tc>
          <w:tcPr>
            <w:tcW w:w="6848" w:type="dxa"/>
          </w:tcPr>
          <w:p w14:paraId="0EFF8D6B" w14:textId="77777777" w:rsidR="00712579" w:rsidRDefault="00712579" w:rsidP="00420964"/>
        </w:tc>
      </w:tr>
      <w:tr w:rsidR="00C9501F" w14:paraId="315E1375" w14:textId="77777777" w:rsidTr="005D5B61">
        <w:tc>
          <w:tcPr>
            <w:tcW w:w="817" w:type="dxa"/>
          </w:tcPr>
          <w:p w14:paraId="5C56C9D6" w14:textId="77777777" w:rsidR="00712579" w:rsidRDefault="00712579" w:rsidP="00420964"/>
        </w:tc>
        <w:tc>
          <w:tcPr>
            <w:tcW w:w="851" w:type="dxa"/>
          </w:tcPr>
          <w:p w14:paraId="0889ED70" w14:textId="77777777" w:rsidR="00712579" w:rsidRDefault="00712579" w:rsidP="00420964"/>
        </w:tc>
        <w:tc>
          <w:tcPr>
            <w:tcW w:w="6848" w:type="dxa"/>
          </w:tcPr>
          <w:p w14:paraId="2E669B3C" w14:textId="471695B1" w:rsidR="00712579" w:rsidRDefault="00F82FE4" w:rsidP="00420964">
            <w:r>
              <w:t>On the 27</w:t>
            </w:r>
            <w:r w:rsidRPr="00F82FE4">
              <w:rPr>
                <w:vertAlign w:val="superscript"/>
              </w:rPr>
              <w:t>th</w:t>
            </w:r>
            <w:r>
              <w:t xml:space="preserve"> December 2012, Mr R killed his 86 year old mother, Mrs R who was also his main carer. He killed her</w:t>
            </w:r>
            <w:r w:rsidR="005110D9">
              <w:t xml:space="preserve"> in the kitchen of her home, hit</w:t>
            </w:r>
            <w:r>
              <w:t xml:space="preserve">ting her </w:t>
            </w:r>
            <w:r w:rsidR="00974B4D">
              <w:t xml:space="preserve">over the head </w:t>
            </w:r>
            <w:r>
              <w:t xml:space="preserve">with </w:t>
            </w:r>
            <w:r w:rsidR="00974B4D">
              <w:t>sauce</w:t>
            </w:r>
            <w:r>
              <w:t>pans and cutting her throat</w:t>
            </w:r>
            <w:r w:rsidR="005110D9">
              <w:t xml:space="preserve"> with a knife</w:t>
            </w:r>
            <w:r>
              <w:t>.</w:t>
            </w:r>
          </w:p>
        </w:tc>
      </w:tr>
      <w:tr w:rsidR="00C9501F" w14:paraId="1CC61BC7" w14:textId="77777777" w:rsidTr="005D5B61">
        <w:tc>
          <w:tcPr>
            <w:tcW w:w="817" w:type="dxa"/>
          </w:tcPr>
          <w:p w14:paraId="011D2E00" w14:textId="77777777" w:rsidR="00712579" w:rsidRDefault="00712579" w:rsidP="00420964"/>
        </w:tc>
        <w:tc>
          <w:tcPr>
            <w:tcW w:w="851" w:type="dxa"/>
          </w:tcPr>
          <w:p w14:paraId="577A55D8" w14:textId="77777777" w:rsidR="00712579" w:rsidRDefault="00712579" w:rsidP="00420964"/>
        </w:tc>
        <w:tc>
          <w:tcPr>
            <w:tcW w:w="6848" w:type="dxa"/>
          </w:tcPr>
          <w:p w14:paraId="0B3C20E1" w14:textId="77777777" w:rsidR="00712579" w:rsidRDefault="00712579" w:rsidP="00420964"/>
        </w:tc>
      </w:tr>
      <w:tr w:rsidR="00C9501F" w14:paraId="2FC643E4" w14:textId="77777777" w:rsidTr="005D5B61">
        <w:tc>
          <w:tcPr>
            <w:tcW w:w="817" w:type="dxa"/>
          </w:tcPr>
          <w:p w14:paraId="77245211" w14:textId="77777777" w:rsidR="00712579" w:rsidRDefault="00712579" w:rsidP="00420964"/>
        </w:tc>
        <w:tc>
          <w:tcPr>
            <w:tcW w:w="851" w:type="dxa"/>
          </w:tcPr>
          <w:p w14:paraId="476D5FE5" w14:textId="77777777" w:rsidR="00712579" w:rsidRDefault="00712579" w:rsidP="00420964"/>
        </w:tc>
        <w:tc>
          <w:tcPr>
            <w:tcW w:w="6848" w:type="dxa"/>
          </w:tcPr>
          <w:p w14:paraId="4A04A8A3" w14:textId="3D274B7A" w:rsidR="00712579" w:rsidRDefault="00F82FE4" w:rsidP="00F05D95">
            <w:r>
              <w:t xml:space="preserve">Mr R has a long history of schizophrenia and was receiving care and treatment from his local CMHT at South West London and St </w:t>
            </w:r>
            <w:r w:rsidR="009F71CC">
              <w:t>George’s</w:t>
            </w:r>
            <w:r>
              <w:t xml:space="preserve"> Mental Health NHS Trust</w:t>
            </w:r>
            <w:r w:rsidR="000D6386">
              <w:t xml:space="preserve"> </w:t>
            </w:r>
            <w:r w:rsidR="00974B4D">
              <w:t xml:space="preserve">(SWLStG) </w:t>
            </w:r>
            <w:r w:rsidR="000D6386">
              <w:t>at the time of his offence. He lived in independent</w:t>
            </w:r>
            <w:r>
              <w:t xml:space="preserve"> </w:t>
            </w:r>
            <w:r w:rsidR="000D6386">
              <w:t>accommodation and hi</w:t>
            </w:r>
            <w:r w:rsidR="009F71CC">
              <w:t xml:space="preserve">s landlord was Viridian Housing. </w:t>
            </w:r>
            <w:r w:rsidR="00F05D95">
              <w:t>H</w:t>
            </w:r>
            <w:r w:rsidR="000D6386">
              <w:t>e attended Wandsworth Mind</w:t>
            </w:r>
            <w:r w:rsidR="00F05D95">
              <w:t xml:space="preserve"> to add structure to his day and increase opportunities for socialisation</w:t>
            </w:r>
            <w:r w:rsidR="000D6386">
              <w:t xml:space="preserve">. He was receiving outpatient </w:t>
            </w:r>
            <w:r w:rsidR="008E30BE" w:rsidRPr="00371D3D">
              <w:rPr>
                <w:color w:val="000000" w:themeColor="text1"/>
              </w:rPr>
              <w:t xml:space="preserve">medical </w:t>
            </w:r>
            <w:r w:rsidR="000D6386">
              <w:t xml:space="preserve">care at St George’s Hospital for diabetes. </w:t>
            </w:r>
          </w:p>
        </w:tc>
      </w:tr>
      <w:tr w:rsidR="00C9501F" w14:paraId="482C2126" w14:textId="77777777" w:rsidTr="005D5B61">
        <w:tc>
          <w:tcPr>
            <w:tcW w:w="817" w:type="dxa"/>
          </w:tcPr>
          <w:p w14:paraId="64275107" w14:textId="77777777" w:rsidR="00712579" w:rsidRDefault="00712579" w:rsidP="00420964"/>
        </w:tc>
        <w:tc>
          <w:tcPr>
            <w:tcW w:w="851" w:type="dxa"/>
          </w:tcPr>
          <w:p w14:paraId="535C5328" w14:textId="77777777" w:rsidR="00712579" w:rsidRDefault="00712579" w:rsidP="00420964"/>
        </w:tc>
        <w:tc>
          <w:tcPr>
            <w:tcW w:w="6848" w:type="dxa"/>
          </w:tcPr>
          <w:p w14:paraId="17EF08AA" w14:textId="77777777" w:rsidR="00712579" w:rsidRDefault="00712579" w:rsidP="00420964"/>
        </w:tc>
      </w:tr>
      <w:tr w:rsidR="00C9501F" w14:paraId="4C428C5A" w14:textId="77777777" w:rsidTr="005D5B61">
        <w:tc>
          <w:tcPr>
            <w:tcW w:w="817" w:type="dxa"/>
          </w:tcPr>
          <w:p w14:paraId="60007BE7" w14:textId="77777777" w:rsidR="00712579" w:rsidRDefault="00712579" w:rsidP="00420964"/>
        </w:tc>
        <w:tc>
          <w:tcPr>
            <w:tcW w:w="851" w:type="dxa"/>
          </w:tcPr>
          <w:p w14:paraId="0D9E499A" w14:textId="77777777" w:rsidR="00712579" w:rsidRDefault="00712579" w:rsidP="00420964"/>
        </w:tc>
        <w:tc>
          <w:tcPr>
            <w:tcW w:w="6848" w:type="dxa"/>
          </w:tcPr>
          <w:p w14:paraId="0C7A5604" w14:textId="4EDE7AEA" w:rsidR="00712579" w:rsidRDefault="000D6386" w:rsidP="00420964">
            <w:r>
              <w:t xml:space="preserve">According to psychiatric reports, Mr R was not assessed as psychotic at the time of the offence. However in the days and weeks that followed, he presented as increasingly psychotic. </w:t>
            </w:r>
          </w:p>
        </w:tc>
      </w:tr>
      <w:tr w:rsidR="00C9501F" w14:paraId="4B3D7903" w14:textId="77777777" w:rsidTr="005D5B61">
        <w:tc>
          <w:tcPr>
            <w:tcW w:w="817" w:type="dxa"/>
          </w:tcPr>
          <w:p w14:paraId="300F3BAD" w14:textId="77777777" w:rsidR="00712579" w:rsidRDefault="00712579" w:rsidP="00420964"/>
        </w:tc>
        <w:tc>
          <w:tcPr>
            <w:tcW w:w="851" w:type="dxa"/>
          </w:tcPr>
          <w:p w14:paraId="537133AA" w14:textId="77777777" w:rsidR="00712579" w:rsidRDefault="00712579" w:rsidP="00420964"/>
        </w:tc>
        <w:tc>
          <w:tcPr>
            <w:tcW w:w="6848" w:type="dxa"/>
          </w:tcPr>
          <w:p w14:paraId="38D7D61A" w14:textId="77777777" w:rsidR="00712579" w:rsidRDefault="00712579" w:rsidP="00420964"/>
        </w:tc>
      </w:tr>
      <w:tr w:rsidR="00DA2EA0" w14:paraId="7E9E9632" w14:textId="77777777" w:rsidTr="005D5B61">
        <w:tc>
          <w:tcPr>
            <w:tcW w:w="817" w:type="dxa"/>
          </w:tcPr>
          <w:p w14:paraId="4C7F8AA7" w14:textId="77777777" w:rsidR="00DA2EA0" w:rsidRDefault="00DA2EA0" w:rsidP="00420964"/>
        </w:tc>
        <w:tc>
          <w:tcPr>
            <w:tcW w:w="851" w:type="dxa"/>
          </w:tcPr>
          <w:p w14:paraId="53F70880" w14:textId="58606F6C" w:rsidR="00DA2EA0" w:rsidRDefault="00DA2EA0" w:rsidP="00420964">
            <w:r w:rsidRPr="008F16A8">
              <w:rPr>
                <w:b/>
                <w:color w:val="4F6228" w:themeColor="accent3" w:themeShade="80"/>
              </w:rPr>
              <w:t>1.3</w:t>
            </w:r>
          </w:p>
        </w:tc>
        <w:tc>
          <w:tcPr>
            <w:tcW w:w="6848" w:type="dxa"/>
          </w:tcPr>
          <w:p w14:paraId="470DFC8D" w14:textId="48C359D1" w:rsidR="00DA2EA0" w:rsidRPr="00DA2EA0" w:rsidRDefault="00DA2EA0" w:rsidP="00420964">
            <w:pPr>
              <w:rPr>
                <w:b/>
                <w:color w:val="4F6228" w:themeColor="accent3" w:themeShade="80"/>
              </w:rPr>
            </w:pPr>
            <w:r>
              <w:rPr>
                <w:b/>
                <w:color w:val="4F6228" w:themeColor="accent3" w:themeShade="80"/>
              </w:rPr>
              <w:t>THE REVIEW PROCESS</w:t>
            </w:r>
          </w:p>
        </w:tc>
      </w:tr>
      <w:tr w:rsidR="00DA2EA0" w14:paraId="7AFDA442" w14:textId="77777777" w:rsidTr="005D5B61">
        <w:tc>
          <w:tcPr>
            <w:tcW w:w="817" w:type="dxa"/>
          </w:tcPr>
          <w:p w14:paraId="6D01F34C" w14:textId="77777777" w:rsidR="00DA2EA0" w:rsidRDefault="00DA2EA0" w:rsidP="00420964"/>
        </w:tc>
        <w:tc>
          <w:tcPr>
            <w:tcW w:w="851" w:type="dxa"/>
          </w:tcPr>
          <w:p w14:paraId="7EDF89EA" w14:textId="77777777" w:rsidR="00DA2EA0" w:rsidRDefault="00DA2EA0" w:rsidP="00420964"/>
        </w:tc>
        <w:tc>
          <w:tcPr>
            <w:tcW w:w="6848" w:type="dxa"/>
          </w:tcPr>
          <w:p w14:paraId="60BAD802" w14:textId="77777777" w:rsidR="00DA2EA0" w:rsidRDefault="00DA2EA0" w:rsidP="00420964"/>
        </w:tc>
      </w:tr>
      <w:tr w:rsidR="00DA2EA0" w14:paraId="1641A1A4" w14:textId="77777777" w:rsidTr="005D5B61">
        <w:tc>
          <w:tcPr>
            <w:tcW w:w="817" w:type="dxa"/>
          </w:tcPr>
          <w:p w14:paraId="1B1EBDC6" w14:textId="77777777" w:rsidR="00DA2EA0" w:rsidRDefault="00DA2EA0" w:rsidP="00420964"/>
        </w:tc>
        <w:tc>
          <w:tcPr>
            <w:tcW w:w="851" w:type="dxa"/>
          </w:tcPr>
          <w:p w14:paraId="0563246F" w14:textId="77777777" w:rsidR="00DA2EA0" w:rsidRDefault="00DA2EA0" w:rsidP="00420964"/>
        </w:tc>
        <w:tc>
          <w:tcPr>
            <w:tcW w:w="6848" w:type="dxa"/>
          </w:tcPr>
          <w:p w14:paraId="47795F16" w14:textId="367714EB" w:rsidR="00DA2EA0" w:rsidRPr="00FE2109" w:rsidRDefault="00DA2EA0" w:rsidP="00CD5EBF">
            <w:r w:rsidRPr="00FE2109">
              <w:t xml:space="preserve">The team </w:t>
            </w:r>
            <w:r w:rsidR="00CD5EBF" w:rsidRPr="00FE2109">
              <w:t>employed a multiple method</w:t>
            </w:r>
            <w:r w:rsidRPr="00FE2109">
              <w:t xml:space="preserve">s approach with a focus on triangulation </w:t>
            </w:r>
            <w:r w:rsidR="00974B4D" w:rsidRPr="00FE2109">
              <w:t>to validate</w:t>
            </w:r>
            <w:r w:rsidRPr="00FE2109">
              <w:t xml:space="preserve"> information regardin</w:t>
            </w:r>
            <w:r w:rsidR="00974B4D" w:rsidRPr="00FE2109">
              <w:t>g current practices</w:t>
            </w:r>
            <w:r w:rsidR="00CD5EBF" w:rsidRPr="00FE2109">
              <w:t>.</w:t>
            </w:r>
            <w:r w:rsidR="00CD5EBF" w:rsidRPr="00FE2109">
              <w:rPr>
                <w:vertAlign w:val="superscript"/>
              </w:rPr>
              <w:t xml:space="preserve">1 </w:t>
            </w:r>
            <w:r w:rsidRPr="00FE2109">
              <w:t xml:space="preserve">Methods included individual and team interviews, document reviews, </w:t>
            </w:r>
            <w:r w:rsidR="00F708D7" w:rsidRPr="00FE2109">
              <w:t xml:space="preserve">service visits and a </w:t>
            </w:r>
            <w:r w:rsidRPr="00FE2109">
              <w:t xml:space="preserve">focus group with service users and carers. </w:t>
            </w:r>
            <w:r w:rsidR="00974B4D" w:rsidRPr="00FE2109">
              <w:t xml:space="preserve">We conducted a review </w:t>
            </w:r>
            <w:r w:rsidRPr="00FE2109">
              <w:t xml:space="preserve">of the evidence base </w:t>
            </w:r>
            <w:r w:rsidR="00974B4D" w:rsidRPr="00FE2109">
              <w:t xml:space="preserve">regarding </w:t>
            </w:r>
            <w:r w:rsidRPr="00FE2109">
              <w:t xml:space="preserve">perpetrators of a </w:t>
            </w:r>
            <w:r w:rsidR="00974B4D" w:rsidRPr="00FE2109">
              <w:t xml:space="preserve">domestic </w:t>
            </w:r>
            <w:r w:rsidRPr="00FE2109">
              <w:t>homicide offence who have a diagnosis of seve</w:t>
            </w:r>
            <w:r w:rsidR="00F708D7" w:rsidRPr="00FE2109">
              <w:t>re and enduring mental illness (</w:t>
            </w:r>
            <w:r w:rsidRPr="00FE2109">
              <w:t>usually schizophrenia) and who are under the care of community health teams at the time of the offence. A peer review of findings and recommendations took place</w:t>
            </w:r>
            <w:r w:rsidR="005110D9" w:rsidRPr="00FE2109">
              <w:t xml:space="preserve"> within Psychological Approaches</w:t>
            </w:r>
            <w:r w:rsidR="00F708D7" w:rsidRPr="00FE2109">
              <w:t>.</w:t>
            </w:r>
            <w:r w:rsidRPr="00FE2109">
              <w:t xml:space="preserve"> </w:t>
            </w:r>
          </w:p>
        </w:tc>
      </w:tr>
      <w:tr w:rsidR="00DA2EA0" w14:paraId="4740F893" w14:textId="77777777" w:rsidTr="005D5B61">
        <w:tc>
          <w:tcPr>
            <w:tcW w:w="817" w:type="dxa"/>
          </w:tcPr>
          <w:p w14:paraId="2F1CC58D" w14:textId="77777777" w:rsidR="00DA2EA0" w:rsidRDefault="00DA2EA0" w:rsidP="00420964"/>
        </w:tc>
        <w:tc>
          <w:tcPr>
            <w:tcW w:w="851" w:type="dxa"/>
          </w:tcPr>
          <w:p w14:paraId="7DD37415" w14:textId="77777777" w:rsidR="00DA2EA0" w:rsidRDefault="00DA2EA0" w:rsidP="00420964"/>
        </w:tc>
        <w:tc>
          <w:tcPr>
            <w:tcW w:w="6848" w:type="dxa"/>
          </w:tcPr>
          <w:p w14:paraId="34193CDF" w14:textId="77777777" w:rsidR="00DA2EA0" w:rsidRDefault="00DA2EA0" w:rsidP="00420964"/>
        </w:tc>
      </w:tr>
      <w:tr w:rsidR="00DA2EA0" w14:paraId="76C00242" w14:textId="77777777" w:rsidTr="005D5B61">
        <w:tc>
          <w:tcPr>
            <w:tcW w:w="817" w:type="dxa"/>
          </w:tcPr>
          <w:p w14:paraId="10585291" w14:textId="77777777" w:rsidR="00DA2EA0" w:rsidRDefault="00DA2EA0" w:rsidP="00420964"/>
        </w:tc>
        <w:tc>
          <w:tcPr>
            <w:tcW w:w="851" w:type="dxa"/>
          </w:tcPr>
          <w:p w14:paraId="27643C6D" w14:textId="7520B24C" w:rsidR="00DA2EA0" w:rsidRPr="008F16A8" w:rsidRDefault="00DA2EA0" w:rsidP="00420964">
            <w:pPr>
              <w:rPr>
                <w:b/>
                <w:color w:val="4F6228" w:themeColor="accent3" w:themeShade="80"/>
              </w:rPr>
            </w:pPr>
            <w:r>
              <w:rPr>
                <w:b/>
                <w:color w:val="4F6228" w:themeColor="accent3" w:themeShade="80"/>
              </w:rPr>
              <w:t>1.4</w:t>
            </w:r>
          </w:p>
        </w:tc>
        <w:tc>
          <w:tcPr>
            <w:tcW w:w="6848" w:type="dxa"/>
          </w:tcPr>
          <w:p w14:paraId="4B6EDA78" w14:textId="0E5DBC09" w:rsidR="00DA2EA0" w:rsidRPr="000D6386" w:rsidRDefault="00DA2EA0" w:rsidP="00420964">
            <w:pPr>
              <w:rPr>
                <w:b/>
                <w:color w:val="4F6228" w:themeColor="accent3" w:themeShade="80"/>
              </w:rPr>
            </w:pPr>
            <w:r w:rsidRPr="000D6386">
              <w:rPr>
                <w:b/>
                <w:color w:val="4F6228" w:themeColor="accent3" w:themeShade="80"/>
              </w:rPr>
              <w:t>FINDINGS FROM PREVIOUS REVIEWS</w:t>
            </w:r>
          </w:p>
        </w:tc>
      </w:tr>
      <w:tr w:rsidR="00DA2EA0" w14:paraId="086466C1" w14:textId="77777777" w:rsidTr="005D5B61">
        <w:tc>
          <w:tcPr>
            <w:tcW w:w="817" w:type="dxa"/>
          </w:tcPr>
          <w:p w14:paraId="3F23A7EC" w14:textId="77777777" w:rsidR="00DA2EA0" w:rsidRDefault="00DA2EA0" w:rsidP="00420964"/>
        </w:tc>
        <w:tc>
          <w:tcPr>
            <w:tcW w:w="851" w:type="dxa"/>
          </w:tcPr>
          <w:p w14:paraId="55EDCBA5" w14:textId="77777777" w:rsidR="00DA2EA0" w:rsidRDefault="00DA2EA0" w:rsidP="00420964"/>
        </w:tc>
        <w:tc>
          <w:tcPr>
            <w:tcW w:w="6848" w:type="dxa"/>
          </w:tcPr>
          <w:p w14:paraId="1EAA5AA6" w14:textId="77777777" w:rsidR="00DA2EA0" w:rsidRDefault="00DA2EA0" w:rsidP="00420964"/>
        </w:tc>
      </w:tr>
      <w:tr w:rsidR="00DA2EA0" w14:paraId="13B6E957" w14:textId="77777777" w:rsidTr="005D5B61">
        <w:tc>
          <w:tcPr>
            <w:tcW w:w="817" w:type="dxa"/>
          </w:tcPr>
          <w:p w14:paraId="0EC6A26E" w14:textId="77777777" w:rsidR="00DA2EA0" w:rsidRDefault="00DA2EA0" w:rsidP="00420964"/>
        </w:tc>
        <w:tc>
          <w:tcPr>
            <w:tcW w:w="851" w:type="dxa"/>
          </w:tcPr>
          <w:p w14:paraId="7551FECB" w14:textId="77777777" w:rsidR="00DA2EA0" w:rsidRDefault="00DA2EA0" w:rsidP="00420964"/>
        </w:tc>
        <w:tc>
          <w:tcPr>
            <w:tcW w:w="6848" w:type="dxa"/>
          </w:tcPr>
          <w:p w14:paraId="65A8B1B9" w14:textId="2E28BEDB" w:rsidR="00DA2EA0" w:rsidRDefault="00DA2EA0" w:rsidP="000D6386">
            <w:r>
              <w:t>The following is a summary of relevant findings from two reviews that followed the offence. The first was a Root Cause Analysis (RCA) by the Trust and the second was a Domestic Homicide Review (DHR):</w:t>
            </w:r>
          </w:p>
        </w:tc>
      </w:tr>
      <w:tr w:rsidR="00FD5C80" w14:paraId="26ADBFD1" w14:textId="77777777" w:rsidTr="005D5B61">
        <w:tc>
          <w:tcPr>
            <w:tcW w:w="817" w:type="dxa"/>
          </w:tcPr>
          <w:p w14:paraId="2314AEA8" w14:textId="77777777" w:rsidR="00FD5C80" w:rsidRDefault="00FD5C80" w:rsidP="00420964"/>
        </w:tc>
        <w:tc>
          <w:tcPr>
            <w:tcW w:w="851" w:type="dxa"/>
          </w:tcPr>
          <w:p w14:paraId="6B7D1754" w14:textId="77777777" w:rsidR="00FD5C80" w:rsidRDefault="00FD5C80" w:rsidP="00420964"/>
        </w:tc>
        <w:tc>
          <w:tcPr>
            <w:tcW w:w="6848" w:type="dxa"/>
          </w:tcPr>
          <w:p w14:paraId="38F4E97A" w14:textId="77777777" w:rsidR="00FD5C80" w:rsidRDefault="00FD5C80" w:rsidP="00420964"/>
        </w:tc>
      </w:tr>
      <w:tr w:rsidR="00FD5C80" w14:paraId="2A313E1F" w14:textId="77777777" w:rsidTr="005D5B61">
        <w:tc>
          <w:tcPr>
            <w:tcW w:w="817" w:type="dxa"/>
          </w:tcPr>
          <w:p w14:paraId="6B226DFE" w14:textId="77777777" w:rsidR="00FD5C80" w:rsidRDefault="00FD5C80" w:rsidP="00420964"/>
        </w:tc>
        <w:tc>
          <w:tcPr>
            <w:tcW w:w="851" w:type="dxa"/>
          </w:tcPr>
          <w:p w14:paraId="22E29CBD" w14:textId="07C43ED9" w:rsidR="00FD5C80" w:rsidRPr="00A33437" w:rsidRDefault="00A33437" w:rsidP="00420964">
            <w:pPr>
              <w:rPr>
                <w:color w:val="FFFFFF" w:themeColor="background1"/>
              </w:rPr>
            </w:pPr>
            <w:r w:rsidRPr="00A33437">
              <w:rPr>
                <w:rStyle w:val="FootnoteReference"/>
                <w:color w:val="FFFFFF" w:themeColor="background1"/>
              </w:rPr>
              <w:footnoteReference w:id="1"/>
            </w:r>
          </w:p>
        </w:tc>
        <w:tc>
          <w:tcPr>
            <w:tcW w:w="6848" w:type="dxa"/>
          </w:tcPr>
          <w:p w14:paraId="6AA3D50D" w14:textId="374BE06A" w:rsidR="00FD5C80" w:rsidRDefault="00FD5C80" w:rsidP="00420964">
            <w:r>
              <w:t>His mother, Mrs R, was not included in the care planning process, nor was she assessed in terms of the level of risk she may have been exposed to. Mrs R was invited to have a carer’s assessment by Mr R, who then reported that she had declined. This was never followed up.</w:t>
            </w:r>
          </w:p>
        </w:tc>
      </w:tr>
      <w:tr w:rsidR="00FD5C80" w14:paraId="0D7FB5E7" w14:textId="77777777" w:rsidTr="005D5B61">
        <w:tc>
          <w:tcPr>
            <w:tcW w:w="817" w:type="dxa"/>
          </w:tcPr>
          <w:p w14:paraId="31AFC691" w14:textId="77777777" w:rsidR="00FD5C80" w:rsidRDefault="00FD5C80" w:rsidP="00420964"/>
        </w:tc>
        <w:tc>
          <w:tcPr>
            <w:tcW w:w="851" w:type="dxa"/>
          </w:tcPr>
          <w:p w14:paraId="3F61769A" w14:textId="77777777" w:rsidR="00FD5C80" w:rsidRDefault="00FD5C80" w:rsidP="00420964"/>
        </w:tc>
        <w:tc>
          <w:tcPr>
            <w:tcW w:w="6848" w:type="dxa"/>
          </w:tcPr>
          <w:p w14:paraId="190FC831" w14:textId="77777777" w:rsidR="00FD5C80" w:rsidRDefault="00FD5C80" w:rsidP="00420964"/>
        </w:tc>
      </w:tr>
      <w:tr w:rsidR="00EC7947" w14:paraId="63F83862" w14:textId="77777777" w:rsidTr="005D5B61">
        <w:tc>
          <w:tcPr>
            <w:tcW w:w="817" w:type="dxa"/>
          </w:tcPr>
          <w:p w14:paraId="230346FF" w14:textId="77777777" w:rsidR="00EC7947" w:rsidRDefault="00EC7947" w:rsidP="00420964"/>
        </w:tc>
        <w:tc>
          <w:tcPr>
            <w:tcW w:w="851" w:type="dxa"/>
          </w:tcPr>
          <w:p w14:paraId="4FC764A0" w14:textId="77777777" w:rsidR="00EC7947" w:rsidRDefault="00EC7947" w:rsidP="00420964"/>
        </w:tc>
        <w:tc>
          <w:tcPr>
            <w:tcW w:w="6848" w:type="dxa"/>
          </w:tcPr>
          <w:p w14:paraId="2F6C2C9C" w14:textId="18852C52" w:rsidR="00EC7947" w:rsidRDefault="00EC7947" w:rsidP="00420964">
            <w:r>
              <w:t>A lack of continuity of care and therapeutic relationships due to temporary staffing and frequent changes of care co-ordinators was found. This occurred in the context of a lot of organi</w:t>
            </w:r>
            <w:r w:rsidR="00FE2109">
              <w:t>sational change. Mentioned were</w:t>
            </w:r>
            <w:r>
              <w:t xml:space="preserve"> team amalgamations, team base moves, changes to structures and systems and lack of stability in </w:t>
            </w:r>
            <w:r w:rsidR="00FE2109">
              <w:t xml:space="preserve">local </w:t>
            </w:r>
            <w:r>
              <w:t xml:space="preserve">leadership and management suggesting a lack of support for care co-ordinators. </w:t>
            </w:r>
          </w:p>
        </w:tc>
      </w:tr>
      <w:tr w:rsidR="00EC7947" w14:paraId="3726F63B" w14:textId="77777777" w:rsidTr="005D5B61">
        <w:tc>
          <w:tcPr>
            <w:tcW w:w="817" w:type="dxa"/>
          </w:tcPr>
          <w:p w14:paraId="1B7C8CE0" w14:textId="77777777" w:rsidR="00EC7947" w:rsidRDefault="00EC7947" w:rsidP="00420964"/>
        </w:tc>
        <w:tc>
          <w:tcPr>
            <w:tcW w:w="851" w:type="dxa"/>
          </w:tcPr>
          <w:p w14:paraId="143528F2" w14:textId="77777777" w:rsidR="00EC7947" w:rsidRDefault="00EC7947" w:rsidP="00420964"/>
        </w:tc>
        <w:tc>
          <w:tcPr>
            <w:tcW w:w="6848" w:type="dxa"/>
          </w:tcPr>
          <w:p w14:paraId="56708EE6" w14:textId="77777777" w:rsidR="00EC7947" w:rsidRDefault="00EC7947" w:rsidP="00420964"/>
        </w:tc>
      </w:tr>
      <w:tr w:rsidR="00EC7947" w14:paraId="55C9E9D5" w14:textId="77777777" w:rsidTr="005D5B61">
        <w:tc>
          <w:tcPr>
            <w:tcW w:w="817" w:type="dxa"/>
          </w:tcPr>
          <w:p w14:paraId="05BA4E17" w14:textId="77777777" w:rsidR="00EC7947" w:rsidRDefault="00EC7947" w:rsidP="00420964"/>
        </w:tc>
        <w:tc>
          <w:tcPr>
            <w:tcW w:w="851" w:type="dxa"/>
          </w:tcPr>
          <w:p w14:paraId="575282E0" w14:textId="77777777" w:rsidR="00EC7947" w:rsidRDefault="00EC7947" w:rsidP="00420964"/>
        </w:tc>
        <w:tc>
          <w:tcPr>
            <w:tcW w:w="6848" w:type="dxa"/>
          </w:tcPr>
          <w:p w14:paraId="13739FE6" w14:textId="6AEDF08D" w:rsidR="00EC7947" w:rsidRDefault="00EC7947" w:rsidP="00420964">
            <w:r>
              <w:t>There were conflicting conclusions about Mr R’s mental state at the time of the offence.  The RCA concluded that no root cause was found to lead to the incident and no clinical evidence to indicate that the patient’s mental health presentation had changed in the two weeks leading up to the incident. The DHR concluded that Mr R was very mentally unwell at the time of the index offence.</w:t>
            </w:r>
          </w:p>
        </w:tc>
      </w:tr>
      <w:tr w:rsidR="00EC7947" w14:paraId="19F2547B" w14:textId="77777777" w:rsidTr="005D5B61">
        <w:tc>
          <w:tcPr>
            <w:tcW w:w="817" w:type="dxa"/>
          </w:tcPr>
          <w:p w14:paraId="4435D0EA" w14:textId="77777777" w:rsidR="00EC7947" w:rsidRDefault="00EC7947" w:rsidP="00420964"/>
        </w:tc>
        <w:tc>
          <w:tcPr>
            <w:tcW w:w="851" w:type="dxa"/>
          </w:tcPr>
          <w:p w14:paraId="5F9C8449" w14:textId="77777777" w:rsidR="00EC7947" w:rsidRDefault="00EC7947" w:rsidP="00420964"/>
        </w:tc>
        <w:tc>
          <w:tcPr>
            <w:tcW w:w="6848" w:type="dxa"/>
          </w:tcPr>
          <w:p w14:paraId="128BD836" w14:textId="77777777" w:rsidR="00EC7947" w:rsidRDefault="00EC7947" w:rsidP="00420964"/>
        </w:tc>
      </w:tr>
      <w:tr w:rsidR="00EC7947" w14:paraId="0EA95DD0" w14:textId="77777777" w:rsidTr="005D5B61">
        <w:tc>
          <w:tcPr>
            <w:tcW w:w="817" w:type="dxa"/>
          </w:tcPr>
          <w:p w14:paraId="3E290267" w14:textId="77777777" w:rsidR="00EC7947" w:rsidRDefault="00EC7947" w:rsidP="00420964"/>
        </w:tc>
        <w:tc>
          <w:tcPr>
            <w:tcW w:w="851" w:type="dxa"/>
          </w:tcPr>
          <w:p w14:paraId="464E0CC6" w14:textId="77777777" w:rsidR="00EC7947" w:rsidRDefault="00EC7947" w:rsidP="00420964"/>
        </w:tc>
        <w:tc>
          <w:tcPr>
            <w:tcW w:w="6848" w:type="dxa"/>
          </w:tcPr>
          <w:p w14:paraId="3B4CDC3A" w14:textId="6850DAEE" w:rsidR="00EC7947" w:rsidRPr="00371D3D" w:rsidRDefault="00EC7947" w:rsidP="00E85E11">
            <w:pPr>
              <w:rPr>
                <w:color w:val="000000" w:themeColor="text1"/>
              </w:rPr>
            </w:pPr>
            <w:r w:rsidRPr="00371D3D">
              <w:rPr>
                <w:color w:val="000000" w:themeColor="text1"/>
              </w:rPr>
              <w:t xml:space="preserve">The Trust was criticised for poor communication with </w:t>
            </w:r>
            <w:r w:rsidR="00BB4B5B" w:rsidRPr="00371D3D">
              <w:rPr>
                <w:color w:val="000000" w:themeColor="text1"/>
              </w:rPr>
              <w:t xml:space="preserve">other agencies involved in Mr R’s care and treatment, notably Viridian </w:t>
            </w:r>
            <w:r w:rsidR="00E85E11" w:rsidRPr="00371D3D">
              <w:rPr>
                <w:color w:val="000000" w:themeColor="text1"/>
              </w:rPr>
              <w:t>H</w:t>
            </w:r>
            <w:r w:rsidR="005D5B61" w:rsidRPr="00371D3D">
              <w:rPr>
                <w:color w:val="000000" w:themeColor="text1"/>
              </w:rPr>
              <w:t xml:space="preserve">ousing, </w:t>
            </w:r>
            <w:r w:rsidR="00E85E11" w:rsidRPr="00371D3D">
              <w:rPr>
                <w:color w:val="000000" w:themeColor="text1"/>
              </w:rPr>
              <w:t xml:space="preserve">Wandsworth </w:t>
            </w:r>
            <w:r w:rsidR="005D5B61" w:rsidRPr="00371D3D">
              <w:rPr>
                <w:color w:val="000000" w:themeColor="text1"/>
              </w:rPr>
              <w:t xml:space="preserve">Mind and </w:t>
            </w:r>
            <w:r w:rsidR="00E85E11" w:rsidRPr="00371D3D">
              <w:rPr>
                <w:color w:val="000000" w:themeColor="text1"/>
              </w:rPr>
              <w:t xml:space="preserve">his GP.  Poor communication was described in terms of </w:t>
            </w:r>
            <w:r w:rsidRPr="00371D3D">
              <w:rPr>
                <w:color w:val="000000" w:themeColor="text1"/>
              </w:rPr>
              <w:t>not initiating dialogue with the</w:t>
            </w:r>
            <w:r w:rsidR="00302FB0" w:rsidRPr="00371D3D">
              <w:rPr>
                <w:color w:val="000000" w:themeColor="text1"/>
              </w:rPr>
              <w:t>se</w:t>
            </w:r>
            <w:r w:rsidRPr="00371D3D">
              <w:rPr>
                <w:color w:val="000000" w:themeColor="text1"/>
              </w:rPr>
              <w:t xml:space="preserve"> other agencies. Lack of communication was </w:t>
            </w:r>
            <w:r w:rsidR="00E85E11" w:rsidRPr="00371D3D">
              <w:rPr>
                <w:color w:val="000000" w:themeColor="text1"/>
              </w:rPr>
              <w:t xml:space="preserve">also identified with regard to </w:t>
            </w:r>
            <w:r w:rsidRPr="00371D3D">
              <w:rPr>
                <w:color w:val="000000" w:themeColor="text1"/>
              </w:rPr>
              <w:t>risk issues and in a failure to foster close working relationships with other agencies.</w:t>
            </w:r>
          </w:p>
        </w:tc>
      </w:tr>
      <w:tr w:rsidR="00EC7947" w14:paraId="44AC4D62" w14:textId="77777777" w:rsidTr="005D5B61">
        <w:tc>
          <w:tcPr>
            <w:tcW w:w="817" w:type="dxa"/>
          </w:tcPr>
          <w:p w14:paraId="1280A5A5" w14:textId="77777777" w:rsidR="00EC7947" w:rsidRDefault="00EC7947" w:rsidP="00420964"/>
        </w:tc>
        <w:tc>
          <w:tcPr>
            <w:tcW w:w="851" w:type="dxa"/>
          </w:tcPr>
          <w:p w14:paraId="6C5F5D71" w14:textId="77777777" w:rsidR="00EC7947" w:rsidRDefault="00EC7947" w:rsidP="00420964"/>
        </w:tc>
        <w:tc>
          <w:tcPr>
            <w:tcW w:w="6848" w:type="dxa"/>
          </w:tcPr>
          <w:p w14:paraId="2190A23A" w14:textId="77777777" w:rsidR="00EC7947" w:rsidRDefault="00EC7947" w:rsidP="00420964"/>
        </w:tc>
      </w:tr>
      <w:tr w:rsidR="00EC7947" w14:paraId="5604460E" w14:textId="77777777" w:rsidTr="005D5B61">
        <w:tc>
          <w:tcPr>
            <w:tcW w:w="817" w:type="dxa"/>
          </w:tcPr>
          <w:p w14:paraId="212178ED" w14:textId="77777777" w:rsidR="00EC7947" w:rsidRDefault="00EC7947" w:rsidP="00420964"/>
        </w:tc>
        <w:tc>
          <w:tcPr>
            <w:tcW w:w="851" w:type="dxa"/>
          </w:tcPr>
          <w:p w14:paraId="1C28EB26" w14:textId="77777777" w:rsidR="00EC7947" w:rsidRDefault="00EC7947" w:rsidP="00420964"/>
        </w:tc>
        <w:tc>
          <w:tcPr>
            <w:tcW w:w="6848" w:type="dxa"/>
          </w:tcPr>
          <w:p w14:paraId="68D1DC7B" w14:textId="1C979413" w:rsidR="00EC7947" w:rsidRPr="00371D3D" w:rsidRDefault="00EC7947" w:rsidP="00974B4D">
            <w:pPr>
              <w:rPr>
                <w:color w:val="000000" w:themeColor="text1"/>
              </w:rPr>
            </w:pPr>
            <w:r w:rsidRPr="00371D3D">
              <w:rPr>
                <w:color w:val="000000" w:themeColor="text1"/>
              </w:rPr>
              <w:t>The Trust was found to have implemented a narrow, medical model perspective in terms of understanding Mr R and informing the care provided. There was found to be an absence of psychological treatment a</w:t>
            </w:r>
            <w:r w:rsidR="006F2A24" w:rsidRPr="00371D3D">
              <w:rPr>
                <w:color w:val="000000" w:themeColor="text1"/>
              </w:rPr>
              <w:t>s recommended by NICE guidance</w:t>
            </w:r>
            <w:r w:rsidRPr="00371D3D">
              <w:rPr>
                <w:color w:val="000000" w:themeColor="text1"/>
              </w:rPr>
              <w:t xml:space="preserve"> for the management of schizophrenia. There was insufficient evidence of a holistic recovery plan including recovery goals in Mr R’s C</w:t>
            </w:r>
            <w:r w:rsidR="007C1C01" w:rsidRPr="00371D3D">
              <w:rPr>
                <w:color w:val="000000" w:themeColor="text1"/>
              </w:rPr>
              <w:t xml:space="preserve">are </w:t>
            </w:r>
            <w:r w:rsidRPr="00371D3D">
              <w:rPr>
                <w:color w:val="000000" w:themeColor="text1"/>
              </w:rPr>
              <w:t>P</w:t>
            </w:r>
            <w:r w:rsidR="007C1C01" w:rsidRPr="00371D3D">
              <w:rPr>
                <w:color w:val="000000" w:themeColor="text1"/>
              </w:rPr>
              <w:t xml:space="preserve">rogramme Approach (CPA) </w:t>
            </w:r>
            <w:r w:rsidRPr="00371D3D">
              <w:rPr>
                <w:color w:val="000000" w:themeColor="text1"/>
              </w:rPr>
              <w:t>care plan.</w:t>
            </w:r>
          </w:p>
        </w:tc>
      </w:tr>
      <w:tr w:rsidR="00EC7947" w14:paraId="7DACD64F" w14:textId="77777777" w:rsidTr="005D5B61">
        <w:tc>
          <w:tcPr>
            <w:tcW w:w="817" w:type="dxa"/>
          </w:tcPr>
          <w:p w14:paraId="7D006C16" w14:textId="77777777" w:rsidR="00EC7947" w:rsidRDefault="00EC7947" w:rsidP="00420964"/>
        </w:tc>
        <w:tc>
          <w:tcPr>
            <w:tcW w:w="851" w:type="dxa"/>
          </w:tcPr>
          <w:p w14:paraId="143F8281" w14:textId="77777777" w:rsidR="00EC7947" w:rsidRDefault="00EC7947" w:rsidP="00420964"/>
        </w:tc>
        <w:tc>
          <w:tcPr>
            <w:tcW w:w="6848" w:type="dxa"/>
          </w:tcPr>
          <w:p w14:paraId="637E41BD" w14:textId="77777777" w:rsidR="00EC7947" w:rsidRDefault="00EC7947" w:rsidP="00420964"/>
        </w:tc>
      </w:tr>
      <w:tr w:rsidR="00EC7947" w14:paraId="4B7FADBE" w14:textId="77777777" w:rsidTr="005D5B61">
        <w:tc>
          <w:tcPr>
            <w:tcW w:w="817" w:type="dxa"/>
          </w:tcPr>
          <w:p w14:paraId="435E2E86" w14:textId="77777777" w:rsidR="00EC7947" w:rsidRDefault="00EC7947" w:rsidP="00420964"/>
        </w:tc>
        <w:tc>
          <w:tcPr>
            <w:tcW w:w="851" w:type="dxa"/>
          </w:tcPr>
          <w:p w14:paraId="0F2BB29C" w14:textId="77777777" w:rsidR="00EC7947" w:rsidRDefault="00EC7947" w:rsidP="00420964"/>
        </w:tc>
        <w:tc>
          <w:tcPr>
            <w:tcW w:w="6848" w:type="dxa"/>
          </w:tcPr>
          <w:p w14:paraId="1A6FBBAD" w14:textId="2230E5A7" w:rsidR="00EC7947" w:rsidRDefault="00EC7947" w:rsidP="007E12B9">
            <w:r>
              <w:t>Both reviews concluded that the incident was neither</w:t>
            </w:r>
            <w:r w:rsidR="00FE2109">
              <w:t xml:space="preserve"> </w:t>
            </w:r>
            <w:r>
              <w:t>predictable nor preventable.</w:t>
            </w:r>
          </w:p>
        </w:tc>
      </w:tr>
      <w:tr w:rsidR="00EC7947" w14:paraId="751B2624" w14:textId="77777777" w:rsidTr="005D5B61">
        <w:tc>
          <w:tcPr>
            <w:tcW w:w="817" w:type="dxa"/>
          </w:tcPr>
          <w:p w14:paraId="7C394051" w14:textId="77777777" w:rsidR="00EC7947" w:rsidRDefault="00EC7947" w:rsidP="00420964"/>
        </w:tc>
        <w:tc>
          <w:tcPr>
            <w:tcW w:w="851" w:type="dxa"/>
          </w:tcPr>
          <w:p w14:paraId="3B654BA7" w14:textId="77777777" w:rsidR="00EC7947" w:rsidRDefault="00EC7947" w:rsidP="00420964"/>
        </w:tc>
        <w:tc>
          <w:tcPr>
            <w:tcW w:w="6848" w:type="dxa"/>
          </w:tcPr>
          <w:p w14:paraId="3814129F" w14:textId="77777777" w:rsidR="00EC7947" w:rsidRDefault="00EC7947" w:rsidP="00420964"/>
        </w:tc>
      </w:tr>
      <w:tr w:rsidR="00EC7947" w14:paraId="450E0E57" w14:textId="77777777" w:rsidTr="005D5B61">
        <w:tc>
          <w:tcPr>
            <w:tcW w:w="817" w:type="dxa"/>
          </w:tcPr>
          <w:p w14:paraId="2D931EC0" w14:textId="77777777" w:rsidR="00EC7947" w:rsidRDefault="00EC7947" w:rsidP="00420964"/>
        </w:tc>
        <w:tc>
          <w:tcPr>
            <w:tcW w:w="851" w:type="dxa"/>
          </w:tcPr>
          <w:p w14:paraId="000F8658" w14:textId="08C243FC" w:rsidR="00EC7947" w:rsidRPr="008F16A8" w:rsidRDefault="00EC7947" w:rsidP="00420964">
            <w:pPr>
              <w:rPr>
                <w:b/>
                <w:color w:val="4F6228" w:themeColor="accent3" w:themeShade="80"/>
              </w:rPr>
            </w:pPr>
            <w:r>
              <w:rPr>
                <w:b/>
                <w:color w:val="4F6228" w:themeColor="accent3" w:themeShade="80"/>
              </w:rPr>
              <w:t>1.5</w:t>
            </w:r>
          </w:p>
        </w:tc>
        <w:tc>
          <w:tcPr>
            <w:tcW w:w="6848" w:type="dxa"/>
          </w:tcPr>
          <w:p w14:paraId="6EA1823B" w14:textId="396A250D" w:rsidR="00EC7947" w:rsidRPr="00425C91" w:rsidRDefault="00EC7947" w:rsidP="00420964">
            <w:pPr>
              <w:rPr>
                <w:b/>
                <w:bCs/>
                <w:color w:val="4F6228" w:themeColor="accent3" w:themeShade="80"/>
                <w:sz w:val="16"/>
                <w:szCs w:val="16"/>
                <w:vertAlign w:val="superscript"/>
              </w:rPr>
            </w:pPr>
            <w:r>
              <w:rPr>
                <w:b/>
                <w:color w:val="4F6228" w:themeColor="accent3" w:themeShade="80"/>
              </w:rPr>
              <w:t>FINDINGS OF THE CURRENT REVIEW</w:t>
            </w:r>
            <w:r>
              <w:rPr>
                <w:b/>
                <w:color w:val="4F6228" w:themeColor="accent3" w:themeShade="80"/>
                <w:sz w:val="16"/>
                <w:szCs w:val="16"/>
              </w:rPr>
              <w:t xml:space="preserve"> </w:t>
            </w:r>
          </w:p>
        </w:tc>
      </w:tr>
      <w:tr w:rsidR="00425C91" w14:paraId="08CDEC25" w14:textId="77777777" w:rsidTr="005D5B61">
        <w:tc>
          <w:tcPr>
            <w:tcW w:w="817" w:type="dxa"/>
          </w:tcPr>
          <w:p w14:paraId="767CC828" w14:textId="77777777" w:rsidR="00425C91" w:rsidRDefault="00425C91" w:rsidP="00420964"/>
        </w:tc>
        <w:tc>
          <w:tcPr>
            <w:tcW w:w="851" w:type="dxa"/>
          </w:tcPr>
          <w:p w14:paraId="2C179E91" w14:textId="77777777" w:rsidR="00425C91" w:rsidRDefault="00425C91" w:rsidP="00420964">
            <w:pPr>
              <w:rPr>
                <w:b/>
                <w:color w:val="4F6228" w:themeColor="accent3" w:themeShade="80"/>
              </w:rPr>
            </w:pPr>
          </w:p>
        </w:tc>
        <w:tc>
          <w:tcPr>
            <w:tcW w:w="6848" w:type="dxa"/>
          </w:tcPr>
          <w:p w14:paraId="212AFA38" w14:textId="77777777" w:rsidR="00425C91" w:rsidRDefault="00425C91" w:rsidP="00420964">
            <w:pPr>
              <w:rPr>
                <w:b/>
                <w:color w:val="4F6228" w:themeColor="accent3" w:themeShade="80"/>
              </w:rPr>
            </w:pPr>
          </w:p>
        </w:tc>
      </w:tr>
      <w:tr w:rsidR="00EC7947" w14:paraId="2FB19AA5" w14:textId="77777777" w:rsidTr="005D5B61">
        <w:tc>
          <w:tcPr>
            <w:tcW w:w="817" w:type="dxa"/>
          </w:tcPr>
          <w:p w14:paraId="4748FF4A" w14:textId="035C21FE" w:rsidR="00EC7947" w:rsidRDefault="00EC7947" w:rsidP="00420964"/>
        </w:tc>
        <w:tc>
          <w:tcPr>
            <w:tcW w:w="851" w:type="dxa"/>
          </w:tcPr>
          <w:p w14:paraId="567691FF" w14:textId="77777777" w:rsidR="00EC7947" w:rsidRDefault="00EC7947" w:rsidP="00420964"/>
        </w:tc>
        <w:tc>
          <w:tcPr>
            <w:tcW w:w="6848" w:type="dxa"/>
          </w:tcPr>
          <w:p w14:paraId="1DCBD4DB" w14:textId="74ED190C" w:rsidR="00EC7947" w:rsidRDefault="00EC7947" w:rsidP="00420964">
            <w:r>
              <w:t>Mr R had not used cannabis for many years and was not identified as misusing alcohol and therefore was not receiving support or services for substance misuse at the time of the offence. Drugs and alcohol were not factors in his index offence.</w:t>
            </w:r>
          </w:p>
        </w:tc>
      </w:tr>
      <w:tr w:rsidR="00EC7947" w14:paraId="59118F63" w14:textId="77777777" w:rsidTr="005D5B61">
        <w:tc>
          <w:tcPr>
            <w:tcW w:w="817" w:type="dxa"/>
          </w:tcPr>
          <w:p w14:paraId="759C578C" w14:textId="77777777" w:rsidR="00EC7947" w:rsidRDefault="00EC7947" w:rsidP="00420964"/>
        </w:tc>
        <w:tc>
          <w:tcPr>
            <w:tcW w:w="851" w:type="dxa"/>
          </w:tcPr>
          <w:p w14:paraId="09D77D57" w14:textId="77777777" w:rsidR="00EC7947" w:rsidRDefault="00EC7947" w:rsidP="00420964"/>
        </w:tc>
        <w:tc>
          <w:tcPr>
            <w:tcW w:w="6848" w:type="dxa"/>
          </w:tcPr>
          <w:p w14:paraId="2AF0203D" w14:textId="77777777" w:rsidR="00EC7947" w:rsidRDefault="00EC7947" w:rsidP="00420964"/>
        </w:tc>
      </w:tr>
      <w:tr w:rsidR="00EC7947" w14:paraId="6B336B66" w14:textId="77777777" w:rsidTr="005D5B61">
        <w:tc>
          <w:tcPr>
            <w:tcW w:w="817" w:type="dxa"/>
          </w:tcPr>
          <w:p w14:paraId="21C43FBF" w14:textId="77777777" w:rsidR="00EC7947" w:rsidRDefault="00EC7947" w:rsidP="00420964"/>
        </w:tc>
        <w:tc>
          <w:tcPr>
            <w:tcW w:w="851" w:type="dxa"/>
          </w:tcPr>
          <w:p w14:paraId="00CE4441" w14:textId="77777777" w:rsidR="00EC7947" w:rsidRDefault="00EC7947" w:rsidP="00420964"/>
        </w:tc>
        <w:tc>
          <w:tcPr>
            <w:tcW w:w="6848" w:type="dxa"/>
          </w:tcPr>
          <w:p w14:paraId="041D1821" w14:textId="2ADFA013" w:rsidR="00EC7947" w:rsidRPr="003535D6" w:rsidRDefault="00EC7947" w:rsidP="00420964">
            <w:r w:rsidRPr="003535D6">
              <w:t>A high proportion of the CMHT service users misuse substances. The Trust has an up to date dual diagnosis policy</w:t>
            </w:r>
            <w:r w:rsidR="00615E6E" w:rsidRPr="003535D6">
              <w:t>, which is dated September 2016 and due for review in September 2018.</w:t>
            </w:r>
            <w:r w:rsidRPr="003535D6">
              <w:t xml:space="preserve"> There is concern about the ability to implement the policy. Addiction services within the Trust have been decommissioned</w:t>
            </w:r>
            <w:r w:rsidR="00A247DC" w:rsidRPr="003535D6">
              <w:t xml:space="preserve"> and in Wandsworth this happened on April 1</w:t>
            </w:r>
            <w:r w:rsidR="00A247DC" w:rsidRPr="003535D6">
              <w:rPr>
                <w:vertAlign w:val="superscript"/>
              </w:rPr>
              <w:t>st</w:t>
            </w:r>
            <w:r w:rsidR="00A247DC" w:rsidRPr="003535D6">
              <w:t xml:space="preserve"> 2015.</w:t>
            </w:r>
            <w:r w:rsidRPr="003535D6">
              <w:t xml:space="preserve"> Care co-ordinators do not feel skilled to work with dual diagnosis.</w:t>
            </w:r>
          </w:p>
        </w:tc>
      </w:tr>
      <w:tr w:rsidR="00EC7947" w14:paraId="1EC2158D" w14:textId="77777777" w:rsidTr="005D5B61">
        <w:tc>
          <w:tcPr>
            <w:tcW w:w="817" w:type="dxa"/>
          </w:tcPr>
          <w:p w14:paraId="279E4BB0" w14:textId="77777777" w:rsidR="00EC7947" w:rsidRDefault="00EC7947" w:rsidP="00420964"/>
        </w:tc>
        <w:tc>
          <w:tcPr>
            <w:tcW w:w="851" w:type="dxa"/>
          </w:tcPr>
          <w:p w14:paraId="7ECA6B83" w14:textId="77777777" w:rsidR="00EC7947" w:rsidRDefault="00EC7947" w:rsidP="00420964"/>
        </w:tc>
        <w:tc>
          <w:tcPr>
            <w:tcW w:w="6848" w:type="dxa"/>
          </w:tcPr>
          <w:p w14:paraId="368B72DB" w14:textId="688C9C68" w:rsidR="005110D9" w:rsidRDefault="005110D9" w:rsidP="00420964"/>
        </w:tc>
      </w:tr>
      <w:tr w:rsidR="00EC7947" w14:paraId="67083AEA" w14:textId="77777777" w:rsidTr="005D5B61">
        <w:tc>
          <w:tcPr>
            <w:tcW w:w="817" w:type="dxa"/>
          </w:tcPr>
          <w:p w14:paraId="50657FB5" w14:textId="77777777" w:rsidR="00EC7947" w:rsidRDefault="00EC7947" w:rsidP="00420964"/>
        </w:tc>
        <w:tc>
          <w:tcPr>
            <w:tcW w:w="851" w:type="dxa"/>
          </w:tcPr>
          <w:p w14:paraId="60E1323F" w14:textId="77777777" w:rsidR="00EC7947" w:rsidRDefault="00EC7947" w:rsidP="00420964"/>
        </w:tc>
        <w:tc>
          <w:tcPr>
            <w:tcW w:w="6848" w:type="dxa"/>
          </w:tcPr>
          <w:p w14:paraId="3A519685" w14:textId="4911A385" w:rsidR="00EC7947" w:rsidRDefault="00EC7947" w:rsidP="00395801">
            <w:r>
              <w:t>The implementation of the Care Act of 2014 means that carers are directly approached and invited to have a carer’s assessment. Some examples of good practice in carer engagement with the business of the Tru</w:t>
            </w:r>
            <w:r w:rsidR="00425C91">
              <w:t xml:space="preserve">st </w:t>
            </w:r>
            <w:r w:rsidR="00395801" w:rsidRPr="00E66282">
              <w:t>were</w:t>
            </w:r>
            <w:r w:rsidR="00395801">
              <w:rPr>
                <w:color w:val="FF0000"/>
              </w:rPr>
              <w:t xml:space="preserve"> </w:t>
            </w:r>
            <w:r w:rsidR="00425C91">
              <w:t>found but not in the day-to-</w:t>
            </w:r>
            <w:r>
              <w:t xml:space="preserve">day support and engagement with care. The process of receiving a carer’s assessment was experienced as unwieldy. </w:t>
            </w:r>
          </w:p>
        </w:tc>
      </w:tr>
      <w:tr w:rsidR="00EC7947" w14:paraId="5C14F438" w14:textId="77777777" w:rsidTr="005D5B61">
        <w:tc>
          <w:tcPr>
            <w:tcW w:w="817" w:type="dxa"/>
          </w:tcPr>
          <w:p w14:paraId="49117C01" w14:textId="77777777" w:rsidR="00EC7947" w:rsidRDefault="00EC7947" w:rsidP="00420964"/>
        </w:tc>
        <w:tc>
          <w:tcPr>
            <w:tcW w:w="851" w:type="dxa"/>
          </w:tcPr>
          <w:p w14:paraId="3ECF1412" w14:textId="77777777" w:rsidR="00EC7947" w:rsidRDefault="00EC7947" w:rsidP="00420964"/>
        </w:tc>
        <w:tc>
          <w:tcPr>
            <w:tcW w:w="6848" w:type="dxa"/>
          </w:tcPr>
          <w:p w14:paraId="2941CAFC" w14:textId="77777777" w:rsidR="00EC7947" w:rsidRDefault="00EC7947" w:rsidP="00420964"/>
        </w:tc>
      </w:tr>
      <w:tr w:rsidR="00EC7947" w14:paraId="5BAA8631" w14:textId="77777777" w:rsidTr="005D5B61">
        <w:tc>
          <w:tcPr>
            <w:tcW w:w="817" w:type="dxa"/>
          </w:tcPr>
          <w:p w14:paraId="475F0CC6" w14:textId="77777777" w:rsidR="00EC7947" w:rsidRDefault="00EC7947" w:rsidP="00420964"/>
        </w:tc>
        <w:tc>
          <w:tcPr>
            <w:tcW w:w="851" w:type="dxa"/>
          </w:tcPr>
          <w:p w14:paraId="2479E571" w14:textId="77777777" w:rsidR="00EC7947" w:rsidRDefault="00EC7947" w:rsidP="00420964"/>
        </w:tc>
        <w:tc>
          <w:tcPr>
            <w:tcW w:w="6848" w:type="dxa"/>
          </w:tcPr>
          <w:p w14:paraId="7363EDE6" w14:textId="605796F8" w:rsidR="00EC7947" w:rsidRDefault="00EC7947" w:rsidP="00420964">
            <w:r>
              <w:t xml:space="preserve">Good implementation of safeguarding practice was identified within the Trust including some areas of excellence. </w:t>
            </w:r>
          </w:p>
        </w:tc>
      </w:tr>
      <w:tr w:rsidR="00EC7947" w14:paraId="13212D79" w14:textId="77777777" w:rsidTr="005D5B61">
        <w:tc>
          <w:tcPr>
            <w:tcW w:w="817" w:type="dxa"/>
          </w:tcPr>
          <w:p w14:paraId="20148C76" w14:textId="77777777" w:rsidR="00EC7947" w:rsidRDefault="00EC7947" w:rsidP="00420964"/>
        </w:tc>
        <w:tc>
          <w:tcPr>
            <w:tcW w:w="851" w:type="dxa"/>
          </w:tcPr>
          <w:p w14:paraId="4F5D4589" w14:textId="77777777" w:rsidR="00EC7947" w:rsidRDefault="00EC7947" w:rsidP="00420964"/>
        </w:tc>
        <w:tc>
          <w:tcPr>
            <w:tcW w:w="6848" w:type="dxa"/>
          </w:tcPr>
          <w:p w14:paraId="48417B3A" w14:textId="2C1ED3F5" w:rsidR="00EC7947" w:rsidRDefault="00EC7947" w:rsidP="00420964"/>
        </w:tc>
      </w:tr>
      <w:tr w:rsidR="00EC7947" w14:paraId="315B37B4" w14:textId="77777777" w:rsidTr="005D5B61">
        <w:tc>
          <w:tcPr>
            <w:tcW w:w="817" w:type="dxa"/>
          </w:tcPr>
          <w:p w14:paraId="22E9FE23" w14:textId="77777777" w:rsidR="00EC7947" w:rsidRDefault="00EC7947" w:rsidP="00420964"/>
        </w:tc>
        <w:tc>
          <w:tcPr>
            <w:tcW w:w="851" w:type="dxa"/>
          </w:tcPr>
          <w:p w14:paraId="05C74BD3" w14:textId="77777777" w:rsidR="00EC7947" w:rsidRDefault="00EC7947" w:rsidP="00420964"/>
        </w:tc>
        <w:tc>
          <w:tcPr>
            <w:tcW w:w="6848" w:type="dxa"/>
          </w:tcPr>
          <w:p w14:paraId="49B49F97" w14:textId="35B6244A" w:rsidR="00EC7947" w:rsidRDefault="00EC7947" w:rsidP="00EC7947">
            <w:pPr>
              <w:rPr>
                <w:rStyle w:val="FootnoteReference"/>
              </w:rPr>
            </w:pPr>
            <w:r>
              <w:t>The Trust had undergone tremendous organisational change and upheaval in recent years and this would be expected to impact on the experience and performance of staff. We found the Trust to be in the beginnings of bringing about positive stability and organised systems</w:t>
            </w:r>
            <w:r w:rsidR="005110D9">
              <w:t xml:space="preserve"> of governance</w:t>
            </w:r>
            <w:r>
              <w:t xml:space="preserve">. </w:t>
            </w:r>
          </w:p>
        </w:tc>
      </w:tr>
      <w:tr w:rsidR="00EC7947" w14:paraId="74902128" w14:textId="77777777" w:rsidTr="005D5B61">
        <w:tc>
          <w:tcPr>
            <w:tcW w:w="817" w:type="dxa"/>
          </w:tcPr>
          <w:p w14:paraId="4EA0FD7F" w14:textId="77777777" w:rsidR="00EC7947" w:rsidRDefault="00EC7947" w:rsidP="00420964"/>
        </w:tc>
        <w:tc>
          <w:tcPr>
            <w:tcW w:w="851" w:type="dxa"/>
          </w:tcPr>
          <w:p w14:paraId="1129E248" w14:textId="77777777" w:rsidR="00EC7947" w:rsidRDefault="00EC7947" w:rsidP="00420964"/>
        </w:tc>
        <w:tc>
          <w:tcPr>
            <w:tcW w:w="6848" w:type="dxa"/>
          </w:tcPr>
          <w:p w14:paraId="0EDAA246" w14:textId="77777777" w:rsidR="00EC7947" w:rsidRDefault="00EC7947" w:rsidP="00420964">
            <w:pPr>
              <w:rPr>
                <w:rStyle w:val="FootnoteReference"/>
              </w:rPr>
            </w:pPr>
          </w:p>
        </w:tc>
      </w:tr>
      <w:tr w:rsidR="00EC7947" w14:paraId="56B48B81" w14:textId="77777777" w:rsidTr="005D5B61">
        <w:tc>
          <w:tcPr>
            <w:tcW w:w="817" w:type="dxa"/>
          </w:tcPr>
          <w:p w14:paraId="6E30D495" w14:textId="77777777" w:rsidR="00EC7947" w:rsidRDefault="00EC7947" w:rsidP="00420964"/>
        </w:tc>
        <w:tc>
          <w:tcPr>
            <w:tcW w:w="851" w:type="dxa"/>
          </w:tcPr>
          <w:p w14:paraId="62585D33" w14:textId="77777777" w:rsidR="00EC7947" w:rsidRDefault="00EC7947" w:rsidP="00420964"/>
        </w:tc>
        <w:tc>
          <w:tcPr>
            <w:tcW w:w="6848" w:type="dxa"/>
          </w:tcPr>
          <w:p w14:paraId="72FC5E24" w14:textId="7D7EE800" w:rsidR="00EC7947" w:rsidRDefault="00EC7947" w:rsidP="005110D9">
            <w:pPr>
              <w:rPr>
                <w:rStyle w:val="FootnoteReference"/>
              </w:rPr>
            </w:pPr>
            <w:r>
              <w:t xml:space="preserve">The difference </w:t>
            </w:r>
            <w:r w:rsidR="005110D9">
              <w:t xml:space="preserve">in </w:t>
            </w:r>
            <w:r>
              <w:t>opinions about Mr R’s mental health at the time of his offence can be explained by the fragile hold on his illness achieved by medication, the difficulty in assessing his mental state and the rapidity of his relapse.</w:t>
            </w:r>
          </w:p>
        </w:tc>
      </w:tr>
      <w:tr w:rsidR="00EC7947" w14:paraId="31163943" w14:textId="77777777" w:rsidTr="005D5B61">
        <w:tc>
          <w:tcPr>
            <w:tcW w:w="817" w:type="dxa"/>
          </w:tcPr>
          <w:p w14:paraId="753F22FD" w14:textId="77777777" w:rsidR="00EC7947" w:rsidRDefault="00EC7947" w:rsidP="00420964"/>
        </w:tc>
        <w:tc>
          <w:tcPr>
            <w:tcW w:w="851" w:type="dxa"/>
          </w:tcPr>
          <w:p w14:paraId="122E3E1F" w14:textId="77777777" w:rsidR="00EC7947" w:rsidRDefault="00EC7947" w:rsidP="00420964"/>
        </w:tc>
        <w:tc>
          <w:tcPr>
            <w:tcW w:w="6848" w:type="dxa"/>
          </w:tcPr>
          <w:p w14:paraId="1311E8A2" w14:textId="77777777" w:rsidR="00EC7947" w:rsidRDefault="00EC7947" w:rsidP="00420964">
            <w:pPr>
              <w:rPr>
                <w:rStyle w:val="FootnoteReference"/>
              </w:rPr>
            </w:pPr>
          </w:p>
        </w:tc>
      </w:tr>
      <w:tr w:rsidR="00EC7947" w14:paraId="62D2CE99" w14:textId="77777777" w:rsidTr="005D5B61">
        <w:tc>
          <w:tcPr>
            <w:tcW w:w="817" w:type="dxa"/>
          </w:tcPr>
          <w:p w14:paraId="5AAA75A0" w14:textId="77777777" w:rsidR="00EC7947" w:rsidRDefault="00EC7947" w:rsidP="00420964"/>
        </w:tc>
        <w:tc>
          <w:tcPr>
            <w:tcW w:w="851" w:type="dxa"/>
          </w:tcPr>
          <w:p w14:paraId="586F6D17" w14:textId="77777777" w:rsidR="00EC7947" w:rsidRDefault="00EC7947" w:rsidP="00420964"/>
        </w:tc>
        <w:tc>
          <w:tcPr>
            <w:tcW w:w="6848" w:type="dxa"/>
          </w:tcPr>
          <w:p w14:paraId="45B8EFC2" w14:textId="6AC49070" w:rsidR="00EC7947" w:rsidRPr="00E66282" w:rsidRDefault="00425C91" w:rsidP="00985F7A">
            <w:pPr>
              <w:rPr>
                <w:rStyle w:val="FootnoteReference"/>
              </w:rPr>
            </w:pPr>
            <w:r w:rsidRPr="00E66282">
              <w:t>We found that there continue</w:t>
            </w:r>
            <w:r w:rsidR="005804CD" w:rsidRPr="00E66282">
              <w:t>s</w:t>
            </w:r>
            <w:r w:rsidRPr="00E66282">
              <w:t xml:space="preserve"> to be </w:t>
            </w:r>
            <w:r w:rsidR="00985F7A" w:rsidRPr="00E66282">
              <w:t xml:space="preserve">challenges to </w:t>
            </w:r>
            <w:r w:rsidRPr="00E66282">
              <w:t>communication between the CMHT, housing and Mind</w:t>
            </w:r>
            <w:r w:rsidR="00985F7A" w:rsidRPr="00E66282">
              <w:t xml:space="preserve"> amid a number of changes across all these agencies</w:t>
            </w:r>
            <w:r w:rsidRPr="00E66282">
              <w:t xml:space="preserve">. Joint mental health and physical care services have been developed and </w:t>
            </w:r>
            <w:r w:rsidR="00E66282">
              <w:t xml:space="preserve">in Wandsworth </w:t>
            </w:r>
            <w:r w:rsidRPr="00E66282">
              <w:t>are provided by Primary Care Plus.</w:t>
            </w:r>
          </w:p>
        </w:tc>
      </w:tr>
      <w:tr w:rsidR="00EC7947" w14:paraId="7041AA5C" w14:textId="77777777" w:rsidTr="005D5B61">
        <w:tc>
          <w:tcPr>
            <w:tcW w:w="817" w:type="dxa"/>
          </w:tcPr>
          <w:p w14:paraId="0C27B61B" w14:textId="77777777" w:rsidR="00EC7947" w:rsidRDefault="00EC7947" w:rsidP="00420964"/>
        </w:tc>
        <w:tc>
          <w:tcPr>
            <w:tcW w:w="851" w:type="dxa"/>
          </w:tcPr>
          <w:p w14:paraId="6A81DFE8" w14:textId="77777777" w:rsidR="00EC7947" w:rsidRDefault="00EC7947" w:rsidP="00420964"/>
        </w:tc>
        <w:tc>
          <w:tcPr>
            <w:tcW w:w="6848" w:type="dxa"/>
          </w:tcPr>
          <w:p w14:paraId="1377A6AB" w14:textId="77777777" w:rsidR="00EC7947" w:rsidRDefault="00EC7947" w:rsidP="00420964">
            <w:pPr>
              <w:rPr>
                <w:rStyle w:val="FootnoteReference"/>
              </w:rPr>
            </w:pPr>
          </w:p>
        </w:tc>
      </w:tr>
      <w:tr w:rsidR="00EC7947" w14:paraId="3440F0DE" w14:textId="77777777" w:rsidTr="005D5B61">
        <w:tc>
          <w:tcPr>
            <w:tcW w:w="817" w:type="dxa"/>
          </w:tcPr>
          <w:p w14:paraId="7B56A3AB" w14:textId="77777777" w:rsidR="00EC7947" w:rsidRDefault="00EC7947" w:rsidP="00420964"/>
        </w:tc>
        <w:tc>
          <w:tcPr>
            <w:tcW w:w="851" w:type="dxa"/>
          </w:tcPr>
          <w:p w14:paraId="45D1CFE8" w14:textId="77777777" w:rsidR="00EC7947" w:rsidRDefault="00EC7947" w:rsidP="00420964"/>
        </w:tc>
        <w:tc>
          <w:tcPr>
            <w:tcW w:w="6848" w:type="dxa"/>
          </w:tcPr>
          <w:p w14:paraId="1D21C9A1" w14:textId="5087E42C" w:rsidR="00EC7947" w:rsidRDefault="00425C91" w:rsidP="00E20EF5">
            <w:pPr>
              <w:rPr>
                <w:rStyle w:val="FootnoteReference"/>
              </w:rPr>
            </w:pPr>
            <w:r>
              <w:t>Despite the Trust having a number of excellent services and impressive professional expertise available, this is not reflected in the service delivered by care co-ordinators</w:t>
            </w:r>
            <w:r w:rsidR="005110D9">
              <w:t xml:space="preserve"> who struggle with the acuity</w:t>
            </w:r>
            <w:r w:rsidR="00302FB0">
              <w:t xml:space="preserve"> and complexity of service user needs</w:t>
            </w:r>
            <w:r>
              <w:t>. We iden</w:t>
            </w:r>
            <w:r w:rsidR="001E22A2">
              <w:t>tif</w:t>
            </w:r>
            <w:r>
              <w:t>ied a number of underlying fac</w:t>
            </w:r>
            <w:r w:rsidR="005110D9">
              <w:t xml:space="preserve">tors. One </w:t>
            </w:r>
            <w:r>
              <w:t>of the conseque</w:t>
            </w:r>
            <w:r w:rsidR="005110D9">
              <w:t>nces is a dearth of available</w:t>
            </w:r>
            <w:r>
              <w:t xml:space="preserve"> psychologically informed care for a service user population</w:t>
            </w:r>
            <w:r w:rsidR="00E20EF5">
              <w:t xml:space="preserve"> with complex needs</w:t>
            </w:r>
            <w:r>
              <w:t>.</w:t>
            </w:r>
          </w:p>
        </w:tc>
      </w:tr>
      <w:tr w:rsidR="00EC7947" w14:paraId="393EAD23" w14:textId="77777777" w:rsidTr="005D5B61">
        <w:tc>
          <w:tcPr>
            <w:tcW w:w="817" w:type="dxa"/>
          </w:tcPr>
          <w:p w14:paraId="655D300F" w14:textId="77777777" w:rsidR="00EC7947" w:rsidRDefault="00EC7947" w:rsidP="00420964"/>
        </w:tc>
        <w:tc>
          <w:tcPr>
            <w:tcW w:w="851" w:type="dxa"/>
          </w:tcPr>
          <w:p w14:paraId="430994D4" w14:textId="77777777" w:rsidR="00EC7947" w:rsidRDefault="00EC7947" w:rsidP="00420964"/>
        </w:tc>
        <w:tc>
          <w:tcPr>
            <w:tcW w:w="6848" w:type="dxa"/>
          </w:tcPr>
          <w:p w14:paraId="619F59A3" w14:textId="77777777" w:rsidR="00EC7947" w:rsidRDefault="00EC7947" w:rsidP="00420964">
            <w:pPr>
              <w:rPr>
                <w:rStyle w:val="FootnoteReference"/>
              </w:rPr>
            </w:pPr>
          </w:p>
        </w:tc>
      </w:tr>
      <w:tr w:rsidR="00EC7947" w14:paraId="7D314F18" w14:textId="77777777" w:rsidTr="005D5B61">
        <w:tc>
          <w:tcPr>
            <w:tcW w:w="817" w:type="dxa"/>
          </w:tcPr>
          <w:p w14:paraId="4D3B2842" w14:textId="77777777" w:rsidR="00EC7947" w:rsidRDefault="00EC7947" w:rsidP="00420964"/>
        </w:tc>
        <w:tc>
          <w:tcPr>
            <w:tcW w:w="851" w:type="dxa"/>
          </w:tcPr>
          <w:p w14:paraId="71844CA2" w14:textId="51CF189A" w:rsidR="00EC7947" w:rsidRPr="00425C91" w:rsidRDefault="00425C91" w:rsidP="00420964">
            <w:pPr>
              <w:rPr>
                <w:b/>
                <w:color w:val="4F6228" w:themeColor="accent3" w:themeShade="80"/>
              </w:rPr>
            </w:pPr>
            <w:r w:rsidRPr="00425C91">
              <w:rPr>
                <w:b/>
                <w:color w:val="4F6228" w:themeColor="accent3" w:themeShade="80"/>
              </w:rPr>
              <w:t>1.6</w:t>
            </w:r>
          </w:p>
        </w:tc>
        <w:tc>
          <w:tcPr>
            <w:tcW w:w="6848" w:type="dxa"/>
          </w:tcPr>
          <w:p w14:paraId="7B7CC8D3" w14:textId="767F74AB" w:rsidR="00EC7947" w:rsidRPr="00425C91" w:rsidRDefault="00425C91" w:rsidP="00420964">
            <w:pPr>
              <w:rPr>
                <w:rStyle w:val="FootnoteReference"/>
                <w:b/>
                <w:color w:val="4F6228" w:themeColor="accent3" w:themeShade="80"/>
              </w:rPr>
            </w:pPr>
            <w:r w:rsidRPr="00425C91">
              <w:rPr>
                <w:b/>
                <w:color w:val="4F6228" w:themeColor="accent3" w:themeShade="80"/>
              </w:rPr>
              <w:t>CONCLUSION</w:t>
            </w:r>
            <w:r w:rsidR="004B5238">
              <w:rPr>
                <w:b/>
                <w:color w:val="4F6228" w:themeColor="accent3" w:themeShade="80"/>
              </w:rPr>
              <w:t>S</w:t>
            </w:r>
          </w:p>
        </w:tc>
      </w:tr>
      <w:tr w:rsidR="00425C91" w14:paraId="0324EB5D" w14:textId="77777777" w:rsidTr="005D5B61">
        <w:tc>
          <w:tcPr>
            <w:tcW w:w="817" w:type="dxa"/>
          </w:tcPr>
          <w:p w14:paraId="7EBEB1F2" w14:textId="77777777" w:rsidR="00425C91" w:rsidRDefault="00425C91" w:rsidP="00420964"/>
        </w:tc>
        <w:tc>
          <w:tcPr>
            <w:tcW w:w="851" w:type="dxa"/>
          </w:tcPr>
          <w:p w14:paraId="74BD9AA1" w14:textId="77777777" w:rsidR="00425C91" w:rsidRDefault="00425C91" w:rsidP="00420964"/>
        </w:tc>
        <w:tc>
          <w:tcPr>
            <w:tcW w:w="6848" w:type="dxa"/>
          </w:tcPr>
          <w:p w14:paraId="28E20D4C" w14:textId="77777777" w:rsidR="00425C91" w:rsidRDefault="00425C91" w:rsidP="00420964">
            <w:pPr>
              <w:rPr>
                <w:rStyle w:val="FootnoteReference"/>
              </w:rPr>
            </w:pPr>
          </w:p>
        </w:tc>
      </w:tr>
      <w:tr w:rsidR="00425C91" w14:paraId="39A47FB5" w14:textId="77777777" w:rsidTr="005D5B61">
        <w:tc>
          <w:tcPr>
            <w:tcW w:w="817" w:type="dxa"/>
          </w:tcPr>
          <w:p w14:paraId="0EFFBD59" w14:textId="77777777" w:rsidR="00425C91" w:rsidRDefault="00425C91" w:rsidP="00420964"/>
        </w:tc>
        <w:tc>
          <w:tcPr>
            <w:tcW w:w="851" w:type="dxa"/>
          </w:tcPr>
          <w:p w14:paraId="040FBFA0" w14:textId="77777777" w:rsidR="00425C91" w:rsidRDefault="00425C91" w:rsidP="00420964"/>
        </w:tc>
        <w:tc>
          <w:tcPr>
            <w:tcW w:w="6848" w:type="dxa"/>
          </w:tcPr>
          <w:p w14:paraId="6B370AC1" w14:textId="1F6CBF8D" w:rsidR="00425C91" w:rsidRPr="00425C91" w:rsidRDefault="00425C91" w:rsidP="00C82121">
            <w:pPr>
              <w:rPr>
                <w:rStyle w:val="FootnoteReference"/>
                <w:b/>
              </w:rPr>
            </w:pPr>
            <w:r>
              <w:t>The Trust has undergone some considerable turmoil due to repeated change and turnove</w:t>
            </w:r>
            <w:r w:rsidR="001E22A2">
              <w:t>r of</w:t>
            </w:r>
            <w:r>
              <w:t xml:space="preserve"> professionals at all </w:t>
            </w:r>
            <w:r w:rsidR="001E22A2">
              <w:t xml:space="preserve">levels of the organisation in recent years, which has left its impact. We found the Trust to be in the </w:t>
            </w:r>
            <w:r w:rsidR="005110D9">
              <w:t xml:space="preserve">process </w:t>
            </w:r>
            <w:r w:rsidR="001E22A2">
              <w:t xml:space="preserve">of a positive turnaround. In regard to the service users who present in the way Mr R did at the time of the index offence, we were struck by the gap between </w:t>
            </w:r>
            <w:r w:rsidR="005110D9">
              <w:t xml:space="preserve">the </w:t>
            </w:r>
            <w:r w:rsidR="001E22A2">
              <w:t>areas of excellence we observed within the organisation and the quality of care delivered on the front line by care co-ordi</w:t>
            </w:r>
            <w:r w:rsidR="0053166D">
              <w:t>nators. We found a common thread</w:t>
            </w:r>
            <w:r w:rsidR="001E22A2">
              <w:t xml:space="preserve"> running through the areas requiring improvement. That thread could be described as integration and is what informs our recommendations. </w:t>
            </w:r>
          </w:p>
        </w:tc>
      </w:tr>
      <w:tr w:rsidR="00425C91" w14:paraId="5E2BCFC8" w14:textId="77777777" w:rsidTr="005D5B61">
        <w:tc>
          <w:tcPr>
            <w:tcW w:w="817" w:type="dxa"/>
          </w:tcPr>
          <w:p w14:paraId="6310C89D" w14:textId="77777777" w:rsidR="00425C91" w:rsidRDefault="00425C91" w:rsidP="00420964"/>
        </w:tc>
        <w:tc>
          <w:tcPr>
            <w:tcW w:w="851" w:type="dxa"/>
          </w:tcPr>
          <w:p w14:paraId="15ED0F05" w14:textId="77777777" w:rsidR="00425C91" w:rsidRDefault="00425C91" w:rsidP="00420964"/>
        </w:tc>
        <w:tc>
          <w:tcPr>
            <w:tcW w:w="6848" w:type="dxa"/>
          </w:tcPr>
          <w:p w14:paraId="42660071" w14:textId="77777777" w:rsidR="00985F7A" w:rsidRDefault="00985F7A" w:rsidP="00420964">
            <w:pPr>
              <w:rPr>
                <w:rStyle w:val="FootnoteReference"/>
              </w:rPr>
            </w:pPr>
          </w:p>
        </w:tc>
      </w:tr>
      <w:tr w:rsidR="001E22A2" w14:paraId="3EB34EBD" w14:textId="77777777" w:rsidTr="005D5B61">
        <w:tc>
          <w:tcPr>
            <w:tcW w:w="817" w:type="dxa"/>
          </w:tcPr>
          <w:p w14:paraId="78089BA9" w14:textId="77777777" w:rsidR="001E22A2" w:rsidRDefault="001E22A2" w:rsidP="00420964"/>
        </w:tc>
        <w:tc>
          <w:tcPr>
            <w:tcW w:w="851" w:type="dxa"/>
          </w:tcPr>
          <w:p w14:paraId="7D489F39" w14:textId="1CECEB97" w:rsidR="001E22A2" w:rsidRPr="001E22A2" w:rsidRDefault="001E22A2" w:rsidP="00420964">
            <w:pPr>
              <w:rPr>
                <w:b/>
                <w:color w:val="4F6228" w:themeColor="accent3" w:themeShade="80"/>
              </w:rPr>
            </w:pPr>
            <w:r w:rsidRPr="001E22A2">
              <w:rPr>
                <w:b/>
                <w:color w:val="4F6228" w:themeColor="accent3" w:themeShade="80"/>
              </w:rPr>
              <w:t>1.7</w:t>
            </w:r>
          </w:p>
        </w:tc>
        <w:tc>
          <w:tcPr>
            <w:tcW w:w="6848" w:type="dxa"/>
          </w:tcPr>
          <w:p w14:paraId="66113F39" w14:textId="4816D486" w:rsidR="001E22A2" w:rsidRPr="001E22A2" w:rsidRDefault="001E22A2" w:rsidP="00420964">
            <w:pPr>
              <w:rPr>
                <w:rStyle w:val="FootnoteReference"/>
                <w:b/>
                <w:color w:val="4F6228" w:themeColor="accent3" w:themeShade="80"/>
              </w:rPr>
            </w:pPr>
            <w:r w:rsidRPr="001E22A2">
              <w:rPr>
                <w:b/>
                <w:color w:val="4F6228" w:themeColor="accent3" w:themeShade="80"/>
              </w:rPr>
              <w:t>RECOMMENDATIONS</w:t>
            </w:r>
          </w:p>
        </w:tc>
      </w:tr>
      <w:tr w:rsidR="001E22A2" w14:paraId="303AEFE1" w14:textId="77777777" w:rsidTr="005D5B61">
        <w:tc>
          <w:tcPr>
            <w:tcW w:w="817" w:type="dxa"/>
          </w:tcPr>
          <w:p w14:paraId="464EAF4A" w14:textId="77777777" w:rsidR="001E22A2" w:rsidRDefault="001E22A2" w:rsidP="00420964"/>
        </w:tc>
        <w:tc>
          <w:tcPr>
            <w:tcW w:w="851" w:type="dxa"/>
          </w:tcPr>
          <w:p w14:paraId="53A78286" w14:textId="77777777" w:rsidR="001E22A2" w:rsidRDefault="001E22A2" w:rsidP="00420964"/>
        </w:tc>
        <w:tc>
          <w:tcPr>
            <w:tcW w:w="6848" w:type="dxa"/>
          </w:tcPr>
          <w:p w14:paraId="5C4723F2" w14:textId="77777777" w:rsidR="001E22A2" w:rsidRDefault="001E22A2" w:rsidP="00420964">
            <w:pPr>
              <w:rPr>
                <w:rStyle w:val="FootnoteReference"/>
              </w:rPr>
            </w:pPr>
          </w:p>
        </w:tc>
      </w:tr>
      <w:tr w:rsidR="001E22A2" w14:paraId="6415B666" w14:textId="77777777" w:rsidTr="005D5B61">
        <w:tc>
          <w:tcPr>
            <w:tcW w:w="817" w:type="dxa"/>
          </w:tcPr>
          <w:p w14:paraId="1C0632D8" w14:textId="77777777" w:rsidR="001E22A2" w:rsidRDefault="001E22A2" w:rsidP="00420964"/>
        </w:tc>
        <w:tc>
          <w:tcPr>
            <w:tcW w:w="851" w:type="dxa"/>
          </w:tcPr>
          <w:p w14:paraId="34D943D0" w14:textId="77777777" w:rsidR="001E22A2" w:rsidRDefault="001E22A2" w:rsidP="00420964"/>
        </w:tc>
        <w:tc>
          <w:tcPr>
            <w:tcW w:w="6848" w:type="dxa"/>
          </w:tcPr>
          <w:p w14:paraId="3F40FA5F" w14:textId="77777777" w:rsidR="001E22A2" w:rsidRDefault="001E22A2" w:rsidP="00420964">
            <w:r>
              <w:t>Develop quality improvement programmes around the following areas:</w:t>
            </w:r>
          </w:p>
          <w:p w14:paraId="4B37DB8A" w14:textId="38F67EB8" w:rsidR="001E22A2" w:rsidRDefault="001E22A2" w:rsidP="001E22A2">
            <w:pPr>
              <w:pStyle w:val="ListParagraph"/>
              <w:numPr>
                <w:ilvl w:val="0"/>
                <w:numId w:val="9"/>
              </w:numPr>
              <w:rPr>
                <w:rStyle w:val="FootnoteReference"/>
                <w:vertAlign w:val="baseline"/>
              </w:rPr>
            </w:pPr>
            <w:r>
              <w:rPr>
                <w:rStyle w:val="FootnoteReference"/>
                <w:vertAlign w:val="baseline"/>
              </w:rPr>
              <w:t>The role of the care co-ordinator</w:t>
            </w:r>
            <w:r w:rsidR="00E66282">
              <w:t>:</w:t>
            </w:r>
            <w:r w:rsidR="005110D9">
              <w:t xml:space="preserve"> </w:t>
            </w:r>
            <w:r w:rsidR="00E66282">
              <w:t>Ensuring</w:t>
            </w:r>
            <w:r w:rsidR="00497D80">
              <w:t xml:space="preserve"> </w:t>
            </w:r>
            <w:r w:rsidR="005110D9">
              <w:t xml:space="preserve">it </w:t>
            </w:r>
            <w:r w:rsidR="00497D80">
              <w:t xml:space="preserve">is </w:t>
            </w:r>
            <w:r w:rsidR="005110D9">
              <w:t xml:space="preserve">more fit for purpose in terms of ability to deliver optimal care </w:t>
            </w:r>
            <w:r w:rsidR="006E79C4">
              <w:t>to a complex population</w:t>
            </w:r>
          </w:p>
          <w:p w14:paraId="3583BB5B" w14:textId="5D5BF504" w:rsidR="001E22A2" w:rsidRDefault="001E22A2" w:rsidP="005110D9">
            <w:pPr>
              <w:pStyle w:val="ListParagraph"/>
              <w:numPr>
                <w:ilvl w:val="0"/>
                <w:numId w:val="9"/>
              </w:numPr>
            </w:pPr>
            <w:r>
              <w:rPr>
                <w:rStyle w:val="FootnoteReference"/>
                <w:vertAlign w:val="baseline"/>
              </w:rPr>
              <w:t>Carer engagement</w:t>
            </w:r>
            <w:r w:rsidR="00E66282">
              <w:t>:</w:t>
            </w:r>
            <w:r w:rsidR="00E66282">
              <w:rPr>
                <w:rStyle w:val="FootnoteReference"/>
                <w:vertAlign w:val="baseline"/>
              </w:rPr>
              <w:t xml:space="preserve"> T</w:t>
            </w:r>
            <w:r>
              <w:rPr>
                <w:rStyle w:val="FootnoteReference"/>
                <w:vertAlign w:val="baseline"/>
              </w:rPr>
              <w:t>o address day – to – day support</w:t>
            </w:r>
            <w:r w:rsidR="005110D9">
              <w:t xml:space="preserve"> </w:t>
            </w:r>
            <w:r w:rsidR="006E79C4">
              <w:t xml:space="preserve">and the provision of </w:t>
            </w:r>
            <w:r w:rsidR="005110D9">
              <w:t xml:space="preserve">information for role </w:t>
            </w:r>
          </w:p>
          <w:p w14:paraId="0E0B5703" w14:textId="6D4EAE51" w:rsidR="005110D9" w:rsidRPr="001E22A2" w:rsidRDefault="00E66282" w:rsidP="005110D9">
            <w:pPr>
              <w:pStyle w:val="ListParagraph"/>
              <w:numPr>
                <w:ilvl w:val="0"/>
                <w:numId w:val="9"/>
              </w:numPr>
              <w:rPr>
                <w:rStyle w:val="FootnoteReference"/>
                <w:vertAlign w:val="baseline"/>
              </w:rPr>
            </w:pPr>
            <w:r>
              <w:t>Interagency working:</w:t>
            </w:r>
            <w:r w:rsidR="005110D9">
              <w:t xml:space="preserve"> producing and implementing a protocol for partnership working to support </w:t>
            </w:r>
            <w:r w:rsidR="006E79C4">
              <w:t xml:space="preserve">the delivery of integrated care to </w:t>
            </w:r>
            <w:r w:rsidR="005110D9">
              <w:t>service users and carers</w:t>
            </w:r>
          </w:p>
        </w:tc>
      </w:tr>
      <w:tr w:rsidR="001E22A2" w14:paraId="17D527C3" w14:textId="77777777" w:rsidTr="005D5B61">
        <w:tc>
          <w:tcPr>
            <w:tcW w:w="817" w:type="dxa"/>
          </w:tcPr>
          <w:p w14:paraId="4DFB5319" w14:textId="38EE1B05" w:rsidR="001E22A2" w:rsidRDefault="001E22A2" w:rsidP="00420964"/>
        </w:tc>
        <w:tc>
          <w:tcPr>
            <w:tcW w:w="851" w:type="dxa"/>
          </w:tcPr>
          <w:p w14:paraId="3DAFB32F" w14:textId="77777777" w:rsidR="001E22A2" w:rsidRDefault="001E22A2" w:rsidP="00420964"/>
        </w:tc>
        <w:tc>
          <w:tcPr>
            <w:tcW w:w="6848" w:type="dxa"/>
          </w:tcPr>
          <w:p w14:paraId="1879E865" w14:textId="77777777" w:rsidR="001E22A2" w:rsidRDefault="001E22A2" w:rsidP="00420964">
            <w:pPr>
              <w:rPr>
                <w:rStyle w:val="FootnoteReference"/>
              </w:rPr>
            </w:pPr>
          </w:p>
        </w:tc>
      </w:tr>
      <w:tr w:rsidR="001E22A2" w14:paraId="13116218" w14:textId="77777777" w:rsidTr="005D5B61">
        <w:tc>
          <w:tcPr>
            <w:tcW w:w="817" w:type="dxa"/>
          </w:tcPr>
          <w:p w14:paraId="07C0EC0A" w14:textId="77777777" w:rsidR="001E22A2" w:rsidRDefault="001E22A2" w:rsidP="00420964"/>
        </w:tc>
        <w:tc>
          <w:tcPr>
            <w:tcW w:w="851" w:type="dxa"/>
          </w:tcPr>
          <w:p w14:paraId="0F2BEAD7" w14:textId="77777777" w:rsidR="001E22A2" w:rsidRDefault="001E22A2" w:rsidP="00420964"/>
        </w:tc>
        <w:tc>
          <w:tcPr>
            <w:tcW w:w="6848" w:type="dxa"/>
          </w:tcPr>
          <w:p w14:paraId="22DCFE38" w14:textId="77777777" w:rsidR="001E22A2" w:rsidRDefault="001E22A2" w:rsidP="00420964">
            <w:pPr>
              <w:rPr>
                <w:rStyle w:val="FootnoteReference"/>
              </w:rPr>
            </w:pPr>
          </w:p>
        </w:tc>
      </w:tr>
    </w:tbl>
    <w:p w14:paraId="693042CC" w14:textId="77777777" w:rsidR="00C9501F" w:rsidRDefault="00C9501F" w:rsidP="00420964"/>
    <w:p w14:paraId="6BB93222" w14:textId="77777777" w:rsidR="00B94A27" w:rsidRDefault="00B94A27" w:rsidP="00420964"/>
    <w:p w14:paraId="3AC530DF" w14:textId="77777777" w:rsidR="00B94A27" w:rsidRDefault="00B94A27" w:rsidP="00420964"/>
    <w:p w14:paraId="39F0B1DB" w14:textId="77777777" w:rsidR="00B94A27" w:rsidRDefault="00B94A27" w:rsidP="00420964"/>
    <w:p w14:paraId="61E3E60A" w14:textId="77777777" w:rsidR="00B94A27" w:rsidRDefault="00B94A27" w:rsidP="00420964"/>
    <w:p w14:paraId="7EFCF268" w14:textId="77777777" w:rsidR="00B94A27" w:rsidRDefault="00B94A27" w:rsidP="00420964"/>
    <w:p w14:paraId="48EC8BBF" w14:textId="77777777" w:rsidR="00B94A27" w:rsidRDefault="00B94A27" w:rsidP="00420964"/>
    <w:p w14:paraId="35BA03EA" w14:textId="77777777" w:rsidR="00B94A27" w:rsidRDefault="00B94A27" w:rsidP="00420964"/>
    <w:p w14:paraId="3C350691" w14:textId="77777777" w:rsidR="00B94A27" w:rsidRDefault="00B94A27" w:rsidP="00420964"/>
    <w:p w14:paraId="5949CB5B" w14:textId="77777777" w:rsidR="00B94A27" w:rsidRDefault="00B94A27" w:rsidP="00420964"/>
    <w:p w14:paraId="7F0B445C" w14:textId="77777777" w:rsidR="00B94A27" w:rsidRDefault="00B94A27" w:rsidP="00420964"/>
    <w:p w14:paraId="6E4A899C" w14:textId="77777777" w:rsidR="00B94A27" w:rsidRDefault="00B94A27" w:rsidP="00420964"/>
    <w:p w14:paraId="3C8E202E" w14:textId="77777777" w:rsidR="00B94A27" w:rsidRDefault="00B94A27" w:rsidP="00420964"/>
    <w:p w14:paraId="33755DF4" w14:textId="77777777" w:rsidR="00B94A27" w:rsidRDefault="00B94A27" w:rsidP="00420964"/>
    <w:p w14:paraId="38A219EE" w14:textId="77777777" w:rsidR="00B94A27" w:rsidRDefault="00B94A27" w:rsidP="00420964"/>
    <w:p w14:paraId="3DC99375" w14:textId="77777777" w:rsidR="00B94A27" w:rsidRDefault="00B94A27" w:rsidP="00420964"/>
    <w:p w14:paraId="792ABABB" w14:textId="77777777" w:rsidR="00B94A27" w:rsidRDefault="00B94A27" w:rsidP="00420964"/>
    <w:p w14:paraId="774A7FDB" w14:textId="77777777" w:rsidR="00B94A27" w:rsidRDefault="00B94A27" w:rsidP="00420964"/>
    <w:p w14:paraId="0017F25E" w14:textId="77777777" w:rsidR="00B94A27" w:rsidRDefault="00B94A27" w:rsidP="00420964"/>
    <w:p w14:paraId="31B9B2BA" w14:textId="77777777" w:rsidR="00B94A27" w:rsidRDefault="00B94A27" w:rsidP="00420964"/>
    <w:p w14:paraId="3C0A545A" w14:textId="77777777" w:rsidR="00B94A27" w:rsidRDefault="00B94A27" w:rsidP="00420964"/>
    <w:p w14:paraId="7352CC72" w14:textId="77777777" w:rsidR="00B94A27" w:rsidRDefault="00B94A27" w:rsidP="00420964"/>
    <w:p w14:paraId="4A7A23C1" w14:textId="77777777" w:rsidR="00B94A27" w:rsidRDefault="00B94A27" w:rsidP="00420964"/>
    <w:p w14:paraId="4ABA8425" w14:textId="77777777" w:rsidR="00B94A27" w:rsidRDefault="00B94A27" w:rsidP="00420964"/>
    <w:p w14:paraId="706C61E5" w14:textId="77777777" w:rsidR="00B94A27" w:rsidRDefault="00B94A27" w:rsidP="00420964"/>
    <w:p w14:paraId="08F481F6" w14:textId="77777777" w:rsidR="00B94A27" w:rsidRDefault="00B94A27" w:rsidP="00420964"/>
    <w:p w14:paraId="272A5FE8" w14:textId="77777777" w:rsidR="00B94A27" w:rsidRDefault="00B94A27" w:rsidP="00420964"/>
    <w:p w14:paraId="1FAE2133" w14:textId="77777777" w:rsidR="00B94A27" w:rsidRDefault="00B94A27" w:rsidP="00420964"/>
    <w:p w14:paraId="763C53CD" w14:textId="77777777" w:rsidR="00B94A27" w:rsidRDefault="00B94A27" w:rsidP="00420964"/>
    <w:p w14:paraId="7E8249D1" w14:textId="77777777" w:rsidR="00E66282" w:rsidRDefault="00E66282" w:rsidP="00420964"/>
    <w:p w14:paraId="06B6B697" w14:textId="77777777" w:rsidR="00A247DC" w:rsidRDefault="00A247DC" w:rsidP="00420964"/>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17"/>
        <w:gridCol w:w="851"/>
        <w:gridCol w:w="850"/>
        <w:gridCol w:w="5998"/>
      </w:tblGrid>
      <w:tr w:rsidR="00C9501F" w14:paraId="64F11703" w14:textId="77777777" w:rsidTr="00B94A27">
        <w:tc>
          <w:tcPr>
            <w:tcW w:w="817" w:type="dxa"/>
            <w:tcBorders>
              <w:top w:val="nil"/>
              <w:left w:val="nil"/>
              <w:bottom w:val="nil"/>
              <w:right w:val="nil"/>
            </w:tcBorders>
          </w:tcPr>
          <w:p w14:paraId="7B7F7C6C" w14:textId="77777777" w:rsidR="00C9501F" w:rsidRPr="00C9501F" w:rsidRDefault="00C9501F" w:rsidP="00823208">
            <w:pPr>
              <w:rPr>
                <w:b/>
                <w:color w:val="4F6228" w:themeColor="accent3" w:themeShade="80"/>
                <w:sz w:val="28"/>
                <w:szCs w:val="28"/>
              </w:rPr>
            </w:pPr>
            <w:r w:rsidRPr="00C9501F">
              <w:rPr>
                <w:b/>
                <w:color w:val="4F6228" w:themeColor="accent3" w:themeShade="80"/>
                <w:sz w:val="28"/>
                <w:szCs w:val="28"/>
              </w:rPr>
              <w:t>2.</w:t>
            </w:r>
          </w:p>
        </w:tc>
        <w:tc>
          <w:tcPr>
            <w:tcW w:w="7699" w:type="dxa"/>
            <w:gridSpan w:val="3"/>
            <w:tcBorders>
              <w:top w:val="nil"/>
              <w:left w:val="nil"/>
              <w:bottom w:val="nil"/>
              <w:right w:val="nil"/>
            </w:tcBorders>
          </w:tcPr>
          <w:p w14:paraId="64D54626" w14:textId="032CDBE2" w:rsidR="00C9501F" w:rsidRPr="00C9501F" w:rsidRDefault="00C9501F" w:rsidP="00823208">
            <w:pPr>
              <w:rPr>
                <w:b/>
                <w:color w:val="4F6228" w:themeColor="accent3" w:themeShade="80"/>
              </w:rPr>
            </w:pPr>
            <w:r w:rsidRPr="00C9501F">
              <w:rPr>
                <w:b/>
                <w:color w:val="4F6228" w:themeColor="accent3" w:themeShade="80"/>
              </w:rPr>
              <w:t>REPORT OF THE INDEPENDENT REVIEW</w:t>
            </w:r>
          </w:p>
        </w:tc>
      </w:tr>
      <w:tr w:rsidR="00C9501F" w14:paraId="22EB4A0E" w14:textId="77777777" w:rsidTr="00B94A27">
        <w:tc>
          <w:tcPr>
            <w:tcW w:w="817" w:type="dxa"/>
            <w:tcBorders>
              <w:top w:val="nil"/>
              <w:left w:val="nil"/>
              <w:bottom w:val="nil"/>
              <w:right w:val="nil"/>
            </w:tcBorders>
          </w:tcPr>
          <w:p w14:paraId="100CCDEC" w14:textId="77777777" w:rsidR="00C9501F" w:rsidRDefault="00C9501F" w:rsidP="00823208"/>
        </w:tc>
        <w:tc>
          <w:tcPr>
            <w:tcW w:w="851" w:type="dxa"/>
            <w:tcBorders>
              <w:top w:val="nil"/>
              <w:left w:val="nil"/>
              <w:bottom w:val="nil"/>
              <w:right w:val="nil"/>
            </w:tcBorders>
          </w:tcPr>
          <w:p w14:paraId="56448590" w14:textId="77777777" w:rsidR="00C9501F" w:rsidRDefault="00C9501F" w:rsidP="00823208"/>
        </w:tc>
        <w:tc>
          <w:tcPr>
            <w:tcW w:w="6848" w:type="dxa"/>
            <w:gridSpan w:val="2"/>
            <w:tcBorders>
              <w:top w:val="nil"/>
              <w:left w:val="nil"/>
              <w:bottom w:val="nil"/>
              <w:right w:val="nil"/>
            </w:tcBorders>
          </w:tcPr>
          <w:p w14:paraId="1DC4D34F" w14:textId="77777777" w:rsidR="00C9501F" w:rsidRDefault="00C9501F" w:rsidP="00823208"/>
        </w:tc>
      </w:tr>
      <w:tr w:rsidR="00C9501F" w14:paraId="4FD7DDF1" w14:textId="77777777" w:rsidTr="00B94A27">
        <w:tc>
          <w:tcPr>
            <w:tcW w:w="817" w:type="dxa"/>
            <w:tcBorders>
              <w:top w:val="nil"/>
              <w:left w:val="nil"/>
              <w:bottom w:val="nil"/>
              <w:right w:val="nil"/>
            </w:tcBorders>
          </w:tcPr>
          <w:p w14:paraId="3784B216" w14:textId="77777777" w:rsidR="00C9501F" w:rsidRDefault="00C9501F" w:rsidP="00823208"/>
        </w:tc>
        <w:tc>
          <w:tcPr>
            <w:tcW w:w="851" w:type="dxa"/>
            <w:tcBorders>
              <w:top w:val="nil"/>
              <w:left w:val="nil"/>
              <w:bottom w:val="nil"/>
              <w:right w:val="nil"/>
            </w:tcBorders>
          </w:tcPr>
          <w:p w14:paraId="78B0B5E7" w14:textId="77777777" w:rsidR="00C9501F" w:rsidRPr="005D1DFF" w:rsidRDefault="00C9501F" w:rsidP="00823208">
            <w:pPr>
              <w:rPr>
                <w:b/>
                <w:color w:val="4F6228" w:themeColor="accent3" w:themeShade="80"/>
              </w:rPr>
            </w:pPr>
            <w:r w:rsidRPr="005D1DFF">
              <w:rPr>
                <w:b/>
                <w:color w:val="4F6228" w:themeColor="accent3" w:themeShade="80"/>
              </w:rPr>
              <w:t>2.1</w:t>
            </w:r>
          </w:p>
        </w:tc>
        <w:tc>
          <w:tcPr>
            <w:tcW w:w="6848" w:type="dxa"/>
            <w:gridSpan w:val="2"/>
            <w:tcBorders>
              <w:top w:val="nil"/>
              <w:left w:val="nil"/>
              <w:bottom w:val="nil"/>
              <w:right w:val="nil"/>
            </w:tcBorders>
          </w:tcPr>
          <w:p w14:paraId="2E3F5CCD" w14:textId="77777777" w:rsidR="00C9501F" w:rsidRPr="005D1DFF" w:rsidRDefault="005D1DFF" w:rsidP="00823208">
            <w:pPr>
              <w:rPr>
                <w:b/>
                <w:color w:val="4F6228" w:themeColor="accent3" w:themeShade="80"/>
              </w:rPr>
            </w:pPr>
            <w:r w:rsidRPr="005D1DFF">
              <w:rPr>
                <w:b/>
                <w:color w:val="4F6228" w:themeColor="accent3" w:themeShade="80"/>
              </w:rPr>
              <w:t>INTRODUCTION</w:t>
            </w:r>
          </w:p>
        </w:tc>
      </w:tr>
      <w:tr w:rsidR="00C9501F" w14:paraId="7991AE9A" w14:textId="77777777" w:rsidTr="00B94A27">
        <w:tc>
          <w:tcPr>
            <w:tcW w:w="817" w:type="dxa"/>
            <w:tcBorders>
              <w:top w:val="nil"/>
              <w:left w:val="nil"/>
              <w:bottom w:val="nil"/>
              <w:right w:val="nil"/>
            </w:tcBorders>
          </w:tcPr>
          <w:p w14:paraId="276A4C9B" w14:textId="77777777" w:rsidR="00C9501F" w:rsidRDefault="00C9501F" w:rsidP="00823208"/>
        </w:tc>
        <w:tc>
          <w:tcPr>
            <w:tcW w:w="851" w:type="dxa"/>
            <w:tcBorders>
              <w:top w:val="nil"/>
              <w:left w:val="nil"/>
              <w:bottom w:val="nil"/>
              <w:right w:val="nil"/>
            </w:tcBorders>
          </w:tcPr>
          <w:p w14:paraId="340998EC" w14:textId="77777777" w:rsidR="00C9501F" w:rsidRDefault="00C9501F" w:rsidP="00823208"/>
        </w:tc>
        <w:tc>
          <w:tcPr>
            <w:tcW w:w="6848" w:type="dxa"/>
            <w:gridSpan w:val="2"/>
            <w:tcBorders>
              <w:top w:val="nil"/>
              <w:left w:val="nil"/>
              <w:bottom w:val="nil"/>
              <w:right w:val="nil"/>
            </w:tcBorders>
          </w:tcPr>
          <w:p w14:paraId="6F3C5B91" w14:textId="77777777" w:rsidR="00C9501F" w:rsidRDefault="00C9501F" w:rsidP="00823208"/>
        </w:tc>
      </w:tr>
      <w:tr w:rsidR="00C9501F" w14:paraId="5214262B" w14:textId="77777777" w:rsidTr="00B94A27">
        <w:tc>
          <w:tcPr>
            <w:tcW w:w="817" w:type="dxa"/>
            <w:tcBorders>
              <w:top w:val="nil"/>
              <w:left w:val="nil"/>
              <w:bottom w:val="nil"/>
              <w:right w:val="nil"/>
            </w:tcBorders>
          </w:tcPr>
          <w:p w14:paraId="64E43D8F" w14:textId="77777777" w:rsidR="00C9501F" w:rsidRDefault="00C9501F" w:rsidP="00823208"/>
        </w:tc>
        <w:tc>
          <w:tcPr>
            <w:tcW w:w="851" w:type="dxa"/>
            <w:tcBorders>
              <w:top w:val="nil"/>
              <w:left w:val="nil"/>
              <w:bottom w:val="nil"/>
              <w:right w:val="nil"/>
            </w:tcBorders>
          </w:tcPr>
          <w:p w14:paraId="231A7B48" w14:textId="77777777" w:rsidR="00C9501F" w:rsidRDefault="00C9501F" w:rsidP="00823208"/>
        </w:tc>
        <w:tc>
          <w:tcPr>
            <w:tcW w:w="6848" w:type="dxa"/>
            <w:gridSpan w:val="2"/>
            <w:tcBorders>
              <w:top w:val="nil"/>
              <w:left w:val="nil"/>
              <w:bottom w:val="nil"/>
              <w:right w:val="nil"/>
            </w:tcBorders>
          </w:tcPr>
          <w:p w14:paraId="49F834F3" w14:textId="11553220" w:rsidR="00C9501F" w:rsidRDefault="005D1DFF" w:rsidP="00BB0CB7">
            <w:r>
              <w:t>This is the report of a</w:t>
            </w:r>
            <w:r w:rsidR="00BB0CB7">
              <w:t>n independent</w:t>
            </w:r>
            <w:r>
              <w:t xml:space="preserve"> review commissioned by NHS England – London under HSG (94) 27 </w:t>
            </w:r>
            <w:r w:rsidR="00517E7C">
              <w:t>concerning the case of a domestic homicide committed by Mr R in 2012</w:t>
            </w:r>
            <w:r w:rsidR="00847FFB">
              <w:t xml:space="preserve"> while he was receiving care </w:t>
            </w:r>
            <w:r w:rsidR="00887A59">
              <w:t xml:space="preserve">provided by the </w:t>
            </w:r>
            <w:r w:rsidR="00BB0CB7">
              <w:t xml:space="preserve">Central </w:t>
            </w:r>
            <w:r w:rsidR="00887A59">
              <w:t xml:space="preserve">Wandsworth and </w:t>
            </w:r>
            <w:r w:rsidR="00BB0CB7">
              <w:t xml:space="preserve">West </w:t>
            </w:r>
            <w:r w:rsidR="00887A59">
              <w:t>Battersea Community Mental Health Team (CMHT)</w:t>
            </w:r>
            <w:r w:rsidR="00BB0CB7">
              <w:t xml:space="preserve"> </w:t>
            </w:r>
            <w:r w:rsidR="00847FFB">
              <w:t xml:space="preserve">at South West London and St </w:t>
            </w:r>
            <w:r w:rsidR="009F71CC">
              <w:t>George’s</w:t>
            </w:r>
            <w:r w:rsidR="00847FFB">
              <w:t xml:space="preserve"> Mental Health NHS Trust (SWLStG)</w:t>
            </w:r>
            <w:r w:rsidR="00517E7C">
              <w:t xml:space="preserve">. </w:t>
            </w:r>
          </w:p>
        </w:tc>
      </w:tr>
      <w:tr w:rsidR="00C9501F" w14:paraId="755741BE" w14:textId="77777777" w:rsidTr="00B94A27">
        <w:tc>
          <w:tcPr>
            <w:tcW w:w="817" w:type="dxa"/>
            <w:tcBorders>
              <w:top w:val="nil"/>
              <w:left w:val="nil"/>
              <w:bottom w:val="nil"/>
              <w:right w:val="nil"/>
            </w:tcBorders>
          </w:tcPr>
          <w:p w14:paraId="6A091BEE" w14:textId="77777777" w:rsidR="00C9501F" w:rsidRDefault="00C9501F" w:rsidP="00823208"/>
        </w:tc>
        <w:tc>
          <w:tcPr>
            <w:tcW w:w="851" w:type="dxa"/>
            <w:tcBorders>
              <w:top w:val="nil"/>
              <w:left w:val="nil"/>
              <w:bottom w:val="nil"/>
              <w:right w:val="nil"/>
            </w:tcBorders>
          </w:tcPr>
          <w:p w14:paraId="7A817145" w14:textId="77777777" w:rsidR="00C9501F" w:rsidRDefault="00C9501F" w:rsidP="00823208"/>
        </w:tc>
        <w:tc>
          <w:tcPr>
            <w:tcW w:w="6848" w:type="dxa"/>
            <w:gridSpan w:val="2"/>
            <w:tcBorders>
              <w:top w:val="nil"/>
              <w:left w:val="nil"/>
              <w:bottom w:val="nil"/>
              <w:right w:val="nil"/>
            </w:tcBorders>
          </w:tcPr>
          <w:p w14:paraId="52E34EEA" w14:textId="77777777" w:rsidR="00C9501F" w:rsidRDefault="00C9501F" w:rsidP="00823208"/>
        </w:tc>
      </w:tr>
      <w:tr w:rsidR="00C9501F" w14:paraId="135E7B12" w14:textId="77777777" w:rsidTr="00B94A27">
        <w:tc>
          <w:tcPr>
            <w:tcW w:w="817" w:type="dxa"/>
            <w:tcBorders>
              <w:top w:val="nil"/>
              <w:left w:val="nil"/>
              <w:bottom w:val="nil"/>
              <w:right w:val="nil"/>
            </w:tcBorders>
          </w:tcPr>
          <w:p w14:paraId="2F8214F4" w14:textId="77777777" w:rsidR="00C9501F" w:rsidRDefault="00C9501F" w:rsidP="00823208"/>
        </w:tc>
        <w:tc>
          <w:tcPr>
            <w:tcW w:w="851" w:type="dxa"/>
            <w:tcBorders>
              <w:top w:val="nil"/>
              <w:left w:val="nil"/>
              <w:bottom w:val="nil"/>
              <w:right w:val="nil"/>
            </w:tcBorders>
          </w:tcPr>
          <w:p w14:paraId="2C6AA318" w14:textId="77777777" w:rsidR="00C9501F" w:rsidRDefault="00C9501F" w:rsidP="00823208"/>
        </w:tc>
        <w:tc>
          <w:tcPr>
            <w:tcW w:w="6848" w:type="dxa"/>
            <w:gridSpan w:val="2"/>
            <w:tcBorders>
              <w:top w:val="nil"/>
              <w:left w:val="nil"/>
              <w:bottom w:val="nil"/>
              <w:right w:val="nil"/>
            </w:tcBorders>
          </w:tcPr>
          <w:p w14:paraId="11FF8A04" w14:textId="19FC964E" w:rsidR="00C9501F" w:rsidRPr="00371D3D" w:rsidRDefault="00847FFB" w:rsidP="00A247DC">
            <w:pPr>
              <w:rPr>
                <w:color w:val="000000" w:themeColor="text1"/>
              </w:rPr>
            </w:pPr>
            <w:r w:rsidRPr="00371D3D">
              <w:rPr>
                <w:color w:val="000000" w:themeColor="text1"/>
              </w:rPr>
              <w:t>The review has taken account of the entirety o</w:t>
            </w:r>
            <w:r w:rsidR="00BB0CB7" w:rsidRPr="00371D3D">
              <w:rPr>
                <w:color w:val="000000" w:themeColor="text1"/>
              </w:rPr>
              <w:t>f care provided to Mr R by SWLSt</w:t>
            </w:r>
            <w:r w:rsidRPr="00371D3D">
              <w:rPr>
                <w:color w:val="000000" w:themeColor="text1"/>
              </w:rPr>
              <w:t>G. That is, since his first contact with the Trust in 1989, through to the care he is currently rece</w:t>
            </w:r>
            <w:r w:rsidR="00BB0CB7" w:rsidRPr="00371D3D">
              <w:rPr>
                <w:color w:val="000000" w:themeColor="text1"/>
              </w:rPr>
              <w:t xml:space="preserve">iving </w:t>
            </w:r>
            <w:r w:rsidR="00497D80" w:rsidRPr="00371D3D">
              <w:rPr>
                <w:color w:val="000000" w:themeColor="text1"/>
              </w:rPr>
              <w:t xml:space="preserve">at </w:t>
            </w:r>
            <w:r w:rsidR="00A247DC" w:rsidRPr="00371D3D">
              <w:rPr>
                <w:color w:val="000000" w:themeColor="text1"/>
              </w:rPr>
              <w:t xml:space="preserve">a </w:t>
            </w:r>
            <w:r w:rsidR="00BB0CB7" w:rsidRPr="00371D3D">
              <w:rPr>
                <w:color w:val="000000" w:themeColor="text1"/>
              </w:rPr>
              <w:t>medium secure u</w:t>
            </w:r>
            <w:r w:rsidRPr="00371D3D">
              <w:rPr>
                <w:color w:val="000000" w:themeColor="text1"/>
              </w:rPr>
              <w:t>nit</w:t>
            </w:r>
            <w:r w:rsidR="00A247DC" w:rsidRPr="00371D3D">
              <w:rPr>
                <w:color w:val="000000" w:themeColor="text1"/>
              </w:rPr>
              <w:t xml:space="preserve"> (MSU)</w:t>
            </w:r>
            <w:r w:rsidRPr="00371D3D">
              <w:rPr>
                <w:color w:val="000000" w:themeColor="text1"/>
              </w:rPr>
              <w:t xml:space="preserve">. </w:t>
            </w:r>
          </w:p>
        </w:tc>
      </w:tr>
      <w:tr w:rsidR="00C9501F" w14:paraId="4596EAEE" w14:textId="77777777" w:rsidTr="00B94A27">
        <w:tc>
          <w:tcPr>
            <w:tcW w:w="817" w:type="dxa"/>
            <w:tcBorders>
              <w:top w:val="nil"/>
              <w:left w:val="nil"/>
              <w:bottom w:val="nil"/>
              <w:right w:val="nil"/>
            </w:tcBorders>
          </w:tcPr>
          <w:p w14:paraId="2AA41D2F" w14:textId="77777777" w:rsidR="00C9501F" w:rsidRDefault="00C9501F" w:rsidP="00823208"/>
        </w:tc>
        <w:tc>
          <w:tcPr>
            <w:tcW w:w="851" w:type="dxa"/>
            <w:tcBorders>
              <w:top w:val="nil"/>
              <w:left w:val="nil"/>
              <w:bottom w:val="nil"/>
              <w:right w:val="nil"/>
            </w:tcBorders>
          </w:tcPr>
          <w:p w14:paraId="75005E07" w14:textId="77777777" w:rsidR="00C9501F" w:rsidRDefault="00C9501F" w:rsidP="00823208"/>
        </w:tc>
        <w:tc>
          <w:tcPr>
            <w:tcW w:w="6848" w:type="dxa"/>
            <w:gridSpan w:val="2"/>
            <w:tcBorders>
              <w:top w:val="nil"/>
              <w:left w:val="nil"/>
              <w:bottom w:val="nil"/>
              <w:right w:val="nil"/>
            </w:tcBorders>
          </w:tcPr>
          <w:p w14:paraId="2A241719" w14:textId="77777777" w:rsidR="00C9501F" w:rsidRDefault="00C9501F" w:rsidP="00823208"/>
        </w:tc>
      </w:tr>
      <w:tr w:rsidR="00C9501F" w14:paraId="24D07218" w14:textId="77777777" w:rsidTr="00B94A27">
        <w:tc>
          <w:tcPr>
            <w:tcW w:w="817" w:type="dxa"/>
            <w:tcBorders>
              <w:top w:val="nil"/>
              <w:left w:val="nil"/>
              <w:bottom w:val="nil"/>
              <w:right w:val="nil"/>
            </w:tcBorders>
          </w:tcPr>
          <w:p w14:paraId="49BF85ED" w14:textId="77777777" w:rsidR="00C9501F" w:rsidRDefault="00C9501F" w:rsidP="00823208"/>
        </w:tc>
        <w:tc>
          <w:tcPr>
            <w:tcW w:w="851" w:type="dxa"/>
            <w:tcBorders>
              <w:top w:val="nil"/>
              <w:left w:val="nil"/>
              <w:bottom w:val="nil"/>
              <w:right w:val="nil"/>
            </w:tcBorders>
          </w:tcPr>
          <w:p w14:paraId="5381AA4A" w14:textId="77777777" w:rsidR="00C9501F" w:rsidRDefault="00C9501F" w:rsidP="00823208"/>
        </w:tc>
        <w:tc>
          <w:tcPr>
            <w:tcW w:w="6848" w:type="dxa"/>
            <w:gridSpan w:val="2"/>
            <w:tcBorders>
              <w:top w:val="nil"/>
              <w:left w:val="nil"/>
              <w:bottom w:val="nil"/>
              <w:right w:val="nil"/>
            </w:tcBorders>
          </w:tcPr>
          <w:p w14:paraId="306EC6E1" w14:textId="2CA7E2BD" w:rsidR="00C9501F" w:rsidRDefault="00BB0CB7" w:rsidP="00BB0CB7">
            <w:r>
              <w:t>The review</w:t>
            </w:r>
            <w:r w:rsidR="00847FFB">
              <w:t xml:space="preserve"> considers the domestic homicide, which resulted in the death of Mrs R who was the mother of Mr R.  As a result of this </w:t>
            </w:r>
            <w:r w:rsidR="00B05D45">
              <w:t>offence, Mr R was convicted of m</w:t>
            </w:r>
            <w:r w:rsidR="00847FFB">
              <w:t xml:space="preserve">anslaughter on the grounds of diminished responsibility and detained in </w:t>
            </w:r>
            <w:r>
              <w:t xml:space="preserve">medium </w:t>
            </w:r>
            <w:r w:rsidR="00847FFB">
              <w:t xml:space="preserve">secure care under section </w:t>
            </w:r>
            <w:r w:rsidR="00B05D45">
              <w:t>37/41 of the Mental Health Act</w:t>
            </w:r>
            <w:r w:rsidR="00FD378C">
              <w:t xml:space="preserve"> (MHA)</w:t>
            </w:r>
            <w:r>
              <w:t>.</w:t>
            </w:r>
            <w:r w:rsidR="00B05D45">
              <w:t xml:space="preserve"> </w:t>
            </w:r>
            <w:r>
              <w:t xml:space="preserve">He </w:t>
            </w:r>
            <w:r w:rsidR="00847FFB">
              <w:t>remains</w:t>
            </w:r>
            <w:r>
              <w:t xml:space="preserve"> in medium secure care at the Trust</w:t>
            </w:r>
            <w:r w:rsidR="00847FFB">
              <w:t xml:space="preserve">. </w:t>
            </w:r>
          </w:p>
        </w:tc>
      </w:tr>
      <w:tr w:rsidR="00C9501F" w14:paraId="054C73FB" w14:textId="77777777" w:rsidTr="00B94A27">
        <w:tc>
          <w:tcPr>
            <w:tcW w:w="817" w:type="dxa"/>
            <w:tcBorders>
              <w:top w:val="nil"/>
              <w:left w:val="nil"/>
              <w:bottom w:val="nil"/>
              <w:right w:val="nil"/>
            </w:tcBorders>
          </w:tcPr>
          <w:p w14:paraId="6BB5B9B7" w14:textId="77777777" w:rsidR="00C9501F" w:rsidRDefault="00C9501F" w:rsidP="00823208"/>
        </w:tc>
        <w:tc>
          <w:tcPr>
            <w:tcW w:w="851" w:type="dxa"/>
            <w:tcBorders>
              <w:top w:val="nil"/>
              <w:left w:val="nil"/>
              <w:bottom w:val="nil"/>
              <w:right w:val="nil"/>
            </w:tcBorders>
          </w:tcPr>
          <w:p w14:paraId="35A287C2" w14:textId="77777777" w:rsidR="00C9501F" w:rsidRDefault="00C9501F" w:rsidP="00823208"/>
        </w:tc>
        <w:tc>
          <w:tcPr>
            <w:tcW w:w="6848" w:type="dxa"/>
            <w:gridSpan w:val="2"/>
            <w:tcBorders>
              <w:top w:val="nil"/>
              <w:left w:val="nil"/>
              <w:bottom w:val="nil"/>
              <w:right w:val="nil"/>
            </w:tcBorders>
          </w:tcPr>
          <w:p w14:paraId="373EF512" w14:textId="77777777" w:rsidR="00C9501F" w:rsidRDefault="00C9501F" w:rsidP="00823208"/>
        </w:tc>
      </w:tr>
      <w:tr w:rsidR="00C9501F" w14:paraId="6E588FCC" w14:textId="77777777" w:rsidTr="00B94A27">
        <w:tc>
          <w:tcPr>
            <w:tcW w:w="817" w:type="dxa"/>
            <w:tcBorders>
              <w:top w:val="nil"/>
              <w:left w:val="nil"/>
              <w:bottom w:val="nil"/>
              <w:right w:val="nil"/>
            </w:tcBorders>
          </w:tcPr>
          <w:p w14:paraId="610A1FC0" w14:textId="77777777" w:rsidR="00C9501F" w:rsidRDefault="00C9501F" w:rsidP="00823208"/>
        </w:tc>
        <w:tc>
          <w:tcPr>
            <w:tcW w:w="851" w:type="dxa"/>
            <w:tcBorders>
              <w:top w:val="nil"/>
              <w:left w:val="nil"/>
              <w:bottom w:val="nil"/>
              <w:right w:val="nil"/>
            </w:tcBorders>
          </w:tcPr>
          <w:p w14:paraId="5C70F219" w14:textId="77777777" w:rsidR="00C9501F" w:rsidRDefault="00C9501F" w:rsidP="00823208"/>
        </w:tc>
        <w:tc>
          <w:tcPr>
            <w:tcW w:w="6848" w:type="dxa"/>
            <w:gridSpan w:val="2"/>
            <w:tcBorders>
              <w:top w:val="nil"/>
              <w:left w:val="nil"/>
              <w:bottom w:val="nil"/>
              <w:right w:val="nil"/>
            </w:tcBorders>
          </w:tcPr>
          <w:p w14:paraId="740491C1" w14:textId="4F7726FD" w:rsidR="00C9501F" w:rsidRPr="003535D6" w:rsidRDefault="00847FFB" w:rsidP="00BB0CB7">
            <w:pPr>
              <w:rPr>
                <w:i/>
              </w:rPr>
            </w:pPr>
            <w:r w:rsidRPr="003535D6">
              <w:t xml:space="preserve">In keeping with the terms of reference for this review, the circumstances </w:t>
            </w:r>
            <w:r w:rsidR="00C32E00" w:rsidRPr="003535D6">
              <w:t xml:space="preserve">surrounding </w:t>
            </w:r>
            <w:r w:rsidRPr="003535D6">
              <w:t xml:space="preserve">the index offence were </w:t>
            </w:r>
            <w:r w:rsidR="00BB0CB7" w:rsidRPr="003535D6">
              <w:t xml:space="preserve">considered </w:t>
            </w:r>
            <w:r w:rsidRPr="003535D6">
              <w:t>in order to gain an understanding of Mr R’s mental health at the time of the i</w:t>
            </w:r>
            <w:r w:rsidR="00C32E00" w:rsidRPr="003535D6">
              <w:t>ncident in relation to the Trust</w:t>
            </w:r>
            <w:r w:rsidR="00C24E9F" w:rsidRPr="003535D6">
              <w:t>’s</w:t>
            </w:r>
            <w:r w:rsidR="00C32E00" w:rsidRPr="003535D6">
              <w:t xml:space="preserve"> internal report which concludes that there were no concerns about Mr R’s mental health and the </w:t>
            </w:r>
            <w:r w:rsidR="00BB0CB7" w:rsidRPr="003535D6">
              <w:t xml:space="preserve">report of the Domestic Homicide Review </w:t>
            </w:r>
            <w:r w:rsidR="00C32E00" w:rsidRPr="003535D6">
              <w:t xml:space="preserve">which highlights an extract from the court papers stating that Mr R was </w:t>
            </w:r>
            <w:r w:rsidR="00C32E00" w:rsidRPr="003535D6">
              <w:rPr>
                <w:i/>
              </w:rPr>
              <w:t>“at the time extremely ill.”</w:t>
            </w:r>
          </w:p>
        </w:tc>
      </w:tr>
      <w:tr w:rsidR="00C9501F" w14:paraId="6B74A2DA" w14:textId="77777777" w:rsidTr="00B94A27">
        <w:tc>
          <w:tcPr>
            <w:tcW w:w="817" w:type="dxa"/>
            <w:tcBorders>
              <w:top w:val="nil"/>
              <w:left w:val="nil"/>
              <w:bottom w:val="nil"/>
              <w:right w:val="nil"/>
            </w:tcBorders>
          </w:tcPr>
          <w:p w14:paraId="56917A85" w14:textId="77777777" w:rsidR="00C9501F" w:rsidRDefault="00C9501F" w:rsidP="00823208"/>
        </w:tc>
        <w:tc>
          <w:tcPr>
            <w:tcW w:w="851" w:type="dxa"/>
            <w:tcBorders>
              <w:top w:val="nil"/>
              <w:left w:val="nil"/>
              <w:bottom w:val="nil"/>
              <w:right w:val="nil"/>
            </w:tcBorders>
          </w:tcPr>
          <w:p w14:paraId="2616326F" w14:textId="77777777" w:rsidR="00C9501F" w:rsidRDefault="00C9501F" w:rsidP="00823208"/>
        </w:tc>
        <w:tc>
          <w:tcPr>
            <w:tcW w:w="6848" w:type="dxa"/>
            <w:gridSpan w:val="2"/>
            <w:tcBorders>
              <w:top w:val="nil"/>
              <w:left w:val="nil"/>
              <w:bottom w:val="nil"/>
              <w:right w:val="nil"/>
            </w:tcBorders>
          </w:tcPr>
          <w:p w14:paraId="3C99984D" w14:textId="77777777" w:rsidR="00C9501F" w:rsidRDefault="00C9501F" w:rsidP="00823208"/>
        </w:tc>
      </w:tr>
      <w:tr w:rsidR="00C9501F" w14:paraId="51854F64" w14:textId="77777777" w:rsidTr="00B94A27">
        <w:tc>
          <w:tcPr>
            <w:tcW w:w="817" w:type="dxa"/>
            <w:tcBorders>
              <w:top w:val="nil"/>
              <w:left w:val="nil"/>
              <w:bottom w:val="nil"/>
              <w:right w:val="nil"/>
            </w:tcBorders>
          </w:tcPr>
          <w:p w14:paraId="74988013" w14:textId="77777777" w:rsidR="00C9501F" w:rsidRDefault="00C9501F" w:rsidP="00823208"/>
        </w:tc>
        <w:tc>
          <w:tcPr>
            <w:tcW w:w="851" w:type="dxa"/>
            <w:tcBorders>
              <w:top w:val="nil"/>
              <w:left w:val="nil"/>
              <w:bottom w:val="nil"/>
              <w:right w:val="nil"/>
            </w:tcBorders>
          </w:tcPr>
          <w:p w14:paraId="197654E9" w14:textId="77777777" w:rsidR="00C9501F" w:rsidRDefault="00C9501F" w:rsidP="00823208"/>
        </w:tc>
        <w:tc>
          <w:tcPr>
            <w:tcW w:w="6848" w:type="dxa"/>
            <w:gridSpan w:val="2"/>
            <w:tcBorders>
              <w:top w:val="nil"/>
              <w:left w:val="nil"/>
              <w:bottom w:val="nil"/>
              <w:right w:val="nil"/>
            </w:tcBorders>
          </w:tcPr>
          <w:p w14:paraId="3AC58013" w14:textId="221097EA" w:rsidR="000602D8" w:rsidRDefault="007E7886" w:rsidP="00823208">
            <w:r>
              <w:t>The main focus</w:t>
            </w:r>
            <w:r w:rsidR="00C32E00" w:rsidRPr="00BB0CB7">
              <w:t xml:space="preserve"> </w:t>
            </w:r>
            <w:r w:rsidR="00B05D45" w:rsidRPr="00BB0CB7">
              <w:t>for this</w:t>
            </w:r>
            <w:r w:rsidR="00C32E00" w:rsidRPr="00BB0CB7">
              <w:t xml:space="preserve"> review </w:t>
            </w:r>
            <w:r>
              <w:t xml:space="preserve">was </w:t>
            </w:r>
            <w:r w:rsidR="00C32E00" w:rsidRPr="00BB0CB7">
              <w:t xml:space="preserve">to establish </w:t>
            </w:r>
            <w:r>
              <w:t xml:space="preserve">assurance about </w:t>
            </w:r>
            <w:r w:rsidR="00C32E00" w:rsidRPr="00BB0CB7">
              <w:t xml:space="preserve">actions taken by the Trust to </w:t>
            </w:r>
            <w:r>
              <w:t xml:space="preserve">learn lessons and </w:t>
            </w:r>
            <w:r w:rsidR="00C32E00" w:rsidRPr="00BB0CB7">
              <w:t>mitigate the risk of similar incidents occurring. As a result, the following principles have been applied</w:t>
            </w:r>
            <w:r w:rsidR="00C14292" w:rsidRPr="00BB0CB7">
              <w:t xml:space="preserve"> throughout the review process</w:t>
            </w:r>
            <w:r w:rsidR="000602D8" w:rsidRPr="00BB0CB7">
              <w:t>:</w:t>
            </w:r>
          </w:p>
          <w:p w14:paraId="606A836E" w14:textId="3FB230C5" w:rsidR="00C14292" w:rsidRDefault="00AB7EAB" w:rsidP="00823208">
            <w:pPr>
              <w:pStyle w:val="ListParagraph"/>
              <w:numPr>
                <w:ilvl w:val="0"/>
                <w:numId w:val="3"/>
              </w:numPr>
            </w:pPr>
            <w:r>
              <w:t>Recognition that Mr R meets many of the criteria for a specific cohort of men with</w:t>
            </w:r>
            <w:r w:rsidR="0050694F">
              <w:t xml:space="preserve"> severe and enduring psychosis who commit an offence of homicide </w:t>
            </w:r>
            <w:r w:rsidR="00FD378C">
              <w:t xml:space="preserve">within the family </w:t>
            </w:r>
            <w:r w:rsidR="0050694F">
              <w:t xml:space="preserve">while </w:t>
            </w:r>
            <w:r w:rsidR="00B05D45">
              <w:t xml:space="preserve">in receipt of </w:t>
            </w:r>
            <w:r w:rsidR="0050694F">
              <w:t xml:space="preserve">community </w:t>
            </w:r>
            <w:r>
              <w:t xml:space="preserve">mental health services. </w:t>
            </w:r>
            <w:r w:rsidR="008E3BC2">
              <w:t xml:space="preserve">The </w:t>
            </w:r>
            <w:r w:rsidR="00B43C5B">
              <w:t xml:space="preserve">review has been framed with the needs </w:t>
            </w:r>
            <w:r w:rsidR="008E3BC2">
              <w:t xml:space="preserve">of this cohort </w:t>
            </w:r>
            <w:r w:rsidR="00B43C5B">
              <w:t>in mind</w:t>
            </w:r>
          </w:p>
          <w:p w14:paraId="43C6F558" w14:textId="77777777" w:rsidR="00B05D45" w:rsidRDefault="00B05D45" w:rsidP="00B05D45">
            <w:pPr>
              <w:pStyle w:val="ListParagraph"/>
            </w:pPr>
          </w:p>
          <w:p w14:paraId="523BA9B7" w14:textId="5FFE2A3F" w:rsidR="00B43C5B" w:rsidRDefault="00C14292" w:rsidP="00B05D45">
            <w:pPr>
              <w:pStyle w:val="ListParagraph"/>
              <w:numPr>
                <w:ilvl w:val="0"/>
                <w:numId w:val="3"/>
              </w:numPr>
            </w:pPr>
            <w:r>
              <w:t xml:space="preserve">Appreciation of the importance of care co-ordination in meeting the needs of </w:t>
            </w:r>
            <w:r w:rsidR="0009593D">
              <w:t>service user</w:t>
            </w:r>
            <w:r>
              <w:t xml:space="preserve">s in the community who present as Mr R did at the time of the index offence, and the support </w:t>
            </w:r>
            <w:r w:rsidR="00B43C5B">
              <w:t xml:space="preserve">and development </w:t>
            </w:r>
            <w:r>
              <w:t xml:space="preserve">needs of staff </w:t>
            </w:r>
            <w:r w:rsidR="00497D80">
              <w:t xml:space="preserve">employed </w:t>
            </w:r>
            <w:r>
              <w:t>in thi</w:t>
            </w:r>
            <w:r w:rsidR="001F5917">
              <w:t>s important role</w:t>
            </w:r>
          </w:p>
          <w:p w14:paraId="0CA5BF9F" w14:textId="77777777" w:rsidR="003535D6" w:rsidRDefault="003535D6" w:rsidP="003535D6"/>
          <w:p w14:paraId="3798ACE5" w14:textId="6EF66CAD" w:rsidR="0050694F" w:rsidRDefault="00C32E00" w:rsidP="00B05D45">
            <w:pPr>
              <w:pStyle w:val="ListParagraph"/>
              <w:numPr>
                <w:ilvl w:val="0"/>
                <w:numId w:val="2"/>
              </w:numPr>
            </w:pPr>
            <w:r>
              <w:t>Emphasis on the present day and current practices</w:t>
            </w:r>
            <w:r w:rsidR="0050694F">
              <w:t xml:space="preserve"> at SWLStG and other stakeholders providing care to patients </w:t>
            </w:r>
            <w:r w:rsidR="007E7886">
              <w:t xml:space="preserve">receiving </w:t>
            </w:r>
            <w:r w:rsidR="0050694F">
              <w:t>community mental health services</w:t>
            </w:r>
          </w:p>
          <w:p w14:paraId="55EAA673" w14:textId="77777777" w:rsidR="00B43C5B" w:rsidRDefault="00B43C5B" w:rsidP="00B43C5B">
            <w:pPr>
              <w:pStyle w:val="ListParagraph"/>
            </w:pPr>
          </w:p>
          <w:p w14:paraId="26F2862C" w14:textId="45051448" w:rsidR="0050694F" w:rsidRDefault="00B05D45" w:rsidP="00823208">
            <w:pPr>
              <w:pStyle w:val="ListParagraph"/>
              <w:numPr>
                <w:ilvl w:val="0"/>
                <w:numId w:val="2"/>
              </w:numPr>
            </w:pPr>
            <w:r>
              <w:t xml:space="preserve">The relevance of </w:t>
            </w:r>
            <w:r w:rsidR="0050694F">
              <w:t>interagency and partnership working</w:t>
            </w:r>
          </w:p>
          <w:p w14:paraId="6BFBCBBB" w14:textId="77777777" w:rsidR="00C14292" w:rsidRDefault="00C14292" w:rsidP="00823208"/>
          <w:p w14:paraId="50CFDE05" w14:textId="19B3421E" w:rsidR="0050694F" w:rsidRDefault="0050694F" w:rsidP="00823208">
            <w:pPr>
              <w:pStyle w:val="ListParagraph"/>
              <w:numPr>
                <w:ilvl w:val="0"/>
                <w:numId w:val="2"/>
              </w:numPr>
            </w:pPr>
            <w:r>
              <w:t>Sensitivity to the emotional impact on professionals of serious incidents and subsequent reviews</w:t>
            </w:r>
          </w:p>
        </w:tc>
      </w:tr>
      <w:tr w:rsidR="00C9501F" w14:paraId="43AAA16C" w14:textId="77777777" w:rsidTr="00B94A27">
        <w:tc>
          <w:tcPr>
            <w:tcW w:w="817" w:type="dxa"/>
            <w:tcBorders>
              <w:top w:val="nil"/>
              <w:left w:val="nil"/>
              <w:bottom w:val="nil"/>
              <w:right w:val="nil"/>
            </w:tcBorders>
          </w:tcPr>
          <w:p w14:paraId="0243868C" w14:textId="45CF397C" w:rsidR="00C9501F" w:rsidRDefault="00C9501F" w:rsidP="00823208"/>
        </w:tc>
        <w:tc>
          <w:tcPr>
            <w:tcW w:w="851" w:type="dxa"/>
            <w:tcBorders>
              <w:top w:val="nil"/>
              <w:left w:val="nil"/>
              <w:bottom w:val="nil"/>
              <w:right w:val="nil"/>
            </w:tcBorders>
          </w:tcPr>
          <w:p w14:paraId="738D6CD1" w14:textId="77777777" w:rsidR="00C9501F" w:rsidRDefault="00C9501F" w:rsidP="00823208"/>
        </w:tc>
        <w:tc>
          <w:tcPr>
            <w:tcW w:w="6848" w:type="dxa"/>
            <w:gridSpan w:val="2"/>
            <w:tcBorders>
              <w:top w:val="nil"/>
              <w:left w:val="nil"/>
              <w:bottom w:val="nil"/>
              <w:right w:val="nil"/>
            </w:tcBorders>
          </w:tcPr>
          <w:p w14:paraId="13948478" w14:textId="77777777" w:rsidR="00C9501F" w:rsidRDefault="00C9501F" w:rsidP="00823208"/>
        </w:tc>
      </w:tr>
      <w:tr w:rsidR="00C9501F" w14:paraId="0FAD2C6E" w14:textId="77777777" w:rsidTr="00B94A27">
        <w:tc>
          <w:tcPr>
            <w:tcW w:w="817" w:type="dxa"/>
            <w:tcBorders>
              <w:top w:val="nil"/>
              <w:left w:val="nil"/>
              <w:bottom w:val="nil"/>
              <w:right w:val="nil"/>
            </w:tcBorders>
          </w:tcPr>
          <w:p w14:paraId="03FF7E0F" w14:textId="77777777" w:rsidR="00C9501F" w:rsidRDefault="00C9501F" w:rsidP="00823208"/>
        </w:tc>
        <w:tc>
          <w:tcPr>
            <w:tcW w:w="851" w:type="dxa"/>
            <w:tcBorders>
              <w:top w:val="nil"/>
              <w:left w:val="nil"/>
              <w:bottom w:val="nil"/>
              <w:right w:val="nil"/>
            </w:tcBorders>
          </w:tcPr>
          <w:p w14:paraId="7B93C669" w14:textId="77777777" w:rsidR="00C9501F" w:rsidRDefault="00C9501F" w:rsidP="00823208"/>
        </w:tc>
        <w:tc>
          <w:tcPr>
            <w:tcW w:w="6848" w:type="dxa"/>
            <w:gridSpan w:val="2"/>
            <w:tcBorders>
              <w:top w:val="nil"/>
              <w:left w:val="nil"/>
              <w:bottom w:val="nil"/>
              <w:right w:val="nil"/>
            </w:tcBorders>
          </w:tcPr>
          <w:p w14:paraId="6F2F967D" w14:textId="55FF64DA" w:rsidR="00C9501F" w:rsidRDefault="0050694F" w:rsidP="00823208">
            <w:r>
              <w:t>We hope the report will be helpful and supportive to all who were involved in the incident and this review</w:t>
            </w:r>
            <w:r w:rsidR="006376BE">
              <w:t>, including Mr R</w:t>
            </w:r>
            <w:r w:rsidR="00497D80">
              <w:t>, service users and carers</w:t>
            </w:r>
            <w:r w:rsidR="006376BE">
              <w:t xml:space="preserve"> and staff from all the </w:t>
            </w:r>
            <w:r w:rsidR="007E7886">
              <w:t xml:space="preserve">services and </w:t>
            </w:r>
            <w:r w:rsidR="006376BE">
              <w:t>agencies who contributed.</w:t>
            </w:r>
          </w:p>
        </w:tc>
      </w:tr>
      <w:tr w:rsidR="00C9501F" w14:paraId="4DC6CD99" w14:textId="77777777" w:rsidTr="00B94A27">
        <w:tc>
          <w:tcPr>
            <w:tcW w:w="817" w:type="dxa"/>
            <w:tcBorders>
              <w:top w:val="nil"/>
              <w:left w:val="nil"/>
              <w:bottom w:val="nil"/>
              <w:right w:val="nil"/>
            </w:tcBorders>
          </w:tcPr>
          <w:p w14:paraId="018E248C" w14:textId="77777777" w:rsidR="00C9501F" w:rsidRDefault="00C9501F" w:rsidP="00823208"/>
        </w:tc>
        <w:tc>
          <w:tcPr>
            <w:tcW w:w="851" w:type="dxa"/>
            <w:tcBorders>
              <w:top w:val="nil"/>
              <w:left w:val="nil"/>
              <w:bottom w:val="nil"/>
              <w:right w:val="nil"/>
            </w:tcBorders>
          </w:tcPr>
          <w:p w14:paraId="451CC542" w14:textId="77777777" w:rsidR="00C9501F" w:rsidRDefault="00C9501F" w:rsidP="00823208"/>
        </w:tc>
        <w:tc>
          <w:tcPr>
            <w:tcW w:w="6848" w:type="dxa"/>
            <w:gridSpan w:val="2"/>
            <w:tcBorders>
              <w:top w:val="nil"/>
              <w:left w:val="nil"/>
              <w:bottom w:val="nil"/>
              <w:right w:val="nil"/>
            </w:tcBorders>
          </w:tcPr>
          <w:p w14:paraId="7BC849DE" w14:textId="77777777" w:rsidR="00C9501F" w:rsidRDefault="00C9501F" w:rsidP="00823208"/>
        </w:tc>
      </w:tr>
      <w:tr w:rsidR="00C9501F" w14:paraId="01CC3055" w14:textId="77777777" w:rsidTr="00B94A27">
        <w:tc>
          <w:tcPr>
            <w:tcW w:w="817" w:type="dxa"/>
            <w:tcBorders>
              <w:top w:val="nil"/>
              <w:left w:val="nil"/>
              <w:bottom w:val="nil"/>
              <w:right w:val="nil"/>
            </w:tcBorders>
          </w:tcPr>
          <w:p w14:paraId="5ECA3B79" w14:textId="77777777" w:rsidR="00C9501F" w:rsidRDefault="00C9501F" w:rsidP="00823208"/>
        </w:tc>
        <w:tc>
          <w:tcPr>
            <w:tcW w:w="851" w:type="dxa"/>
            <w:tcBorders>
              <w:top w:val="nil"/>
              <w:left w:val="nil"/>
              <w:bottom w:val="nil"/>
              <w:right w:val="nil"/>
            </w:tcBorders>
          </w:tcPr>
          <w:p w14:paraId="0F588972" w14:textId="6CCD68D0" w:rsidR="00C9501F" w:rsidRPr="00C14292" w:rsidRDefault="00C14292" w:rsidP="00823208">
            <w:pPr>
              <w:rPr>
                <w:b/>
                <w:color w:val="4F6228" w:themeColor="accent3" w:themeShade="80"/>
              </w:rPr>
            </w:pPr>
            <w:r w:rsidRPr="00C14292">
              <w:rPr>
                <w:b/>
                <w:color w:val="4F6228" w:themeColor="accent3" w:themeShade="80"/>
              </w:rPr>
              <w:t>2.2</w:t>
            </w:r>
          </w:p>
        </w:tc>
        <w:tc>
          <w:tcPr>
            <w:tcW w:w="6848" w:type="dxa"/>
            <w:gridSpan w:val="2"/>
            <w:tcBorders>
              <w:top w:val="nil"/>
              <w:left w:val="nil"/>
              <w:bottom w:val="nil"/>
              <w:right w:val="nil"/>
            </w:tcBorders>
          </w:tcPr>
          <w:p w14:paraId="529D90E3" w14:textId="32A3C397" w:rsidR="00C9501F" w:rsidRPr="00C14292" w:rsidRDefault="00C14292" w:rsidP="00823208">
            <w:pPr>
              <w:rPr>
                <w:b/>
                <w:color w:val="4F6228" w:themeColor="accent3" w:themeShade="80"/>
              </w:rPr>
            </w:pPr>
            <w:r w:rsidRPr="00C14292">
              <w:rPr>
                <w:b/>
                <w:color w:val="4F6228" w:themeColor="accent3" w:themeShade="80"/>
              </w:rPr>
              <w:t>ACKNOWLEDGEMENTS</w:t>
            </w:r>
          </w:p>
        </w:tc>
      </w:tr>
      <w:tr w:rsidR="00C9501F" w14:paraId="35D0ADA3" w14:textId="77777777" w:rsidTr="00B94A27">
        <w:tc>
          <w:tcPr>
            <w:tcW w:w="817" w:type="dxa"/>
            <w:tcBorders>
              <w:top w:val="nil"/>
              <w:left w:val="nil"/>
              <w:bottom w:val="nil"/>
              <w:right w:val="nil"/>
            </w:tcBorders>
          </w:tcPr>
          <w:p w14:paraId="1166D485" w14:textId="77777777" w:rsidR="00C9501F" w:rsidRDefault="00C9501F" w:rsidP="00823208"/>
        </w:tc>
        <w:tc>
          <w:tcPr>
            <w:tcW w:w="851" w:type="dxa"/>
            <w:tcBorders>
              <w:top w:val="nil"/>
              <w:left w:val="nil"/>
              <w:bottom w:val="nil"/>
              <w:right w:val="nil"/>
            </w:tcBorders>
          </w:tcPr>
          <w:p w14:paraId="30F3A92B" w14:textId="77777777" w:rsidR="00C9501F" w:rsidRDefault="00C9501F" w:rsidP="00823208"/>
        </w:tc>
        <w:tc>
          <w:tcPr>
            <w:tcW w:w="6848" w:type="dxa"/>
            <w:gridSpan w:val="2"/>
            <w:tcBorders>
              <w:top w:val="nil"/>
              <w:left w:val="nil"/>
              <w:bottom w:val="nil"/>
              <w:right w:val="nil"/>
            </w:tcBorders>
          </w:tcPr>
          <w:p w14:paraId="0EAD9F9B" w14:textId="77777777" w:rsidR="00C9501F" w:rsidRDefault="00C9501F" w:rsidP="00823208"/>
        </w:tc>
      </w:tr>
      <w:tr w:rsidR="00C9501F" w14:paraId="46122C4C" w14:textId="77777777" w:rsidTr="00B94A27">
        <w:tc>
          <w:tcPr>
            <w:tcW w:w="817" w:type="dxa"/>
            <w:tcBorders>
              <w:top w:val="nil"/>
              <w:left w:val="nil"/>
              <w:bottom w:val="nil"/>
              <w:right w:val="nil"/>
            </w:tcBorders>
          </w:tcPr>
          <w:p w14:paraId="21A22620" w14:textId="77777777" w:rsidR="00C9501F" w:rsidRDefault="00C9501F" w:rsidP="00823208"/>
        </w:tc>
        <w:tc>
          <w:tcPr>
            <w:tcW w:w="851" w:type="dxa"/>
            <w:tcBorders>
              <w:top w:val="nil"/>
              <w:left w:val="nil"/>
              <w:bottom w:val="nil"/>
              <w:right w:val="nil"/>
            </w:tcBorders>
          </w:tcPr>
          <w:p w14:paraId="649D6048" w14:textId="77777777" w:rsidR="00C9501F" w:rsidRDefault="00C9501F" w:rsidP="00823208"/>
        </w:tc>
        <w:tc>
          <w:tcPr>
            <w:tcW w:w="6848" w:type="dxa"/>
            <w:gridSpan w:val="2"/>
            <w:tcBorders>
              <w:top w:val="nil"/>
              <w:left w:val="nil"/>
              <w:bottom w:val="nil"/>
              <w:right w:val="nil"/>
            </w:tcBorders>
          </w:tcPr>
          <w:p w14:paraId="04838F04" w14:textId="63BBA358" w:rsidR="00C9501F" w:rsidRPr="00371D3D" w:rsidRDefault="009226AF" w:rsidP="00A247DC">
            <w:pPr>
              <w:rPr>
                <w:color w:val="000000" w:themeColor="text1"/>
              </w:rPr>
            </w:pPr>
            <w:r w:rsidRPr="00371D3D">
              <w:rPr>
                <w:color w:val="000000" w:themeColor="text1"/>
              </w:rPr>
              <w:t xml:space="preserve">We would like to thank all the people who contributed to the production of this report. We appreciate that there were a number of sensitivities and complexities surrounding the review. In particular, the passage of time </w:t>
            </w:r>
            <w:r w:rsidR="00FD378C" w:rsidRPr="00371D3D">
              <w:rPr>
                <w:color w:val="000000" w:themeColor="text1"/>
              </w:rPr>
              <w:t xml:space="preserve">between </w:t>
            </w:r>
            <w:r w:rsidRPr="00371D3D">
              <w:rPr>
                <w:color w:val="000000" w:themeColor="text1"/>
              </w:rPr>
              <w:t>the incident and this review, which meant that for some, revisiting the eve</w:t>
            </w:r>
            <w:r w:rsidR="00C51FB1" w:rsidRPr="00371D3D">
              <w:rPr>
                <w:color w:val="000000" w:themeColor="text1"/>
              </w:rPr>
              <w:t>nts surrounding the index offenc</w:t>
            </w:r>
            <w:r w:rsidRPr="00371D3D">
              <w:rPr>
                <w:color w:val="000000" w:themeColor="text1"/>
              </w:rPr>
              <w:t>e was</w:t>
            </w:r>
            <w:r w:rsidR="00A247DC" w:rsidRPr="00371D3D">
              <w:rPr>
                <w:color w:val="000000" w:themeColor="text1"/>
              </w:rPr>
              <w:t xml:space="preserve"> difficult</w:t>
            </w:r>
            <w:r w:rsidRPr="00371D3D">
              <w:rPr>
                <w:color w:val="000000" w:themeColor="text1"/>
              </w:rPr>
              <w:t xml:space="preserve">. </w:t>
            </w:r>
            <w:r w:rsidR="007E7886" w:rsidRPr="00371D3D">
              <w:rPr>
                <w:color w:val="000000" w:themeColor="text1"/>
              </w:rPr>
              <w:t xml:space="preserve"> We are particularly grateful to Mr R in this regard. </w:t>
            </w:r>
          </w:p>
        </w:tc>
      </w:tr>
      <w:tr w:rsidR="00C9501F" w14:paraId="2916D754" w14:textId="77777777" w:rsidTr="00B94A27">
        <w:tc>
          <w:tcPr>
            <w:tcW w:w="817" w:type="dxa"/>
            <w:tcBorders>
              <w:top w:val="nil"/>
              <w:left w:val="nil"/>
              <w:bottom w:val="nil"/>
              <w:right w:val="nil"/>
            </w:tcBorders>
          </w:tcPr>
          <w:p w14:paraId="423A4104" w14:textId="77777777" w:rsidR="00C9501F" w:rsidRDefault="00C9501F" w:rsidP="00823208"/>
        </w:tc>
        <w:tc>
          <w:tcPr>
            <w:tcW w:w="851" w:type="dxa"/>
            <w:tcBorders>
              <w:top w:val="nil"/>
              <w:left w:val="nil"/>
              <w:bottom w:val="nil"/>
              <w:right w:val="nil"/>
            </w:tcBorders>
          </w:tcPr>
          <w:p w14:paraId="4FDD1563" w14:textId="77777777" w:rsidR="00C9501F" w:rsidRDefault="00C9501F" w:rsidP="00823208"/>
        </w:tc>
        <w:tc>
          <w:tcPr>
            <w:tcW w:w="6848" w:type="dxa"/>
            <w:gridSpan w:val="2"/>
            <w:tcBorders>
              <w:top w:val="nil"/>
              <w:left w:val="nil"/>
              <w:bottom w:val="nil"/>
              <w:right w:val="nil"/>
            </w:tcBorders>
          </w:tcPr>
          <w:p w14:paraId="6F8A561F" w14:textId="77777777" w:rsidR="00C9501F" w:rsidRDefault="00C9501F" w:rsidP="00823208"/>
        </w:tc>
      </w:tr>
      <w:tr w:rsidR="007E7886" w14:paraId="0B8E15EC" w14:textId="77777777" w:rsidTr="00B94A27">
        <w:tc>
          <w:tcPr>
            <w:tcW w:w="817" w:type="dxa"/>
            <w:tcBorders>
              <w:top w:val="nil"/>
              <w:left w:val="nil"/>
              <w:bottom w:val="nil"/>
              <w:right w:val="nil"/>
            </w:tcBorders>
          </w:tcPr>
          <w:p w14:paraId="30598FCB" w14:textId="77777777" w:rsidR="007E7886" w:rsidRDefault="007E7886" w:rsidP="00823208"/>
        </w:tc>
        <w:tc>
          <w:tcPr>
            <w:tcW w:w="851" w:type="dxa"/>
            <w:tcBorders>
              <w:top w:val="nil"/>
              <w:left w:val="nil"/>
              <w:bottom w:val="nil"/>
              <w:right w:val="nil"/>
            </w:tcBorders>
          </w:tcPr>
          <w:p w14:paraId="76EE2F97" w14:textId="77777777" w:rsidR="007E7886" w:rsidRDefault="007E7886" w:rsidP="00823208"/>
        </w:tc>
        <w:tc>
          <w:tcPr>
            <w:tcW w:w="6848" w:type="dxa"/>
            <w:gridSpan w:val="2"/>
            <w:tcBorders>
              <w:top w:val="nil"/>
              <w:left w:val="nil"/>
              <w:bottom w:val="nil"/>
              <w:right w:val="nil"/>
            </w:tcBorders>
          </w:tcPr>
          <w:p w14:paraId="2AA4B3AF" w14:textId="3AC9C14C" w:rsidR="007E7886" w:rsidRDefault="007E7886" w:rsidP="007E7886">
            <w:r>
              <w:t xml:space="preserve">Also due to the passage of time, it was challenging to try to track details of organisational functioning and change from the time of the offence to the time of this review. However, it is hoped that the report and recommendations will be of value in supporting </w:t>
            </w:r>
            <w:r w:rsidR="00FD378C">
              <w:t xml:space="preserve">its </w:t>
            </w:r>
            <w:r>
              <w:t>future progress.</w:t>
            </w:r>
          </w:p>
        </w:tc>
      </w:tr>
      <w:tr w:rsidR="007E7886" w14:paraId="3E1286B7" w14:textId="77777777" w:rsidTr="00B94A27">
        <w:tc>
          <w:tcPr>
            <w:tcW w:w="817" w:type="dxa"/>
            <w:tcBorders>
              <w:top w:val="nil"/>
              <w:left w:val="nil"/>
              <w:bottom w:val="nil"/>
              <w:right w:val="nil"/>
            </w:tcBorders>
          </w:tcPr>
          <w:p w14:paraId="20860B19" w14:textId="77777777" w:rsidR="007E7886" w:rsidRDefault="007E7886" w:rsidP="00823208"/>
        </w:tc>
        <w:tc>
          <w:tcPr>
            <w:tcW w:w="851" w:type="dxa"/>
            <w:tcBorders>
              <w:top w:val="nil"/>
              <w:left w:val="nil"/>
              <w:bottom w:val="nil"/>
              <w:right w:val="nil"/>
            </w:tcBorders>
          </w:tcPr>
          <w:p w14:paraId="516492C0" w14:textId="77777777" w:rsidR="007E7886" w:rsidRDefault="007E7886" w:rsidP="00823208"/>
        </w:tc>
        <w:tc>
          <w:tcPr>
            <w:tcW w:w="6848" w:type="dxa"/>
            <w:gridSpan w:val="2"/>
            <w:tcBorders>
              <w:top w:val="nil"/>
              <w:left w:val="nil"/>
              <w:bottom w:val="nil"/>
              <w:right w:val="nil"/>
            </w:tcBorders>
          </w:tcPr>
          <w:p w14:paraId="1A5EB355" w14:textId="77777777" w:rsidR="007E7886" w:rsidRDefault="007E7886" w:rsidP="00823208"/>
        </w:tc>
      </w:tr>
      <w:tr w:rsidR="00C9501F" w14:paraId="056CEA48" w14:textId="77777777" w:rsidTr="00B94A27">
        <w:tc>
          <w:tcPr>
            <w:tcW w:w="817" w:type="dxa"/>
            <w:tcBorders>
              <w:top w:val="nil"/>
              <w:left w:val="nil"/>
              <w:bottom w:val="nil"/>
              <w:right w:val="nil"/>
            </w:tcBorders>
          </w:tcPr>
          <w:p w14:paraId="6C4F72ED" w14:textId="77777777" w:rsidR="00C9501F" w:rsidRDefault="00C9501F" w:rsidP="00823208"/>
        </w:tc>
        <w:tc>
          <w:tcPr>
            <w:tcW w:w="851" w:type="dxa"/>
            <w:tcBorders>
              <w:top w:val="nil"/>
              <w:left w:val="nil"/>
              <w:bottom w:val="nil"/>
              <w:right w:val="nil"/>
            </w:tcBorders>
          </w:tcPr>
          <w:p w14:paraId="3EF8DDE4" w14:textId="56613D24" w:rsidR="00C9501F" w:rsidRPr="00E768DE" w:rsidRDefault="00AB0664" w:rsidP="00823208">
            <w:pPr>
              <w:rPr>
                <w:b/>
                <w:color w:val="4F6228" w:themeColor="accent3" w:themeShade="80"/>
              </w:rPr>
            </w:pPr>
            <w:r w:rsidRPr="00E768DE">
              <w:rPr>
                <w:b/>
                <w:color w:val="4F6228" w:themeColor="accent3" w:themeShade="80"/>
              </w:rPr>
              <w:t>2.3</w:t>
            </w:r>
          </w:p>
        </w:tc>
        <w:tc>
          <w:tcPr>
            <w:tcW w:w="6848" w:type="dxa"/>
            <w:gridSpan w:val="2"/>
            <w:tcBorders>
              <w:top w:val="nil"/>
              <w:left w:val="nil"/>
              <w:bottom w:val="nil"/>
              <w:right w:val="nil"/>
            </w:tcBorders>
          </w:tcPr>
          <w:p w14:paraId="6C654DF7" w14:textId="34AA6421" w:rsidR="00C9501F" w:rsidRPr="00E768DE" w:rsidRDefault="00E768DE" w:rsidP="00823208">
            <w:pPr>
              <w:rPr>
                <w:b/>
                <w:color w:val="4F6228" w:themeColor="accent3" w:themeShade="80"/>
              </w:rPr>
            </w:pPr>
            <w:r w:rsidRPr="00E768DE">
              <w:rPr>
                <w:b/>
                <w:color w:val="4F6228" w:themeColor="accent3" w:themeShade="80"/>
              </w:rPr>
              <w:t>THE REVIEW TEAM</w:t>
            </w:r>
          </w:p>
        </w:tc>
      </w:tr>
      <w:tr w:rsidR="00615E6E" w14:paraId="7E0D0782" w14:textId="77777777" w:rsidTr="00B94A27">
        <w:tc>
          <w:tcPr>
            <w:tcW w:w="817" w:type="dxa"/>
            <w:tcBorders>
              <w:top w:val="nil"/>
              <w:left w:val="nil"/>
              <w:bottom w:val="nil"/>
              <w:right w:val="nil"/>
            </w:tcBorders>
          </w:tcPr>
          <w:p w14:paraId="63D3B35B" w14:textId="77777777" w:rsidR="00615E6E" w:rsidRDefault="00615E6E" w:rsidP="00823208"/>
        </w:tc>
        <w:tc>
          <w:tcPr>
            <w:tcW w:w="851" w:type="dxa"/>
            <w:tcBorders>
              <w:top w:val="nil"/>
              <w:left w:val="nil"/>
              <w:bottom w:val="nil"/>
              <w:right w:val="nil"/>
            </w:tcBorders>
          </w:tcPr>
          <w:p w14:paraId="4B948F83" w14:textId="77777777" w:rsidR="00615E6E" w:rsidRPr="00E768DE" w:rsidRDefault="00615E6E" w:rsidP="00823208">
            <w:pPr>
              <w:rPr>
                <w:b/>
                <w:color w:val="4F6228" w:themeColor="accent3" w:themeShade="80"/>
              </w:rPr>
            </w:pPr>
          </w:p>
        </w:tc>
        <w:tc>
          <w:tcPr>
            <w:tcW w:w="6848" w:type="dxa"/>
            <w:gridSpan w:val="2"/>
            <w:tcBorders>
              <w:top w:val="nil"/>
              <w:left w:val="nil"/>
              <w:bottom w:val="nil"/>
              <w:right w:val="nil"/>
            </w:tcBorders>
          </w:tcPr>
          <w:p w14:paraId="1D526C2F" w14:textId="77777777" w:rsidR="00615E6E" w:rsidRPr="00E768DE" w:rsidRDefault="00615E6E" w:rsidP="00823208">
            <w:pPr>
              <w:rPr>
                <w:b/>
                <w:color w:val="4F6228" w:themeColor="accent3" w:themeShade="80"/>
              </w:rPr>
            </w:pPr>
          </w:p>
        </w:tc>
      </w:tr>
      <w:tr w:rsidR="00E768DE" w14:paraId="7F20BEF5" w14:textId="77777777" w:rsidTr="00B94A27">
        <w:tc>
          <w:tcPr>
            <w:tcW w:w="817" w:type="dxa"/>
            <w:tcBorders>
              <w:top w:val="nil"/>
              <w:left w:val="nil"/>
              <w:bottom w:val="nil"/>
              <w:right w:val="nil"/>
            </w:tcBorders>
          </w:tcPr>
          <w:p w14:paraId="283E3D4D" w14:textId="77777777" w:rsidR="00E768DE" w:rsidRDefault="00E768DE" w:rsidP="00823208"/>
        </w:tc>
        <w:tc>
          <w:tcPr>
            <w:tcW w:w="851" w:type="dxa"/>
            <w:tcBorders>
              <w:top w:val="nil"/>
              <w:left w:val="nil"/>
              <w:bottom w:val="nil"/>
              <w:right w:val="nil"/>
            </w:tcBorders>
          </w:tcPr>
          <w:p w14:paraId="76C28B03" w14:textId="77777777" w:rsidR="00E768DE" w:rsidRDefault="00E768DE" w:rsidP="00823208"/>
        </w:tc>
        <w:tc>
          <w:tcPr>
            <w:tcW w:w="6848" w:type="dxa"/>
            <w:gridSpan w:val="2"/>
            <w:tcBorders>
              <w:top w:val="nil"/>
              <w:left w:val="nil"/>
              <w:bottom w:val="nil"/>
              <w:right w:val="nil"/>
            </w:tcBorders>
          </w:tcPr>
          <w:p w14:paraId="205BDC57" w14:textId="293009BD" w:rsidR="00E768DE" w:rsidRDefault="001F5917" w:rsidP="006E79C4">
            <w:r>
              <w:t>Dr Anne Aiyegbusi (Chair), consultant nurse and p</w:t>
            </w:r>
            <w:r w:rsidR="00E768DE">
              <w:t xml:space="preserve">sychotherapist with extensive experience </w:t>
            </w:r>
            <w:r w:rsidR="00A87FE8">
              <w:t xml:space="preserve">of nursing leadership, </w:t>
            </w:r>
            <w:r w:rsidR="006E79C4">
              <w:t>working in challenging contexts</w:t>
            </w:r>
            <w:r w:rsidR="00E768DE">
              <w:t>, staff support for working with complex needs, governance of risk, the recovery approach and service user and carer experience.</w:t>
            </w:r>
          </w:p>
        </w:tc>
      </w:tr>
      <w:tr w:rsidR="00E768DE" w14:paraId="1F28475F" w14:textId="77777777" w:rsidTr="00B94A27">
        <w:tc>
          <w:tcPr>
            <w:tcW w:w="817" w:type="dxa"/>
            <w:tcBorders>
              <w:top w:val="nil"/>
              <w:left w:val="nil"/>
              <w:bottom w:val="nil"/>
              <w:right w:val="nil"/>
            </w:tcBorders>
          </w:tcPr>
          <w:p w14:paraId="264AB68A" w14:textId="77777777" w:rsidR="00E768DE" w:rsidRDefault="00E768DE" w:rsidP="00823208"/>
        </w:tc>
        <w:tc>
          <w:tcPr>
            <w:tcW w:w="851" w:type="dxa"/>
            <w:tcBorders>
              <w:top w:val="nil"/>
              <w:left w:val="nil"/>
              <w:bottom w:val="nil"/>
              <w:right w:val="nil"/>
            </w:tcBorders>
          </w:tcPr>
          <w:p w14:paraId="1B499797" w14:textId="77777777" w:rsidR="00E768DE" w:rsidRDefault="00E768DE" w:rsidP="00823208"/>
        </w:tc>
        <w:tc>
          <w:tcPr>
            <w:tcW w:w="6848" w:type="dxa"/>
            <w:gridSpan w:val="2"/>
            <w:tcBorders>
              <w:top w:val="nil"/>
              <w:left w:val="nil"/>
              <w:bottom w:val="nil"/>
              <w:right w:val="nil"/>
            </w:tcBorders>
          </w:tcPr>
          <w:p w14:paraId="71492BF5" w14:textId="77777777" w:rsidR="00E768DE" w:rsidRDefault="00E768DE" w:rsidP="00823208"/>
        </w:tc>
      </w:tr>
      <w:tr w:rsidR="00E768DE" w14:paraId="06F7C01D" w14:textId="77777777" w:rsidTr="00B94A27">
        <w:tc>
          <w:tcPr>
            <w:tcW w:w="817" w:type="dxa"/>
            <w:tcBorders>
              <w:top w:val="nil"/>
              <w:left w:val="nil"/>
              <w:bottom w:val="nil"/>
              <w:right w:val="nil"/>
            </w:tcBorders>
          </w:tcPr>
          <w:p w14:paraId="6746DA9B" w14:textId="77777777" w:rsidR="00E768DE" w:rsidRDefault="00E768DE" w:rsidP="00823208"/>
        </w:tc>
        <w:tc>
          <w:tcPr>
            <w:tcW w:w="851" w:type="dxa"/>
            <w:tcBorders>
              <w:top w:val="nil"/>
              <w:left w:val="nil"/>
              <w:bottom w:val="nil"/>
              <w:right w:val="nil"/>
            </w:tcBorders>
          </w:tcPr>
          <w:p w14:paraId="243D5702" w14:textId="77777777" w:rsidR="00E768DE" w:rsidRDefault="00E768DE" w:rsidP="00823208"/>
        </w:tc>
        <w:tc>
          <w:tcPr>
            <w:tcW w:w="6848" w:type="dxa"/>
            <w:gridSpan w:val="2"/>
            <w:tcBorders>
              <w:top w:val="nil"/>
              <w:left w:val="nil"/>
              <w:bottom w:val="nil"/>
              <w:right w:val="nil"/>
            </w:tcBorders>
          </w:tcPr>
          <w:p w14:paraId="09F39B2C" w14:textId="77318C45" w:rsidR="00C076E5" w:rsidRPr="004E198A" w:rsidRDefault="00C076E5" w:rsidP="00C076E5">
            <w:pPr>
              <w:rPr>
                <w:rFonts w:ascii="Calibri" w:eastAsia="Times New Roman" w:hAnsi="Calibri" w:cs="Times New Roman"/>
                <w:color w:val="000000"/>
              </w:rPr>
            </w:pPr>
            <w:r w:rsidRPr="004E198A">
              <w:rPr>
                <w:rFonts w:ascii="Cambria" w:eastAsia="Times New Roman" w:hAnsi="Cambria" w:cs="Times New Roman"/>
                <w:color w:val="000000"/>
              </w:rPr>
              <w:t xml:space="preserve">Dr Deborah Brooke, trained in general practice, then in psychiatry and addictions. Dr Brooke has 20 years of consultant experience in forensic psychiatry during which she had educational and management roles within her </w:t>
            </w:r>
            <w:r>
              <w:rPr>
                <w:rFonts w:ascii="Cambria" w:eastAsia="Times New Roman" w:hAnsi="Cambria" w:cs="Times New Roman"/>
                <w:color w:val="000000"/>
              </w:rPr>
              <w:t xml:space="preserve">NHS </w:t>
            </w:r>
            <w:r w:rsidRPr="004E198A">
              <w:rPr>
                <w:rFonts w:ascii="Cambria" w:eastAsia="Times New Roman" w:hAnsi="Cambria" w:cs="Times New Roman"/>
                <w:color w:val="000000"/>
              </w:rPr>
              <w:t>Trust</w:t>
            </w:r>
            <w:r>
              <w:rPr>
                <w:rFonts w:ascii="Cambria" w:eastAsia="Times New Roman" w:hAnsi="Cambria" w:cs="Times New Roman"/>
                <w:color w:val="000000"/>
              </w:rPr>
              <w:t>.</w:t>
            </w:r>
          </w:p>
          <w:p w14:paraId="603FB460" w14:textId="1DA5CAA7" w:rsidR="00E768DE" w:rsidRDefault="00E768DE" w:rsidP="00823208"/>
        </w:tc>
      </w:tr>
      <w:tr w:rsidR="00E768DE" w14:paraId="280C5CCE" w14:textId="77777777" w:rsidTr="00B94A27">
        <w:tc>
          <w:tcPr>
            <w:tcW w:w="817" w:type="dxa"/>
            <w:tcBorders>
              <w:top w:val="nil"/>
              <w:left w:val="nil"/>
              <w:bottom w:val="nil"/>
              <w:right w:val="nil"/>
            </w:tcBorders>
          </w:tcPr>
          <w:p w14:paraId="5D63A438" w14:textId="77777777" w:rsidR="00E768DE" w:rsidRDefault="00E768DE" w:rsidP="00823208"/>
        </w:tc>
        <w:tc>
          <w:tcPr>
            <w:tcW w:w="851" w:type="dxa"/>
            <w:tcBorders>
              <w:top w:val="nil"/>
              <w:left w:val="nil"/>
              <w:bottom w:val="nil"/>
              <w:right w:val="nil"/>
            </w:tcBorders>
          </w:tcPr>
          <w:p w14:paraId="529FEAD5" w14:textId="77777777" w:rsidR="00E768DE" w:rsidRDefault="00E768DE" w:rsidP="00823208"/>
        </w:tc>
        <w:tc>
          <w:tcPr>
            <w:tcW w:w="6848" w:type="dxa"/>
            <w:gridSpan w:val="2"/>
            <w:tcBorders>
              <w:top w:val="nil"/>
              <w:left w:val="nil"/>
              <w:bottom w:val="nil"/>
              <w:right w:val="nil"/>
            </w:tcBorders>
          </w:tcPr>
          <w:p w14:paraId="5C00DC32" w14:textId="772E0489" w:rsidR="00E768DE" w:rsidRDefault="00E768DE" w:rsidP="00823208">
            <w:r>
              <w:t>Mr Paul Ralph, a mental health social worker with extensive experience in forensic and community mental health services. He also has experience of holding managerial responsibility for the joint commissioning of health and social care.</w:t>
            </w:r>
          </w:p>
        </w:tc>
      </w:tr>
      <w:tr w:rsidR="00E768DE" w14:paraId="6C4AB1A6" w14:textId="77777777" w:rsidTr="00B94A27">
        <w:tc>
          <w:tcPr>
            <w:tcW w:w="817" w:type="dxa"/>
            <w:tcBorders>
              <w:top w:val="nil"/>
              <w:left w:val="nil"/>
              <w:bottom w:val="nil"/>
              <w:right w:val="nil"/>
            </w:tcBorders>
          </w:tcPr>
          <w:p w14:paraId="7D51213A" w14:textId="77777777" w:rsidR="00E768DE" w:rsidRDefault="00E768DE" w:rsidP="00823208"/>
        </w:tc>
        <w:tc>
          <w:tcPr>
            <w:tcW w:w="851" w:type="dxa"/>
            <w:tcBorders>
              <w:top w:val="nil"/>
              <w:left w:val="nil"/>
              <w:bottom w:val="nil"/>
              <w:right w:val="nil"/>
            </w:tcBorders>
          </w:tcPr>
          <w:p w14:paraId="2C749878" w14:textId="77777777" w:rsidR="00E768DE" w:rsidRDefault="00E768DE" w:rsidP="00823208"/>
        </w:tc>
        <w:tc>
          <w:tcPr>
            <w:tcW w:w="6848" w:type="dxa"/>
            <w:gridSpan w:val="2"/>
            <w:tcBorders>
              <w:top w:val="nil"/>
              <w:left w:val="nil"/>
              <w:bottom w:val="nil"/>
              <w:right w:val="nil"/>
            </w:tcBorders>
          </w:tcPr>
          <w:p w14:paraId="100A0ABD" w14:textId="77777777" w:rsidR="00F17015" w:rsidRDefault="00F17015" w:rsidP="00823208"/>
        </w:tc>
      </w:tr>
      <w:tr w:rsidR="00E768DE" w14:paraId="28DEEA07" w14:textId="77777777" w:rsidTr="00B94A27">
        <w:tc>
          <w:tcPr>
            <w:tcW w:w="817" w:type="dxa"/>
            <w:tcBorders>
              <w:top w:val="nil"/>
              <w:left w:val="nil"/>
              <w:bottom w:val="nil"/>
              <w:right w:val="nil"/>
            </w:tcBorders>
          </w:tcPr>
          <w:p w14:paraId="088E27F7" w14:textId="77777777" w:rsidR="00E768DE" w:rsidRDefault="00E768DE" w:rsidP="00823208"/>
        </w:tc>
        <w:tc>
          <w:tcPr>
            <w:tcW w:w="851" w:type="dxa"/>
            <w:tcBorders>
              <w:top w:val="nil"/>
              <w:left w:val="nil"/>
              <w:bottom w:val="nil"/>
              <w:right w:val="nil"/>
            </w:tcBorders>
          </w:tcPr>
          <w:p w14:paraId="509FEF8B" w14:textId="77777777" w:rsidR="00E768DE" w:rsidRDefault="00E768DE" w:rsidP="00823208"/>
        </w:tc>
        <w:tc>
          <w:tcPr>
            <w:tcW w:w="6848" w:type="dxa"/>
            <w:gridSpan w:val="2"/>
            <w:tcBorders>
              <w:top w:val="nil"/>
              <w:left w:val="nil"/>
              <w:bottom w:val="nil"/>
              <w:right w:val="nil"/>
            </w:tcBorders>
          </w:tcPr>
          <w:p w14:paraId="22B585E8" w14:textId="063E20E0" w:rsidR="00E768DE" w:rsidRDefault="00E768DE" w:rsidP="00823208">
            <w:r>
              <w:t>Dr Julia Blazdell (facilitator of the service us</w:t>
            </w:r>
            <w:r w:rsidR="007450BE">
              <w:t>er and carer focus group) is an</w:t>
            </w:r>
            <w:r w:rsidR="001F5917">
              <w:t xml:space="preserve"> education c</w:t>
            </w:r>
            <w:r>
              <w:t>onsultant with considerable experience in consulting to mental health services and providi</w:t>
            </w:r>
            <w:r w:rsidR="000602D8">
              <w:t>ng interventions as an expert</w:t>
            </w:r>
            <w:r>
              <w:t xml:space="preserve"> by lived experience</w:t>
            </w:r>
            <w:r w:rsidR="000602D8">
              <w:t>.</w:t>
            </w:r>
          </w:p>
        </w:tc>
      </w:tr>
      <w:tr w:rsidR="00C076E5" w14:paraId="406D9FCE" w14:textId="77777777" w:rsidTr="00B94A27">
        <w:tc>
          <w:tcPr>
            <w:tcW w:w="817" w:type="dxa"/>
            <w:tcBorders>
              <w:top w:val="nil"/>
              <w:left w:val="nil"/>
              <w:bottom w:val="nil"/>
              <w:right w:val="nil"/>
            </w:tcBorders>
          </w:tcPr>
          <w:p w14:paraId="544EB340" w14:textId="77777777" w:rsidR="00C076E5" w:rsidRDefault="00C076E5" w:rsidP="00823208"/>
        </w:tc>
        <w:tc>
          <w:tcPr>
            <w:tcW w:w="851" w:type="dxa"/>
            <w:tcBorders>
              <w:top w:val="nil"/>
              <w:left w:val="nil"/>
              <w:bottom w:val="nil"/>
              <w:right w:val="nil"/>
            </w:tcBorders>
          </w:tcPr>
          <w:p w14:paraId="6A3F9396" w14:textId="77777777" w:rsidR="00C076E5" w:rsidRDefault="00C076E5" w:rsidP="00823208"/>
        </w:tc>
        <w:tc>
          <w:tcPr>
            <w:tcW w:w="6848" w:type="dxa"/>
            <w:gridSpan w:val="2"/>
            <w:tcBorders>
              <w:top w:val="nil"/>
              <w:left w:val="nil"/>
              <w:bottom w:val="nil"/>
              <w:right w:val="nil"/>
            </w:tcBorders>
          </w:tcPr>
          <w:p w14:paraId="240DCC91" w14:textId="77777777" w:rsidR="00C076E5" w:rsidRDefault="00C076E5" w:rsidP="00823208"/>
        </w:tc>
      </w:tr>
      <w:tr w:rsidR="00E768DE" w14:paraId="4931CAEA" w14:textId="77777777" w:rsidTr="00B94A27">
        <w:tc>
          <w:tcPr>
            <w:tcW w:w="817" w:type="dxa"/>
            <w:tcBorders>
              <w:top w:val="nil"/>
              <w:left w:val="nil"/>
              <w:bottom w:val="nil"/>
              <w:right w:val="nil"/>
            </w:tcBorders>
          </w:tcPr>
          <w:p w14:paraId="0AC4D2BB" w14:textId="77777777" w:rsidR="00E768DE" w:rsidRDefault="00E768DE" w:rsidP="00823208"/>
        </w:tc>
        <w:tc>
          <w:tcPr>
            <w:tcW w:w="851" w:type="dxa"/>
            <w:tcBorders>
              <w:top w:val="nil"/>
              <w:left w:val="nil"/>
              <w:bottom w:val="nil"/>
              <w:right w:val="nil"/>
            </w:tcBorders>
          </w:tcPr>
          <w:p w14:paraId="3BD50EA6" w14:textId="4B7AB976" w:rsidR="00E768DE" w:rsidRPr="000602D8" w:rsidRDefault="000602D8" w:rsidP="00823208">
            <w:pPr>
              <w:rPr>
                <w:b/>
                <w:color w:val="4F6228" w:themeColor="accent3" w:themeShade="80"/>
              </w:rPr>
            </w:pPr>
            <w:r w:rsidRPr="000602D8">
              <w:rPr>
                <w:b/>
                <w:color w:val="4F6228" w:themeColor="accent3" w:themeShade="80"/>
              </w:rPr>
              <w:t>2.4</w:t>
            </w:r>
          </w:p>
        </w:tc>
        <w:tc>
          <w:tcPr>
            <w:tcW w:w="6848" w:type="dxa"/>
            <w:gridSpan w:val="2"/>
            <w:tcBorders>
              <w:top w:val="nil"/>
              <w:left w:val="nil"/>
              <w:bottom w:val="nil"/>
              <w:right w:val="nil"/>
            </w:tcBorders>
          </w:tcPr>
          <w:p w14:paraId="779FD16A" w14:textId="7F6F8DC5" w:rsidR="00E768DE" w:rsidRPr="000602D8" w:rsidRDefault="00E94B1F" w:rsidP="00823208">
            <w:pPr>
              <w:rPr>
                <w:b/>
                <w:color w:val="4F6228" w:themeColor="accent3" w:themeShade="80"/>
              </w:rPr>
            </w:pPr>
            <w:r>
              <w:rPr>
                <w:b/>
                <w:color w:val="4F6228" w:themeColor="accent3" w:themeShade="80"/>
              </w:rPr>
              <w:t>METHODOLOGY</w:t>
            </w:r>
          </w:p>
        </w:tc>
      </w:tr>
      <w:tr w:rsidR="00770CA4" w14:paraId="10E2881C" w14:textId="77777777" w:rsidTr="00B94A27">
        <w:tc>
          <w:tcPr>
            <w:tcW w:w="817" w:type="dxa"/>
            <w:tcBorders>
              <w:top w:val="nil"/>
              <w:left w:val="nil"/>
              <w:bottom w:val="nil"/>
              <w:right w:val="nil"/>
            </w:tcBorders>
          </w:tcPr>
          <w:p w14:paraId="33AFE24E" w14:textId="77777777" w:rsidR="00770CA4" w:rsidRDefault="00770CA4" w:rsidP="00823208"/>
        </w:tc>
        <w:tc>
          <w:tcPr>
            <w:tcW w:w="851" w:type="dxa"/>
            <w:tcBorders>
              <w:top w:val="nil"/>
              <w:left w:val="nil"/>
              <w:bottom w:val="nil"/>
              <w:right w:val="nil"/>
            </w:tcBorders>
          </w:tcPr>
          <w:p w14:paraId="7D89A7C5" w14:textId="77777777" w:rsidR="00770CA4" w:rsidRPr="000602D8" w:rsidRDefault="00770CA4" w:rsidP="00823208">
            <w:pPr>
              <w:rPr>
                <w:b/>
                <w:color w:val="4F6228" w:themeColor="accent3" w:themeShade="80"/>
              </w:rPr>
            </w:pPr>
          </w:p>
        </w:tc>
        <w:tc>
          <w:tcPr>
            <w:tcW w:w="6848" w:type="dxa"/>
            <w:gridSpan w:val="2"/>
            <w:tcBorders>
              <w:top w:val="nil"/>
              <w:left w:val="nil"/>
              <w:bottom w:val="nil"/>
              <w:right w:val="nil"/>
            </w:tcBorders>
          </w:tcPr>
          <w:p w14:paraId="24F61DD0" w14:textId="77777777" w:rsidR="00770CA4" w:rsidRPr="000602D8" w:rsidRDefault="00770CA4" w:rsidP="00823208">
            <w:pPr>
              <w:rPr>
                <w:b/>
                <w:color w:val="4F6228" w:themeColor="accent3" w:themeShade="80"/>
              </w:rPr>
            </w:pPr>
          </w:p>
        </w:tc>
      </w:tr>
      <w:tr w:rsidR="00E768DE" w14:paraId="296794DF" w14:textId="77777777" w:rsidTr="00B94A27">
        <w:tc>
          <w:tcPr>
            <w:tcW w:w="817" w:type="dxa"/>
            <w:tcBorders>
              <w:top w:val="nil"/>
              <w:left w:val="nil"/>
              <w:bottom w:val="nil"/>
              <w:right w:val="nil"/>
            </w:tcBorders>
          </w:tcPr>
          <w:p w14:paraId="16425325" w14:textId="77777777" w:rsidR="00E768DE" w:rsidRDefault="00E768DE" w:rsidP="00823208"/>
        </w:tc>
        <w:tc>
          <w:tcPr>
            <w:tcW w:w="851" w:type="dxa"/>
            <w:tcBorders>
              <w:top w:val="nil"/>
              <w:left w:val="nil"/>
              <w:bottom w:val="nil"/>
              <w:right w:val="nil"/>
            </w:tcBorders>
          </w:tcPr>
          <w:p w14:paraId="097C67A5" w14:textId="77777777" w:rsidR="00E768DE" w:rsidRDefault="00E768DE" w:rsidP="00823208"/>
        </w:tc>
        <w:tc>
          <w:tcPr>
            <w:tcW w:w="6848" w:type="dxa"/>
            <w:gridSpan w:val="2"/>
            <w:tcBorders>
              <w:top w:val="nil"/>
              <w:left w:val="nil"/>
              <w:bottom w:val="nil"/>
              <w:right w:val="nil"/>
            </w:tcBorders>
          </w:tcPr>
          <w:p w14:paraId="04A0D713" w14:textId="697E4DA6" w:rsidR="00E768DE" w:rsidRDefault="000602D8" w:rsidP="009B14B4">
            <w:r>
              <w:t xml:space="preserve">The </w:t>
            </w:r>
            <w:r w:rsidR="00497D80">
              <w:t>team used multiple methods</w:t>
            </w:r>
            <w:r>
              <w:t xml:space="preserve"> with a focus on triangulation of data gathered in order to establish as accurate a picture</w:t>
            </w:r>
            <w:r w:rsidR="00B628E4">
              <w:t xml:space="preserve"> as possible regarding current services and p</w:t>
            </w:r>
            <w:r>
              <w:t xml:space="preserve">ractices.  </w:t>
            </w:r>
            <w:r w:rsidR="00561263">
              <w:t>The following were included:</w:t>
            </w:r>
          </w:p>
        </w:tc>
      </w:tr>
      <w:tr w:rsidR="00E768DE" w14:paraId="71BC2FBF" w14:textId="77777777" w:rsidTr="00B94A27">
        <w:tc>
          <w:tcPr>
            <w:tcW w:w="817" w:type="dxa"/>
            <w:tcBorders>
              <w:top w:val="nil"/>
              <w:left w:val="nil"/>
              <w:bottom w:val="nil"/>
              <w:right w:val="nil"/>
            </w:tcBorders>
          </w:tcPr>
          <w:p w14:paraId="05C705DC" w14:textId="1945C8C5" w:rsidR="00E768DE" w:rsidRDefault="00E768DE" w:rsidP="00823208"/>
        </w:tc>
        <w:tc>
          <w:tcPr>
            <w:tcW w:w="851" w:type="dxa"/>
            <w:tcBorders>
              <w:top w:val="nil"/>
              <w:left w:val="nil"/>
              <w:bottom w:val="nil"/>
              <w:right w:val="nil"/>
            </w:tcBorders>
          </w:tcPr>
          <w:p w14:paraId="3F386A0A" w14:textId="77777777" w:rsidR="00E768DE" w:rsidRDefault="00E768DE" w:rsidP="00823208"/>
        </w:tc>
        <w:tc>
          <w:tcPr>
            <w:tcW w:w="6848" w:type="dxa"/>
            <w:gridSpan w:val="2"/>
            <w:tcBorders>
              <w:top w:val="nil"/>
              <w:left w:val="nil"/>
              <w:bottom w:val="nil"/>
              <w:right w:val="nil"/>
            </w:tcBorders>
          </w:tcPr>
          <w:p w14:paraId="7248E669" w14:textId="77777777" w:rsidR="00E768DE" w:rsidRDefault="00E768DE" w:rsidP="00823208"/>
        </w:tc>
      </w:tr>
      <w:tr w:rsidR="00561263" w14:paraId="37542E29" w14:textId="77777777" w:rsidTr="00B94A27">
        <w:tc>
          <w:tcPr>
            <w:tcW w:w="817" w:type="dxa"/>
            <w:tcBorders>
              <w:top w:val="nil"/>
              <w:left w:val="nil"/>
              <w:bottom w:val="nil"/>
              <w:right w:val="nil"/>
            </w:tcBorders>
          </w:tcPr>
          <w:p w14:paraId="1E164CB1" w14:textId="77777777" w:rsidR="00561263" w:rsidRDefault="00561263" w:rsidP="00823208"/>
        </w:tc>
        <w:tc>
          <w:tcPr>
            <w:tcW w:w="851" w:type="dxa"/>
            <w:tcBorders>
              <w:top w:val="nil"/>
              <w:left w:val="nil"/>
              <w:bottom w:val="nil"/>
              <w:right w:val="nil"/>
            </w:tcBorders>
          </w:tcPr>
          <w:p w14:paraId="5888E583" w14:textId="77777777" w:rsidR="00561263" w:rsidRDefault="00561263" w:rsidP="00823208"/>
        </w:tc>
        <w:tc>
          <w:tcPr>
            <w:tcW w:w="6848" w:type="dxa"/>
            <w:gridSpan w:val="2"/>
            <w:tcBorders>
              <w:top w:val="nil"/>
              <w:left w:val="nil"/>
              <w:bottom w:val="nil"/>
              <w:right w:val="nil"/>
            </w:tcBorders>
          </w:tcPr>
          <w:p w14:paraId="16D9A9CF" w14:textId="01E242BE" w:rsidR="00561263" w:rsidRDefault="00561263" w:rsidP="00823208">
            <w:r>
              <w:t>Staff invited to meet with the review team were contacted in writing and provided with information about the review. They were made aware in the letter that if they so wished, they could be accompanied.</w:t>
            </w:r>
          </w:p>
        </w:tc>
      </w:tr>
      <w:tr w:rsidR="00561263" w14:paraId="65F79AAE" w14:textId="77777777" w:rsidTr="00B94A27">
        <w:tc>
          <w:tcPr>
            <w:tcW w:w="817" w:type="dxa"/>
            <w:tcBorders>
              <w:top w:val="nil"/>
              <w:left w:val="nil"/>
              <w:bottom w:val="nil"/>
              <w:right w:val="nil"/>
            </w:tcBorders>
          </w:tcPr>
          <w:p w14:paraId="1A4A391E" w14:textId="77777777" w:rsidR="00561263" w:rsidRDefault="00561263" w:rsidP="00823208"/>
        </w:tc>
        <w:tc>
          <w:tcPr>
            <w:tcW w:w="851" w:type="dxa"/>
            <w:tcBorders>
              <w:top w:val="nil"/>
              <w:left w:val="nil"/>
              <w:bottom w:val="nil"/>
              <w:right w:val="nil"/>
            </w:tcBorders>
          </w:tcPr>
          <w:p w14:paraId="2C7DF995" w14:textId="77777777" w:rsidR="00561263" w:rsidRDefault="00561263" w:rsidP="00823208"/>
        </w:tc>
        <w:tc>
          <w:tcPr>
            <w:tcW w:w="6848" w:type="dxa"/>
            <w:gridSpan w:val="2"/>
            <w:tcBorders>
              <w:top w:val="nil"/>
              <w:left w:val="nil"/>
              <w:bottom w:val="nil"/>
              <w:right w:val="nil"/>
            </w:tcBorders>
          </w:tcPr>
          <w:p w14:paraId="77DCA01E" w14:textId="77777777" w:rsidR="00561263" w:rsidRDefault="00561263" w:rsidP="00823208"/>
        </w:tc>
      </w:tr>
      <w:tr w:rsidR="00E768DE" w14:paraId="49D29268" w14:textId="77777777" w:rsidTr="00B94A27">
        <w:tc>
          <w:tcPr>
            <w:tcW w:w="817" w:type="dxa"/>
            <w:tcBorders>
              <w:top w:val="nil"/>
              <w:left w:val="nil"/>
              <w:bottom w:val="nil"/>
              <w:right w:val="nil"/>
            </w:tcBorders>
          </w:tcPr>
          <w:p w14:paraId="5B8097EA" w14:textId="77777777" w:rsidR="00E768DE" w:rsidRDefault="00E768DE" w:rsidP="00823208"/>
        </w:tc>
        <w:tc>
          <w:tcPr>
            <w:tcW w:w="851" w:type="dxa"/>
            <w:tcBorders>
              <w:top w:val="nil"/>
              <w:left w:val="nil"/>
              <w:bottom w:val="nil"/>
              <w:right w:val="nil"/>
            </w:tcBorders>
          </w:tcPr>
          <w:p w14:paraId="6F50CAA4" w14:textId="77777777" w:rsidR="00E768DE" w:rsidRDefault="00E768DE" w:rsidP="00823208"/>
        </w:tc>
        <w:tc>
          <w:tcPr>
            <w:tcW w:w="6848" w:type="dxa"/>
            <w:gridSpan w:val="2"/>
            <w:tcBorders>
              <w:top w:val="nil"/>
              <w:left w:val="nil"/>
              <w:bottom w:val="nil"/>
              <w:right w:val="nil"/>
            </w:tcBorders>
          </w:tcPr>
          <w:p w14:paraId="097ADF3B" w14:textId="1168285B" w:rsidR="00E768DE" w:rsidRPr="003535D6" w:rsidRDefault="004F355B" w:rsidP="00823208">
            <w:r w:rsidRPr="003535D6">
              <w:t>A full review of Mr R</w:t>
            </w:r>
            <w:r w:rsidR="00561263" w:rsidRPr="003535D6">
              <w:t>’</w:t>
            </w:r>
            <w:r w:rsidRPr="003535D6">
              <w:t>s clinical records and correspondence held on Mr R, as provided by the Trust from the t</w:t>
            </w:r>
            <w:r w:rsidR="00497D80" w:rsidRPr="003535D6">
              <w:t>ime of his first contact with it</w:t>
            </w:r>
            <w:r w:rsidRPr="003535D6">
              <w:t xml:space="preserve"> </w:t>
            </w:r>
            <w:r w:rsidR="00427303" w:rsidRPr="003535D6">
              <w:t xml:space="preserve">in </w:t>
            </w:r>
            <w:r w:rsidRPr="003535D6">
              <w:t>1989.</w:t>
            </w:r>
          </w:p>
        </w:tc>
      </w:tr>
      <w:tr w:rsidR="00E768DE" w14:paraId="33A56310" w14:textId="77777777" w:rsidTr="00B94A27">
        <w:tc>
          <w:tcPr>
            <w:tcW w:w="817" w:type="dxa"/>
            <w:tcBorders>
              <w:top w:val="nil"/>
              <w:left w:val="nil"/>
              <w:bottom w:val="nil"/>
              <w:right w:val="nil"/>
            </w:tcBorders>
          </w:tcPr>
          <w:p w14:paraId="2E476D8F" w14:textId="77777777" w:rsidR="00E768DE" w:rsidRDefault="00E768DE" w:rsidP="00823208"/>
        </w:tc>
        <w:tc>
          <w:tcPr>
            <w:tcW w:w="851" w:type="dxa"/>
            <w:tcBorders>
              <w:top w:val="nil"/>
              <w:left w:val="nil"/>
              <w:bottom w:val="nil"/>
              <w:right w:val="nil"/>
            </w:tcBorders>
          </w:tcPr>
          <w:p w14:paraId="0542CF42" w14:textId="77777777" w:rsidR="00E768DE" w:rsidRDefault="00E768DE" w:rsidP="00823208"/>
        </w:tc>
        <w:tc>
          <w:tcPr>
            <w:tcW w:w="6848" w:type="dxa"/>
            <w:gridSpan w:val="2"/>
            <w:tcBorders>
              <w:top w:val="nil"/>
              <w:left w:val="nil"/>
              <w:bottom w:val="nil"/>
              <w:right w:val="nil"/>
            </w:tcBorders>
          </w:tcPr>
          <w:p w14:paraId="6F15D550" w14:textId="77777777" w:rsidR="00E768DE" w:rsidRDefault="00E768DE" w:rsidP="00823208"/>
        </w:tc>
      </w:tr>
      <w:tr w:rsidR="00E768DE" w14:paraId="494B87C6" w14:textId="77777777" w:rsidTr="00B94A27">
        <w:tc>
          <w:tcPr>
            <w:tcW w:w="817" w:type="dxa"/>
            <w:tcBorders>
              <w:top w:val="nil"/>
              <w:left w:val="nil"/>
              <w:bottom w:val="nil"/>
              <w:right w:val="nil"/>
            </w:tcBorders>
          </w:tcPr>
          <w:p w14:paraId="6AD6202C" w14:textId="77777777" w:rsidR="00E768DE" w:rsidRDefault="00E768DE" w:rsidP="00823208"/>
        </w:tc>
        <w:tc>
          <w:tcPr>
            <w:tcW w:w="851" w:type="dxa"/>
            <w:tcBorders>
              <w:top w:val="nil"/>
              <w:left w:val="nil"/>
              <w:bottom w:val="nil"/>
              <w:right w:val="nil"/>
            </w:tcBorders>
          </w:tcPr>
          <w:p w14:paraId="339D1D23" w14:textId="77777777" w:rsidR="00E768DE" w:rsidRDefault="00E768DE" w:rsidP="00823208"/>
        </w:tc>
        <w:tc>
          <w:tcPr>
            <w:tcW w:w="6848" w:type="dxa"/>
            <w:gridSpan w:val="2"/>
            <w:tcBorders>
              <w:top w:val="nil"/>
              <w:left w:val="nil"/>
              <w:bottom w:val="nil"/>
              <w:right w:val="nil"/>
            </w:tcBorders>
          </w:tcPr>
          <w:p w14:paraId="2D73A9F3" w14:textId="7507C067" w:rsidR="00E768DE" w:rsidRDefault="00887A59" w:rsidP="00823208">
            <w:r>
              <w:t>Case s</w:t>
            </w:r>
            <w:r w:rsidR="005E36C6">
              <w:t>ummary of the metropolitan police report of the offence.</w:t>
            </w:r>
          </w:p>
        </w:tc>
      </w:tr>
      <w:tr w:rsidR="00E768DE" w14:paraId="654E12FC" w14:textId="77777777" w:rsidTr="00B94A27">
        <w:tc>
          <w:tcPr>
            <w:tcW w:w="817" w:type="dxa"/>
            <w:tcBorders>
              <w:top w:val="nil"/>
              <w:left w:val="nil"/>
              <w:bottom w:val="nil"/>
              <w:right w:val="nil"/>
            </w:tcBorders>
          </w:tcPr>
          <w:p w14:paraId="71A48F1E" w14:textId="77777777" w:rsidR="00E768DE" w:rsidRDefault="00E768DE" w:rsidP="00823208"/>
        </w:tc>
        <w:tc>
          <w:tcPr>
            <w:tcW w:w="851" w:type="dxa"/>
            <w:tcBorders>
              <w:top w:val="nil"/>
              <w:left w:val="nil"/>
              <w:bottom w:val="nil"/>
              <w:right w:val="nil"/>
            </w:tcBorders>
          </w:tcPr>
          <w:p w14:paraId="51136A15" w14:textId="77777777" w:rsidR="00E768DE" w:rsidRDefault="00E768DE" w:rsidP="00823208"/>
        </w:tc>
        <w:tc>
          <w:tcPr>
            <w:tcW w:w="6848" w:type="dxa"/>
            <w:gridSpan w:val="2"/>
            <w:tcBorders>
              <w:top w:val="nil"/>
              <w:left w:val="nil"/>
              <w:bottom w:val="nil"/>
              <w:right w:val="nil"/>
            </w:tcBorders>
          </w:tcPr>
          <w:p w14:paraId="70D98EF4" w14:textId="77777777" w:rsidR="00E768DE" w:rsidRDefault="00E768DE" w:rsidP="00823208"/>
        </w:tc>
      </w:tr>
      <w:tr w:rsidR="00E768DE" w14:paraId="77E25C67" w14:textId="77777777" w:rsidTr="00B94A27">
        <w:tc>
          <w:tcPr>
            <w:tcW w:w="817" w:type="dxa"/>
            <w:tcBorders>
              <w:top w:val="nil"/>
              <w:left w:val="nil"/>
              <w:bottom w:val="nil"/>
              <w:right w:val="nil"/>
            </w:tcBorders>
          </w:tcPr>
          <w:p w14:paraId="7F3B408F" w14:textId="77777777" w:rsidR="00E768DE" w:rsidRDefault="00E768DE" w:rsidP="00823208"/>
        </w:tc>
        <w:tc>
          <w:tcPr>
            <w:tcW w:w="851" w:type="dxa"/>
            <w:tcBorders>
              <w:top w:val="nil"/>
              <w:left w:val="nil"/>
              <w:bottom w:val="nil"/>
              <w:right w:val="nil"/>
            </w:tcBorders>
          </w:tcPr>
          <w:p w14:paraId="1F28A72F" w14:textId="77777777" w:rsidR="00E768DE" w:rsidRDefault="00E768DE" w:rsidP="00823208"/>
        </w:tc>
        <w:tc>
          <w:tcPr>
            <w:tcW w:w="6848" w:type="dxa"/>
            <w:gridSpan w:val="2"/>
            <w:tcBorders>
              <w:top w:val="nil"/>
              <w:left w:val="nil"/>
              <w:bottom w:val="nil"/>
              <w:right w:val="nil"/>
            </w:tcBorders>
          </w:tcPr>
          <w:p w14:paraId="75A28C04" w14:textId="0EBA846A" w:rsidR="00E768DE" w:rsidRDefault="00887A59" w:rsidP="00823208">
            <w:r>
              <w:t>Court report prepared for the Crown Prosecution Service dated 11</w:t>
            </w:r>
            <w:r w:rsidRPr="00887A59">
              <w:rPr>
                <w:vertAlign w:val="superscript"/>
              </w:rPr>
              <w:t>th</w:t>
            </w:r>
            <w:r>
              <w:t xml:space="preserve"> July 2013.</w:t>
            </w:r>
          </w:p>
        </w:tc>
      </w:tr>
      <w:tr w:rsidR="00E768DE" w14:paraId="21B07BCD" w14:textId="77777777" w:rsidTr="00B94A27">
        <w:tc>
          <w:tcPr>
            <w:tcW w:w="817" w:type="dxa"/>
            <w:tcBorders>
              <w:top w:val="nil"/>
              <w:left w:val="nil"/>
              <w:bottom w:val="nil"/>
              <w:right w:val="nil"/>
            </w:tcBorders>
          </w:tcPr>
          <w:p w14:paraId="41FFCB70" w14:textId="77777777" w:rsidR="00E768DE" w:rsidRDefault="00E768DE" w:rsidP="00823208"/>
        </w:tc>
        <w:tc>
          <w:tcPr>
            <w:tcW w:w="851" w:type="dxa"/>
            <w:tcBorders>
              <w:top w:val="nil"/>
              <w:left w:val="nil"/>
              <w:bottom w:val="nil"/>
              <w:right w:val="nil"/>
            </w:tcBorders>
          </w:tcPr>
          <w:p w14:paraId="0D2C5072" w14:textId="77777777" w:rsidR="00E768DE" w:rsidRDefault="00E768DE" w:rsidP="00823208"/>
        </w:tc>
        <w:tc>
          <w:tcPr>
            <w:tcW w:w="6848" w:type="dxa"/>
            <w:gridSpan w:val="2"/>
            <w:tcBorders>
              <w:top w:val="nil"/>
              <w:left w:val="nil"/>
              <w:bottom w:val="nil"/>
              <w:right w:val="nil"/>
            </w:tcBorders>
          </w:tcPr>
          <w:p w14:paraId="7816E733" w14:textId="77777777" w:rsidR="00E768DE" w:rsidRDefault="00E768DE" w:rsidP="00823208"/>
        </w:tc>
      </w:tr>
      <w:tr w:rsidR="00E768DE" w14:paraId="285A6B7E" w14:textId="77777777" w:rsidTr="00B94A27">
        <w:tc>
          <w:tcPr>
            <w:tcW w:w="817" w:type="dxa"/>
            <w:tcBorders>
              <w:top w:val="nil"/>
              <w:left w:val="nil"/>
              <w:bottom w:val="nil"/>
              <w:right w:val="nil"/>
            </w:tcBorders>
          </w:tcPr>
          <w:p w14:paraId="0A8A2D16" w14:textId="77777777" w:rsidR="00E768DE" w:rsidRDefault="00E768DE" w:rsidP="00823208"/>
        </w:tc>
        <w:tc>
          <w:tcPr>
            <w:tcW w:w="851" w:type="dxa"/>
            <w:tcBorders>
              <w:top w:val="nil"/>
              <w:left w:val="nil"/>
              <w:bottom w:val="nil"/>
              <w:right w:val="nil"/>
            </w:tcBorders>
          </w:tcPr>
          <w:p w14:paraId="71F04EA6" w14:textId="77777777" w:rsidR="00E768DE" w:rsidRDefault="00E768DE" w:rsidP="00823208"/>
        </w:tc>
        <w:tc>
          <w:tcPr>
            <w:tcW w:w="6848" w:type="dxa"/>
            <w:gridSpan w:val="2"/>
            <w:tcBorders>
              <w:top w:val="nil"/>
              <w:left w:val="nil"/>
              <w:bottom w:val="nil"/>
              <w:right w:val="nil"/>
            </w:tcBorders>
          </w:tcPr>
          <w:p w14:paraId="2B063635" w14:textId="5B1BFD0A" w:rsidR="00E768DE" w:rsidRPr="00CE7B22" w:rsidRDefault="00887A59" w:rsidP="00823208">
            <w:pPr>
              <w:rPr>
                <w:color w:val="000000" w:themeColor="text1"/>
              </w:rPr>
            </w:pPr>
            <w:r w:rsidRPr="00CE7B22">
              <w:rPr>
                <w:color w:val="000000" w:themeColor="text1"/>
              </w:rPr>
              <w:t>Review of relevant Trust policies and other documents</w:t>
            </w:r>
            <w:r w:rsidR="007B5F32" w:rsidRPr="00CE7B22">
              <w:rPr>
                <w:color w:val="000000" w:themeColor="text1"/>
              </w:rPr>
              <w:t>.</w:t>
            </w:r>
          </w:p>
        </w:tc>
      </w:tr>
      <w:tr w:rsidR="00E768DE" w14:paraId="3587AF1A" w14:textId="77777777" w:rsidTr="00B94A27">
        <w:tc>
          <w:tcPr>
            <w:tcW w:w="817" w:type="dxa"/>
            <w:tcBorders>
              <w:top w:val="nil"/>
              <w:left w:val="nil"/>
              <w:bottom w:val="nil"/>
              <w:right w:val="nil"/>
            </w:tcBorders>
          </w:tcPr>
          <w:p w14:paraId="2FDA8B41" w14:textId="77777777" w:rsidR="00E768DE" w:rsidRDefault="00E768DE" w:rsidP="00823208"/>
        </w:tc>
        <w:tc>
          <w:tcPr>
            <w:tcW w:w="851" w:type="dxa"/>
            <w:tcBorders>
              <w:top w:val="nil"/>
              <w:left w:val="nil"/>
              <w:bottom w:val="nil"/>
              <w:right w:val="nil"/>
            </w:tcBorders>
          </w:tcPr>
          <w:p w14:paraId="6E1D0537" w14:textId="77777777" w:rsidR="00E768DE" w:rsidRDefault="00E768DE" w:rsidP="00823208"/>
        </w:tc>
        <w:tc>
          <w:tcPr>
            <w:tcW w:w="6848" w:type="dxa"/>
            <w:gridSpan w:val="2"/>
            <w:tcBorders>
              <w:top w:val="nil"/>
              <w:left w:val="nil"/>
              <w:bottom w:val="nil"/>
              <w:right w:val="nil"/>
            </w:tcBorders>
          </w:tcPr>
          <w:p w14:paraId="6A5E0F8E" w14:textId="77777777" w:rsidR="00E768DE" w:rsidRDefault="00E768DE" w:rsidP="00823208"/>
        </w:tc>
      </w:tr>
      <w:tr w:rsidR="00E768DE" w14:paraId="1487D60D" w14:textId="77777777" w:rsidTr="00B94A27">
        <w:tc>
          <w:tcPr>
            <w:tcW w:w="817" w:type="dxa"/>
            <w:tcBorders>
              <w:top w:val="nil"/>
              <w:left w:val="nil"/>
              <w:bottom w:val="nil"/>
              <w:right w:val="nil"/>
            </w:tcBorders>
          </w:tcPr>
          <w:p w14:paraId="31553D3B" w14:textId="77777777" w:rsidR="00E768DE" w:rsidRDefault="00E768DE" w:rsidP="00823208"/>
        </w:tc>
        <w:tc>
          <w:tcPr>
            <w:tcW w:w="851" w:type="dxa"/>
            <w:tcBorders>
              <w:top w:val="nil"/>
              <w:left w:val="nil"/>
              <w:bottom w:val="nil"/>
              <w:right w:val="nil"/>
            </w:tcBorders>
          </w:tcPr>
          <w:p w14:paraId="2E1AD089" w14:textId="77777777" w:rsidR="00E768DE" w:rsidRDefault="00E768DE" w:rsidP="00823208"/>
        </w:tc>
        <w:tc>
          <w:tcPr>
            <w:tcW w:w="6848" w:type="dxa"/>
            <w:gridSpan w:val="2"/>
            <w:tcBorders>
              <w:top w:val="nil"/>
              <w:left w:val="nil"/>
              <w:bottom w:val="nil"/>
              <w:right w:val="nil"/>
            </w:tcBorders>
          </w:tcPr>
          <w:p w14:paraId="55BED1EA" w14:textId="5BC761DE" w:rsidR="00E768DE" w:rsidRPr="00CE7B22" w:rsidRDefault="00887A59" w:rsidP="00823208">
            <w:pPr>
              <w:rPr>
                <w:color w:val="000000" w:themeColor="text1"/>
              </w:rPr>
            </w:pPr>
            <w:r w:rsidRPr="00CE7B22">
              <w:rPr>
                <w:color w:val="000000" w:themeColor="text1"/>
              </w:rPr>
              <w:t xml:space="preserve">Interviews with key Trust </w:t>
            </w:r>
            <w:r w:rsidR="00227D8B" w:rsidRPr="00CE7B22">
              <w:rPr>
                <w:color w:val="000000" w:themeColor="text1"/>
              </w:rPr>
              <w:t>clinicians and managers</w:t>
            </w:r>
            <w:r w:rsidR="007B5F32" w:rsidRPr="00CE7B22">
              <w:rPr>
                <w:color w:val="000000" w:themeColor="text1"/>
              </w:rPr>
              <w:t>.</w:t>
            </w:r>
          </w:p>
        </w:tc>
      </w:tr>
      <w:tr w:rsidR="00742680" w14:paraId="48FBDCA3" w14:textId="77777777" w:rsidTr="00B94A27">
        <w:tc>
          <w:tcPr>
            <w:tcW w:w="817" w:type="dxa"/>
            <w:tcBorders>
              <w:top w:val="nil"/>
              <w:left w:val="nil"/>
              <w:bottom w:val="nil"/>
              <w:right w:val="nil"/>
            </w:tcBorders>
          </w:tcPr>
          <w:p w14:paraId="06C64C4C" w14:textId="77777777" w:rsidR="00742680" w:rsidRDefault="00742680" w:rsidP="00823208"/>
        </w:tc>
        <w:tc>
          <w:tcPr>
            <w:tcW w:w="851" w:type="dxa"/>
            <w:tcBorders>
              <w:top w:val="nil"/>
              <w:left w:val="nil"/>
              <w:bottom w:val="nil"/>
              <w:right w:val="nil"/>
            </w:tcBorders>
          </w:tcPr>
          <w:p w14:paraId="0069BE67" w14:textId="77777777" w:rsidR="00742680" w:rsidRDefault="00742680" w:rsidP="00823208"/>
        </w:tc>
        <w:tc>
          <w:tcPr>
            <w:tcW w:w="6848" w:type="dxa"/>
            <w:gridSpan w:val="2"/>
            <w:tcBorders>
              <w:top w:val="nil"/>
              <w:left w:val="nil"/>
              <w:bottom w:val="nil"/>
              <w:right w:val="nil"/>
            </w:tcBorders>
          </w:tcPr>
          <w:p w14:paraId="73BA3122" w14:textId="77777777" w:rsidR="00742680" w:rsidRDefault="00742680" w:rsidP="00823208"/>
        </w:tc>
      </w:tr>
      <w:tr w:rsidR="00227D8B" w14:paraId="11E2A113" w14:textId="77777777" w:rsidTr="00B94A27">
        <w:tc>
          <w:tcPr>
            <w:tcW w:w="817" w:type="dxa"/>
            <w:tcBorders>
              <w:top w:val="nil"/>
              <w:left w:val="nil"/>
              <w:bottom w:val="nil"/>
              <w:right w:val="nil"/>
            </w:tcBorders>
          </w:tcPr>
          <w:p w14:paraId="5B3B58CA" w14:textId="77777777" w:rsidR="00227D8B" w:rsidRDefault="00227D8B" w:rsidP="00823208"/>
        </w:tc>
        <w:tc>
          <w:tcPr>
            <w:tcW w:w="851" w:type="dxa"/>
            <w:tcBorders>
              <w:top w:val="nil"/>
              <w:left w:val="nil"/>
              <w:bottom w:val="nil"/>
              <w:right w:val="nil"/>
            </w:tcBorders>
          </w:tcPr>
          <w:p w14:paraId="0ECA2550" w14:textId="77777777" w:rsidR="00227D8B" w:rsidRDefault="00227D8B" w:rsidP="00823208"/>
        </w:tc>
        <w:tc>
          <w:tcPr>
            <w:tcW w:w="6848" w:type="dxa"/>
            <w:gridSpan w:val="2"/>
            <w:tcBorders>
              <w:top w:val="nil"/>
              <w:left w:val="nil"/>
              <w:bottom w:val="nil"/>
              <w:right w:val="nil"/>
            </w:tcBorders>
          </w:tcPr>
          <w:p w14:paraId="7C061F10" w14:textId="65169918" w:rsidR="00227D8B" w:rsidRPr="003535D6" w:rsidRDefault="00227D8B" w:rsidP="00823208">
            <w:r w:rsidRPr="003535D6">
              <w:t>Focus group with SWLStG service users and carers</w:t>
            </w:r>
            <w:r w:rsidR="00FD378C" w:rsidRPr="003535D6">
              <w:t xml:space="preserve"> (trans</w:t>
            </w:r>
            <w:r w:rsidR="00166964" w:rsidRPr="003535D6">
              <w:t xml:space="preserve">cript can be found in Appendix C </w:t>
            </w:r>
            <w:r w:rsidR="00FD378C" w:rsidRPr="003535D6">
              <w:t>)</w:t>
            </w:r>
            <w:r w:rsidR="007B5F32" w:rsidRPr="003535D6">
              <w:t>.</w:t>
            </w:r>
          </w:p>
        </w:tc>
      </w:tr>
      <w:tr w:rsidR="00227D8B" w14:paraId="50476D0A" w14:textId="77777777" w:rsidTr="00B94A27">
        <w:tc>
          <w:tcPr>
            <w:tcW w:w="817" w:type="dxa"/>
            <w:tcBorders>
              <w:top w:val="nil"/>
              <w:left w:val="nil"/>
              <w:bottom w:val="nil"/>
              <w:right w:val="nil"/>
            </w:tcBorders>
          </w:tcPr>
          <w:p w14:paraId="33940A0E" w14:textId="77777777" w:rsidR="00227D8B" w:rsidRDefault="00227D8B" w:rsidP="00823208"/>
        </w:tc>
        <w:tc>
          <w:tcPr>
            <w:tcW w:w="851" w:type="dxa"/>
            <w:tcBorders>
              <w:top w:val="nil"/>
              <w:left w:val="nil"/>
              <w:bottom w:val="nil"/>
              <w:right w:val="nil"/>
            </w:tcBorders>
          </w:tcPr>
          <w:p w14:paraId="515280FE" w14:textId="77777777" w:rsidR="00227D8B" w:rsidRDefault="00227D8B" w:rsidP="00823208"/>
        </w:tc>
        <w:tc>
          <w:tcPr>
            <w:tcW w:w="6848" w:type="dxa"/>
            <w:gridSpan w:val="2"/>
            <w:tcBorders>
              <w:top w:val="nil"/>
              <w:left w:val="nil"/>
              <w:bottom w:val="nil"/>
              <w:right w:val="nil"/>
            </w:tcBorders>
          </w:tcPr>
          <w:p w14:paraId="652B7C2B" w14:textId="77777777" w:rsidR="00227D8B" w:rsidRDefault="00227D8B" w:rsidP="00823208"/>
        </w:tc>
      </w:tr>
      <w:tr w:rsidR="00742680" w14:paraId="7B537EE1" w14:textId="77777777" w:rsidTr="00B94A27">
        <w:tc>
          <w:tcPr>
            <w:tcW w:w="817" w:type="dxa"/>
            <w:tcBorders>
              <w:top w:val="nil"/>
              <w:left w:val="nil"/>
              <w:bottom w:val="nil"/>
              <w:right w:val="nil"/>
            </w:tcBorders>
          </w:tcPr>
          <w:p w14:paraId="3C8EEF1D" w14:textId="77777777" w:rsidR="00742680" w:rsidRDefault="00742680" w:rsidP="00823208"/>
        </w:tc>
        <w:tc>
          <w:tcPr>
            <w:tcW w:w="851" w:type="dxa"/>
            <w:tcBorders>
              <w:top w:val="nil"/>
              <w:left w:val="nil"/>
              <w:bottom w:val="nil"/>
              <w:right w:val="nil"/>
            </w:tcBorders>
          </w:tcPr>
          <w:p w14:paraId="5277FAA9" w14:textId="77777777" w:rsidR="00742680" w:rsidRDefault="00742680" w:rsidP="00823208"/>
        </w:tc>
        <w:tc>
          <w:tcPr>
            <w:tcW w:w="6848" w:type="dxa"/>
            <w:gridSpan w:val="2"/>
            <w:tcBorders>
              <w:top w:val="nil"/>
              <w:left w:val="nil"/>
              <w:bottom w:val="nil"/>
              <w:right w:val="nil"/>
            </w:tcBorders>
          </w:tcPr>
          <w:p w14:paraId="5FD7F80A" w14:textId="6C7F32F6" w:rsidR="00742680" w:rsidRDefault="00066BBB" w:rsidP="00561263">
            <w:r>
              <w:t>Service visits to and i</w:t>
            </w:r>
            <w:r w:rsidR="00742680">
              <w:t xml:space="preserve">nterviews with key staff from other </w:t>
            </w:r>
            <w:r>
              <w:t>agencie</w:t>
            </w:r>
            <w:r w:rsidR="00581142">
              <w:t xml:space="preserve">s providing </w:t>
            </w:r>
            <w:r w:rsidR="00742680">
              <w:t xml:space="preserve">care </w:t>
            </w:r>
            <w:r>
              <w:t xml:space="preserve">to </w:t>
            </w:r>
            <w:r w:rsidR="0009593D">
              <w:t>service user</w:t>
            </w:r>
            <w:r>
              <w:t xml:space="preserve">s </w:t>
            </w:r>
            <w:r w:rsidR="00FD378C">
              <w:t xml:space="preserve">also </w:t>
            </w:r>
            <w:r>
              <w:t xml:space="preserve">receiving care </w:t>
            </w:r>
            <w:r w:rsidR="00227D8B">
              <w:t xml:space="preserve">at </w:t>
            </w:r>
            <w:r w:rsidR="00742680">
              <w:t xml:space="preserve">SWLStG, including </w:t>
            </w:r>
            <w:r w:rsidR="00561263">
              <w:t xml:space="preserve">Westminster and </w:t>
            </w:r>
            <w:r w:rsidR="00742680">
              <w:t>Wandsworth Mind</w:t>
            </w:r>
            <w:r w:rsidR="00561263">
              <w:t xml:space="preserve"> (previously Wandsworth Mind)</w:t>
            </w:r>
            <w:r w:rsidR="00FD378C">
              <w:t>, Wandsworth Carers</w:t>
            </w:r>
            <w:r w:rsidR="00325381">
              <w:t>’ Centre</w:t>
            </w:r>
            <w:r w:rsidR="00FD378C">
              <w:t xml:space="preserve"> and</w:t>
            </w:r>
            <w:r w:rsidR="00742680">
              <w:t xml:space="preserve"> Op</w:t>
            </w:r>
            <w:r w:rsidR="009B14B4">
              <w:t xml:space="preserve">tivo </w:t>
            </w:r>
            <w:r>
              <w:t>Housing</w:t>
            </w:r>
            <w:r w:rsidR="00561263">
              <w:t xml:space="preserve"> (previously Viridian Housing).</w:t>
            </w:r>
          </w:p>
        </w:tc>
      </w:tr>
      <w:tr w:rsidR="00E768DE" w14:paraId="2B9FA501" w14:textId="77777777" w:rsidTr="00B94A27">
        <w:tc>
          <w:tcPr>
            <w:tcW w:w="817" w:type="dxa"/>
            <w:tcBorders>
              <w:top w:val="nil"/>
              <w:left w:val="nil"/>
              <w:bottom w:val="nil"/>
              <w:right w:val="nil"/>
            </w:tcBorders>
          </w:tcPr>
          <w:p w14:paraId="3A2B749C" w14:textId="77777777" w:rsidR="00E768DE" w:rsidRDefault="00E768DE" w:rsidP="00823208"/>
        </w:tc>
        <w:tc>
          <w:tcPr>
            <w:tcW w:w="851" w:type="dxa"/>
            <w:tcBorders>
              <w:top w:val="nil"/>
              <w:left w:val="nil"/>
              <w:bottom w:val="nil"/>
              <w:right w:val="nil"/>
            </w:tcBorders>
          </w:tcPr>
          <w:p w14:paraId="30254DE1" w14:textId="77777777" w:rsidR="00E768DE" w:rsidRDefault="00E768DE" w:rsidP="00823208"/>
        </w:tc>
        <w:tc>
          <w:tcPr>
            <w:tcW w:w="6848" w:type="dxa"/>
            <w:gridSpan w:val="2"/>
            <w:tcBorders>
              <w:top w:val="nil"/>
              <w:left w:val="nil"/>
              <w:bottom w:val="nil"/>
              <w:right w:val="nil"/>
            </w:tcBorders>
          </w:tcPr>
          <w:p w14:paraId="222975F9" w14:textId="77777777" w:rsidR="00E768DE" w:rsidRDefault="00E768DE" w:rsidP="00823208"/>
        </w:tc>
      </w:tr>
      <w:tr w:rsidR="00E768DE" w14:paraId="7E5410BF" w14:textId="77777777" w:rsidTr="00B94A27">
        <w:tc>
          <w:tcPr>
            <w:tcW w:w="817" w:type="dxa"/>
            <w:tcBorders>
              <w:top w:val="nil"/>
              <w:left w:val="nil"/>
              <w:bottom w:val="nil"/>
              <w:right w:val="nil"/>
            </w:tcBorders>
          </w:tcPr>
          <w:p w14:paraId="2689DF25" w14:textId="77777777" w:rsidR="00E768DE" w:rsidRDefault="00E768DE" w:rsidP="00823208"/>
        </w:tc>
        <w:tc>
          <w:tcPr>
            <w:tcW w:w="851" w:type="dxa"/>
            <w:tcBorders>
              <w:top w:val="nil"/>
              <w:left w:val="nil"/>
              <w:bottom w:val="nil"/>
              <w:right w:val="nil"/>
            </w:tcBorders>
          </w:tcPr>
          <w:p w14:paraId="124268BC" w14:textId="77777777" w:rsidR="00E768DE" w:rsidRDefault="00E768DE" w:rsidP="00823208"/>
        </w:tc>
        <w:tc>
          <w:tcPr>
            <w:tcW w:w="6848" w:type="dxa"/>
            <w:gridSpan w:val="2"/>
            <w:tcBorders>
              <w:top w:val="nil"/>
              <w:left w:val="nil"/>
              <w:bottom w:val="nil"/>
              <w:right w:val="nil"/>
            </w:tcBorders>
          </w:tcPr>
          <w:p w14:paraId="18B8A30E" w14:textId="55DA7738" w:rsidR="00E768DE" w:rsidRPr="003535D6" w:rsidRDefault="00887A59" w:rsidP="00823208">
            <w:r w:rsidRPr="003535D6">
              <w:t>Interview with Mr R who was accompanied by his current social w</w:t>
            </w:r>
            <w:r w:rsidR="00ED358E" w:rsidRPr="003535D6">
              <w:t>orker from the medium secure unit</w:t>
            </w:r>
            <w:r w:rsidR="007B5F32" w:rsidRPr="003535D6">
              <w:t>.</w:t>
            </w:r>
          </w:p>
        </w:tc>
      </w:tr>
      <w:tr w:rsidR="00E768DE" w14:paraId="357DEBDB" w14:textId="77777777" w:rsidTr="00B94A27">
        <w:tc>
          <w:tcPr>
            <w:tcW w:w="817" w:type="dxa"/>
            <w:tcBorders>
              <w:top w:val="nil"/>
              <w:left w:val="nil"/>
              <w:bottom w:val="nil"/>
              <w:right w:val="nil"/>
            </w:tcBorders>
          </w:tcPr>
          <w:p w14:paraId="7A136638" w14:textId="77777777" w:rsidR="00E768DE" w:rsidRDefault="00E768DE" w:rsidP="00823208"/>
        </w:tc>
        <w:tc>
          <w:tcPr>
            <w:tcW w:w="851" w:type="dxa"/>
            <w:tcBorders>
              <w:top w:val="nil"/>
              <w:left w:val="nil"/>
              <w:bottom w:val="nil"/>
              <w:right w:val="nil"/>
            </w:tcBorders>
          </w:tcPr>
          <w:p w14:paraId="554575D8" w14:textId="77777777" w:rsidR="00E768DE" w:rsidRDefault="00E768DE" w:rsidP="00823208"/>
        </w:tc>
        <w:tc>
          <w:tcPr>
            <w:tcW w:w="6848" w:type="dxa"/>
            <w:gridSpan w:val="2"/>
            <w:tcBorders>
              <w:top w:val="nil"/>
              <w:left w:val="nil"/>
              <w:bottom w:val="nil"/>
              <w:right w:val="nil"/>
            </w:tcBorders>
          </w:tcPr>
          <w:p w14:paraId="64C6B0EA" w14:textId="77777777" w:rsidR="00E768DE" w:rsidRDefault="00E768DE" w:rsidP="00823208"/>
        </w:tc>
      </w:tr>
      <w:tr w:rsidR="00E768DE" w14:paraId="6F60419E" w14:textId="77777777" w:rsidTr="00B94A27">
        <w:tc>
          <w:tcPr>
            <w:tcW w:w="817" w:type="dxa"/>
            <w:tcBorders>
              <w:top w:val="nil"/>
              <w:left w:val="nil"/>
              <w:bottom w:val="nil"/>
              <w:right w:val="nil"/>
            </w:tcBorders>
          </w:tcPr>
          <w:p w14:paraId="3ACE0B26" w14:textId="77777777" w:rsidR="00E768DE" w:rsidRDefault="00E768DE" w:rsidP="00823208"/>
        </w:tc>
        <w:tc>
          <w:tcPr>
            <w:tcW w:w="851" w:type="dxa"/>
            <w:tcBorders>
              <w:top w:val="nil"/>
              <w:left w:val="nil"/>
              <w:bottom w:val="nil"/>
              <w:right w:val="nil"/>
            </w:tcBorders>
          </w:tcPr>
          <w:p w14:paraId="0D8E7B70" w14:textId="77777777" w:rsidR="00E768DE" w:rsidRDefault="00E768DE" w:rsidP="00823208"/>
        </w:tc>
        <w:tc>
          <w:tcPr>
            <w:tcW w:w="6848" w:type="dxa"/>
            <w:gridSpan w:val="2"/>
            <w:tcBorders>
              <w:top w:val="nil"/>
              <w:left w:val="nil"/>
              <w:bottom w:val="nil"/>
              <w:right w:val="nil"/>
            </w:tcBorders>
          </w:tcPr>
          <w:p w14:paraId="2E2227DE" w14:textId="28A254ED" w:rsidR="00E768DE" w:rsidRPr="00CE7B22" w:rsidRDefault="00887A59" w:rsidP="00823208">
            <w:pPr>
              <w:rPr>
                <w:color w:val="000000" w:themeColor="text1"/>
              </w:rPr>
            </w:pPr>
            <w:r w:rsidRPr="00CE7B22">
              <w:rPr>
                <w:color w:val="000000" w:themeColor="text1"/>
              </w:rPr>
              <w:t>Visit to the Trust Recovery College</w:t>
            </w:r>
            <w:r w:rsidR="007B5F32" w:rsidRPr="00CE7B22">
              <w:rPr>
                <w:color w:val="000000" w:themeColor="text1"/>
              </w:rPr>
              <w:t>.</w:t>
            </w:r>
          </w:p>
        </w:tc>
      </w:tr>
      <w:tr w:rsidR="00E768DE" w14:paraId="27EFACE6" w14:textId="77777777" w:rsidTr="00B94A27">
        <w:tc>
          <w:tcPr>
            <w:tcW w:w="817" w:type="dxa"/>
            <w:tcBorders>
              <w:top w:val="nil"/>
              <w:left w:val="nil"/>
              <w:bottom w:val="nil"/>
              <w:right w:val="nil"/>
            </w:tcBorders>
          </w:tcPr>
          <w:p w14:paraId="5AC23FA9" w14:textId="77777777" w:rsidR="00E768DE" w:rsidRDefault="00E768DE" w:rsidP="00823208"/>
        </w:tc>
        <w:tc>
          <w:tcPr>
            <w:tcW w:w="851" w:type="dxa"/>
            <w:tcBorders>
              <w:top w:val="nil"/>
              <w:left w:val="nil"/>
              <w:bottom w:val="nil"/>
              <w:right w:val="nil"/>
            </w:tcBorders>
          </w:tcPr>
          <w:p w14:paraId="69111A92" w14:textId="77777777" w:rsidR="00E768DE" w:rsidRDefault="00E768DE" w:rsidP="00823208"/>
        </w:tc>
        <w:tc>
          <w:tcPr>
            <w:tcW w:w="6848" w:type="dxa"/>
            <w:gridSpan w:val="2"/>
            <w:tcBorders>
              <w:top w:val="nil"/>
              <w:left w:val="nil"/>
              <w:bottom w:val="nil"/>
              <w:right w:val="nil"/>
            </w:tcBorders>
          </w:tcPr>
          <w:p w14:paraId="50354D9F" w14:textId="77777777" w:rsidR="00E768DE" w:rsidRDefault="00E768DE" w:rsidP="00823208"/>
        </w:tc>
      </w:tr>
      <w:tr w:rsidR="00E768DE" w14:paraId="6409F36B" w14:textId="77777777" w:rsidTr="00B94A27">
        <w:tc>
          <w:tcPr>
            <w:tcW w:w="817" w:type="dxa"/>
            <w:tcBorders>
              <w:top w:val="nil"/>
              <w:left w:val="nil"/>
              <w:bottom w:val="nil"/>
              <w:right w:val="nil"/>
            </w:tcBorders>
          </w:tcPr>
          <w:p w14:paraId="30C8A8C1" w14:textId="77777777" w:rsidR="00E768DE" w:rsidRDefault="00E768DE" w:rsidP="00823208"/>
        </w:tc>
        <w:tc>
          <w:tcPr>
            <w:tcW w:w="851" w:type="dxa"/>
            <w:tcBorders>
              <w:top w:val="nil"/>
              <w:left w:val="nil"/>
              <w:bottom w:val="nil"/>
              <w:right w:val="nil"/>
            </w:tcBorders>
          </w:tcPr>
          <w:p w14:paraId="1CFECC9B" w14:textId="77777777" w:rsidR="00E768DE" w:rsidRDefault="00E768DE" w:rsidP="00823208"/>
        </w:tc>
        <w:tc>
          <w:tcPr>
            <w:tcW w:w="6848" w:type="dxa"/>
            <w:gridSpan w:val="2"/>
            <w:tcBorders>
              <w:top w:val="nil"/>
              <w:left w:val="nil"/>
              <w:bottom w:val="nil"/>
              <w:right w:val="nil"/>
            </w:tcBorders>
          </w:tcPr>
          <w:p w14:paraId="75FC1DA3" w14:textId="76A0C22A" w:rsidR="00E768DE" w:rsidRPr="00CE7B22" w:rsidRDefault="00FD378C" w:rsidP="00823208">
            <w:pPr>
              <w:rPr>
                <w:color w:val="000000" w:themeColor="text1"/>
              </w:rPr>
            </w:pPr>
            <w:r w:rsidRPr="00CE7B22">
              <w:rPr>
                <w:color w:val="000000" w:themeColor="text1"/>
              </w:rPr>
              <w:t xml:space="preserve">Central </w:t>
            </w:r>
            <w:r w:rsidR="00887A59" w:rsidRPr="00CE7B22">
              <w:rPr>
                <w:color w:val="000000" w:themeColor="text1"/>
              </w:rPr>
              <w:t xml:space="preserve">Wandsworth and </w:t>
            </w:r>
            <w:r w:rsidRPr="00CE7B22">
              <w:rPr>
                <w:color w:val="000000" w:themeColor="text1"/>
              </w:rPr>
              <w:t xml:space="preserve">West </w:t>
            </w:r>
            <w:r w:rsidR="00887A59" w:rsidRPr="00CE7B22">
              <w:rPr>
                <w:color w:val="000000" w:themeColor="text1"/>
              </w:rPr>
              <w:t>Battersea Community Mental Health Team (CMHT)</w:t>
            </w:r>
            <w:r w:rsidR="007B5F32" w:rsidRPr="00CE7B22">
              <w:rPr>
                <w:color w:val="000000" w:themeColor="text1"/>
              </w:rPr>
              <w:t>.</w:t>
            </w:r>
          </w:p>
        </w:tc>
      </w:tr>
      <w:tr w:rsidR="00E768DE" w14:paraId="53ABF250" w14:textId="77777777" w:rsidTr="00B94A27">
        <w:tc>
          <w:tcPr>
            <w:tcW w:w="817" w:type="dxa"/>
            <w:tcBorders>
              <w:top w:val="nil"/>
              <w:left w:val="nil"/>
              <w:bottom w:val="nil"/>
              <w:right w:val="nil"/>
            </w:tcBorders>
          </w:tcPr>
          <w:p w14:paraId="6CCC3DCA" w14:textId="77777777" w:rsidR="00E768DE" w:rsidRDefault="00E768DE" w:rsidP="00823208"/>
        </w:tc>
        <w:tc>
          <w:tcPr>
            <w:tcW w:w="851" w:type="dxa"/>
            <w:tcBorders>
              <w:top w:val="nil"/>
              <w:left w:val="nil"/>
              <w:bottom w:val="nil"/>
              <w:right w:val="nil"/>
            </w:tcBorders>
          </w:tcPr>
          <w:p w14:paraId="726B5A21" w14:textId="77777777" w:rsidR="00E768DE" w:rsidRDefault="00E768DE" w:rsidP="00823208"/>
        </w:tc>
        <w:tc>
          <w:tcPr>
            <w:tcW w:w="6848" w:type="dxa"/>
            <w:gridSpan w:val="2"/>
            <w:tcBorders>
              <w:top w:val="nil"/>
              <w:left w:val="nil"/>
              <w:bottom w:val="nil"/>
              <w:right w:val="nil"/>
            </w:tcBorders>
          </w:tcPr>
          <w:p w14:paraId="1B6D859F" w14:textId="77777777" w:rsidR="00E768DE" w:rsidRDefault="00E768DE" w:rsidP="00823208"/>
        </w:tc>
      </w:tr>
      <w:tr w:rsidR="00E768DE" w14:paraId="746527E8" w14:textId="77777777" w:rsidTr="00B94A27">
        <w:tc>
          <w:tcPr>
            <w:tcW w:w="817" w:type="dxa"/>
            <w:tcBorders>
              <w:top w:val="nil"/>
              <w:left w:val="nil"/>
              <w:bottom w:val="nil"/>
              <w:right w:val="nil"/>
            </w:tcBorders>
          </w:tcPr>
          <w:p w14:paraId="067BC0D5" w14:textId="77777777" w:rsidR="00E768DE" w:rsidRDefault="00E768DE" w:rsidP="00823208"/>
        </w:tc>
        <w:tc>
          <w:tcPr>
            <w:tcW w:w="851" w:type="dxa"/>
            <w:tcBorders>
              <w:top w:val="nil"/>
              <w:left w:val="nil"/>
              <w:bottom w:val="nil"/>
              <w:right w:val="nil"/>
            </w:tcBorders>
          </w:tcPr>
          <w:p w14:paraId="54A14FB8" w14:textId="77777777" w:rsidR="00E768DE" w:rsidRDefault="00E768DE" w:rsidP="00823208"/>
        </w:tc>
        <w:tc>
          <w:tcPr>
            <w:tcW w:w="6848" w:type="dxa"/>
            <w:gridSpan w:val="2"/>
            <w:tcBorders>
              <w:top w:val="nil"/>
              <w:left w:val="nil"/>
              <w:bottom w:val="nil"/>
              <w:right w:val="nil"/>
            </w:tcBorders>
          </w:tcPr>
          <w:p w14:paraId="4B7C235B" w14:textId="30AEE29E" w:rsidR="00E768DE" w:rsidRPr="00227D8B" w:rsidRDefault="00227D8B" w:rsidP="00823208">
            <w:r w:rsidRPr="00227D8B">
              <w:t xml:space="preserve">Telephone conversations and correspondence with local </w:t>
            </w:r>
            <w:r w:rsidR="00066BBB" w:rsidRPr="00227D8B">
              <w:t>GP services</w:t>
            </w:r>
            <w:r w:rsidRPr="00227D8B">
              <w:t>.</w:t>
            </w:r>
          </w:p>
        </w:tc>
      </w:tr>
      <w:tr w:rsidR="00E768DE" w14:paraId="169B7037" w14:textId="77777777" w:rsidTr="00B94A27">
        <w:tc>
          <w:tcPr>
            <w:tcW w:w="817" w:type="dxa"/>
            <w:tcBorders>
              <w:top w:val="nil"/>
              <w:left w:val="nil"/>
              <w:bottom w:val="nil"/>
              <w:right w:val="nil"/>
            </w:tcBorders>
          </w:tcPr>
          <w:p w14:paraId="67B8E4EB" w14:textId="77777777" w:rsidR="00E768DE" w:rsidRDefault="00E768DE" w:rsidP="00823208"/>
        </w:tc>
        <w:tc>
          <w:tcPr>
            <w:tcW w:w="851" w:type="dxa"/>
            <w:tcBorders>
              <w:top w:val="nil"/>
              <w:left w:val="nil"/>
              <w:bottom w:val="nil"/>
              <w:right w:val="nil"/>
            </w:tcBorders>
          </w:tcPr>
          <w:p w14:paraId="3B32EC1B" w14:textId="77777777" w:rsidR="00E768DE" w:rsidRDefault="00E768DE" w:rsidP="00823208"/>
        </w:tc>
        <w:tc>
          <w:tcPr>
            <w:tcW w:w="6848" w:type="dxa"/>
            <w:gridSpan w:val="2"/>
            <w:tcBorders>
              <w:top w:val="nil"/>
              <w:left w:val="nil"/>
              <w:bottom w:val="nil"/>
              <w:right w:val="nil"/>
            </w:tcBorders>
          </w:tcPr>
          <w:p w14:paraId="2B988E65" w14:textId="77777777" w:rsidR="00C076E5" w:rsidRDefault="00C076E5" w:rsidP="00823208"/>
        </w:tc>
      </w:tr>
      <w:tr w:rsidR="00E768DE" w14:paraId="268A58BB" w14:textId="77777777" w:rsidTr="00B94A27">
        <w:tc>
          <w:tcPr>
            <w:tcW w:w="817" w:type="dxa"/>
            <w:tcBorders>
              <w:top w:val="nil"/>
              <w:left w:val="nil"/>
              <w:bottom w:val="nil"/>
              <w:right w:val="nil"/>
            </w:tcBorders>
          </w:tcPr>
          <w:p w14:paraId="642CB84F" w14:textId="77777777" w:rsidR="00E768DE" w:rsidRDefault="00E768DE" w:rsidP="00823208"/>
        </w:tc>
        <w:tc>
          <w:tcPr>
            <w:tcW w:w="851" w:type="dxa"/>
            <w:tcBorders>
              <w:top w:val="nil"/>
              <w:left w:val="nil"/>
              <w:bottom w:val="nil"/>
              <w:right w:val="nil"/>
            </w:tcBorders>
          </w:tcPr>
          <w:p w14:paraId="22A78FBC" w14:textId="77777777" w:rsidR="00E768DE" w:rsidRDefault="00E768DE" w:rsidP="00823208"/>
        </w:tc>
        <w:tc>
          <w:tcPr>
            <w:tcW w:w="6848" w:type="dxa"/>
            <w:gridSpan w:val="2"/>
            <w:tcBorders>
              <w:top w:val="nil"/>
              <w:left w:val="nil"/>
              <w:bottom w:val="nil"/>
              <w:right w:val="nil"/>
            </w:tcBorders>
          </w:tcPr>
          <w:p w14:paraId="1141DB64" w14:textId="54D462C1" w:rsidR="00E768DE" w:rsidRPr="00371D3D" w:rsidRDefault="00227D8B" w:rsidP="00455E64">
            <w:pPr>
              <w:rPr>
                <w:color w:val="000000" w:themeColor="text1"/>
              </w:rPr>
            </w:pPr>
            <w:r w:rsidRPr="00371D3D">
              <w:rPr>
                <w:color w:val="000000" w:themeColor="text1"/>
              </w:rPr>
              <w:t xml:space="preserve">The victim and perpetrator are members of the same family. </w:t>
            </w:r>
            <w:r w:rsidR="00455E64" w:rsidRPr="00371D3D">
              <w:rPr>
                <w:color w:val="000000" w:themeColor="text1"/>
              </w:rPr>
              <w:t xml:space="preserve">That is, </w:t>
            </w:r>
            <w:r w:rsidR="00173237" w:rsidRPr="00371D3D">
              <w:rPr>
                <w:color w:val="000000" w:themeColor="text1"/>
              </w:rPr>
              <w:t xml:space="preserve">the victim </w:t>
            </w:r>
            <w:r w:rsidR="00455E64" w:rsidRPr="00371D3D">
              <w:rPr>
                <w:color w:val="000000" w:themeColor="text1"/>
              </w:rPr>
              <w:t xml:space="preserve">Mrs R was killed by her son, Mr R. </w:t>
            </w:r>
            <w:r w:rsidRPr="00371D3D">
              <w:rPr>
                <w:color w:val="000000" w:themeColor="text1"/>
              </w:rPr>
              <w:t>There are no relatives currently living in England. At the time of writing</w:t>
            </w:r>
            <w:r w:rsidR="00581142" w:rsidRPr="00371D3D">
              <w:rPr>
                <w:color w:val="000000" w:themeColor="text1"/>
              </w:rPr>
              <w:t xml:space="preserve"> it is unclear whether the </w:t>
            </w:r>
            <w:r w:rsidR="00FD378C" w:rsidRPr="00371D3D">
              <w:rPr>
                <w:color w:val="000000" w:themeColor="text1"/>
              </w:rPr>
              <w:t xml:space="preserve">extended </w:t>
            </w:r>
            <w:r w:rsidR="00581142" w:rsidRPr="00371D3D">
              <w:rPr>
                <w:color w:val="000000" w:themeColor="text1"/>
              </w:rPr>
              <w:t xml:space="preserve">family </w:t>
            </w:r>
            <w:r w:rsidR="00FD378C" w:rsidRPr="00371D3D">
              <w:rPr>
                <w:color w:val="000000" w:themeColor="text1"/>
              </w:rPr>
              <w:t xml:space="preserve">living abroad </w:t>
            </w:r>
            <w:r w:rsidR="00581142" w:rsidRPr="00371D3D">
              <w:rPr>
                <w:color w:val="000000" w:themeColor="text1"/>
              </w:rPr>
              <w:t>will wish to have contact with the review team</w:t>
            </w:r>
            <w:r w:rsidR="00561263" w:rsidRPr="00371D3D">
              <w:rPr>
                <w:color w:val="000000" w:themeColor="text1"/>
              </w:rPr>
              <w:t>.</w:t>
            </w:r>
          </w:p>
        </w:tc>
      </w:tr>
      <w:tr w:rsidR="00E66282" w14:paraId="7844F2BE" w14:textId="77777777" w:rsidTr="00B94A27">
        <w:tc>
          <w:tcPr>
            <w:tcW w:w="817" w:type="dxa"/>
            <w:tcBorders>
              <w:top w:val="nil"/>
              <w:left w:val="nil"/>
              <w:bottom w:val="nil"/>
              <w:right w:val="nil"/>
            </w:tcBorders>
          </w:tcPr>
          <w:p w14:paraId="6F24292B" w14:textId="77777777" w:rsidR="00E66282" w:rsidRDefault="00E66282" w:rsidP="00823208"/>
        </w:tc>
        <w:tc>
          <w:tcPr>
            <w:tcW w:w="851" w:type="dxa"/>
            <w:tcBorders>
              <w:top w:val="nil"/>
              <w:left w:val="nil"/>
              <w:bottom w:val="nil"/>
              <w:right w:val="nil"/>
            </w:tcBorders>
          </w:tcPr>
          <w:p w14:paraId="594C55FF" w14:textId="77777777" w:rsidR="00E66282" w:rsidRDefault="00E66282" w:rsidP="00823208"/>
        </w:tc>
        <w:tc>
          <w:tcPr>
            <w:tcW w:w="6848" w:type="dxa"/>
            <w:gridSpan w:val="2"/>
            <w:tcBorders>
              <w:top w:val="nil"/>
              <w:left w:val="nil"/>
              <w:bottom w:val="nil"/>
              <w:right w:val="nil"/>
            </w:tcBorders>
          </w:tcPr>
          <w:p w14:paraId="608C0FBF" w14:textId="77777777" w:rsidR="00E66282" w:rsidRDefault="00E66282" w:rsidP="00823208"/>
        </w:tc>
      </w:tr>
      <w:tr w:rsidR="00561263" w14:paraId="78941AAB" w14:textId="77777777" w:rsidTr="00B94A27">
        <w:tc>
          <w:tcPr>
            <w:tcW w:w="817" w:type="dxa"/>
            <w:tcBorders>
              <w:top w:val="nil"/>
              <w:left w:val="nil"/>
              <w:bottom w:val="nil"/>
              <w:right w:val="nil"/>
            </w:tcBorders>
          </w:tcPr>
          <w:p w14:paraId="7D0F1850" w14:textId="77777777" w:rsidR="00561263" w:rsidRDefault="00561263" w:rsidP="00823208"/>
        </w:tc>
        <w:tc>
          <w:tcPr>
            <w:tcW w:w="851" w:type="dxa"/>
            <w:tcBorders>
              <w:top w:val="nil"/>
              <w:left w:val="nil"/>
              <w:bottom w:val="nil"/>
              <w:right w:val="nil"/>
            </w:tcBorders>
          </w:tcPr>
          <w:p w14:paraId="4724BDCE" w14:textId="77777777" w:rsidR="00561263" w:rsidRDefault="00561263" w:rsidP="00823208"/>
        </w:tc>
        <w:tc>
          <w:tcPr>
            <w:tcW w:w="6848" w:type="dxa"/>
            <w:gridSpan w:val="2"/>
            <w:tcBorders>
              <w:top w:val="nil"/>
              <w:left w:val="nil"/>
              <w:bottom w:val="nil"/>
              <w:right w:val="nil"/>
            </w:tcBorders>
          </w:tcPr>
          <w:p w14:paraId="679274B4" w14:textId="64D006EF" w:rsidR="00561263" w:rsidRDefault="00561263" w:rsidP="00823208">
            <w:r>
              <w:t>We met with representatives from the CCG.</w:t>
            </w:r>
          </w:p>
        </w:tc>
      </w:tr>
      <w:tr w:rsidR="00B43C5B" w14:paraId="105FF156" w14:textId="77777777" w:rsidTr="00B94A27">
        <w:tc>
          <w:tcPr>
            <w:tcW w:w="817" w:type="dxa"/>
            <w:tcBorders>
              <w:top w:val="nil"/>
              <w:left w:val="nil"/>
              <w:bottom w:val="nil"/>
              <w:right w:val="nil"/>
            </w:tcBorders>
          </w:tcPr>
          <w:p w14:paraId="44417BBC" w14:textId="77777777" w:rsidR="00B43C5B" w:rsidRDefault="00B43C5B" w:rsidP="00823208"/>
        </w:tc>
        <w:tc>
          <w:tcPr>
            <w:tcW w:w="851" w:type="dxa"/>
            <w:tcBorders>
              <w:top w:val="nil"/>
              <w:left w:val="nil"/>
              <w:bottom w:val="nil"/>
              <w:right w:val="nil"/>
            </w:tcBorders>
          </w:tcPr>
          <w:p w14:paraId="1F34AAE0" w14:textId="77777777" w:rsidR="00B43C5B" w:rsidRDefault="00B43C5B" w:rsidP="00823208"/>
        </w:tc>
        <w:tc>
          <w:tcPr>
            <w:tcW w:w="6848" w:type="dxa"/>
            <w:gridSpan w:val="2"/>
            <w:tcBorders>
              <w:top w:val="nil"/>
              <w:left w:val="nil"/>
              <w:bottom w:val="nil"/>
              <w:right w:val="nil"/>
            </w:tcBorders>
          </w:tcPr>
          <w:p w14:paraId="428C031B" w14:textId="77777777" w:rsidR="00B43C5B" w:rsidRDefault="00B43C5B" w:rsidP="00823208"/>
        </w:tc>
      </w:tr>
      <w:tr w:rsidR="00FD378C" w14:paraId="60EE9C98" w14:textId="77777777" w:rsidTr="00B94A27">
        <w:tc>
          <w:tcPr>
            <w:tcW w:w="817" w:type="dxa"/>
            <w:tcBorders>
              <w:top w:val="nil"/>
              <w:left w:val="nil"/>
              <w:bottom w:val="nil"/>
              <w:right w:val="nil"/>
            </w:tcBorders>
          </w:tcPr>
          <w:p w14:paraId="4D012067" w14:textId="77777777" w:rsidR="00FD378C" w:rsidRDefault="00FD378C" w:rsidP="00823208"/>
        </w:tc>
        <w:tc>
          <w:tcPr>
            <w:tcW w:w="851" w:type="dxa"/>
            <w:tcBorders>
              <w:top w:val="nil"/>
              <w:left w:val="nil"/>
              <w:bottom w:val="nil"/>
              <w:right w:val="nil"/>
            </w:tcBorders>
          </w:tcPr>
          <w:p w14:paraId="3F44E06A" w14:textId="77777777" w:rsidR="00FD378C" w:rsidRDefault="00FD378C" w:rsidP="00823208"/>
        </w:tc>
        <w:tc>
          <w:tcPr>
            <w:tcW w:w="6848" w:type="dxa"/>
            <w:gridSpan w:val="2"/>
            <w:tcBorders>
              <w:top w:val="nil"/>
              <w:left w:val="nil"/>
              <w:bottom w:val="nil"/>
              <w:right w:val="nil"/>
            </w:tcBorders>
          </w:tcPr>
          <w:p w14:paraId="506229E8" w14:textId="5BB77F44" w:rsidR="00FD378C" w:rsidRPr="003535D6" w:rsidRDefault="00FD378C" w:rsidP="00FD378C">
            <w:r w:rsidRPr="003535D6">
              <w:t xml:space="preserve">A review of the evidence base regarding homicide </w:t>
            </w:r>
            <w:r w:rsidR="008835A3" w:rsidRPr="003535D6">
              <w:t xml:space="preserve">of a family member </w:t>
            </w:r>
            <w:r w:rsidRPr="003535D6">
              <w:t xml:space="preserve">by perpetrators </w:t>
            </w:r>
            <w:r w:rsidR="008835A3" w:rsidRPr="003535D6">
              <w:t xml:space="preserve">who have a diagnosis of severe and enduring mental illness </w:t>
            </w:r>
            <w:r w:rsidR="00D77EC4" w:rsidRPr="003535D6">
              <w:t>(usually schizophrenia) who are under the care of CMHTs at the time of the offence (</w:t>
            </w:r>
            <w:r w:rsidR="00352FBB" w:rsidRPr="003535D6">
              <w:t xml:space="preserve">the </w:t>
            </w:r>
            <w:r w:rsidR="00D77EC4" w:rsidRPr="003535D6">
              <w:t xml:space="preserve">full </w:t>
            </w:r>
            <w:r w:rsidR="00352FBB" w:rsidRPr="003535D6">
              <w:t>paper can be found at Appendix B</w:t>
            </w:r>
            <w:r w:rsidR="00D77EC4" w:rsidRPr="003535D6">
              <w:t>).</w:t>
            </w:r>
          </w:p>
        </w:tc>
      </w:tr>
      <w:tr w:rsidR="00FD378C" w14:paraId="0D8F93B3" w14:textId="77777777" w:rsidTr="00B94A27">
        <w:tc>
          <w:tcPr>
            <w:tcW w:w="817" w:type="dxa"/>
            <w:tcBorders>
              <w:top w:val="nil"/>
              <w:left w:val="nil"/>
              <w:bottom w:val="nil"/>
              <w:right w:val="nil"/>
            </w:tcBorders>
          </w:tcPr>
          <w:p w14:paraId="62CCDD77" w14:textId="77777777" w:rsidR="00FD378C" w:rsidRDefault="00FD378C" w:rsidP="00823208"/>
        </w:tc>
        <w:tc>
          <w:tcPr>
            <w:tcW w:w="851" w:type="dxa"/>
            <w:tcBorders>
              <w:top w:val="nil"/>
              <w:left w:val="nil"/>
              <w:bottom w:val="nil"/>
              <w:right w:val="nil"/>
            </w:tcBorders>
          </w:tcPr>
          <w:p w14:paraId="6858F8F7" w14:textId="77777777" w:rsidR="00FD378C" w:rsidRDefault="00FD378C" w:rsidP="00823208"/>
        </w:tc>
        <w:tc>
          <w:tcPr>
            <w:tcW w:w="6848" w:type="dxa"/>
            <w:gridSpan w:val="2"/>
            <w:tcBorders>
              <w:top w:val="nil"/>
              <w:left w:val="nil"/>
              <w:bottom w:val="nil"/>
              <w:right w:val="nil"/>
            </w:tcBorders>
          </w:tcPr>
          <w:p w14:paraId="38541AA9" w14:textId="77777777" w:rsidR="00FD378C" w:rsidRDefault="00FD378C" w:rsidP="00823208"/>
        </w:tc>
      </w:tr>
      <w:tr w:rsidR="00E768DE" w14:paraId="3C998C8D" w14:textId="77777777" w:rsidTr="00B94A27">
        <w:tc>
          <w:tcPr>
            <w:tcW w:w="817" w:type="dxa"/>
            <w:tcBorders>
              <w:top w:val="nil"/>
              <w:left w:val="nil"/>
              <w:bottom w:val="nil"/>
              <w:right w:val="nil"/>
            </w:tcBorders>
          </w:tcPr>
          <w:p w14:paraId="247AC9C3" w14:textId="77777777" w:rsidR="00E768DE" w:rsidRDefault="00E768DE" w:rsidP="00823208"/>
        </w:tc>
        <w:tc>
          <w:tcPr>
            <w:tcW w:w="851" w:type="dxa"/>
            <w:tcBorders>
              <w:top w:val="nil"/>
              <w:left w:val="nil"/>
              <w:bottom w:val="nil"/>
              <w:right w:val="nil"/>
            </w:tcBorders>
          </w:tcPr>
          <w:p w14:paraId="159B10CA" w14:textId="77777777" w:rsidR="00E768DE" w:rsidRDefault="00E768DE" w:rsidP="00823208"/>
        </w:tc>
        <w:tc>
          <w:tcPr>
            <w:tcW w:w="6848" w:type="dxa"/>
            <w:gridSpan w:val="2"/>
            <w:tcBorders>
              <w:top w:val="nil"/>
              <w:left w:val="nil"/>
              <w:bottom w:val="nil"/>
              <w:right w:val="nil"/>
            </w:tcBorders>
          </w:tcPr>
          <w:p w14:paraId="78DFCBC7" w14:textId="16F5C1FE" w:rsidR="00A87FE8" w:rsidRDefault="00B43C5B" w:rsidP="00823208">
            <w:r>
              <w:t>Peer review</w:t>
            </w:r>
            <w:r w:rsidR="00561263">
              <w:t xml:space="preserve"> of findings and recommendations within Psychological Approaches CIC</w:t>
            </w:r>
            <w:r w:rsidR="00D77EC4">
              <w:t xml:space="preserve"> team</w:t>
            </w:r>
            <w:r w:rsidR="00561263">
              <w:t>.</w:t>
            </w:r>
          </w:p>
        </w:tc>
      </w:tr>
      <w:tr w:rsidR="00561263" w14:paraId="202F300E" w14:textId="77777777" w:rsidTr="00B94A27">
        <w:tc>
          <w:tcPr>
            <w:tcW w:w="817" w:type="dxa"/>
            <w:tcBorders>
              <w:top w:val="nil"/>
              <w:left w:val="nil"/>
              <w:bottom w:val="nil"/>
              <w:right w:val="nil"/>
            </w:tcBorders>
          </w:tcPr>
          <w:p w14:paraId="2ABF65A6" w14:textId="77777777" w:rsidR="00561263" w:rsidRDefault="00561263" w:rsidP="00823208"/>
        </w:tc>
        <w:tc>
          <w:tcPr>
            <w:tcW w:w="851" w:type="dxa"/>
            <w:tcBorders>
              <w:top w:val="nil"/>
              <w:left w:val="nil"/>
              <w:bottom w:val="nil"/>
              <w:right w:val="nil"/>
            </w:tcBorders>
          </w:tcPr>
          <w:p w14:paraId="0BAB4FA6" w14:textId="77777777" w:rsidR="00561263" w:rsidRDefault="00561263" w:rsidP="00823208"/>
        </w:tc>
        <w:tc>
          <w:tcPr>
            <w:tcW w:w="6848" w:type="dxa"/>
            <w:gridSpan w:val="2"/>
            <w:tcBorders>
              <w:top w:val="nil"/>
              <w:left w:val="nil"/>
              <w:bottom w:val="nil"/>
              <w:right w:val="nil"/>
            </w:tcBorders>
          </w:tcPr>
          <w:p w14:paraId="461B4B93" w14:textId="77777777" w:rsidR="00561263" w:rsidRDefault="00561263" w:rsidP="00823208"/>
        </w:tc>
      </w:tr>
      <w:tr w:rsidR="00E768DE" w14:paraId="0872FA3C" w14:textId="77777777" w:rsidTr="00B94A27">
        <w:tc>
          <w:tcPr>
            <w:tcW w:w="817" w:type="dxa"/>
            <w:tcBorders>
              <w:top w:val="nil"/>
              <w:left w:val="nil"/>
              <w:bottom w:val="nil"/>
              <w:right w:val="nil"/>
            </w:tcBorders>
          </w:tcPr>
          <w:p w14:paraId="69B1CF6B" w14:textId="77777777" w:rsidR="00E768DE" w:rsidRDefault="00E768DE" w:rsidP="00823208"/>
        </w:tc>
        <w:tc>
          <w:tcPr>
            <w:tcW w:w="851" w:type="dxa"/>
            <w:tcBorders>
              <w:top w:val="nil"/>
              <w:left w:val="nil"/>
              <w:bottom w:val="nil"/>
              <w:right w:val="nil"/>
            </w:tcBorders>
          </w:tcPr>
          <w:p w14:paraId="656F1FAC" w14:textId="01B29311" w:rsidR="00E768DE" w:rsidRPr="00581142" w:rsidRDefault="00581142" w:rsidP="00823208">
            <w:pPr>
              <w:rPr>
                <w:b/>
                <w:color w:val="4F6228" w:themeColor="accent3" w:themeShade="80"/>
              </w:rPr>
            </w:pPr>
            <w:r w:rsidRPr="00581142">
              <w:rPr>
                <w:b/>
                <w:color w:val="4F6228" w:themeColor="accent3" w:themeShade="80"/>
              </w:rPr>
              <w:t>2.5</w:t>
            </w:r>
          </w:p>
        </w:tc>
        <w:tc>
          <w:tcPr>
            <w:tcW w:w="6848" w:type="dxa"/>
            <w:gridSpan w:val="2"/>
            <w:tcBorders>
              <w:top w:val="nil"/>
              <w:left w:val="nil"/>
              <w:bottom w:val="nil"/>
              <w:right w:val="nil"/>
            </w:tcBorders>
          </w:tcPr>
          <w:p w14:paraId="731F0796" w14:textId="3AC09618" w:rsidR="00E768DE" w:rsidRPr="00581142" w:rsidRDefault="00581142" w:rsidP="00823208">
            <w:pPr>
              <w:rPr>
                <w:b/>
                <w:color w:val="4F6228" w:themeColor="accent3" w:themeShade="80"/>
              </w:rPr>
            </w:pPr>
            <w:r w:rsidRPr="00581142">
              <w:rPr>
                <w:b/>
                <w:color w:val="4F6228" w:themeColor="accent3" w:themeShade="80"/>
              </w:rPr>
              <w:t>BACKGROUND TO THE CASE</w:t>
            </w:r>
          </w:p>
        </w:tc>
      </w:tr>
      <w:tr w:rsidR="00E768DE" w14:paraId="1D3E7BF8" w14:textId="77777777" w:rsidTr="00B94A27">
        <w:tc>
          <w:tcPr>
            <w:tcW w:w="817" w:type="dxa"/>
            <w:tcBorders>
              <w:top w:val="nil"/>
              <w:left w:val="nil"/>
              <w:bottom w:val="nil"/>
              <w:right w:val="nil"/>
            </w:tcBorders>
          </w:tcPr>
          <w:p w14:paraId="3DF68346" w14:textId="77777777" w:rsidR="00E768DE" w:rsidRDefault="00E768DE" w:rsidP="00823208"/>
        </w:tc>
        <w:tc>
          <w:tcPr>
            <w:tcW w:w="851" w:type="dxa"/>
            <w:tcBorders>
              <w:top w:val="nil"/>
              <w:left w:val="nil"/>
              <w:bottom w:val="nil"/>
              <w:right w:val="nil"/>
            </w:tcBorders>
          </w:tcPr>
          <w:p w14:paraId="3516E61A" w14:textId="77777777" w:rsidR="00E768DE" w:rsidRDefault="00E768DE" w:rsidP="00823208"/>
        </w:tc>
        <w:tc>
          <w:tcPr>
            <w:tcW w:w="6848" w:type="dxa"/>
            <w:gridSpan w:val="2"/>
            <w:tcBorders>
              <w:top w:val="nil"/>
              <w:left w:val="nil"/>
              <w:bottom w:val="nil"/>
              <w:right w:val="nil"/>
            </w:tcBorders>
          </w:tcPr>
          <w:p w14:paraId="4A864CD6" w14:textId="77777777" w:rsidR="00E768DE" w:rsidRDefault="00E768DE" w:rsidP="00823208"/>
        </w:tc>
      </w:tr>
      <w:tr w:rsidR="00561263" w14:paraId="50394F0C" w14:textId="77777777" w:rsidTr="00B94A27">
        <w:tc>
          <w:tcPr>
            <w:tcW w:w="817" w:type="dxa"/>
            <w:tcBorders>
              <w:top w:val="nil"/>
              <w:left w:val="nil"/>
              <w:bottom w:val="nil"/>
              <w:right w:val="nil"/>
            </w:tcBorders>
          </w:tcPr>
          <w:p w14:paraId="4A18162C" w14:textId="77777777" w:rsidR="00561263" w:rsidRDefault="00561263" w:rsidP="00823208"/>
        </w:tc>
        <w:tc>
          <w:tcPr>
            <w:tcW w:w="851" w:type="dxa"/>
            <w:tcBorders>
              <w:top w:val="nil"/>
              <w:left w:val="nil"/>
              <w:bottom w:val="nil"/>
              <w:right w:val="nil"/>
            </w:tcBorders>
          </w:tcPr>
          <w:p w14:paraId="19177BD1" w14:textId="77777777" w:rsidR="00561263" w:rsidRDefault="00561263" w:rsidP="00823208"/>
        </w:tc>
        <w:tc>
          <w:tcPr>
            <w:tcW w:w="6848" w:type="dxa"/>
            <w:gridSpan w:val="2"/>
            <w:tcBorders>
              <w:top w:val="nil"/>
              <w:left w:val="nil"/>
              <w:bottom w:val="nil"/>
              <w:right w:val="nil"/>
            </w:tcBorders>
          </w:tcPr>
          <w:p w14:paraId="34F5AEA2" w14:textId="24514041" w:rsidR="00561263" w:rsidRPr="00561263" w:rsidRDefault="00561263" w:rsidP="00561263">
            <w:pPr>
              <w:rPr>
                <w:b/>
                <w:color w:val="4F6228" w:themeColor="accent3" w:themeShade="80"/>
              </w:rPr>
            </w:pPr>
            <w:r w:rsidRPr="00561263">
              <w:rPr>
                <w:b/>
                <w:color w:val="4F6228" w:themeColor="accent3" w:themeShade="80"/>
              </w:rPr>
              <w:t xml:space="preserve">Mr R’s </w:t>
            </w:r>
            <w:r>
              <w:rPr>
                <w:b/>
                <w:color w:val="4F6228" w:themeColor="accent3" w:themeShade="80"/>
              </w:rPr>
              <w:t>Mental Health History</w:t>
            </w:r>
          </w:p>
        </w:tc>
      </w:tr>
      <w:tr w:rsidR="00561263" w14:paraId="69A602C4" w14:textId="77777777" w:rsidTr="00B94A27">
        <w:tc>
          <w:tcPr>
            <w:tcW w:w="817" w:type="dxa"/>
            <w:tcBorders>
              <w:top w:val="nil"/>
              <w:left w:val="nil"/>
              <w:bottom w:val="nil"/>
              <w:right w:val="nil"/>
            </w:tcBorders>
          </w:tcPr>
          <w:p w14:paraId="538F7C90" w14:textId="77777777" w:rsidR="00561263" w:rsidRDefault="00561263" w:rsidP="00823208"/>
        </w:tc>
        <w:tc>
          <w:tcPr>
            <w:tcW w:w="851" w:type="dxa"/>
            <w:tcBorders>
              <w:top w:val="nil"/>
              <w:left w:val="nil"/>
              <w:bottom w:val="nil"/>
              <w:right w:val="nil"/>
            </w:tcBorders>
          </w:tcPr>
          <w:p w14:paraId="42AA8A69" w14:textId="77777777" w:rsidR="00561263" w:rsidRDefault="00561263" w:rsidP="00823208"/>
        </w:tc>
        <w:tc>
          <w:tcPr>
            <w:tcW w:w="6848" w:type="dxa"/>
            <w:gridSpan w:val="2"/>
            <w:tcBorders>
              <w:top w:val="nil"/>
              <w:left w:val="nil"/>
              <w:bottom w:val="nil"/>
              <w:right w:val="nil"/>
            </w:tcBorders>
          </w:tcPr>
          <w:p w14:paraId="238CBFC7" w14:textId="77777777" w:rsidR="00561263" w:rsidRDefault="00561263" w:rsidP="00823208"/>
        </w:tc>
      </w:tr>
      <w:tr w:rsidR="00E768DE" w14:paraId="5AAB979C" w14:textId="77777777" w:rsidTr="00B94A27">
        <w:tc>
          <w:tcPr>
            <w:tcW w:w="817" w:type="dxa"/>
            <w:tcBorders>
              <w:top w:val="nil"/>
              <w:left w:val="nil"/>
              <w:bottom w:val="nil"/>
              <w:right w:val="nil"/>
            </w:tcBorders>
          </w:tcPr>
          <w:p w14:paraId="0126A4DA" w14:textId="77777777" w:rsidR="00E768DE" w:rsidRDefault="00E768DE" w:rsidP="00823208"/>
        </w:tc>
        <w:tc>
          <w:tcPr>
            <w:tcW w:w="851" w:type="dxa"/>
            <w:tcBorders>
              <w:top w:val="nil"/>
              <w:left w:val="nil"/>
              <w:bottom w:val="nil"/>
              <w:right w:val="nil"/>
            </w:tcBorders>
          </w:tcPr>
          <w:p w14:paraId="428EE4CF" w14:textId="77777777" w:rsidR="00E768DE" w:rsidRDefault="00E768DE" w:rsidP="00823208"/>
        </w:tc>
        <w:tc>
          <w:tcPr>
            <w:tcW w:w="6848" w:type="dxa"/>
            <w:gridSpan w:val="2"/>
            <w:tcBorders>
              <w:top w:val="nil"/>
              <w:left w:val="nil"/>
              <w:bottom w:val="nil"/>
              <w:right w:val="nil"/>
            </w:tcBorders>
          </w:tcPr>
          <w:p w14:paraId="7EECBA14" w14:textId="72C1263A" w:rsidR="00E768DE" w:rsidRDefault="009C0813" w:rsidP="00561263">
            <w:r>
              <w:t xml:space="preserve">Mr R was </w:t>
            </w:r>
            <w:r w:rsidR="00561263">
              <w:t xml:space="preserve">born in Glasgow in 1963. The family moved to London during his early childhood and settled there. He was </w:t>
            </w:r>
            <w:r>
              <w:t>his parents’ only child. His father was from Scotland, and his mother was from Spain. Mr R reported that his father was an alcoholic and violent to both Mr R and his mother when intoxicated. His father became paranoid if his mother spoke to him in Spanish</w:t>
            </w:r>
            <w:r w:rsidR="00AB1D65">
              <w:t xml:space="preserve">. At this time his mother was unable to speak English. Therefore Mr R was left with nobody to speak to. In order to communicate, he and his mother did so using </w:t>
            </w:r>
            <w:r>
              <w:t xml:space="preserve">sign language. </w:t>
            </w:r>
          </w:p>
        </w:tc>
      </w:tr>
      <w:tr w:rsidR="00E768DE" w14:paraId="7BBEA620" w14:textId="77777777" w:rsidTr="00B94A27">
        <w:tc>
          <w:tcPr>
            <w:tcW w:w="817" w:type="dxa"/>
            <w:tcBorders>
              <w:top w:val="nil"/>
              <w:left w:val="nil"/>
              <w:bottom w:val="nil"/>
              <w:right w:val="nil"/>
            </w:tcBorders>
          </w:tcPr>
          <w:p w14:paraId="03E42FBD" w14:textId="77777777" w:rsidR="00E768DE" w:rsidRDefault="00E768DE" w:rsidP="00823208"/>
        </w:tc>
        <w:tc>
          <w:tcPr>
            <w:tcW w:w="851" w:type="dxa"/>
            <w:tcBorders>
              <w:top w:val="nil"/>
              <w:left w:val="nil"/>
              <w:bottom w:val="nil"/>
              <w:right w:val="nil"/>
            </w:tcBorders>
          </w:tcPr>
          <w:p w14:paraId="640826FF" w14:textId="77777777" w:rsidR="00E768DE" w:rsidRDefault="00E768DE" w:rsidP="00823208"/>
        </w:tc>
        <w:tc>
          <w:tcPr>
            <w:tcW w:w="6848" w:type="dxa"/>
            <w:gridSpan w:val="2"/>
            <w:tcBorders>
              <w:top w:val="nil"/>
              <w:left w:val="nil"/>
              <w:bottom w:val="nil"/>
              <w:right w:val="nil"/>
            </w:tcBorders>
          </w:tcPr>
          <w:p w14:paraId="27CCED77" w14:textId="77777777" w:rsidR="00E768DE" w:rsidRDefault="00E768DE" w:rsidP="00823208"/>
        </w:tc>
      </w:tr>
      <w:tr w:rsidR="00E768DE" w14:paraId="587E3321" w14:textId="77777777" w:rsidTr="00B94A27">
        <w:tc>
          <w:tcPr>
            <w:tcW w:w="817" w:type="dxa"/>
            <w:tcBorders>
              <w:top w:val="nil"/>
              <w:left w:val="nil"/>
              <w:bottom w:val="nil"/>
              <w:right w:val="nil"/>
            </w:tcBorders>
          </w:tcPr>
          <w:p w14:paraId="5BF806CB" w14:textId="77777777" w:rsidR="00E768DE" w:rsidRDefault="00E768DE" w:rsidP="00823208"/>
        </w:tc>
        <w:tc>
          <w:tcPr>
            <w:tcW w:w="851" w:type="dxa"/>
            <w:tcBorders>
              <w:top w:val="nil"/>
              <w:left w:val="nil"/>
              <w:bottom w:val="nil"/>
              <w:right w:val="nil"/>
            </w:tcBorders>
          </w:tcPr>
          <w:p w14:paraId="55298C9C" w14:textId="77777777" w:rsidR="00E768DE" w:rsidRDefault="00E768DE" w:rsidP="00823208"/>
        </w:tc>
        <w:tc>
          <w:tcPr>
            <w:tcW w:w="6848" w:type="dxa"/>
            <w:gridSpan w:val="2"/>
            <w:tcBorders>
              <w:top w:val="nil"/>
              <w:left w:val="nil"/>
              <w:bottom w:val="nil"/>
              <w:right w:val="nil"/>
            </w:tcBorders>
          </w:tcPr>
          <w:p w14:paraId="360427F8" w14:textId="28765FAC" w:rsidR="00E768DE" w:rsidRDefault="009C0813" w:rsidP="00823208">
            <w:r>
              <w:t xml:space="preserve">Mr R’s father had tried to kill him when he was 14 years old by attempting to throw him out of the window of a block of flats where </w:t>
            </w:r>
            <w:r w:rsidR="00770CA4">
              <w:t xml:space="preserve">the family </w:t>
            </w:r>
            <w:r>
              <w:t xml:space="preserve">were living at the time. </w:t>
            </w:r>
            <w:r w:rsidR="00770CA4">
              <w:t xml:space="preserve">Mr R’s father </w:t>
            </w:r>
            <w:r>
              <w:t>was arrested for this, and his mother made it her son’s choice whether to press charges.</w:t>
            </w:r>
            <w:r w:rsidR="00770CA4">
              <w:t xml:space="preserve"> When he was in his early 20’s Mr R’s mother was described as emotionally dependent on him.</w:t>
            </w:r>
          </w:p>
        </w:tc>
      </w:tr>
      <w:tr w:rsidR="00E768DE" w14:paraId="54CCC55A" w14:textId="77777777" w:rsidTr="00B94A27">
        <w:tc>
          <w:tcPr>
            <w:tcW w:w="817" w:type="dxa"/>
            <w:tcBorders>
              <w:top w:val="nil"/>
              <w:left w:val="nil"/>
              <w:bottom w:val="nil"/>
              <w:right w:val="nil"/>
            </w:tcBorders>
          </w:tcPr>
          <w:p w14:paraId="7C7C5140" w14:textId="77777777" w:rsidR="00E768DE" w:rsidRDefault="00E768DE" w:rsidP="00823208"/>
        </w:tc>
        <w:tc>
          <w:tcPr>
            <w:tcW w:w="851" w:type="dxa"/>
            <w:tcBorders>
              <w:top w:val="nil"/>
              <w:left w:val="nil"/>
              <w:bottom w:val="nil"/>
              <w:right w:val="nil"/>
            </w:tcBorders>
          </w:tcPr>
          <w:p w14:paraId="48460367" w14:textId="77777777" w:rsidR="00E768DE" w:rsidRDefault="00E768DE" w:rsidP="00823208"/>
        </w:tc>
        <w:tc>
          <w:tcPr>
            <w:tcW w:w="6848" w:type="dxa"/>
            <w:gridSpan w:val="2"/>
            <w:tcBorders>
              <w:top w:val="nil"/>
              <w:left w:val="nil"/>
              <w:bottom w:val="nil"/>
              <w:right w:val="nil"/>
            </w:tcBorders>
          </w:tcPr>
          <w:p w14:paraId="40FD69B3" w14:textId="77777777" w:rsidR="00E768DE" w:rsidRDefault="00E768DE" w:rsidP="00823208"/>
        </w:tc>
      </w:tr>
      <w:tr w:rsidR="00E768DE" w14:paraId="6BCF7851" w14:textId="77777777" w:rsidTr="00B94A27">
        <w:tc>
          <w:tcPr>
            <w:tcW w:w="817" w:type="dxa"/>
            <w:tcBorders>
              <w:top w:val="nil"/>
              <w:left w:val="nil"/>
              <w:bottom w:val="nil"/>
              <w:right w:val="nil"/>
            </w:tcBorders>
          </w:tcPr>
          <w:p w14:paraId="4EBBF8EB" w14:textId="77777777" w:rsidR="00E768DE" w:rsidRDefault="00E768DE" w:rsidP="00823208"/>
        </w:tc>
        <w:tc>
          <w:tcPr>
            <w:tcW w:w="851" w:type="dxa"/>
            <w:tcBorders>
              <w:top w:val="nil"/>
              <w:left w:val="nil"/>
              <w:bottom w:val="nil"/>
              <w:right w:val="nil"/>
            </w:tcBorders>
          </w:tcPr>
          <w:p w14:paraId="1C492671" w14:textId="77777777" w:rsidR="00E768DE" w:rsidRDefault="00E768DE" w:rsidP="00823208"/>
        </w:tc>
        <w:tc>
          <w:tcPr>
            <w:tcW w:w="6848" w:type="dxa"/>
            <w:gridSpan w:val="2"/>
            <w:tcBorders>
              <w:top w:val="nil"/>
              <w:left w:val="nil"/>
              <w:bottom w:val="nil"/>
              <w:right w:val="nil"/>
            </w:tcBorders>
          </w:tcPr>
          <w:p w14:paraId="3D547313" w14:textId="58A4C869" w:rsidR="00E768DE" w:rsidRDefault="00477798" w:rsidP="00823208">
            <w:r>
              <w:t xml:space="preserve">Mr R was first referred to psychiatric outpatients in 1989 when he was 26 years old. He was given a diagnosis of schizoid personality disorder, and referred to </w:t>
            </w:r>
            <w:r w:rsidR="0002068B">
              <w:t>the day h</w:t>
            </w:r>
            <w:r>
              <w:t xml:space="preserve">ospital. His first hospital admission was in February 1991. He described that the television said things to him, that “they must be putting thoughts into my mind”. He said he could read his parents’ minds, and it was as if they wanted him to kill them. </w:t>
            </w:r>
          </w:p>
        </w:tc>
      </w:tr>
      <w:tr w:rsidR="00E768DE" w14:paraId="75C892B1" w14:textId="77777777" w:rsidTr="00B94A27">
        <w:tc>
          <w:tcPr>
            <w:tcW w:w="817" w:type="dxa"/>
            <w:tcBorders>
              <w:top w:val="nil"/>
              <w:left w:val="nil"/>
              <w:bottom w:val="nil"/>
              <w:right w:val="nil"/>
            </w:tcBorders>
          </w:tcPr>
          <w:p w14:paraId="1147A228" w14:textId="77777777" w:rsidR="00E768DE" w:rsidRDefault="00E768DE" w:rsidP="00823208"/>
        </w:tc>
        <w:tc>
          <w:tcPr>
            <w:tcW w:w="851" w:type="dxa"/>
            <w:tcBorders>
              <w:top w:val="nil"/>
              <w:left w:val="nil"/>
              <w:bottom w:val="nil"/>
              <w:right w:val="nil"/>
            </w:tcBorders>
          </w:tcPr>
          <w:p w14:paraId="04248D36" w14:textId="77777777" w:rsidR="00E768DE" w:rsidRDefault="00E768DE" w:rsidP="00823208"/>
        </w:tc>
        <w:tc>
          <w:tcPr>
            <w:tcW w:w="6848" w:type="dxa"/>
            <w:gridSpan w:val="2"/>
            <w:tcBorders>
              <w:top w:val="nil"/>
              <w:left w:val="nil"/>
              <w:bottom w:val="nil"/>
              <w:right w:val="nil"/>
            </w:tcBorders>
          </w:tcPr>
          <w:p w14:paraId="0949F855" w14:textId="77777777" w:rsidR="00E768DE" w:rsidRDefault="00E768DE" w:rsidP="00823208"/>
        </w:tc>
      </w:tr>
      <w:tr w:rsidR="00E768DE" w14:paraId="4B7C56E9" w14:textId="77777777" w:rsidTr="00B94A27">
        <w:tc>
          <w:tcPr>
            <w:tcW w:w="817" w:type="dxa"/>
            <w:tcBorders>
              <w:top w:val="nil"/>
              <w:left w:val="nil"/>
              <w:bottom w:val="nil"/>
              <w:right w:val="nil"/>
            </w:tcBorders>
          </w:tcPr>
          <w:p w14:paraId="2AB08AE3" w14:textId="77777777" w:rsidR="00E768DE" w:rsidRDefault="00E768DE" w:rsidP="00823208"/>
        </w:tc>
        <w:tc>
          <w:tcPr>
            <w:tcW w:w="851" w:type="dxa"/>
            <w:tcBorders>
              <w:top w:val="nil"/>
              <w:left w:val="nil"/>
              <w:bottom w:val="nil"/>
              <w:right w:val="nil"/>
            </w:tcBorders>
          </w:tcPr>
          <w:p w14:paraId="51CCE03C" w14:textId="77777777" w:rsidR="00E768DE" w:rsidRDefault="00E768DE" w:rsidP="00823208"/>
        </w:tc>
        <w:tc>
          <w:tcPr>
            <w:tcW w:w="6848" w:type="dxa"/>
            <w:gridSpan w:val="2"/>
            <w:tcBorders>
              <w:top w:val="nil"/>
              <w:left w:val="nil"/>
              <w:bottom w:val="nil"/>
              <w:right w:val="nil"/>
            </w:tcBorders>
          </w:tcPr>
          <w:p w14:paraId="3BC3395C" w14:textId="7455C0F5" w:rsidR="00E768DE" w:rsidRDefault="00477798" w:rsidP="00823208">
            <w:r>
              <w:t>Mr R believed that his parents could read his mind. He disclosed that in childhood, he had thoughts of being “beamed away by aliens”. His mother provided the history that he was threatening and abusive towards his parents, he was drinking alcohol, and had been “thrown out” several times. He was treated with depot medication and discharged in April 1991.</w:t>
            </w:r>
          </w:p>
        </w:tc>
      </w:tr>
      <w:tr w:rsidR="00E768DE" w14:paraId="42EF0DA0" w14:textId="77777777" w:rsidTr="00B94A27">
        <w:tc>
          <w:tcPr>
            <w:tcW w:w="817" w:type="dxa"/>
            <w:tcBorders>
              <w:top w:val="nil"/>
              <w:left w:val="nil"/>
              <w:bottom w:val="nil"/>
              <w:right w:val="nil"/>
            </w:tcBorders>
          </w:tcPr>
          <w:p w14:paraId="7C1F1656" w14:textId="77777777" w:rsidR="00E768DE" w:rsidRDefault="00E768DE" w:rsidP="00823208"/>
        </w:tc>
        <w:tc>
          <w:tcPr>
            <w:tcW w:w="851" w:type="dxa"/>
            <w:tcBorders>
              <w:top w:val="nil"/>
              <w:left w:val="nil"/>
              <w:bottom w:val="nil"/>
              <w:right w:val="nil"/>
            </w:tcBorders>
          </w:tcPr>
          <w:p w14:paraId="4FA8DE72" w14:textId="77777777" w:rsidR="00E768DE" w:rsidRDefault="00E768DE" w:rsidP="00823208"/>
        </w:tc>
        <w:tc>
          <w:tcPr>
            <w:tcW w:w="6848" w:type="dxa"/>
            <w:gridSpan w:val="2"/>
            <w:tcBorders>
              <w:top w:val="nil"/>
              <w:left w:val="nil"/>
              <w:bottom w:val="nil"/>
              <w:right w:val="nil"/>
            </w:tcBorders>
          </w:tcPr>
          <w:p w14:paraId="1C6AA956" w14:textId="77777777" w:rsidR="006E79C4" w:rsidRDefault="006E79C4" w:rsidP="00823208"/>
        </w:tc>
      </w:tr>
      <w:tr w:rsidR="00E768DE" w14:paraId="2FDFE91C" w14:textId="77777777" w:rsidTr="00B94A27">
        <w:tc>
          <w:tcPr>
            <w:tcW w:w="817" w:type="dxa"/>
            <w:tcBorders>
              <w:top w:val="nil"/>
              <w:left w:val="nil"/>
              <w:bottom w:val="nil"/>
              <w:right w:val="nil"/>
            </w:tcBorders>
          </w:tcPr>
          <w:p w14:paraId="67EA949B" w14:textId="77777777" w:rsidR="00E768DE" w:rsidRDefault="00E768DE" w:rsidP="00823208"/>
        </w:tc>
        <w:tc>
          <w:tcPr>
            <w:tcW w:w="851" w:type="dxa"/>
            <w:tcBorders>
              <w:top w:val="nil"/>
              <w:left w:val="nil"/>
              <w:bottom w:val="nil"/>
              <w:right w:val="nil"/>
            </w:tcBorders>
          </w:tcPr>
          <w:p w14:paraId="2D53E436" w14:textId="77777777" w:rsidR="00E768DE" w:rsidRDefault="00E768DE" w:rsidP="00823208"/>
        </w:tc>
        <w:tc>
          <w:tcPr>
            <w:tcW w:w="6848" w:type="dxa"/>
            <w:gridSpan w:val="2"/>
            <w:tcBorders>
              <w:top w:val="nil"/>
              <w:left w:val="nil"/>
              <w:bottom w:val="nil"/>
              <w:right w:val="nil"/>
            </w:tcBorders>
          </w:tcPr>
          <w:p w14:paraId="0666C6A9" w14:textId="74215154" w:rsidR="00E768DE" w:rsidRDefault="00F16F62" w:rsidP="00823208">
            <w:r>
              <w:t xml:space="preserve">Mr R’s illness responded to depot for the first ten years, with brief admissions to hospital in 1994 and 1998. Cannabis use was implicated in his relapses during the earlier years of his illness. </w:t>
            </w:r>
          </w:p>
        </w:tc>
      </w:tr>
      <w:tr w:rsidR="00E768DE" w14:paraId="346CDCD3" w14:textId="77777777" w:rsidTr="00B94A27">
        <w:tc>
          <w:tcPr>
            <w:tcW w:w="817" w:type="dxa"/>
            <w:tcBorders>
              <w:top w:val="nil"/>
              <w:left w:val="nil"/>
              <w:bottom w:val="nil"/>
              <w:right w:val="nil"/>
            </w:tcBorders>
          </w:tcPr>
          <w:p w14:paraId="3BFE94FD" w14:textId="77777777" w:rsidR="00E768DE" w:rsidRDefault="00E768DE" w:rsidP="00823208"/>
        </w:tc>
        <w:tc>
          <w:tcPr>
            <w:tcW w:w="851" w:type="dxa"/>
            <w:tcBorders>
              <w:top w:val="nil"/>
              <w:left w:val="nil"/>
              <w:bottom w:val="nil"/>
              <w:right w:val="nil"/>
            </w:tcBorders>
          </w:tcPr>
          <w:p w14:paraId="30A68221" w14:textId="77777777" w:rsidR="00E768DE" w:rsidRDefault="00E768DE" w:rsidP="00823208"/>
        </w:tc>
        <w:tc>
          <w:tcPr>
            <w:tcW w:w="6848" w:type="dxa"/>
            <w:gridSpan w:val="2"/>
            <w:tcBorders>
              <w:top w:val="nil"/>
              <w:left w:val="nil"/>
              <w:bottom w:val="nil"/>
              <w:right w:val="nil"/>
            </w:tcBorders>
          </w:tcPr>
          <w:p w14:paraId="7EDB0C1E" w14:textId="77777777" w:rsidR="00E768DE" w:rsidRDefault="00E768DE" w:rsidP="00823208"/>
        </w:tc>
      </w:tr>
      <w:tr w:rsidR="00E3371A" w14:paraId="521FB6B7" w14:textId="77777777" w:rsidTr="00B94A27">
        <w:tc>
          <w:tcPr>
            <w:tcW w:w="817" w:type="dxa"/>
            <w:tcBorders>
              <w:top w:val="nil"/>
              <w:left w:val="nil"/>
              <w:bottom w:val="nil"/>
              <w:right w:val="nil"/>
            </w:tcBorders>
          </w:tcPr>
          <w:p w14:paraId="302AEB25" w14:textId="77777777" w:rsidR="00E3371A" w:rsidRDefault="00E3371A" w:rsidP="00823208"/>
        </w:tc>
        <w:tc>
          <w:tcPr>
            <w:tcW w:w="851" w:type="dxa"/>
            <w:tcBorders>
              <w:top w:val="nil"/>
              <w:left w:val="nil"/>
              <w:bottom w:val="nil"/>
              <w:right w:val="nil"/>
            </w:tcBorders>
          </w:tcPr>
          <w:p w14:paraId="798BC4CD" w14:textId="77777777" w:rsidR="00E3371A" w:rsidRDefault="00E3371A" w:rsidP="00823208"/>
        </w:tc>
        <w:tc>
          <w:tcPr>
            <w:tcW w:w="6848" w:type="dxa"/>
            <w:gridSpan w:val="2"/>
            <w:tcBorders>
              <w:top w:val="nil"/>
              <w:left w:val="nil"/>
              <w:bottom w:val="nil"/>
              <w:right w:val="nil"/>
            </w:tcBorders>
          </w:tcPr>
          <w:p w14:paraId="0209EEED" w14:textId="24CF0877" w:rsidR="00E3371A" w:rsidRDefault="00E3371A" w:rsidP="003227AD">
            <w:r>
              <w:t xml:space="preserve">Mr R had </w:t>
            </w:r>
            <w:r w:rsidR="003227AD">
              <w:t>a</w:t>
            </w:r>
            <w:r w:rsidR="0002068B">
              <w:t xml:space="preserve"> </w:t>
            </w:r>
            <w:r>
              <w:t xml:space="preserve">relationship </w:t>
            </w:r>
            <w:r w:rsidR="003227AD">
              <w:t xml:space="preserve">for five years </w:t>
            </w:r>
            <w:r w:rsidR="0002068B">
              <w:t>with a woman who gave birth to twins in 1998</w:t>
            </w:r>
            <w:r w:rsidR="003227AD">
              <w:t xml:space="preserve">. Due to the stress of looking after the twins, Mr R ended the relationship. </w:t>
            </w:r>
            <w:r>
              <w:t xml:space="preserve">The children were </w:t>
            </w:r>
            <w:r w:rsidR="003227AD">
              <w:t xml:space="preserve">later </w:t>
            </w:r>
            <w:r>
              <w:t xml:space="preserve">removed from </w:t>
            </w:r>
            <w:r w:rsidR="003227AD">
              <w:t>t</w:t>
            </w:r>
            <w:r>
              <w:t>he</w:t>
            </w:r>
            <w:r w:rsidR="003227AD">
              <w:t>i</w:t>
            </w:r>
            <w:r>
              <w:t xml:space="preserve">r </w:t>
            </w:r>
            <w:r w:rsidR="003227AD">
              <w:t xml:space="preserve">mother’s </w:t>
            </w:r>
            <w:r>
              <w:t xml:space="preserve">care and adopted within </w:t>
            </w:r>
            <w:r w:rsidR="003227AD">
              <w:t xml:space="preserve">her </w:t>
            </w:r>
            <w:r>
              <w:t>family.</w:t>
            </w:r>
          </w:p>
        </w:tc>
      </w:tr>
      <w:tr w:rsidR="00E3371A" w14:paraId="49B46C5C" w14:textId="77777777" w:rsidTr="00B94A27">
        <w:tc>
          <w:tcPr>
            <w:tcW w:w="817" w:type="dxa"/>
            <w:tcBorders>
              <w:top w:val="nil"/>
              <w:left w:val="nil"/>
              <w:bottom w:val="nil"/>
              <w:right w:val="nil"/>
            </w:tcBorders>
          </w:tcPr>
          <w:p w14:paraId="15FEC82A" w14:textId="77777777" w:rsidR="00E3371A" w:rsidRDefault="00E3371A" w:rsidP="00823208"/>
        </w:tc>
        <w:tc>
          <w:tcPr>
            <w:tcW w:w="851" w:type="dxa"/>
            <w:tcBorders>
              <w:top w:val="nil"/>
              <w:left w:val="nil"/>
              <w:bottom w:val="nil"/>
              <w:right w:val="nil"/>
            </w:tcBorders>
          </w:tcPr>
          <w:p w14:paraId="6A51AAED" w14:textId="77777777" w:rsidR="00E3371A" w:rsidRDefault="00E3371A" w:rsidP="00823208"/>
        </w:tc>
        <w:tc>
          <w:tcPr>
            <w:tcW w:w="6848" w:type="dxa"/>
            <w:gridSpan w:val="2"/>
            <w:tcBorders>
              <w:top w:val="nil"/>
              <w:left w:val="nil"/>
              <w:bottom w:val="nil"/>
              <w:right w:val="nil"/>
            </w:tcBorders>
          </w:tcPr>
          <w:p w14:paraId="5A1744BA" w14:textId="77777777" w:rsidR="00E3371A" w:rsidRDefault="00E3371A" w:rsidP="00823208"/>
        </w:tc>
      </w:tr>
      <w:tr w:rsidR="00E3371A" w14:paraId="3C0AD7C3" w14:textId="77777777" w:rsidTr="00B94A27">
        <w:tc>
          <w:tcPr>
            <w:tcW w:w="817" w:type="dxa"/>
            <w:tcBorders>
              <w:top w:val="nil"/>
              <w:left w:val="nil"/>
              <w:bottom w:val="nil"/>
              <w:right w:val="nil"/>
            </w:tcBorders>
          </w:tcPr>
          <w:p w14:paraId="7E251918" w14:textId="77777777" w:rsidR="00E3371A" w:rsidRDefault="00E3371A" w:rsidP="00823208"/>
        </w:tc>
        <w:tc>
          <w:tcPr>
            <w:tcW w:w="851" w:type="dxa"/>
            <w:tcBorders>
              <w:top w:val="nil"/>
              <w:left w:val="nil"/>
              <w:bottom w:val="nil"/>
              <w:right w:val="nil"/>
            </w:tcBorders>
          </w:tcPr>
          <w:p w14:paraId="70409A4A" w14:textId="77777777" w:rsidR="00E3371A" w:rsidRDefault="00E3371A" w:rsidP="00823208"/>
        </w:tc>
        <w:tc>
          <w:tcPr>
            <w:tcW w:w="6848" w:type="dxa"/>
            <w:gridSpan w:val="2"/>
            <w:tcBorders>
              <w:top w:val="nil"/>
              <w:left w:val="nil"/>
              <w:bottom w:val="nil"/>
              <w:right w:val="nil"/>
            </w:tcBorders>
          </w:tcPr>
          <w:p w14:paraId="796BEA5D" w14:textId="7DDAEE93" w:rsidR="00E3371A" w:rsidRDefault="00E3371A" w:rsidP="009B14B4">
            <w:r>
              <w:t xml:space="preserve">After his father’s death in 2001, </w:t>
            </w:r>
            <w:r w:rsidR="009B14B4">
              <w:t xml:space="preserve">Mr R’s </w:t>
            </w:r>
            <w:r>
              <w:t xml:space="preserve">illness pursued a more treatment-resistant course with eight admissions </w:t>
            </w:r>
            <w:r w:rsidR="003227AD">
              <w:t xml:space="preserve">between 2002 and </w:t>
            </w:r>
            <w:r>
              <w:t>2011, some of which were under the MHA. His mother was his main carer. There are references to his making threats to his mother, and to others, when unwell, and records of assaults against patients and staff, although charges were not pressed. Relapses were associated with changes in medication in the later years. It was recognized that Mr R could be difficult to assess, as he did not always disclose his symptoms.</w:t>
            </w:r>
          </w:p>
        </w:tc>
      </w:tr>
      <w:tr w:rsidR="00E3371A" w14:paraId="06AC4F1A" w14:textId="77777777" w:rsidTr="00B94A27">
        <w:tc>
          <w:tcPr>
            <w:tcW w:w="817" w:type="dxa"/>
            <w:tcBorders>
              <w:top w:val="nil"/>
              <w:left w:val="nil"/>
              <w:bottom w:val="nil"/>
              <w:right w:val="nil"/>
            </w:tcBorders>
          </w:tcPr>
          <w:p w14:paraId="7626864D" w14:textId="77777777" w:rsidR="00E3371A" w:rsidRDefault="00E3371A" w:rsidP="00823208"/>
        </w:tc>
        <w:tc>
          <w:tcPr>
            <w:tcW w:w="851" w:type="dxa"/>
            <w:tcBorders>
              <w:top w:val="nil"/>
              <w:left w:val="nil"/>
              <w:bottom w:val="nil"/>
              <w:right w:val="nil"/>
            </w:tcBorders>
          </w:tcPr>
          <w:p w14:paraId="3EFB2658" w14:textId="77777777" w:rsidR="00E3371A" w:rsidRDefault="00E3371A" w:rsidP="00823208"/>
        </w:tc>
        <w:tc>
          <w:tcPr>
            <w:tcW w:w="6848" w:type="dxa"/>
            <w:gridSpan w:val="2"/>
            <w:tcBorders>
              <w:top w:val="nil"/>
              <w:left w:val="nil"/>
              <w:bottom w:val="nil"/>
              <w:right w:val="nil"/>
            </w:tcBorders>
          </w:tcPr>
          <w:p w14:paraId="43FAC6E0" w14:textId="77777777" w:rsidR="00B05D45" w:rsidRDefault="00B05D45" w:rsidP="00823208"/>
        </w:tc>
      </w:tr>
      <w:tr w:rsidR="003227AD" w14:paraId="6E4EC385" w14:textId="77777777" w:rsidTr="00B94A27">
        <w:tc>
          <w:tcPr>
            <w:tcW w:w="817" w:type="dxa"/>
            <w:tcBorders>
              <w:top w:val="nil"/>
              <w:left w:val="nil"/>
              <w:bottom w:val="nil"/>
              <w:right w:val="nil"/>
            </w:tcBorders>
          </w:tcPr>
          <w:p w14:paraId="55388BC6" w14:textId="77777777" w:rsidR="003227AD" w:rsidRDefault="003227AD" w:rsidP="00823208"/>
        </w:tc>
        <w:tc>
          <w:tcPr>
            <w:tcW w:w="851" w:type="dxa"/>
            <w:tcBorders>
              <w:top w:val="nil"/>
              <w:left w:val="nil"/>
              <w:bottom w:val="nil"/>
              <w:right w:val="nil"/>
            </w:tcBorders>
          </w:tcPr>
          <w:p w14:paraId="75570836" w14:textId="77777777" w:rsidR="003227AD" w:rsidRDefault="003227AD" w:rsidP="00823208"/>
        </w:tc>
        <w:tc>
          <w:tcPr>
            <w:tcW w:w="6848" w:type="dxa"/>
            <w:gridSpan w:val="2"/>
            <w:tcBorders>
              <w:top w:val="nil"/>
              <w:left w:val="nil"/>
              <w:bottom w:val="nil"/>
              <w:right w:val="nil"/>
            </w:tcBorders>
          </w:tcPr>
          <w:p w14:paraId="26E3054B" w14:textId="12D34A3F" w:rsidR="003227AD" w:rsidRDefault="003227AD" w:rsidP="00823208">
            <w:r>
              <w:t>Mr R suffered from some physical health problems. These were; type two diabetes</w:t>
            </w:r>
            <w:r w:rsidR="008C715B">
              <w:t>,</w:t>
            </w:r>
            <w:r>
              <w:t xml:space="preserve"> which was diagnosed in 2006, cholesterolemia</w:t>
            </w:r>
            <w:r w:rsidR="0021018C">
              <w:t>,</w:t>
            </w:r>
            <w:r>
              <w:t xml:space="preserve"> which was diagnosed in 2007 and psoriasis.</w:t>
            </w:r>
          </w:p>
        </w:tc>
      </w:tr>
      <w:tr w:rsidR="003227AD" w14:paraId="4BF2E48C" w14:textId="77777777" w:rsidTr="00B94A27">
        <w:tc>
          <w:tcPr>
            <w:tcW w:w="817" w:type="dxa"/>
            <w:tcBorders>
              <w:top w:val="nil"/>
              <w:left w:val="nil"/>
              <w:bottom w:val="nil"/>
              <w:right w:val="nil"/>
            </w:tcBorders>
          </w:tcPr>
          <w:p w14:paraId="45D2EA5F" w14:textId="77777777" w:rsidR="003227AD" w:rsidRDefault="003227AD" w:rsidP="00823208"/>
        </w:tc>
        <w:tc>
          <w:tcPr>
            <w:tcW w:w="851" w:type="dxa"/>
            <w:tcBorders>
              <w:top w:val="nil"/>
              <w:left w:val="nil"/>
              <w:bottom w:val="nil"/>
              <w:right w:val="nil"/>
            </w:tcBorders>
          </w:tcPr>
          <w:p w14:paraId="47760F6F" w14:textId="77777777" w:rsidR="003227AD" w:rsidRDefault="003227AD" w:rsidP="00823208"/>
        </w:tc>
        <w:tc>
          <w:tcPr>
            <w:tcW w:w="6848" w:type="dxa"/>
            <w:gridSpan w:val="2"/>
            <w:tcBorders>
              <w:top w:val="nil"/>
              <w:left w:val="nil"/>
              <w:bottom w:val="nil"/>
              <w:right w:val="nil"/>
            </w:tcBorders>
          </w:tcPr>
          <w:p w14:paraId="173AF5C2" w14:textId="77777777" w:rsidR="003227AD" w:rsidRDefault="003227AD" w:rsidP="00823208"/>
        </w:tc>
      </w:tr>
      <w:tr w:rsidR="009B14B4" w14:paraId="1A2261DB" w14:textId="77777777" w:rsidTr="00B94A27">
        <w:tc>
          <w:tcPr>
            <w:tcW w:w="817" w:type="dxa"/>
            <w:tcBorders>
              <w:top w:val="nil"/>
              <w:left w:val="nil"/>
              <w:bottom w:val="nil"/>
              <w:right w:val="nil"/>
            </w:tcBorders>
          </w:tcPr>
          <w:p w14:paraId="6A1DA832" w14:textId="77777777" w:rsidR="009B14B4" w:rsidRDefault="009B14B4" w:rsidP="00823208"/>
        </w:tc>
        <w:tc>
          <w:tcPr>
            <w:tcW w:w="851" w:type="dxa"/>
            <w:tcBorders>
              <w:top w:val="nil"/>
              <w:left w:val="nil"/>
              <w:bottom w:val="nil"/>
              <w:right w:val="nil"/>
            </w:tcBorders>
          </w:tcPr>
          <w:p w14:paraId="0ECA76A3" w14:textId="77777777" w:rsidR="009B14B4" w:rsidRDefault="009B14B4" w:rsidP="00823208"/>
        </w:tc>
        <w:tc>
          <w:tcPr>
            <w:tcW w:w="6848" w:type="dxa"/>
            <w:gridSpan w:val="2"/>
            <w:tcBorders>
              <w:top w:val="nil"/>
              <w:left w:val="nil"/>
              <w:bottom w:val="nil"/>
              <w:right w:val="nil"/>
            </w:tcBorders>
          </w:tcPr>
          <w:p w14:paraId="0835FC72" w14:textId="69B4A74F" w:rsidR="009B14B4" w:rsidRDefault="009B14B4" w:rsidP="00823208">
            <w:r>
              <w:t>In May 2012, his depot was reduced at his request because of his experiences of side effects.</w:t>
            </w:r>
          </w:p>
        </w:tc>
      </w:tr>
      <w:tr w:rsidR="009B14B4" w14:paraId="04FC583E" w14:textId="77777777" w:rsidTr="00B94A27">
        <w:tc>
          <w:tcPr>
            <w:tcW w:w="817" w:type="dxa"/>
            <w:tcBorders>
              <w:top w:val="nil"/>
              <w:left w:val="nil"/>
              <w:bottom w:val="nil"/>
              <w:right w:val="nil"/>
            </w:tcBorders>
          </w:tcPr>
          <w:p w14:paraId="2FB4E3AE" w14:textId="77777777" w:rsidR="009B14B4" w:rsidRDefault="009B14B4" w:rsidP="00823208"/>
        </w:tc>
        <w:tc>
          <w:tcPr>
            <w:tcW w:w="851" w:type="dxa"/>
            <w:tcBorders>
              <w:top w:val="nil"/>
              <w:left w:val="nil"/>
              <w:bottom w:val="nil"/>
              <w:right w:val="nil"/>
            </w:tcBorders>
          </w:tcPr>
          <w:p w14:paraId="498F49E6" w14:textId="77777777" w:rsidR="009B14B4" w:rsidRDefault="009B14B4" w:rsidP="00823208"/>
        </w:tc>
        <w:tc>
          <w:tcPr>
            <w:tcW w:w="6848" w:type="dxa"/>
            <w:gridSpan w:val="2"/>
            <w:tcBorders>
              <w:top w:val="nil"/>
              <w:left w:val="nil"/>
              <w:bottom w:val="nil"/>
              <w:right w:val="nil"/>
            </w:tcBorders>
          </w:tcPr>
          <w:p w14:paraId="1912E588" w14:textId="77777777" w:rsidR="009B14B4" w:rsidRDefault="009B14B4" w:rsidP="00823208"/>
        </w:tc>
      </w:tr>
      <w:tr w:rsidR="00E3371A" w14:paraId="35FB63C6" w14:textId="77777777" w:rsidTr="00B94A27">
        <w:tc>
          <w:tcPr>
            <w:tcW w:w="817" w:type="dxa"/>
            <w:tcBorders>
              <w:top w:val="nil"/>
              <w:left w:val="nil"/>
              <w:bottom w:val="nil"/>
              <w:right w:val="nil"/>
            </w:tcBorders>
          </w:tcPr>
          <w:p w14:paraId="6576CA32" w14:textId="77777777" w:rsidR="00E3371A" w:rsidRDefault="00E3371A" w:rsidP="00823208"/>
        </w:tc>
        <w:tc>
          <w:tcPr>
            <w:tcW w:w="851" w:type="dxa"/>
            <w:tcBorders>
              <w:top w:val="nil"/>
              <w:left w:val="nil"/>
              <w:bottom w:val="nil"/>
              <w:right w:val="nil"/>
            </w:tcBorders>
          </w:tcPr>
          <w:p w14:paraId="1937BEBA" w14:textId="77777777" w:rsidR="00E3371A" w:rsidRDefault="00E3371A" w:rsidP="00823208"/>
        </w:tc>
        <w:tc>
          <w:tcPr>
            <w:tcW w:w="6848" w:type="dxa"/>
            <w:gridSpan w:val="2"/>
            <w:tcBorders>
              <w:top w:val="nil"/>
              <w:left w:val="nil"/>
              <w:bottom w:val="nil"/>
              <w:right w:val="nil"/>
            </w:tcBorders>
          </w:tcPr>
          <w:p w14:paraId="0A9CA1E4" w14:textId="7F0FCF6F" w:rsidR="00E3371A" w:rsidRDefault="00E3371A" w:rsidP="00D77EC4">
            <w:r>
              <w:t xml:space="preserve">He killed his mother in the kitchen of her </w:t>
            </w:r>
            <w:r w:rsidR="00D77EC4">
              <w:t xml:space="preserve">home on </w:t>
            </w:r>
            <w:r>
              <w:t xml:space="preserve">the </w:t>
            </w:r>
            <w:r w:rsidR="00D77EC4">
              <w:t>27</w:t>
            </w:r>
            <w:r w:rsidR="00D77EC4" w:rsidRPr="00D77EC4">
              <w:rPr>
                <w:vertAlign w:val="superscript"/>
              </w:rPr>
              <w:t>th</w:t>
            </w:r>
            <w:r w:rsidR="00D77EC4">
              <w:t xml:space="preserve"> December </w:t>
            </w:r>
            <w:r>
              <w:t xml:space="preserve">2012. He was convicted of manslaughter on the grounds of diminished responsibility for this offence and was </w:t>
            </w:r>
            <w:r w:rsidR="00E94B1F">
              <w:t>detained in conditions of medium security under a hospital order with r</w:t>
            </w:r>
            <w:r>
              <w:t>estrictions (Section 37/41</w:t>
            </w:r>
            <w:r w:rsidR="00E94B1F">
              <w:t xml:space="preserve"> of the MHA</w:t>
            </w:r>
            <w:r>
              <w:t xml:space="preserve">) in September 2013. </w:t>
            </w:r>
            <w:r w:rsidR="00E94B1F">
              <w:t xml:space="preserve">Overall he was detained </w:t>
            </w:r>
            <w:r>
              <w:t xml:space="preserve">in </w:t>
            </w:r>
            <w:r w:rsidR="00E94B1F">
              <w:t xml:space="preserve">conditions of </w:t>
            </w:r>
            <w:r>
              <w:t>medium security from January 2013</w:t>
            </w:r>
            <w:r w:rsidR="00E94B1F">
              <w:t xml:space="preserve"> </w:t>
            </w:r>
            <w:r>
              <w:t xml:space="preserve">until </w:t>
            </w:r>
            <w:r w:rsidR="00E94B1F">
              <w:t xml:space="preserve">he was conditionally discharged into hostel accommodation in </w:t>
            </w:r>
            <w:r>
              <w:t xml:space="preserve">August 2015 </w:t>
            </w:r>
            <w:r w:rsidR="00E94B1F">
              <w:t>following a Mental Health Tribunal.</w:t>
            </w:r>
          </w:p>
        </w:tc>
      </w:tr>
      <w:tr w:rsidR="00E3371A" w14:paraId="1FA7111E" w14:textId="77777777" w:rsidTr="00B94A27">
        <w:tc>
          <w:tcPr>
            <w:tcW w:w="817" w:type="dxa"/>
            <w:tcBorders>
              <w:top w:val="nil"/>
              <w:left w:val="nil"/>
              <w:bottom w:val="nil"/>
              <w:right w:val="nil"/>
            </w:tcBorders>
          </w:tcPr>
          <w:p w14:paraId="22054C13" w14:textId="77777777" w:rsidR="00E3371A" w:rsidRDefault="00E3371A" w:rsidP="00823208"/>
        </w:tc>
        <w:tc>
          <w:tcPr>
            <w:tcW w:w="851" w:type="dxa"/>
            <w:tcBorders>
              <w:top w:val="nil"/>
              <w:left w:val="nil"/>
              <w:bottom w:val="nil"/>
              <w:right w:val="nil"/>
            </w:tcBorders>
          </w:tcPr>
          <w:p w14:paraId="40444CA5" w14:textId="77777777" w:rsidR="00E3371A" w:rsidRDefault="00E3371A" w:rsidP="00823208"/>
        </w:tc>
        <w:tc>
          <w:tcPr>
            <w:tcW w:w="6848" w:type="dxa"/>
            <w:gridSpan w:val="2"/>
            <w:tcBorders>
              <w:top w:val="nil"/>
              <w:left w:val="nil"/>
              <w:bottom w:val="nil"/>
              <w:right w:val="nil"/>
            </w:tcBorders>
          </w:tcPr>
          <w:p w14:paraId="173D2452" w14:textId="77777777" w:rsidR="00E3371A" w:rsidRDefault="00E3371A" w:rsidP="00823208"/>
        </w:tc>
      </w:tr>
      <w:tr w:rsidR="00E3371A" w14:paraId="57E63EB6" w14:textId="77777777" w:rsidTr="00B94A27">
        <w:tc>
          <w:tcPr>
            <w:tcW w:w="817" w:type="dxa"/>
            <w:tcBorders>
              <w:top w:val="nil"/>
              <w:left w:val="nil"/>
              <w:bottom w:val="nil"/>
              <w:right w:val="nil"/>
            </w:tcBorders>
          </w:tcPr>
          <w:p w14:paraId="6B2795A9" w14:textId="77777777" w:rsidR="00E3371A" w:rsidRDefault="00E3371A" w:rsidP="00823208"/>
        </w:tc>
        <w:tc>
          <w:tcPr>
            <w:tcW w:w="851" w:type="dxa"/>
            <w:tcBorders>
              <w:top w:val="nil"/>
              <w:left w:val="nil"/>
              <w:bottom w:val="nil"/>
              <w:right w:val="nil"/>
            </w:tcBorders>
          </w:tcPr>
          <w:p w14:paraId="68A55726" w14:textId="77777777" w:rsidR="00E3371A" w:rsidRDefault="00E3371A" w:rsidP="00823208"/>
        </w:tc>
        <w:tc>
          <w:tcPr>
            <w:tcW w:w="6848" w:type="dxa"/>
            <w:gridSpan w:val="2"/>
            <w:tcBorders>
              <w:top w:val="nil"/>
              <w:left w:val="nil"/>
              <w:bottom w:val="nil"/>
              <w:right w:val="nil"/>
            </w:tcBorders>
          </w:tcPr>
          <w:p w14:paraId="2A0D363B" w14:textId="02F32B10" w:rsidR="00E3371A" w:rsidRPr="00371D3D" w:rsidRDefault="00E3371A" w:rsidP="00455E64">
            <w:pPr>
              <w:rPr>
                <w:color w:val="000000" w:themeColor="text1"/>
              </w:rPr>
            </w:pPr>
            <w:r w:rsidRPr="00371D3D">
              <w:rPr>
                <w:color w:val="000000" w:themeColor="text1"/>
              </w:rPr>
              <w:t xml:space="preserve">Once transferred to the hostel, Mr R then requested a change </w:t>
            </w:r>
            <w:r w:rsidR="00372C51" w:rsidRPr="00371D3D">
              <w:rPr>
                <w:color w:val="000000" w:themeColor="text1"/>
              </w:rPr>
              <w:t xml:space="preserve">of depot, again because of side </w:t>
            </w:r>
            <w:r w:rsidRPr="00371D3D">
              <w:rPr>
                <w:color w:val="000000" w:themeColor="text1"/>
              </w:rPr>
              <w:t>effects. He then relapsed over the Christmas period of 2015. He was recalled to hospital under the section 37/41 as a result of this.</w:t>
            </w:r>
          </w:p>
        </w:tc>
      </w:tr>
      <w:tr w:rsidR="00E3371A" w14:paraId="7026444C" w14:textId="77777777" w:rsidTr="00B94A27">
        <w:tc>
          <w:tcPr>
            <w:tcW w:w="817" w:type="dxa"/>
            <w:tcBorders>
              <w:top w:val="nil"/>
              <w:left w:val="nil"/>
              <w:bottom w:val="nil"/>
              <w:right w:val="nil"/>
            </w:tcBorders>
          </w:tcPr>
          <w:p w14:paraId="3700BEAF" w14:textId="77777777" w:rsidR="00E3371A" w:rsidRDefault="00E3371A" w:rsidP="00823208"/>
        </w:tc>
        <w:tc>
          <w:tcPr>
            <w:tcW w:w="851" w:type="dxa"/>
            <w:tcBorders>
              <w:top w:val="nil"/>
              <w:left w:val="nil"/>
              <w:bottom w:val="nil"/>
              <w:right w:val="nil"/>
            </w:tcBorders>
          </w:tcPr>
          <w:p w14:paraId="32A00F00" w14:textId="77777777" w:rsidR="00E3371A" w:rsidRDefault="00E3371A" w:rsidP="00823208"/>
        </w:tc>
        <w:tc>
          <w:tcPr>
            <w:tcW w:w="6848" w:type="dxa"/>
            <w:gridSpan w:val="2"/>
            <w:tcBorders>
              <w:top w:val="nil"/>
              <w:left w:val="nil"/>
              <w:bottom w:val="nil"/>
              <w:right w:val="nil"/>
            </w:tcBorders>
          </w:tcPr>
          <w:p w14:paraId="416C3B28" w14:textId="77777777" w:rsidR="00437776" w:rsidRDefault="00437776" w:rsidP="00823208"/>
        </w:tc>
      </w:tr>
      <w:tr w:rsidR="00E3371A" w14:paraId="782FB804" w14:textId="77777777" w:rsidTr="00B94A27">
        <w:tc>
          <w:tcPr>
            <w:tcW w:w="817" w:type="dxa"/>
            <w:tcBorders>
              <w:top w:val="nil"/>
              <w:left w:val="nil"/>
              <w:bottom w:val="nil"/>
              <w:right w:val="nil"/>
            </w:tcBorders>
          </w:tcPr>
          <w:p w14:paraId="0716FE7D" w14:textId="77777777" w:rsidR="00E3371A" w:rsidRDefault="00E3371A" w:rsidP="00823208"/>
        </w:tc>
        <w:tc>
          <w:tcPr>
            <w:tcW w:w="851" w:type="dxa"/>
            <w:tcBorders>
              <w:top w:val="nil"/>
              <w:left w:val="nil"/>
              <w:bottom w:val="nil"/>
              <w:right w:val="nil"/>
            </w:tcBorders>
          </w:tcPr>
          <w:p w14:paraId="182DC406" w14:textId="77777777" w:rsidR="00E3371A" w:rsidRDefault="00E3371A" w:rsidP="00823208"/>
        </w:tc>
        <w:tc>
          <w:tcPr>
            <w:tcW w:w="6848" w:type="dxa"/>
            <w:gridSpan w:val="2"/>
            <w:tcBorders>
              <w:top w:val="nil"/>
              <w:left w:val="nil"/>
              <w:bottom w:val="nil"/>
              <w:right w:val="nil"/>
            </w:tcBorders>
          </w:tcPr>
          <w:p w14:paraId="2EC5E004" w14:textId="0DFCF2D4" w:rsidR="00E3371A" w:rsidRDefault="00E3371A" w:rsidP="003227AD">
            <w:r>
              <w:t xml:space="preserve">Since his recall in January 2016 Mr R has </w:t>
            </w:r>
            <w:r w:rsidR="003227AD">
              <w:t xml:space="preserve">remained </w:t>
            </w:r>
            <w:r>
              <w:t>detained in conditions of medium security.</w:t>
            </w:r>
          </w:p>
        </w:tc>
      </w:tr>
      <w:tr w:rsidR="00E94B1F" w14:paraId="491FF751" w14:textId="77777777" w:rsidTr="00B94A27">
        <w:tc>
          <w:tcPr>
            <w:tcW w:w="817" w:type="dxa"/>
            <w:tcBorders>
              <w:top w:val="nil"/>
              <w:left w:val="nil"/>
              <w:bottom w:val="nil"/>
              <w:right w:val="nil"/>
            </w:tcBorders>
          </w:tcPr>
          <w:p w14:paraId="6EA9294B" w14:textId="77777777" w:rsidR="00E94B1F" w:rsidRDefault="00E94B1F" w:rsidP="00823208"/>
        </w:tc>
        <w:tc>
          <w:tcPr>
            <w:tcW w:w="851" w:type="dxa"/>
            <w:tcBorders>
              <w:top w:val="nil"/>
              <w:left w:val="nil"/>
              <w:bottom w:val="nil"/>
              <w:right w:val="nil"/>
            </w:tcBorders>
          </w:tcPr>
          <w:p w14:paraId="6AA22033" w14:textId="77777777" w:rsidR="00E94B1F" w:rsidRDefault="00E94B1F" w:rsidP="00823208"/>
        </w:tc>
        <w:tc>
          <w:tcPr>
            <w:tcW w:w="6848" w:type="dxa"/>
            <w:gridSpan w:val="2"/>
            <w:tcBorders>
              <w:top w:val="nil"/>
              <w:left w:val="nil"/>
              <w:bottom w:val="nil"/>
              <w:right w:val="nil"/>
            </w:tcBorders>
          </w:tcPr>
          <w:p w14:paraId="68BA2B67" w14:textId="5E5AF66C" w:rsidR="00E94B1F" w:rsidRDefault="003227AD" w:rsidP="00823208">
            <w:r>
              <w:t xml:space="preserve">With regard to the children he had with his former partner, </w:t>
            </w:r>
            <w:r w:rsidR="00E94B1F">
              <w:t xml:space="preserve">Mr R had been in receipt of annual letters about the children’s progress. The children were informed about the index offence and since then have been clear that they do not wish to have any form of communication from Mr R or </w:t>
            </w:r>
            <w:r>
              <w:t xml:space="preserve">any members of </w:t>
            </w:r>
            <w:r w:rsidR="00E94B1F">
              <w:t>his extended family.</w:t>
            </w:r>
          </w:p>
        </w:tc>
      </w:tr>
      <w:tr w:rsidR="00E94B1F" w14:paraId="57D5AEA4" w14:textId="77777777" w:rsidTr="00B94A27">
        <w:tc>
          <w:tcPr>
            <w:tcW w:w="817" w:type="dxa"/>
            <w:tcBorders>
              <w:top w:val="nil"/>
              <w:left w:val="nil"/>
              <w:bottom w:val="nil"/>
              <w:right w:val="nil"/>
            </w:tcBorders>
          </w:tcPr>
          <w:p w14:paraId="375C93D3" w14:textId="77777777" w:rsidR="00E94B1F" w:rsidRDefault="00E94B1F" w:rsidP="00823208"/>
        </w:tc>
        <w:tc>
          <w:tcPr>
            <w:tcW w:w="851" w:type="dxa"/>
            <w:tcBorders>
              <w:top w:val="nil"/>
              <w:left w:val="nil"/>
              <w:bottom w:val="nil"/>
              <w:right w:val="nil"/>
            </w:tcBorders>
          </w:tcPr>
          <w:p w14:paraId="759FDA2B" w14:textId="77777777" w:rsidR="00E94B1F" w:rsidRDefault="00E94B1F" w:rsidP="00823208"/>
        </w:tc>
        <w:tc>
          <w:tcPr>
            <w:tcW w:w="6848" w:type="dxa"/>
            <w:gridSpan w:val="2"/>
            <w:tcBorders>
              <w:top w:val="nil"/>
              <w:left w:val="nil"/>
              <w:bottom w:val="nil"/>
              <w:right w:val="nil"/>
            </w:tcBorders>
          </w:tcPr>
          <w:p w14:paraId="10819FA1" w14:textId="77777777" w:rsidR="00E94B1F" w:rsidRDefault="00E94B1F" w:rsidP="00823208"/>
        </w:tc>
      </w:tr>
      <w:tr w:rsidR="00E3371A" w14:paraId="3A8E905D" w14:textId="77777777" w:rsidTr="00B94A27">
        <w:tc>
          <w:tcPr>
            <w:tcW w:w="817" w:type="dxa"/>
            <w:tcBorders>
              <w:top w:val="nil"/>
              <w:left w:val="nil"/>
              <w:bottom w:val="nil"/>
              <w:right w:val="nil"/>
            </w:tcBorders>
          </w:tcPr>
          <w:p w14:paraId="7DF923E5" w14:textId="77777777" w:rsidR="00E3371A" w:rsidRDefault="00E3371A" w:rsidP="00823208"/>
        </w:tc>
        <w:tc>
          <w:tcPr>
            <w:tcW w:w="851" w:type="dxa"/>
            <w:tcBorders>
              <w:top w:val="nil"/>
              <w:left w:val="nil"/>
              <w:bottom w:val="nil"/>
              <w:right w:val="nil"/>
            </w:tcBorders>
          </w:tcPr>
          <w:p w14:paraId="59E31116" w14:textId="77777777" w:rsidR="00E3371A" w:rsidRDefault="00E3371A" w:rsidP="00823208"/>
        </w:tc>
        <w:tc>
          <w:tcPr>
            <w:tcW w:w="6848" w:type="dxa"/>
            <w:gridSpan w:val="2"/>
            <w:tcBorders>
              <w:top w:val="nil"/>
              <w:left w:val="nil"/>
              <w:bottom w:val="nil"/>
              <w:right w:val="nil"/>
            </w:tcBorders>
          </w:tcPr>
          <w:p w14:paraId="77134D6F" w14:textId="197F77EA" w:rsidR="00E3371A" w:rsidRDefault="00E3371A" w:rsidP="00823208">
            <w:r>
              <w:t xml:space="preserve">When Mr R was interviewed as part of this review, he was keen to assist the panel. However, he showed a lack of fluency in his thoughts and incongruity of affect, consistent with his history of long-term schizophrenia. </w:t>
            </w:r>
          </w:p>
        </w:tc>
      </w:tr>
      <w:tr w:rsidR="00E3371A" w14:paraId="56AFDF56" w14:textId="77777777" w:rsidTr="00B94A27">
        <w:tc>
          <w:tcPr>
            <w:tcW w:w="817" w:type="dxa"/>
            <w:tcBorders>
              <w:top w:val="nil"/>
              <w:left w:val="nil"/>
              <w:bottom w:val="nil"/>
              <w:right w:val="nil"/>
            </w:tcBorders>
          </w:tcPr>
          <w:p w14:paraId="0A450F23" w14:textId="77777777" w:rsidR="00E3371A" w:rsidRDefault="00E3371A" w:rsidP="00823208"/>
        </w:tc>
        <w:tc>
          <w:tcPr>
            <w:tcW w:w="851" w:type="dxa"/>
            <w:tcBorders>
              <w:top w:val="nil"/>
              <w:left w:val="nil"/>
              <w:bottom w:val="nil"/>
              <w:right w:val="nil"/>
            </w:tcBorders>
          </w:tcPr>
          <w:p w14:paraId="166272E8" w14:textId="77777777" w:rsidR="00E3371A" w:rsidRDefault="00E3371A" w:rsidP="00823208"/>
        </w:tc>
        <w:tc>
          <w:tcPr>
            <w:tcW w:w="6848" w:type="dxa"/>
            <w:gridSpan w:val="2"/>
            <w:tcBorders>
              <w:top w:val="nil"/>
              <w:left w:val="nil"/>
              <w:bottom w:val="nil"/>
              <w:right w:val="nil"/>
            </w:tcBorders>
          </w:tcPr>
          <w:p w14:paraId="59DEE2CE" w14:textId="77777777" w:rsidR="00E3371A" w:rsidRDefault="00E3371A" w:rsidP="00823208"/>
        </w:tc>
      </w:tr>
      <w:tr w:rsidR="00E3371A" w14:paraId="67F1164B" w14:textId="77777777" w:rsidTr="00B94A27">
        <w:tc>
          <w:tcPr>
            <w:tcW w:w="817" w:type="dxa"/>
            <w:tcBorders>
              <w:top w:val="nil"/>
              <w:left w:val="nil"/>
              <w:bottom w:val="nil"/>
              <w:right w:val="nil"/>
            </w:tcBorders>
          </w:tcPr>
          <w:p w14:paraId="3417D2AA" w14:textId="77777777" w:rsidR="00E3371A" w:rsidRDefault="00E3371A" w:rsidP="00823208"/>
        </w:tc>
        <w:tc>
          <w:tcPr>
            <w:tcW w:w="851" w:type="dxa"/>
            <w:tcBorders>
              <w:top w:val="nil"/>
              <w:left w:val="nil"/>
              <w:bottom w:val="nil"/>
              <w:right w:val="nil"/>
            </w:tcBorders>
          </w:tcPr>
          <w:p w14:paraId="10F9973B" w14:textId="77777777" w:rsidR="00E3371A" w:rsidRDefault="00E3371A" w:rsidP="00823208"/>
        </w:tc>
        <w:tc>
          <w:tcPr>
            <w:tcW w:w="6848" w:type="dxa"/>
            <w:gridSpan w:val="2"/>
            <w:tcBorders>
              <w:top w:val="nil"/>
              <w:left w:val="nil"/>
              <w:bottom w:val="nil"/>
              <w:right w:val="nil"/>
            </w:tcBorders>
          </w:tcPr>
          <w:p w14:paraId="522B733F" w14:textId="1CCBD1FA" w:rsidR="00E3371A" w:rsidRPr="00277FBE" w:rsidRDefault="00E3371A" w:rsidP="00823208">
            <w:pPr>
              <w:rPr>
                <w:b/>
                <w:color w:val="4F6228" w:themeColor="accent3" w:themeShade="80"/>
              </w:rPr>
            </w:pPr>
            <w:r w:rsidRPr="00277FBE">
              <w:rPr>
                <w:b/>
                <w:color w:val="4F6228" w:themeColor="accent3" w:themeShade="80"/>
              </w:rPr>
              <w:t>Summary</w:t>
            </w:r>
            <w:r w:rsidR="00A978BE">
              <w:rPr>
                <w:b/>
                <w:color w:val="4F6228" w:themeColor="accent3" w:themeShade="80"/>
              </w:rPr>
              <w:t xml:space="preserve"> of Mr R’s Mental Health Problems</w:t>
            </w:r>
          </w:p>
        </w:tc>
      </w:tr>
      <w:tr w:rsidR="00E3371A" w14:paraId="12D8EF10" w14:textId="77777777" w:rsidTr="00B94A27">
        <w:tc>
          <w:tcPr>
            <w:tcW w:w="817" w:type="dxa"/>
            <w:tcBorders>
              <w:top w:val="nil"/>
              <w:left w:val="nil"/>
              <w:bottom w:val="nil"/>
              <w:right w:val="nil"/>
            </w:tcBorders>
          </w:tcPr>
          <w:p w14:paraId="26F1365B" w14:textId="77777777" w:rsidR="00E3371A" w:rsidRDefault="00E3371A" w:rsidP="00823208"/>
        </w:tc>
        <w:tc>
          <w:tcPr>
            <w:tcW w:w="851" w:type="dxa"/>
            <w:tcBorders>
              <w:top w:val="nil"/>
              <w:left w:val="nil"/>
              <w:bottom w:val="nil"/>
              <w:right w:val="nil"/>
            </w:tcBorders>
          </w:tcPr>
          <w:p w14:paraId="0EBF053F" w14:textId="77777777" w:rsidR="00E3371A" w:rsidRDefault="00E3371A" w:rsidP="00823208"/>
        </w:tc>
        <w:tc>
          <w:tcPr>
            <w:tcW w:w="6848" w:type="dxa"/>
            <w:gridSpan w:val="2"/>
            <w:tcBorders>
              <w:top w:val="nil"/>
              <w:left w:val="nil"/>
              <w:bottom w:val="nil"/>
              <w:right w:val="nil"/>
            </w:tcBorders>
          </w:tcPr>
          <w:p w14:paraId="5139009A" w14:textId="77777777" w:rsidR="00E3371A" w:rsidRDefault="00E3371A" w:rsidP="00823208"/>
        </w:tc>
      </w:tr>
      <w:tr w:rsidR="00E3371A" w14:paraId="31689C25" w14:textId="77777777" w:rsidTr="00B94A27">
        <w:tc>
          <w:tcPr>
            <w:tcW w:w="817" w:type="dxa"/>
            <w:tcBorders>
              <w:top w:val="nil"/>
              <w:left w:val="nil"/>
              <w:bottom w:val="nil"/>
              <w:right w:val="nil"/>
            </w:tcBorders>
          </w:tcPr>
          <w:p w14:paraId="2757E77F" w14:textId="77777777" w:rsidR="00E3371A" w:rsidRDefault="00E3371A" w:rsidP="00823208"/>
        </w:tc>
        <w:tc>
          <w:tcPr>
            <w:tcW w:w="851" w:type="dxa"/>
            <w:tcBorders>
              <w:top w:val="nil"/>
              <w:left w:val="nil"/>
              <w:bottom w:val="nil"/>
              <w:right w:val="nil"/>
            </w:tcBorders>
          </w:tcPr>
          <w:p w14:paraId="7258ACD4" w14:textId="77777777" w:rsidR="00E3371A" w:rsidRDefault="00E3371A" w:rsidP="00823208"/>
        </w:tc>
        <w:tc>
          <w:tcPr>
            <w:tcW w:w="6848" w:type="dxa"/>
            <w:gridSpan w:val="2"/>
            <w:tcBorders>
              <w:top w:val="nil"/>
              <w:left w:val="nil"/>
              <w:bottom w:val="nil"/>
              <w:right w:val="nil"/>
            </w:tcBorders>
          </w:tcPr>
          <w:p w14:paraId="4EEB3BF9" w14:textId="5D96B625" w:rsidR="00E3371A" w:rsidRDefault="00E3371A" w:rsidP="00152AE3">
            <w:r>
              <w:t xml:space="preserve">Mr R’s childhood was characterized by his father’s alcoholism and domestic violence towards him and his mother. These experiences are associated with anxiety and difficulty in trusting authority figures. Similarly, the experience of domestic abuse is associated with unassertiveness in accessing services, and so his mother may have </w:t>
            </w:r>
            <w:r w:rsidR="00152AE3">
              <w:t xml:space="preserve">also </w:t>
            </w:r>
            <w:r>
              <w:t>had difficulties in seeking help.</w:t>
            </w:r>
          </w:p>
        </w:tc>
      </w:tr>
      <w:tr w:rsidR="00E3371A" w14:paraId="77C701C3" w14:textId="77777777" w:rsidTr="00B94A27">
        <w:tc>
          <w:tcPr>
            <w:tcW w:w="817" w:type="dxa"/>
            <w:tcBorders>
              <w:top w:val="nil"/>
              <w:left w:val="nil"/>
              <w:bottom w:val="nil"/>
              <w:right w:val="nil"/>
            </w:tcBorders>
          </w:tcPr>
          <w:p w14:paraId="153B055F" w14:textId="77777777" w:rsidR="00E3371A" w:rsidRDefault="00E3371A" w:rsidP="00823208"/>
        </w:tc>
        <w:tc>
          <w:tcPr>
            <w:tcW w:w="851" w:type="dxa"/>
            <w:tcBorders>
              <w:top w:val="nil"/>
              <w:left w:val="nil"/>
              <w:bottom w:val="nil"/>
              <w:right w:val="nil"/>
            </w:tcBorders>
          </w:tcPr>
          <w:p w14:paraId="1449BD65" w14:textId="77777777" w:rsidR="00E3371A" w:rsidRDefault="00E3371A" w:rsidP="00823208"/>
        </w:tc>
        <w:tc>
          <w:tcPr>
            <w:tcW w:w="6848" w:type="dxa"/>
            <w:gridSpan w:val="2"/>
            <w:tcBorders>
              <w:top w:val="nil"/>
              <w:left w:val="nil"/>
              <w:bottom w:val="nil"/>
              <w:right w:val="nil"/>
            </w:tcBorders>
          </w:tcPr>
          <w:p w14:paraId="6BF381CA" w14:textId="77777777" w:rsidR="00E3371A" w:rsidRDefault="00E3371A" w:rsidP="00823208"/>
        </w:tc>
      </w:tr>
      <w:tr w:rsidR="00E3371A" w14:paraId="50F423A2" w14:textId="77777777" w:rsidTr="00B94A27">
        <w:tc>
          <w:tcPr>
            <w:tcW w:w="817" w:type="dxa"/>
            <w:tcBorders>
              <w:top w:val="nil"/>
              <w:left w:val="nil"/>
              <w:bottom w:val="nil"/>
              <w:right w:val="nil"/>
            </w:tcBorders>
          </w:tcPr>
          <w:p w14:paraId="289B9EE3" w14:textId="77777777" w:rsidR="00E3371A" w:rsidRDefault="00E3371A" w:rsidP="00823208"/>
        </w:tc>
        <w:tc>
          <w:tcPr>
            <w:tcW w:w="851" w:type="dxa"/>
            <w:tcBorders>
              <w:top w:val="nil"/>
              <w:left w:val="nil"/>
              <w:bottom w:val="nil"/>
              <w:right w:val="nil"/>
            </w:tcBorders>
          </w:tcPr>
          <w:p w14:paraId="752B267B" w14:textId="77777777" w:rsidR="00E3371A" w:rsidRDefault="00E3371A" w:rsidP="00823208"/>
        </w:tc>
        <w:tc>
          <w:tcPr>
            <w:tcW w:w="6848" w:type="dxa"/>
            <w:gridSpan w:val="2"/>
            <w:tcBorders>
              <w:top w:val="nil"/>
              <w:left w:val="nil"/>
              <w:bottom w:val="nil"/>
              <w:right w:val="nil"/>
            </w:tcBorders>
          </w:tcPr>
          <w:p w14:paraId="1370297C" w14:textId="1213CF9B" w:rsidR="00E3371A" w:rsidRDefault="00E3371A" w:rsidP="00823208">
            <w:r>
              <w:t>All parties involved with his care agree that Mr R has schizophrenia, an enduring mental illness, and that his mental state can be difficult to assess.  He himself has described that his mental state can deteriorate very quickly.</w:t>
            </w:r>
          </w:p>
        </w:tc>
      </w:tr>
      <w:tr w:rsidR="00E3371A" w14:paraId="0ECF5664" w14:textId="77777777" w:rsidTr="00B94A27">
        <w:tc>
          <w:tcPr>
            <w:tcW w:w="817" w:type="dxa"/>
            <w:tcBorders>
              <w:top w:val="nil"/>
              <w:left w:val="nil"/>
              <w:bottom w:val="nil"/>
              <w:right w:val="nil"/>
            </w:tcBorders>
          </w:tcPr>
          <w:p w14:paraId="4107D06C" w14:textId="77777777" w:rsidR="00E3371A" w:rsidRDefault="00E3371A" w:rsidP="00823208"/>
        </w:tc>
        <w:tc>
          <w:tcPr>
            <w:tcW w:w="851" w:type="dxa"/>
            <w:tcBorders>
              <w:top w:val="nil"/>
              <w:left w:val="nil"/>
              <w:bottom w:val="nil"/>
              <w:right w:val="nil"/>
            </w:tcBorders>
          </w:tcPr>
          <w:p w14:paraId="63D39F84" w14:textId="77777777" w:rsidR="00E3371A" w:rsidRDefault="00E3371A" w:rsidP="00823208"/>
        </w:tc>
        <w:tc>
          <w:tcPr>
            <w:tcW w:w="6848" w:type="dxa"/>
            <w:gridSpan w:val="2"/>
            <w:tcBorders>
              <w:top w:val="nil"/>
              <w:left w:val="nil"/>
              <w:bottom w:val="nil"/>
              <w:right w:val="nil"/>
            </w:tcBorders>
          </w:tcPr>
          <w:p w14:paraId="489B7474" w14:textId="77777777" w:rsidR="00E3371A" w:rsidRDefault="00E3371A" w:rsidP="00823208"/>
        </w:tc>
      </w:tr>
      <w:tr w:rsidR="00E3371A" w14:paraId="5BB3F862" w14:textId="77777777" w:rsidTr="00B94A27">
        <w:tc>
          <w:tcPr>
            <w:tcW w:w="817" w:type="dxa"/>
            <w:tcBorders>
              <w:top w:val="nil"/>
              <w:left w:val="nil"/>
              <w:bottom w:val="nil"/>
              <w:right w:val="nil"/>
            </w:tcBorders>
          </w:tcPr>
          <w:p w14:paraId="43320269" w14:textId="77777777" w:rsidR="00E3371A" w:rsidRDefault="00E3371A" w:rsidP="00823208"/>
        </w:tc>
        <w:tc>
          <w:tcPr>
            <w:tcW w:w="851" w:type="dxa"/>
            <w:tcBorders>
              <w:top w:val="nil"/>
              <w:left w:val="nil"/>
              <w:bottom w:val="nil"/>
              <w:right w:val="nil"/>
            </w:tcBorders>
          </w:tcPr>
          <w:p w14:paraId="709345F1" w14:textId="77777777" w:rsidR="00E3371A" w:rsidRDefault="00E3371A" w:rsidP="00823208"/>
        </w:tc>
        <w:tc>
          <w:tcPr>
            <w:tcW w:w="6848" w:type="dxa"/>
            <w:gridSpan w:val="2"/>
            <w:tcBorders>
              <w:top w:val="nil"/>
              <w:left w:val="nil"/>
              <w:bottom w:val="nil"/>
              <w:right w:val="nil"/>
            </w:tcBorders>
          </w:tcPr>
          <w:p w14:paraId="5CEF198C" w14:textId="455A8DD9" w:rsidR="00E3371A" w:rsidRDefault="00E3371A" w:rsidP="00823208">
            <w:r>
              <w:t xml:space="preserve">The frequent admissions during the decade preceding the homicide, and the history of relapse in response to changes in medication, suggest that only fragile control had been maintained over his illness. </w:t>
            </w:r>
          </w:p>
        </w:tc>
      </w:tr>
      <w:tr w:rsidR="00E3371A" w14:paraId="4C420328" w14:textId="77777777" w:rsidTr="00B94A27">
        <w:tc>
          <w:tcPr>
            <w:tcW w:w="817" w:type="dxa"/>
            <w:tcBorders>
              <w:top w:val="nil"/>
              <w:left w:val="nil"/>
              <w:bottom w:val="nil"/>
              <w:right w:val="nil"/>
            </w:tcBorders>
          </w:tcPr>
          <w:p w14:paraId="224CB05A" w14:textId="77777777" w:rsidR="00E3371A" w:rsidRDefault="00E3371A" w:rsidP="00823208"/>
        </w:tc>
        <w:tc>
          <w:tcPr>
            <w:tcW w:w="851" w:type="dxa"/>
            <w:tcBorders>
              <w:top w:val="nil"/>
              <w:left w:val="nil"/>
              <w:bottom w:val="nil"/>
              <w:right w:val="nil"/>
            </w:tcBorders>
          </w:tcPr>
          <w:p w14:paraId="731643FC" w14:textId="77777777" w:rsidR="00E3371A" w:rsidRDefault="00E3371A" w:rsidP="00823208"/>
        </w:tc>
        <w:tc>
          <w:tcPr>
            <w:tcW w:w="6848" w:type="dxa"/>
            <w:gridSpan w:val="2"/>
            <w:tcBorders>
              <w:top w:val="nil"/>
              <w:left w:val="nil"/>
              <w:bottom w:val="nil"/>
              <w:right w:val="nil"/>
            </w:tcBorders>
          </w:tcPr>
          <w:p w14:paraId="383B0BD7" w14:textId="77777777" w:rsidR="00E3371A" w:rsidRDefault="00E3371A" w:rsidP="00823208"/>
        </w:tc>
      </w:tr>
      <w:tr w:rsidR="00E3371A" w14:paraId="7ABAB65F" w14:textId="77777777" w:rsidTr="00B94A27">
        <w:tc>
          <w:tcPr>
            <w:tcW w:w="817" w:type="dxa"/>
            <w:tcBorders>
              <w:top w:val="nil"/>
              <w:left w:val="nil"/>
              <w:bottom w:val="nil"/>
              <w:right w:val="nil"/>
            </w:tcBorders>
          </w:tcPr>
          <w:p w14:paraId="1B7FFD62" w14:textId="77777777" w:rsidR="00E3371A" w:rsidRDefault="00E3371A" w:rsidP="00823208"/>
        </w:tc>
        <w:tc>
          <w:tcPr>
            <w:tcW w:w="851" w:type="dxa"/>
            <w:tcBorders>
              <w:top w:val="nil"/>
              <w:left w:val="nil"/>
              <w:bottom w:val="nil"/>
              <w:right w:val="nil"/>
            </w:tcBorders>
          </w:tcPr>
          <w:p w14:paraId="18286901" w14:textId="77777777" w:rsidR="00E3371A" w:rsidRDefault="00E3371A" w:rsidP="00823208"/>
        </w:tc>
        <w:tc>
          <w:tcPr>
            <w:tcW w:w="6848" w:type="dxa"/>
            <w:gridSpan w:val="2"/>
            <w:tcBorders>
              <w:top w:val="nil"/>
              <w:left w:val="nil"/>
              <w:bottom w:val="nil"/>
              <w:right w:val="nil"/>
            </w:tcBorders>
          </w:tcPr>
          <w:p w14:paraId="6150FB04" w14:textId="3915BA4F" w:rsidR="00E3371A" w:rsidRPr="00371D3D" w:rsidRDefault="00E3371A" w:rsidP="00455E64">
            <w:pPr>
              <w:rPr>
                <w:color w:val="000000" w:themeColor="text1"/>
              </w:rPr>
            </w:pPr>
            <w:r w:rsidRPr="00371D3D">
              <w:rPr>
                <w:color w:val="000000" w:themeColor="text1"/>
              </w:rPr>
              <w:t>The pattern of rapid relapse following medication change was repeated again in 2015 when he was conditionally discharged from medium security to hostel accommodation. This was despite the psychological work and the multidisciplinary interventions of the team at the</w:t>
            </w:r>
            <w:r w:rsidR="00455E64" w:rsidRPr="00371D3D">
              <w:rPr>
                <w:color w:val="000000" w:themeColor="text1"/>
              </w:rPr>
              <w:t xml:space="preserve"> MSU</w:t>
            </w:r>
            <w:r w:rsidRPr="00371D3D">
              <w:rPr>
                <w:color w:val="000000" w:themeColor="text1"/>
              </w:rPr>
              <w:t xml:space="preserve">. </w:t>
            </w:r>
            <w:r w:rsidR="003227AD" w:rsidRPr="00371D3D">
              <w:rPr>
                <w:color w:val="000000" w:themeColor="text1"/>
              </w:rPr>
              <w:t>It is noted that he once again relapsed with no warning at a Christmas period after a change in depot medication</w:t>
            </w:r>
            <w:r w:rsidR="00812480" w:rsidRPr="00371D3D">
              <w:rPr>
                <w:color w:val="000000" w:themeColor="text1"/>
              </w:rPr>
              <w:t>.</w:t>
            </w:r>
          </w:p>
        </w:tc>
      </w:tr>
      <w:tr w:rsidR="00E3371A" w14:paraId="2DCD45C0" w14:textId="77777777" w:rsidTr="00B94A27">
        <w:tc>
          <w:tcPr>
            <w:tcW w:w="817" w:type="dxa"/>
            <w:tcBorders>
              <w:top w:val="nil"/>
              <w:left w:val="nil"/>
              <w:bottom w:val="nil"/>
              <w:right w:val="nil"/>
            </w:tcBorders>
          </w:tcPr>
          <w:p w14:paraId="67F34642" w14:textId="77777777" w:rsidR="00E3371A" w:rsidRDefault="00E3371A" w:rsidP="00823208"/>
        </w:tc>
        <w:tc>
          <w:tcPr>
            <w:tcW w:w="851" w:type="dxa"/>
            <w:tcBorders>
              <w:top w:val="nil"/>
              <w:left w:val="nil"/>
              <w:bottom w:val="nil"/>
              <w:right w:val="nil"/>
            </w:tcBorders>
          </w:tcPr>
          <w:p w14:paraId="7ADB339B" w14:textId="77777777" w:rsidR="00E3371A" w:rsidRDefault="00E3371A" w:rsidP="00823208"/>
        </w:tc>
        <w:tc>
          <w:tcPr>
            <w:tcW w:w="6848" w:type="dxa"/>
            <w:gridSpan w:val="2"/>
            <w:tcBorders>
              <w:top w:val="nil"/>
              <w:left w:val="nil"/>
              <w:bottom w:val="nil"/>
              <w:right w:val="nil"/>
            </w:tcBorders>
          </w:tcPr>
          <w:p w14:paraId="4657B526" w14:textId="77777777" w:rsidR="00E3371A" w:rsidRDefault="00E3371A" w:rsidP="00823208"/>
        </w:tc>
      </w:tr>
      <w:tr w:rsidR="00E3371A" w14:paraId="67AEEE71" w14:textId="77777777" w:rsidTr="00823208">
        <w:tc>
          <w:tcPr>
            <w:tcW w:w="817" w:type="dxa"/>
            <w:tcBorders>
              <w:top w:val="nil"/>
              <w:left w:val="nil"/>
              <w:bottom w:val="nil"/>
              <w:right w:val="nil"/>
            </w:tcBorders>
          </w:tcPr>
          <w:p w14:paraId="72141F9B" w14:textId="77777777" w:rsidR="00E3371A" w:rsidRDefault="00E3371A" w:rsidP="00823208"/>
        </w:tc>
        <w:tc>
          <w:tcPr>
            <w:tcW w:w="851" w:type="dxa"/>
            <w:tcBorders>
              <w:top w:val="nil"/>
              <w:left w:val="nil"/>
              <w:bottom w:val="nil"/>
              <w:right w:val="nil"/>
            </w:tcBorders>
          </w:tcPr>
          <w:p w14:paraId="090D7B91" w14:textId="166F9725" w:rsidR="00E3371A" w:rsidRPr="002D0635" w:rsidRDefault="00E3371A" w:rsidP="00823208">
            <w:pPr>
              <w:rPr>
                <w:b/>
                <w:color w:val="4F6228" w:themeColor="accent3" w:themeShade="80"/>
              </w:rPr>
            </w:pPr>
            <w:r w:rsidRPr="002D0635">
              <w:rPr>
                <w:b/>
                <w:color w:val="4F6228" w:themeColor="accent3" w:themeShade="80"/>
              </w:rPr>
              <w:t>2.6</w:t>
            </w:r>
          </w:p>
        </w:tc>
        <w:tc>
          <w:tcPr>
            <w:tcW w:w="6848" w:type="dxa"/>
            <w:gridSpan w:val="2"/>
            <w:tcBorders>
              <w:top w:val="nil"/>
              <w:left w:val="nil"/>
              <w:bottom w:val="nil"/>
              <w:right w:val="nil"/>
            </w:tcBorders>
          </w:tcPr>
          <w:p w14:paraId="654A1FB2" w14:textId="520611C0" w:rsidR="00E3371A" w:rsidRPr="0075755B" w:rsidRDefault="00E3371A" w:rsidP="00823208">
            <w:pPr>
              <w:rPr>
                <w:b/>
                <w:color w:val="4F6228" w:themeColor="accent3" w:themeShade="80"/>
              </w:rPr>
            </w:pPr>
            <w:r w:rsidRPr="0075755B">
              <w:rPr>
                <w:b/>
                <w:color w:val="4F6228" w:themeColor="accent3" w:themeShade="80"/>
              </w:rPr>
              <w:t>FINDINGS OF THE PRESENT REVIEW</w:t>
            </w:r>
          </w:p>
        </w:tc>
      </w:tr>
      <w:tr w:rsidR="00E3371A" w14:paraId="657878EE" w14:textId="77777777" w:rsidTr="00823208">
        <w:tc>
          <w:tcPr>
            <w:tcW w:w="817" w:type="dxa"/>
            <w:tcBorders>
              <w:top w:val="nil"/>
              <w:left w:val="nil"/>
              <w:bottom w:val="nil"/>
              <w:right w:val="nil"/>
            </w:tcBorders>
          </w:tcPr>
          <w:p w14:paraId="3CFE4BC7" w14:textId="77777777" w:rsidR="00E3371A" w:rsidRDefault="00E3371A" w:rsidP="00823208"/>
        </w:tc>
        <w:tc>
          <w:tcPr>
            <w:tcW w:w="851" w:type="dxa"/>
            <w:tcBorders>
              <w:top w:val="nil"/>
              <w:left w:val="nil"/>
              <w:bottom w:val="nil"/>
              <w:right w:val="nil"/>
            </w:tcBorders>
          </w:tcPr>
          <w:p w14:paraId="02ADEC43" w14:textId="77777777" w:rsidR="00E3371A" w:rsidRDefault="00E3371A" w:rsidP="00823208"/>
        </w:tc>
        <w:tc>
          <w:tcPr>
            <w:tcW w:w="6848" w:type="dxa"/>
            <w:gridSpan w:val="2"/>
            <w:tcBorders>
              <w:top w:val="nil"/>
              <w:left w:val="nil"/>
              <w:bottom w:val="nil"/>
              <w:right w:val="nil"/>
            </w:tcBorders>
          </w:tcPr>
          <w:p w14:paraId="654D6715" w14:textId="77777777" w:rsidR="00E3371A" w:rsidRDefault="00E3371A" w:rsidP="00823208"/>
        </w:tc>
      </w:tr>
      <w:tr w:rsidR="00E3371A" w14:paraId="29400F22" w14:textId="77777777" w:rsidTr="00823208">
        <w:tc>
          <w:tcPr>
            <w:tcW w:w="817" w:type="dxa"/>
            <w:tcBorders>
              <w:top w:val="nil"/>
              <w:left w:val="nil"/>
              <w:bottom w:val="nil"/>
              <w:right w:val="nil"/>
            </w:tcBorders>
          </w:tcPr>
          <w:p w14:paraId="59C42D4F" w14:textId="77777777" w:rsidR="00E3371A" w:rsidRDefault="00E3371A" w:rsidP="00823208"/>
        </w:tc>
        <w:tc>
          <w:tcPr>
            <w:tcW w:w="851" w:type="dxa"/>
            <w:tcBorders>
              <w:top w:val="nil"/>
              <w:left w:val="nil"/>
              <w:bottom w:val="nil"/>
              <w:right w:val="nil"/>
            </w:tcBorders>
          </w:tcPr>
          <w:p w14:paraId="560B0A49" w14:textId="77777777" w:rsidR="00E3371A" w:rsidRDefault="00E3371A" w:rsidP="00823208"/>
        </w:tc>
        <w:tc>
          <w:tcPr>
            <w:tcW w:w="6848" w:type="dxa"/>
            <w:gridSpan w:val="2"/>
            <w:tcBorders>
              <w:top w:val="nil"/>
              <w:left w:val="nil"/>
              <w:bottom w:val="nil"/>
              <w:right w:val="nil"/>
            </w:tcBorders>
          </w:tcPr>
          <w:p w14:paraId="00968384" w14:textId="5D836771" w:rsidR="00E3371A" w:rsidRDefault="0075755B" w:rsidP="00CD5B02">
            <w:r>
              <w:t>The following section relates to the specific terms of reference.</w:t>
            </w:r>
          </w:p>
        </w:tc>
      </w:tr>
      <w:tr w:rsidR="00746700" w14:paraId="4FB894E2" w14:textId="77777777" w:rsidTr="00823208">
        <w:tc>
          <w:tcPr>
            <w:tcW w:w="817" w:type="dxa"/>
            <w:tcBorders>
              <w:top w:val="nil"/>
              <w:left w:val="nil"/>
              <w:bottom w:val="nil"/>
              <w:right w:val="nil"/>
            </w:tcBorders>
          </w:tcPr>
          <w:p w14:paraId="11F7749B" w14:textId="77777777" w:rsidR="00746700" w:rsidRDefault="00746700" w:rsidP="00823208"/>
        </w:tc>
        <w:tc>
          <w:tcPr>
            <w:tcW w:w="851" w:type="dxa"/>
            <w:tcBorders>
              <w:top w:val="nil"/>
              <w:left w:val="nil"/>
              <w:bottom w:val="nil"/>
              <w:right w:val="nil"/>
            </w:tcBorders>
          </w:tcPr>
          <w:p w14:paraId="5D4119E0" w14:textId="77777777" w:rsidR="00746700" w:rsidRDefault="00746700" w:rsidP="00823208"/>
        </w:tc>
        <w:tc>
          <w:tcPr>
            <w:tcW w:w="6848" w:type="dxa"/>
            <w:gridSpan w:val="2"/>
            <w:tcBorders>
              <w:top w:val="nil"/>
              <w:left w:val="nil"/>
              <w:bottom w:val="nil"/>
              <w:right w:val="nil"/>
            </w:tcBorders>
          </w:tcPr>
          <w:p w14:paraId="258A8FBA" w14:textId="77777777" w:rsidR="00746700" w:rsidRDefault="00746700" w:rsidP="00CD5B02"/>
        </w:tc>
      </w:tr>
      <w:tr w:rsidR="00297432" w14:paraId="65611685" w14:textId="77777777" w:rsidTr="00823208">
        <w:tc>
          <w:tcPr>
            <w:tcW w:w="817" w:type="dxa"/>
            <w:tcBorders>
              <w:top w:val="nil"/>
              <w:left w:val="nil"/>
              <w:bottom w:val="nil"/>
              <w:right w:val="nil"/>
            </w:tcBorders>
          </w:tcPr>
          <w:p w14:paraId="19915D54" w14:textId="77777777" w:rsidR="00297432" w:rsidRDefault="00297432" w:rsidP="00823208"/>
        </w:tc>
        <w:tc>
          <w:tcPr>
            <w:tcW w:w="851" w:type="dxa"/>
            <w:tcBorders>
              <w:top w:val="nil"/>
              <w:left w:val="nil"/>
              <w:bottom w:val="nil"/>
              <w:right w:val="nil"/>
            </w:tcBorders>
          </w:tcPr>
          <w:p w14:paraId="78B6138D" w14:textId="77777777" w:rsidR="00297432" w:rsidRDefault="00297432" w:rsidP="00823208"/>
        </w:tc>
        <w:tc>
          <w:tcPr>
            <w:tcW w:w="850" w:type="dxa"/>
            <w:tcBorders>
              <w:top w:val="nil"/>
              <w:left w:val="nil"/>
              <w:bottom w:val="nil"/>
              <w:right w:val="nil"/>
            </w:tcBorders>
          </w:tcPr>
          <w:p w14:paraId="54EB80A6" w14:textId="05B657DF" w:rsidR="00297432" w:rsidRPr="0068301F" w:rsidRDefault="0068301F" w:rsidP="00823208">
            <w:pPr>
              <w:rPr>
                <w:sz w:val="22"/>
                <w:szCs w:val="22"/>
              </w:rPr>
            </w:pPr>
            <w:r>
              <w:rPr>
                <w:b/>
                <w:color w:val="4F6228" w:themeColor="accent3" w:themeShade="80"/>
                <w:sz w:val="22"/>
                <w:szCs w:val="22"/>
              </w:rPr>
              <w:t>2.6.</w:t>
            </w:r>
            <w:r w:rsidR="00297432" w:rsidRPr="0068301F">
              <w:rPr>
                <w:b/>
                <w:color w:val="4F6228" w:themeColor="accent3" w:themeShade="80"/>
                <w:sz w:val="22"/>
                <w:szCs w:val="22"/>
              </w:rPr>
              <w:t>1</w:t>
            </w:r>
          </w:p>
        </w:tc>
        <w:tc>
          <w:tcPr>
            <w:tcW w:w="5998" w:type="dxa"/>
            <w:tcBorders>
              <w:top w:val="nil"/>
              <w:left w:val="nil"/>
              <w:bottom w:val="nil"/>
              <w:right w:val="nil"/>
            </w:tcBorders>
          </w:tcPr>
          <w:p w14:paraId="7C18FAF9" w14:textId="31C83D13" w:rsidR="00297432" w:rsidRPr="00297432" w:rsidRDefault="00297432" w:rsidP="00823208">
            <w:pPr>
              <w:rPr>
                <w:b/>
                <w:color w:val="4F6228" w:themeColor="accent3" w:themeShade="80"/>
              </w:rPr>
            </w:pPr>
            <w:r w:rsidRPr="00297432">
              <w:rPr>
                <w:b/>
                <w:color w:val="4F6228" w:themeColor="accent3" w:themeShade="80"/>
              </w:rPr>
              <w:t xml:space="preserve">Understanding of services and support Mr R was </w:t>
            </w:r>
            <w:r>
              <w:rPr>
                <w:b/>
                <w:color w:val="4F6228" w:themeColor="accent3" w:themeShade="80"/>
              </w:rPr>
              <w:t xml:space="preserve">          </w:t>
            </w:r>
            <w:r w:rsidRPr="00297432">
              <w:rPr>
                <w:b/>
                <w:color w:val="4F6228" w:themeColor="accent3" w:themeShade="80"/>
              </w:rPr>
              <w:t>receiving</w:t>
            </w:r>
            <w:r>
              <w:rPr>
                <w:b/>
                <w:color w:val="4F6228" w:themeColor="accent3" w:themeShade="80"/>
              </w:rPr>
              <w:t xml:space="preserve"> </w:t>
            </w:r>
            <w:r w:rsidRPr="00297432">
              <w:rPr>
                <w:b/>
                <w:color w:val="4F6228" w:themeColor="accent3" w:themeShade="80"/>
              </w:rPr>
              <w:t>for the management of his substance misuse of cannabis</w:t>
            </w:r>
            <w:r>
              <w:rPr>
                <w:b/>
                <w:color w:val="4F6228" w:themeColor="accent3" w:themeShade="80"/>
              </w:rPr>
              <w:t xml:space="preserve"> </w:t>
            </w:r>
            <w:r w:rsidRPr="00297432">
              <w:rPr>
                <w:b/>
                <w:color w:val="4F6228" w:themeColor="accent3" w:themeShade="80"/>
              </w:rPr>
              <w:t>and alcohol and how practice has changed since the index</w:t>
            </w:r>
            <w:r>
              <w:rPr>
                <w:b/>
                <w:color w:val="4F6228" w:themeColor="accent3" w:themeShade="80"/>
              </w:rPr>
              <w:t xml:space="preserve"> </w:t>
            </w:r>
            <w:r w:rsidRPr="00297432">
              <w:rPr>
                <w:b/>
                <w:color w:val="4F6228" w:themeColor="accent3" w:themeShade="80"/>
              </w:rPr>
              <w:t>offence</w:t>
            </w:r>
            <w:r w:rsidRPr="00297432">
              <w:rPr>
                <w:color w:val="4F6228" w:themeColor="accent3" w:themeShade="80"/>
              </w:rPr>
              <w:t xml:space="preserve">                                </w:t>
            </w:r>
          </w:p>
        </w:tc>
      </w:tr>
      <w:tr w:rsidR="0068301F" w14:paraId="4A3B7115" w14:textId="77777777" w:rsidTr="00823208">
        <w:tc>
          <w:tcPr>
            <w:tcW w:w="817" w:type="dxa"/>
            <w:tcBorders>
              <w:top w:val="nil"/>
              <w:left w:val="nil"/>
              <w:bottom w:val="nil"/>
              <w:right w:val="nil"/>
            </w:tcBorders>
          </w:tcPr>
          <w:p w14:paraId="730A9F22" w14:textId="77777777" w:rsidR="0068301F" w:rsidRDefault="0068301F" w:rsidP="00823208"/>
        </w:tc>
        <w:tc>
          <w:tcPr>
            <w:tcW w:w="851" w:type="dxa"/>
            <w:tcBorders>
              <w:top w:val="nil"/>
              <w:left w:val="nil"/>
              <w:bottom w:val="nil"/>
              <w:right w:val="nil"/>
            </w:tcBorders>
          </w:tcPr>
          <w:p w14:paraId="7987CCCA" w14:textId="77777777" w:rsidR="0068301F" w:rsidRDefault="0068301F" w:rsidP="00823208"/>
        </w:tc>
        <w:tc>
          <w:tcPr>
            <w:tcW w:w="850" w:type="dxa"/>
            <w:tcBorders>
              <w:top w:val="nil"/>
              <w:left w:val="nil"/>
              <w:bottom w:val="nil"/>
              <w:right w:val="nil"/>
            </w:tcBorders>
          </w:tcPr>
          <w:p w14:paraId="69C861E2" w14:textId="77777777" w:rsidR="0068301F" w:rsidRDefault="0068301F" w:rsidP="00823208">
            <w:pPr>
              <w:rPr>
                <w:b/>
                <w:color w:val="4F6228" w:themeColor="accent3" w:themeShade="80"/>
              </w:rPr>
            </w:pPr>
          </w:p>
        </w:tc>
        <w:tc>
          <w:tcPr>
            <w:tcW w:w="5998" w:type="dxa"/>
            <w:tcBorders>
              <w:top w:val="nil"/>
              <w:left w:val="nil"/>
              <w:bottom w:val="nil"/>
              <w:right w:val="nil"/>
            </w:tcBorders>
          </w:tcPr>
          <w:p w14:paraId="476008B9" w14:textId="77777777" w:rsidR="0068301F" w:rsidRPr="00297432" w:rsidRDefault="0068301F" w:rsidP="00823208">
            <w:pPr>
              <w:rPr>
                <w:b/>
                <w:color w:val="4F6228" w:themeColor="accent3" w:themeShade="80"/>
              </w:rPr>
            </w:pPr>
          </w:p>
        </w:tc>
      </w:tr>
      <w:tr w:rsidR="00E3371A" w14:paraId="4CB7A018" w14:textId="77777777" w:rsidTr="00823208">
        <w:tc>
          <w:tcPr>
            <w:tcW w:w="817" w:type="dxa"/>
            <w:tcBorders>
              <w:top w:val="nil"/>
              <w:left w:val="nil"/>
              <w:bottom w:val="nil"/>
              <w:right w:val="nil"/>
            </w:tcBorders>
          </w:tcPr>
          <w:p w14:paraId="58A9D417" w14:textId="77777777" w:rsidR="00E3371A" w:rsidRDefault="00E3371A" w:rsidP="00823208"/>
        </w:tc>
        <w:tc>
          <w:tcPr>
            <w:tcW w:w="851" w:type="dxa"/>
            <w:tcBorders>
              <w:top w:val="nil"/>
              <w:left w:val="nil"/>
              <w:bottom w:val="nil"/>
              <w:right w:val="nil"/>
            </w:tcBorders>
          </w:tcPr>
          <w:p w14:paraId="063A6627" w14:textId="77777777" w:rsidR="00E3371A" w:rsidRDefault="00E3371A" w:rsidP="00823208"/>
        </w:tc>
        <w:tc>
          <w:tcPr>
            <w:tcW w:w="6848" w:type="dxa"/>
            <w:gridSpan w:val="2"/>
            <w:tcBorders>
              <w:top w:val="nil"/>
              <w:left w:val="nil"/>
              <w:bottom w:val="nil"/>
              <w:right w:val="nil"/>
            </w:tcBorders>
          </w:tcPr>
          <w:p w14:paraId="096D99F2" w14:textId="32168EA6" w:rsidR="00297432" w:rsidRPr="00297432" w:rsidRDefault="001A7367" w:rsidP="00823208">
            <w:r>
              <w:t xml:space="preserve">Mr R </w:t>
            </w:r>
            <w:r w:rsidR="00297432">
              <w:t>has been described in his clinical records as using cannabis during the early years of his illness</w:t>
            </w:r>
            <w:r>
              <w:t xml:space="preserve">. He does not appear </w:t>
            </w:r>
            <w:r w:rsidR="00297432">
              <w:t xml:space="preserve">to have </w:t>
            </w:r>
            <w:r>
              <w:t xml:space="preserve">used cannabis for </w:t>
            </w:r>
            <w:r w:rsidR="00297432">
              <w:t>many years</w:t>
            </w:r>
            <w:r>
              <w:t xml:space="preserve"> and it</w:t>
            </w:r>
            <w:r w:rsidR="00746700">
              <w:t xml:space="preserve"> has been recorded that Mr R had</w:t>
            </w:r>
            <w:r>
              <w:t xml:space="preserve"> reported a belief that cannabis use triggered his mental illness</w:t>
            </w:r>
            <w:r w:rsidR="00297432">
              <w:t>.</w:t>
            </w:r>
            <w:r w:rsidR="008A0A47">
              <w:t xml:space="preserve"> </w:t>
            </w:r>
            <w:r w:rsidR="00297432">
              <w:t>During our interview with him, Mr R himself described using cannabis as a teenager</w:t>
            </w:r>
            <w:r w:rsidR="008B15BA">
              <w:t xml:space="preserve"> and not since</w:t>
            </w:r>
            <w:r w:rsidR="00297432">
              <w:t xml:space="preserve">. </w:t>
            </w:r>
          </w:p>
        </w:tc>
      </w:tr>
      <w:tr w:rsidR="00E3371A" w14:paraId="09676A63" w14:textId="77777777" w:rsidTr="00B94A27">
        <w:tc>
          <w:tcPr>
            <w:tcW w:w="817" w:type="dxa"/>
            <w:tcBorders>
              <w:top w:val="nil"/>
              <w:left w:val="nil"/>
              <w:bottom w:val="nil"/>
              <w:right w:val="nil"/>
            </w:tcBorders>
          </w:tcPr>
          <w:p w14:paraId="3B85A7FD" w14:textId="7838BC45" w:rsidR="00E3371A" w:rsidRDefault="00E3371A" w:rsidP="00823208"/>
        </w:tc>
        <w:tc>
          <w:tcPr>
            <w:tcW w:w="851" w:type="dxa"/>
            <w:tcBorders>
              <w:top w:val="nil"/>
              <w:left w:val="nil"/>
              <w:bottom w:val="nil"/>
              <w:right w:val="nil"/>
            </w:tcBorders>
          </w:tcPr>
          <w:p w14:paraId="118A64A3" w14:textId="77777777" w:rsidR="00E3371A" w:rsidRDefault="00E3371A" w:rsidP="00823208"/>
        </w:tc>
        <w:tc>
          <w:tcPr>
            <w:tcW w:w="6848" w:type="dxa"/>
            <w:gridSpan w:val="2"/>
            <w:tcBorders>
              <w:top w:val="nil"/>
              <w:left w:val="nil"/>
              <w:bottom w:val="nil"/>
              <w:right w:val="nil"/>
            </w:tcBorders>
          </w:tcPr>
          <w:p w14:paraId="05437EE2" w14:textId="7509570C" w:rsidR="00E3371A" w:rsidRDefault="00E3371A" w:rsidP="00823208"/>
        </w:tc>
      </w:tr>
      <w:tr w:rsidR="008B15BA" w14:paraId="6093F9C6" w14:textId="77777777" w:rsidTr="00B94A27">
        <w:tc>
          <w:tcPr>
            <w:tcW w:w="817" w:type="dxa"/>
            <w:tcBorders>
              <w:top w:val="nil"/>
              <w:left w:val="nil"/>
              <w:bottom w:val="nil"/>
              <w:right w:val="nil"/>
            </w:tcBorders>
          </w:tcPr>
          <w:p w14:paraId="0E8A1BB6" w14:textId="77777777" w:rsidR="008B15BA" w:rsidRDefault="008B15BA" w:rsidP="00823208"/>
        </w:tc>
        <w:tc>
          <w:tcPr>
            <w:tcW w:w="851" w:type="dxa"/>
            <w:tcBorders>
              <w:top w:val="nil"/>
              <w:left w:val="nil"/>
              <w:bottom w:val="nil"/>
              <w:right w:val="nil"/>
            </w:tcBorders>
          </w:tcPr>
          <w:p w14:paraId="6355BF4D" w14:textId="77777777" w:rsidR="008B15BA" w:rsidRDefault="008B15BA" w:rsidP="00823208"/>
        </w:tc>
        <w:tc>
          <w:tcPr>
            <w:tcW w:w="6848" w:type="dxa"/>
            <w:gridSpan w:val="2"/>
            <w:tcBorders>
              <w:top w:val="nil"/>
              <w:left w:val="nil"/>
              <w:bottom w:val="nil"/>
              <w:right w:val="nil"/>
            </w:tcBorders>
          </w:tcPr>
          <w:p w14:paraId="6B98D0ED" w14:textId="57BA3F4A" w:rsidR="008B15BA" w:rsidRDefault="00812480" w:rsidP="00774DC1">
            <w:r>
              <w:t xml:space="preserve">With regard to </w:t>
            </w:r>
            <w:r w:rsidR="005439D5">
              <w:t>Mr R’s alcohol use, i</w:t>
            </w:r>
            <w:r w:rsidR="008B15BA">
              <w:t>t</w:t>
            </w:r>
            <w:r w:rsidR="007450BE">
              <w:t xml:space="preserve"> has been recorded that Mr R </w:t>
            </w:r>
            <w:r w:rsidR="008B15BA">
              <w:t xml:space="preserve">stated his heavy use of alcohol in his twenties was in an attempt to drown out the symptoms of his illness. </w:t>
            </w:r>
            <w:r>
              <w:t xml:space="preserve"> It is recorded that he had</w:t>
            </w:r>
            <w:r w:rsidR="00357E65">
              <w:t xml:space="preserve"> reported drinking a bottle of w</w:t>
            </w:r>
            <w:r w:rsidR="00EA0A29">
              <w:t>ine and a few cans of strong la</w:t>
            </w:r>
            <w:r w:rsidR="00357E65">
              <w:t xml:space="preserve">ger </w:t>
            </w:r>
            <w:r>
              <w:t>each night. His drinking at that</w:t>
            </w:r>
            <w:r w:rsidR="00357E65">
              <w:t xml:space="preserve"> time was severe enough to cause problems at his place of work. </w:t>
            </w:r>
            <w:r w:rsidR="006F7CA0">
              <w:t xml:space="preserve">Mr R told us that he had consumed alcohol as a teenager but did not feel he </w:t>
            </w:r>
            <w:r w:rsidR="00746700">
              <w:t xml:space="preserve">ever </w:t>
            </w:r>
            <w:r w:rsidR="006F7CA0">
              <w:t xml:space="preserve">had a drinking problem.  </w:t>
            </w:r>
            <w:r w:rsidR="008B15BA">
              <w:t xml:space="preserve">Mr R’s responsible clinician at the time of this index offence confirmed that Mr R’s drinking had not been problematic for a number of years. </w:t>
            </w:r>
            <w:r w:rsidR="006F7CA0">
              <w:t xml:space="preserve">It is recorded that after his index offence, Mr R reported to an SPR that he had drunk alcohol </w:t>
            </w:r>
            <w:r w:rsidR="00774DC1">
              <w:t xml:space="preserve">infrequently at about once a month during </w:t>
            </w:r>
            <w:r w:rsidR="006F7CA0">
              <w:t xml:space="preserve">the </w:t>
            </w:r>
            <w:r w:rsidR="007450BE">
              <w:t xml:space="preserve">previous year. </w:t>
            </w:r>
            <w:r w:rsidR="006F7CA0">
              <w:t>However, he reported drinking a large volume on the</w:t>
            </w:r>
            <w:r w:rsidR="00774DC1">
              <w:t>se</w:t>
            </w:r>
            <w:r w:rsidR="006F7CA0">
              <w:t xml:space="preserve"> occasions, usually a large bottle of vodka in one</w:t>
            </w:r>
            <w:r w:rsidR="00746700">
              <w:t xml:space="preserve"> </w:t>
            </w:r>
            <w:r w:rsidR="00746700" w:rsidRPr="00C044F5">
              <w:t>bout</w:t>
            </w:r>
            <w:r w:rsidR="006F7CA0">
              <w:t xml:space="preserve">. </w:t>
            </w:r>
            <w:r>
              <w:t>There is no collateral evidence to verify this.</w:t>
            </w:r>
          </w:p>
        </w:tc>
      </w:tr>
      <w:tr w:rsidR="008B15BA" w14:paraId="23413C1A" w14:textId="77777777" w:rsidTr="00B94A27">
        <w:tc>
          <w:tcPr>
            <w:tcW w:w="817" w:type="dxa"/>
            <w:tcBorders>
              <w:top w:val="nil"/>
              <w:left w:val="nil"/>
              <w:bottom w:val="nil"/>
              <w:right w:val="nil"/>
            </w:tcBorders>
          </w:tcPr>
          <w:p w14:paraId="4E665C24" w14:textId="77777777" w:rsidR="008B15BA" w:rsidRDefault="008B15BA" w:rsidP="00823208"/>
        </w:tc>
        <w:tc>
          <w:tcPr>
            <w:tcW w:w="851" w:type="dxa"/>
            <w:tcBorders>
              <w:top w:val="nil"/>
              <w:left w:val="nil"/>
              <w:bottom w:val="nil"/>
              <w:right w:val="nil"/>
            </w:tcBorders>
          </w:tcPr>
          <w:p w14:paraId="47E99EC7" w14:textId="77777777" w:rsidR="008B15BA" w:rsidRDefault="008B15BA" w:rsidP="00823208"/>
        </w:tc>
        <w:tc>
          <w:tcPr>
            <w:tcW w:w="6848" w:type="dxa"/>
            <w:gridSpan w:val="2"/>
            <w:tcBorders>
              <w:top w:val="nil"/>
              <w:left w:val="nil"/>
              <w:bottom w:val="nil"/>
              <w:right w:val="nil"/>
            </w:tcBorders>
          </w:tcPr>
          <w:p w14:paraId="687D1FFE" w14:textId="77777777" w:rsidR="008B15BA" w:rsidRDefault="008B15BA" w:rsidP="00823208"/>
        </w:tc>
      </w:tr>
      <w:tr w:rsidR="006F7CA0" w14:paraId="2105157E" w14:textId="77777777" w:rsidTr="00B94A27">
        <w:tc>
          <w:tcPr>
            <w:tcW w:w="817" w:type="dxa"/>
            <w:tcBorders>
              <w:top w:val="nil"/>
              <w:left w:val="nil"/>
              <w:bottom w:val="nil"/>
              <w:right w:val="nil"/>
            </w:tcBorders>
          </w:tcPr>
          <w:p w14:paraId="42C978B3" w14:textId="77777777" w:rsidR="006F7CA0" w:rsidRDefault="006F7CA0" w:rsidP="00823208"/>
        </w:tc>
        <w:tc>
          <w:tcPr>
            <w:tcW w:w="851" w:type="dxa"/>
            <w:tcBorders>
              <w:top w:val="nil"/>
              <w:left w:val="nil"/>
              <w:bottom w:val="nil"/>
              <w:right w:val="nil"/>
            </w:tcBorders>
          </w:tcPr>
          <w:p w14:paraId="46283F2C" w14:textId="77777777" w:rsidR="006F7CA0" w:rsidRDefault="006F7CA0" w:rsidP="00823208"/>
        </w:tc>
        <w:tc>
          <w:tcPr>
            <w:tcW w:w="6848" w:type="dxa"/>
            <w:gridSpan w:val="2"/>
            <w:tcBorders>
              <w:top w:val="nil"/>
              <w:left w:val="nil"/>
              <w:bottom w:val="nil"/>
              <w:right w:val="nil"/>
            </w:tcBorders>
          </w:tcPr>
          <w:p w14:paraId="110C5427" w14:textId="62CA3945" w:rsidR="006F7CA0" w:rsidRDefault="006F7CA0" w:rsidP="00EA0A29">
            <w:r>
              <w:t xml:space="preserve">There is no indication </w:t>
            </w:r>
            <w:r w:rsidR="001E4D30">
              <w:t xml:space="preserve">in the records </w:t>
            </w:r>
            <w:r>
              <w:t xml:space="preserve">that alcohol misuse was a </w:t>
            </w:r>
            <w:r w:rsidR="00746700">
              <w:t xml:space="preserve">contributory </w:t>
            </w:r>
            <w:r>
              <w:t xml:space="preserve">factor in his index offence. He does not appear to have presented as having an alcohol misuse problem in the time prior to his index offence although he may have consumed large amounts of alcohol intermittently, which he reported retrospective to </w:t>
            </w:r>
            <w:r w:rsidR="001E4D30">
              <w:t xml:space="preserve">committing </w:t>
            </w:r>
            <w:r w:rsidR="00EA0A29">
              <w:t xml:space="preserve">the </w:t>
            </w:r>
            <w:r>
              <w:t>off</w:t>
            </w:r>
            <w:r w:rsidR="001E4D30">
              <w:t xml:space="preserve">ence. </w:t>
            </w:r>
          </w:p>
        </w:tc>
      </w:tr>
      <w:tr w:rsidR="00726FE2" w14:paraId="5D1502AA" w14:textId="77777777" w:rsidTr="00B94A27">
        <w:tc>
          <w:tcPr>
            <w:tcW w:w="817" w:type="dxa"/>
            <w:tcBorders>
              <w:top w:val="nil"/>
              <w:left w:val="nil"/>
              <w:bottom w:val="nil"/>
              <w:right w:val="nil"/>
            </w:tcBorders>
          </w:tcPr>
          <w:p w14:paraId="7CAECFC8" w14:textId="77777777" w:rsidR="00726FE2" w:rsidRDefault="00726FE2" w:rsidP="00823208"/>
        </w:tc>
        <w:tc>
          <w:tcPr>
            <w:tcW w:w="851" w:type="dxa"/>
            <w:tcBorders>
              <w:top w:val="nil"/>
              <w:left w:val="nil"/>
              <w:bottom w:val="nil"/>
              <w:right w:val="nil"/>
            </w:tcBorders>
          </w:tcPr>
          <w:p w14:paraId="59662A5C" w14:textId="77777777" w:rsidR="00726FE2" w:rsidRDefault="00726FE2" w:rsidP="00823208"/>
        </w:tc>
        <w:tc>
          <w:tcPr>
            <w:tcW w:w="6848" w:type="dxa"/>
            <w:gridSpan w:val="2"/>
            <w:tcBorders>
              <w:top w:val="nil"/>
              <w:left w:val="nil"/>
              <w:bottom w:val="nil"/>
              <w:right w:val="nil"/>
            </w:tcBorders>
          </w:tcPr>
          <w:p w14:paraId="3F73EB41" w14:textId="77777777" w:rsidR="00726FE2" w:rsidRDefault="00726FE2" w:rsidP="00823208"/>
        </w:tc>
      </w:tr>
      <w:tr w:rsidR="00726FE2" w14:paraId="0DB14B64" w14:textId="77777777" w:rsidTr="00B94A27">
        <w:tc>
          <w:tcPr>
            <w:tcW w:w="817" w:type="dxa"/>
            <w:tcBorders>
              <w:top w:val="nil"/>
              <w:left w:val="nil"/>
              <w:bottom w:val="nil"/>
              <w:right w:val="nil"/>
            </w:tcBorders>
          </w:tcPr>
          <w:p w14:paraId="2E83508C" w14:textId="77777777" w:rsidR="00726FE2" w:rsidRDefault="00726FE2" w:rsidP="00823208"/>
        </w:tc>
        <w:tc>
          <w:tcPr>
            <w:tcW w:w="851" w:type="dxa"/>
            <w:tcBorders>
              <w:top w:val="nil"/>
              <w:left w:val="nil"/>
              <w:bottom w:val="nil"/>
              <w:right w:val="nil"/>
            </w:tcBorders>
          </w:tcPr>
          <w:p w14:paraId="7EB5E824" w14:textId="77777777" w:rsidR="00726FE2" w:rsidRDefault="00726FE2" w:rsidP="00823208"/>
        </w:tc>
        <w:tc>
          <w:tcPr>
            <w:tcW w:w="6848" w:type="dxa"/>
            <w:gridSpan w:val="2"/>
            <w:tcBorders>
              <w:top w:val="nil"/>
              <w:left w:val="nil"/>
              <w:bottom w:val="nil"/>
              <w:right w:val="nil"/>
            </w:tcBorders>
          </w:tcPr>
          <w:p w14:paraId="2397B2C1" w14:textId="7C30BA22" w:rsidR="00726FE2" w:rsidRDefault="00726FE2" w:rsidP="00774DC1">
            <w:r>
              <w:t>Mr R does not appear to have used cannabis</w:t>
            </w:r>
            <w:r w:rsidR="00746700">
              <w:t xml:space="preserve"> for many years</w:t>
            </w:r>
            <w:r>
              <w:t xml:space="preserve">. He did not present to services as misusing alcohol.  For that reason he was not in receipt of support </w:t>
            </w:r>
            <w:r w:rsidR="0032256D">
              <w:t xml:space="preserve">for this </w:t>
            </w:r>
            <w:r>
              <w:t>or</w:t>
            </w:r>
            <w:r w:rsidR="0032256D">
              <w:t xml:space="preserve"> engaged with</w:t>
            </w:r>
            <w:r>
              <w:t xml:space="preserve"> </w:t>
            </w:r>
            <w:r w:rsidR="00746700">
              <w:t>substance misuse</w:t>
            </w:r>
            <w:r w:rsidR="00774DC1">
              <w:t xml:space="preserve"> services</w:t>
            </w:r>
            <w:r>
              <w:t xml:space="preserve">. Retrospective to his index offence he disclosed what appears to be bout drinking though there is no record of this being </w:t>
            </w:r>
            <w:r w:rsidR="00746700">
              <w:t xml:space="preserve">identified as </w:t>
            </w:r>
            <w:r>
              <w:t xml:space="preserve">directly associated </w:t>
            </w:r>
            <w:r w:rsidR="00774DC1">
              <w:t xml:space="preserve">with </w:t>
            </w:r>
            <w:r>
              <w:t>his struggle to cope with his mental health problems at this time.</w:t>
            </w:r>
          </w:p>
        </w:tc>
      </w:tr>
      <w:tr w:rsidR="00726FE2" w14:paraId="332905F3" w14:textId="77777777" w:rsidTr="00B94A27">
        <w:tc>
          <w:tcPr>
            <w:tcW w:w="817" w:type="dxa"/>
            <w:tcBorders>
              <w:top w:val="nil"/>
              <w:left w:val="nil"/>
              <w:bottom w:val="nil"/>
              <w:right w:val="nil"/>
            </w:tcBorders>
          </w:tcPr>
          <w:p w14:paraId="682154D4" w14:textId="77777777" w:rsidR="00726FE2" w:rsidRDefault="00726FE2" w:rsidP="00823208"/>
        </w:tc>
        <w:tc>
          <w:tcPr>
            <w:tcW w:w="851" w:type="dxa"/>
            <w:tcBorders>
              <w:top w:val="nil"/>
              <w:left w:val="nil"/>
              <w:bottom w:val="nil"/>
              <w:right w:val="nil"/>
            </w:tcBorders>
          </w:tcPr>
          <w:p w14:paraId="61C03F8D" w14:textId="77777777" w:rsidR="00726FE2" w:rsidRDefault="00726FE2" w:rsidP="00823208"/>
        </w:tc>
        <w:tc>
          <w:tcPr>
            <w:tcW w:w="6848" w:type="dxa"/>
            <w:gridSpan w:val="2"/>
            <w:tcBorders>
              <w:top w:val="nil"/>
              <w:left w:val="nil"/>
              <w:bottom w:val="nil"/>
              <w:right w:val="nil"/>
            </w:tcBorders>
          </w:tcPr>
          <w:p w14:paraId="2752EBB3" w14:textId="77777777" w:rsidR="00726FE2" w:rsidRDefault="00726FE2" w:rsidP="00823208"/>
        </w:tc>
      </w:tr>
      <w:tr w:rsidR="00D0477B" w14:paraId="08BBFFA6" w14:textId="77777777" w:rsidTr="00B94A27">
        <w:tc>
          <w:tcPr>
            <w:tcW w:w="817" w:type="dxa"/>
            <w:tcBorders>
              <w:top w:val="nil"/>
              <w:left w:val="nil"/>
              <w:bottom w:val="nil"/>
              <w:right w:val="nil"/>
            </w:tcBorders>
          </w:tcPr>
          <w:p w14:paraId="61B28EAC" w14:textId="77777777" w:rsidR="00D0477B" w:rsidRDefault="00D0477B" w:rsidP="00823208"/>
        </w:tc>
        <w:tc>
          <w:tcPr>
            <w:tcW w:w="851" w:type="dxa"/>
            <w:tcBorders>
              <w:top w:val="nil"/>
              <w:left w:val="nil"/>
              <w:bottom w:val="nil"/>
              <w:right w:val="nil"/>
            </w:tcBorders>
          </w:tcPr>
          <w:p w14:paraId="1A18465C" w14:textId="77777777" w:rsidR="00D0477B" w:rsidRDefault="00D0477B" w:rsidP="00823208"/>
        </w:tc>
        <w:tc>
          <w:tcPr>
            <w:tcW w:w="6848" w:type="dxa"/>
            <w:gridSpan w:val="2"/>
            <w:tcBorders>
              <w:top w:val="nil"/>
              <w:left w:val="nil"/>
              <w:bottom w:val="nil"/>
              <w:right w:val="nil"/>
            </w:tcBorders>
          </w:tcPr>
          <w:p w14:paraId="30500426" w14:textId="2133F9F6" w:rsidR="00D0477B" w:rsidRPr="00F82C10" w:rsidRDefault="00D0477B" w:rsidP="00C47C86">
            <w:r w:rsidRPr="00F82C10">
              <w:t xml:space="preserve">Mr R </w:t>
            </w:r>
            <w:r w:rsidR="0080065A" w:rsidRPr="00F82C10">
              <w:t xml:space="preserve">was </w:t>
            </w:r>
            <w:r w:rsidRPr="00F82C10">
              <w:t>not in receipt of any services for substance misuse treatment in the years leading up to the index offence</w:t>
            </w:r>
            <w:r w:rsidR="0080065A" w:rsidRPr="00F82C10">
              <w:t xml:space="preserve">. Also, we found it was not possible to identify substance misuse practice </w:t>
            </w:r>
            <w:r w:rsidR="00C47C86" w:rsidRPr="00F82C10">
              <w:t xml:space="preserve">at the Trust at the time of the index offence. </w:t>
            </w:r>
            <w:r w:rsidRPr="00F82C10">
              <w:t xml:space="preserve">We are however able to </w:t>
            </w:r>
            <w:r w:rsidR="0080065A" w:rsidRPr="00F82C10">
              <w:t xml:space="preserve">report on </w:t>
            </w:r>
            <w:r w:rsidRPr="00F82C10">
              <w:t>practices at the current time.</w:t>
            </w:r>
          </w:p>
        </w:tc>
      </w:tr>
      <w:tr w:rsidR="00D0477B" w14:paraId="54C010F1" w14:textId="77777777" w:rsidTr="00B94A27">
        <w:tc>
          <w:tcPr>
            <w:tcW w:w="817" w:type="dxa"/>
            <w:tcBorders>
              <w:top w:val="nil"/>
              <w:left w:val="nil"/>
              <w:bottom w:val="nil"/>
              <w:right w:val="nil"/>
            </w:tcBorders>
          </w:tcPr>
          <w:p w14:paraId="24CB6768" w14:textId="77777777" w:rsidR="00D0477B" w:rsidRDefault="00D0477B" w:rsidP="00823208"/>
        </w:tc>
        <w:tc>
          <w:tcPr>
            <w:tcW w:w="851" w:type="dxa"/>
            <w:tcBorders>
              <w:top w:val="nil"/>
              <w:left w:val="nil"/>
              <w:bottom w:val="nil"/>
              <w:right w:val="nil"/>
            </w:tcBorders>
          </w:tcPr>
          <w:p w14:paraId="2A4ACCC3" w14:textId="77777777" w:rsidR="00D0477B" w:rsidRDefault="00D0477B" w:rsidP="00823208"/>
        </w:tc>
        <w:tc>
          <w:tcPr>
            <w:tcW w:w="6848" w:type="dxa"/>
            <w:gridSpan w:val="2"/>
            <w:tcBorders>
              <w:top w:val="nil"/>
              <w:left w:val="nil"/>
              <w:bottom w:val="nil"/>
              <w:right w:val="nil"/>
            </w:tcBorders>
          </w:tcPr>
          <w:p w14:paraId="129E0F5D" w14:textId="77777777" w:rsidR="00D0477B" w:rsidRDefault="00D0477B" w:rsidP="00823208"/>
        </w:tc>
      </w:tr>
      <w:tr w:rsidR="008B15BA" w14:paraId="7E228424" w14:textId="77777777" w:rsidTr="00B94A27">
        <w:tc>
          <w:tcPr>
            <w:tcW w:w="817" w:type="dxa"/>
            <w:tcBorders>
              <w:top w:val="nil"/>
              <w:left w:val="nil"/>
              <w:bottom w:val="nil"/>
              <w:right w:val="nil"/>
            </w:tcBorders>
          </w:tcPr>
          <w:p w14:paraId="5F6919FA" w14:textId="54C0A5DE" w:rsidR="008B15BA" w:rsidRDefault="008B15BA" w:rsidP="00823208"/>
        </w:tc>
        <w:tc>
          <w:tcPr>
            <w:tcW w:w="851" w:type="dxa"/>
            <w:tcBorders>
              <w:top w:val="nil"/>
              <w:left w:val="nil"/>
              <w:bottom w:val="nil"/>
              <w:right w:val="nil"/>
            </w:tcBorders>
          </w:tcPr>
          <w:p w14:paraId="5E1666A2" w14:textId="77777777" w:rsidR="008B15BA" w:rsidRDefault="008B15BA" w:rsidP="00823208"/>
        </w:tc>
        <w:tc>
          <w:tcPr>
            <w:tcW w:w="6848" w:type="dxa"/>
            <w:gridSpan w:val="2"/>
            <w:tcBorders>
              <w:top w:val="nil"/>
              <w:left w:val="nil"/>
              <w:bottom w:val="nil"/>
              <w:right w:val="nil"/>
            </w:tcBorders>
          </w:tcPr>
          <w:p w14:paraId="1C6C3463" w14:textId="02EB574E" w:rsidR="008B15BA" w:rsidRPr="00F82C10" w:rsidRDefault="008B15BA" w:rsidP="00774DC1">
            <w:r w:rsidRPr="00F82C10">
              <w:t>With regard to practice within the Trust</w:t>
            </w:r>
            <w:r w:rsidR="00774DC1" w:rsidRPr="00F82C10">
              <w:t xml:space="preserve">, there is </w:t>
            </w:r>
            <w:r w:rsidR="00726FE2" w:rsidRPr="00F82C10">
              <w:t>an up to date Dual Diagnosis policy</w:t>
            </w:r>
            <w:r w:rsidR="00BA4165" w:rsidRPr="00F82C10">
              <w:t>,</w:t>
            </w:r>
            <w:r w:rsidR="00D0477B" w:rsidRPr="00F82C10">
              <w:t xml:space="preserve"> which is dated September 2016 and due for review in September 2018</w:t>
            </w:r>
            <w:r w:rsidR="00726FE2" w:rsidRPr="00F82C10">
              <w:t xml:space="preserve">. </w:t>
            </w:r>
          </w:p>
        </w:tc>
      </w:tr>
      <w:tr w:rsidR="008B15BA" w14:paraId="39BD71A6" w14:textId="77777777" w:rsidTr="00B94A27">
        <w:tc>
          <w:tcPr>
            <w:tcW w:w="817" w:type="dxa"/>
            <w:tcBorders>
              <w:top w:val="nil"/>
              <w:left w:val="nil"/>
              <w:bottom w:val="nil"/>
              <w:right w:val="nil"/>
            </w:tcBorders>
          </w:tcPr>
          <w:p w14:paraId="0D34528A" w14:textId="77777777" w:rsidR="008B15BA" w:rsidRDefault="008B15BA" w:rsidP="00823208"/>
        </w:tc>
        <w:tc>
          <w:tcPr>
            <w:tcW w:w="851" w:type="dxa"/>
            <w:tcBorders>
              <w:top w:val="nil"/>
              <w:left w:val="nil"/>
              <w:bottom w:val="nil"/>
              <w:right w:val="nil"/>
            </w:tcBorders>
          </w:tcPr>
          <w:p w14:paraId="2B4F3C8B" w14:textId="77777777" w:rsidR="008B15BA" w:rsidRDefault="008B15BA" w:rsidP="00823208"/>
        </w:tc>
        <w:tc>
          <w:tcPr>
            <w:tcW w:w="6848" w:type="dxa"/>
            <w:gridSpan w:val="2"/>
            <w:tcBorders>
              <w:top w:val="nil"/>
              <w:left w:val="nil"/>
              <w:bottom w:val="nil"/>
              <w:right w:val="nil"/>
            </w:tcBorders>
          </w:tcPr>
          <w:p w14:paraId="19D2741E" w14:textId="77777777" w:rsidR="008B15BA" w:rsidRDefault="008B15BA" w:rsidP="00823208"/>
        </w:tc>
      </w:tr>
      <w:tr w:rsidR="008B15BA" w14:paraId="5A5AAD63" w14:textId="77777777" w:rsidTr="00B94A27">
        <w:tc>
          <w:tcPr>
            <w:tcW w:w="817" w:type="dxa"/>
            <w:tcBorders>
              <w:top w:val="nil"/>
              <w:left w:val="nil"/>
              <w:bottom w:val="nil"/>
              <w:right w:val="nil"/>
            </w:tcBorders>
          </w:tcPr>
          <w:p w14:paraId="33BDC379" w14:textId="77777777" w:rsidR="008B15BA" w:rsidRDefault="008B15BA" w:rsidP="00823208"/>
        </w:tc>
        <w:tc>
          <w:tcPr>
            <w:tcW w:w="851" w:type="dxa"/>
            <w:tcBorders>
              <w:top w:val="nil"/>
              <w:left w:val="nil"/>
              <w:bottom w:val="nil"/>
              <w:right w:val="nil"/>
            </w:tcBorders>
          </w:tcPr>
          <w:p w14:paraId="1200CE74" w14:textId="77777777" w:rsidR="008B15BA" w:rsidRDefault="008B15BA" w:rsidP="00823208"/>
        </w:tc>
        <w:tc>
          <w:tcPr>
            <w:tcW w:w="6848" w:type="dxa"/>
            <w:gridSpan w:val="2"/>
            <w:tcBorders>
              <w:top w:val="nil"/>
              <w:left w:val="nil"/>
              <w:bottom w:val="nil"/>
              <w:right w:val="nil"/>
            </w:tcBorders>
          </w:tcPr>
          <w:p w14:paraId="43FCF548" w14:textId="559A443A" w:rsidR="008B15BA" w:rsidRPr="00F82C10" w:rsidRDefault="00A87FE8" w:rsidP="0080065A">
            <w:r w:rsidRPr="00F82C10">
              <w:t xml:space="preserve">A high </w:t>
            </w:r>
            <w:r w:rsidR="0032256D" w:rsidRPr="00F82C10">
              <w:t xml:space="preserve">proportion </w:t>
            </w:r>
            <w:r w:rsidRPr="00F82C10">
              <w:t xml:space="preserve">of </w:t>
            </w:r>
            <w:r w:rsidR="00746700" w:rsidRPr="00F82C10">
              <w:t xml:space="preserve">service users at </w:t>
            </w:r>
            <w:r w:rsidRPr="00F82C10">
              <w:t xml:space="preserve">the CMHT have complex needs including comorbid psychosis and substance misuse problems. </w:t>
            </w:r>
            <w:r w:rsidR="0032256D" w:rsidRPr="00F82C10">
              <w:t>The service users we met with recognised that substance m</w:t>
            </w:r>
            <w:r w:rsidR="00EA0A29" w:rsidRPr="00F82C10">
              <w:t>isuse is</w:t>
            </w:r>
            <w:r w:rsidR="0032256D" w:rsidRPr="00F82C10">
              <w:t xml:space="preserve"> commonplace amongst service users and </w:t>
            </w:r>
            <w:r w:rsidR="00C35336" w:rsidRPr="00F82C10">
              <w:t xml:space="preserve">understood </w:t>
            </w:r>
            <w:r w:rsidR="0032256D" w:rsidRPr="00F82C10">
              <w:t xml:space="preserve">it as an attempt to numb psychological pain in lieu of formal therapeutic interventions. </w:t>
            </w:r>
            <w:r w:rsidR="00746700" w:rsidRPr="00F82C10">
              <w:t>W</w:t>
            </w:r>
            <w:r w:rsidR="00020D5D" w:rsidRPr="00F82C10">
              <w:t xml:space="preserve">e learnt there are concerns about whether </w:t>
            </w:r>
            <w:r w:rsidR="00774DC1" w:rsidRPr="00F82C10">
              <w:t>the du</w:t>
            </w:r>
            <w:r w:rsidR="00746700" w:rsidRPr="00F82C10">
              <w:t xml:space="preserve">al diagnosis policy </w:t>
            </w:r>
            <w:r w:rsidR="00020D5D" w:rsidRPr="00F82C10">
              <w:t>can be realistically implemented. T</w:t>
            </w:r>
            <w:r w:rsidR="00823208" w:rsidRPr="00F82C10">
              <w:t xml:space="preserve">he Trust is no longer contracted to provide </w:t>
            </w:r>
            <w:r w:rsidR="00020D5D" w:rsidRPr="00F82C10">
              <w:t xml:space="preserve">addiction </w:t>
            </w:r>
            <w:r w:rsidR="00823208" w:rsidRPr="00F82C10">
              <w:t>services</w:t>
            </w:r>
            <w:r w:rsidR="0080065A" w:rsidRPr="00F82C10">
              <w:t xml:space="preserve"> Decommissioning in Wandsworth occurred on 1</w:t>
            </w:r>
            <w:r w:rsidR="0080065A" w:rsidRPr="00F82C10">
              <w:rPr>
                <w:vertAlign w:val="superscript"/>
              </w:rPr>
              <w:t>st</w:t>
            </w:r>
            <w:r w:rsidR="0080065A" w:rsidRPr="00F82C10">
              <w:t xml:space="preserve"> April 2015</w:t>
            </w:r>
            <w:r w:rsidR="00C35336" w:rsidRPr="00F82C10">
              <w:t xml:space="preserve"> and result</w:t>
            </w:r>
            <w:r w:rsidR="0080065A" w:rsidRPr="00F82C10">
              <w:t>ed</w:t>
            </w:r>
            <w:r w:rsidR="00397D29" w:rsidRPr="00F82C10">
              <w:t xml:space="preserve"> </w:t>
            </w:r>
            <w:r w:rsidR="0080065A" w:rsidRPr="00F82C10">
              <w:t xml:space="preserve">in a loss of </w:t>
            </w:r>
            <w:r w:rsidR="00020D5D" w:rsidRPr="00F82C10">
              <w:t xml:space="preserve">considerable </w:t>
            </w:r>
            <w:r w:rsidR="00746700" w:rsidRPr="00F82C10">
              <w:t xml:space="preserve">resource and professional </w:t>
            </w:r>
            <w:r w:rsidR="00020D5D" w:rsidRPr="00F82C10">
              <w:t>expertise</w:t>
            </w:r>
            <w:r w:rsidR="00746700" w:rsidRPr="00F82C10">
              <w:t xml:space="preserve"> from within the organisation</w:t>
            </w:r>
            <w:r w:rsidR="00823208" w:rsidRPr="00F82C10">
              <w:t xml:space="preserve">. </w:t>
            </w:r>
          </w:p>
        </w:tc>
      </w:tr>
      <w:tr w:rsidR="008B15BA" w14:paraId="4A75D535" w14:textId="77777777" w:rsidTr="00B94A27">
        <w:tc>
          <w:tcPr>
            <w:tcW w:w="817" w:type="dxa"/>
            <w:tcBorders>
              <w:top w:val="nil"/>
              <w:left w:val="nil"/>
              <w:bottom w:val="nil"/>
              <w:right w:val="nil"/>
            </w:tcBorders>
          </w:tcPr>
          <w:p w14:paraId="63BA8DD2" w14:textId="77777777" w:rsidR="008B15BA" w:rsidRDefault="008B15BA" w:rsidP="00823208"/>
        </w:tc>
        <w:tc>
          <w:tcPr>
            <w:tcW w:w="851" w:type="dxa"/>
            <w:tcBorders>
              <w:top w:val="nil"/>
              <w:left w:val="nil"/>
              <w:bottom w:val="nil"/>
              <w:right w:val="nil"/>
            </w:tcBorders>
          </w:tcPr>
          <w:p w14:paraId="06DFAFD9" w14:textId="77777777" w:rsidR="008B15BA" w:rsidRDefault="008B15BA" w:rsidP="00823208"/>
        </w:tc>
        <w:tc>
          <w:tcPr>
            <w:tcW w:w="6848" w:type="dxa"/>
            <w:gridSpan w:val="2"/>
            <w:tcBorders>
              <w:top w:val="nil"/>
              <w:left w:val="nil"/>
              <w:bottom w:val="nil"/>
              <w:right w:val="nil"/>
            </w:tcBorders>
          </w:tcPr>
          <w:p w14:paraId="4E69C34A" w14:textId="77777777" w:rsidR="006536E6" w:rsidRDefault="006536E6" w:rsidP="00823208"/>
        </w:tc>
      </w:tr>
      <w:tr w:rsidR="008B15BA" w14:paraId="1A46EB41" w14:textId="77777777" w:rsidTr="00B94A27">
        <w:tc>
          <w:tcPr>
            <w:tcW w:w="817" w:type="dxa"/>
            <w:tcBorders>
              <w:top w:val="nil"/>
              <w:left w:val="nil"/>
              <w:bottom w:val="nil"/>
              <w:right w:val="nil"/>
            </w:tcBorders>
          </w:tcPr>
          <w:p w14:paraId="6BB6C26E" w14:textId="77777777" w:rsidR="008B15BA" w:rsidRDefault="008B15BA" w:rsidP="00823208"/>
        </w:tc>
        <w:tc>
          <w:tcPr>
            <w:tcW w:w="851" w:type="dxa"/>
            <w:tcBorders>
              <w:top w:val="nil"/>
              <w:left w:val="nil"/>
              <w:bottom w:val="nil"/>
              <w:right w:val="nil"/>
            </w:tcBorders>
          </w:tcPr>
          <w:p w14:paraId="5D4DF51D" w14:textId="77777777" w:rsidR="008B15BA" w:rsidRDefault="008B15BA" w:rsidP="00823208"/>
        </w:tc>
        <w:tc>
          <w:tcPr>
            <w:tcW w:w="6848" w:type="dxa"/>
            <w:gridSpan w:val="2"/>
            <w:tcBorders>
              <w:top w:val="nil"/>
              <w:left w:val="nil"/>
              <w:bottom w:val="nil"/>
              <w:right w:val="nil"/>
            </w:tcBorders>
          </w:tcPr>
          <w:p w14:paraId="12C13CD1" w14:textId="14642360" w:rsidR="008B15BA" w:rsidRDefault="00020D5D" w:rsidP="00746700">
            <w:r>
              <w:t xml:space="preserve">Staff felt there were limited resources available to work with </w:t>
            </w:r>
            <w:r w:rsidR="00746700">
              <w:t xml:space="preserve">service users </w:t>
            </w:r>
            <w:r>
              <w:t xml:space="preserve">who have dual diagnosis. The reality of life on the front line of </w:t>
            </w:r>
            <w:r w:rsidR="00746700">
              <w:t xml:space="preserve">community </w:t>
            </w:r>
            <w:r>
              <w:t xml:space="preserve">care delivery was described to us as </w:t>
            </w:r>
            <w:r w:rsidR="00746700">
              <w:t xml:space="preserve">that of </w:t>
            </w:r>
            <w:r>
              <w:t xml:space="preserve">being in constant crisis with substance misusing </w:t>
            </w:r>
            <w:r w:rsidR="0009593D">
              <w:t>service user</w:t>
            </w:r>
            <w:r>
              <w:t xml:space="preserve">s who often do not want to engage in the substance misuse services that are available to them, now that these are not provided by the Trust. </w:t>
            </w:r>
          </w:p>
        </w:tc>
      </w:tr>
      <w:tr w:rsidR="008B15BA" w14:paraId="0987F318" w14:textId="77777777" w:rsidTr="00B94A27">
        <w:tc>
          <w:tcPr>
            <w:tcW w:w="817" w:type="dxa"/>
            <w:tcBorders>
              <w:top w:val="nil"/>
              <w:left w:val="nil"/>
              <w:bottom w:val="nil"/>
              <w:right w:val="nil"/>
            </w:tcBorders>
          </w:tcPr>
          <w:p w14:paraId="2DBBE179" w14:textId="77777777" w:rsidR="008B15BA" w:rsidRDefault="008B15BA" w:rsidP="00823208"/>
        </w:tc>
        <w:tc>
          <w:tcPr>
            <w:tcW w:w="851" w:type="dxa"/>
            <w:tcBorders>
              <w:top w:val="nil"/>
              <w:left w:val="nil"/>
              <w:bottom w:val="nil"/>
              <w:right w:val="nil"/>
            </w:tcBorders>
          </w:tcPr>
          <w:p w14:paraId="1BC5B607" w14:textId="77777777" w:rsidR="008B15BA" w:rsidRDefault="008B15BA" w:rsidP="00823208"/>
        </w:tc>
        <w:tc>
          <w:tcPr>
            <w:tcW w:w="6848" w:type="dxa"/>
            <w:gridSpan w:val="2"/>
            <w:tcBorders>
              <w:top w:val="nil"/>
              <w:left w:val="nil"/>
              <w:bottom w:val="nil"/>
              <w:right w:val="nil"/>
            </w:tcBorders>
          </w:tcPr>
          <w:p w14:paraId="0AE4E092" w14:textId="746E6124" w:rsidR="008B15BA" w:rsidRDefault="008B15BA" w:rsidP="00823208"/>
        </w:tc>
      </w:tr>
      <w:tr w:rsidR="008B15BA" w14:paraId="50440E74" w14:textId="77777777" w:rsidTr="00B94A27">
        <w:tc>
          <w:tcPr>
            <w:tcW w:w="817" w:type="dxa"/>
            <w:tcBorders>
              <w:top w:val="nil"/>
              <w:left w:val="nil"/>
              <w:bottom w:val="nil"/>
              <w:right w:val="nil"/>
            </w:tcBorders>
          </w:tcPr>
          <w:p w14:paraId="3F85A015" w14:textId="77777777" w:rsidR="008B15BA" w:rsidRDefault="008B15BA" w:rsidP="00823208"/>
        </w:tc>
        <w:tc>
          <w:tcPr>
            <w:tcW w:w="851" w:type="dxa"/>
            <w:tcBorders>
              <w:top w:val="nil"/>
              <w:left w:val="nil"/>
              <w:bottom w:val="nil"/>
              <w:right w:val="nil"/>
            </w:tcBorders>
          </w:tcPr>
          <w:p w14:paraId="045B2099" w14:textId="77777777" w:rsidR="008B15BA" w:rsidRDefault="008B15BA" w:rsidP="00823208"/>
        </w:tc>
        <w:tc>
          <w:tcPr>
            <w:tcW w:w="6848" w:type="dxa"/>
            <w:gridSpan w:val="2"/>
            <w:tcBorders>
              <w:top w:val="nil"/>
              <w:left w:val="nil"/>
              <w:bottom w:val="nil"/>
              <w:right w:val="nil"/>
            </w:tcBorders>
          </w:tcPr>
          <w:p w14:paraId="36FE2E54" w14:textId="4109E5C3" w:rsidR="008B15BA" w:rsidRDefault="00020D5D" w:rsidP="00746700">
            <w:r>
              <w:t xml:space="preserve">Care co-ordinators do not feel they have the skill set to work with the </w:t>
            </w:r>
            <w:r w:rsidR="0009593D">
              <w:t>service user</w:t>
            </w:r>
            <w:r>
              <w:t xml:space="preserve">s </w:t>
            </w:r>
            <w:r w:rsidR="00746700">
              <w:t>who are typically reluctant to access the commissioned addiction services. This is a dilemma because it is the</w:t>
            </w:r>
            <w:r>
              <w:t xml:space="preserve"> role </w:t>
            </w:r>
            <w:r w:rsidR="00746700">
              <w:t xml:space="preserve">of care co-ordinators </w:t>
            </w:r>
            <w:r>
              <w:t xml:space="preserve">to ensure appropriate care is received through the CPA framework. </w:t>
            </w:r>
            <w:r w:rsidR="009D350F">
              <w:t xml:space="preserve">We learnt that specialist training has been provided </w:t>
            </w:r>
            <w:r w:rsidR="00746700">
              <w:t xml:space="preserve">in the past but the trend has been for benefits to be </w:t>
            </w:r>
            <w:r w:rsidR="009D350F">
              <w:t>quickly lost due to the high turnover of staff in the care co-ordinator role.</w:t>
            </w:r>
          </w:p>
        </w:tc>
      </w:tr>
      <w:tr w:rsidR="008B15BA" w14:paraId="51D9DD48" w14:textId="77777777" w:rsidTr="00B94A27">
        <w:tc>
          <w:tcPr>
            <w:tcW w:w="817" w:type="dxa"/>
            <w:tcBorders>
              <w:top w:val="nil"/>
              <w:left w:val="nil"/>
              <w:bottom w:val="nil"/>
              <w:right w:val="nil"/>
            </w:tcBorders>
          </w:tcPr>
          <w:p w14:paraId="5DEB4BFC" w14:textId="77777777" w:rsidR="008B15BA" w:rsidRDefault="008B15BA" w:rsidP="00823208"/>
        </w:tc>
        <w:tc>
          <w:tcPr>
            <w:tcW w:w="851" w:type="dxa"/>
            <w:tcBorders>
              <w:top w:val="nil"/>
              <w:left w:val="nil"/>
              <w:bottom w:val="nil"/>
              <w:right w:val="nil"/>
            </w:tcBorders>
          </w:tcPr>
          <w:p w14:paraId="26CEE634" w14:textId="77777777" w:rsidR="008B15BA" w:rsidRDefault="008B15BA" w:rsidP="00823208"/>
        </w:tc>
        <w:tc>
          <w:tcPr>
            <w:tcW w:w="6848" w:type="dxa"/>
            <w:gridSpan w:val="2"/>
            <w:tcBorders>
              <w:top w:val="nil"/>
              <w:left w:val="nil"/>
              <w:bottom w:val="nil"/>
              <w:right w:val="nil"/>
            </w:tcBorders>
          </w:tcPr>
          <w:p w14:paraId="6A6222B1" w14:textId="77777777" w:rsidR="00CD5B02" w:rsidRDefault="00CD5B02" w:rsidP="00823208"/>
        </w:tc>
      </w:tr>
      <w:tr w:rsidR="009D350F" w14:paraId="041CA93D" w14:textId="77777777" w:rsidTr="00B94A27">
        <w:tc>
          <w:tcPr>
            <w:tcW w:w="817" w:type="dxa"/>
            <w:tcBorders>
              <w:top w:val="nil"/>
              <w:left w:val="nil"/>
              <w:bottom w:val="nil"/>
              <w:right w:val="nil"/>
            </w:tcBorders>
          </w:tcPr>
          <w:p w14:paraId="16CA69D5" w14:textId="77777777" w:rsidR="009D350F" w:rsidRDefault="009D350F" w:rsidP="00823208"/>
        </w:tc>
        <w:tc>
          <w:tcPr>
            <w:tcW w:w="851" w:type="dxa"/>
            <w:tcBorders>
              <w:top w:val="nil"/>
              <w:left w:val="nil"/>
              <w:bottom w:val="nil"/>
              <w:right w:val="nil"/>
            </w:tcBorders>
          </w:tcPr>
          <w:p w14:paraId="6E4AD6CF" w14:textId="77777777" w:rsidR="009D350F" w:rsidRDefault="009D350F" w:rsidP="00823208"/>
        </w:tc>
        <w:tc>
          <w:tcPr>
            <w:tcW w:w="850" w:type="dxa"/>
            <w:tcBorders>
              <w:top w:val="nil"/>
              <w:left w:val="nil"/>
              <w:bottom w:val="nil"/>
              <w:right w:val="nil"/>
            </w:tcBorders>
          </w:tcPr>
          <w:p w14:paraId="0C7F5E36" w14:textId="0D4DEE19" w:rsidR="009D350F" w:rsidRPr="009D350F" w:rsidRDefault="009D350F" w:rsidP="00823208">
            <w:pPr>
              <w:rPr>
                <w:b/>
                <w:color w:val="4F6228" w:themeColor="accent3" w:themeShade="80"/>
              </w:rPr>
            </w:pPr>
            <w:r w:rsidRPr="009D350F">
              <w:rPr>
                <w:b/>
                <w:color w:val="4F6228" w:themeColor="accent3" w:themeShade="80"/>
              </w:rPr>
              <w:t>2.6.2.</w:t>
            </w:r>
          </w:p>
        </w:tc>
        <w:tc>
          <w:tcPr>
            <w:tcW w:w="5998" w:type="dxa"/>
            <w:tcBorders>
              <w:top w:val="nil"/>
              <w:left w:val="nil"/>
              <w:bottom w:val="nil"/>
              <w:right w:val="nil"/>
            </w:tcBorders>
          </w:tcPr>
          <w:p w14:paraId="481FB983" w14:textId="325C7439" w:rsidR="009D350F" w:rsidRPr="009D350F" w:rsidRDefault="00CF1919" w:rsidP="00823208">
            <w:pPr>
              <w:rPr>
                <w:b/>
                <w:color w:val="4F6228" w:themeColor="accent3" w:themeShade="80"/>
              </w:rPr>
            </w:pPr>
            <w:r>
              <w:rPr>
                <w:b/>
                <w:color w:val="4F6228" w:themeColor="accent3" w:themeShade="80"/>
              </w:rPr>
              <w:t>E</w:t>
            </w:r>
            <w:r w:rsidR="009D350F" w:rsidRPr="009D350F">
              <w:rPr>
                <w:b/>
                <w:color w:val="4F6228" w:themeColor="accent3" w:themeShade="80"/>
              </w:rPr>
              <w:t>xplore how practice has changed regarding carer</w:t>
            </w:r>
            <w:r w:rsidR="0032256D">
              <w:rPr>
                <w:b/>
                <w:color w:val="4F6228" w:themeColor="accent3" w:themeShade="80"/>
              </w:rPr>
              <w:t>’</w:t>
            </w:r>
            <w:r w:rsidR="009D350F" w:rsidRPr="009D350F">
              <w:rPr>
                <w:b/>
                <w:color w:val="4F6228" w:themeColor="accent3" w:themeShade="80"/>
              </w:rPr>
              <w:t>s assessment/safeguarding since the index offence</w:t>
            </w:r>
          </w:p>
        </w:tc>
      </w:tr>
      <w:tr w:rsidR="009D350F" w14:paraId="39DBBFE3" w14:textId="77777777" w:rsidTr="00B94A27">
        <w:tc>
          <w:tcPr>
            <w:tcW w:w="817" w:type="dxa"/>
            <w:tcBorders>
              <w:top w:val="nil"/>
              <w:left w:val="nil"/>
              <w:bottom w:val="nil"/>
              <w:right w:val="nil"/>
            </w:tcBorders>
          </w:tcPr>
          <w:p w14:paraId="1F2BD715" w14:textId="77777777" w:rsidR="009D350F" w:rsidRDefault="009D350F" w:rsidP="00823208"/>
        </w:tc>
        <w:tc>
          <w:tcPr>
            <w:tcW w:w="851" w:type="dxa"/>
            <w:tcBorders>
              <w:top w:val="nil"/>
              <w:left w:val="nil"/>
              <w:bottom w:val="nil"/>
              <w:right w:val="nil"/>
            </w:tcBorders>
          </w:tcPr>
          <w:p w14:paraId="6FE6FBD2" w14:textId="77777777" w:rsidR="009D350F" w:rsidRDefault="009D350F" w:rsidP="00823208"/>
        </w:tc>
        <w:tc>
          <w:tcPr>
            <w:tcW w:w="6848" w:type="dxa"/>
            <w:gridSpan w:val="2"/>
            <w:tcBorders>
              <w:top w:val="nil"/>
              <w:left w:val="nil"/>
              <w:bottom w:val="nil"/>
              <w:right w:val="nil"/>
            </w:tcBorders>
          </w:tcPr>
          <w:p w14:paraId="0B57942A" w14:textId="77777777" w:rsidR="009D350F" w:rsidRDefault="009D350F" w:rsidP="00823208"/>
        </w:tc>
      </w:tr>
      <w:tr w:rsidR="00650F0C" w14:paraId="37CAE017" w14:textId="77777777" w:rsidTr="00B94A27">
        <w:tc>
          <w:tcPr>
            <w:tcW w:w="817" w:type="dxa"/>
            <w:tcBorders>
              <w:top w:val="nil"/>
              <w:left w:val="nil"/>
              <w:bottom w:val="nil"/>
              <w:right w:val="nil"/>
            </w:tcBorders>
          </w:tcPr>
          <w:p w14:paraId="715EE549" w14:textId="77777777" w:rsidR="00650F0C" w:rsidRDefault="00650F0C" w:rsidP="00823208"/>
        </w:tc>
        <w:tc>
          <w:tcPr>
            <w:tcW w:w="851" w:type="dxa"/>
            <w:tcBorders>
              <w:top w:val="nil"/>
              <w:left w:val="nil"/>
              <w:bottom w:val="nil"/>
              <w:right w:val="nil"/>
            </w:tcBorders>
          </w:tcPr>
          <w:p w14:paraId="608F1C2D" w14:textId="77777777" w:rsidR="00650F0C" w:rsidRDefault="00650F0C" w:rsidP="00823208"/>
        </w:tc>
        <w:tc>
          <w:tcPr>
            <w:tcW w:w="6848" w:type="dxa"/>
            <w:gridSpan w:val="2"/>
            <w:tcBorders>
              <w:top w:val="nil"/>
              <w:left w:val="nil"/>
              <w:bottom w:val="nil"/>
              <w:right w:val="nil"/>
            </w:tcBorders>
          </w:tcPr>
          <w:p w14:paraId="6D38D185" w14:textId="39069AD4" w:rsidR="00325381" w:rsidRDefault="00650F0C" w:rsidP="00650F0C">
            <w:r>
              <w:t>A development that has occurred s</w:t>
            </w:r>
            <w:r w:rsidR="00397D29">
              <w:t>ince the index offenc</w:t>
            </w:r>
            <w:r w:rsidR="0032256D">
              <w:t>e is that t</w:t>
            </w:r>
            <w:r>
              <w:t>he Care Act (2014) initiated some key changes and stipulations regarding Trusts</w:t>
            </w:r>
            <w:r w:rsidR="008A661C">
              <w:t>’</w:t>
            </w:r>
            <w:r>
              <w:t xml:space="preserve"> approach to carers and safeguarding. A finding from previous reviews was that Mr R’s mother was invited to have a carer’s assessment </w:t>
            </w:r>
            <w:r w:rsidR="0021018C">
              <w:t xml:space="preserve">indirectly, </w:t>
            </w:r>
            <w:r>
              <w:t xml:space="preserve">by Mr R. He reported back that she had declined. The Care Act (2014) </w:t>
            </w:r>
            <w:r w:rsidR="00325381">
              <w:t>would require Mrs R to have been offered a carer’s assessment directly</w:t>
            </w:r>
            <w:r w:rsidR="0021018C">
              <w:t xml:space="preserve"> by professionals</w:t>
            </w:r>
            <w:r w:rsidR="00325381">
              <w:t>.</w:t>
            </w:r>
          </w:p>
        </w:tc>
      </w:tr>
      <w:tr w:rsidR="00650F0C" w14:paraId="06D01D5E" w14:textId="77777777" w:rsidTr="00B94A27">
        <w:tc>
          <w:tcPr>
            <w:tcW w:w="817" w:type="dxa"/>
            <w:tcBorders>
              <w:top w:val="nil"/>
              <w:left w:val="nil"/>
              <w:bottom w:val="nil"/>
              <w:right w:val="nil"/>
            </w:tcBorders>
          </w:tcPr>
          <w:p w14:paraId="0ABD1A89" w14:textId="51935BF6" w:rsidR="00650F0C" w:rsidRDefault="00650F0C" w:rsidP="00823208"/>
        </w:tc>
        <w:tc>
          <w:tcPr>
            <w:tcW w:w="851" w:type="dxa"/>
            <w:tcBorders>
              <w:top w:val="nil"/>
              <w:left w:val="nil"/>
              <w:bottom w:val="nil"/>
              <w:right w:val="nil"/>
            </w:tcBorders>
          </w:tcPr>
          <w:p w14:paraId="13AFA036" w14:textId="77777777" w:rsidR="00650F0C" w:rsidRDefault="00650F0C" w:rsidP="00823208"/>
        </w:tc>
        <w:tc>
          <w:tcPr>
            <w:tcW w:w="6848" w:type="dxa"/>
            <w:gridSpan w:val="2"/>
            <w:tcBorders>
              <w:top w:val="nil"/>
              <w:left w:val="nil"/>
              <w:bottom w:val="nil"/>
              <w:right w:val="nil"/>
            </w:tcBorders>
          </w:tcPr>
          <w:p w14:paraId="53A1F20F" w14:textId="77777777" w:rsidR="00650F0C" w:rsidRDefault="00650F0C" w:rsidP="00823208"/>
        </w:tc>
      </w:tr>
      <w:tr w:rsidR="00650F0C" w14:paraId="28F43116" w14:textId="77777777" w:rsidTr="00B94A27">
        <w:tc>
          <w:tcPr>
            <w:tcW w:w="817" w:type="dxa"/>
            <w:tcBorders>
              <w:top w:val="nil"/>
              <w:left w:val="nil"/>
              <w:bottom w:val="nil"/>
              <w:right w:val="nil"/>
            </w:tcBorders>
          </w:tcPr>
          <w:p w14:paraId="62616864" w14:textId="77777777" w:rsidR="00650F0C" w:rsidRDefault="00650F0C" w:rsidP="00823208"/>
        </w:tc>
        <w:tc>
          <w:tcPr>
            <w:tcW w:w="851" w:type="dxa"/>
            <w:tcBorders>
              <w:top w:val="nil"/>
              <w:left w:val="nil"/>
              <w:bottom w:val="nil"/>
              <w:right w:val="nil"/>
            </w:tcBorders>
          </w:tcPr>
          <w:p w14:paraId="4DEEB5D8" w14:textId="77777777" w:rsidR="00650F0C" w:rsidRDefault="00650F0C" w:rsidP="00823208"/>
        </w:tc>
        <w:tc>
          <w:tcPr>
            <w:tcW w:w="6848" w:type="dxa"/>
            <w:gridSpan w:val="2"/>
            <w:tcBorders>
              <w:top w:val="nil"/>
              <w:left w:val="nil"/>
              <w:bottom w:val="nil"/>
              <w:right w:val="nil"/>
            </w:tcBorders>
          </w:tcPr>
          <w:p w14:paraId="59C3006D" w14:textId="2664146A" w:rsidR="00650F0C" w:rsidRDefault="00325381" w:rsidP="009476BB">
            <w:r>
              <w:t>There is</w:t>
            </w:r>
            <w:r w:rsidR="009476BB">
              <w:t xml:space="preserve"> a mixed picture regarding the </w:t>
            </w:r>
            <w:r>
              <w:t xml:space="preserve">SWLStG approach to carers. Wandsworth </w:t>
            </w:r>
            <w:r w:rsidR="007E731C">
              <w:t xml:space="preserve">Carers </w:t>
            </w:r>
            <w:r>
              <w:t xml:space="preserve">reported that their organisation and carers in general are engaged and embedded in service delivery </w:t>
            </w:r>
            <w:r w:rsidR="009476BB">
              <w:t xml:space="preserve">at the Trust </w:t>
            </w:r>
            <w:r>
              <w:t>and attend various forums such as the C</w:t>
            </w:r>
            <w:r w:rsidR="0032256D">
              <w:t xml:space="preserve">linical </w:t>
            </w:r>
            <w:r>
              <w:t>R</w:t>
            </w:r>
            <w:r w:rsidR="0032256D">
              <w:t xml:space="preserve">eference </w:t>
            </w:r>
            <w:r>
              <w:t>G</w:t>
            </w:r>
            <w:r w:rsidR="0032256D">
              <w:t>roup (CRG). They experience the Trust a</w:t>
            </w:r>
            <w:r>
              <w:t xml:space="preserve">s receptive to carers needs and perspectives and </w:t>
            </w:r>
            <w:r w:rsidR="00BC2AB5">
              <w:t xml:space="preserve">committed to </w:t>
            </w:r>
            <w:r>
              <w:t>working in partnership with carers</w:t>
            </w:r>
            <w:r w:rsidR="006D24A3">
              <w:t>.</w:t>
            </w:r>
          </w:p>
        </w:tc>
      </w:tr>
      <w:tr w:rsidR="00650F0C" w14:paraId="2BF47DE8" w14:textId="77777777" w:rsidTr="00B94A27">
        <w:tc>
          <w:tcPr>
            <w:tcW w:w="817" w:type="dxa"/>
            <w:tcBorders>
              <w:top w:val="nil"/>
              <w:left w:val="nil"/>
              <w:bottom w:val="nil"/>
              <w:right w:val="nil"/>
            </w:tcBorders>
          </w:tcPr>
          <w:p w14:paraId="06979B42" w14:textId="77777777" w:rsidR="00650F0C" w:rsidRDefault="00650F0C" w:rsidP="00823208"/>
        </w:tc>
        <w:tc>
          <w:tcPr>
            <w:tcW w:w="851" w:type="dxa"/>
            <w:tcBorders>
              <w:top w:val="nil"/>
              <w:left w:val="nil"/>
              <w:bottom w:val="nil"/>
              <w:right w:val="nil"/>
            </w:tcBorders>
          </w:tcPr>
          <w:p w14:paraId="012BDFA3" w14:textId="77777777" w:rsidR="00650F0C" w:rsidRDefault="00650F0C" w:rsidP="00823208"/>
        </w:tc>
        <w:tc>
          <w:tcPr>
            <w:tcW w:w="6848" w:type="dxa"/>
            <w:gridSpan w:val="2"/>
            <w:tcBorders>
              <w:top w:val="nil"/>
              <w:left w:val="nil"/>
              <w:bottom w:val="nil"/>
              <w:right w:val="nil"/>
            </w:tcBorders>
          </w:tcPr>
          <w:p w14:paraId="0B2F2D96" w14:textId="77777777" w:rsidR="00650F0C" w:rsidRDefault="00650F0C" w:rsidP="00823208"/>
        </w:tc>
      </w:tr>
      <w:tr w:rsidR="00650F0C" w14:paraId="6DDDD814" w14:textId="77777777" w:rsidTr="00B94A27">
        <w:tc>
          <w:tcPr>
            <w:tcW w:w="817" w:type="dxa"/>
            <w:tcBorders>
              <w:top w:val="nil"/>
              <w:left w:val="nil"/>
              <w:bottom w:val="nil"/>
              <w:right w:val="nil"/>
            </w:tcBorders>
          </w:tcPr>
          <w:p w14:paraId="187F22B6" w14:textId="77777777" w:rsidR="00650F0C" w:rsidRDefault="00650F0C" w:rsidP="00823208"/>
        </w:tc>
        <w:tc>
          <w:tcPr>
            <w:tcW w:w="851" w:type="dxa"/>
            <w:tcBorders>
              <w:top w:val="nil"/>
              <w:left w:val="nil"/>
              <w:bottom w:val="nil"/>
              <w:right w:val="nil"/>
            </w:tcBorders>
          </w:tcPr>
          <w:p w14:paraId="6063571D" w14:textId="77777777" w:rsidR="00650F0C" w:rsidRDefault="00650F0C" w:rsidP="00823208"/>
        </w:tc>
        <w:tc>
          <w:tcPr>
            <w:tcW w:w="6848" w:type="dxa"/>
            <w:gridSpan w:val="2"/>
            <w:tcBorders>
              <w:top w:val="nil"/>
              <w:left w:val="nil"/>
              <w:bottom w:val="nil"/>
              <w:right w:val="nil"/>
            </w:tcBorders>
          </w:tcPr>
          <w:p w14:paraId="5E11D9D0" w14:textId="0F20D5CF" w:rsidR="00650F0C" w:rsidRDefault="00325381" w:rsidP="00325381">
            <w:r>
              <w:t xml:space="preserve">A </w:t>
            </w:r>
            <w:r w:rsidRPr="00B70D86">
              <w:t xml:space="preserve">Wandsworth Carers’ Centre representative was involved in </w:t>
            </w:r>
            <w:r>
              <w:t xml:space="preserve">staff selection and development for Primary Care Plus. Carers also co-produce and co-deliver groups and courses provided by the Recovery College. </w:t>
            </w:r>
          </w:p>
        </w:tc>
      </w:tr>
      <w:tr w:rsidR="00650F0C" w14:paraId="41765AB8" w14:textId="77777777" w:rsidTr="00B94A27">
        <w:tc>
          <w:tcPr>
            <w:tcW w:w="817" w:type="dxa"/>
            <w:tcBorders>
              <w:top w:val="nil"/>
              <w:left w:val="nil"/>
              <w:bottom w:val="nil"/>
              <w:right w:val="nil"/>
            </w:tcBorders>
          </w:tcPr>
          <w:p w14:paraId="5E82432F" w14:textId="77777777" w:rsidR="00650F0C" w:rsidRDefault="00650F0C" w:rsidP="00823208"/>
        </w:tc>
        <w:tc>
          <w:tcPr>
            <w:tcW w:w="851" w:type="dxa"/>
            <w:tcBorders>
              <w:top w:val="nil"/>
              <w:left w:val="nil"/>
              <w:bottom w:val="nil"/>
              <w:right w:val="nil"/>
            </w:tcBorders>
          </w:tcPr>
          <w:p w14:paraId="46584A39" w14:textId="77777777" w:rsidR="00650F0C" w:rsidRDefault="00650F0C" w:rsidP="00823208"/>
        </w:tc>
        <w:tc>
          <w:tcPr>
            <w:tcW w:w="6848" w:type="dxa"/>
            <w:gridSpan w:val="2"/>
            <w:tcBorders>
              <w:top w:val="nil"/>
              <w:left w:val="nil"/>
              <w:bottom w:val="nil"/>
              <w:right w:val="nil"/>
            </w:tcBorders>
          </w:tcPr>
          <w:p w14:paraId="442458FA" w14:textId="77777777" w:rsidR="00B94A27" w:rsidRDefault="00B94A27" w:rsidP="00823208"/>
        </w:tc>
      </w:tr>
      <w:tr w:rsidR="00650F0C" w14:paraId="32209742" w14:textId="77777777" w:rsidTr="00B94A27">
        <w:tc>
          <w:tcPr>
            <w:tcW w:w="817" w:type="dxa"/>
            <w:tcBorders>
              <w:top w:val="nil"/>
              <w:left w:val="nil"/>
              <w:bottom w:val="nil"/>
              <w:right w:val="nil"/>
            </w:tcBorders>
          </w:tcPr>
          <w:p w14:paraId="28321F57" w14:textId="77777777" w:rsidR="00650F0C" w:rsidRDefault="00650F0C" w:rsidP="00823208"/>
        </w:tc>
        <w:tc>
          <w:tcPr>
            <w:tcW w:w="851" w:type="dxa"/>
            <w:tcBorders>
              <w:top w:val="nil"/>
              <w:left w:val="nil"/>
              <w:bottom w:val="nil"/>
              <w:right w:val="nil"/>
            </w:tcBorders>
          </w:tcPr>
          <w:p w14:paraId="25E925D9" w14:textId="77777777" w:rsidR="00650F0C" w:rsidRDefault="00650F0C" w:rsidP="00823208"/>
        </w:tc>
        <w:tc>
          <w:tcPr>
            <w:tcW w:w="6848" w:type="dxa"/>
            <w:gridSpan w:val="2"/>
            <w:tcBorders>
              <w:top w:val="nil"/>
              <w:left w:val="nil"/>
              <w:bottom w:val="nil"/>
              <w:right w:val="nil"/>
            </w:tcBorders>
          </w:tcPr>
          <w:p w14:paraId="7C5DB61E" w14:textId="6AC3BD09" w:rsidR="00650F0C" w:rsidRPr="006D24A3" w:rsidRDefault="009476BB" w:rsidP="00C35336">
            <w:r w:rsidRPr="006D24A3">
              <w:t>While there a</w:t>
            </w:r>
            <w:r w:rsidR="00325381" w:rsidRPr="006D24A3">
              <w:t xml:space="preserve">re carer’s forums </w:t>
            </w:r>
            <w:r w:rsidRPr="006D24A3">
              <w:t>in place, t</w:t>
            </w:r>
            <w:r w:rsidR="00325381" w:rsidRPr="006D24A3">
              <w:t xml:space="preserve">here are marked inconsistencies </w:t>
            </w:r>
            <w:r w:rsidRPr="006D24A3">
              <w:t xml:space="preserve">within the CMHT regarding </w:t>
            </w:r>
            <w:r w:rsidR="00325381" w:rsidRPr="006D24A3">
              <w:t>how carers are identified and signposted</w:t>
            </w:r>
            <w:r w:rsidR="0075073D" w:rsidRPr="006D24A3">
              <w:t xml:space="preserve"> towards support</w:t>
            </w:r>
            <w:r w:rsidR="00325381" w:rsidRPr="006D24A3">
              <w:t>.</w:t>
            </w:r>
            <w:r w:rsidR="00BC2AB5" w:rsidRPr="006D24A3">
              <w:t xml:space="preserve"> Wandsworth </w:t>
            </w:r>
            <w:r w:rsidR="007E731C" w:rsidRPr="006D24A3">
              <w:t xml:space="preserve">Carers </w:t>
            </w:r>
            <w:r w:rsidR="00325381" w:rsidRPr="006D24A3">
              <w:t xml:space="preserve">outlined that this </w:t>
            </w:r>
            <w:r w:rsidR="007E731C" w:rsidRPr="006D24A3">
              <w:t xml:space="preserve">is </w:t>
            </w:r>
            <w:r w:rsidR="00325381" w:rsidRPr="006D24A3">
              <w:t>often dependent on individual teams and the care co</w:t>
            </w:r>
            <w:r w:rsidR="00235DFF" w:rsidRPr="006D24A3">
              <w:t>-</w:t>
            </w:r>
            <w:r w:rsidR="00325381" w:rsidRPr="006D24A3">
              <w:t xml:space="preserve">ordinators within the teams. Teams </w:t>
            </w:r>
            <w:r w:rsidR="007E731C" w:rsidRPr="006D24A3">
              <w:t xml:space="preserve">with </w:t>
            </w:r>
            <w:r w:rsidR="00325381" w:rsidRPr="006D24A3">
              <w:t xml:space="preserve">a good understanding of the issues </w:t>
            </w:r>
            <w:r w:rsidR="007E731C" w:rsidRPr="006D24A3">
              <w:t xml:space="preserve">affecting carers </w:t>
            </w:r>
            <w:r w:rsidR="00325381" w:rsidRPr="006D24A3">
              <w:t xml:space="preserve">tended to have high response and referral rates with more examples of good practice. However, the carers we spoke to </w:t>
            </w:r>
            <w:r w:rsidRPr="006D24A3">
              <w:t xml:space="preserve">described </w:t>
            </w:r>
            <w:r w:rsidR="00325381" w:rsidRPr="006D24A3">
              <w:t>negative experienc</w:t>
            </w:r>
            <w:r w:rsidR="007E731C" w:rsidRPr="006D24A3">
              <w:t>es</w:t>
            </w:r>
            <w:r w:rsidRPr="006D24A3">
              <w:t>,</w:t>
            </w:r>
            <w:r w:rsidR="007E731C" w:rsidRPr="006D24A3">
              <w:t xml:space="preserve"> particularly in relation to </w:t>
            </w:r>
            <w:r w:rsidRPr="006D24A3">
              <w:t xml:space="preserve">accessing </w:t>
            </w:r>
            <w:r w:rsidR="007E731C" w:rsidRPr="006D24A3">
              <w:t>c</w:t>
            </w:r>
            <w:r w:rsidR="00325381" w:rsidRPr="006D24A3">
              <w:t>a</w:t>
            </w:r>
            <w:r w:rsidR="007E731C" w:rsidRPr="006D24A3">
              <w:t>rer</w:t>
            </w:r>
            <w:r w:rsidRPr="006D24A3">
              <w:t>’</w:t>
            </w:r>
            <w:r w:rsidR="007E731C" w:rsidRPr="006D24A3">
              <w:t>s a</w:t>
            </w:r>
            <w:r w:rsidR="00325381" w:rsidRPr="006D24A3">
              <w:t>ssessments</w:t>
            </w:r>
            <w:r w:rsidRPr="006D24A3">
              <w:t>,</w:t>
            </w:r>
            <w:r w:rsidR="00325381" w:rsidRPr="006D24A3">
              <w:t xml:space="preserve"> which they described as a long </w:t>
            </w:r>
            <w:r w:rsidR="007E731C" w:rsidRPr="006D24A3">
              <w:t xml:space="preserve">and poorly designed </w:t>
            </w:r>
            <w:r w:rsidRPr="006D24A3">
              <w:t xml:space="preserve">process, </w:t>
            </w:r>
            <w:r w:rsidR="007E731C" w:rsidRPr="006D24A3">
              <w:t>which involved</w:t>
            </w:r>
            <w:r w:rsidR="00325381" w:rsidRPr="006D24A3">
              <w:t xml:space="preserve"> major </w:t>
            </w:r>
            <w:r w:rsidRPr="006D24A3">
              <w:t xml:space="preserve">barriers to </w:t>
            </w:r>
            <w:r w:rsidR="00325381" w:rsidRPr="006D24A3">
              <w:t xml:space="preserve">communication. This </w:t>
            </w:r>
            <w:r w:rsidR="007E731C" w:rsidRPr="006D24A3">
              <w:t xml:space="preserve">picture </w:t>
            </w:r>
            <w:r w:rsidR="00325381" w:rsidRPr="006D24A3">
              <w:t xml:space="preserve">was </w:t>
            </w:r>
            <w:r w:rsidR="007E731C" w:rsidRPr="006D24A3">
              <w:t xml:space="preserve">consistent with that presented </w:t>
            </w:r>
            <w:r w:rsidR="00325381" w:rsidRPr="006D24A3">
              <w:t>by Wandsworth</w:t>
            </w:r>
            <w:r w:rsidR="007E731C" w:rsidRPr="006D24A3">
              <w:t xml:space="preserve"> Carers</w:t>
            </w:r>
            <w:r w:rsidR="00325381" w:rsidRPr="006D24A3">
              <w:t xml:space="preserve">. </w:t>
            </w:r>
            <w:r w:rsidR="00235DFF" w:rsidRPr="006D24A3">
              <w:t xml:space="preserve">Some care co-ordinators were </w:t>
            </w:r>
            <w:r w:rsidR="00C35336" w:rsidRPr="006D24A3">
              <w:t xml:space="preserve">perceived by Wandsworth Carers to block rather than facilitate </w:t>
            </w:r>
            <w:r w:rsidR="00235DFF" w:rsidRPr="006D24A3">
              <w:t>communications with carers</w:t>
            </w:r>
            <w:r w:rsidR="00C35336" w:rsidRPr="006D24A3">
              <w:t xml:space="preserve">. </w:t>
            </w:r>
            <w:r w:rsidR="00325381" w:rsidRPr="006D24A3">
              <w:t xml:space="preserve">The removal of social workers from the </w:t>
            </w:r>
            <w:r w:rsidR="00C35336" w:rsidRPr="006D24A3">
              <w:t xml:space="preserve">CMHT </w:t>
            </w:r>
            <w:r w:rsidR="00325381" w:rsidRPr="006D24A3">
              <w:t xml:space="preserve">had resulted in </w:t>
            </w:r>
            <w:r w:rsidR="00235DFF" w:rsidRPr="006D24A3">
              <w:t xml:space="preserve">a decline in </w:t>
            </w:r>
            <w:r w:rsidR="00325381" w:rsidRPr="006D24A3">
              <w:t>feedback and information regarding referrals</w:t>
            </w:r>
            <w:r w:rsidRPr="006D24A3">
              <w:t xml:space="preserve"> for carer’s </w:t>
            </w:r>
            <w:r w:rsidR="007E731C" w:rsidRPr="006D24A3">
              <w:t>assessments</w:t>
            </w:r>
            <w:r w:rsidR="00325381" w:rsidRPr="006D24A3">
              <w:t>.</w:t>
            </w:r>
          </w:p>
        </w:tc>
      </w:tr>
      <w:tr w:rsidR="00650F0C" w14:paraId="36F2FA79" w14:textId="77777777" w:rsidTr="00B94A27">
        <w:tc>
          <w:tcPr>
            <w:tcW w:w="817" w:type="dxa"/>
            <w:tcBorders>
              <w:top w:val="nil"/>
              <w:left w:val="nil"/>
              <w:bottom w:val="nil"/>
              <w:right w:val="nil"/>
            </w:tcBorders>
          </w:tcPr>
          <w:p w14:paraId="4AB4B858" w14:textId="77777777" w:rsidR="00650F0C" w:rsidRDefault="00650F0C" w:rsidP="00823208"/>
        </w:tc>
        <w:tc>
          <w:tcPr>
            <w:tcW w:w="851" w:type="dxa"/>
            <w:tcBorders>
              <w:top w:val="nil"/>
              <w:left w:val="nil"/>
              <w:bottom w:val="nil"/>
              <w:right w:val="nil"/>
            </w:tcBorders>
          </w:tcPr>
          <w:p w14:paraId="1210F2E5" w14:textId="77777777" w:rsidR="00650F0C" w:rsidRDefault="00650F0C" w:rsidP="00823208"/>
        </w:tc>
        <w:tc>
          <w:tcPr>
            <w:tcW w:w="6848" w:type="dxa"/>
            <w:gridSpan w:val="2"/>
            <w:tcBorders>
              <w:top w:val="nil"/>
              <w:left w:val="nil"/>
              <w:bottom w:val="nil"/>
              <w:right w:val="nil"/>
            </w:tcBorders>
          </w:tcPr>
          <w:p w14:paraId="2F42F663" w14:textId="77777777" w:rsidR="00650F0C" w:rsidRDefault="00650F0C" w:rsidP="00823208"/>
        </w:tc>
      </w:tr>
      <w:tr w:rsidR="00650F0C" w14:paraId="1E0FD768" w14:textId="77777777" w:rsidTr="00B94A27">
        <w:tc>
          <w:tcPr>
            <w:tcW w:w="817" w:type="dxa"/>
            <w:tcBorders>
              <w:top w:val="nil"/>
              <w:left w:val="nil"/>
              <w:bottom w:val="nil"/>
              <w:right w:val="nil"/>
            </w:tcBorders>
          </w:tcPr>
          <w:p w14:paraId="09F768AE" w14:textId="77777777" w:rsidR="00650F0C" w:rsidRDefault="00650F0C" w:rsidP="00823208"/>
        </w:tc>
        <w:tc>
          <w:tcPr>
            <w:tcW w:w="851" w:type="dxa"/>
            <w:tcBorders>
              <w:top w:val="nil"/>
              <w:left w:val="nil"/>
              <w:bottom w:val="nil"/>
              <w:right w:val="nil"/>
            </w:tcBorders>
          </w:tcPr>
          <w:p w14:paraId="737796DA" w14:textId="77777777" w:rsidR="00650F0C" w:rsidRDefault="00650F0C" w:rsidP="00823208"/>
        </w:tc>
        <w:tc>
          <w:tcPr>
            <w:tcW w:w="6848" w:type="dxa"/>
            <w:gridSpan w:val="2"/>
            <w:tcBorders>
              <w:top w:val="nil"/>
              <w:left w:val="nil"/>
              <w:bottom w:val="nil"/>
              <w:right w:val="nil"/>
            </w:tcBorders>
          </w:tcPr>
          <w:p w14:paraId="4DE32504" w14:textId="6F43094F" w:rsidR="00650F0C" w:rsidRPr="006D24A3" w:rsidRDefault="007E731C" w:rsidP="00FB5279">
            <w:r w:rsidRPr="006D24A3">
              <w:t>The removal of a carer participation officer position and the absence of an up to date carer</w:t>
            </w:r>
            <w:r w:rsidR="009476BB" w:rsidRPr="006D24A3">
              <w:t>s</w:t>
            </w:r>
            <w:r w:rsidRPr="006D24A3">
              <w:t xml:space="preserve"> </w:t>
            </w:r>
            <w:r w:rsidR="00FB5279" w:rsidRPr="006D24A3">
              <w:t xml:space="preserve">strategy </w:t>
            </w:r>
            <w:r w:rsidRPr="006D24A3">
              <w:t>are deficit</w:t>
            </w:r>
            <w:r w:rsidR="008A661C" w:rsidRPr="006D24A3">
              <w:t>s in terms of implementing the Triangle of C</w:t>
            </w:r>
            <w:r w:rsidRPr="006D24A3">
              <w:t xml:space="preserve">are. </w:t>
            </w:r>
            <w:r w:rsidR="006479FD" w:rsidRPr="006D24A3">
              <w:t>The Triangle of Care is a best practice guide for carer engagement in mental health care. It emphasises a triangular therapeutic alliance between service user, carer and professional. Thus carers are included as active parti</w:t>
            </w:r>
            <w:r w:rsidR="00202A7A" w:rsidRPr="006D24A3">
              <w:t>ci</w:t>
            </w:r>
            <w:r w:rsidR="006479FD" w:rsidRPr="006D24A3">
              <w:t>pants in the care process.</w:t>
            </w:r>
            <w:r w:rsidR="00A92A4B" w:rsidRPr="006D24A3">
              <w:rPr>
                <w:rStyle w:val="FootnoteReference"/>
              </w:rPr>
              <w:footnoteReference w:id="2"/>
            </w:r>
            <w:r w:rsidR="006479FD" w:rsidRPr="006D24A3">
              <w:t xml:space="preserve"> </w:t>
            </w:r>
            <w:r w:rsidR="008A661C" w:rsidRPr="006D24A3">
              <w:t xml:space="preserve">The current carer </w:t>
            </w:r>
            <w:r w:rsidR="00F93C10" w:rsidRPr="006D24A3">
              <w:t>strategy which is posted on</w:t>
            </w:r>
            <w:r w:rsidR="00FB5279" w:rsidRPr="006D24A3">
              <w:t xml:space="preserve"> the Trust website is dated 2010</w:t>
            </w:r>
            <w:r w:rsidR="00F93C10" w:rsidRPr="006D24A3">
              <w:t xml:space="preserve"> and was never implemented. However, we </w:t>
            </w:r>
            <w:r w:rsidR="00FB5279" w:rsidRPr="006D24A3">
              <w:t xml:space="preserve">felt the current Director of Nursing who is the executive lead for carers, was aware of issues </w:t>
            </w:r>
            <w:r w:rsidR="00F93C10" w:rsidRPr="006D24A3">
              <w:t xml:space="preserve">and committed to addressing </w:t>
            </w:r>
            <w:r w:rsidR="00FB5279" w:rsidRPr="006D24A3">
              <w:t xml:space="preserve">deficit </w:t>
            </w:r>
            <w:r w:rsidR="00F93C10" w:rsidRPr="006D24A3">
              <w:t>areas.</w:t>
            </w:r>
          </w:p>
        </w:tc>
      </w:tr>
      <w:tr w:rsidR="007E731C" w14:paraId="2828AB0F" w14:textId="77777777" w:rsidTr="00B94A27">
        <w:tc>
          <w:tcPr>
            <w:tcW w:w="817" w:type="dxa"/>
            <w:tcBorders>
              <w:top w:val="nil"/>
              <w:left w:val="nil"/>
              <w:bottom w:val="nil"/>
              <w:right w:val="nil"/>
            </w:tcBorders>
          </w:tcPr>
          <w:p w14:paraId="1AA316DC" w14:textId="77777777" w:rsidR="007E731C" w:rsidRDefault="007E731C" w:rsidP="00823208"/>
        </w:tc>
        <w:tc>
          <w:tcPr>
            <w:tcW w:w="851" w:type="dxa"/>
            <w:tcBorders>
              <w:top w:val="nil"/>
              <w:left w:val="nil"/>
              <w:bottom w:val="nil"/>
              <w:right w:val="nil"/>
            </w:tcBorders>
          </w:tcPr>
          <w:p w14:paraId="7DB0B23C" w14:textId="77777777" w:rsidR="007E731C" w:rsidRDefault="007E731C" w:rsidP="00823208"/>
        </w:tc>
        <w:tc>
          <w:tcPr>
            <w:tcW w:w="6848" w:type="dxa"/>
            <w:gridSpan w:val="2"/>
            <w:tcBorders>
              <w:top w:val="nil"/>
              <w:left w:val="nil"/>
              <w:bottom w:val="nil"/>
              <w:right w:val="nil"/>
            </w:tcBorders>
          </w:tcPr>
          <w:p w14:paraId="7EB2B076" w14:textId="77777777" w:rsidR="007E731C" w:rsidRDefault="007E731C" w:rsidP="00823208"/>
        </w:tc>
      </w:tr>
      <w:tr w:rsidR="007E731C" w14:paraId="7E3C9BBB" w14:textId="77777777" w:rsidTr="00B94A27">
        <w:tc>
          <w:tcPr>
            <w:tcW w:w="817" w:type="dxa"/>
            <w:tcBorders>
              <w:top w:val="nil"/>
              <w:left w:val="nil"/>
              <w:bottom w:val="nil"/>
              <w:right w:val="nil"/>
            </w:tcBorders>
          </w:tcPr>
          <w:p w14:paraId="049155A4" w14:textId="77777777" w:rsidR="007E731C" w:rsidRDefault="007E731C" w:rsidP="00823208"/>
        </w:tc>
        <w:tc>
          <w:tcPr>
            <w:tcW w:w="851" w:type="dxa"/>
            <w:tcBorders>
              <w:top w:val="nil"/>
              <w:left w:val="nil"/>
              <w:bottom w:val="nil"/>
              <w:right w:val="nil"/>
            </w:tcBorders>
          </w:tcPr>
          <w:p w14:paraId="568F1911" w14:textId="77777777" w:rsidR="007E731C" w:rsidRDefault="007E731C" w:rsidP="00823208"/>
        </w:tc>
        <w:tc>
          <w:tcPr>
            <w:tcW w:w="6848" w:type="dxa"/>
            <w:gridSpan w:val="2"/>
            <w:tcBorders>
              <w:top w:val="nil"/>
              <w:left w:val="nil"/>
              <w:bottom w:val="nil"/>
              <w:right w:val="nil"/>
            </w:tcBorders>
          </w:tcPr>
          <w:p w14:paraId="4AC18C9F" w14:textId="195A14B8" w:rsidR="007E731C" w:rsidRDefault="00F93C10" w:rsidP="008A661C">
            <w:r>
              <w:t xml:space="preserve">We </w:t>
            </w:r>
            <w:r w:rsidRPr="00D97ECD">
              <w:t xml:space="preserve">reviewed how safeguarding issues were taken up prior to the </w:t>
            </w:r>
            <w:r>
              <w:t xml:space="preserve">2014 </w:t>
            </w:r>
            <w:r w:rsidRPr="00D97ECD">
              <w:t xml:space="preserve">Care Act being implemented and in particular in 2012 when the index offence occurred. </w:t>
            </w:r>
            <w:r>
              <w:t>The Trust had a vulnerable adults p</w:t>
            </w:r>
            <w:r w:rsidRPr="00D97ECD">
              <w:t xml:space="preserve">olicy in place at the time of the homicide. However, </w:t>
            </w:r>
            <w:r>
              <w:t>Mr R and his mother</w:t>
            </w:r>
            <w:r w:rsidRPr="00D97ECD">
              <w:t xml:space="preserve"> were never subject to its scrutiny. It is hypothetical as to whether the policy was robust enough or had the information support requirements required to </w:t>
            </w:r>
            <w:r w:rsidR="008A661C">
              <w:t xml:space="preserve">activate </w:t>
            </w:r>
            <w:r w:rsidRPr="00D97ECD">
              <w:t>a response but it is felt unlikely to have had any noticeable impact.</w:t>
            </w:r>
          </w:p>
        </w:tc>
      </w:tr>
      <w:tr w:rsidR="007E731C" w14:paraId="55D04BCC" w14:textId="77777777" w:rsidTr="00B94A27">
        <w:tc>
          <w:tcPr>
            <w:tcW w:w="817" w:type="dxa"/>
            <w:tcBorders>
              <w:top w:val="nil"/>
              <w:left w:val="nil"/>
              <w:bottom w:val="nil"/>
              <w:right w:val="nil"/>
            </w:tcBorders>
          </w:tcPr>
          <w:p w14:paraId="3F6C1298" w14:textId="77777777" w:rsidR="007E731C" w:rsidRDefault="007E731C" w:rsidP="00823208"/>
        </w:tc>
        <w:tc>
          <w:tcPr>
            <w:tcW w:w="851" w:type="dxa"/>
            <w:tcBorders>
              <w:top w:val="nil"/>
              <w:left w:val="nil"/>
              <w:bottom w:val="nil"/>
              <w:right w:val="nil"/>
            </w:tcBorders>
          </w:tcPr>
          <w:p w14:paraId="301219D3" w14:textId="77777777" w:rsidR="007E731C" w:rsidRDefault="007E731C" w:rsidP="00823208"/>
        </w:tc>
        <w:tc>
          <w:tcPr>
            <w:tcW w:w="6848" w:type="dxa"/>
            <w:gridSpan w:val="2"/>
            <w:tcBorders>
              <w:top w:val="nil"/>
              <w:left w:val="nil"/>
              <w:bottom w:val="nil"/>
              <w:right w:val="nil"/>
            </w:tcBorders>
          </w:tcPr>
          <w:p w14:paraId="41758DDE" w14:textId="77777777" w:rsidR="007E731C" w:rsidRDefault="007E731C" w:rsidP="00823208"/>
        </w:tc>
      </w:tr>
      <w:tr w:rsidR="007E731C" w14:paraId="34F98DA8" w14:textId="77777777" w:rsidTr="00B94A27">
        <w:tc>
          <w:tcPr>
            <w:tcW w:w="817" w:type="dxa"/>
            <w:tcBorders>
              <w:top w:val="nil"/>
              <w:left w:val="nil"/>
              <w:bottom w:val="nil"/>
              <w:right w:val="nil"/>
            </w:tcBorders>
          </w:tcPr>
          <w:p w14:paraId="5EBBC92F" w14:textId="77777777" w:rsidR="007E731C" w:rsidRDefault="007E731C" w:rsidP="00823208"/>
        </w:tc>
        <w:tc>
          <w:tcPr>
            <w:tcW w:w="851" w:type="dxa"/>
            <w:tcBorders>
              <w:top w:val="nil"/>
              <w:left w:val="nil"/>
              <w:bottom w:val="nil"/>
              <w:right w:val="nil"/>
            </w:tcBorders>
          </w:tcPr>
          <w:p w14:paraId="6521FA52" w14:textId="77777777" w:rsidR="007E731C" w:rsidRDefault="007E731C" w:rsidP="00823208"/>
        </w:tc>
        <w:tc>
          <w:tcPr>
            <w:tcW w:w="6848" w:type="dxa"/>
            <w:gridSpan w:val="2"/>
            <w:tcBorders>
              <w:top w:val="nil"/>
              <w:left w:val="nil"/>
              <w:bottom w:val="nil"/>
              <w:right w:val="nil"/>
            </w:tcBorders>
          </w:tcPr>
          <w:p w14:paraId="638D0B5B" w14:textId="350AC676" w:rsidR="007E731C" w:rsidRDefault="00F93C10" w:rsidP="00823208">
            <w:r>
              <w:t xml:space="preserve">The Trust response to </w:t>
            </w:r>
            <w:r w:rsidRPr="00666972">
              <w:t xml:space="preserve">the </w:t>
            </w:r>
            <w:r>
              <w:t xml:space="preserve">2014 </w:t>
            </w:r>
            <w:r w:rsidRPr="00666972">
              <w:t xml:space="preserve">Care Act </w:t>
            </w:r>
            <w:r>
              <w:t>has le</w:t>
            </w:r>
            <w:r w:rsidRPr="00666972">
              <w:t xml:space="preserve">d to </w:t>
            </w:r>
            <w:r>
              <w:t>improvements in the support and protection of vulnerable adults</w:t>
            </w:r>
            <w:r w:rsidRPr="00666972">
              <w:t xml:space="preserve">. </w:t>
            </w:r>
            <w:r>
              <w:t>The current safeguarding lead was initially seconded from the local authority as a senior safeguarding c</w:t>
            </w:r>
            <w:r w:rsidRPr="00666972">
              <w:t xml:space="preserve">oordinator </w:t>
            </w:r>
            <w:r>
              <w:t>in 2011. T</w:t>
            </w:r>
            <w:r w:rsidRPr="00666972">
              <w:t xml:space="preserve">he introduction of the Care Act widened the scope, </w:t>
            </w:r>
            <w:r>
              <w:t xml:space="preserve">significantly improving </w:t>
            </w:r>
            <w:r w:rsidRPr="00666972">
              <w:t>procedures and understanding of safeguarding within the Trust.</w:t>
            </w:r>
          </w:p>
        </w:tc>
      </w:tr>
      <w:tr w:rsidR="00F93C10" w14:paraId="43AC6E1E" w14:textId="77777777" w:rsidTr="00B94A27">
        <w:tc>
          <w:tcPr>
            <w:tcW w:w="817" w:type="dxa"/>
            <w:tcBorders>
              <w:top w:val="nil"/>
              <w:left w:val="nil"/>
              <w:bottom w:val="nil"/>
              <w:right w:val="nil"/>
            </w:tcBorders>
          </w:tcPr>
          <w:p w14:paraId="6E568A64" w14:textId="77777777" w:rsidR="00F93C10" w:rsidRDefault="00F93C10" w:rsidP="00823208"/>
        </w:tc>
        <w:tc>
          <w:tcPr>
            <w:tcW w:w="851" w:type="dxa"/>
            <w:tcBorders>
              <w:top w:val="nil"/>
              <w:left w:val="nil"/>
              <w:bottom w:val="nil"/>
              <w:right w:val="nil"/>
            </w:tcBorders>
          </w:tcPr>
          <w:p w14:paraId="09081B63" w14:textId="77777777" w:rsidR="00F93C10" w:rsidRDefault="00F93C10" w:rsidP="00823208"/>
        </w:tc>
        <w:tc>
          <w:tcPr>
            <w:tcW w:w="6848" w:type="dxa"/>
            <w:gridSpan w:val="2"/>
            <w:tcBorders>
              <w:top w:val="nil"/>
              <w:left w:val="nil"/>
              <w:bottom w:val="nil"/>
              <w:right w:val="nil"/>
            </w:tcBorders>
          </w:tcPr>
          <w:p w14:paraId="170F5E96" w14:textId="77777777" w:rsidR="006D24A3" w:rsidRDefault="006D24A3" w:rsidP="00F93C10"/>
        </w:tc>
      </w:tr>
      <w:tr w:rsidR="00F93C10" w14:paraId="1D5E36C9" w14:textId="77777777" w:rsidTr="00B94A27">
        <w:tc>
          <w:tcPr>
            <w:tcW w:w="817" w:type="dxa"/>
            <w:tcBorders>
              <w:top w:val="nil"/>
              <w:left w:val="nil"/>
              <w:bottom w:val="nil"/>
              <w:right w:val="nil"/>
            </w:tcBorders>
          </w:tcPr>
          <w:p w14:paraId="7A133FF1" w14:textId="77777777" w:rsidR="00F93C10" w:rsidRDefault="00F93C10" w:rsidP="00823208"/>
        </w:tc>
        <w:tc>
          <w:tcPr>
            <w:tcW w:w="851" w:type="dxa"/>
            <w:tcBorders>
              <w:top w:val="nil"/>
              <w:left w:val="nil"/>
              <w:bottom w:val="nil"/>
              <w:right w:val="nil"/>
            </w:tcBorders>
          </w:tcPr>
          <w:p w14:paraId="4F8907F2" w14:textId="77777777" w:rsidR="00F93C10" w:rsidRDefault="00F93C10" w:rsidP="00823208"/>
        </w:tc>
        <w:tc>
          <w:tcPr>
            <w:tcW w:w="6848" w:type="dxa"/>
            <w:gridSpan w:val="2"/>
            <w:tcBorders>
              <w:top w:val="nil"/>
              <w:left w:val="nil"/>
              <w:bottom w:val="nil"/>
              <w:right w:val="nil"/>
            </w:tcBorders>
          </w:tcPr>
          <w:p w14:paraId="5702B172" w14:textId="121F04D3" w:rsidR="0037664D" w:rsidRPr="00371D3D" w:rsidRDefault="00AE4747" w:rsidP="00455E64">
            <w:pPr>
              <w:rPr>
                <w:color w:val="000000" w:themeColor="text1"/>
              </w:rPr>
            </w:pPr>
            <w:r w:rsidRPr="00371D3D">
              <w:rPr>
                <w:color w:val="000000" w:themeColor="text1"/>
              </w:rPr>
              <w:t xml:space="preserve">We met with the Trust safeguarding lead and raised safeguarding procedures and practices with interviewees and other agencies. </w:t>
            </w:r>
            <w:r w:rsidR="00F93C10" w:rsidRPr="00371D3D">
              <w:rPr>
                <w:color w:val="000000" w:themeColor="text1"/>
              </w:rPr>
              <w:t xml:space="preserve">We reviewed the </w:t>
            </w:r>
            <w:r w:rsidR="00FB5279" w:rsidRPr="00371D3D">
              <w:rPr>
                <w:color w:val="000000" w:themeColor="text1"/>
              </w:rPr>
              <w:t xml:space="preserve">Trust annual and quarterly safeguarding reviews, its </w:t>
            </w:r>
            <w:r w:rsidR="00F93C10" w:rsidRPr="00371D3D">
              <w:rPr>
                <w:color w:val="000000" w:themeColor="text1"/>
              </w:rPr>
              <w:t>safeguarding policy</w:t>
            </w:r>
            <w:r w:rsidR="009476BB" w:rsidRPr="00371D3D">
              <w:rPr>
                <w:color w:val="000000" w:themeColor="text1"/>
              </w:rPr>
              <w:t>,</w:t>
            </w:r>
            <w:r w:rsidR="00F93C10" w:rsidRPr="00371D3D">
              <w:rPr>
                <w:color w:val="000000" w:themeColor="text1"/>
              </w:rPr>
              <w:t xml:space="preserve"> procedures and practices</w:t>
            </w:r>
            <w:r w:rsidR="009476BB" w:rsidRPr="00371D3D">
              <w:rPr>
                <w:color w:val="000000" w:themeColor="text1"/>
              </w:rPr>
              <w:t xml:space="preserve"> and staff leadership and training</w:t>
            </w:r>
            <w:r w:rsidR="00F93C10" w:rsidRPr="00371D3D">
              <w:rPr>
                <w:color w:val="000000" w:themeColor="text1"/>
              </w:rPr>
              <w:t xml:space="preserve">. We found </w:t>
            </w:r>
            <w:r w:rsidR="009476BB" w:rsidRPr="00371D3D">
              <w:rPr>
                <w:color w:val="000000" w:themeColor="text1"/>
              </w:rPr>
              <w:t xml:space="preserve">all </w:t>
            </w:r>
            <w:r w:rsidR="00F93C10" w:rsidRPr="00371D3D">
              <w:rPr>
                <w:color w:val="000000" w:themeColor="text1"/>
              </w:rPr>
              <w:t xml:space="preserve">to be robust and that the organisational understanding </w:t>
            </w:r>
            <w:r w:rsidR="009476BB" w:rsidRPr="00371D3D">
              <w:rPr>
                <w:color w:val="000000" w:themeColor="text1"/>
              </w:rPr>
              <w:t xml:space="preserve">and implementation </w:t>
            </w:r>
            <w:r w:rsidR="00F93C10" w:rsidRPr="00371D3D">
              <w:rPr>
                <w:color w:val="000000" w:themeColor="text1"/>
              </w:rPr>
              <w:t>of safeguarding and its reporting cultu</w:t>
            </w:r>
            <w:r w:rsidR="00C56B74" w:rsidRPr="00371D3D">
              <w:rPr>
                <w:color w:val="000000" w:themeColor="text1"/>
              </w:rPr>
              <w:t xml:space="preserve">re </w:t>
            </w:r>
            <w:r w:rsidR="00FB5279" w:rsidRPr="00371D3D">
              <w:rPr>
                <w:color w:val="000000" w:themeColor="text1"/>
              </w:rPr>
              <w:t xml:space="preserve">are </w:t>
            </w:r>
            <w:r w:rsidR="00C56B74" w:rsidRPr="00371D3D">
              <w:rPr>
                <w:color w:val="000000" w:themeColor="text1"/>
              </w:rPr>
              <w:t>of a good standar</w:t>
            </w:r>
            <w:r w:rsidR="005707E5" w:rsidRPr="00371D3D">
              <w:rPr>
                <w:color w:val="000000" w:themeColor="text1"/>
              </w:rPr>
              <w:t xml:space="preserve">d. </w:t>
            </w:r>
            <w:r w:rsidR="00455E64" w:rsidRPr="00371D3D">
              <w:rPr>
                <w:color w:val="000000" w:themeColor="text1"/>
              </w:rPr>
              <w:t xml:space="preserve">We </w:t>
            </w:r>
            <w:r w:rsidR="00830763" w:rsidRPr="00371D3D">
              <w:rPr>
                <w:color w:val="000000" w:themeColor="text1"/>
              </w:rPr>
              <w:t xml:space="preserve">also </w:t>
            </w:r>
            <w:r w:rsidR="00455E64" w:rsidRPr="00371D3D">
              <w:rPr>
                <w:color w:val="000000" w:themeColor="text1"/>
              </w:rPr>
              <w:t>found active executive level leadership for safeguarding.</w:t>
            </w:r>
          </w:p>
        </w:tc>
      </w:tr>
      <w:tr w:rsidR="00173237" w14:paraId="67585B5F" w14:textId="77777777" w:rsidTr="00B94A27">
        <w:tc>
          <w:tcPr>
            <w:tcW w:w="817" w:type="dxa"/>
            <w:tcBorders>
              <w:top w:val="nil"/>
              <w:left w:val="nil"/>
              <w:bottom w:val="nil"/>
              <w:right w:val="nil"/>
            </w:tcBorders>
          </w:tcPr>
          <w:p w14:paraId="0453C269" w14:textId="77777777" w:rsidR="00173237" w:rsidRDefault="00173237" w:rsidP="00823208"/>
        </w:tc>
        <w:tc>
          <w:tcPr>
            <w:tcW w:w="851" w:type="dxa"/>
            <w:tcBorders>
              <w:top w:val="nil"/>
              <w:left w:val="nil"/>
              <w:bottom w:val="nil"/>
              <w:right w:val="nil"/>
            </w:tcBorders>
          </w:tcPr>
          <w:p w14:paraId="1C55EDF8" w14:textId="77777777" w:rsidR="00173237" w:rsidRDefault="00173237" w:rsidP="00823208"/>
        </w:tc>
        <w:tc>
          <w:tcPr>
            <w:tcW w:w="6848" w:type="dxa"/>
            <w:gridSpan w:val="2"/>
            <w:tcBorders>
              <w:top w:val="nil"/>
              <w:left w:val="nil"/>
              <w:bottom w:val="nil"/>
              <w:right w:val="nil"/>
            </w:tcBorders>
          </w:tcPr>
          <w:p w14:paraId="279702EF" w14:textId="77777777" w:rsidR="00173237" w:rsidRDefault="00173237" w:rsidP="00455E64"/>
        </w:tc>
      </w:tr>
      <w:tr w:rsidR="005707E5" w14:paraId="7BA4ED12" w14:textId="77777777" w:rsidTr="00B94A27">
        <w:tc>
          <w:tcPr>
            <w:tcW w:w="817" w:type="dxa"/>
            <w:tcBorders>
              <w:top w:val="nil"/>
              <w:left w:val="nil"/>
              <w:bottom w:val="nil"/>
              <w:right w:val="nil"/>
            </w:tcBorders>
          </w:tcPr>
          <w:p w14:paraId="6B82CCC5" w14:textId="77777777" w:rsidR="005707E5" w:rsidRDefault="005707E5" w:rsidP="00823208"/>
        </w:tc>
        <w:tc>
          <w:tcPr>
            <w:tcW w:w="851" w:type="dxa"/>
            <w:tcBorders>
              <w:top w:val="nil"/>
              <w:left w:val="nil"/>
              <w:bottom w:val="nil"/>
              <w:right w:val="nil"/>
            </w:tcBorders>
          </w:tcPr>
          <w:p w14:paraId="13F69C87" w14:textId="77777777" w:rsidR="005707E5" w:rsidRDefault="005707E5" w:rsidP="00823208"/>
        </w:tc>
        <w:tc>
          <w:tcPr>
            <w:tcW w:w="6848" w:type="dxa"/>
            <w:gridSpan w:val="2"/>
            <w:tcBorders>
              <w:top w:val="nil"/>
              <w:left w:val="nil"/>
              <w:bottom w:val="nil"/>
              <w:right w:val="nil"/>
            </w:tcBorders>
          </w:tcPr>
          <w:p w14:paraId="76DF9D5D" w14:textId="2D6742EE" w:rsidR="005707E5" w:rsidRDefault="005707E5" w:rsidP="008A661C">
            <w:r>
              <w:t>We identified some areas of excellent practice such as th</w:t>
            </w:r>
            <w:r w:rsidR="0037664D">
              <w:t xml:space="preserve">e Quality Matters Group (QMG), </w:t>
            </w:r>
            <w:r w:rsidR="008A661C">
              <w:t>t</w:t>
            </w:r>
            <w:r w:rsidRPr="009F47CE">
              <w:t>h</w:t>
            </w:r>
            <w:r>
              <w:t>e Making Safeguarding Personal G</w:t>
            </w:r>
            <w:r w:rsidRPr="009F47CE">
              <w:t>roup</w:t>
            </w:r>
            <w:r>
              <w:t xml:space="preserve">(MSPG) </w:t>
            </w:r>
            <w:r w:rsidR="009476BB">
              <w:t xml:space="preserve">which is a service user led safeguarding group set up in response to service user concerns following the publication of the Lampard Report </w:t>
            </w:r>
            <w:r w:rsidR="001E44DC">
              <w:t>(2015)</w:t>
            </w:r>
            <w:r w:rsidR="00E84183">
              <w:rPr>
                <w:rStyle w:val="FootnoteReference"/>
              </w:rPr>
              <w:footnoteReference w:id="3"/>
            </w:r>
            <w:r w:rsidR="008A661C">
              <w:t xml:space="preserve"> </w:t>
            </w:r>
            <w:r>
              <w:t xml:space="preserve">and </w:t>
            </w:r>
            <w:r w:rsidR="00F21B4D">
              <w:t xml:space="preserve">the </w:t>
            </w:r>
            <w:r w:rsidR="001E44DC">
              <w:t xml:space="preserve">course </w:t>
            </w:r>
            <w:r w:rsidR="00F21B4D">
              <w:t xml:space="preserve">which is informed by the work of the MSPG, entitled ‘understanding how to live safely’ </w:t>
            </w:r>
            <w:r w:rsidR="001E44DC">
              <w:t xml:space="preserve">which was co-produced and </w:t>
            </w:r>
            <w:r w:rsidR="00F21B4D">
              <w:t xml:space="preserve">is </w:t>
            </w:r>
            <w:r w:rsidR="001E44DC">
              <w:t xml:space="preserve">co-delivered </w:t>
            </w:r>
            <w:r w:rsidR="00F21B4D">
              <w:t xml:space="preserve">by </w:t>
            </w:r>
            <w:r w:rsidR="001E44DC">
              <w:t xml:space="preserve">service users </w:t>
            </w:r>
            <w:r w:rsidR="00F21B4D">
              <w:t>and staff and available through t</w:t>
            </w:r>
            <w:r>
              <w:t xml:space="preserve">he </w:t>
            </w:r>
            <w:r w:rsidR="00F21B4D">
              <w:t xml:space="preserve">Trust </w:t>
            </w:r>
            <w:r>
              <w:t>Recovery College. The QMG is a weekly</w:t>
            </w:r>
            <w:r w:rsidRPr="00E82B97">
              <w:t xml:space="preserve"> </w:t>
            </w:r>
            <w:r>
              <w:t xml:space="preserve">patient safety </w:t>
            </w:r>
            <w:r w:rsidRPr="00E82B97">
              <w:t xml:space="preserve">meeting attended by </w:t>
            </w:r>
            <w:r>
              <w:t xml:space="preserve">representatives of </w:t>
            </w:r>
            <w:r w:rsidRPr="00E82B97">
              <w:t>all disciplines</w:t>
            </w:r>
            <w:r>
              <w:t>, governance staff</w:t>
            </w:r>
            <w:r w:rsidRPr="00E82B97">
              <w:t xml:space="preserve"> and </w:t>
            </w:r>
            <w:r>
              <w:t xml:space="preserve">senior representatives </w:t>
            </w:r>
            <w:r w:rsidRPr="00E82B97">
              <w:t>from all service lines. Safeguarding alerts and the</w:t>
            </w:r>
            <w:r>
              <w:t>ir</w:t>
            </w:r>
            <w:r w:rsidRPr="00E82B97">
              <w:t xml:space="preserve"> management </w:t>
            </w:r>
            <w:r>
              <w:t>is part of the core business</w:t>
            </w:r>
            <w:r w:rsidR="0037664D">
              <w:t xml:space="preserve"> of the QMG</w:t>
            </w:r>
            <w:r>
              <w:t>.</w:t>
            </w:r>
            <w:r w:rsidR="00FB5279">
              <w:t xml:space="preserve"> </w:t>
            </w:r>
          </w:p>
        </w:tc>
      </w:tr>
      <w:tr w:rsidR="005707E5" w14:paraId="1060C886" w14:textId="77777777" w:rsidTr="00B94A27">
        <w:tc>
          <w:tcPr>
            <w:tcW w:w="817" w:type="dxa"/>
            <w:tcBorders>
              <w:top w:val="nil"/>
              <w:left w:val="nil"/>
              <w:bottom w:val="nil"/>
              <w:right w:val="nil"/>
            </w:tcBorders>
          </w:tcPr>
          <w:p w14:paraId="18B21203" w14:textId="77777777" w:rsidR="005707E5" w:rsidRDefault="005707E5" w:rsidP="00823208"/>
        </w:tc>
        <w:tc>
          <w:tcPr>
            <w:tcW w:w="851" w:type="dxa"/>
            <w:tcBorders>
              <w:top w:val="nil"/>
              <w:left w:val="nil"/>
              <w:bottom w:val="nil"/>
              <w:right w:val="nil"/>
            </w:tcBorders>
          </w:tcPr>
          <w:p w14:paraId="0269B165" w14:textId="77777777" w:rsidR="005707E5" w:rsidRDefault="005707E5" w:rsidP="00823208"/>
        </w:tc>
        <w:tc>
          <w:tcPr>
            <w:tcW w:w="6848" w:type="dxa"/>
            <w:gridSpan w:val="2"/>
            <w:tcBorders>
              <w:top w:val="nil"/>
              <w:left w:val="nil"/>
              <w:bottom w:val="nil"/>
              <w:right w:val="nil"/>
            </w:tcBorders>
          </w:tcPr>
          <w:p w14:paraId="2BC71AED" w14:textId="77777777" w:rsidR="005707E5" w:rsidRDefault="005707E5" w:rsidP="00F93C10"/>
        </w:tc>
      </w:tr>
      <w:tr w:rsidR="005707E5" w14:paraId="3F3E537B" w14:textId="77777777" w:rsidTr="00B94A27">
        <w:tc>
          <w:tcPr>
            <w:tcW w:w="817" w:type="dxa"/>
            <w:tcBorders>
              <w:top w:val="nil"/>
              <w:left w:val="nil"/>
              <w:bottom w:val="nil"/>
              <w:right w:val="nil"/>
            </w:tcBorders>
          </w:tcPr>
          <w:p w14:paraId="38A00B11" w14:textId="77777777" w:rsidR="005707E5" w:rsidRDefault="005707E5" w:rsidP="00823208"/>
        </w:tc>
        <w:tc>
          <w:tcPr>
            <w:tcW w:w="851" w:type="dxa"/>
            <w:tcBorders>
              <w:top w:val="nil"/>
              <w:left w:val="nil"/>
              <w:bottom w:val="nil"/>
              <w:right w:val="nil"/>
            </w:tcBorders>
          </w:tcPr>
          <w:p w14:paraId="6ED568E9" w14:textId="77777777" w:rsidR="005707E5" w:rsidRDefault="005707E5" w:rsidP="00823208"/>
        </w:tc>
        <w:tc>
          <w:tcPr>
            <w:tcW w:w="6848" w:type="dxa"/>
            <w:gridSpan w:val="2"/>
            <w:tcBorders>
              <w:top w:val="nil"/>
              <w:left w:val="nil"/>
              <w:bottom w:val="nil"/>
              <w:right w:val="nil"/>
            </w:tcBorders>
          </w:tcPr>
          <w:p w14:paraId="0C269567" w14:textId="2F500ECE" w:rsidR="005707E5" w:rsidRDefault="005707E5" w:rsidP="006D24A3">
            <w:r>
              <w:t xml:space="preserve">There has been a loss of expertise </w:t>
            </w:r>
            <w:r w:rsidR="00F21B4D">
              <w:t xml:space="preserve">from the Trust </w:t>
            </w:r>
            <w:r>
              <w:t>in terms of day</w:t>
            </w:r>
            <w:r w:rsidR="008A661C">
              <w:t>- to-</w:t>
            </w:r>
            <w:r>
              <w:t>day safeg</w:t>
            </w:r>
            <w:r w:rsidR="0001444F">
              <w:t>uarding practice due to the dis</w:t>
            </w:r>
            <w:r>
              <w:t>ag</w:t>
            </w:r>
            <w:r w:rsidR="0001444F">
              <w:t>g</w:t>
            </w:r>
            <w:r>
              <w:t>regation of social workers following the rescinding of the section 75 agreement</w:t>
            </w:r>
            <w:r w:rsidR="0001444F">
              <w:t xml:space="preserve"> with the local authority. The main negative impact is seen as getting feedback from the local authority about progress </w:t>
            </w:r>
            <w:r w:rsidR="006D24A3">
              <w:t xml:space="preserve">following </w:t>
            </w:r>
            <w:r w:rsidR="0001444F">
              <w:t>alerts and enquiries. This was supported by CMHT staff who reported their team and service expertise in safeguarding felt weaker due to the loss of readily available advice and input previously provided by their social work colleagues. Care co-ordinators reported a relentless pressure on their time and there is evidence to suggest that they do sometimes underreport. However, this is monitored and picked up on Ulysses, the Trust electronic incident managem</w:t>
            </w:r>
            <w:r w:rsidR="00F21B4D">
              <w:t>ent system and referred to the Clinical L</w:t>
            </w:r>
            <w:r w:rsidR="0001444F">
              <w:t>ead for management at team level.</w:t>
            </w:r>
          </w:p>
        </w:tc>
      </w:tr>
      <w:tr w:rsidR="005707E5" w14:paraId="5D3BEA32" w14:textId="77777777" w:rsidTr="00B94A27">
        <w:tc>
          <w:tcPr>
            <w:tcW w:w="817" w:type="dxa"/>
            <w:tcBorders>
              <w:top w:val="nil"/>
              <w:left w:val="nil"/>
              <w:bottom w:val="nil"/>
              <w:right w:val="nil"/>
            </w:tcBorders>
          </w:tcPr>
          <w:p w14:paraId="1949DC69" w14:textId="77777777" w:rsidR="005707E5" w:rsidRDefault="005707E5" w:rsidP="00823208"/>
        </w:tc>
        <w:tc>
          <w:tcPr>
            <w:tcW w:w="851" w:type="dxa"/>
            <w:tcBorders>
              <w:top w:val="nil"/>
              <w:left w:val="nil"/>
              <w:bottom w:val="nil"/>
              <w:right w:val="nil"/>
            </w:tcBorders>
          </w:tcPr>
          <w:p w14:paraId="4199588C" w14:textId="77777777" w:rsidR="005707E5" w:rsidRDefault="005707E5" w:rsidP="00823208"/>
        </w:tc>
        <w:tc>
          <w:tcPr>
            <w:tcW w:w="6848" w:type="dxa"/>
            <w:gridSpan w:val="2"/>
            <w:tcBorders>
              <w:top w:val="nil"/>
              <w:left w:val="nil"/>
              <w:bottom w:val="nil"/>
              <w:right w:val="nil"/>
            </w:tcBorders>
          </w:tcPr>
          <w:p w14:paraId="32E6D9BD" w14:textId="77777777" w:rsidR="005707E5" w:rsidRDefault="005707E5" w:rsidP="00F93C10"/>
        </w:tc>
      </w:tr>
      <w:tr w:rsidR="0001444F" w14:paraId="1A204F28" w14:textId="77777777" w:rsidTr="00B94A27">
        <w:tc>
          <w:tcPr>
            <w:tcW w:w="817" w:type="dxa"/>
            <w:tcBorders>
              <w:top w:val="nil"/>
              <w:left w:val="nil"/>
              <w:bottom w:val="nil"/>
              <w:right w:val="nil"/>
            </w:tcBorders>
          </w:tcPr>
          <w:p w14:paraId="34EC9A37" w14:textId="77777777" w:rsidR="0001444F" w:rsidRDefault="0001444F" w:rsidP="00823208"/>
        </w:tc>
        <w:tc>
          <w:tcPr>
            <w:tcW w:w="851" w:type="dxa"/>
            <w:tcBorders>
              <w:top w:val="nil"/>
              <w:left w:val="nil"/>
              <w:bottom w:val="nil"/>
              <w:right w:val="nil"/>
            </w:tcBorders>
          </w:tcPr>
          <w:p w14:paraId="73E4F4FD" w14:textId="77777777" w:rsidR="0001444F" w:rsidRDefault="0001444F" w:rsidP="00823208"/>
        </w:tc>
        <w:tc>
          <w:tcPr>
            <w:tcW w:w="6848" w:type="dxa"/>
            <w:gridSpan w:val="2"/>
            <w:tcBorders>
              <w:top w:val="nil"/>
              <w:left w:val="nil"/>
              <w:bottom w:val="nil"/>
              <w:right w:val="nil"/>
            </w:tcBorders>
          </w:tcPr>
          <w:p w14:paraId="319772EA" w14:textId="77561928" w:rsidR="0001444F" w:rsidRPr="00F82C10" w:rsidRDefault="0001444F" w:rsidP="006D24A3">
            <w:r w:rsidRPr="00F82C10">
              <w:t>When reflecting on the homicide, the safeg</w:t>
            </w:r>
            <w:r w:rsidR="006D24A3" w:rsidRPr="00F82C10">
              <w:t>uarding lead was confident that</w:t>
            </w:r>
            <w:r w:rsidRPr="00F82C10">
              <w:t xml:space="preserve"> in the present day, aspects of Mr R’s history such as </w:t>
            </w:r>
            <w:r w:rsidR="0037664D" w:rsidRPr="00F82C10">
              <w:t xml:space="preserve">an </w:t>
            </w:r>
            <w:r w:rsidRPr="00F82C10">
              <w:t xml:space="preserve">unprovoked assault on a patient </w:t>
            </w:r>
            <w:r w:rsidR="00F21B4D" w:rsidRPr="00F82C10">
              <w:t xml:space="preserve">in </w:t>
            </w:r>
            <w:r w:rsidRPr="00F82C10">
              <w:t xml:space="preserve">September 2007 and verbal abuse directed at his mother in February 2008 when she </w:t>
            </w:r>
            <w:r w:rsidR="00F21B4D" w:rsidRPr="00F82C10">
              <w:t xml:space="preserve">requested </w:t>
            </w:r>
            <w:r w:rsidRPr="00F82C10">
              <w:t xml:space="preserve">to leave the ward </w:t>
            </w:r>
            <w:r w:rsidR="00D418B7" w:rsidRPr="00F82C10">
              <w:t xml:space="preserve">as a result, </w:t>
            </w:r>
            <w:r w:rsidRPr="00F82C10">
              <w:t>and Mr R’s subsequent verbal and physical hostility would have been clearly r</w:t>
            </w:r>
            <w:r w:rsidR="008A661C" w:rsidRPr="00F82C10">
              <w:t>egistered as safeguarding alert</w:t>
            </w:r>
            <w:r w:rsidRPr="00F82C10">
              <w:t>s on Ulysses</w:t>
            </w:r>
            <w:r w:rsidR="00CB734E" w:rsidRPr="00F82C10">
              <w:t>, the Trust’s incident management system</w:t>
            </w:r>
            <w:r w:rsidRPr="00F82C10">
              <w:t xml:space="preserve">. More importantly the safeguarding lead </w:t>
            </w:r>
            <w:r w:rsidR="00F21B4D" w:rsidRPr="00F82C10">
              <w:t xml:space="preserve">demonstrated that </w:t>
            </w:r>
            <w:r w:rsidRPr="00F82C10">
              <w:t xml:space="preserve">the Trust now has </w:t>
            </w:r>
            <w:r w:rsidR="00F21B4D" w:rsidRPr="00F82C10">
              <w:t xml:space="preserve">mechanisms, such as the weekly QMG, which has the capability to identify </w:t>
            </w:r>
            <w:r w:rsidR="00620F7E" w:rsidRPr="00F82C10">
              <w:t xml:space="preserve">risks </w:t>
            </w:r>
            <w:r w:rsidR="00F21B4D" w:rsidRPr="00F82C10">
              <w:t>that may not have been picked up by clinical teams.</w:t>
            </w:r>
            <w:r w:rsidRPr="00F82C10">
              <w:t xml:space="preserve"> These systems</w:t>
            </w:r>
            <w:r w:rsidR="0037664D" w:rsidRPr="00F82C10">
              <w:t>,</w:t>
            </w:r>
            <w:r w:rsidRPr="00F82C10">
              <w:t xml:space="preserve"> </w:t>
            </w:r>
            <w:r w:rsidR="00C75F29" w:rsidRPr="00F82C10">
              <w:t xml:space="preserve">which </w:t>
            </w:r>
            <w:r w:rsidR="008A661C" w:rsidRPr="00F82C10">
              <w:t>operate independent</w:t>
            </w:r>
            <w:r w:rsidR="0037664D" w:rsidRPr="00F82C10">
              <w:t>ly</w:t>
            </w:r>
            <w:r w:rsidR="008A661C" w:rsidRPr="00F82C10">
              <w:t xml:space="preserve"> of </w:t>
            </w:r>
            <w:r w:rsidRPr="00F82C10">
              <w:t>the clinical team</w:t>
            </w:r>
            <w:r w:rsidR="00D418B7" w:rsidRPr="00F82C10">
              <w:t xml:space="preserve">s and </w:t>
            </w:r>
            <w:r w:rsidR="008A661C" w:rsidRPr="00F82C10">
              <w:t xml:space="preserve">are </w:t>
            </w:r>
            <w:r w:rsidR="00D418B7" w:rsidRPr="00F82C10">
              <w:t>not reliant on RiO recordings,</w:t>
            </w:r>
            <w:r w:rsidRPr="00F82C10">
              <w:t xml:space="preserve"> would have </w:t>
            </w:r>
            <w:r w:rsidR="00D418B7" w:rsidRPr="00F82C10">
              <w:t>offered an extra layer of</w:t>
            </w:r>
            <w:r w:rsidR="00620F7E" w:rsidRPr="00F82C10">
              <w:t xml:space="preserve"> scrutiny</w:t>
            </w:r>
            <w:r w:rsidR="006D24A3" w:rsidRPr="00F82C10">
              <w:t>,</w:t>
            </w:r>
            <w:r w:rsidR="00620F7E" w:rsidRPr="00F82C10">
              <w:t xml:space="preserve"> </w:t>
            </w:r>
            <w:r w:rsidR="006D24A3" w:rsidRPr="00F82C10">
              <w:t>prompting</w:t>
            </w:r>
            <w:r w:rsidR="00620F7E" w:rsidRPr="00F82C10">
              <w:t xml:space="preserve"> further review of Mr R’s risk to his mother</w:t>
            </w:r>
            <w:r w:rsidRPr="00F82C10">
              <w:t xml:space="preserve">. </w:t>
            </w:r>
          </w:p>
        </w:tc>
      </w:tr>
      <w:tr w:rsidR="006D24A3" w14:paraId="15C674EE" w14:textId="77777777" w:rsidTr="00B94A27">
        <w:tc>
          <w:tcPr>
            <w:tcW w:w="817" w:type="dxa"/>
            <w:tcBorders>
              <w:top w:val="nil"/>
              <w:left w:val="nil"/>
              <w:bottom w:val="nil"/>
              <w:right w:val="nil"/>
            </w:tcBorders>
          </w:tcPr>
          <w:p w14:paraId="7BA825CF" w14:textId="77777777" w:rsidR="006D24A3" w:rsidRDefault="006D24A3" w:rsidP="00823208"/>
        </w:tc>
        <w:tc>
          <w:tcPr>
            <w:tcW w:w="851" w:type="dxa"/>
            <w:tcBorders>
              <w:top w:val="nil"/>
              <w:left w:val="nil"/>
              <w:bottom w:val="nil"/>
              <w:right w:val="nil"/>
            </w:tcBorders>
          </w:tcPr>
          <w:p w14:paraId="7CBF811D" w14:textId="77777777" w:rsidR="006D24A3" w:rsidRDefault="006D24A3" w:rsidP="00823208"/>
        </w:tc>
        <w:tc>
          <w:tcPr>
            <w:tcW w:w="6848" w:type="dxa"/>
            <w:gridSpan w:val="2"/>
            <w:tcBorders>
              <w:top w:val="nil"/>
              <w:left w:val="nil"/>
              <w:bottom w:val="nil"/>
              <w:right w:val="nil"/>
            </w:tcBorders>
          </w:tcPr>
          <w:p w14:paraId="59C92CBF" w14:textId="77777777" w:rsidR="006D24A3" w:rsidRDefault="006D24A3" w:rsidP="0037664D"/>
        </w:tc>
      </w:tr>
      <w:tr w:rsidR="009D350F" w14:paraId="5D70A869" w14:textId="77777777" w:rsidTr="00B94A27">
        <w:tc>
          <w:tcPr>
            <w:tcW w:w="817" w:type="dxa"/>
            <w:tcBorders>
              <w:top w:val="nil"/>
              <w:left w:val="nil"/>
              <w:bottom w:val="nil"/>
              <w:right w:val="nil"/>
            </w:tcBorders>
          </w:tcPr>
          <w:p w14:paraId="19E2ECC8" w14:textId="77777777" w:rsidR="009D350F" w:rsidRDefault="009D350F" w:rsidP="00823208"/>
        </w:tc>
        <w:tc>
          <w:tcPr>
            <w:tcW w:w="851" w:type="dxa"/>
            <w:tcBorders>
              <w:top w:val="nil"/>
              <w:left w:val="nil"/>
              <w:bottom w:val="nil"/>
              <w:right w:val="nil"/>
            </w:tcBorders>
          </w:tcPr>
          <w:p w14:paraId="31A2662F" w14:textId="77777777" w:rsidR="009D350F" w:rsidRDefault="009D350F" w:rsidP="00823208"/>
        </w:tc>
        <w:tc>
          <w:tcPr>
            <w:tcW w:w="850" w:type="dxa"/>
            <w:tcBorders>
              <w:top w:val="nil"/>
              <w:left w:val="nil"/>
              <w:bottom w:val="nil"/>
              <w:right w:val="nil"/>
            </w:tcBorders>
          </w:tcPr>
          <w:p w14:paraId="2018D5E8" w14:textId="7B0BD98F" w:rsidR="009D350F" w:rsidRPr="009D350F" w:rsidRDefault="009D350F" w:rsidP="00823208">
            <w:pPr>
              <w:rPr>
                <w:b/>
                <w:color w:val="4F6228" w:themeColor="accent3" w:themeShade="80"/>
              </w:rPr>
            </w:pPr>
            <w:r w:rsidRPr="009D350F">
              <w:rPr>
                <w:b/>
                <w:color w:val="4F6228" w:themeColor="accent3" w:themeShade="80"/>
              </w:rPr>
              <w:t>2.6.3.</w:t>
            </w:r>
          </w:p>
        </w:tc>
        <w:tc>
          <w:tcPr>
            <w:tcW w:w="5998" w:type="dxa"/>
            <w:tcBorders>
              <w:top w:val="nil"/>
              <w:left w:val="nil"/>
              <w:bottom w:val="nil"/>
              <w:right w:val="nil"/>
            </w:tcBorders>
          </w:tcPr>
          <w:p w14:paraId="3E36F563" w14:textId="0E9313C1" w:rsidR="009D350F" w:rsidRPr="009D350F" w:rsidRDefault="00CF1919" w:rsidP="00823208">
            <w:pPr>
              <w:rPr>
                <w:b/>
                <w:color w:val="4F6228" w:themeColor="accent3" w:themeShade="80"/>
              </w:rPr>
            </w:pPr>
            <w:r>
              <w:rPr>
                <w:b/>
                <w:color w:val="4F6228" w:themeColor="accent3" w:themeShade="80"/>
              </w:rPr>
              <w:t>E</w:t>
            </w:r>
            <w:r w:rsidR="009D350F" w:rsidRPr="009D350F">
              <w:rPr>
                <w:b/>
                <w:color w:val="4F6228" w:themeColor="accent3" w:themeShade="80"/>
              </w:rPr>
              <w:t xml:space="preserve">xplore </w:t>
            </w:r>
            <w:r w:rsidR="003143C1" w:rsidRPr="00F82C10">
              <w:rPr>
                <w:b/>
              </w:rPr>
              <w:t>current</w:t>
            </w:r>
            <w:r w:rsidR="003143C1">
              <w:rPr>
                <w:b/>
                <w:color w:val="FF0000"/>
              </w:rPr>
              <w:t xml:space="preserve"> </w:t>
            </w:r>
            <w:r w:rsidR="009D350F" w:rsidRPr="009D350F">
              <w:rPr>
                <w:b/>
                <w:color w:val="4F6228" w:themeColor="accent3" w:themeShade="80"/>
              </w:rPr>
              <w:t>staffing levels and capacity of staff</w:t>
            </w:r>
          </w:p>
        </w:tc>
      </w:tr>
      <w:tr w:rsidR="00774DC1" w14:paraId="458C3D6A" w14:textId="77777777" w:rsidTr="00B94A27">
        <w:tc>
          <w:tcPr>
            <w:tcW w:w="817" w:type="dxa"/>
            <w:tcBorders>
              <w:top w:val="nil"/>
              <w:left w:val="nil"/>
              <w:bottom w:val="nil"/>
              <w:right w:val="nil"/>
            </w:tcBorders>
          </w:tcPr>
          <w:p w14:paraId="46EF44CF" w14:textId="77777777" w:rsidR="00774DC1" w:rsidRDefault="00774DC1" w:rsidP="00823208"/>
        </w:tc>
        <w:tc>
          <w:tcPr>
            <w:tcW w:w="851" w:type="dxa"/>
            <w:tcBorders>
              <w:top w:val="nil"/>
              <w:left w:val="nil"/>
              <w:bottom w:val="nil"/>
              <w:right w:val="nil"/>
            </w:tcBorders>
          </w:tcPr>
          <w:p w14:paraId="642F8E17" w14:textId="77777777" w:rsidR="00774DC1" w:rsidRDefault="00774DC1" w:rsidP="00823208"/>
        </w:tc>
        <w:tc>
          <w:tcPr>
            <w:tcW w:w="850" w:type="dxa"/>
            <w:tcBorders>
              <w:top w:val="nil"/>
              <w:left w:val="nil"/>
              <w:bottom w:val="nil"/>
              <w:right w:val="nil"/>
            </w:tcBorders>
          </w:tcPr>
          <w:p w14:paraId="0F6B00D8" w14:textId="77777777" w:rsidR="00774DC1" w:rsidRPr="009D350F" w:rsidRDefault="00774DC1" w:rsidP="00823208">
            <w:pPr>
              <w:rPr>
                <w:b/>
                <w:color w:val="4F6228" w:themeColor="accent3" w:themeShade="80"/>
              </w:rPr>
            </w:pPr>
          </w:p>
        </w:tc>
        <w:tc>
          <w:tcPr>
            <w:tcW w:w="5998" w:type="dxa"/>
            <w:tcBorders>
              <w:top w:val="nil"/>
              <w:left w:val="nil"/>
              <w:bottom w:val="nil"/>
              <w:right w:val="nil"/>
            </w:tcBorders>
          </w:tcPr>
          <w:p w14:paraId="170C14F2" w14:textId="77777777" w:rsidR="00774DC1" w:rsidRDefault="00774DC1" w:rsidP="00823208">
            <w:pPr>
              <w:rPr>
                <w:b/>
                <w:color w:val="4F6228" w:themeColor="accent3" w:themeShade="80"/>
              </w:rPr>
            </w:pPr>
          </w:p>
        </w:tc>
      </w:tr>
      <w:tr w:rsidR="009D350F" w14:paraId="58E298FE" w14:textId="77777777" w:rsidTr="00B94A27">
        <w:tc>
          <w:tcPr>
            <w:tcW w:w="817" w:type="dxa"/>
            <w:tcBorders>
              <w:top w:val="nil"/>
              <w:left w:val="nil"/>
              <w:bottom w:val="nil"/>
              <w:right w:val="nil"/>
            </w:tcBorders>
          </w:tcPr>
          <w:p w14:paraId="2AD94F8D" w14:textId="77777777" w:rsidR="009D350F" w:rsidRDefault="009D350F" w:rsidP="00823208"/>
        </w:tc>
        <w:tc>
          <w:tcPr>
            <w:tcW w:w="851" w:type="dxa"/>
            <w:tcBorders>
              <w:top w:val="nil"/>
              <w:left w:val="nil"/>
              <w:bottom w:val="nil"/>
              <w:right w:val="nil"/>
            </w:tcBorders>
          </w:tcPr>
          <w:p w14:paraId="6DCDA631" w14:textId="77777777" w:rsidR="009D350F" w:rsidRDefault="009D350F" w:rsidP="00823208"/>
        </w:tc>
        <w:tc>
          <w:tcPr>
            <w:tcW w:w="6848" w:type="dxa"/>
            <w:gridSpan w:val="2"/>
            <w:tcBorders>
              <w:top w:val="nil"/>
              <w:left w:val="nil"/>
              <w:bottom w:val="nil"/>
              <w:right w:val="nil"/>
            </w:tcBorders>
          </w:tcPr>
          <w:p w14:paraId="056D9B11" w14:textId="0684BA6A" w:rsidR="0003009A" w:rsidRDefault="00A978BE" w:rsidP="0091324D">
            <w:r>
              <w:t>The index offence occurred in 2012.  Due to managerial change</w:t>
            </w:r>
            <w:r w:rsidR="00186172">
              <w:t>s</w:t>
            </w:r>
            <w:r>
              <w:t xml:space="preserve"> and turnover of personnel between then and now, we found it was </w:t>
            </w:r>
            <w:r w:rsidR="0091324D">
              <w:t>imp</w:t>
            </w:r>
            <w:r>
              <w:t>ossible for the Trust to locate details of staffing and capacity at the time of the offence</w:t>
            </w:r>
            <w:r w:rsidR="00746700">
              <w:t xml:space="preserve"> or the years following</w:t>
            </w:r>
            <w:r>
              <w:t xml:space="preserve">. </w:t>
            </w:r>
            <w:r w:rsidR="007E51FB">
              <w:t xml:space="preserve">Although we were not able to establish a 2012 baseline against which to review </w:t>
            </w:r>
            <w:r w:rsidR="00746700">
              <w:t>subsequent staffing levels</w:t>
            </w:r>
            <w:r w:rsidR="007E51FB">
              <w:t xml:space="preserve"> we were a</w:t>
            </w:r>
            <w:r w:rsidR="00E54D01">
              <w:t xml:space="preserve">ble to establish that the Trust has suffered from </w:t>
            </w:r>
            <w:r w:rsidR="007E51FB">
              <w:t xml:space="preserve">staffing </w:t>
            </w:r>
            <w:r w:rsidR="00E54D01">
              <w:t>problems</w:t>
            </w:r>
            <w:r w:rsidR="007E51FB">
              <w:t xml:space="preserve"> for </w:t>
            </w:r>
            <w:r w:rsidR="00E54D01">
              <w:t xml:space="preserve">a number of years. These have </w:t>
            </w:r>
            <w:r w:rsidR="007E51FB">
              <w:t>been characterised by recruitment difficulties and problems with retention reflected in high turnover</w:t>
            </w:r>
            <w:r w:rsidR="00E54D01">
              <w:t xml:space="preserve"> and use of temporary staffing</w:t>
            </w:r>
            <w:r w:rsidR="007E51FB">
              <w:t xml:space="preserve">.  </w:t>
            </w:r>
            <w:r w:rsidR="00E54D01">
              <w:t>The highest vacancies have been for mental health nurses</w:t>
            </w:r>
            <w:r w:rsidR="001F0590">
              <w:t xml:space="preserve">, </w:t>
            </w:r>
            <w:r w:rsidR="00746700">
              <w:t xml:space="preserve">who along with occupational therapists are the most difficult </w:t>
            </w:r>
            <w:r w:rsidR="00797EB0">
              <w:t xml:space="preserve">staff group to recruit, </w:t>
            </w:r>
            <w:r w:rsidR="001F0590">
              <w:t>impacting on the care co-ordinator role.</w:t>
            </w:r>
          </w:p>
        </w:tc>
      </w:tr>
      <w:tr w:rsidR="009D350F" w14:paraId="177EA192" w14:textId="77777777" w:rsidTr="00B94A27">
        <w:tc>
          <w:tcPr>
            <w:tcW w:w="817" w:type="dxa"/>
            <w:tcBorders>
              <w:top w:val="nil"/>
              <w:left w:val="nil"/>
              <w:bottom w:val="nil"/>
              <w:right w:val="nil"/>
            </w:tcBorders>
          </w:tcPr>
          <w:p w14:paraId="3BC40EF6" w14:textId="77777777" w:rsidR="009D350F" w:rsidRDefault="009D350F" w:rsidP="00823208"/>
        </w:tc>
        <w:tc>
          <w:tcPr>
            <w:tcW w:w="851" w:type="dxa"/>
            <w:tcBorders>
              <w:top w:val="nil"/>
              <w:left w:val="nil"/>
              <w:bottom w:val="nil"/>
              <w:right w:val="nil"/>
            </w:tcBorders>
          </w:tcPr>
          <w:p w14:paraId="6B7EBAB2" w14:textId="77777777" w:rsidR="009D350F" w:rsidRDefault="009D350F" w:rsidP="00823208"/>
        </w:tc>
        <w:tc>
          <w:tcPr>
            <w:tcW w:w="6848" w:type="dxa"/>
            <w:gridSpan w:val="2"/>
            <w:tcBorders>
              <w:top w:val="nil"/>
              <w:left w:val="nil"/>
              <w:bottom w:val="nil"/>
              <w:right w:val="nil"/>
            </w:tcBorders>
          </w:tcPr>
          <w:p w14:paraId="77CD3BDE" w14:textId="77777777" w:rsidR="009D350F" w:rsidRDefault="009D350F" w:rsidP="00823208"/>
        </w:tc>
      </w:tr>
      <w:tr w:rsidR="0003009A" w14:paraId="113394EC" w14:textId="77777777" w:rsidTr="00B94A27">
        <w:tc>
          <w:tcPr>
            <w:tcW w:w="817" w:type="dxa"/>
            <w:tcBorders>
              <w:top w:val="nil"/>
              <w:left w:val="nil"/>
              <w:bottom w:val="nil"/>
              <w:right w:val="nil"/>
            </w:tcBorders>
          </w:tcPr>
          <w:p w14:paraId="404F1262" w14:textId="77777777" w:rsidR="0003009A" w:rsidRDefault="0003009A" w:rsidP="00823208"/>
        </w:tc>
        <w:tc>
          <w:tcPr>
            <w:tcW w:w="851" w:type="dxa"/>
            <w:tcBorders>
              <w:top w:val="nil"/>
              <w:left w:val="nil"/>
              <w:bottom w:val="nil"/>
              <w:right w:val="nil"/>
            </w:tcBorders>
          </w:tcPr>
          <w:p w14:paraId="348104D5" w14:textId="77777777" w:rsidR="0003009A" w:rsidRDefault="0003009A" w:rsidP="00823208"/>
        </w:tc>
        <w:tc>
          <w:tcPr>
            <w:tcW w:w="6848" w:type="dxa"/>
            <w:gridSpan w:val="2"/>
            <w:tcBorders>
              <w:top w:val="nil"/>
              <w:left w:val="nil"/>
              <w:bottom w:val="nil"/>
              <w:right w:val="nil"/>
            </w:tcBorders>
          </w:tcPr>
          <w:p w14:paraId="54A320F1" w14:textId="50E8BAEE" w:rsidR="0003009A" w:rsidRDefault="00E54D01" w:rsidP="001C5DD0">
            <w:r>
              <w:t xml:space="preserve">Some of the recruitment and retention problems can be </w:t>
            </w:r>
            <w:r w:rsidR="001C5DD0">
              <w:t xml:space="preserve">explained </w:t>
            </w:r>
            <w:r>
              <w:t xml:space="preserve">in terms of national </w:t>
            </w:r>
            <w:r w:rsidR="001C5DD0">
              <w:t xml:space="preserve">austerity and a </w:t>
            </w:r>
            <w:r>
              <w:t xml:space="preserve">shortage of mental health nurses. There is also a more local context in that </w:t>
            </w:r>
            <w:r w:rsidR="001C5DD0">
              <w:t>SWLSt</w:t>
            </w:r>
            <w:r w:rsidR="00CD5B02">
              <w:t>G</w:t>
            </w:r>
            <w:r>
              <w:t xml:space="preserve"> is a London Trust and </w:t>
            </w:r>
            <w:r w:rsidR="00797EB0">
              <w:t xml:space="preserve">is </w:t>
            </w:r>
            <w:r>
              <w:t>impact</w:t>
            </w:r>
            <w:r w:rsidR="00797EB0">
              <w:t>ed</w:t>
            </w:r>
            <w:r>
              <w:t xml:space="preserve"> </w:t>
            </w:r>
            <w:r w:rsidR="00797EB0">
              <w:t xml:space="preserve">by </w:t>
            </w:r>
            <w:r>
              <w:t xml:space="preserve">the high cost of living in conjunction with competition between London Trusts for </w:t>
            </w:r>
            <w:r w:rsidR="00797EB0">
              <w:t xml:space="preserve">a </w:t>
            </w:r>
            <w:r>
              <w:t>limited pool of</w:t>
            </w:r>
            <w:r w:rsidR="001F0590">
              <w:t xml:space="preserve"> available candidates for jobs.</w:t>
            </w:r>
            <w:r w:rsidR="00797EB0">
              <w:t xml:space="preserve"> Additionally, as more specialised mental health services come on line, services such as generic CMHTs have become less popular workplaces.</w:t>
            </w:r>
          </w:p>
        </w:tc>
      </w:tr>
      <w:tr w:rsidR="0003009A" w14:paraId="2C625866" w14:textId="77777777" w:rsidTr="00B94A27">
        <w:tc>
          <w:tcPr>
            <w:tcW w:w="817" w:type="dxa"/>
            <w:tcBorders>
              <w:top w:val="nil"/>
              <w:left w:val="nil"/>
              <w:bottom w:val="nil"/>
              <w:right w:val="nil"/>
            </w:tcBorders>
          </w:tcPr>
          <w:p w14:paraId="1120772B" w14:textId="77777777" w:rsidR="0003009A" w:rsidRDefault="0003009A" w:rsidP="00823208"/>
        </w:tc>
        <w:tc>
          <w:tcPr>
            <w:tcW w:w="851" w:type="dxa"/>
            <w:tcBorders>
              <w:top w:val="nil"/>
              <w:left w:val="nil"/>
              <w:bottom w:val="nil"/>
              <w:right w:val="nil"/>
            </w:tcBorders>
          </w:tcPr>
          <w:p w14:paraId="258864F8" w14:textId="77777777" w:rsidR="0003009A" w:rsidRDefault="0003009A" w:rsidP="00823208"/>
        </w:tc>
        <w:tc>
          <w:tcPr>
            <w:tcW w:w="6848" w:type="dxa"/>
            <w:gridSpan w:val="2"/>
            <w:tcBorders>
              <w:top w:val="nil"/>
              <w:left w:val="nil"/>
              <w:bottom w:val="nil"/>
              <w:right w:val="nil"/>
            </w:tcBorders>
          </w:tcPr>
          <w:p w14:paraId="7C964858" w14:textId="77777777" w:rsidR="0003009A" w:rsidRDefault="0003009A" w:rsidP="00823208"/>
        </w:tc>
      </w:tr>
      <w:tr w:rsidR="0003009A" w14:paraId="508F8418" w14:textId="77777777" w:rsidTr="00B94A27">
        <w:tc>
          <w:tcPr>
            <w:tcW w:w="817" w:type="dxa"/>
            <w:tcBorders>
              <w:top w:val="nil"/>
              <w:left w:val="nil"/>
              <w:bottom w:val="nil"/>
              <w:right w:val="nil"/>
            </w:tcBorders>
          </w:tcPr>
          <w:p w14:paraId="44132522" w14:textId="77777777" w:rsidR="0003009A" w:rsidRDefault="0003009A" w:rsidP="00823208"/>
        </w:tc>
        <w:tc>
          <w:tcPr>
            <w:tcW w:w="851" w:type="dxa"/>
            <w:tcBorders>
              <w:top w:val="nil"/>
              <w:left w:val="nil"/>
              <w:bottom w:val="nil"/>
              <w:right w:val="nil"/>
            </w:tcBorders>
          </w:tcPr>
          <w:p w14:paraId="2D845D33" w14:textId="77777777" w:rsidR="0003009A" w:rsidRDefault="0003009A" w:rsidP="00823208"/>
        </w:tc>
        <w:tc>
          <w:tcPr>
            <w:tcW w:w="6848" w:type="dxa"/>
            <w:gridSpan w:val="2"/>
            <w:tcBorders>
              <w:top w:val="nil"/>
              <w:left w:val="nil"/>
              <w:bottom w:val="nil"/>
              <w:right w:val="nil"/>
            </w:tcBorders>
          </w:tcPr>
          <w:p w14:paraId="49F82AD2" w14:textId="06DCCD17" w:rsidR="0003009A" w:rsidRDefault="001F0590" w:rsidP="00E84183">
            <w:r>
              <w:t xml:space="preserve">A number of important measures are in place. </w:t>
            </w:r>
            <w:r w:rsidR="00797EB0">
              <w:t>SWLSt</w:t>
            </w:r>
            <w:r w:rsidR="00CD5B02">
              <w:t>G</w:t>
            </w:r>
            <w:r w:rsidR="00E54D01">
              <w:t xml:space="preserve"> has a </w:t>
            </w:r>
            <w:r w:rsidR="006D1C1B">
              <w:t xml:space="preserve">comprehensive recruitment and retention strategy. A Board sub committee provides workforce oversight. </w:t>
            </w:r>
            <w:r w:rsidR="00F9110C">
              <w:t xml:space="preserve">We have had sight of the very detailed workforce monitoring spreadsheet. </w:t>
            </w:r>
            <w:r>
              <w:t xml:space="preserve">The Director of Nursing is proactively engaging potential candidates for positions at the Trust including through local schools and meeting with nursing students during their first year of training. The Director of Nursing is working in a partnership with the Directors of Nursing </w:t>
            </w:r>
            <w:r w:rsidR="0037664D">
              <w:t xml:space="preserve">at </w:t>
            </w:r>
            <w:r>
              <w:t xml:space="preserve">two other South London Trusts to establish consistent </w:t>
            </w:r>
            <w:r w:rsidR="00797EB0">
              <w:t xml:space="preserve">standards of recruitment, </w:t>
            </w:r>
            <w:r w:rsidR="00F73BEA">
              <w:t>wor</w:t>
            </w:r>
            <w:r w:rsidR="00797EB0">
              <w:t>k opportunities and development</w:t>
            </w:r>
            <w:r w:rsidR="00F73BEA">
              <w:t xml:space="preserve"> f</w:t>
            </w:r>
            <w:r>
              <w:t>or candidates.</w:t>
            </w:r>
            <w:r w:rsidR="006D7675">
              <w:t xml:space="preserve"> Improvements have </w:t>
            </w:r>
            <w:r w:rsidR="003D4D9F">
              <w:t>been realised with turnover for nurses reducing from 21% in February 2016 to 14% in February 2017.</w:t>
            </w:r>
            <w:r w:rsidR="00F73BEA">
              <w:t xml:space="preserve"> However, this is an area that requires </w:t>
            </w:r>
            <w:r w:rsidR="001C5DD0">
              <w:t xml:space="preserve">constant </w:t>
            </w:r>
            <w:r w:rsidR="00F73BEA">
              <w:t xml:space="preserve">intense effort </w:t>
            </w:r>
            <w:r w:rsidR="00D418B7">
              <w:t xml:space="preserve">for </w:t>
            </w:r>
            <w:r w:rsidR="005272D3">
              <w:t>progress</w:t>
            </w:r>
            <w:r w:rsidR="00D418B7">
              <w:t xml:space="preserve"> to be maintained.</w:t>
            </w:r>
          </w:p>
        </w:tc>
      </w:tr>
      <w:tr w:rsidR="0003009A" w14:paraId="4D195F75" w14:textId="77777777" w:rsidTr="00B94A27">
        <w:tc>
          <w:tcPr>
            <w:tcW w:w="817" w:type="dxa"/>
            <w:tcBorders>
              <w:top w:val="nil"/>
              <w:left w:val="nil"/>
              <w:bottom w:val="nil"/>
              <w:right w:val="nil"/>
            </w:tcBorders>
          </w:tcPr>
          <w:p w14:paraId="4C517BAC" w14:textId="77777777" w:rsidR="0003009A" w:rsidRDefault="0003009A" w:rsidP="00823208"/>
        </w:tc>
        <w:tc>
          <w:tcPr>
            <w:tcW w:w="851" w:type="dxa"/>
            <w:tcBorders>
              <w:top w:val="nil"/>
              <w:left w:val="nil"/>
              <w:bottom w:val="nil"/>
              <w:right w:val="nil"/>
            </w:tcBorders>
          </w:tcPr>
          <w:p w14:paraId="6D0265A6" w14:textId="77777777" w:rsidR="0003009A" w:rsidRDefault="0003009A" w:rsidP="00823208"/>
        </w:tc>
        <w:tc>
          <w:tcPr>
            <w:tcW w:w="6848" w:type="dxa"/>
            <w:gridSpan w:val="2"/>
            <w:tcBorders>
              <w:top w:val="nil"/>
              <w:left w:val="nil"/>
              <w:bottom w:val="nil"/>
              <w:right w:val="nil"/>
            </w:tcBorders>
          </w:tcPr>
          <w:p w14:paraId="10028E4A" w14:textId="77777777" w:rsidR="0003009A" w:rsidRDefault="0003009A" w:rsidP="00823208"/>
        </w:tc>
      </w:tr>
      <w:tr w:rsidR="0003009A" w14:paraId="67055DE0" w14:textId="77777777" w:rsidTr="00B94A27">
        <w:tc>
          <w:tcPr>
            <w:tcW w:w="817" w:type="dxa"/>
            <w:tcBorders>
              <w:top w:val="nil"/>
              <w:left w:val="nil"/>
              <w:bottom w:val="nil"/>
              <w:right w:val="nil"/>
            </w:tcBorders>
          </w:tcPr>
          <w:p w14:paraId="51C6E561" w14:textId="77777777" w:rsidR="0003009A" w:rsidRDefault="0003009A" w:rsidP="00823208"/>
        </w:tc>
        <w:tc>
          <w:tcPr>
            <w:tcW w:w="851" w:type="dxa"/>
            <w:tcBorders>
              <w:top w:val="nil"/>
              <w:left w:val="nil"/>
              <w:bottom w:val="nil"/>
              <w:right w:val="nil"/>
            </w:tcBorders>
          </w:tcPr>
          <w:p w14:paraId="565A974C" w14:textId="77777777" w:rsidR="0003009A" w:rsidRDefault="0003009A" w:rsidP="00823208"/>
        </w:tc>
        <w:tc>
          <w:tcPr>
            <w:tcW w:w="6848" w:type="dxa"/>
            <w:gridSpan w:val="2"/>
            <w:tcBorders>
              <w:top w:val="nil"/>
              <w:left w:val="nil"/>
              <w:bottom w:val="nil"/>
              <w:right w:val="nil"/>
            </w:tcBorders>
          </w:tcPr>
          <w:p w14:paraId="6C6B2F60" w14:textId="11EAA277" w:rsidR="0003009A" w:rsidRDefault="005272D3" w:rsidP="005272D3">
            <w:r>
              <w:t>When we visited Central Wandsworth and West Battersea CMHT we were informed that the team was well staffed for the first time in a number of years</w:t>
            </w:r>
            <w:r w:rsidR="00A71D3A">
              <w:t xml:space="preserve"> during which time there has been very high turnover within the team and high use of temporary staffing</w:t>
            </w:r>
            <w:r>
              <w:t xml:space="preserve">. </w:t>
            </w:r>
            <w:r w:rsidR="00A71D3A">
              <w:t xml:space="preserve">There were two locum staff working in the team, one was the consultant psychiatrist and the other was a CPN. </w:t>
            </w:r>
            <w:r w:rsidR="001C5DD0">
              <w:t xml:space="preserve">There was 1 care co-ordinator vacancy. </w:t>
            </w:r>
            <w:r>
              <w:t xml:space="preserve">The team had in place a permanent manager having previously experienced approximately 10 different managers within a period of 7 years.  </w:t>
            </w:r>
          </w:p>
        </w:tc>
      </w:tr>
      <w:tr w:rsidR="0003009A" w14:paraId="060BDAE3" w14:textId="77777777" w:rsidTr="00B94A27">
        <w:tc>
          <w:tcPr>
            <w:tcW w:w="817" w:type="dxa"/>
            <w:tcBorders>
              <w:top w:val="nil"/>
              <w:left w:val="nil"/>
              <w:bottom w:val="nil"/>
              <w:right w:val="nil"/>
            </w:tcBorders>
          </w:tcPr>
          <w:p w14:paraId="3DDC04D7" w14:textId="77777777" w:rsidR="0003009A" w:rsidRDefault="0003009A" w:rsidP="00823208"/>
        </w:tc>
        <w:tc>
          <w:tcPr>
            <w:tcW w:w="851" w:type="dxa"/>
            <w:tcBorders>
              <w:top w:val="nil"/>
              <w:left w:val="nil"/>
              <w:bottom w:val="nil"/>
              <w:right w:val="nil"/>
            </w:tcBorders>
          </w:tcPr>
          <w:p w14:paraId="3CB28ABE" w14:textId="77777777" w:rsidR="0003009A" w:rsidRDefault="0003009A" w:rsidP="00823208"/>
        </w:tc>
        <w:tc>
          <w:tcPr>
            <w:tcW w:w="6848" w:type="dxa"/>
            <w:gridSpan w:val="2"/>
            <w:tcBorders>
              <w:top w:val="nil"/>
              <w:left w:val="nil"/>
              <w:bottom w:val="nil"/>
              <w:right w:val="nil"/>
            </w:tcBorders>
          </w:tcPr>
          <w:p w14:paraId="28815E50" w14:textId="77777777" w:rsidR="0003009A" w:rsidRDefault="0003009A" w:rsidP="00823208"/>
        </w:tc>
      </w:tr>
      <w:tr w:rsidR="0003009A" w14:paraId="60AA8A57" w14:textId="77777777" w:rsidTr="00B94A27">
        <w:tc>
          <w:tcPr>
            <w:tcW w:w="817" w:type="dxa"/>
            <w:tcBorders>
              <w:top w:val="nil"/>
              <w:left w:val="nil"/>
              <w:bottom w:val="nil"/>
              <w:right w:val="nil"/>
            </w:tcBorders>
          </w:tcPr>
          <w:p w14:paraId="5A00C6C3" w14:textId="77777777" w:rsidR="0003009A" w:rsidRDefault="0003009A" w:rsidP="00823208"/>
        </w:tc>
        <w:tc>
          <w:tcPr>
            <w:tcW w:w="851" w:type="dxa"/>
            <w:tcBorders>
              <w:top w:val="nil"/>
              <w:left w:val="nil"/>
              <w:bottom w:val="nil"/>
              <w:right w:val="nil"/>
            </w:tcBorders>
          </w:tcPr>
          <w:p w14:paraId="6AD61355" w14:textId="77777777" w:rsidR="0003009A" w:rsidRDefault="0003009A" w:rsidP="00823208"/>
        </w:tc>
        <w:tc>
          <w:tcPr>
            <w:tcW w:w="6848" w:type="dxa"/>
            <w:gridSpan w:val="2"/>
            <w:tcBorders>
              <w:top w:val="nil"/>
              <w:left w:val="nil"/>
              <w:bottom w:val="nil"/>
              <w:right w:val="nil"/>
            </w:tcBorders>
          </w:tcPr>
          <w:p w14:paraId="31B0A4AF" w14:textId="719A56ED" w:rsidR="0003009A" w:rsidRDefault="00F9110C" w:rsidP="00186172">
            <w:r>
              <w:t>In terms of pressures on care co-ordinators’ capaci</w:t>
            </w:r>
            <w:r w:rsidR="00D41074">
              <w:t xml:space="preserve">ty, these were mainly located with </w:t>
            </w:r>
            <w:r>
              <w:t>the complexity</w:t>
            </w:r>
            <w:r w:rsidR="00D41074">
              <w:t xml:space="preserve"> and acuity of </w:t>
            </w:r>
            <w:r w:rsidR="0009593D">
              <w:t>service user</w:t>
            </w:r>
            <w:r w:rsidR="00D41074">
              <w:t xml:space="preserve"> </w:t>
            </w:r>
            <w:r w:rsidR="00186172">
              <w:t xml:space="preserve">needs </w:t>
            </w:r>
            <w:r w:rsidR="00D41074">
              <w:t>and size of case</w:t>
            </w:r>
            <w:r>
              <w:t xml:space="preserve">load (average 35 </w:t>
            </w:r>
            <w:r w:rsidR="0009593D">
              <w:t>service user</w:t>
            </w:r>
            <w:r w:rsidR="00D41074">
              <w:t xml:space="preserve">s). In terms of complexity, </w:t>
            </w:r>
            <w:r w:rsidR="0009593D">
              <w:t>service user</w:t>
            </w:r>
            <w:r w:rsidR="00D41074">
              <w:t xml:space="preserve">s typically presented with co-morbidity, especially in relation to psychosis and substance misuse, poor engagement and reluctance to engage with specialist addiction services. </w:t>
            </w:r>
            <w:r w:rsidR="0091324D">
              <w:t xml:space="preserve">The team did not feel skilled to work with </w:t>
            </w:r>
            <w:r w:rsidR="00797EB0">
              <w:t>the</w:t>
            </w:r>
            <w:r w:rsidR="0091324D">
              <w:t xml:space="preserve"> complexity </w:t>
            </w:r>
            <w:r w:rsidR="00797EB0">
              <w:t xml:space="preserve">presented by the </w:t>
            </w:r>
            <w:r w:rsidR="0009593D">
              <w:t>service user</w:t>
            </w:r>
            <w:r w:rsidR="00797EB0">
              <w:t xml:space="preserve"> group</w:t>
            </w:r>
            <w:r w:rsidR="0091324D">
              <w:t xml:space="preserve">. </w:t>
            </w:r>
            <w:r w:rsidR="00C640E5">
              <w:t>With regard to acuity,</w:t>
            </w:r>
            <w:r w:rsidR="00D41074">
              <w:t xml:space="preserve"> zoning, a </w:t>
            </w:r>
            <w:r w:rsidR="00797EB0">
              <w:t xml:space="preserve">traffic light or </w:t>
            </w:r>
            <w:r w:rsidR="00D41074">
              <w:t xml:space="preserve">RAG rating system </w:t>
            </w:r>
            <w:r w:rsidR="00797EB0">
              <w:t xml:space="preserve">is used for </w:t>
            </w:r>
            <w:r w:rsidR="00D41074">
              <w:t xml:space="preserve">identifying </w:t>
            </w:r>
            <w:r w:rsidR="00797EB0">
              <w:t xml:space="preserve">the level of support required by </w:t>
            </w:r>
            <w:r w:rsidR="0009593D">
              <w:t>service user</w:t>
            </w:r>
            <w:r w:rsidR="00D41074">
              <w:t xml:space="preserve">s according to </w:t>
            </w:r>
            <w:r w:rsidR="00797EB0">
              <w:t>their risk and acuity</w:t>
            </w:r>
            <w:r w:rsidR="00D41074">
              <w:t xml:space="preserve">. A high proportion of </w:t>
            </w:r>
            <w:r w:rsidR="0009593D">
              <w:t>service user</w:t>
            </w:r>
            <w:r w:rsidR="00D41074">
              <w:t>s are in the red zone</w:t>
            </w:r>
            <w:r w:rsidR="00797EB0">
              <w:t>, which represents the highest level of acuity</w:t>
            </w:r>
            <w:r w:rsidR="00D41074">
              <w:t xml:space="preserve"> at any time and </w:t>
            </w:r>
            <w:r w:rsidR="0009593D">
              <w:t>service user</w:t>
            </w:r>
            <w:r w:rsidR="00D41074">
              <w:t xml:space="preserve">s typically fluctuate in and out of the red zone.  </w:t>
            </w:r>
            <w:r w:rsidR="00797EB0">
              <w:t>Community psychiatric nurses (</w:t>
            </w:r>
            <w:r w:rsidR="00D41074">
              <w:t>CPNs</w:t>
            </w:r>
            <w:r w:rsidR="00797EB0">
              <w:t>)</w:t>
            </w:r>
            <w:r w:rsidR="00D41074">
              <w:t xml:space="preserve"> are </w:t>
            </w:r>
            <w:r w:rsidR="00797EB0">
              <w:t xml:space="preserve">the care co-ordinators who are </w:t>
            </w:r>
            <w:r w:rsidR="00D41074">
              <w:t xml:space="preserve">likely to bear the greatest burden of </w:t>
            </w:r>
            <w:r w:rsidR="00797EB0">
              <w:t xml:space="preserve">acuity </w:t>
            </w:r>
            <w:r w:rsidR="00D41074">
              <w:t xml:space="preserve">in terms of managing caseloads with high numbers of </w:t>
            </w:r>
            <w:r w:rsidR="0009593D">
              <w:t>service user</w:t>
            </w:r>
            <w:r w:rsidR="00D418B7">
              <w:t>s</w:t>
            </w:r>
            <w:r w:rsidR="00D41074">
              <w:t xml:space="preserve"> zoned red. </w:t>
            </w:r>
          </w:p>
        </w:tc>
      </w:tr>
      <w:tr w:rsidR="00797EB0" w14:paraId="0DEACDA2" w14:textId="77777777" w:rsidTr="00B94A27">
        <w:tc>
          <w:tcPr>
            <w:tcW w:w="817" w:type="dxa"/>
            <w:tcBorders>
              <w:top w:val="nil"/>
              <w:left w:val="nil"/>
              <w:bottom w:val="nil"/>
              <w:right w:val="nil"/>
            </w:tcBorders>
          </w:tcPr>
          <w:p w14:paraId="74EC80CF" w14:textId="77777777" w:rsidR="00797EB0" w:rsidRDefault="00797EB0" w:rsidP="00823208"/>
        </w:tc>
        <w:tc>
          <w:tcPr>
            <w:tcW w:w="851" w:type="dxa"/>
            <w:tcBorders>
              <w:top w:val="nil"/>
              <w:left w:val="nil"/>
              <w:bottom w:val="nil"/>
              <w:right w:val="nil"/>
            </w:tcBorders>
          </w:tcPr>
          <w:p w14:paraId="30167BE3" w14:textId="77777777" w:rsidR="00797EB0" w:rsidRDefault="00797EB0" w:rsidP="00823208"/>
        </w:tc>
        <w:tc>
          <w:tcPr>
            <w:tcW w:w="6848" w:type="dxa"/>
            <w:gridSpan w:val="2"/>
            <w:tcBorders>
              <w:top w:val="nil"/>
              <w:left w:val="nil"/>
              <w:bottom w:val="nil"/>
              <w:right w:val="nil"/>
            </w:tcBorders>
          </w:tcPr>
          <w:p w14:paraId="699B8283" w14:textId="77777777" w:rsidR="00797EB0" w:rsidRDefault="00797EB0" w:rsidP="00797EB0"/>
        </w:tc>
      </w:tr>
      <w:tr w:rsidR="00797EB0" w14:paraId="75F80F76" w14:textId="77777777" w:rsidTr="00B94A27">
        <w:tc>
          <w:tcPr>
            <w:tcW w:w="817" w:type="dxa"/>
            <w:tcBorders>
              <w:top w:val="nil"/>
              <w:left w:val="nil"/>
              <w:bottom w:val="nil"/>
              <w:right w:val="nil"/>
            </w:tcBorders>
          </w:tcPr>
          <w:p w14:paraId="7DA16BAF" w14:textId="77777777" w:rsidR="00797EB0" w:rsidRDefault="00797EB0" w:rsidP="00823208"/>
        </w:tc>
        <w:tc>
          <w:tcPr>
            <w:tcW w:w="851" w:type="dxa"/>
            <w:tcBorders>
              <w:top w:val="nil"/>
              <w:left w:val="nil"/>
              <w:bottom w:val="nil"/>
              <w:right w:val="nil"/>
            </w:tcBorders>
          </w:tcPr>
          <w:p w14:paraId="34AD1E9F" w14:textId="77777777" w:rsidR="00797EB0" w:rsidRDefault="00797EB0" w:rsidP="00823208"/>
        </w:tc>
        <w:tc>
          <w:tcPr>
            <w:tcW w:w="6848" w:type="dxa"/>
            <w:gridSpan w:val="2"/>
            <w:tcBorders>
              <w:top w:val="nil"/>
              <w:left w:val="nil"/>
              <w:bottom w:val="nil"/>
              <w:right w:val="nil"/>
            </w:tcBorders>
          </w:tcPr>
          <w:p w14:paraId="707C91F3" w14:textId="019E31E1" w:rsidR="00797EB0" w:rsidRDefault="00797EB0" w:rsidP="00A92A4B">
            <w:r>
              <w:t xml:space="preserve">Care co-ordinators feel pressured </w:t>
            </w:r>
            <w:r w:rsidR="00A92A4B">
              <w:t xml:space="preserve">further </w:t>
            </w:r>
            <w:r w:rsidR="003128B2">
              <w:t xml:space="preserve">because of </w:t>
            </w:r>
            <w:r>
              <w:t xml:space="preserve">the loss of expertise in the teams due to the disaggregation of social workers from the team </w:t>
            </w:r>
            <w:r w:rsidR="00186172">
              <w:t xml:space="preserve">which </w:t>
            </w:r>
            <w:r>
              <w:t>happened when the section 75 agreement with the local authority was rescinded</w:t>
            </w:r>
            <w:r w:rsidR="001C5DD0">
              <w:t xml:space="preserve"> with social work</w:t>
            </w:r>
            <w:r w:rsidR="00186172">
              <w:t>ers</w:t>
            </w:r>
            <w:r w:rsidR="001C5DD0">
              <w:t xml:space="preserve"> relocated with the local authority</w:t>
            </w:r>
            <w:r>
              <w:t xml:space="preserve">. Furthermore, joint working with social workers is now more stressful due to not having the previous level of support that had been achieved through working together as part of the same team. </w:t>
            </w:r>
          </w:p>
        </w:tc>
      </w:tr>
      <w:tr w:rsidR="00F9110C" w14:paraId="1112B9CD" w14:textId="77777777" w:rsidTr="00B94A27">
        <w:tc>
          <w:tcPr>
            <w:tcW w:w="817" w:type="dxa"/>
            <w:tcBorders>
              <w:top w:val="nil"/>
              <w:left w:val="nil"/>
              <w:bottom w:val="nil"/>
              <w:right w:val="nil"/>
            </w:tcBorders>
          </w:tcPr>
          <w:p w14:paraId="6FB8D803" w14:textId="77777777" w:rsidR="00F9110C" w:rsidRDefault="00F9110C" w:rsidP="00823208"/>
        </w:tc>
        <w:tc>
          <w:tcPr>
            <w:tcW w:w="851" w:type="dxa"/>
            <w:tcBorders>
              <w:top w:val="nil"/>
              <w:left w:val="nil"/>
              <w:bottom w:val="nil"/>
              <w:right w:val="nil"/>
            </w:tcBorders>
          </w:tcPr>
          <w:p w14:paraId="2143E9B9" w14:textId="77777777" w:rsidR="00F9110C" w:rsidRDefault="00F9110C" w:rsidP="00823208"/>
        </w:tc>
        <w:tc>
          <w:tcPr>
            <w:tcW w:w="6848" w:type="dxa"/>
            <w:gridSpan w:val="2"/>
            <w:tcBorders>
              <w:top w:val="nil"/>
              <w:left w:val="nil"/>
              <w:bottom w:val="nil"/>
              <w:right w:val="nil"/>
            </w:tcBorders>
          </w:tcPr>
          <w:p w14:paraId="456A10C9" w14:textId="77777777" w:rsidR="00F9110C" w:rsidRDefault="00F9110C" w:rsidP="00823208"/>
        </w:tc>
      </w:tr>
      <w:tr w:rsidR="004A33DB" w14:paraId="0358EFD7" w14:textId="77777777" w:rsidTr="00B94A27">
        <w:tc>
          <w:tcPr>
            <w:tcW w:w="817" w:type="dxa"/>
            <w:tcBorders>
              <w:top w:val="nil"/>
              <w:left w:val="nil"/>
              <w:bottom w:val="nil"/>
              <w:right w:val="nil"/>
            </w:tcBorders>
          </w:tcPr>
          <w:p w14:paraId="47C9BF9B" w14:textId="77777777" w:rsidR="004A33DB" w:rsidRDefault="004A33DB" w:rsidP="00823208"/>
        </w:tc>
        <w:tc>
          <w:tcPr>
            <w:tcW w:w="851" w:type="dxa"/>
            <w:tcBorders>
              <w:top w:val="nil"/>
              <w:left w:val="nil"/>
              <w:bottom w:val="nil"/>
              <w:right w:val="nil"/>
            </w:tcBorders>
          </w:tcPr>
          <w:p w14:paraId="21C87C8B" w14:textId="77777777" w:rsidR="004A33DB" w:rsidRDefault="004A33DB" w:rsidP="00823208"/>
        </w:tc>
        <w:tc>
          <w:tcPr>
            <w:tcW w:w="6848" w:type="dxa"/>
            <w:gridSpan w:val="2"/>
            <w:tcBorders>
              <w:top w:val="nil"/>
              <w:left w:val="nil"/>
              <w:bottom w:val="nil"/>
              <w:right w:val="nil"/>
            </w:tcBorders>
          </w:tcPr>
          <w:p w14:paraId="235EB52B" w14:textId="5CB96349" w:rsidR="004A33DB" w:rsidRDefault="004A33DB" w:rsidP="00F57C0E">
            <w:r>
              <w:t>We heard that the CMHTs are underfunded and also that reductions in service provision within other areas of the wider system due to austerity measures, left unmet needs which are now being picked up by care co-ordinators. Care co-ordinators themselves felt they were overstretched and that if there were some junior staff employed to undertake administrative functions, this would free them up to deliver more clinically skilled aspects of the care co-ordinator role.</w:t>
            </w:r>
          </w:p>
        </w:tc>
      </w:tr>
      <w:tr w:rsidR="004A33DB" w14:paraId="3AB29476" w14:textId="77777777" w:rsidTr="00B94A27">
        <w:tc>
          <w:tcPr>
            <w:tcW w:w="817" w:type="dxa"/>
            <w:tcBorders>
              <w:top w:val="nil"/>
              <w:left w:val="nil"/>
              <w:bottom w:val="nil"/>
              <w:right w:val="nil"/>
            </w:tcBorders>
          </w:tcPr>
          <w:p w14:paraId="25C99614" w14:textId="77777777" w:rsidR="004A33DB" w:rsidRDefault="004A33DB" w:rsidP="00823208"/>
        </w:tc>
        <w:tc>
          <w:tcPr>
            <w:tcW w:w="851" w:type="dxa"/>
            <w:tcBorders>
              <w:top w:val="nil"/>
              <w:left w:val="nil"/>
              <w:bottom w:val="nil"/>
              <w:right w:val="nil"/>
            </w:tcBorders>
          </w:tcPr>
          <w:p w14:paraId="418F4FFD" w14:textId="77777777" w:rsidR="004A33DB" w:rsidRDefault="004A33DB" w:rsidP="00823208"/>
        </w:tc>
        <w:tc>
          <w:tcPr>
            <w:tcW w:w="6848" w:type="dxa"/>
            <w:gridSpan w:val="2"/>
            <w:tcBorders>
              <w:top w:val="nil"/>
              <w:left w:val="nil"/>
              <w:bottom w:val="nil"/>
              <w:right w:val="nil"/>
            </w:tcBorders>
          </w:tcPr>
          <w:p w14:paraId="31FC64C4" w14:textId="77777777" w:rsidR="004A33DB" w:rsidRDefault="004A33DB" w:rsidP="00823208"/>
        </w:tc>
      </w:tr>
      <w:tr w:rsidR="00F57C0E" w14:paraId="1B0A48D0" w14:textId="77777777" w:rsidTr="00B94A27">
        <w:tc>
          <w:tcPr>
            <w:tcW w:w="817" w:type="dxa"/>
            <w:tcBorders>
              <w:top w:val="nil"/>
              <w:left w:val="nil"/>
              <w:bottom w:val="nil"/>
              <w:right w:val="nil"/>
            </w:tcBorders>
          </w:tcPr>
          <w:p w14:paraId="72C614B8" w14:textId="77777777" w:rsidR="00F57C0E" w:rsidRDefault="00F57C0E" w:rsidP="00823208"/>
        </w:tc>
        <w:tc>
          <w:tcPr>
            <w:tcW w:w="851" w:type="dxa"/>
            <w:tcBorders>
              <w:top w:val="nil"/>
              <w:left w:val="nil"/>
              <w:bottom w:val="nil"/>
              <w:right w:val="nil"/>
            </w:tcBorders>
          </w:tcPr>
          <w:p w14:paraId="3415BE9F" w14:textId="77777777" w:rsidR="00F57C0E" w:rsidRDefault="00F57C0E" w:rsidP="00823208"/>
        </w:tc>
        <w:tc>
          <w:tcPr>
            <w:tcW w:w="6848" w:type="dxa"/>
            <w:gridSpan w:val="2"/>
            <w:tcBorders>
              <w:top w:val="nil"/>
              <w:left w:val="nil"/>
              <w:bottom w:val="nil"/>
              <w:right w:val="nil"/>
            </w:tcBorders>
          </w:tcPr>
          <w:p w14:paraId="0BB74752" w14:textId="77777777" w:rsidR="00F57C0E" w:rsidRDefault="00F57C0E" w:rsidP="00F57C0E">
            <w:pPr>
              <w:rPr>
                <w:color w:val="000000" w:themeColor="text1"/>
              </w:rPr>
            </w:pPr>
            <w:r w:rsidRPr="00FC54C2">
              <w:rPr>
                <w:color w:val="000000" w:themeColor="text1"/>
              </w:rPr>
              <w:t xml:space="preserve">With regard to underfunding, a benchmarking exercise, across the community care pathway is planned to commence in January 2018. The benchmarking exercise has been jointly commissioned by SWLStG and the South West London Clinical Commissioning Group. </w:t>
            </w:r>
            <w:r w:rsidR="00173237" w:rsidRPr="00FC54C2">
              <w:rPr>
                <w:color w:val="000000" w:themeColor="text1"/>
              </w:rPr>
              <w:t>In addition to identifying funding gaps, t</w:t>
            </w:r>
            <w:r w:rsidRPr="00FC54C2">
              <w:rPr>
                <w:color w:val="000000" w:themeColor="text1"/>
              </w:rPr>
              <w:t>he findings of this exercise will be used to inform commissioning requests at subsequent business planning rounds.</w:t>
            </w:r>
          </w:p>
          <w:p w14:paraId="413EA344" w14:textId="3B83E9B2" w:rsidR="003C17F0" w:rsidRPr="00FC54C2" w:rsidRDefault="003C17F0" w:rsidP="00F57C0E">
            <w:pPr>
              <w:rPr>
                <w:color w:val="000000" w:themeColor="text1"/>
              </w:rPr>
            </w:pPr>
          </w:p>
        </w:tc>
      </w:tr>
      <w:tr w:rsidR="00F9110C" w14:paraId="4727C5E9" w14:textId="77777777" w:rsidTr="00CE7B22">
        <w:trPr>
          <w:trHeight w:val="3132"/>
        </w:trPr>
        <w:tc>
          <w:tcPr>
            <w:tcW w:w="817" w:type="dxa"/>
            <w:tcBorders>
              <w:top w:val="nil"/>
              <w:left w:val="nil"/>
              <w:bottom w:val="nil"/>
              <w:right w:val="nil"/>
            </w:tcBorders>
          </w:tcPr>
          <w:p w14:paraId="14B1B524" w14:textId="77777777" w:rsidR="00F9110C" w:rsidRDefault="00F9110C" w:rsidP="00823208"/>
        </w:tc>
        <w:tc>
          <w:tcPr>
            <w:tcW w:w="851" w:type="dxa"/>
            <w:tcBorders>
              <w:top w:val="nil"/>
              <w:left w:val="nil"/>
              <w:bottom w:val="nil"/>
              <w:right w:val="nil"/>
            </w:tcBorders>
          </w:tcPr>
          <w:p w14:paraId="007EF07C" w14:textId="77777777" w:rsidR="00F9110C" w:rsidRDefault="00F9110C" w:rsidP="00823208"/>
        </w:tc>
        <w:tc>
          <w:tcPr>
            <w:tcW w:w="6848" w:type="dxa"/>
            <w:gridSpan w:val="2"/>
            <w:tcBorders>
              <w:top w:val="nil"/>
              <w:left w:val="nil"/>
              <w:bottom w:val="nil"/>
              <w:right w:val="nil"/>
            </w:tcBorders>
          </w:tcPr>
          <w:p w14:paraId="20DC86B0" w14:textId="49E6BBC1" w:rsidR="00F9110C" w:rsidRPr="00CE7B22" w:rsidRDefault="00F61229" w:rsidP="00CE7B22">
            <w:pPr>
              <w:rPr>
                <w:color w:val="FF0000"/>
              </w:rPr>
            </w:pPr>
            <w:r>
              <w:t xml:space="preserve">In terms of support </w:t>
            </w:r>
            <w:r w:rsidR="00372C51">
              <w:t xml:space="preserve">and development </w:t>
            </w:r>
            <w:r>
              <w:t>for staff</w:t>
            </w:r>
            <w:r w:rsidR="00372C51">
              <w:t>,</w:t>
            </w:r>
            <w:r>
              <w:t xml:space="preserve"> a weekly team reflective practice group is provided and facilitated b</w:t>
            </w:r>
            <w:r w:rsidR="002B5095">
              <w:t xml:space="preserve">y a consultant psychotherapist. According to the records we had sight of, the team were 100% compliant with the supervision requirements with all team members in receipt of supervision against 69% compliance Trust-wide. </w:t>
            </w:r>
            <w:r w:rsidR="0091324D">
              <w:t>The team were 92% compliant with staff appraisal and 68.72% compliant with mandatory training.</w:t>
            </w:r>
            <w:r w:rsidR="00CE7B22">
              <w:t xml:space="preserve"> </w:t>
            </w:r>
            <w:r w:rsidR="00CE7B22" w:rsidRPr="00E86905">
              <w:t>They</w:t>
            </w:r>
            <w:r w:rsidR="0091324D" w:rsidRPr="00CE7B22">
              <w:rPr>
                <w:color w:val="FF0000"/>
              </w:rPr>
              <w:t xml:space="preserve"> </w:t>
            </w:r>
            <w:r w:rsidR="0091324D">
              <w:t>were</w:t>
            </w:r>
            <w:r w:rsidR="00372C51">
              <w:t xml:space="preserve"> 8.33% compliant with the R</w:t>
            </w:r>
            <w:r w:rsidR="0091324D">
              <w:t xml:space="preserve">ATE mandatory risk assessment training. </w:t>
            </w:r>
            <w:r w:rsidR="00CE7B22" w:rsidRPr="00E86905">
              <w:t>However, we note that this training was only made mandatory in June 2017 and that the Trust has an improvement trajectory.</w:t>
            </w:r>
          </w:p>
        </w:tc>
      </w:tr>
      <w:tr w:rsidR="00F9110C" w14:paraId="644D5EBE" w14:textId="77777777" w:rsidTr="00B94A27">
        <w:tc>
          <w:tcPr>
            <w:tcW w:w="817" w:type="dxa"/>
            <w:tcBorders>
              <w:top w:val="nil"/>
              <w:left w:val="nil"/>
              <w:bottom w:val="nil"/>
              <w:right w:val="nil"/>
            </w:tcBorders>
          </w:tcPr>
          <w:p w14:paraId="19AC388F" w14:textId="77777777" w:rsidR="00F9110C" w:rsidRDefault="00F9110C" w:rsidP="00823208"/>
        </w:tc>
        <w:tc>
          <w:tcPr>
            <w:tcW w:w="851" w:type="dxa"/>
            <w:tcBorders>
              <w:top w:val="nil"/>
              <w:left w:val="nil"/>
              <w:bottom w:val="nil"/>
              <w:right w:val="nil"/>
            </w:tcBorders>
          </w:tcPr>
          <w:p w14:paraId="7F02858F" w14:textId="77777777" w:rsidR="00F9110C" w:rsidRDefault="00F9110C" w:rsidP="00823208"/>
        </w:tc>
        <w:tc>
          <w:tcPr>
            <w:tcW w:w="6848" w:type="dxa"/>
            <w:gridSpan w:val="2"/>
            <w:tcBorders>
              <w:top w:val="nil"/>
              <w:left w:val="nil"/>
              <w:bottom w:val="nil"/>
              <w:right w:val="nil"/>
            </w:tcBorders>
          </w:tcPr>
          <w:p w14:paraId="1ECAC752" w14:textId="77777777" w:rsidR="00186172" w:rsidRDefault="00186172" w:rsidP="00823208"/>
        </w:tc>
      </w:tr>
      <w:tr w:rsidR="00F9110C" w14:paraId="69F2BBEA" w14:textId="77777777" w:rsidTr="00B94A27">
        <w:tc>
          <w:tcPr>
            <w:tcW w:w="817" w:type="dxa"/>
            <w:tcBorders>
              <w:top w:val="nil"/>
              <w:left w:val="nil"/>
              <w:bottom w:val="nil"/>
              <w:right w:val="nil"/>
            </w:tcBorders>
          </w:tcPr>
          <w:p w14:paraId="6A7C0CE9" w14:textId="77777777" w:rsidR="00F9110C" w:rsidRDefault="00F9110C" w:rsidP="00823208"/>
        </w:tc>
        <w:tc>
          <w:tcPr>
            <w:tcW w:w="851" w:type="dxa"/>
            <w:tcBorders>
              <w:top w:val="nil"/>
              <w:left w:val="nil"/>
              <w:bottom w:val="nil"/>
              <w:right w:val="nil"/>
            </w:tcBorders>
          </w:tcPr>
          <w:p w14:paraId="340833E4" w14:textId="77777777" w:rsidR="00F9110C" w:rsidRDefault="00F9110C" w:rsidP="00823208"/>
        </w:tc>
        <w:tc>
          <w:tcPr>
            <w:tcW w:w="6848" w:type="dxa"/>
            <w:gridSpan w:val="2"/>
            <w:tcBorders>
              <w:top w:val="nil"/>
              <w:left w:val="nil"/>
              <w:bottom w:val="nil"/>
              <w:right w:val="nil"/>
            </w:tcBorders>
          </w:tcPr>
          <w:p w14:paraId="39BB8539" w14:textId="7CF0563C" w:rsidR="00F9110C" w:rsidRDefault="004A33DB" w:rsidP="00A92A4B">
            <w:r>
              <w:t xml:space="preserve">Retention rates for psychologists are very high. The CMHT has </w:t>
            </w:r>
            <w:r w:rsidR="009F459D">
              <w:t xml:space="preserve">2 </w:t>
            </w:r>
            <w:r w:rsidR="0091324D">
              <w:t xml:space="preserve">psychologists </w:t>
            </w:r>
            <w:r>
              <w:t xml:space="preserve">who </w:t>
            </w:r>
            <w:r w:rsidR="0091324D">
              <w:t xml:space="preserve">are accessible and offer </w:t>
            </w:r>
            <w:r w:rsidR="00C640E5">
              <w:t xml:space="preserve">care co-ordinators </w:t>
            </w:r>
            <w:r w:rsidR="0091324D">
              <w:t xml:space="preserve">support with </w:t>
            </w:r>
            <w:r w:rsidR="0009593D">
              <w:t>service user</w:t>
            </w:r>
            <w:r w:rsidR="0091324D">
              <w:t xml:space="preserve">s </w:t>
            </w:r>
            <w:r w:rsidR="00A92A4B">
              <w:t xml:space="preserve">who have complex needs </w:t>
            </w:r>
            <w:r w:rsidR="0091324D">
              <w:t xml:space="preserve">but there is often a delay between the request </w:t>
            </w:r>
            <w:r w:rsidR="00C640E5">
              <w:t xml:space="preserve">being made </w:t>
            </w:r>
            <w:r w:rsidR="0091324D">
              <w:t xml:space="preserve">and the support being provided </w:t>
            </w:r>
            <w:r>
              <w:t xml:space="preserve">on account of psychologists’ </w:t>
            </w:r>
            <w:r w:rsidR="0091324D">
              <w:t xml:space="preserve">capacity. Due to the acute inpatient psychology resource being given up as a cost saving a number of years ago, CMHT based psychologists are required to deliver into the inpatient services for 10% of their time.  </w:t>
            </w:r>
          </w:p>
        </w:tc>
      </w:tr>
      <w:tr w:rsidR="00F9110C" w14:paraId="4D84ACC9" w14:textId="77777777" w:rsidTr="00B94A27">
        <w:tc>
          <w:tcPr>
            <w:tcW w:w="817" w:type="dxa"/>
            <w:tcBorders>
              <w:top w:val="nil"/>
              <w:left w:val="nil"/>
              <w:bottom w:val="nil"/>
              <w:right w:val="nil"/>
            </w:tcBorders>
          </w:tcPr>
          <w:p w14:paraId="116D5C5D" w14:textId="77777777" w:rsidR="00F9110C" w:rsidRDefault="00F9110C" w:rsidP="00823208"/>
        </w:tc>
        <w:tc>
          <w:tcPr>
            <w:tcW w:w="851" w:type="dxa"/>
            <w:tcBorders>
              <w:top w:val="nil"/>
              <w:left w:val="nil"/>
              <w:bottom w:val="nil"/>
              <w:right w:val="nil"/>
            </w:tcBorders>
          </w:tcPr>
          <w:p w14:paraId="2B7D25AB" w14:textId="77777777" w:rsidR="00F9110C" w:rsidRDefault="00F9110C" w:rsidP="00823208"/>
        </w:tc>
        <w:tc>
          <w:tcPr>
            <w:tcW w:w="6848" w:type="dxa"/>
            <w:gridSpan w:val="2"/>
            <w:tcBorders>
              <w:top w:val="nil"/>
              <w:left w:val="nil"/>
              <w:bottom w:val="nil"/>
              <w:right w:val="nil"/>
            </w:tcBorders>
          </w:tcPr>
          <w:p w14:paraId="7B1AC857" w14:textId="77777777" w:rsidR="00F9110C" w:rsidRDefault="00F9110C" w:rsidP="00823208"/>
        </w:tc>
      </w:tr>
      <w:tr w:rsidR="00F9110C" w14:paraId="5DCA0DB5" w14:textId="77777777" w:rsidTr="00B94A27">
        <w:tc>
          <w:tcPr>
            <w:tcW w:w="817" w:type="dxa"/>
            <w:tcBorders>
              <w:top w:val="nil"/>
              <w:left w:val="nil"/>
              <w:bottom w:val="nil"/>
              <w:right w:val="nil"/>
            </w:tcBorders>
          </w:tcPr>
          <w:p w14:paraId="1A8123B8" w14:textId="77777777" w:rsidR="00F9110C" w:rsidRDefault="00F9110C" w:rsidP="00823208"/>
        </w:tc>
        <w:tc>
          <w:tcPr>
            <w:tcW w:w="851" w:type="dxa"/>
            <w:tcBorders>
              <w:top w:val="nil"/>
              <w:left w:val="nil"/>
              <w:bottom w:val="nil"/>
              <w:right w:val="nil"/>
            </w:tcBorders>
          </w:tcPr>
          <w:p w14:paraId="6743FDB1" w14:textId="77777777" w:rsidR="00F9110C" w:rsidRDefault="00F9110C" w:rsidP="00823208"/>
        </w:tc>
        <w:tc>
          <w:tcPr>
            <w:tcW w:w="6848" w:type="dxa"/>
            <w:gridSpan w:val="2"/>
            <w:tcBorders>
              <w:top w:val="nil"/>
              <w:left w:val="nil"/>
              <w:bottom w:val="nil"/>
              <w:right w:val="nil"/>
            </w:tcBorders>
          </w:tcPr>
          <w:p w14:paraId="366863D1" w14:textId="65A25855" w:rsidR="00F9110C" w:rsidRPr="00C640E5" w:rsidRDefault="0091324D" w:rsidP="00C640E5">
            <w:r w:rsidRPr="00C640E5">
              <w:t>SWLS</w:t>
            </w:r>
            <w:r w:rsidR="00CD5B02" w:rsidRPr="00C640E5">
              <w:t>t</w:t>
            </w:r>
            <w:r w:rsidRPr="00C640E5">
              <w:t xml:space="preserve">G </w:t>
            </w:r>
            <w:r w:rsidR="009F27B7" w:rsidRPr="00C640E5">
              <w:t xml:space="preserve">has considerable expertise within its senior nursing </w:t>
            </w:r>
            <w:r w:rsidR="000216D6" w:rsidRPr="00C640E5">
              <w:t xml:space="preserve">team and </w:t>
            </w:r>
            <w:r w:rsidRPr="00C640E5">
              <w:t xml:space="preserve">offers excellent training </w:t>
            </w:r>
            <w:r w:rsidR="009F27B7" w:rsidRPr="00C640E5">
              <w:t xml:space="preserve">and development </w:t>
            </w:r>
            <w:r w:rsidRPr="00C640E5">
              <w:t xml:space="preserve">in partnership with Kingston University for </w:t>
            </w:r>
            <w:r w:rsidR="00372C51" w:rsidRPr="00C640E5">
              <w:t xml:space="preserve">psychosocial interventions for </w:t>
            </w:r>
            <w:r w:rsidR="004A33DB" w:rsidRPr="00C640E5">
              <w:t xml:space="preserve">working with </w:t>
            </w:r>
            <w:r w:rsidR="0009593D" w:rsidRPr="00C640E5">
              <w:t>service user</w:t>
            </w:r>
            <w:r w:rsidRPr="00C640E5">
              <w:t>s with psychosis but this is markedly under subscribed</w:t>
            </w:r>
            <w:r w:rsidR="004A33DB" w:rsidRPr="00C640E5">
              <w:t xml:space="preserve"> by care co-ordinators</w:t>
            </w:r>
            <w:r w:rsidRPr="00C640E5">
              <w:t xml:space="preserve">. </w:t>
            </w:r>
            <w:r w:rsidR="001C5DD0" w:rsidRPr="00C640E5">
              <w:t xml:space="preserve">There is good evidence for the effectiveness of psychosocial interventions for preventing relapse and improving symptom management </w:t>
            </w:r>
            <w:r w:rsidR="00EC17D7" w:rsidRPr="00C640E5">
              <w:t xml:space="preserve">and self care </w:t>
            </w:r>
            <w:r w:rsidR="001C5DD0" w:rsidRPr="00C640E5">
              <w:t xml:space="preserve">in psychosis. It is also in line with </w:t>
            </w:r>
            <w:r w:rsidR="00D418B7" w:rsidRPr="00C640E5">
              <w:t xml:space="preserve">current </w:t>
            </w:r>
            <w:r w:rsidR="001C5DD0" w:rsidRPr="00C640E5">
              <w:t xml:space="preserve">NICE guidelines for schizophrenia </w:t>
            </w:r>
            <w:r w:rsidR="00D418B7" w:rsidRPr="00C640E5">
              <w:t>and psychosis</w:t>
            </w:r>
            <w:r w:rsidR="00EC17D7" w:rsidRPr="00C640E5">
              <w:rPr>
                <w:vertAlign w:val="superscript"/>
              </w:rPr>
              <w:t xml:space="preserve"> </w:t>
            </w:r>
            <w:r w:rsidR="001C5DD0" w:rsidRPr="00C640E5">
              <w:t xml:space="preserve">and has been identified as </w:t>
            </w:r>
            <w:r w:rsidR="00D418B7" w:rsidRPr="00C640E5">
              <w:t xml:space="preserve">providing </w:t>
            </w:r>
            <w:r w:rsidR="001C5DD0" w:rsidRPr="00C640E5">
              <w:t>core tools for front line staff</w:t>
            </w:r>
            <w:r w:rsidR="00A245FB" w:rsidRPr="00C640E5">
              <w:t xml:space="preserve"> work</w:t>
            </w:r>
            <w:r w:rsidR="00C640E5">
              <w:t>ing</w:t>
            </w:r>
            <w:r w:rsidR="00A245FB" w:rsidRPr="00C640E5">
              <w:t xml:space="preserve"> </w:t>
            </w:r>
            <w:r w:rsidR="001C5DD0" w:rsidRPr="00C640E5">
              <w:t>with people diagnosed with schizophrenia</w:t>
            </w:r>
            <w:r w:rsidR="00EC17D7" w:rsidRPr="00C640E5">
              <w:t xml:space="preserve"> and psychosis</w:t>
            </w:r>
            <w:r w:rsidR="001C5DD0" w:rsidRPr="00C640E5">
              <w:t xml:space="preserve">. </w:t>
            </w:r>
          </w:p>
        </w:tc>
      </w:tr>
      <w:tr w:rsidR="00F9110C" w14:paraId="5157044B" w14:textId="77777777" w:rsidTr="00B94A27">
        <w:tc>
          <w:tcPr>
            <w:tcW w:w="817" w:type="dxa"/>
            <w:tcBorders>
              <w:top w:val="nil"/>
              <w:left w:val="nil"/>
              <w:bottom w:val="nil"/>
              <w:right w:val="nil"/>
            </w:tcBorders>
          </w:tcPr>
          <w:p w14:paraId="5A4B2619" w14:textId="77777777" w:rsidR="00F9110C" w:rsidRDefault="00F9110C" w:rsidP="00823208"/>
        </w:tc>
        <w:tc>
          <w:tcPr>
            <w:tcW w:w="851" w:type="dxa"/>
            <w:tcBorders>
              <w:top w:val="nil"/>
              <w:left w:val="nil"/>
              <w:bottom w:val="nil"/>
              <w:right w:val="nil"/>
            </w:tcBorders>
          </w:tcPr>
          <w:p w14:paraId="1001839F" w14:textId="77777777" w:rsidR="00F9110C" w:rsidRDefault="00F9110C" w:rsidP="00823208"/>
        </w:tc>
        <w:tc>
          <w:tcPr>
            <w:tcW w:w="6848" w:type="dxa"/>
            <w:gridSpan w:val="2"/>
            <w:tcBorders>
              <w:top w:val="nil"/>
              <w:left w:val="nil"/>
              <w:bottom w:val="nil"/>
              <w:right w:val="nil"/>
            </w:tcBorders>
          </w:tcPr>
          <w:p w14:paraId="25232BE0" w14:textId="77777777" w:rsidR="00F9110C" w:rsidRDefault="00F9110C" w:rsidP="00823208"/>
        </w:tc>
      </w:tr>
      <w:tr w:rsidR="00372C51" w14:paraId="173C63DD" w14:textId="77777777" w:rsidTr="00B94A27">
        <w:tc>
          <w:tcPr>
            <w:tcW w:w="817" w:type="dxa"/>
            <w:tcBorders>
              <w:top w:val="nil"/>
              <w:left w:val="nil"/>
              <w:bottom w:val="nil"/>
              <w:right w:val="nil"/>
            </w:tcBorders>
          </w:tcPr>
          <w:p w14:paraId="0D9F256A" w14:textId="77777777" w:rsidR="00372C51" w:rsidRDefault="00372C51" w:rsidP="00823208"/>
        </w:tc>
        <w:tc>
          <w:tcPr>
            <w:tcW w:w="851" w:type="dxa"/>
            <w:tcBorders>
              <w:top w:val="nil"/>
              <w:left w:val="nil"/>
              <w:bottom w:val="nil"/>
              <w:right w:val="nil"/>
            </w:tcBorders>
          </w:tcPr>
          <w:p w14:paraId="2D6B0796" w14:textId="77777777" w:rsidR="00372C51" w:rsidRDefault="00372C51" w:rsidP="00823208"/>
        </w:tc>
        <w:tc>
          <w:tcPr>
            <w:tcW w:w="6848" w:type="dxa"/>
            <w:gridSpan w:val="2"/>
            <w:tcBorders>
              <w:top w:val="nil"/>
              <w:left w:val="nil"/>
              <w:bottom w:val="nil"/>
              <w:right w:val="nil"/>
            </w:tcBorders>
          </w:tcPr>
          <w:p w14:paraId="7E0EC22E" w14:textId="20239D08" w:rsidR="00372C51" w:rsidRDefault="00372C51" w:rsidP="003128B2">
            <w:r>
              <w:t xml:space="preserve">Care co-ordinators who have been invested in </w:t>
            </w:r>
            <w:r w:rsidR="001C5DD0">
              <w:t xml:space="preserve">with regard to training to provide </w:t>
            </w:r>
            <w:r>
              <w:t>psychosocial interventions and dual diagnosis training tend to move on in keeping with the high staff turnover. Therefore when investment in skills development within teams has taken place, it tends not to have been sustained</w:t>
            </w:r>
            <w:r w:rsidR="001C5DD0">
              <w:t xml:space="preserve"> but rather </w:t>
            </w:r>
            <w:r w:rsidR="00C640E5">
              <w:t xml:space="preserve">to </w:t>
            </w:r>
            <w:r w:rsidR="001C5DD0">
              <w:t xml:space="preserve">have been </w:t>
            </w:r>
            <w:r w:rsidR="00D418B7">
              <w:t xml:space="preserve">lost to </w:t>
            </w:r>
            <w:r w:rsidR="001C5DD0">
              <w:t>the organisation</w:t>
            </w:r>
            <w:r>
              <w:t>.</w:t>
            </w:r>
          </w:p>
        </w:tc>
      </w:tr>
      <w:tr w:rsidR="001C5DD0" w14:paraId="4B2D4545" w14:textId="77777777" w:rsidTr="00B94A27">
        <w:tc>
          <w:tcPr>
            <w:tcW w:w="817" w:type="dxa"/>
            <w:tcBorders>
              <w:top w:val="nil"/>
              <w:left w:val="nil"/>
              <w:bottom w:val="nil"/>
              <w:right w:val="nil"/>
            </w:tcBorders>
          </w:tcPr>
          <w:p w14:paraId="13C65CE8" w14:textId="77777777" w:rsidR="001C5DD0" w:rsidRDefault="001C5DD0" w:rsidP="00823208"/>
        </w:tc>
        <w:tc>
          <w:tcPr>
            <w:tcW w:w="851" w:type="dxa"/>
            <w:tcBorders>
              <w:top w:val="nil"/>
              <w:left w:val="nil"/>
              <w:bottom w:val="nil"/>
              <w:right w:val="nil"/>
            </w:tcBorders>
          </w:tcPr>
          <w:p w14:paraId="3BE6DD8A" w14:textId="77777777" w:rsidR="001C5DD0" w:rsidRDefault="001C5DD0" w:rsidP="00823208"/>
        </w:tc>
        <w:tc>
          <w:tcPr>
            <w:tcW w:w="6848" w:type="dxa"/>
            <w:gridSpan w:val="2"/>
            <w:tcBorders>
              <w:top w:val="nil"/>
              <w:left w:val="nil"/>
              <w:bottom w:val="nil"/>
              <w:right w:val="nil"/>
            </w:tcBorders>
          </w:tcPr>
          <w:p w14:paraId="22CDC5E2" w14:textId="77777777" w:rsidR="001C5DD0" w:rsidRDefault="001C5DD0" w:rsidP="00372C51"/>
        </w:tc>
      </w:tr>
      <w:tr w:rsidR="001C5DD0" w14:paraId="0E3642BA" w14:textId="77777777" w:rsidTr="00B94A27">
        <w:tc>
          <w:tcPr>
            <w:tcW w:w="817" w:type="dxa"/>
            <w:tcBorders>
              <w:top w:val="nil"/>
              <w:left w:val="nil"/>
              <w:bottom w:val="nil"/>
              <w:right w:val="nil"/>
            </w:tcBorders>
          </w:tcPr>
          <w:p w14:paraId="227C9960" w14:textId="77777777" w:rsidR="001C5DD0" w:rsidRDefault="001C5DD0" w:rsidP="00823208"/>
        </w:tc>
        <w:tc>
          <w:tcPr>
            <w:tcW w:w="851" w:type="dxa"/>
            <w:tcBorders>
              <w:top w:val="nil"/>
              <w:left w:val="nil"/>
              <w:bottom w:val="nil"/>
              <w:right w:val="nil"/>
            </w:tcBorders>
          </w:tcPr>
          <w:p w14:paraId="2114A9DB" w14:textId="77777777" w:rsidR="001C5DD0" w:rsidRDefault="001C5DD0" w:rsidP="00823208"/>
        </w:tc>
        <w:tc>
          <w:tcPr>
            <w:tcW w:w="6848" w:type="dxa"/>
            <w:gridSpan w:val="2"/>
            <w:tcBorders>
              <w:top w:val="nil"/>
              <w:left w:val="nil"/>
              <w:bottom w:val="nil"/>
              <w:right w:val="nil"/>
            </w:tcBorders>
          </w:tcPr>
          <w:p w14:paraId="30C4EFF4" w14:textId="1D72BB5E" w:rsidR="001C5DD0" w:rsidRDefault="001C5DD0" w:rsidP="001C5DD0">
            <w:r>
              <w:t>Reasons for the undersubscribing of important staff development include a predominately medically driven model of care delivery and a tendency for care co-ordinators to fall into adopting a reactive approach to their work. The long term consequences on teams of chronic staff retention problems, large caseloads, systemic pressures brought about by austerity impacting on their role and high complexity and acuity of service users compound this picture, leading to the washout of skills from the organisation.</w:t>
            </w:r>
          </w:p>
        </w:tc>
      </w:tr>
      <w:tr w:rsidR="00F82C10" w14:paraId="4FD418B7" w14:textId="77777777" w:rsidTr="00B94A27">
        <w:tc>
          <w:tcPr>
            <w:tcW w:w="817" w:type="dxa"/>
            <w:tcBorders>
              <w:top w:val="nil"/>
              <w:left w:val="nil"/>
              <w:bottom w:val="nil"/>
              <w:right w:val="nil"/>
            </w:tcBorders>
          </w:tcPr>
          <w:p w14:paraId="3048BACD" w14:textId="77777777" w:rsidR="00F82C10" w:rsidRDefault="00F82C10" w:rsidP="00823208"/>
        </w:tc>
        <w:tc>
          <w:tcPr>
            <w:tcW w:w="851" w:type="dxa"/>
            <w:tcBorders>
              <w:top w:val="nil"/>
              <w:left w:val="nil"/>
              <w:bottom w:val="nil"/>
              <w:right w:val="nil"/>
            </w:tcBorders>
          </w:tcPr>
          <w:p w14:paraId="713320DD" w14:textId="77777777" w:rsidR="00F82C10" w:rsidRDefault="00F82C10" w:rsidP="00823208"/>
        </w:tc>
        <w:tc>
          <w:tcPr>
            <w:tcW w:w="6848" w:type="dxa"/>
            <w:gridSpan w:val="2"/>
            <w:tcBorders>
              <w:top w:val="nil"/>
              <w:left w:val="nil"/>
              <w:bottom w:val="nil"/>
              <w:right w:val="nil"/>
            </w:tcBorders>
          </w:tcPr>
          <w:p w14:paraId="5180A8AF" w14:textId="77777777" w:rsidR="00F82C10" w:rsidRDefault="00F82C10" w:rsidP="001C5DD0"/>
        </w:tc>
      </w:tr>
      <w:tr w:rsidR="00E650D6" w14:paraId="112FB6F7" w14:textId="77777777" w:rsidTr="00B94A27">
        <w:tc>
          <w:tcPr>
            <w:tcW w:w="817" w:type="dxa"/>
            <w:tcBorders>
              <w:top w:val="nil"/>
              <w:left w:val="nil"/>
              <w:bottom w:val="nil"/>
              <w:right w:val="nil"/>
            </w:tcBorders>
          </w:tcPr>
          <w:p w14:paraId="6F084C55" w14:textId="77777777" w:rsidR="00E650D6" w:rsidRDefault="00E650D6" w:rsidP="00823208"/>
        </w:tc>
        <w:tc>
          <w:tcPr>
            <w:tcW w:w="851" w:type="dxa"/>
            <w:tcBorders>
              <w:top w:val="nil"/>
              <w:left w:val="nil"/>
              <w:bottom w:val="nil"/>
              <w:right w:val="nil"/>
            </w:tcBorders>
          </w:tcPr>
          <w:p w14:paraId="2C6557CF" w14:textId="77777777" w:rsidR="00E650D6" w:rsidRDefault="00E650D6" w:rsidP="00823208"/>
        </w:tc>
        <w:tc>
          <w:tcPr>
            <w:tcW w:w="6848" w:type="dxa"/>
            <w:gridSpan w:val="2"/>
            <w:tcBorders>
              <w:top w:val="nil"/>
              <w:left w:val="nil"/>
              <w:bottom w:val="nil"/>
              <w:right w:val="nil"/>
            </w:tcBorders>
          </w:tcPr>
          <w:p w14:paraId="46E66EA6" w14:textId="4182419F" w:rsidR="00E650D6" w:rsidRPr="00D13129" w:rsidRDefault="00E650D6" w:rsidP="002E76D9">
            <w:r w:rsidRPr="00D13129">
              <w:t xml:space="preserve">Service users </w:t>
            </w:r>
            <w:r w:rsidR="002E76D9" w:rsidRPr="00D13129">
              <w:t xml:space="preserve">and carers </w:t>
            </w:r>
            <w:r w:rsidRPr="00D13129">
              <w:t xml:space="preserve">we spoke to </w:t>
            </w:r>
            <w:r w:rsidR="004A33DB" w:rsidRPr="00D13129">
              <w:t>described a fragmented</w:t>
            </w:r>
            <w:r w:rsidR="002E76D9" w:rsidRPr="00D13129">
              <w:t xml:space="preserve"> experience. Although examples of positive experiences with care co-ordinators were described, they found these to be few and far between and short lived. A constant turnover of staff was described which negatively impacted their experiences of care.  S</w:t>
            </w:r>
            <w:r w:rsidR="003128B2" w:rsidRPr="00D13129">
              <w:t xml:space="preserve">ervice users and carers have </w:t>
            </w:r>
            <w:r w:rsidR="002E76D9" w:rsidRPr="00D13129">
              <w:t>come to associate staff changes with imminent discharge with little or no follow up.</w:t>
            </w:r>
          </w:p>
        </w:tc>
      </w:tr>
      <w:tr w:rsidR="00E650D6" w14:paraId="28478372" w14:textId="77777777" w:rsidTr="00B94A27">
        <w:tc>
          <w:tcPr>
            <w:tcW w:w="817" w:type="dxa"/>
            <w:tcBorders>
              <w:top w:val="nil"/>
              <w:left w:val="nil"/>
              <w:bottom w:val="nil"/>
              <w:right w:val="nil"/>
            </w:tcBorders>
          </w:tcPr>
          <w:p w14:paraId="426E8E7C" w14:textId="77777777" w:rsidR="00E650D6" w:rsidRDefault="00E650D6" w:rsidP="00823208"/>
        </w:tc>
        <w:tc>
          <w:tcPr>
            <w:tcW w:w="851" w:type="dxa"/>
            <w:tcBorders>
              <w:top w:val="nil"/>
              <w:left w:val="nil"/>
              <w:bottom w:val="nil"/>
              <w:right w:val="nil"/>
            </w:tcBorders>
          </w:tcPr>
          <w:p w14:paraId="265CFBBF" w14:textId="77777777" w:rsidR="00E650D6" w:rsidRDefault="00E650D6" w:rsidP="00823208"/>
        </w:tc>
        <w:tc>
          <w:tcPr>
            <w:tcW w:w="6848" w:type="dxa"/>
            <w:gridSpan w:val="2"/>
            <w:tcBorders>
              <w:top w:val="nil"/>
              <w:left w:val="nil"/>
              <w:bottom w:val="nil"/>
              <w:right w:val="nil"/>
            </w:tcBorders>
          </w:tcPr>
          <w:p w14:paraId="583299EA" w14:textId="77777777" w:rsidR="00A245FB" w:rsidRDefault="00A245FB" w:rsidP="00823208"/>
        </w:tc>
      </w:tr>
      <w:tr w:rsidR="00D13129" w14:paraId="0296E4E3" w14:textId="77777777" w:rsidTr="00B94A27">
        <w:tc>
          <w:tcPr>
            <w:tcW w:w="817" w:type="dxa"/>
            <w:tcBorders>
              <w:top w:val="nil"/>
              <w:left w:val="nil"/>
              <w:bottom w:val="nil"/>
              <w:right w:val="nil"/>
            </w:tcBorders>
          </w:tcPr>
          <w:p w14:paraId="0769FFC5" w14:textId="77777777" w:rsidR="00D13129" w:rsidRDefault="00D13129" w:rsidP="00823208"/>
        </w:tc>
        <w:tc>
          <w:tcPr>
            <w:tcW w:w="851" w:type="dxa"/>
            <w:tcBorders>
              <w:top w:val="nil"/>
              <w:left w:val="nil"/>
              <w:bottom w:val="nil"/>
              <w:right w:val="nil"/>
            </w:tcBorders>
          </w:tcPr>
          <w:p w14:paraId="0885D90C" w14:textId="77777777" w:rsidR="00D13129" w:rsidRDefault="00D13129" w:rsidP="00823208"/>
        </w:tc>
        <w:tc>
          <w:tcPr>
            <w:tcW w:w="6848" w:type="dxa"/>
            <w:gridSpan w:val="2"/>
            <w:tcBorders>
              <w:top w:val="nil"/>
              <w:left w:val="nil"/>
              <w:bottom w:val="nil"/>
              <w:right w:val="nil"/>
            </w:tcBorders>
          </w:tcPr>
          <w:p w14:paraId="6B1B2DC3" w14:textId="77777777" w:rsidR="00D13129" w:rsidRPr="00FC54C2" w:rsidRDefault="00D13129" w:rsidP="00D13129">
            <w:pPr>
              <w:rPr>
                <w:color w:val="000000" w:themeColor="text1"/>
              </w:rPr>
            </w:pPr>
            <w:r w:rsidRPr="00FC54C2">
              <w:rPr>
                <w:color w:val="000000" w:themeColor="text1"/>
              </w:rPr>
              <w:t>We found a number of inter related factors to be associated with high turnover of staff. These were:</w:t>
            </w:r>
          </w:p>
          <w:p w14:paraId="1F238CBA" w14:textId="4DA0CE78" w:rsidR="00D13129" w:rsidRPr="00FC54C2" w:rsidRDefault="00D13129" w:rsidP="00D13129">
            <w:pPr>
              <w:pStyle w:val="ListParagraph"/>
              <w:numPr>
                <w:ilvl w:val="0"/>
                <w:numId w:val="15"/>
              </w:numPr>
              <w:rPr>
                <w:color w:val="000000" w:themeColor="text1"/>
              </w:rPr>
            </w:pPr>
            <w:r w:rsidRPr="00FC54C2">
              <w:rPr>
                <w:color w:val="000000" w:themeColor="text1"/>
              </w:rPr>
              <w:t xml:space="preserve">A high level of strain in the care co-ordinator role </w:t>
            </w:r>
          </w:p>
          <w:p w14:paraId="62628789" w14:textId="229E2196" w:rsidR="00D13129" w:rsidRPr="00FC54C2" w:rsidRDefault="00D13129" w:rsidP="00D13129">
            <w:pPr>
              <w:pStyle w:val="ListParagraph"/>
              <w:numPr>
                <w:ilvl w:val="0"/>
                <w:numId w:val="14"/>
              </w:numPr>
              <w:rPr>
                <w:color w:val="000000" w:themeColor="text1"/>
              </w:rPr>
            </w:pPr>
            <w:r w:rsidRPr="00FC54C2">
              <w:rPr>
                <w:color w:val="000000" w:themeColor="text1"/>
              </w:rPr>
              <w:t>A national shortage of mental health nurses</w:t>
            </w:r>
          </w:p>
          <w:p w14:paraId="78F67526" w14:textId="77777777" w:rsidR="00D13129" w:rsidRPr="00FC54C2" w:rsidRDefault="00D13129" w:rsidP="00D13129">
            <w:pPr>
              <w:pStyle w:val="ListParagraph"/>
              <w:numPr>
                <w:ilvl w:val="0"/>
                <w:numId w:val="5"/>
              </w:numPr>
              <w:rPr>
                <w:color w:val="000000" w:themeColor="text1"/>
              </w:rPr>
            </w:pPr>
            <w:r w:rsidRPr="00FC54C2">
              <w:rPr>
                <w:color w:val="000000" w:themeColor="text1"/>
              </w:rPr>
              <w:t>Small pool of talent and high levels of competition between London Trusts</w:t>
            </w:r>
          </w:p>
          <w:p w14:paraId="6D3E26E4" w14:textId="77777777" w:rsidR="00D13129" w:rsidRPr="00FC54C2" w:rsidRDefault="00D13129" w:rsidP="00D13129">
            <w:pPr>
              <w:pStyle w:val="ListParagraph"/>
              <w:numPr>
                <w:ilvl w:val="0"/>
                <w:numId w:val="5"/>
              </w:numPr>
              <w:rPr>
                <w:color w:val="000000" w:themeColor="text1"/>
              </w:rPr>
            </w:pPr>
            <w:r w:rsidRPr="00FC54C2">
              <w:rPr>
                <w:color w:val="000000" w:themeColor="text1"/>
              </w:rPr>
              <w:t>Care co-ordination in generic CMHTs becoming less popular in the light of speciality areas coming on stream</w:t>
            </w:r>
          </w:p>
          <w:p w14:paraId="0466F1C4" w14:textId="77777777" w:rsidR="00D13129" w:rsidRPr="00FC54C2" w:rsidRDefault="00D13129" w:rsidP="00D13129">
            <w:pPr>
              <w:pStyle w:val="ListParagraph"/>
              <w:numPr>
                <w:ilvl w:val="0"/>
                <w:numId w:val="5"/>
              </w:numPr>
              <w:rPr>
                <w:color w:val="000000" w:themeColor="text1"/>
              </w:rPr>
            </w:pPr>
            <w:r w:rsidRPr="00FC54C2">
              <w:rPr>
                <w:color w:val="000000" w:themeColor="text1"/>
              </w:rPr>
              <w:t>The impact of chronic, repeated organisational change</w:t>
            </w:r>
          </w:p>
          <w:p w14:paraId="11E468D8" w14:textId="3BD12AA0" w:rsidR="00D13129" w:rsidRDefault="00D13129" w:rsidP="00D13129">
            <w:r w:rsidRPr="00FC54C2">
              <w:rPr>
                <w:color w:val="000000" w:themeColor="text1"/>
              </w:rPr>
              <w:t>For further details of strain in this role</w:t>
            </w:r>
            <w:r w:rsidR="00433BB1" w:rsidRPr="00FC54C2">
              <w:rPr>
                <w:color w:val="000000" w:themeColor="text1"/>
              </w:rPr>
              <w:t>, please see Page 31</w:t>
            </w:r>
            <w:r w:rsidRPr="00FC54C2">
              <w:rPr>
                <w:color w:val="000000" w:themeColor="text1"/>
              </w:rPr>
              <w:t>, 2</w:t>
            </w:r>
            <w:r w:rsidRPr="00FC54C2">
              <w:rPr>
                <w:color w:val="000000" w:themeColor="text1"/>
                <w:vertAlign w:val="superscript"/>
              </w:rPr>
              <w:t>nd</w:t>
            </w:r>
            <w:r w:rsidRPr="00FC54C2">
              <w:rPr>
                <w:color w:val="000000" w:themeColor="text1"/>
              </w:rPr>
              <w:t xml:space="preserve"> paragraph in this report.</w:t>
            </w:r>
          </w:p>
        </w:tc>
      </w:tr>
      <w:tr w:rsidR="00D13129" w14:paraId="1DB0F184" w14:textId="77777777" w:rsidTr="00B94A27">
        <w:tc>
          <w:tcPr>
            <w:tcW w:w="817" w:type="dxa"/>
            <w:tcBorders>
              <w:top w:val="nil"/>
              <w:left w:val="nil"/>
              <w:bottom w:val="nil"/>
              <w:right w:val="nil"/>
            </w:tcBorders>
          </w:tcPr>
          <w:p w14:paraId="2199E784" w14:textId="31DA6D53" w:rsidR="00D13129" w:rsidRDefault="00D13129" w:rsidP="00823208"/>
        </w:tc>
        <w:tc>
          <w:tcPr>
            <w:tcW w:w="851" w:type="dxa"/>
            <w:tcBorders>
              <w:top w:val="nil"/>
              <w:left w:val="nil"/>
              <w:bottom w:val="nil"/>
              <w:right w:val="nil"/>
            </w:tcBorders>
          </w:tcPr>
          <w:p w14:paraId="285376B1" w14:textId="77777777" w:rsidR="00D13129" w:rsidRDefault="00D13129" w:rsidP="00823208"/>
        </w:tc>
        <w:tc>
          <w:tcPr>
            <w:tcW w:w="6848" w:type="dxa"/>
            <w:gridSpan w:val="2"/>
            <w:tcBorders>
              <w:top w:val="nil"/>
              <w:left w:val="nil"/>
              <w:bottom w:val="nil"/>
              <w:right w:val="nil"/>
            </w:tcBorders>
          </w:tcPr>
          <w:p w14:paraId="24FD1F92" w14:textId="77777777" w:rsidR="00D13129" w:rsidRDefault="00D13129" w:rsidP="00823208"/>
        </w:tc>
      </w:tr>
      <w:tr w:rsidR="00840F0D" w14:paraId="231107E7" w14:textId="77777777" w:rsidTr="00B94A27">
        <w:tc>
          <w:tcPr>
            <w:tcW w:w="817" w:type="dxa"/>
            <w:tcBorders>
              <w:top w:val="nil"/>
              <w:left w:val="nil"/>
              <w:bottom w:val="nil"/>
              <w:right w:val="nil"/>
            </w:tcBorders>
          </w:tcPr>
          <w:p w14:paraId="1F39030D" w14:textId="77777777" w:rsidR="00840F0D" w:rsidRDefault="00840F0D" w:rsidP="00823208"/>
        </w:tc>
        <w:tc>
          <w:tcPr>
            <w:tcW w:w="851" w:type="dxa"/>
            <w:tcBorders>
              <w:top w:val="nil"/>
              <w:left w:val="nil"/>
              <w:bottom w:val="nil"/>
              <w:right w:val="nil"/>
            </w:tcBorders>
          </w:tcPr>
          <w:p w14:paraId="6936BC86" w14:textId="77777777" w:rsidR="00840F0D" w:rsidRDefault="00840F0D" w:rsidP="00823208"/>
        </w:tc>
        <w:tc>
          <w:tcPr>
            <w:tcW w:w="850" w:type="dxa"/>
            <w:tcBorders>
              <w:top w:val="nil"/>
              <w:left w:val="nil"/>
              <w:bottom w:val="nil"/>
              <w:right w:val="nil"/>
            </w:tcBorders>
          </w:tcPr>
          <w:p w14:paraId="6EDAC50C" w14:textId="59C6467C" w:rsidR="00840F0D" w:rsidRPr="00840F0D" w:rsidRDefault="00840F0D" w:rsidP="00823208">
            <w:pPr>
              <w:rPr>
                <w:b/>
                <w:color w:val="4F6228" w:themeColor="accent3" w:themeShade="80"/>
              </w:rPr>
            </w:pPr>
            <w:r w:rsidRPr="00840F0D">
              <w:rPr>
                <w:b/>
                <w:color w:val="4F6228" w:themeColor="accent3" w:themeShade="80"/>
              </w:rPr>
              <w:t>2.6.4</w:t>
            </w:r>
          </w:p>
        </w:tc>
        <w:tc>
          <w:tcPr>
            <w:tcW w:w="5998" w:type="dxa"/>
            <w:tcBorders>
              <w:top w:val="nil"/>
              <w:left w:val="nil"/>
              <w:bottom w:val="nil"/>
              <w:right w:val="nil"/>
            </w:tcBorders>
          </w:tcPr>
          <w:p w14:paraId="73EB405C" w14:textId="07CD2596" w:rsidR="00840F0D" w:rsidRPr="00840F0D" w:rsidRDefault="00CF1919" w:rsidP="00823208">
            <w:pPr>
              <w:rPr>
                <w:b/>
                <w:color w:val="4F6228" w:themeColor="accent3" w:themeShade="80"/>
              </w:rPr>
            </w:pPr>
            <w:r>
              <w:rPr>
                <w:b/>
                <w:color w:val="4F6228" w:themeColor="accent3" w:themeShade="80"/>
              </w:rPr>
              <w:t>U</w:t>
            </w:r>
            <w:r w:rsidR="00840F0D" w:rsidRPr="00840F0D">
              <w:rPr>
                <w:b/>
                <w:color w:val="4F6228" w:themeColor="accent3" w:themeShade="80"/>
              </w:rPr>
              <w:t>nderstand the mental health of Mr R at the time of the incident. This is in relation to the Trust internal report which concludes</w:t>
            </w:r>
            <w:r w:rsidR="00840F0D">
              <w:rPr>
                <w:b/>
                <w:color w:val="4F6228" w:themeColor="accent3" w:themeShade="80"/>
              </w:rPr>
              <w:t xml:space="preserve"> there were no concerns about Mr R</w:t>
            </w:r>
            <w:r w:rsidR="00840F0D" w:rsidRPr="00840F0D">
              <w:rPr>
                <w:b/>
                <w:color w:val="4F6228" w:themeColor="accent3" w:themeShade="80"/>
              </w:rPr>
              <w:t xml:space="preserve">’s mental health and the DHR report which highlights an extract from the court papers stating that Mr R was </w:t>
            </w:r>
            <w:r w:rsidR="00840F0D" w:rsidRPr="00353C62">
              <w:rPr>
                <w:b/>
                <w:i/>
                <w:color w:val="4F6228" w:themeColor="accent3" w:themeShade="80"/>
              </w:rPr>
              <w:t>“at the time extremely</w:t>
            </w:r>
            <w:r w:rsidR="00353C62">
              <w:rPr>
                <w:b/>
                <w:i/>
                <w:color w:val="4F6228" w:themeColor="accent3" w:themeShade="80"/>
              </w:rPr>
              <w:t xml:space="preserve"> ill</w:t>
            </w:r>
            <w:r w:rsidR="00840F0D" w:rsidRPr="00353C62">
              <w:rPr>
                <w:b/>
                <w:i/>
                <w:color w:val="4F6228" w:themeColor="accent3" w:themeShade="80"/>
              </w:rPr>
              <w:t>”</w:t>
            </w:r>
          </w:p>
        </w:tc>
      </w:tr>
      <w:tr w:rsidR="009D350F" w14:paraId="2DE5CE4D" w14:textId="77777777" w:rsidTr="00B94A27">
        <w:tc>
          <w:tcPr>
            <w:tcW w:w="817" w:type="dxa"/>
            <w:tcBorders>
              <w:top w:val="nil"/>
              <w:left w:val="nil"/>
              <w:bottom w:val="nil"/>
              <w:right w:val="nil"/>
            </w:tcBorders>
          </w:tcPr>
          <w:p w14:paraId="07A930D7" w14:textId="77777777" w:rsidR="009D350F" w:rsidRDefault="009D350F" w:rsidP="00823208"/>
        </w:tc>
        <w:tc>
          <w:tcPr>
            <w:tcW w:w="851" w:type="dxa"/>
            <w:tcBorders>
              <w:top w:val="nil"/>
              <w:left w:val="nil"/>
              <w:bottom w:val="nil"/>
              <w:right w:val="nil"/>
            </w:tcBorders>
          </w:tcPr>
          <w:p w14:paraId="00C35B49" w14:textId="77777777" w:rsidR="009D350F" w:rsidRDefault="009D350F" w:rsidP="00823208"/>
        </w:tc>
        <w:tc>
          <w:tcPr>
            <w:tcW w:w="6848" w:type="dxa"/>
            <w:gridSpan w:val="2"/>
            <w:tcBorders>
              <w:top w:val="nil"/>
              <w:left w:val="nil"/>
              <w:bottom w:val="nil"/>
              <w:right w:val="nil"/>
            </w:tcBorders>
          </w:tcPr>
          <w:p w14:paraId="6191B551" w14:textId="77777777" w:rsidR="009D350F" w:rsidRDefault="009D350F" w:rsidP="00823208"/>
        </w:tc>
      </w:tr>
      <w:tr w:rsidR="00840F0D" w14:paraId="5B4D7A5D" w14:textId="77777777" w:rsidTr="00B94A27">
        <w:tc>
          <w:tcPr>
            <w:tcW w:w="817" w:type="dxa"/>
            <w:tcBorders>
              <w:top w:val="nil"/>
              <w:left w:val="nil"/>
              <w:bottom w:val="nil"/>
              <w:right w:val="nil"/>
            </w:tcBorders>
          </w:tcPr>
          <w:p w14:paraId="5601F847" w14:textId="77777777" w:rsidR="00840F0D" w:rsidRDefault="00840F0D" w:rsidP="00840F0D"/>
        </w:tc>
        <w:tc>
          <w:tcPr>
            <w:tcW w:w="851" w:type="dxa"/>
            <w:tcBorders>
              <w:top w:val="nil"/>
              <w:left w:val="nil"/>
              <w:bottom w:val="nil"/>
              <w:right w:val="nil"/>
            </w:tcBorders>
          </w:tcPr>
          <w:p w14:paraId="249E8F44" w14:textId="77777777" w:rsidR="00840F0D" w:rsidRDefault="00840F0D" w:rsidP="00840F0D"/>
        </w:tc>
        <w:tc>
          <w:tcPr>
            <w:tcW w:w="6848" w:type="dxa"/>
            <w:gridSpan w:val="2"/>
            <w:tcBorders>
              <w:top w:val="nil"/>
              <w:left w:val="nil"/>
              <w:bottom w:val="nil"/>
              <w:right w:val="nil"/>
            </w:tcBorders>
          </w:tcPr>
          <w:p w14:paraId="71EAE483" w14:textId="29BE63C8" w:rsidR="00840F0D" w:rsidRDefault="002E76D9" w:rsidP="00433BB1">
            <w:r>
              <w:t>T</w:t>
            </w:r>
            <w:r w:rsidR="00840F0D">
              <w:t xml:space="preserve">he fragile control of Mr R’s psychosis achieved by medication, the difficulty in assessing his mental state and the rapidity of his relapse explain the difference in the opinions relating to his mental state at the time of the homicide. No symptoms of the imminent relapse were apparent to his usual care team in the days prior to the homicide. After the homicide the first psychiatric assessor found him to be fit for interview. However, prison staff had already noticed that his behaviour was of concern and he rapidly became sufficiently disturbed to necessitate special precautions by the prison staff when unlocking his cell. He was extremely unwell on admission to the </w:t>
            </w:r>
            <w:r w:rsidR="00433BB1">
              <w:t xml:space="preserve">MSU </w:t>
            </w:r>
            <w:r w:rsidR="00840F0D">
              <w:t>later in January 2013. His own account some weeks later confirmed that he was psychotically ill when he killed his mother.</w:t>
            </w:r>
          </w:p>
        </w:tc>
      </w:tr>
      <w:tr w:rsidR="00840F0D" w14:paraId="09E0B05F" w14:textId="77777777" w:rsidTr="00B94A27">
        <w:tc>
          <w:tcPr>
            <w:tcW w:w="817" w:type="dxa"/>
            <w:tcBorders>
              <w:top w:val="nil"/>
              <w:left w:val="nil"/>
              <w:bottom w:val="nil"/>
              <w:right w:val="nil"/>
            </w:tcBorders>
          </w:tcPr>
          <w:p w14:paraId="102977F1" w14:textId="77777777" w:rsidR="00840F0D" w:rsidRDefault="00840F0D" w:rsidP="00840F0D"/>
        </w:tc>
        <w:tc>
          <w:tcPr>
            <w:tcW w:w="851" w:type="dxa"/>
            <w:tcBorders>
              <w:top w:val="nil"/>
              <w:left w:val="nil"/>
              <w:bottom w:val="nil"/>
              <w:right w:val="nil"/>
            </w:tcBorders>
          </w:tcPr>
          <w:p w14:paraId="21EB073C" w14:textId="77777777" w:rsidR="00840F0D" w:rsidRDefault="00840F0D" w:rsidP="00840F0D"/>
        </w:tc>
        <w:tc>
          <w:tcPr>
            <w:tcW w:w="6848" w:type="dxa"/>
            <w:gridSpan w:val="2"/>
            <w:tcBorders>
              <w:top w:val="nil"/>
              <w:left w:val="nil"/>
              <w:bottom w:val="nil"/>
              <w:right w:val="nil"/>
            </w:tcBorders>
          </w:tcPr>
          <w:p w14:paraId="5081427E" w14:textId="77777777" w:rsidR="00840F0D" w:rsidRDefault="00840F0D" w:rsidP="00840F0D"/>
        </w:tc>
      </w:tr>
      <w:tr w:rsidR="00CF1919" w14:paraId="6EA13DAA" w14:textId="77777777" w:rsidTr="00B94A27">
        <w:tc>
          <w:tcPr>
            <w:tcW w:w="817" w:type="dxa"/>
            <w:tcBorders>
              <w:top w:val="nil"/>
              <w:left w:val="nil"/>
              <w:bottom w:val="nil"/>
              <w:right w:val="nil"/>
            </w:tcBorders>
          </w:tcPr>
          <w:p w14:paraId="03FFDB0C" w14:textId="77777777" w:rsidR="00CF1919" w:rsidRDefault="00CF1919" w:rsidP="00840F0D"/>
        </w:tc>
        <w:tc>
          <w:tcPr>
            <w:tcW w:w="851" w:type="dxa"/>
            <w:tcBorders>
              <w:top w:val="nil"/>
              <w:left w:val="nil"/>
              <w:bottom w:val="nil"/>
              <w:right w:val="nil"/>
            </w:tcBorders>
          </w:tcPr>
          <w:p w14:paraId="098317E8" w14:textId="77777777" w:rsidR="00CF1919" w:rsidRDefault="00CF1919" w:rsidP="00840F0D"/>
        </w:tc>
        <w:tc>
          <w:tcPr>
            <w:tcW w:w="850" w:type="dxa"/>
            <w:tcBorders>
              <w:top w:val="nil"/>
              <w:left w:val="nil"/>
              <w:bottom w:val="nil"/>
              <w:right w:val="nil"/>
            </w:tcBorders>
          </w:tcPr>
          <w:p w14:paraId="6E06DBE6" w14:textId="5AEA42D9" w:rsidR="00CF1919" w:rsidRPr="00AA3FFB" w:rsidRDefault="00CF1919" w:rsidP="00840F0D">
            <w:pPr>
              <w:rPr>
                <w:b/>
                <w:color w:val="4F6228" w:themeColor="accent3" w:themeShade="80"/>
              </w:rPr>
            </w:pPr>
            <w:r w:rsidRPr="00AA3FFB">
              <w:rPr>
                <w:b/>
                <w:color w:val="4F6228" w:themeColor="accent3" w:themeShade="80"/>
              </w:rPr>
              <w:t>2.6.5.</w:t>
            </w:r>
          </w:p>
        </w:tc>
        <w:tc>
          <w:tcPr>
            <w:tcW w:w="5998" w:type="dxa"/>
            <w:tcBorders>
              <w:top w:val="nil"/>
              <w:left w:val="nil"/>
              <w:bottom w:val="nil"/>
              <w:right w:val="nil"/>
            </w:tcBorders>
          </w:tcPr>
          <w:p w14:paraId="0538C9C5" w14:textId="5B5E3F30" w:rsidR="00CF1919" w:rsidRPr="00AA3FFB" w:rsidRDefault="00CF1919" w:rsidP="00840F0D">
            <w:pPr>
              <w:rPr>
                <w:b/>
                <w:color w:val="4F6228" w:themeColor="accent3" w:themeShade="80"/>
              </w:rPr>
            </w:pPr>
            <w:r w:rsidRPr="00AA3FFB">
              <w:rPr>
                <w:b/>
                <w:color w:val="4F6228" w:themeColor="accent3" w:themeShade="80"/>
              </w:rPr>
              <w:t>Explore what changes have been implemented to improve the joint management and support for service users between the CMHT and housing.</w:t>
            </w:r>
          </w:p>
        </w:tc>
      </w:tr>
      <w:tr w:rsidR="00840F0D" w14:paraId="48ED4B57" w14:textId="77777777" w:rsidTr="00B94A27">
        <w:tc>
          <w:tcPr>
            <w:tcW w:w="817" w:type="dxa"/>
            <w:tcBorders>
              <w:top w:val="nil"/>
              <w:left w:val="nil"/>
              <w:bottom w:val="nil"/>
              <w:right w:val="nil"/>
            </w:tcBorders>
          </w:tcPr>
          <w:p w14:paraId="6DF097B9" w14:textId="77777777" w:rsidR="00840F0D" w:rsidRDefault="00840F0D" w:rsidP="00840F0D"/>
        </w:tc>
        <w:tc>
          <w:tcPr>
            <w:tcW w:w="851" w:type="dxa"/>
            <w:tcBorders>
              <w:top w:val="nil"/>
              <w:left w:val="nil"/>
              <w:bottom w:val="nil"/>
              <w:right w:val="nil"/>
            </w:tcBorders>
          </w:tcPr>
          <w:p w14:paraId="41F97ADC" w14:textId="77777777" w:rsidR="00840F0D" w:rsidRDefault="00840F0D" w:rsidP="00840F0D"/>
        </w:tc>
        <w:tc>
          <w:tcPr>
            <w:tcW w:w="6848" w:type="dxa"/>
            <w:gridSpan w:val="2"/>
            <w:tcBorders>
              <w:top w:val="nil"/>
              <w:left w:val="nil"/>
              <w:bottom w:val="nil"/>
              <w:right w:val="nil"/>
            </w:tcBorders>
          </w:tcPr>
          <w:p w14:paraId="1AEB1E12" w14:textId="77777777" w:rsidR="00840F0D" w:rsidRDefault="00840F0D" w:rsidP="00840F0D"/>
        </w:tc>
      </w:tr>
      <w:tr w:rsidR="00840F0D" w14:paraId="124F916E" w14:textId="77777777" w:rsidTr="00B94A27">
        <w:tc>
          <w:tcPr>
            <w:tcW w:w="817" w:type="dxa"/>
            <w:tcBorders>
              <w:top w:val="nil"/>
              <w:left w:val="nil"/>
              <w:bottom w:val="nil"/>
              <w:right w:val="nil"/>
            </w:tcBorders>
          </w:tcPr>
          <w:p w14:paraId="4A7D67A4" w14:textId="77777777" w:rsidR="00840F0D" w:rsidRDefault="00840F0D" w:rsidP="00840F0D"/>
        </w:tc>
        <w:tc>
          <w:tcPr>
            <w:tcW w:w="851" w:type="dxa"/>
            <w:tcBorders>
              <w:top w:val="nil"/>
              <w:left w:val="nil"/>
              <w:bottom w:val="nil"/>
              <w:right w:val="nil"/>
            </w:tcBorders>
          </w:tcPr>
          <w:p w14:paraId="47FDEA8D" w14:textId="77777777" w:rsidR="00840F0D" w:rsidRDefault="00840F0D" w:rsidP="00840F0D"/>
        </w:tc>
        <w:tc>
          <w:tcPr>
            <w:tcW w:w="6848" w:type="dxa"/>
            <w:gridSpan w:val="2"/>
            <w:tcBorders>
              <w:top w:val="nil"/>
              <w:left w:val="nil"/>
              <w:bottom w:val="nil"/>
              <w:right w:val="nil"/>
            </w:tcBorders>
          </w:tcPr>
          <w:p w14:paraId="731BF33E" w14:textId="335EDBB6" w:rsidR="00840F0D" w:rsidRDefault="00372C51" w:rsidP="005050DF">
            <w:r>
              <w:t>Followin</w:t>
            </w:r>
            <w:r w:rsidR="00452FBA">
              <w:t>g the domestic homicide, Optiv</w:t>
            </w:r>
            <w:r w:rsidR="00CF2F76">
              <w:t>o</w:t>
            </w:r>
            <w:r>
              <w:t xml:space="preserve"> (then Vi</w:t>
            </w:r>
            <w:r w:rsidR="005050DF">
              <w:t xml:space="preserve">ridian) housing undertook an </w:t>
            </w:r>
            <w:r>
              <w:t xml:space="preserve">internal management review. </w:t>
            </w:r>
            <w:r w:rsidR="005050DF">
              <w:t>This resulted in a number of developments within the organisation</w:t>
            </w:r>
            <w:r w:rsidR="00452FBA">
              <w:t xml:space="preserve"> associated with working with risks related to vulnerable people</w:t>
            </w:r>
            <w:r w:rsidR="005050DF">
              <w:t xml:space="preserve">. Included is a focus on domestic violence and investment in staff awareness, training, development and support in this area. </w:t>
            </w:r>
          </w:p>
        </w:tc>
      </w:tr>
      <w:tr w:rsidR="00840F0D" w14:paraId="5E459446" w14:textId="77777777" w:rsidTr="00B94A27">
        <w:tc>
          <w:tcPr>
            <w:tcW w:w="817" w:type="dxa"/>
            <w:tcBorders>
              <w:top w:val="nil"/>
              <w:left w:val="nil"/>
              <w:bottom w:val="nil"/>
              <w:right w:val="nil"/>
            </w:tcBorders>
          </w:tcPr>
          <w:p w14:paraId="03F51048" w14:textId="77777777" w:rsidR="00840F0D" w:rsidRDefault="00840F0D" w:rsidP="00840F0D"/>
        </w:tc>
        <w:tc>
          <w:tcPr>
            <w:tcW w:w="851" w:type="dxa"/>
            <w:tcBorders>
              <w:top w:val="nil"/>
              <w:left w:val="nil"/>
              <w:bottom w:val="nil"/>
              <w:right w:val="nil"/>
            </w:tcBorders>
          </w:tcPr>
          <w:p w14:paraId="6B7E41F1" w14:textId="77777777" w:rsidR="00840F0D" w:rsidRDefault="00840F0D" w:rsidP="00840F0D"/>
        </w:tc>
        <w:tc>
          <w:tcPr>
            <w:tcW w:w="6848" w:type="dxa"/>
            <w:gridSpan w:val="2"/>
            <w:tcBorders>
              <w:top w:val="nil"/>
              <w:left w:val="nil"/>
              <w:bottom w:val="nil"/>
              <w:right w:val="nil"/>
            </w:tcBorders>
          </w:tcPr>
          <w:p w14:paraId="65B4A5B2" w14:textId="77777777" w:rsidR="00840F0D" w:rsidRDefault="00840F0D" w:rsidP="00840F0D"/>
        </w:tc>
      </w:tr>
      <w:tr w:rsidR="00840F0D" w14:paraId="74CD9659" w14:textId="77777777" w:rsidTr="00B94A27">
        <w:tc>
          <w:tcPr>
            <w:tcW w:w="817" w:type="dxa"/>
            <w:tcBorders>
              <w:top w:val="nil"/>
              <w:left w:val="nil"/>
              <w:bottom w:val="nil"/>
              <w:right w:val="nil"/>
            </w:tcBorders>
          </w:tcPr>
          <w:p w14:paraId="4402D3B5" w14:textId="77777777" w:rsidR="00840F0D" w:rsidRDefault="00840F0D" w:rsidP="00840F0D"/>
        </w:tc>
        <w:tc>
          <w:tcPr>
            <w:tcW w:w="851" w:type="dxa"/>
            <w:tcBorders>
              <w:top w:val="nil"/>
              <w:left w:val="nil"/>
              <w:bottom w:val="nil"/>
              <w:right w:val="nil"/>
            </w:tcBorders>
          </w:tcPr>
          <w:p w14:paraId="3B80AF94" w14:textId="77777777" w:rsidR="00840F0D" w:rsidRDefault="00840F0D" w:rsidP="00840F0D"/>
        </w:tc>
        <w:tc>
          <w:tcPr>
            <w:tcW w:w="6848" w:type="dxa"/>
            <w:gridSpan w:val="2"/>
            <w:tcBorders>
              <w:top w:val="nil"/>
              <w:left w:val="nil"/>
              <w:bottom w:val="nil"/>
              <w:right w:val="nil"/>
            </w:tcBorders>
          </w:tcPr>
          <w:p w14:paraId="52DC9F06" w14:textId="02E93DC5" w:rsidR="00840F0D" w:rsidRDefault="005050DF" w:rsidP="00840F0D">
            <w:r>
              <w:t xml:space="preserve">The internal management review also led to the implementation of an enhanced safeguarding strategy including the identification of a safeguarding lead and the introduction of mandatory safeguarding training for staff. </w:t>
            </w:r>
          </w:p>
        </w:tc>
      </w:tr>
      <w:tr w:rsidR="005050DF" w14:paraId="22206DED" w14:textId="77777777" w:rsidTr="00B94A27">
        <w:tc>
          <w:tcPr>
            <w:tcW w:w="817" w:type="dxa"/>
            <w:tcBorders>
              <w:top w:val="nil"/>
              <w:left w:val="nil"/>
              <w:bottom w:val="nil"/>
              <w:right w:val="nil"/>
            </w:tcBorders>
          </w:tcPr>
          <w:p w14:paraId="442DD746" w14:textId="77777777" w:rsidR="005050DF" w:rsidRDefault="005050DF" w:rsidP="00840F0D"/>
        </w:tc>
        <w:tc>
          <w:tcPr>
            <w:tcW w:w="851" w:type="dxa"/>
            <w:tcBorders>
              <w:top w:val="nil"/>
              <w:left w:val="nil"/>
              <w:bottom w:val="nil"/>
              <w:right w:val="nil"/>
            </w:tcBorders>
          </w:tcPr>
          <w:p w14:paraId="2DA86CE0" w14:textId="77777777" w:rsidR="005050DF" w:rsidRDefault="005050DF" w:rsidP="00840F0D"/>
        </w:tc>
        <w:tc>
          <w:tcPr>
            <w:tcW w:w="6848" w:type="dxa"/>
            <w:gridSpan w:val="2"/>
            <w:tcBorders>
              <w:top w:val="nil"/>
              <w:left w:val="nil"/>
              <w:bottom w:val="nil"/>
              <w:right w:val="nil"/>
            </w:tcBorders>
          </w:tcPr>
          <w:p w14:paraId="31659C0D" w14:textId="77777777" w:rsidR="005050DF" w:rsidRDefault="005050DF" w:rsidP="00840F0D"/>
        </w:tc>
      </w:tr>
      <w:tr w:rsidR="005050DF" w14:paraId="611C9623" w14:textId="77777777" w:rsidTr="00B94A27">
        <w:tc>
          <w:tcPr>
            <w:tcW w:w="817" w:type="dxa"/>
            <w:tcBorders>
              <w:top w:val="nil"/>
              <w:left w:val="nil"/>
              <w:bottom w:val="nil"/>
              <w:right w:val="nil"/>
            </w:tcBorders>
          </w:tcPr>
          <w:p w14:paraId="3A2135DD" w14:textId="77777777" w:rsidR="005050DF" w:rsidRDefault="005050DF" w:rsidP="00840F0D"/>
        </w:tc>
        <w:tc>
          <w:tcPr>
            <w:tcW w:w="851" w:type="dxa"/>
            <w:tcBorders>
              <w:top w:val="nil"/>
              <w:left w:val="nil"/>
              <w:bottom w:val="nil"/>
              <w:right w:val="nil"/>
            </w:tcBorders>
          </w:tcPr>
          <w:p w14:paraId="271C359B" w14:textId="77777777" w:rsidR="005050DF" w:rsidRDefault="005050DF" w:rsidP="00840F0D"/>
        </w:tc>
        <w:tc>
          <w:tcPr>
            <w:tcW w:w="6848" w:type="dxa"/>
            <w:gridSpan w:val="2"/>
            <w:tcBorders>
              <w:top w:val="nil"/>
              <w:left w:val="nil"/>
              <w:bottom w:val="nil"/>
              <w:right w:val="nil"/>
            </w:tcBorders>
          </w:tcPr>
          <w:p w14:paraId="00413861" w14:textId="1986A91F" w:rsidR="005050DF" w:rsidRDefault="005050DF" w:rsidP="00443748">
            <w:r>
              <w:t>We learnt that follo</w:t>
            </w:r>
            <w:r w:rsidR="00443748">
              <w:t xml:space="preserve">wing the publication of the DHR </w:t>
            </w:r>
            <w:r>
              <w:t xml:space="preserve">and Trust RCA for this case, there had been stronger partnership working between housing and CMHT, including meetings with a CMHT manager to </w:t>
            </w:r>
            <w:r w:rsidR="00443748">
              <w:t xml:space="preserve">address </w:t>
            </w:r>
            <w:r>
              <w:t>mutual remits but when that manager left their post, the meeti</w:t>
            </w:r>
            <w:r w:rsidR="00CF2F76">
              <w:t xml:space="preserve">ngs and any consequent contact with the CMHT deteriorated. </w:t>
            </w:r>
            <w:r w:rsidR="002E76D9">
              <w:t xml:space="preserve"> We found no evidence to support improved joint management or support for service users</w:t>
            </w:r>
            <w:r w:rsidR="00A6366B">
              <w:t xml:space="preserve"> at the time of this review</w:t>
            </w:r>
            <w:r w:rsidR="002E76D9">
              <w:t>.</w:t>
            </w:r>
          </w:p>
        </w:tc>
      </w:tr>
      <w:tr w:rsidR="00840F0D" w14:paraId="4F86BDFA" w14:textId="77777777" w:rsidTr="00B94A27">
        <w:tc>
          <w:tcPr>
            <w:tcW w:w="817" w:type="dxa"/>
            <w:tcBorders>
              <w:top w:val="nil"/>
              <w:left w:val="nil"/>
              <w:bottom w:val="nil"/>
              <w:right w:val="nil"/>
            </w:tcBorders>
          </w:tcPr>
          <w:p w14:paraId="350C55FB" w14:textId="77777777" w:rsidR="00840F0D" w:rsidRDefault="00840F0D" w:rsidP="00840F0D"/>
        </w:tc>
        <w:tc>
          <w:tcPr>
            <w:tcW w:w="851" w:type="dxa"/>
            <w:tcBorders>
              <w:top w:val="nil"/>
              <w:left w:val="nil"/>
              <w:bottom w:val="nil"/>
              <w:right w:val="nil"/>
            </w:tcBorders>
          </w:tcPr>
          <w:p w14:paraId="354B5A7F" w14:textId="77777777" w:rsidR="00840F0D" w:rsidRDefault="00840F0D" w:rsidP="00840F0D"/>
        </w:tc>
        <w:tc>
          <w:tcPr>
            <w:tcW w:w="6848" w:type="dxa"/>
            <w:gridSpan w:val="2"/>
            <w:tcBorders>
              <w:top w:val="nil"/>
              <w:left w:val="nil"/>
              <w:bottom w:val="nil"/>
              <w:right w:val="nil"/>
            </w:tcBorders>
          </w:tcPr>
          <w:p w14:paraId="26DB8B96" w14:textId="77777777" w:rsidR="00245869" w:rsidRDefault="00245869" w:rsidP="00840F0D"/>
        </w:tc>
      </w:tr>
      <w:tr w:rsidR="00CF2F76" w14:paraId="590FC990" w14:textId="77777777" w:rsidTr="00B94A27">
        <w:tc>
          <w:tcPr>
            <w:tcW w:w="817" w:type="dxa"/>
            <w:tcBorders>
              <w:top w:val="nil"/>
              <w:left w:val="nil"/>
              <w:bottom w:val="nil"/>
              <w:right w:val="nil"/>
            </w:tcBorders>
          </w:tcPr>
          <w:p w14:paraId="483AA705" w14:textId="77777777" w:rsidR="00CF2F76" w:rsidRDefault="00CF2F76" w:rsidP="00840F0D"/>
        </w:tc>
        <w:tc>
          <w:tcPr>
            <w:tcW w:w="851" w:type="dxa"/>
            <w:tcBorders>
              <w:top w:val="nil"/>
              <w:left w:val="nil"/>
              <w:bottom w:val="nil"/>
              <w:right w:val="nil"/>
            </w:tcBorders>
          </w:tcPr>
          <w:p w14:paraId="0D26499B" w14:textId="77777777" w:rsidR="00CF2F76" w:rsidRDefault="00CF2F76" w:rsidP="00840F0D"/>
        </w:tc>
        <w:tc>
          <w:tcPr>
            <w:tcW w:w="6848" w:type="dxa"/>
            <w:gridSpan w:val="2"/>
            <w:tcBorders>
              <w:top w:val="nil"/>
              <w:left w:val="nil"/>
              <w:bottom w:val="nil"/>
              <w:right w:val="nil"/>
            </w:tcBorders>
          </w:tcPr>
          <w:p w14:paraId="10E26A2C" w14:textId="748CF443" w:rsidR="00CF2F76" w:rsidRPr="00C640E5" w:rsidRDefault="00CF2F76" w:rsidP="006536E6">
            <w:r w:rsidRPr="00C640E5">
              <w:t>Op</w:t>
            </w:r>
            <w:r w:rsidR="00452FBA" w:rsidRPr="00C640E5">
              <w:t>tiv</w:t>
            </w:r>
            <w:r w:rsidRPr="00C640E5">
              <w:t xml:space="preserve">o </w:t>
            </w:r>
            <w:r w:rsidR="00A6366B" w:rsidRPr="00C640E5">
              <w:t xml:space="preserve">staff </w:t>
            </w:r>
            <w:r w:rsidR="00452FBA" w:rsidRPr="00C640E5">
              <w:t xml:space="preserve">reported that they find the Trust </w:t>
            </w:r>
            <w:r w:rsidR="00A245FB" w:rsidRPr="00C640E5">
              <w:t>exceptionally difficult to work with.</w:t>
            </w:r>
            <w:r w:rsidR="00452FBA" w:rsidRPr="00C640E5">
              <w:t xml:space="preserve"> In particular</w:t>
            </w:r>
            <w:r w:rsidR="00A6366B" w:rsidRPr="00C640E5">
              <w:t>,</w:t>
            </w:r>
            <w:r w:rsidR="00452FBA" w:rsidRPr="00C640E5">
              <w:t xml:space="preserve"> </w:t>
            </w:r>
            <w:r w:rsidR="00CF05D9" w:rsidRPr="00C640E5">
              <w:t>Optivo experience</w:t>
            </w:r>
            <w:r w:rsidR="00A245FB" w:rsidRPr="00C640E5">
              <w:t xml:space="preserve"> </w:t>
            </w:r>
            <w:r w:rsidR="00452FBA" w:rsidRPr="00C640E5">
              <w:t xml:space="preserve">partnership working </w:t>
            </w:r>
            <w:r w:rsidR="00CF05D9" w:rsidRPr="00C640E5">
              <w:t xml:space="preserve">required for </w:t>
            </w:r>
            <w:r w:rsidR="00452FBA" w:rsidRPr="00C640E5">
              <w:t>support</w:t>
            </w:r>
            <w:r w:rsidR="00CF05D9" w:rsidRPr="00C640E5">
              <w:t>ing</w:t>
            </w:r>
            <w:r w:rsidR="00452FBA" w:rsidRPr="00C640E5">
              <w:t xml:space="preserve"> </w:t>
            </w:r>
            <w:r w:rsidR="0009593D" w:rsidRPr="00C640E5">
              <w:t>service user</w:t>
            </w:r>
            <w:r w:rsidR="00452FBA" w:rsidRPr="00C640E5">
              <w:t xml:space="preserve">s </w:t>
            </w:r>
            <w:r w:rsidR="00A245FB" w:rsidRPr="00C640E5">
              <w:t xml:space="preserve">to be </w:t>
            </w:r>
            <w:r w:rsidR="00452FBA" w:rsidRPr="00C640E5">
              <w:t>difficult</w:t>
            </w:r>
            <w:r w:rsidR="00CF05D9" w:rsidRPr="00C640E5">
              <w:t xml:space="preserve"> to establish and maintain with care co-ordinators</w:t>
            </w:r>
            <w:r w:rsidR="00A245FB" w:rsidRPr="00C640E5">
              <w:t xml:space="preserve">. </w:t>
            </w:r>
            <w:r w:rsidR="00282874" w:rsidRPr="00C640E5">
              <w:t xml:space="preserve">The Trust </w:t>
            </w:r>
            <w:r w:rsidR="00CF05D9" w:rsidRPr="00C640E5">
              <w:t xml:space="preserve">has noted changes within both organisations and </w:t>
            </w:r>
            <w:r w:rsidR="006536E6" w:rsidRPr="00C640E5">
              <w:t xml:space="preserve">it is felt </w:t>
            </w:r>
            <w:r w:rsidR="00CF05D9" w:rsidRPr="00C640E5">
              <w:t xml:space="preserve">these may explain some of the challenges around joint working, with scope for both agencies to learn lessons and </w:t>
            </w:r>
            <w:r w:rsidR="006536E6" w:rsidRPr="00C640E5">
              <w:t xml:space="preserve">make </w:t>
            </w:r>
            <w:r w:rsidR="00CF05D9" w:rsidRPr="00C640E5">
              <w:t>improve</w:t>
            </w:r>
            <w:r w:rsidR="006536E6" w:rsidRPr="00C640E5">
              <w:t>ments to</w:t>
            </w:r>
            <w:r w:rsidR="00CF05D9" w:rsidRPr="00C640E5">
              <w:t xml:space="preserve"> their partnership </w:t>
            </w:r>
            <w:r w:rsidR="006536E6" w:rsidRPr="00C640E5">
              <w:t xml:space="preserve">working </w:t>
            </w:r>
            <w:r w:rsidR="00CF05D9" w:rsidRPr="00C640E5">
              <w:t>for the benefit of service users.</w:t>
            </w:r>
          </w:p>
        </w:tc>
      </w:tr>
      <w:tr w:rsidR="00CF2F76" w14:paraId="6A745215" w14:textId="77777777" w:rsidTr="00B94A27">
        <w:tc>
          <w:tcPr>
            <w:tcW w:w="817" w:type="dxa"/>
            <w:tcBorders>
              <w:top w:val="nil"/>
              <w:left w:val="nil"/>
              <w:bottom w:val="nil"/>
              <w:right w:val="nil"/>
            </w:tcBorders>
          </w:tcPr>
          <w:p w14:paraId="52F9C6D8" w14:textId="77777777" w:rsidR="00CF2F76" w:rsidRDefault="00CF2F76" w:rsidP="00840F0D"/>
        </w:tc>
        <w:tc>
          <w:tcPr>
            <w:tcW w:w="851" w:type="dxa"/>
            <w:tcBorders>
              <w:top w:val="nil"/>
              <w:left w:val="nil"/>
              <w:bottom w:val="nil"/>
              <w:right w:val="nil"/>
            </w:tcBorders>
          </w:tcPr>
          <w:p w14:paraId="534E3C1C" w14:textId="77777777" w:rsidR="00CF2F76" w:rsidRDefault="00CF2F76" w:rsidP="00840F0D"/>
        </w:tc>
        <w:tc>
          <w:tcPr>
            <w:tcW w:w="6848" w:type="dxa"/>
            <w:gridSpan w:val="2"/>
            <w:tcBorders>
              <w:top w:val="nil"/>
              <w:left w:val="nil"/>
              <w:bottom w:val="nil"/>
              <w:right w:val="nil"/>
            </w:tcBorders>
          </w:tcPr>
          <w:p w14:paraId="7B64F0BC" w14:textId="77777777" w:rsidR="003128B2" w:rsidRDefault="003128B2" w:rsidP="00840F0D"/>
        </w:tc>
      </w:tr>
      <w:tr w:rsidR="00AA3FFB" w14:paraId="32461B2A" w14:textId="77777777" w:rsidTr="00B94A27">
        <w:tc>
          <w:tcPr>
            <w:tcW w:w="817" w:type="dxa"/>
            <w:tcBorders>
              <w:top w:val="nil"/>
              <w:left w:val="nil"/>
              <w:bottom w:val="nil"/>
              <w:right w:val="nil"/>
            </w:tcBorders>
          </w:tcPr>
          <w:p w14:paraId="787E45ED" w14:textId="77777777" w:rsidR="00AA3FFB" w:rsidRDefault="00AA3FFB" w:rsidP="00840F0D"/>
        </w:tc>
        <w:tc>
          <w:tcPr>
            <w:tcW w:w="851" w:type="dxa"/>
            <w:tcBorders>
              <w:top w:val="nil"/>
              <w:left w:val="nil"/>
              <w:bottom w:val="nil"/>
              <w:right w:val="nil"/>
            </w:tcBorders>
          </w:tcPr>
          <w:p w14:paraId="1F4D8A5D" w14:textId="77777777" w:rsidR="00AA3FFB" w:rsidRDefault="00AA3FFB" w:rsidP="00840F0D"/>
        </w:tc>
        <w:tc>
          <w:tcPr>
            <w:tcW w:w="850" w:type="dxa"/>
            <w:tcBorders>
              <w:top w:val="nil"/>
              <w:left w:val="nil"/>
              <w:bottom w:val="nil"/>
              <w:right w:val="nil"/>
            </w:tcBorders>
          </w:tcPr>
          <w:p w14:paraId="28763D51" w14:textId="5B1B0299" w:rsidR="00AA3FFB" w:rsidRPr="00AA3FFB" w:rsidRDefault="00AA3FFB" w:rsidP="00840F0D">
            <w:pPr>
              <w:rPr>
                <w:b/>
                <w:color w:val="4F6228" w:themeColor="accent3" w:themeShade="80"/>
              </w:rPr>
            </w:pPr>
            <w:r>
              <w:rPr>
                <w:b/>
                <w:color w:val="4F6228" w:themeColor="accent3" w:themeShade="80"/>
              </w:rPr>
              <w:t>2.6.6.</w:t>
            </w:r>
          </w:p>
        </w:tc>
        <w:tc>
          <w:tcPr>
            <w:tcW w:w="5998" w:type="dxa"/>
            <w:tcBorders>
              <w:top w:val="nil"/>
              <w:left w:val="nil"/>
              <w:bottom w:val="nil"/>
              <w:right w:val="nil"/>
            </w:tcBorders>
          </w:tcPr>
          <w:p w14:paraId="7CC1CF99" w14:textId="2AE9E0C2" w:rsidR="00AA3FFB" w:rsidRPr="00AA3FFB" w:rsidRDefault="00AA3FFB" w:rsidP="00A6366B">
            <w:pPr>
              <w:rPr>
                <w:b/>
                <w:color w:val="4F6228" w:themeColor="accent3" w:themeShade="80"/>
              </w:rPr>
            </w:pPr>
            <w:r>
              <w:rPr>
                <w:b/>
                <w:color w:val="4F6228" w:themeColor="accent3" w:themeShade="80"/>
              </w:rPr>
              <w:t>E</w:t>
            </w:r>
            <w:r w:rsidRPr="00AA3FFB">
              <w:rPr>
                <w:b/>
                <w:color w:val="4F6228" w:themeColor="accent3" w:themeShade="80"/>
              </w:rPr>
              <w:t xml:space="preserve">xplore and specify </w:t>
            </w:r>
            <w:r w:rsidR="00A6366B">
              <w:rPr>
                <w:b/>
                <w:color w:val="4F6228" w:themeColor="accent3" w:themeShade="80"/>
              </w:rPr>
              <w:t xml:space="preserve">the </w:t>
            </w:r>
            <w:r w:rsidRPr="00AA3FFB">
              <w:rPr>
                <w:b/>
                <w:color w:val="4F6228" w:themeColor="accent3" w:themeShade="80"/>
              </w:rPr>
              <w:t>impact of what the ‘significant’ service changes were and if the introduction of electronic records had an impact on Mr R’s care and treatment</w:t>
            </w:r>
          </w:p>
        </w:tc>
      </w:tr>
      <w:tr w:rsidR="00840F0D" w14:paraId="35B73BAA" w14:textId="77777777" w:rsidTr="00B94A27">
        <w:tc>
          <w:tcPr>
            <w:tcW w:w="817" w:type="dxa"/>
            <w:tcBorders>
              <w:top w:val="nil"/>
              <w:left w:val="nil"/>
              <w:bottom w:val="nil"/>
              <w:right w:val="nil"/>
            </w:tcBorders>
          </w:tcPr>
          <w:p w14:paraId="4746D91F" w14:textId="77777777" w:rsidR="00840F0D" w:rsidRDefault="00840F0D" w:rsidP="00840F0D"/>
        </w:tc>
        <w:tc>
          <w:tcPr>
            <w:tcW w:w="851" w:type="dxa"/>
            <w:tcBorders>
              <w:top w:val="nil"/>
              <w:left w:val="nil"/>
              <w:bottom w:val="nil"/>
              <w:right w:val="nil"/>
            </w:tcBorders>
          </w:tcPr>
          <w:p w14:paraId="0404511C" w14:textId="77777777" w:rsidR="00840F0D" w:rsidRDefault="00840F0D" w:rsidP="00840F0D"/>
        </w:tc>
        <w:tc>
          <w:tcPr>
            <w:tcW w:w="6848" w:type="dxa"/>
            <w:gridSpan w:val="2"/>
            <w:tcBorders>
              <w:top w:val="nil"/>
              <w:left w:val="nil"/>
              <w:bottom w:val="nil"/>
              <w:right w:val="nil"/>
            </w:tcBorders>
          </w:tcPr>
          <w:p w14:paraId="34A8404B" w14:textId="77777777" w:rsidR="00840F0D" w:rsidRDefault="00840F0D" w:rsidP="00840F0D"/>
        </w:tc>
      </w:tr>
      <w:tr w:rsidR="00840F0D" w14:paraId="1670E25C" w14:textId="77777777" w:rsidTr="00B94A27">
        <w:tc>
          <w:tcPr>
            <w:tcW w:w="817" w:type="dxa"/>
            <w:tcBorders>
              <w:top w:val="nil"/>
              <w:left w:val="nil"/>
              <w:bottom w:val="nil"/>
              <w:right w:val="nil"/>
            </w:tcBorders>
          </w:tcPr>
          <w:p w14:paraId="42D8589B" w14:textId="77777777" w:rsidR="00840F0D" w:rsidRDefault="00840F0D" w:rsidP="00840F0D"/>
        </w:tc>
        <w:tc>
          <w:tcPr>
            <w:tcW w:w="851" w:type="dxa"/>
            <w:tcBorders>
              <w:top w:val="nil"/>
              <w:left w:val="nil"/>
              <w:bottom w:val="nil"/>
              <w:right w:val="nil"/>
            </w:tcBorders>
          </w:tcPr>
          <w:p w14:paraId="00CC149E" w14:textId="77777777" w:rsidR="00840F0D" w:rsidRDefault="00840F0D" w:rsidP="00840F0D"/>
        </w:tc>
        <w:tc>
          <w:tcPr>
            <w:tcW w:w="6848" w:type="dxa"/>
            <w:gridSpan w:val="2"/>
            <w:tcBorders>
              <w:top w:val="nil"/>
              <w:left w:val="nil"/>
              <w:bottom w:val="nil"/>
              <w:right w:val="nil"/>
            </w:tcBorders>
          </w:tcPr>
          <w:p w14:paraId="303FB0DD" w14:textId="2BEE7476" w:rsidR="00840F0D" w:rsidRDefault="00452FBA" w:rsidP="00443748">
            <w:r>
              <w:t xml:space="preserve">It was not possible to track service changes from the time of the index offence to the present day. However we did learn that the Trust has had </w:t>
            </w:r>
            <w:r w:rsidR="0090364A">
              <w:t xml:space="preserve">numerous </w:t>
            </w:r>
            <w:r>
              <w:t>restructures over recent years. Indeed, the Trust was undergoing an important management restructure at the time of this review, with the introduction of service lines. For the CMHT, this meant a move from being borough base</w:t>
            </w:r>
            <w:r w:rsidR="00C640E5">
              <w:t>d, to being located within the c</w:t>
            </w:r>
            <w:r>
              <w:t>ommunity service line.</w:t>
            </w:r>
            <w:r w:rsidR="0090364A">
              <w:t xml:space="preserve"> Additionally, the Trust has experienced a high turnover of staf</w:t>
            </w:r>
            <w:r w:rsidR="00FB1E18">
              <w:t>f from executive level to front-</w:t>
            </w:r>
            <w:r w:rsidR="0090364A">
              <w:t>line.</w:t>
            </w:r>
            <w:r w:rsidR="00FB1E18">
              <w:t xml:space="preserve"> Throughout the review we heard about the impact on CMHTs of the local authorities rescinding the section 75 agreement and the consequent disaggregation of social workers from the teams. Although some benefits were mentioned such as social workers having more objectivity regarding safeguarding issues, the feedback was mostly negative with loss of these experienced, well trained professionals keenly felt </w:t>
            </w:r>
            <w:r w:rsidR="00443748">
              <w:t xml:space="preserve">both </w:t>
            </w:r>
            <w:r w:rsidR="00FB1E18">
              <w:t>in terms of the quality of care available to service users and carers</w:t>
            </w:r>
            <w:r w:rsidR="00443748">
              <w:t xml:space="preserve"> and support to colleagues</w:t>
            </w:r>
            <w:r w:rsidR="00FB1E18">
              <w:t>.</w:t>
            </w:r>
          </w:p>
        </w:tc>
      </w:tr>
      <w:tr w:rsidR="00840F0D" w14:paraId="25482EDC" w14:textId="77777777" w:rsidTr="00B94A27">
        <w:tc>
          <w:tcPr>
            <w:tcW w:w="817" w:type="dxa"/>
            <w:tcBorders>
              <w:top w:val="nil"/>
              <w:left w:val="nil"/>
              <w:bottom w:val="nil"/>
              <w:right w:val="nil"/>
            </w:tcBorders>
          </w:tcPr>
          <w:p w14:paraId="2FC800A6" w14:textId="77777777" w:rsidR="00840F0D" w:rsidRDefault="00840F0D" w:rsidP="00840F0D"/>
        </w:tc>
        <w:tc>
          <w:tcPr>
            <w:tcW w:w="851" w:type="dxa"/>
            <w:tcBorders>
              <w:top w:val="nil"/>
              <w:left w:val="nil"/>
              <w:bottom w:val="nil"/>
              <w:right w:val="nil"/>
            </w:tcBorders>
          </w:tcPr>
          <w:p w14:paraId="26CDADDB" w14:textId="77777777" w:rsidR="00840F0D" w:rsidRDefault="00840F0D" w:rsidP="00840F0D"/>
        </w:tc>
        <w:tc>
          <w:tcPr>
            <w:tcW w:w="6848" w:type="dxa"/>
            <w:gridSpan w:val="2"/>
            <w:tcBorders>
              <w:top w:val="nil"/>
              <w:left w:val="nil"/>
              <w:bottom w:val="nil"/>
              <w:right w:val="nil"/>
            </w:tcBorders>
          </w:tcPr>
          <w:p w14:paraId="3B938453" w14:textId="77777777" w:rsidR="00840F0D" w:rsidRDefault="00840F0D" w:rsidP="00840F0D"/>
        </w:tc>
      </w:tr>
      <w:tr w:rsidR="00840F0D" w14:paraId="26A032DA" w14:textId="77777777" w:rsidTr="00B94A27">
        <w:tc>
          <w:tcPr>
            <w:tcW w:w="817" w:type="dxa"/>
            <w:tcBorders>
              <w:top w:val="nil"/>
              <w:left w:val="nil"/>
              <w:bottom w:val="nil"/>
              <w:right w:val="nil"/>
            </w:tcBorders>
          </w:tcPr>
          <w:p w14:paraId="75162C86" w14:textId="77777777" w:rsidR="00840F0D" w:rsidRDefault="00840F0D" w:rsidP="00840F0D"/>
        </w:tc>
        <w:tc>
          <w:tcPr>
            <w:tcW w:w="851" w:type="dxa"/>
            <w:tcBorders>
              <w:top w:val="nil"/>
              <w:left w:val="nil"/>
              <w:bottom w:val="nil"/>
              <w:right w:val="nil"/>
            </w:tcBorders>
          </w:tcPr>
          <w:p w14:paraId="6EB7160D" w14:textId="77777777" w:rsidR="00840F0D" w:rsidRDefault="00840F0D" w:rsidP="00840F0D"/>
        </w:tc>
        <w:tc>
          <w:tcPr>
            <w:tcW w:w="6848" w:type="dxa"/>
            <w:gridSpan w:val="2"/>
            <w:tcBorders>
              <w:top w:val="nil"/>
              <w:left w:val="nil"/>
              <w:bottom w:val="nil"/>
              <w:right w:val="nil"/>
            </w:tcBorders>
          </w:tcPr>
          <w:p w14:paraId="00D5D6DB" w14:textId="7E16C325" w:rsidR="00840F0D" w:rsidRDefault="00452FBA" w:rsidP="00840F0D">
            <w:r>
              <w:t xml:space="preserve">We found no evidence of the introduction of electronic records having a negative impact on Mr R’s </w:t>
            </w:r>
            <w:r w:rsidR="00282805">
              <w:t xml:space="preserve">care and treatment. If anything the electronic records system has been experienced as a positive development. The only drawback being the lack of interface between the Trust RiO system and those used by other agencies. </w:t>
            </w:r>
          </w:p>
        </w:tc>
      </w:tr>
      <w:tr w:rsidR="00282805" w14:paraId="246622E6" w14:textId="77777777" w:rsidTr="00B94A27">
        <w:tc>
          <w:tcPr>
            <w:tcW w:w="817" w:type="dxa"/>
            <w:tcBorders>
              <w:top w:val="nil"/>
              <w:left w:val="nil"/>
              <w:bottom w:val="nil"/>
              <w:right w:val="nil"/>
            </w:tcBorders>
          </w:tcPr>
          <w:p w14:paraId="5B699E8D" w14:textId="77777777" w:rsidR="00282805" w:rsidRDefault="00282805" w:rsidP="00840F0D"/>
        </w:tc>
        <w:tc>
          <w:tcPr>
            <w:tcW w:w="851" w:type="dxa"/>
            <w:tcBorders>
              <w:top w:val="nil"/>
              <w:left w:val="nil"/>
              <w:bottom w:val="nil"/>
              <w:right w:val="nil"/>
            </w:tcBorders>
          </w:tcPr>
          <w:p w14:paraId="7DF45B5D" w14:textId="77777777" w:rsidR="00282805" w:rsidRDefault="00282805" w:rsidP="00840F0D"/>
        </w:tc>
        <w:tc>
          <w:tcPr>
            <w:tcW w:w="6848" w:type="dxa"/>
            <w:gridSpan w:val="2"/>
            <w:tcBorders>
              <w:top w:val="nil"/>
              <w:left w:val="nil"/>
              <w:bottom w:val="nil"/>
              <w:right w:val="nil"/>
            </w:tcBorders>
          </w:tcPr>
          <w:p w14:paraId="2261FE51" w14:textId="77777777" w:rsidR="00FB1E18" w:rsidRDefault="00FB1E18" w:rsidP="00840F0D"/>
        </w:tc>
      </w:tr>
      <w:tr w:rsidR="00AA3FFB" w14:paraId="33C933B2" w14:textId="77777777" w:rsidTr="00B94A27">
        <w:tc>
          <w:tcPr>
            <w:tcW w:w="817" w:type="dxa"/>
            <w:tcBorders>
              <w:top w:val="nil"/>
              <w:left w:val="nil"/>
              <w:bottom w:val="nil"/>
              <w:right w:val="nil"/>
            </w:tcBorders>
          </w:tcPr>
          <w:p w14:paraId="56BB5AC7" w14:textId="77777777" w:rsidR="00AA3FFB" w:rsidRDefault="00AA3FFB" w:rsidP="00840F0D"/>
        </w:tc>
        <w:tc>
          <w:tcPr>
            <w:tcW w:w="851" w:type="dxa"/>
            <w:tcBorders>
              <w:top w:val="nil"/>
              <w:left w:val="nil"/>
              <w:bottom w:val="nil"/>
              <w:right w:val="nil"/>
            </w:tcBorders>
          </w:tcPr>
          <w:p w14:paraId="6C9664F3" w14:textId="77777777" w:rsidR="00AA3FFB" w:rsidRDefault="00AA3FFB" w:rsidP="00840F0D"/>
        </w:tc>
        <w:tc>
          <w:tcPr>
            <w:tcW w:w="850" w:type="dxa"/>
            <w:tcBorders>
              <w:top w:val="nil"/>
              <w:left w:val="nil"/>
              <w:bottom w:val="nil"/>
              <w:right w:val="nil"/>
            </w:tcBorders>
          </w:tcPr>
          <w:p w14:paraId="601E6D06" w14:textId="3F38B4D4" w:rsidR="00AA3FFB" w:rsidRPr="00AA3FFB" w:rsidRDefault="00AA3FFB" w:rsidP="00840F0D">
            <w:pPr>
              <w:rPr>
                <w:b/>
                <w:color w:val="4F6228" w:themeColor="accent3" w:themeShade="80"/>
              </w:rPr>
            </w:pPr>
            <w:r>
              <w:rPr>
                <w:b/>
                <w:color w:val="4F6228" w:themeColor="accent3" w:themeShade="80"/>
              </w:rPr>
              <w:t>2.6.7.</w:t>
            </w:r>
          </w:p>
        </w:tc>
        <w:tc>
          <w:tcPr>
            <w:tcW w:w="5998" w:type="dxa"/>
            <w:tcBorders>
              <w:top w:val="nil"/>
              <w:left w:val="nil"/>
              <w:bottom w:val="nil"/>
              <w:right w:val="nil"/>
            </w:tcBorders>
          </w:tcPr>
          <w:p w14:paraId="60ABA441" w14:textId="5FD3C09A" w:rsidR="00AA3FFB" w:rsidRPr="00466B5A" w:rsidRDefault="00AA3FFB" w:rsidP="0051255B">
            <w:pPr>
              <w:rPr>
                <w:b/>
                <w:color w:val="4F6228" w:themeColor="accent3" w:themeShade="80"/>
              </w:rPr>
            </w:pPr>
            <w:r w:rsidRPr="00466B5A">
              <w:rPr>
                <w:b/>
                <w:color w:val="4F6228" w:themeColor="accent3" w:themeShade="80"/>
              </w:rPr>
              <w:t>Review the change in the level of communicati</w:t>
            </w:r>
            <w:r w:rsidR="00FB1E18">
              <w:rPr>
                <w:b/>
                <w:color w:val="4F6228" w:themeColor="accent3" w:themeShade="80"/>
              </w:rPr>
              <w:t>on between CMHT, Wandsworth and Westminster Mind (previously Wands</w:t>
            </w:r>
            <w:r w:rsidR="002A1602">
              <w:rPr>
                <w:b/>
                <w:color w:val="4F6228" w:themeColor="accent3" w:themeShade="80"/>
              </w:rPr>
              <w:t>worth</w:t>
            </w:r>
            <w:r w:rsidR="0051255B">
              <w:rPr>
                <w:b/>
                <w:color w:val="4F6228" w:themeColor="accent3" w:themeShade="80"/>
              </w:rPr>
              <w:t xml:space="preserve"> Mind</w:t>
            </w:r>
            <w:r w:rsidR="002A1602">
              <w:rPr>
                <w:b/>
                <w:color w:val="4F6228" w:themeColor="accent3" w:themeShade="80"/>
              </w:rPr>
              <w:t>)</w:t>
            </w:r>
            <w:r w:rsidRPr="00466B5A">
              <w:rPr>
                <w:b/>
                <w:color w:val="4F6228" w:themeColor="accent3" w:themeShade="80"/>
              </w:rPr>
              <w:t xml:space="preserve">, </w:t>
            </w:r>
            <w:r w:rsidR="002A1602">
              <w:rPr>
                <w:b/>
                <w:color w:val="4F6228" w:themeColor="accent3" w:themeShade="80"/>
              </w:rPr>
              <w:t xml:space="preserve">Optivo Housing </w:t>
            </w:r>
            <w:r w:rsidRPr="00466B5A">
              <w:rPr>
                <w:b/>
                <w:color w:val="4F6228" w:themeColor="accent3" w:themeShade="80"/>
              </w:rPr>
              <w:t>(</w:t>
            </w:r>
            <w:r w:rsidR="002A1602">
              <w:rPr>
                <w:b/>
                <w:color w:val="4F6228" w:themeColor="accent3" w:themeShade="80"/>
              </w:rPr>
              <w:t>previously Viridian</w:t>
            </w:r>
            <w:r w:rsidRPr="00466B5A">
              <w:rPr>
                <w:b/>
                <w:color w:val="4F6228" w:themeColor="accent3" w:themeShade="80"/>
              </w:rPr>
              <w:t>) and GP practice to establish what improvements have been made</w:t>
            </w:r>
          </w:p>
        </w:tc>
      </w:tr>
      <w:tr w:rsidR="00AA3FFB" w14:paraId="3C95D777" w14:textId="77777777" w:rsidTr="00B94A27">
        <w:tc>
          <w:tcPr>
            <w:tcW w:w="817" w:type="dxa"/>
            <w:tcBorders>
              <w:top w:val="nil"/>
              <w:left w:val="nil"/>
              <w:bottom w:val="nil"/>
              <w:right w:val="nil"/>
            </w:tcBorders>
          </w:tcPr>
          <w:p w14:paraId="39A8FEFE" w14:textId="77777777" w:rsidR="00AA3FFB" w:rsidRDefault="00AA3FFB" w:rsidP="00840F0D"/>
        </w:tc>
        <w:tc>
          <w:tcPr>
            <w:tcW w:w="851" w:type="dxa"/>
            <w:tcBorders>
              <w:top w:val="nil"/>
              <w:left w:val="nil"/>
              <w:bottom w:val="nil"/>
              <w:right w:val="nil"/>
            </w:tcBorders>
          </w:tcPr>
          <w:p w14:paraId="234B1F1B" w14:textId="77777777" w:rsidR="00AA3FFB" w:rsidRDefault="00AA3FFB" w:rsidP="00840F0D"/>
        </w:tc>
        <w:tc>
          <w:tcPr>
            <w:tcW w:w="6848" w:type="dxa"/>
            <w:gridSpan w:val="2"/>
            <w:tcBorders>
              <w:top w:val="nil"/>
              <w:left w:val="nil"/>
              <w:bottom w:val="nil"/>
              <w:right w:val="nil"/>
            </w:tcBorders>
          </w:tcPr>
          <w:p w14:paraId="13F51791" w14:textId="77777777" w:rsidR="00AA3FFB" w:rsidRDefault="00AA3FFB" w:rsidP="00840F0D"/>
        </w:tc>
      </w:tr>
      <w:tr w:rsidR="002A1602" w14:paraId="06804C7D" w14:textId="77777777" w:rsidTr="00B94A27">
        <w:tc>
          <w:tcPr>
            <w:tcW w:w="817" w:type="dxa"/>
            <w:tcBorders>
              <w:top w:val="nil"/>
              <w:left w:val="nil"/>
              <w:bottom w:val="nil"/>
              <w:right w:val="nil"/>
            </w:tcBorders>
          </w:tcPr>
          <w:p w14:paraId="15D6D4B5" w14:textId="77777777" w:rsidR="002A1602" w:rsidRDefault="002A1602" w:rsidP="00840F0D"/>
        </w:tc>
        <w:tc>
          <w:tcPr>
            <w:tcW w:w="851" w:type="dxa"/>
            <w:tcBorders>
              <w:top w:val="nil"/>
              <w:left w:val="nil"/>
              <w:bottom w:val="nil"/>
              <w:right w:val="nil"/>
            </w:tcBorders>
          </w:tcPr>
          <w:p w14:paraId="6DAAEB02" w14:textId="77777777" w:rsidR="002A1602" w:rsidRDefault="002A1602" w:rsidP="00840F0D"/>
        </w:tc>
        <w:tc>
          <w:tcPr>
            <w:tcW w:w="6848" w:type="dxa"/>
            <w:gridSpan w:val="2"/>
            <w:tcBorders>
              <w:top w:val="nil"/>
              <w:left w:val="nil"/>
              <w:bottom w:val="nil"/>
              <w:right w:val="nil"/>
            </w:tcBorders>
          </w:tcPr>
          <w:p w14:paraId="5106A1F6" w14:textId="272482BF" w:rsidR="002A1602" w:rsidRDefault="002A1602" w:rsidP="00F510C8">
            <w:r>
              <w:t xml:space="preserve">Some collaborative work takes place at a strategic level, for example through the Clinical Reference Group </w:t>
            </w:r>
            <w:r w:rsidR="008C6D9D">
              <w:t xml:space="preserve">(CRG) </w:t>
            </w:r>
            <w:r>
              <w:t xml:space="preserve">which is convened by the </w:t>
            </w:r>
            <w:r w:rsidR="008C6D9D">
              <w:t>Clinical Commissioning Group (</w:t>
            </w:r>
            <w:r>
              <w:t>CCG</w:t>
            </w:r>
            <w:r w:rsidR="008C6D9D">
              <w:t>)</w:t>
            </w:r>
            <w:r>
              <w:t xml:space="preserve"> and attended by representatives from the Trust, local authority, </w:t>
            </w:r>
            <w:r w:rsidR="0009593D">
              <w:t xml:space="preserve">service users and carers and non statutory agencies. However much less contact </w:t>
            </w:r>
            <w:r w:rsidR="00F510C8">
              <w:t xml:space="preserve">takes place </w:t>
            </w:r>
            <w:r w:rsidR="0009593D">
              <w:t>between agencies at the care delivery level.</w:t>
            </w:r>
          </w:p>
        </w:tc>
      </w:tr>
      <w:tr w:rsidR="002A1602" w14:paraId="7E6BE596" w14:textId="77777777" w:rsidTr="00B94A27">
        <w:tc>
          <w:tcPr>
            <w:tcW w:w="817" w:type="dxa"/>
            <w:tcBorders>
              <w:top w:val="nil"/>
              <w:left w:val="nil"/>
              <w:bottom w:val="nil"/>
              <w:right w:val="nil"/>
            </w:tcBorders>
          </w:tcPr>
          <w:p w14:paraId="00B0EB87" w14:textId="77777777" w:rsidR="002A1602" w:rsidRDefault="002A1602" w:rsidP="00840F0D"/>
        </w:tc>
        <w:tc>
          <w:tcPr>
            <w:tcW w:w="851" w:type="dxa"/>
            <w:tcBorders>
              <w:top w:val="nil"/>
              <w:left w:val="nil"/>
              <w:bottom w:val="nil"/>
              <w:right w:val="nil"/>
            </w:tcBorders>
          </w:tcPr>
          <w:p w14:paraId="1E485C0F" w14:textId="77777777" w:rsidR="002A1602" w:rsidRDefault="002A1602" w:rsidP="00840F0D"/>
        </w:tc>
        <w:tc>
          <w:tcPr>
            <w:tcW w:w="6848" w:type="dxa"/>
            <w:gridSpan w:val="2"/>
            <w:tcBorders>
              <w:top w:val="nil"/>
              <w:left w:val="nil"/>
              <w:bottom w:val="nil"/>
              <w:right w:val="nil"/>
            </w:tcBorders>
          </w:tcPr>
          <w:p w14:paraId="59005FE6" w14:textId="77777777" w:rsidR="006536E6" w:rsidRDefault="006536E6" w:rsidP="00840F0D"/>
        </w:tc>
      </w:tr>
      <w:tr w:rsidR="00AA3FFB" w14:paraId="5E7EBAEB" w14:textId="77777777" w:rsidTr="00B94A27">
        <w:tc>
          <w:tcPr>
            <w:tcW w:w="817" w:type="dxa"/>
            <w:tcBorders>
              <w:top w:val="nil"/>
              <w:left w:val="nil"/>
              <w:bottom w:val="nil"/>
              <w:right w:val="nil"/>
            </w:tcBorders>
          </w:tcPr>
          <w:p w14:paraId="2CECE804" w14:textId="77777777" w:rsidR="00AA3FFB" w:rsidRDefault="00AA3FFB" w:rsidP="00840F0D"/>
        </w:tc>
        <w:tc>
          <w:tcPr>
            <w:tcW w:w="851" w:type="dxa"/>
            <w:tcBorders>
              <w:top w:val="nil"/>
              <w:left w:val="nil"/>
              <w:bottom w:val="nil"/>
              <w:right w:val="nil"/>
            </w:tcBorders>
          </w:tcPr>
          <w:p w14:paraId="178DBD3E" w14:textId="77777777" w:rsidR="00AA3FFB" w:rsidRDefault="00AA3FFB" w:rsidP="00840F0D"/>
        </w:tc>
        <w:tc>
          <w:tcPr>
            <w:tcW w:w="6848" w:type="dxa"/>
            <w:gridSpan w:val="2"/>
            <w:tcBorders>
              <w:top w:val="nil"/>
              <w:left w:val="nil"/>
              <w:bottom w:val="nil"/>
              <w:right w:val="nil"/>
            </w:tcBorders>
          </w:tcPr>
          <w:p w14:paraId="33A1BA8E" w14:textId="3B9B4157" w:rsidR="00AA3FFB" w:rsidRPr="00F510C8" w:rsidRDefault="00FB1E18" w:rsidP="00985F7A">
            <w:r w:rsidRPr="00F510C8">
              <w:t>With regard to Wandsworth and Westminster Mind</w:t>
            </w:r>
            <w:r w:rsidR="002A1602" w:rsidRPr="00F510C8">
              <w:t>, there was felt to be an initial improvement with the CMHT following publication of the DHR. However, th</w:t>
            </w:r>
            <w:r w:rsidR="0009593D" w:rsidRPr="00F510C8">
              <w:t>is reduced with the rescinding of the section 75 agreement and loss of social workers from the CMHT. Communication was described as</w:t>
            </w:r>
            <w:r w:rsidR="00265D00" w:rsidRPr="00F510C8">
              <w:t xml:space="preserve"> challenging at the present time. The Trust recognises that </w:t>
            </w:r>
            <w:r w:rsidR="00985F7A" w:rsidRPr="00F510C8">
              <w:t xml:space="preserve">transformation and change regarding the delivery of services by both agencies and adult social care too, has contributed to the current position regarding interagency communication. </w:t>
            </w:r>
          </w:p>
        </w:tc>
      </w:tr>
      <w:tr w:rsidR="00AA3FFB" w14:paraId="1F997E8D" w14:textId="77777777" w:rsidTr="00B94A27">
        <w:tc>
          <w:tcPr>
            <w:tcW w:w="817" w:type="dxa"/>
            <w:tcBorders>
              <w:top w:val="nil"/>
              <w:left w:val="nil"/>
              <w:bottom w:val="nil"/>
              <w:right w:val="nil"/>
            </w:tcBorders>
          </w:tcPr>
          <w:p w14:paraId="32E9C696" w14:textId="77777777" w:rsidR="00AA3FFB" w:rsidRDefault="00AA3FFB" w:rsidP="00840F0D"/>
        </w:tc>
        <w:tc>
          <w:tcPr>
            <w:tcW w:w="851" w:type="dxa"/>
            <w:tcBorders>
              <w:top w:val="nil"/>
              <w:left w:val="nil"/>
              <w:bottom w:val="nil"/>
              <w:right w:val="nil"/>
            </w:tcBorders>
          </w:tcPr>
          <w:p w14:paraId="4D743FA2" w14:textId="77777777" w:rsidR="00AA3FFB" w:rsidRDefault="00AA3FFB" w:rsidP="00840F0D"/>
        </w:tc>
        <w:tc>
          <w:tcPr>
            <w:tcW w:w="6848" w:type="dxa"/>
            <w:gridSpan w:val="2"/>
            <w:tcBorders>
              <w:top w:val="nil"/>
              <w:left w:val="nil"/>
              <w:bottom w:val="nil"/>
              <w:right w:val="nil"/>
            </w:tcBorders>
          </w:tcPr>
          <w:p w14:paraId="7FBA0D34" w14:textId="77777777" w:rsidR="00AA3FFB" w:rsidRDefault="00AA3FFB" w:rsidP="00840F0D"/>
        </w:tc>
      </w:tr>
      <w:tr w:rsidR="00AA3FFB" w14:paraId="7DD82F37" w14:textId="77777777" w:rsidTr="00B94A27">
        <w:tc>
          <w:tcPr>
            <w:tcW w:w="817" w:type="dxa"/>
            <w:tcBorders>
              <w:top w:val="nil"/>
              <w:left w:val="nil"/>
              <w:bottom w:val="nil"/>
              <w:right w:val="nil"/>
            </w:tcBorders>
          </w:tcPr>
          <w:p w14:paraId="189CDD31" w14:textId="77777777" w:rsidR="00AA3FFB" w:rsidRDefault="00AA3FFB" w:rsidP="00840F0D"/>
        </w:tc>
        <w:tc>
          <w:tcPr>
            <w:tcW w:w="851" w:type="dxa"/>
            <w:tcBorders>
              <w:top w:val="nil"/>
              <w:left w:val="nil"/>
              <w:bottom w:val="nil"/>
              <w:right w:val="nil"/>
            </w:tcBorders>
          </w:tcPr>
          <w:p w14:paraId="54DE5F84" w14:textId="77777777" w:rsidR="00AA3FFB" w:rsidRDefault="00AA3FFB" w:rsidP="00840F0D"/>
        </w:tc>
        <w:tc>
          <w:tcPr>
            <w:tcW w:w="6848" w:type="dxa"/>
            <w:gridSpan w:val="2"/>
            <w:tcBorders>
              <w:top w:val="nil"/>
              <w:left w:val="nil"/>
              <w:bottom w:val="nil"/>
              <w:right w:val="nil"/>
            </w:tcBorders>
          </w:tcPr>
          <w:p w14:paraId="72032610" w14:textId="7F544032" w:rsidR="00AA3FFB" w:rsidRDefault="0009593D" w:rsidP="00840F0D">
            <w:r>
              <w:t xml:space="preserve">Wandsworth and Westminster Mind require a comprehensive risk assessment before service users can access their service. A risk assessment </w:t>
            </w:r>
            <w:r w:rsidR="008C6D9D">
              <w:t>is received from the CMH</w:t>
            </w:r>
            <w:r>
              <w:t>T at this time. Although informative, these are often also felt to be limited and subsequent updated risk assessments are not forwarded.</w:t>
            </w:r>
          </w:p>
        </w:tc>
      </w:tr>
      <w:tr w:rsidR="0009593D" w14:paraId="148968BE" w14:textId="77777777" w:rsidTr="00B94A27">
        <w:tc>
          <w:tcPr>
            <w:tcW w:w="817" w:type="dxa"/>
            <w:tcBorders>
              <w:top w:val="nil"/>
              <w:left w:val="nil"/>
              <w:bottom w:val="nil"/>
              <w:right w:val="nil"/>
            </w:tcBorders>
          </w:tcPr>
          <w:p w14:paraId="5A069C04" w14:textId="77777777" w:rsidR="0009593D" w:rsidRDefault="0009593D" w:rsidP="00840F0D"/>
        </w:tc>
        <w:tc>
          <w:tcPr>
            <w:tcW w:w="851" w:type="dxa"/>
            <w:tcBorders>
              <w:top w:val="nil"/>
              <w:left w:val="nil"/>
              <w:bottom w:val="nil"/>
              <w:right w:val="nil"/>
            </w:tcBorders>
          </w:tcPr>
          <w:p w14:paraId="4A9C35EC" w14:textId="77777777" w:rsidR="0009593D" w:rsidRDefault="0009593D" w:rsidP="00840F0D"/>
        </w:tc>
        <w:tc>
          <w:tcPr>
            <w:tcW w:w="6848" w:type="dxa"/>
            <w:gridSpan w:val="2"/>
            <w:tcBorders>
              <w:top w:val="nil"/>
              <w:left w:val="nil"/>
              <w:bottom w:val="nil"/>
              <w:right w:val="nil"/>
            </w:tcBorders>
          </w:tcPr>
          <w:p w14:paraId="65CD6ADC" w14:textId="77777777" w:rsidR="0009593D" w:rsidRDefault="0009593D" w:rsidP="00840F0D"/>
        </w:tc>
      </w:tr>
      <w:tr w:rsidR="0009593D" w14:paraId="2653333E" w14:textId="77777777" w:rsidTr="00B94A27">
        <w:tc>
          <w:tcPr>
            <w:tcW w:w="817" w:type="dxa"/>
            <w:tcBorders>
              <w:top w:val="nil"/>
              <w:left w:val="nil"/>
              <w:bottom w:val="nil"/>
              <w:right w:val="nil"/>
            </w:tcBorders>
          </w:tcPr>
          <w:p w14:paraId="06F39517" w14:textId="77777777" w:rsidR="0009593D" w:rsidRDefault="0009593D" w:rsidP="00840F0D"/>
        </w:tc>
        <w:tc>
          <w:tcPr>
            <w:tcW w:w="851" w:type="dxa"/>
            <w:tcBorders>
              <w:top w:val="nil"/>
              <w:left w:val="nil"/>
              <w:bottom w:val="nil"/>
              <w:right w:val="nil"/>
            </w:tcBorders>
          </w:tcPr>
          <w:p w14:paraId="49AB4C3A" w14:textId="77777777" w:rsidR="0009593D" w:rsidRDefault="0009593D" w:rsidP="00840F0D"/>
        </w:tc>
        <w:tc>
          <w:tcPr>
            <w:tcW w:w="6848" w:type="dxa"/>
            <w:gridSpan w:val="2"/>
            <w:tcBorders>
              <w:top w:val="nil"/>
              <w:left w:val="nil"/>
              <w:bottom w:val="nil"/>
              <w:right w:val="nil"/>
            </w:tcBorders>
          </w:tcPr>
          <w:p w14:paraId="4B9821BD" w14:textId="0DE0AF3B" w:rsidR="0009593D" w:rsidRDefault="0009593D" w:rsidP="008C6D9D">
            <w:r>
              <w:t xml:space="preserve">There is felt to be communication </w:t>
            </w:r>
            <w:r w:rsidR="008C6D9D">
              <w:t xml:space="preserve">problems </w:t>
            </w:r>
            <w:r>
              <w:t>between the CMHT and Wandsworth and Westminster Mind regarding service user</w:t>
            </w:r>
            <w:r w:rsidR="000F3537">
              <w:t>s</w:t>
            </w:r>
            <w:r w:rsidR="00D77101">
              <w:t>. For example, we heard of occasions when Mind had not been informed when service users were admitted to or discharged from hospital.</w:t>
            </w:r>
          </w:p>
        </w:tc>
      </w:tr>
      <w:tr w:rsidR="0009593D" w14:paraId="74CD4ECC" w14:textId="77777777" w:rsidTr="00B94A27">
        <w:tc>
          <w:tcPr>
            <w:tcW w:w="817" w:type="dxa"/>
            <w:tcBorders>
              <w:top w:val="nil"/>
              <w:left w:val="nil"/>
              <w:bottom w:val="nil"/>
              <w:right w:val="nil"/>
            </w:tcBorders>
          </w:tcPr>
          <w:p w14:paraId="2D990E2B" w14:textId="77777777" w:rsidR="0009593D" w:rsidRDefault="0009593D" w:rsidP="00840F0D"/>
        </w:tc>
        <w:tc>
          <w:tcPr>
            <w:tcW w:w="851" w:type="dxa"/>
            <w:tcBorders>
              <w:top w:val="nil"/>
              <w:left w:val="nil"/>
              <w:bottom w:val="nil"/>
              <w:right w:val="nil"/>
            </w:tcBorders>
          </w:tcPr>
          <w:p w14:paraId="63C15A6A" w14:textId="77777777" w:rsidR="0009593D" w:rsidRDefault="0009593D" w:rsidP="00840F0D"/>
        </w:tc>
        <w:tc>
          <w:tcPr>
            <w:tcW w:w="6848" w:type="dxa"/>
            <w:gridSpan w:val="2"/>
            <w:tcBorders>
              <w:top w:val="nil"/>
              <w:left w:val="nil"/>
              <w:bottom w:val="nil"/>
              <w:right w:val="nil"/>
            </w:tcBorders>
          </w:tcPr>
          <w:p w14:paraId="0BB689B3" w14:textId="77777777" w:rsidR="0009593D" w:rsidRDefault="0009593D" w:rsidP="00840F0D"/>
        </w:tc>
      </w:tr>
      <w:tr w:rsidR="0009593D" w14:paraId="1E969AAB" w14:textId="77777777" w:rsidTr="00B94A27">
        <w:tc>
          <w:tcPr>
            <w:tcW w:w="817" w:type="dxa"/>
            <w:tcBorders>
              <w:top w:val="nil"/>
              <w:left w:val="nil"/>
              <w:bottom w:val="nil"/>
              <w:right w:val="nil"/>
            </w:tcBorders>
          </w:tcPr>
          <w:p w14:paraId="5E21C908" w14:textId="77777777" w:rsidR="0009593D" w:rsidRDefault="0009593D" w:rsidP="00840F0D"/>
        </w:tc>
        <w:tc>
          <w:tcPr>
            <w:tcW w:w="851" w:type="dxa"/>
            <w:tcBorders>
              <w:top w:val="nil"/>
              <w:left w:val="nil"/>
              <w:bottom w:val="nil"/>
              <w:right w:val="nil"/>
            </w:tcBorders>
          </w:tcPr>
          <w:p w14:paraId="512A3004" w14:textId="77777777" w:rsidR="0009593D" w:rsidRDefault="0009593D" w:rsidP="00840F0D"/>
        </w:tc>
        <w:tc>
          <w:tcPr>
            <w:tcW w:w="6848" w:type="dxa"/>
            <w:gridSpan w:val="2"/>
            <w:tcBorders>
              <w:top w:val="nil"/>
              <w:left w:val="nil"/>
              <w:bottom w:val="nil"/>
              <w:right w:val="nil"/>
            </w:tcBorders>
          </w:tcPr>
          <w:p w14:paraId="5A80E9CF" w14:textId="3EB899AD" w:rsidR="00D77101" w:rsidRDefault="00D77101" w:rsidP="00D77101">
            <w:r>
              <w:t>We heard that the very limited information sharing that does take place occurs when Mind request</w:t>
            </w:r>
            <w:r w:rsidR="00F510C8">
              <w:t>s</w:t>
            </w:r>
            <w:r>
              <w:t xml:space="preserve"> it. Therefore it is difficult to keep track of service users’ circumstances. Few CPA reviews are attended and Mind reported not being informed about when they are held. Care plans are not always complete and information has to be chased from the CMHT. Emails and telephone messages to care co-ordinators go unanswered even when a service user is in crisis.</w:t>
            </w:r>
          </w:p>
        </w:tc>
      </w:tr>
      <w:tr w:rsidR="00D77101" w14:paraId="3A154594" w14:textId="77777777" w:rsidTr="00B94A27">
        <w:tc>
          <w:tcPr>
            <w:tcW w:w="817" w:type="dxa"/>
            <w:tcBorders>
              <w:top w:val="nil"/>
              <w:left w:val="nil"/>
              <w:bottom w:val="nil"/>
              <w:right w:val="nil"/>
            </w:tcBorders>
          </w:tcPr>
          <w:p w14:paraId="3D19E05C" w14:textId="77777777" w:rsidR="00D77101" w:rsidRDefault="00D77101" w:rsidP="00840F0D"/>
        </w:tc>
        <w:tc>
          <w:tcPr>
            <w:tcW w:w="851" w:type="dxa"/>
            <w:tcBorders>
              <w:top w:val="nil"/>
              <w:left w:val="nil"/>
              <w:bottom w:val="nil"/>
              <w:right w:val="nil"/>
            </w:tcBorders>
          </w:tcPr>
          <w:p w14:paraId="24C0F002" w14:textId="77777777" w:rsidR="00D77101" w:rsidRDefault="00D77101" w:rsidP="00840F0D"/>
        </w:tc>
        <w:tc>
          <w:tcPr>
            <w:tcW w:w="6848" w:type="dxa"/>
            <w:gridSpan w:val="2"/>
            <w:tcBorders>
              <w:top w:val="nil"/>
              <w:left w:val="nil"/>
              <w:bottom w:val="nil"/>
              <w:right w:val="nil"/>
            </w:tcBorders>
          </w:tcPr>
          <w:p w14:paraId="18C43440" w14:textId="77777777" w:rsidR="00353C62" w:rsidRDefault="00353C62" w:rsidP="00D77101"/>
        </w:tc>
      </w:tr>
      <w:tr w:rsidR="00D77101" w14:paraId="3F11BE7D" w14:textId="77777777" w:rsidTr="00B94A27">
        <w:tc>
          <w:tcPr>
            <w:tcW w:w="817" w:type="dxa"/>
            <w:tcBorders>
              <w:top w:val="nil"/>
              <w:left w:val="nil"/>
              <w:bottom w:val="nil"/>
              <w:right w:val="nil"/>
            </w:tcBorders>
          </w:tcPr>
          <w:p w14:paraId="1B4CE22C" w14:textId="77777777" w:rsidR="00D77101" w:rsidRDefault="00D77101" w:rsidP="00840F0D"/>
        </w:tc>
        <w:tc>
          <w:tcPr>
            <w:tcW w:w="851" w:type="dxa"/>
            <w:tcBorders>
              <w:top w:val="nil"/>
              <w:left w:val="nil"/>
              <w:bottom w:val="nil"/>
              <w:right w:val="nil"/>
            </w:tcBorders>
          </w:tcPr>
          <w:p w14:paraId="6F8D6588" w14:textId="77777777" w:rsidR="00D77101" w:rsidRDefault="00D77101" w:rsidP="00840F0D"/>
        </w:tc>
        <w:tc>
          <w:tcPr>
            <w:tcW w:w="6848" w:type="dxa"/>
            <w:gridSpan w:val="2"/>
            <w:tcBorders>
              <w:top w:val="nil"/>
              <w:left w:val="nil"/>
              <w:bottom w:val="nil"/>
              <w:right w:val="nil"/>
            </w:tcBorders>
          </w:tcPr>
          <w:p w14:paraId="1E7D1169" w14:textId="6B3CC861" w:rsidR="00D77101" w:rsidRPr="00F510C8" w:rsidRDefault="00D77101" w:rsidP="00D40573">
            <w:r w:rsidRPr="00F510C8">
              <w:t xml:space="preserve">The picture </w:t>
            </w:r>
            <w:r w:rsidR="00D40573" w:rsidRPr="00F510C8">
              <w:t xml:space="preserve">described by </w:t>
            </w:r>
            <w:r w:rsidRPr="00F510C8">
              <w:t xml:space="preserve">Optivo </w:t>
            </w:r>
            <w:r w:rsidR="00D40573" w:rsidRPr="00F510C8">
              <w:t xml:space="preserve">was </w:t>
            </w:r>
            <w:r w:rsidRPr="00F510C8">
              <w:t xml:space="preserve">very similar </w:t>
            </w:r>
            <w:r w:rsidR="00353C62" w:rsidRPr="00F510C8">
              <w:t xml:space="preserve">to that of MIND </w:t>
            </w:r>
            <w:r w:rsidRPr="00F510C8">
              <w:t xml:space="preserve">with very poor quality of communication reported. </w:t>
            </w:r>
            <w:r w:rsidR="0051255B" w:rsidRPr="00F510C8">
              <w:t>As described, t</w:t>
            </w:r>
            <w:r w:rsidRPr="00F510C8">
              <w:t xml:space="preserve">here was an improvement following the DHR followed by a decline when a key member of CMHT staff left. The picture of having to chase care co-ordinators for information </w:t>
            </w:r>
            <w:r w:rsidR="00926E48" w:rsidRPr="00F510C8">
              <w:t xml:space="preserve">and of emails and telephone messages going unanswered was also </w:t>
            </w:r>
            <w:r w:rsidR="00D40573" w:rsidRPr="00F510C8">
              <w:t xml:space="preserve">described </w:t>
            </w:r>
            <w:r w:rsidR="00926E48" w:rsidRPr="00F510C8">
              <w:t>by Optivo.</w:t>
            </w:r>
          </w:p>
        </w:tc>
      </w:tr>
      <w:tr w:rsidR="00D77101" w14:paraId="43E468B1" w14:textId="77777777" w:rsidTr="00B94A27">
        <w:tc>
          <w:tcPr>
            <w:tcW w:w="817" w:type="dxa"/>
            <w:tcBorders>
              <w:top w:val="nil"/>
              <w:left w:val="nil"/>
              <w:bottom w:val="nil"/>
              <w:right w:val="nil"/>
            </w:tcBorders>
          </w:tcPr>
          <w:p w14:paraId="3315684B" w14:textId="77777777" w:rsidR="00D77101" w:rsidRDefault="00D77101" w:rsidP="00840F0D"/>
        </w:tc>
        <w:tc>
          <w:tcPr>
            <w:tcW w:w="851" w:type="dxa"/>
            <w:tcBorders>
              <w:top w:val="nil"/>
              <w:left w:val="nil"/>
              <w:bottom w:val="nil"/>
              <w:right w:val="nil"/>
            </w:tcBorders>
          </w:tcPr>
          <w:p w14:paraId="574ED9EA" w14:textId="77777777" w:rsidR="00D77101" w:rsidRDefault="00D77101" w:rsidP="00840F0D"/>
        </w:tc>
        <w:tc>
          <w:tcPr>
            <w:tcW w:w="6848" w:type="dxa"/>
            <w:gridSpan w:val="2"/>
            <w:tcBorders>
              <w:top w:val="nil"/>
              <w:left w:val="nil"/>
              <w:bottom w:val="nil"/>
              <w:right w:val="nil"/>
            </w:tcBorders>
          </w:tcPr>
          <w:p w14:paraId="070AC997" w14:textId="77777777" w:rsidR="00F510C8" w:rsidRDefault="00F510C8" w:rsidP="00D77101"/>
        </w:tc>
      </w:tr>
      <w:tr w:rsidR="00D77101" w14:paraId="464A359D" w14:textId="77777777" w:rsidTr="00B94A27">
        <w:tc>
          <w:tcPr>
            <w:tcW w:w="817" w:type="dxa"/>
            <w:tcBorders>
              <w:top w:val="nil"/>
              <w:left w:val="nil"/>
              <w:bottom w:val="nil"/>
              <w:right w:val="nil"/>
            </w:tcBorders>
          </w:tcPr>
          <w:p w14:paraId="099EE6BD" w14:textId="77777777" w:rsidR="00D77101" w:rsidRDefault="00D77101" w:rsidP="00840F0D"/>
        </w:tc>
        <w:tc>
          <w:tcPr>
            <w:tcW w:w="851" w:type="dxa"/>
            <w:tcBorders>
              <w:top w:val="nil"/>
              <w:left w:val="nil"/>
              <w:bottom w:val="nil"/>
              <w:right w:val="nil"/>
            </w:tcBorders>
          </w:tcPr>
          <w:p w14:paraId="3006A885" w14:textId="77777777" w:rsidR="00D77101" w:rsidRDefault="00D77101" w:rsidP="00840F0D"/>
        </w:tc>
        <w:tc>
          <w:tcPr>
            <w:tcW w:w="6848" w:type="dxa"/>
            <w:gridSpan w:val="2"/>
            <w:tcBorders>
              <w:top w:val="nil"/>
              <w:left w:val="nil"/>
              <w:bottom w:val="nil"/>
              <w:right w:val="nil"/>
            </w:tcBorders>
          </w:tcPr>
          <w:p w14:paraId="0A7BB137" w14:textId="3FF9B43D" w:rsidR="00D77101" w:rsidRDefault="00D8009C" w:rsidP="00D77101">
            <w:r>
              <w:t xml:space="preserve">With regard to GPs, there is now an integrated mental and physical health service in Wandsworth. Wandsworth Primary Care Plus aims to improve </w:t>
            </w:r>
            <w:r w:rsidR="00B44B7B">
              <w:t xml:space="preserve">pathways between primary and secondary care and also improve </w:t>
            </w:r>
            <w:r>
              <w:t>care and clinical outcomes for people with co-mo</w:t>
            </w:r>
            <w:r w:rsidR="00B44B7B">
              <w:t>r</w:t>
            </w:r>
            <w:r>
              <w:t>bid mental health and physical health care needs. It is a multi agenc</w:t>
            </w:r>
            <w:r w:rsidR="00F510C8">
              <w:t>y provider, including SWLStG, l</w:t>
            </w:r>
            <w:r w:rsidR="00443748">
              <w:t>o</w:t>
            </w:r>
            <w:r>
              <w:t>ca</w:t>
            </w:r>
            <w:r w:rsidR="00F510C8">
              <w:t>l GP services, f</w:t>
            </w:r>
            <w:r w:rsidR="00B44B7B">
              <w:t>amily service</w:t>
            </w:r>
            <w:r w:rsidR="00F510C8">
              <w:t>s</w:t>
            </w:r>
            <w:r w:rsidR="00B44B7B">
              <w:t xml:space="preserve"> and local service user and c</w:t>
            </w:r>
            <w:r>
              <w:t>arer</w:t>
            </w:r>
            <w:r w:rsidR="00B44B7B">
              <w:t xml:space="preserve"> groups.</w:t>
            </w:r>
          </w:p>
        </w:tc>
      </w:tr>
      <w:tr w:rsidR="000F3537" w14:paraId="5561FF53" w14:textId="77777777" w:rsidTr="00B94A27">
        <w:tc>
          <w:tcPr>
            <w:tcW w:w="817" w:type="dxa"/>
            <w:tcBorders>
              <w:top w:val="nil"/>
              <w:left w:val="nil"/>
              <w:bottom w:val="nil"/>
              <w:right w:val="nil"/>
            </w:tcBorders>
          </w:tcPr>
          <w:p w14:paraId="64541B48" w14:textId="77777777" w:rsidR="000F3537" w:rsidRDefault="000F3537" w:rsidP="00840F0D"/>
        </w:tc>
        <w:tc>
          <w:tcPr>
            <w:tcW w:w="851" w:type="dxa"/>
            <w:tcBorders>
              <w:top w:val="nil"/>
              <w:left w:val="nil"/>
              <w:bottom w:val="nil"/>
              <w:right w:val="nil"/>
            </w:tcBorders>
          </w:tcPr>
          <w:p w14:paraId="09A77386" w14:textId="77777777" w:rsidR="000F3537" w:rsidRDefault="000F3537" w:rsidP="00840F0D"/>
        </w:tc>
        <w:tc>
          <w:tcPr>
            <w:tcW w:w="6848" w:type="dxa"/>
            <w:gridSpan w:val="2"/>
            <w:tcBorders>
              <w:top w:val="nil"/>
              <w:left w:val="nil"/>
              <w:bottom w:val="nil"/>
              <w:right w:val="nil"/>
            </w:tcBorders>
          </w:tcPr>
          <w:p w14:paraId="78079166" w14:textId="77777777" w:rsidR="006536E6" w:rsidRDefault="006536E6" w:rsidP="00D77101"/>
        </w:tc>
      </w:tr>
      <w:tr w:rsidR="000F3537" w14:paraId="77B0B8A0" w14:textId="77777777" w:rsidTr="00B94A27">
        <w:tc>
          <w:tcPr>
            <w:tcW w:w="817" w:type="dxa"/>
            <w:tcBorders>
              <w:top w:val="nil"/>
              <w:left w:val="nil"/>
              <w:bottom w:val="nil"/>
              <w:right w:val="nil"/>
            </w:tcBorders>
          </w:tcPr>
          <w:p w14:paraId="4F928774" w14:textId="77777777" w:rsidR="000F3537" w:rsidRDefault="000F3537" w:rsidP="00840F0D"/>
        </w:tc>
        <w:tc>
          <w:tcPr>
            <w:tcW w:w="851" w:type="dxa"/>
            <w:tcBorders>
              <w:top w:val="nil"/>
              <w:left w:val="nil"/>
              <w:bottom w:val="nil"/>
              <w:right w:val="nil"/>
            </w:tcBorders>
          </w:tcPr>
          <w:p w14:paraId="43635A63" w14:textId="77777777" w:rsidR="000F3537" w:rsidRDefault="000F3537" w:rsidP="00840F0D"/>
        </w:tc>
        <w:tc>
          <w:tcPr>
            <w:tcW w:w="6848" w:type="dxa"/>
            <w:gridSpan w:val="2"/>
            <w:tcBorders>
              <w:top w:val="nil"/>
              <w:left w:val="nil"/>
              <w:bottom w:val="nil"/>
              <w:right w:val="nil"/>
            </w:tcBorders>
          </w:tcPr>
          <w:p w14:paraId="558F5B5C" w14:textId="341E218B" w:rsidR="000F3537" w:rsidRDefault="000F3537" w:rsidP="00680683">
            <w:r>
              <w:t xml:space="preserve">The service users and carers we spoke to reported experiencing </w:t>
            </w:r>
            <w:r w:rsidR="00680683">
              <w:t xml:space="preserve">fragmented care with </w:t>
            </w:r>
            <w:r>
              <w:t xml:space="preserve">no sense of </w:t>
            </w:r>
            <w:r w:rsidR="00680683">
              <w:t xml:space="preserve">collaboration or even communication between </w:t>
            </w:r>
            <w:r w:rsidR="0051255B">
              <w:t xml:space="preserve">the different </w:t>
            </w:r>
            <w:r w:rsidR="00680683">
              <w:t>agencies</w:t>
            </w:r>
            <w:r w:rsidR="0051255B">
              <w:t xml:space="preserve"> involved</w:t>
            </w:r>
            <w:r w:rsidR="00680683">
              <w:t xml:space="preserve">. </w:t>
            </w:r>
          </w:p>
        </w:tc>
      </w:tr>
      <w:tr w:rsidR="000F3537" w14:paraId="438C2746" w14:textId="77777777" w:rsidTr="00B94A27">
        <w:tc>
          <w:tcPr>
            <w:tcW w:w="817" w:type="dxa"/>
            <w:tcBorders>
              <w:top w:val="nil"/>
              <w:left w:val="nil"/>
              <w:bottom w:val="nil"/>
              <w:right w:val="nil"/>
            </w:tcBorders>
          </w:tcPr>
          <w:p w14:paraId="42DCB8A7" w14:textId="77777777" w:rsidR="000F3537" w:rsidRDefault="000F3537" w:rsidP="00840F0D"/>
        </w:tc>
        <w:tc>
          <w:tcPr>
            <w:tcW w:w="851" w:type="dxa"/>
            <w:tcBorders>
              <w:top w:val="nil"/>
              <w:left w:val="nil"/>
              <w:bottom w:val="nil"/>
              <w:right w:val="nil"/>
            </w:tcBorders>
          </w:tcPr>
          <w:p w14:paraId="28A4B849" w14:textId="77777777" w:rsidR="000F3537" w:rsidRDefault="000F3537" w:rsidP="00840F0D"/>
        </w:tc>
        <w:tc>
          <w:tcPr>
            <w:tcW w:w="6848" w:type="dxa"/>
            <w:gridSpan w:val="2"/>
            <w:tcBorders>
              <w:top w:val="nil"/>
              <w:left w:val="nil"/>
              <w:bottom w:val="nil"/>
              <w:right w:val="nil"/>
            </w:tcBorders>
          </w:tcPr>
          <w:p w14:paraId="523E8549" w14:textId="77777777" w:rsidR="000F3537" w:rsidRDefault="000F3537" w:rsidP="00D77101"/>
        </w:tc>
      </w:tr>
      <w:tr w:rsidR="00466B5A" w14:paraId="44A1589F" w14:textId="77777777" w:rsidTr="00B94A27">
        <w:tc>
          <w:tcPr>
            <w:tcW w:w="817" w:type="dxa"/>
            <w:tcBorders>
              <w:top w:val="nil"/>
              <w:left w:val="nil"/>
              <w:bottom w:val="nil"/>
              <w:right w:val="nil"/>
            </w:tcBorders>
          </w:tcPr>
          <w:p w14:paraId="71ECFC92" w14:textId="40AA424A" w:rsidR="00466B5A" w:rsidRDefault="00466B5A" w:rsidP="00840F0D"/>
        </w:tc>
        <w:tc>
          <w:tcPr>
            <w:tcW w:w="851" w:type="dxa"/>
            <w:tcBorders>
              <w:top w:val="nil"/>
              <w:left w:val="nil"/>
              <w:bottom w:val="nil"/>
              <w:right w:val="nil"/>
            </w:tcBorders>
          </w:tcPr>
          <w:p w14:paraId="2BA258A3" w14:textId="77777777" w:rsidR="00466B5A" w:rsidRDefault="00466B5A" w:rsidP="00840F0D"/>
        </w:tc>
        <w:tc>
          <w:tcPr>
            <w:tcW w:w="850" w:type="dxa"/>
            <w:tcBorders>
              <w:top w:val="nil"/>
              <w:left w:val="nil"/>
              <w:bottom w:val="nil"/>
              <w:right w:val="nil"/>
            </w:tcBorders>
          </w:tcPr>
          <w:p w14:paraId="40983E8B" w14:textId="2BA421D4" w:rsidR="00466B5A" w:rsidRPr="00466B5A" w:rsidRDefault="00466B5A" w:rsidP="00840F0D">
            <w:pPr>
              <w:rPr>
                <w:b/>
                <w:color w:val="4F6228" w:themeColor="accent3" w:themeShade="80"/>
              </w:rPr>
            </w:pPr>
            <w:r w:rsidRPr="00466B5A">
              <w:rPr>
                <w:b/>
                <w:color w:val="4F6228" w:themeColor="accent3" w:themeShade="80"/>
              </w:rPr>
              <w:t>2.6.8.</w:t>
            </w:r>
          </w:p>
        </w:tc>
        <w:tc>
          <w:tcPr>
            <w:tcW w:w="5998" w:type="dxa"/>
            <w:tcBorders>
              <w:top w:val="nil"/>
              <w:left w:val="nil"/>
              <w:bottom w:val="nil"/>
              <w:right w:val="nil"/>
            </w:tcBorders>
          </w:tcPr>
          <w:p w14:paraId="0E2F38C3" w14:textId="097EA93F" w:rsidR="00466B5A" w:rsidRPr="00466B5A" w:rsidRDefault="00466B5A" w:rsidP="00840F0D">
            <w:pPr>
              <w:rPr>
                <w:b/>
                <w:color w:val="4F6228" w:themeColor="accent3" w:themeShade="80"/>
              </w:rPr>
            </w:pPr>
            <w:r w:rsidRPr="00466B5A">
              <w:rPr>
                <w:b/>
                <w:color w:val="4F6228" w:themeColor="accent3" w:themeShade="80"/>
              </w:rPr>
              <w:t>Review the development and implementation of a shared protocol between Trust and Primary Care Groups, to establish clear shared care arrangements between CMHT’s and GPs (as identified by previous homicide in 2010)</w:t>
            </w:r>
          </w:p>
        </w:tc>
      </w:tr>
      <w:tr w:rsidR="00353C62" w14:paraId="032A261F" w14:textId="77777777" w:rsidTr="00B94A27">
        <w:tc>
          <w:tcPr>
            <w:tcW w:w="817" w:type="dxa"/>
            <w:tcBorders>
              <w:top w:val="nil"/>
              <w:left w:val="nil"/>
              <w:bottom w:val="nil"/>
              <w:right w:val="nil"/>
            </w:tcBorders>
          </w:tcPr>
          <w:p w14:paraId="7CDA5975" w14:textId="77777777" w:rsidR="00353C62" w:rsidRDefault="00353C62" w:rsidP="00840F0D"/>
        </w:tc>
        <w:tc>
          <w:tcPr>
            <w:tcW w:w="851" w:type="dxa"/>
            <w:tcBorders>
              <w:top w:val="nil"/>
              <w:left w:val="nil"/>
              <w:bottom w:val="nil"/>
              <w:right w:val="nil"/>
            </w:tcBorders>
          </w:tcPr>
          <w:p w14:paraId="5FA6EB0B" w14:textId="77777777" w:rsidR="00353C62" w:rsidRDefault="00353C62" w:rsidP="00840F0D"/>
        </w:tc>
        <w:tc>
          <w:tcPr>
            <w:tcW w:w="850" w:type="dxa"/>
            <w:tcBorders>
              <w:top w:val="nil"/>
              <w:left w:val="nil"/>
              <w:bottom w:val="nil"/>
              <w:right w:val="nil"/>
            </w:tcBorders>
          </w:tcPr>
          <w:p w14:paraId="2193E37C" w14:textId="77777777" w:rsidR="00353C62" w:rsidRPr="00466B5A" w:rsidRDefault="00353C62" w:rsidP="00840F0D">
            <w:pPr>
              <w:rPr>
                <w:b/>
                <w:color w:val="4F6228" w:themeColor="accent3" w:themeShade="80"/>
              </w:rPr>
            </w:pPr>
          </w:p>
        </w:tc>
        <w:tc>
          <w:tcPr>
            <w:tcW w:w="5998" w:type="dxa"/>
            <w:tcBorders>
              <w:top w:val="nil"/>
              <w:left w:val="nil"/>
              <w:bottom w:val="nil"/>
              <w:right w:val="nil"/>
            </w:tcBorders>
          </w:tcPr>
          <w:p w14:paraId="418AC165" w14:textId="77777777" w:rsidR="00353C62" w:rsidRPr="00466B5A" w:rsidRDefault="00353C62" w:rsidP="00840F0D">
            <w:pPr>
              <w:rPr>
                <w:b/>
                <w:color w:val="4F6228" w:themeColor="accent3" w:themeShade="80"/>
              </w:rPr>
            </w:pPr>
          </w:p>
        </w:tc>
      </w:tr>
      <w:tr w:rsidR="00466B5A" w14:paraId="5657D536" w14:textId="77777777" w:rsidTr="00B94A27">
        <w:tc>
          <w:tcPr>
            <w:tcW w:w="817" w:type="dxa"/>
            <w:tcBorders>
              <w:top w:val="nil"/>
              <w:left w:val="nil"/>
              <w:bottom w:val="nil"/>
              <w:right w:val="nil"/>
            </w:tcBorders>
          </w:tcPr>
          <w:p w14:paraId="595DA8D3" w14:textId="77777777" w:rsidR="00466B5A" w:rsidRDefault="00466B5A" w:rsidP="00840F0D"/>
        </w:tc>
        <w:tc>
          <w:tcPr>
            <w:tcW w:w="851" w:type="dxa"/>
            <w:tcBorders>
              <w:top w:val="nil"/>
              <w:left w:val="nil"/>
              <w:bottom w:val="nil"/>
              <w:right w:val="nil"/>
            </w:tcBorders>
          </w:tcPr>
          <w:p w14:paraId="792283A3" w14:textId="77777777" w:rsidR="00466B5A" w:rsidRDefault="00466B5A" w:rsidP="00840F0D"/>
        </w:tc>
        <w:tc>
          <w:tcPr>
            <w:tcW w:w="6848" w:type="dxa"/>
            <w:gridSpan w:val="2"/>
            <w:tcBorders>
              <w:top w:val="nil"/>
              <w:left w:val="nil"/>
              <w:bottom w:val="nil"/>
              <w:right w:val="nil"/>
            </w:tcBorders>
          </w:tcPr>
          <w:p w14:paraId="3C20EE04" w14:textId="35637386" w:rsidR="00466B5A" w:rsidRDefault="0051255B" w:rsidP="00C076E5">
            <w:r>
              <w:t>Despite considerable searching, w</w:t>
            </w:r>
            <w:r w:rsidR="00680683">
              <w:t xml:space="preserve">e were unable to locate a shared protocol between Trust and primary care. Nobody we met with from any agency knew anything about a shared protocol. However there were </w:t>
            </w:r>
            <w:r w:rsidR="00E650D6">
              <w:t xml:space="preserve">CCG commissioned </w:t>
            </w:r>
            <w:r w:rsidR="00680683">
              <w:t xml:space="preserve">joint </w:t>
            </w:r>
            <w:r w:rsidR="00B44B7B">
              <w:t xml:space="preserve">mental health and primary care </w:t>
            </w:r>
            <w:r w:rsidR="00680683">
              <w:t xml:space="preserve">services in </w:t>
            </w:r>
            <w:r w:rsidR="00B44B7B">
              <w:t xml:space="preserve">place in </w:t>
            </w:r>
            <w:r w:rsidR="00680683">
              <w:t xml:space="preserve">all but one of the boroughs </w:t>
            </w:r>
            <w:r w:rsidR="008C6D9D">
              <w:t xml:space="preserve">served </w:t>
            </w:r>
            <w:r w:rsidR="00680683">
              <w:t xml:space="preserve">by the Trust. </w:t>
            </w:r>
          </w:p>
        </w:tc>
      </w:tr>
      <w:tr w:rsidR="00C076E5" w14:paraId="413D9B0B" w14:textId="77777777" w:rsidTr="00B94A27">
        <w:tc>
          <w:tcPr>
            <w:tcW w:w="817" w:type="dxa"/>
            <w:tcBorders>
              <w:top w:val="nil"/>
              <w:left w:val="nil"/>
              <w:bottom w:val="nil"/>
              <w:right w:val="nil"/>
            </w:tcBorders>
          </w:tcPr>
          <w:p w14:paraId="437522B1" w14:textId="77777777" w:rsidR="00C076E5" w:rsidRDefault="00C076E5" w:rsidP="00840F0D"/>
        </w:tc>
        <w:tc>
          <w:tcPr>
            <w:tcW w:w="851" w:type="dxa"/>
            <w:tcBorders>
              <w:top w:val="nil"/>
              <w:left w:val="nil"/>
              <w:bottom w:val="nil"/>
              <w:right w:val="nil"/>
            </w:tcBorders>
          </w:tcPr>
          <w:p w14:paraId="7FC0C287" w14:textId="77777777" w:rsidR="00C076E5" w:rsidRDefault="00C076E5" w:rsidP="00840F0D"/>
        </w:tc>
        <w:tc>
          <w:tcPr>
            <w:tcW w:w="6848" w:type="dxa"/>
            <w:gridSpan w:val="2"/>
            <w:tcBorders>
              <w:top w:val="nil"/>
              <w:left w:val="nil"/>
              <w:bottom w:val="nil"/>
              <w:right w:val="nil"/>
            </w:tcBorders>
          </w:tcPr>
          <w:p w14:paraId="20F3BA45" w14:textId="77777777" w:rsidR="00C076E5" w:rsidRDefault="00C076E5" w:rsidP="008C6D9D"/>
        </w:tc>
      </w:tr>
      <w:tr w:rsidR="00C076E5" w14:paraId="6C808EFE" w14:textId="77777777" w:rsidTr="00B94A27">
        <w:tc>
          <w:tcPr>
            <w:tcW w:w="817" w:type="dxa"/>
            <w:tcBorders>
              <w:top w:val="nil"/>
              <w:left w:val="nil"/>
              <w:bottom w:val="nil"/>
              <w:right w:val="nil"/>
            </w:tcBorders>
          </w:tcPr>
          <w:p w14:paraId="07EF15BF" w14:textId="77777777" w:rsidR="00C076E5" w:rsidRDefault="00C076E5" w:rsidP="00840F0D"/>
        </w:tc>
        <w:tc>
          <w:tcPr>
            <w:tcW w:w="851" w:type="dxa"/>
            <w:tcBorders>
              <w:top w:val="nil"/>
              <w:left w:val="nil"/>
              <w:bottom w:val="nil"/>
              <w:right w:val="nil"/>
            </w:tcBorders>
          </w:tcPr>
          <w:p w14:paraId="7A220551" w14:textId="77777777" w:rsidR="00C076E5" w:rsidRDefault="00C076E5" w:rsidP="00840F0D"/>
        </w:tc>
        <w:tc>
          <w:tcPr>
            <w:tcW w:w="6848" w:type="dxa"/>
            <w:gridSpan w:val="2"/>
            <w:tcBorders>
              <w:top w:val="nil"/>
              <w:left w:val="nil"/>
              <w:bottom w:val="nil"/>
              <w:right w:val="nil"/>
            </w:tcBorders>
          </w:tcPr>
          <w:p w14:paraId="0632F8D4" w14:textId="19B65033" w:rsidR="00C076E5" w:rsidRPr="00173237" w:rsidRDefault="00C076E5" w:rsidP="008C6D9D">
            <w:pPr>
              <w:rPr>
                <w:rFonts w:eastAsia="Times New Roman" w:cs="Times New Roman"/>
                <w:color w:val="000000"/>
              </w:rPr>
            </w:pPr>
            <w:r>
              <w:rPr>
                <w:rFonts w:eastAsia="Times New Roman" w:cs="Times New Roman"/>
                <w:color w:val="000000"/>
              </w:rPr>
              <w:t xml:space="preserve">We were provided with the annual review for the joint mental health and primary care service for </w:t>
            </w:r>
            <w:r w:rsidR="00F510C8">
              <w:rPr>
                <w:rFonts w:eastAsia="Times New Roman" w:cs="Times New Roman"/>
                <w:color w:val="000000"/>
              </w:rPr>
              <w:t xml:space="preserve">the borough of </w:t>
            </w:r>
            <w:r>
              <w:rPr>
                <w:rFonts w:eastAsia="Times New Roman" w:cs="Times New Roman"/>
                <w:color w:val="000000"/>
              </w:rPr>
              <w:t>Sutton. A</w:t>
            </w:r>
            <w:r w:rsidRPr="004E198A">
              <w:rPr>
                <w:rFonts w:eastAsia="Times New Roman" w:cs="Times New Roman"/>
                <w:color w:val="000000"/>
              </w:rPr>
              <w:t>n integrated Primary Care Mental Health Service ("Sutton Uplift") launched in July 2015 offering mental health support to the borough's residents. It was developed in partnership between South West London and St George's Mental Health Trust and local voluntary sector organisations. The service offers assessment, psychological therapies, a primary care recovery team (supporting those with severe and enduring mental illness) and a wellbeing service (promoting access to community and vocational opportunities and practical help with money and housing). The annual review showed that Uplift has met a number of Key Performance Indicators while ensuring high leve</w:t>
            </w:r>
            <w:r>
              <w:rPr>
                <w:rFonts w:eastAsia="Times New Roman" w:cs="Times New Roman"/>
                <w:color w:val="000000"/>
              </w:rPr>
              <w:t>ls of service user satisfaction.</w:t>
            </w:r>
          </w:p>
        </w:tc>
      </w:tr>
      <w:tr w:rsidR="00173237" w14:paraId="1B419364" w14:textId="77777777" w:rsidTr="00B94A27">
        <w:tc>
          <w:tcPr>
            <w:tcW w:w="817" w:type="dxa"/>
            <w:tcBorders>
              <w:top w:val="nil"/>
              <w:left w:val="nil"/>
              <w:bottom w:val="nil"/>
              <w:right w:val="nil"/>
            </w:tcBorders>
          </w:tcPr>
          <w:p w14:paraId="6C6C6E12" w14:textId="77777777" w:rsidR="00173237" w:rsidRDefault="00173237" w:rsidP="00840F0D"/>
        </w:tc>
        <w:tc>
          <w:tcPr>
            <w:tcW w:w="851" w:type="dxa"/>
            <w:tcBorders>
              <w:top w:val="nil"/>
              <w:left w:val="nil"/>
              <w:bottom w:val="nil"/>
              <w:right w:val="nil"/>
            </w:tcBorders>
          </w:tcPr>
          <w:p w14:paraId="16C78980" w14:textId="77777777" w:rsidR="00173237" w:rsidRDefault="00173237" w:rsidP="00840F0D"/>
        </w:tc>
        <w:tc>
          <w:tcPr>
            <w:tcW w:w="6848" w:type="dxa"/>
            <w:gridSpan w:val="2"/>
            <w:tcBorders>
              <w:top w:val="nil"/>
              <w:left w:val="nil"/>
              <w:bottom w:val="nil"/>
              <w:right w:val="nil"/>
            </w:tcBorders>
          </w:tcPr>
          <w:p w14:paraId="7FF2A8C5" w14:textId="77777777" w:rsidR="00173237" w:rsidRDefault="00173237" w:rsidP="008C6D9D">
            <w:pPr>
              <w:rPr>
                <w:rFonts w:eastAsia="Times New Roman" w:cs="Times New Roman"/>
                <w:color w:val="000000"/>
              </w:rPr>
            </w:pPr>
          </w:p>
        </w:tc>
      </w:tr>
      <w:tr w:rsidR="00C076E5" w14:paraId="0DA5ED19" w14:textId="77777777" w:rsidTr="00B94A27">
        <w:tc>
          <w:tcPr>
            <w:tcW w:w="817" w:type="dxa"/>
            <w:tcBorders>
              <w:top w:val="nil"/>
              <w:left w:val="nil"/>
              <w:bottom w:val="nil"/>
              <w:right w:val="nil"/>
            </w:tcBorders>
          </w:tcPr>
          <w:p w14:paraId="6628F7F7" w14:textId="77777777" w:rsidR="00C076E5" w:rsidRDefault="00C076E5" w:rsidP="00C076E5"/>
        </w:tc>
        <w:tc>
          <w:tcPr>
            <w:tcW w:w="851" w:type="dxa"/>
            <w:tcBorders>
              <w:top w:val="nil"/>
              <w:left w:val="nil"/>
              <w:bottom w:val="nil"/>
              <w:right w:val="nil"/>
            </w:tcBorders>
          </w:tcPr>
          <w:p w14:paraId="4CBDA7EE" w14:textId="77777777" w:rsidR="00C076E5" w:rsidRDefault="00C076E5" w:rsidP="00C076E5"/>
        </w:tc>
        <w:tc>
          <w:tcPr>
            <w:tcW w:w="6848" w:type="dxa"/>
            <w:gridSpan w:val="2"/>
            <w:tcBorders>
              <w:top w:val="nil"/>
              <w:left w:val="nil"/>
              <w:bottom w:val="nil"/>
              <w:right w:val="nil"/>
            </w:tcBorders>
          </w:tcPr>
          <w:p w14:paraId="22E03034" w14:textId="30F131F1" w:rsidR="00C076E5" w:rsidRDefault="00C076E5" w:rsidP="00C076E5">
            <w:r>
              <w:t>As mentioned above, in Wandsworth the joint mental health and primary care service is Primary Care Plus, which aims to improve pathways between primary and secondary care as well as improving clinical outcomes for people with co-morbid physical and mental health conditions.</w:t>
            </w:r>
          </w:p>
        </w:tc>
      </w:tr>
      <w:tr w:rsidR="00C076E5" w14:paraId="6E11416C" w14:textId="77777777" w:rsidTr="00B94A27">
        <w:tc>
          <w:tcPr>
            <w:tcW w:w="817" w:type="dxa"/>
            <w:tcBorders>
              <w:top w:val="nil"/>
              <w:left w:val="nil"/>
              <w:bottom w:val="nil"/>
              <w:right w:val="nil"/>
            </w:tcBorders>
          </w:tcPr>
          <w:p w14:paraId="61C56E2A" w14:textId="77777777" w:rsidR="00C076E5" w:rsidRDefault="00C076E5" w:rsidP="00C076E5"/>
        </w:tc>
        <w:tc>
          <w:tcPr>
            <w:tcW w:w="851" w:type="dxa"/>
            <w:tcBorders>
              <w:top w:val="nil"/>
              <w:left w:val="nil"/>
              <w:bottom w:val="nil"/>
              <w:right w:val="nil"/>
            </w:tcBorders>
          </w:tcPr>
          <w:p w14:paraId="6E20389E" w14:textId="77777777" w:rsidR="00C076E5" w:rsidRDefault="00C076E5" w:rsidP="00C076E5"/>
        </w:tc>
        <w:tc>
          <w:tcPr>
            <w:tcW w:w="6848" w:type="dxa"/>
            <w:gridSpan w:val="2"/>
            <w:tcBorders>
              <w:top w:val="nil"/>
              <w:left w:val="nil"/>
              <w:bottom w:val="nil"/>
              <w:right w:val="nil"/>
            </w:tcBorders>
          </w:tcPr>
          <w:p w14:paraId="6528ECCC" w14:textId="6943DDB9" w:rsidR="00C076E5" w:rsidRDefault="00C076E5" w:rsidP="00C076E5"/>
        </w:tc>
      </w:tr>
      <w:tr w:rsidR="00C076E5" w14:paraId="4F2A5E0E" w14:textId="77777777" w:rsidTr="00B94A27">
        <w:tc>
          <w:tcPr>
            <w:tcW w:w="817" w:type="dxa"/>
            <w:tcBorders>
              <w:top w:val="nil"/>
              <w:left w:val="nil"/>
              <w:bottom w:val="nil"/>
              <w:right w:val="nil"/>
            </w:tcBorders>
          </w:tcPr>
          <w:p w14:paraId="48F2B9B2" w14:textId="142912DA" w:rsidR="00C076E5" w:rsidRPr="00F708D7" w:rsidRDefault="00C076E5" w:rsidP="00C076E5">
            <w:pPr>
              <w:rPr>
                <w:b/>
                <w:color w:val="4F6228" w:themeColor="accent3" w:themeShade="80"/>
              </w:rPr>
            </w:pPr>
            <w:r w:rsidRPr="00F708D7">
              <w:rPr>
                <w:b/>
                <w:color w:val="4F6228" w:themeColor="accent3" w:themeShade="80"/>
              </w:rPr>
              <w:t>3.</w:t>
            </w:r>
          </w:p>
        </w:tc>
        <w:tc>
          <w:tcPr>
            <w:tcW w:w="7699" w:type="dxa"/>
            <w:gridSpan w:val="3"/>
            <w:tcBorders>
              <w:top w:val="nil"/>
              <w:left w:val="nil"/>
              <w:bottom w:val="nil"/>
              <w:right w:val="nil"/>
            </w:tcBorders>
          </w:tcPr>
          <w:p w14:paraId="57FAE4DA" w14:textId="63FD4194" w:rsidR="00C076E5" w:rsidRPr="00F708D7" w:rsidRDefault="00C076E5" w:rsidP="00C076E5">
            <w:pPr>
              <w:rPr>
                <w:b/>
                <w:color w:val="4F6228" w:themeColor="accent3" w:themeShade="80"/>
              </w:rPr>
            </w:pPr>
            <w:r>
              <w:rPr>
                <w:b/>
                <w:color w:val="4F6228" w:themeColor="accent3" w:themeShade="80"/>
              </w:rPr>
              <w:t>THE EVIDENCE BASE</w:t>
            </w:r>
          </w:p>
        </w:tc>
      </w:tr>
      <w:tr w:rsidR="00C076E5" w14:paraId="418C8EA8" w14:textId="77777777" w:rsidTr="00B94A27">
        <w:tc>
          <w:tcPr>
            <w:tcW w:w="817" w:type="dxa"/>
            <w:tcBorders>
              <w:top w:val="nil"/>
              <w:left w:val="nil"/>
              <w:bottom w:val="nil"/>
              <w:right w:val="nil"/>
            </w:tcBorders>
          </w:tcPr>
          <w:p w14:paraId="62DEED27" w14:textId="77777777" w:rsidR="00C076E5" w:rsidRPr="00F708D7" w:rsidRDefault="00C076E5" w:rsidP="00C076E5">
            <w:pPr>
              <w:rPr>
                <w:b/>
                <w:color w:val="4F6228" w:themeColor="accent3" w:themeShade="80"/>
              </w:rPr>
            </w:pPr>
          </w:p>
        </w:tc>
        <w:tc>
          <w:tcPr>
            <w:tcW w:w="7699" w:type="dxa"/>
            <w:gridSpan w:val="3"/>
            <w:tcBorders>
              <w:top w:val="nil"/>
              <w:left w:val="nil"/>
              <w:bottom w:val="nil"/>
              <w:right w:val="nil"/>
            </w:tcBorders>
          </w:tcPr>
          <w:p w14:paraId="1D3CD38D" w14:textId="77777777" w:rsidR="00C076E5" w:rsidRDefault="00C076E5" w:rsidP="00C076E5">
            <w:pPr>
              <w:rPr>
                <w:b/>
                <w:color w:val="4F6228" w:themeColor="accent3" w:themeShade="80"/>
              </w:rPr>
            </w:pPr>
          </w:p>
        </w:tc>
      </w:tr>
      <w:tr w:rsidR="00C076E5" w14:paraId="047D83FF" w14:textId="77777777" w:rsidTr="00B94A27">
        <w:tc>
          <w:tcPr>
            <w:tcW w:w="817" w:type="dxa"/>
            <w:tcBorders>
              <w:top w:val="nil"/>
              <w:left w:val="nil"/>
              <w:bottom w:val="nil"/>
              <w:right w:val="nil"/>
            </w:tcBorders>
          </w:tcPr>
          <w:p w14:paraId="0571FBC6" w14:textId="77777777" w:rsidR="00C076E5" w:rsidRDefault="00C076E5" w:rsidP="00C076E5"/>
        </w:tc>
        <w:tc>
          <w:tcPr>
            <w:tcW w:w="851" w:type="dxa"/>
            <w:tcBorders>
              <w:top w:val="nil"/>
              <w:left w:val="nil"/>
              <w:bottom w:val="nil"/>
              <w:right w:val="nil"/>
            </w:tcBorders>
          </w:tcPr>
          <w:p w14:paraId="00D48113" w14:textId="77777777" w:rsidR="00C076E5" w:rsidRDefault="00C076E5" w:rsidP="00C076E5"/>
        </w:tc>
        <w:tc>
          <w:tcPr>
            <w:tcW w:w="6848" w:type="dxa"/>
            <w:gridSpan w:val="2"/>
            <w:tcBorders>
              <w:top w:val="nil"/>
              <w:left w:val="nil"/>
              <w:bottom w:val="nil"/>
              <w:right w:val="nil"/>
            </w:tcBorders>
          </w:tcPr>
          <w:p w14:paraId="73685478" w14:textId="05F2ECFF" w:rsidR="00C076E5" w:rsidRDefault="00C076E5" w:rsidP="00C076E5">
            <w:r>
              <w:t>A recent review of the literature on homicide by perpetrators who have a diagnosis of severe and enduring mental illness (usually schizophrenia) and who are under the care of CMHTs at the time of the offence was carried out in order to locate the findings and recommendations of this review in sound research evidence (The full review can be found in appendix B).</w:t>
            </w:r>
          </w:p>
        </w:tc>
      </w:tr>
      <w:tr w:rsidR="00C076E5" w14:paraId="78F618F9" w14:textId="77777777" w:rsidTr="00B94A27">
        <w:tc>
          <w:tcPr>
            <w:tcW w:w="817" w:type="dxa"/>
            <w:tcBorders>
              <w:top w:val="nil"/>
              <w:left w:val="nil"/>
              <w:bottom w:val="nil"/>
              <w:right w:val="nil"/>
            </w:tcBorders>
          </w:tcPr>
          <w:p w14:paraId="3B18646A" w14:textId="77777777" w:rsidR="00C076E5" w:rsidRDefault="00C076E5" w:rsidP="00C076E5"/>
        </w:tc>
        <w:tc>
          <w:tcPr>
            <w:tcW w:w="851" w:type="dxa"/>
            <w:tcBorders>
              <w:top w:val="nil"/>
              <w:left w:val="nil"/>
              <w:bottom w:val="nil"/>
              <w:right w:val="nil"/>
            </w:tcBorders>
          </w:tcPr>
          <w:p w14:paraId="31D0FDB1" w14:textId="77777777" w:rsidR="00C076E5" w:rsidRDefault="00C076E5" w:rsidP="00C076E5"/>
        </w:tc>
        <w:tc>
          <w:tcPr>
            <w:tcW w:w="6848" w:type="dxa"/>
            <w:gridSpan w:val="2"/>
            <w:tcBorders>
              <w:top w:val="nil"/>
              <w:left w:val="nil"/>
              <w:bottom w:val="nil"/>
              <w:right w:val="nil"/>
            </w:tcBorders>
          </w:tcPr>
          <w:p w14:paraId="39A13835" w14:textId="77777777" w:rsidR="00C076E5" w:rsidRDefault="00C076E5" w:rsidP="00C076E5"/>
        </w:tc>
      </w:tr>
      <w:tr w:rsidR="00C076E5" w14:paraId="7509D18D" w14:textId="77777777" w:rsidTr="00B94A27">
        <w:tc>
          <w:tcPr>
            <w:tcW w:w="817" w:type="dxa"/>
            <w:tcBorders>
              <w:top w:val="nil"/>
              <w:left w:val="nil"/>
              <w:bottom w:val="nil"/>
              <w:right w:val="nil"/>
            </w:tcBorders>
          </w:tcPr>
          <w:p w14:paraId="32296FFC" w14:textId="77777777" w:rsidR="00C076E5" w:rsidRDefault="00C076E5" w:rsidP="00C076E5"/>
        </w:tc>
        <w:tc>
          <w:tcPr>
            <w:tcW w:w="851" w:type="dxa"/>
            <w:tcBorders>
              <w:top w:val="nil"/>
              <w:left w:val="nil"/>
              <w:bottom w:val="nil"/>
              <w:right w:val="nil"/>
            </w:tcBorders>
          </w:tcPr>
          <w:p w14:paraId="7AB9D51C" w14:textId="77777777" w:rsidR="00C076E5" w:rsidRDefault="00C076E5" w:rsidP="00C076E5"/>
        </w:tc>
        <w:tc>
          <w:tcPr>
            <w:tcW w:w="6848" w:type="dxa"/>
            <w:gridSpan w:val="2"/>
            <w:tcBorders>
              <w:top w:val="nil"/>
              <w:left w:val="nil"/>
              <w:bottom w:val="nil"/>
              <w:right w:val="nil"/>
            </w:tcBorders>
          </w:tcPr>
          <w:p w14:paraId="463186B6" w14:textId="232A3D0D" w:rsidR="00C076E5" w:rsidRPr="0078207E" w:rsidRDefault="00C076E5" w:rsidP="00C076E5">
            <w:pPr>
              <w:contextualSpacing/>
              <w:rPr>
                <w:rFonts w:ascii="Cambria" w:hAnsi="Cambria"/>
              </w:rPr>
            </w:pPr>
            <w:r>
              <w:rPr>
                <w:rFonts w:ascii="Cambria" w:hAnsi="Cambria"/>
              </w:rPr>
              <w:t xml:space="preserve">In summary, the killing of family members by patients with schizophrenia is a rare event and difficult to predict; furthermore, although there are some helpful indicators of characteristics which are associated with this type of offence, they are fairly commonly encountered, and the research is not sufficiently robust to suggest that they are specific risk indictors. Factors </w:t>
            </w:r>
            <w:r w:rsidRPr="00F7242D">
              <w:rPr>
                <w:rFonts w:ascii="Cambria" w:hAnsi="Cambria"/>
                <w:b/>
              </w:rPr>
              <w:t>associated</w:t>
            </w:r>
            <w:r>
              <w:rPr>
                <w:rFonts w:ascii="Cambria" w:hAnsi="Cambria"/>
              </w:rPr>
              <w:t xml:space="preserve"> with an event, are not necessarily factors that </w:t>
            </w:r>
            <w:r w:rsidRPr="00F7242D">
              <w:rPr>
                <w:rFonts w:ascii="Cambria" w:hAnsi="Cambria"/>
                <w:b/>
              </w:rPr>
              <w:t>cause</w:t>
            </w:r>
            <w:r>
              <w:rPr>
                <w:rFonts w:ascii="Cambria" w:hAnsi="Cambria"/>
                <w:b/>
              </w:rPr>
              <w:t xml:space="preserve"> </w:t>
            </w:r>
            <w:r w:rsidRPr="00F7242D">
              <w:rPr>
                <w:rFonts w:ascii="Cambria" w:hAnsi="Cambria"/>
              </w:rPr>
              <w:t>an</w:t>
            </w:r>
            <w:r>
              <w:rPr>
                <w:rFonts w:ascii="Cambria" w:hAnsi="Cambria"/>
                <w:b/>
              </w:rPr>
              <w:t xml:space="preserve"> </w:t>
            </w:r>
            <w:r>
              <w:rPr>
                <w:rFonts w:ascii="Cambria" w:hAnsi="Cambria"/>
              </w:rPr>
              <w:t>event to take place</w:t>
            </w:r>
          </w:p>
        </w:tc>
      </w:tr>
      <w:tr w:rsidR="00C076E5" w14:paraId="52E93762" w14:textId="77777777" w:rsidTr="00B94A27">
        <w:tc>
          <w:tcPr>
            <w:tcW w:w="817" w:type="dxa"/>
            <w:tcBorders>
              <w:top w:val="nil"/>
              <w:left w:val="nil"/>
              <w:bottom w:val="nil"/>
              <w:right w:val="nil"/>
            </w:tcBorders>
          </w:tcPr>
          <w:p w14:paraId="69709D5E" w14:textId="77777777" w:rsidR="00C076E5" w:rsidRDefault="00C076E5" w:rsidP="00C076E5"/>
        </w:tc>
        <w:tc>
          <w:tcPr>
            <w:tcW w:w="851" w:type="dxa"/>
            <w:tcBorders>
              <w:top w:val="nil"/>
              <w:left w:val="nil"/>
              <w:bottom w:val="nil"/>
              <w:right w:val="nil"/>
            </w:tcBorders>
          </w:tcPr>
          <w:p w14:paraId="2052061A" w14:textId="77777777" w:rsidR="00C076E5" w:rsidRDefault="00C076E5" w:rsidP="00C076E5"/>
        </w:tc>
        <w:tc>
          <w:tcPr>
            <w:tcW w:w="6848" w:type="dxa"/>
            <w:gridSpan w:val="2"/>
            <w:tcBorders>
              <w:top w:val="nil"/>
              <w:left w:val="nil"/>
              <w:bottom w:val="nil"/>
              <w:right w:val="nil"/>
            </w:tcBorders>
          </w:tcPr>
          <w:p w14:paraId="05C0DCF4" w14:textId="77777777" w:rsidR="00C076E5" w:rsidRDefault="00C076E5" w:rsidP="00C076E5">
            <w:pPr>
              <w:contextualSpacing/>
              <w:rPr>
                <w:rFonts w:ascii="Cambria" w:hAnsi="Cambria"/>
              </w:rPr>
            </w:pPr>
          </w:p>
        </w:tc>
      </w:tr>
      <w:tr w:rsidR="00C076E5" w14:paraId="0DD275DC" w14:textId="77777777" w:rsidTr="00B94A27">
        <w:tc>
          <w:tcPr>
            <w:tcW w:w="817" w:type="dxa"/>
            <w:tcBorders>
              <w:top w:val="nil"/>
              <w:left w:val="nil"/>
              <w:bottom w:val="nil"/>
              <w:right w:val="nil"/>
            </w:tcBorders>
          </w:tcPr>
          <w:p w14:paraId="002BD36B" w14:textId="77777777" w:rsidR="00C076E5" w:rsidRDefault="00C076E5" w:rsidP="00C076E5"/>
        </w:tc>
        <w:tc>
          <w:tcPr>
            <w:tcW w:w="851" w:type="dxa"/>
            <w:tcBorders>
              <w:top w:val="nil"/>
              <w:left w:val="nil"/>
              <w:bottom w:val="nil"/>
              <w:right w:val="nil"/>
            </w:tcBorders>
          </w:tcPr>
          <w:p w14:paraId="2C5A505B" w14:textId="77777777" w:rsidR="00C076E5" w:rsidRDefault="00C076E5" w:rsidP="00C076E5"/>
        </w:tc>
        <w:tc>
          <w:tcPr>
            <w:tcW w:w="6848" w:type="dxa"/>
            <w:gridSpan w:val="2"/>
            <w:tcBorders>
              <w:top w:val="nil"/>
              <w:left w:val="nil"/>
              <w:bottom w:val="nil"/>
              <w:right w:val="nil"/>
            </w:tcBorders>
          </w:tcPr>
          <w:p w14:paraId="1FC96FCB" w14:textId="5D9E7AD5" w:rsidR="00C076E5" w:rsidRDefault="00C076E5" w:rsidP="00C076E5">
            <w:pPr>
              <w:contextualSpacing/>
              <w:rPr>
                <w:rFonts w:ascii="Cambria" w:hAnsi="Cambria"/>
              </w:rPr>
            </w:pPr>
            <w:r>
              <w:rPr>
                <w:rFonts w:ascii="Cambria" w:hAnsi="Cambria"/>
              </w:rPr>
              <w:t xml:space="preserve">Nevertheless, the evidence base suggests that male patients with schizophrenia who are single and unemployed, possibly with prior convictions and a history of psychiatric hospitalisation, but more probably with co-morbid substance misuse and prior threats against the potential family victim, should be considered as posing a greater risk. </w:t>
            </w:r>
          </w:p>
        </w:tc>
      </w:tr>
      <w:tr w:rsidR="00C076E5" w14:paraId="201AFA2B" w14:textId="77777777" w:rsidTr="00B94A27">
        <w:tc>
          <w:tcPr>
            <w:tcW w:w="817" w:type="dxa"/>
            <w:tcBorders>
              <w:top w:val="nil"/>
              <w:left w:val="nil"/>
              <w:bottom w:val="nil"/>
              <w:right w:val="nil"/>
            </w:tcBorders>
          </w:tcPr>
          <w:p w14:paraId="122FDBB2" w14:textId="77777777" w:rsidR="00C076E5" w:rsidRDefault="00C076E5" w:rsidP="00C076E5"/>
        </w:tc>
        <w:tc>
          <w:tcPr>
            <w:tcW w:w="851" w:type="dxa"/>
            <w:tcBorders>
              <w:top w:val="nil"/>
              <w:left w:val="nil"/>
              <w:bottom w:val="nil"/>
              <w:right w:val="nil"/>
            </w:tcBorders>
          </w:tcPr>
          <w:p w14:paraId="510C07CA" w14:textId="77777777" w:rsidR="00C076E5" w:rsidRDefault="00C076E5" w:rsidP="00C076E5"/>
        </w:tc>
        <w:tc>
          <w:tcPr>
            <w:tcW w:w="6848" w:type="dxa"/>
            <w:gridSpan w:val="2"/>
            <w:tcBorders>
              <w:top w:val="nil"/>
              <w:left w:val="nil"/>
              <w:bottom w:val="nil"/>
              <w:right w:val="nil"/>
            </w:tcBorders>
          </w:tcPr>
          <w:p w14:paraId="5593BF33" w14:textId="77777777" w:rsidR="00C076E5" w:rsidRDefault="00C076E5" w:rsidP="00C076E5">
            <w:pPr>
              <w:contextualSpacing/>
              <w:rPr>
                <w:rFonts w:ascii="Cambria" w:hAnsi="Cambria"/>
              </w:rPr>
            </w:pPr>
          </w:p>
        </w:tc>
      </w:tr>
      <w:tr w:rsidR="00C076E5" w14:paraId="3CBF0DDF" w14:textId="77777777" w:rsidTr="00B94A27">
        <w:tc>
          <w:tcPr>
            <w:tcW w:w="817" w:type="dxa"/>
            <w:tcBorders>
              <w:top w:val="nil"/>
              <w:left w:val="nil"/>
              <w:bottom w:val="nil"/>
              <w:right w:val="nil"/>
            </w:tcBorders>
          </w:tcPr>
          <w:p w14:paraId="0DD6A11E" w14:textId="77777777" w:rsidR="00C076E5" w:rsidRDefault="00C076E5" w:rsidP="00C076E5"/>
        </w:tc>
        <w:tc>
          <w:tcPr>
            <w:tcW w:w="851" w:type="dxa"/>
            <w:tcBorders>
              <w:top w:val="nil"/>
              <w:left w:val="nil"/>
              <w:bottom w:val="nil"/>
              <w:right w:val="nil"/>
            </w:tcBorders>
          </w:tcPr>
          <w:p w14:paraId="7DEFAEFF" w14:textId="77777777" w:rsidR="00C076E5" w:rsidRDefault="00C076E5" w:rsidP="00C076E5"/>
        </w:tc>
        <w:tc>
          <w:tcPr>
            <w:tcW w:w="6848" w:type="dxa"/>
            <w:gridSpan w:val="2"/>
            <w:tcBorders>
              <w:top w:val="nil"/>
              <w:left w:val="nil"/>
              <w:bottom w:val="nil"/>
              <w:right w:val="nil"/>
            </w:tcBorders>
          </w:tcPr>
          <w:p w14:paraId="6F196831" w14:textId="561C98CB" w:rsidR="00C076E5" w:rsidRDefault="00C076E5" w:rsidP="00C076E5">
            <w:pPr>
              <w:contextualSpacing/>
              <w:rPr>
                <w:rFonts w:ascii="Cambria" w:hAnsi="Cambria"/>
              </w:rPr>
            </w:pPr>
            <w:r>
              <w:rPr>
                <w:rFonts w:ascii="Cambria" w:hAnsi="Cambria"/>
              </w:rPr>
              <w:t>Family dynamics may well play a part, most particularly if there is evidence that the patient expresses mixed feelings about the family member, or the family member is experienced by the patient as over protective. As might be expected, stopping or reducing medication for the mental illness seems to precipitate the event, with the ensuing development of paranoid beliefs regarding the family member. There is some suggestion that the family member’s attempt to protect the patient by minimizing the impact of their illness may expose them to greater risk.</w:t>
            </w:r>
          </w:p>
        </w:tc>
      </w:tr>
      <w:tr w:rsidR="00C076E5" w14:paraId="00444520" w14:textId="77777777" w:rsidTr="00B94A27">
        <w:tc>
          <w:tcPr>
            <w:tcW w:w="817" w:type="dxa"/>
            <w:tcBorders>
              <w:top w:val="nil"/>
              <w:left w:val="nil"/>
              <w:bottom w:val="nil"/>
              <w:right w:val="nil"/>
            </w:tcBorders>
          </w:tcPr>
          <w:p w14:paraId="761E8F6B" w14:textId="77777777" w:rsidR="00C076E5" w:rsidRDefault="00C076E5" w:rsidP="00C076E5"/>
        </w:tc>
        <w:tc>
          <w:tcPr>
            <w:tcW w:w="851" w:type="dxa"/>
            <w:tcBorders>
              <w:top w:val="nil"/>
              <w:left w:val="nil"/>
              <w:bottom w:val="nil"/>
              <w:right w:val="nil"/>
            </w:tcBorders>
          </w:tcPr>
          <w:p w14:paraId="0D70E9F2" w14:textId="77777777" w:rsidR="00C076E5" w:rsidRDefault="00C076E5" w:rsidP="00C076E5"/>
        </w:tc>
        <w:tc>
          <w:tcPr>
            <w:tcW w:w="6848" w:type="dxa"/>
            <w:gridSpan w:val="2"/>
            <w:tcBorders>
              <w:top w:val="nil"/>
              <w:left w:val="nil"/>
              <w:bottom w:val="nil"/>
              <w:right w:val="nil"/>
            </w:tcBorders>
          </w:tcPr>
          <w:p w14:paraId="3FCB95F2" w14:textId="77777777" w:rsidR="00BF0F98" w:rsidRDefault="00BF0F98" w:rsidP="00C076E5">
            <w:pPr>
              <w:contextualSpacing/>
              <w:rPr>
                <w:rFonts w:ascii="Cambria" w:hAnsi="Cambria"/>
              </w:rPr>
            </w:pPr>
          </w:p>
        </w:tc>
      </w:tr>
      <w:tr w:rsidR="00C076E5" w14:paraId="3F1C5546" w14:textId="77777777" w:rsidTr="00B94A27">
        <w:tc>
          <w:tcPr>
            <w:tcW w:w="817" w:type="dxa"/>
            <w:tcBorders>
              <w:top w:val="nil"/>
              <w:left w:val="nil"/>
              <w:bottom w:val="nil"/>
              <w:right w:val="nil"/>
            </w:tcBorders>
          </w:tcPr>
          <w:p w14:paraId="65E9AA8E" w14:textId="3DDB11B8" w:rsidR="00C076E5" w:rsidRPr="00F708D7" w:rsidRDefault="00C076E5" w:rsidP="00C076E5">
            <w:pPr>
              <w:rPr>
                <w:b/>
                <w:color w:val="4F6228" w:themeColor="accent3" w:themeShade="80"/>
              </w:rPr>
            </w:pPr>
            <w:r w:rsidRPr="00F708D7">
              <w:rPr>
                <w:b/>
                <w:color w:val="4F6228" w:themeColor="accent3" w:themeShade="80"/>
              </w:rPr>
              <w:t>4.</w:t>
            </w:r>
          </w:p>
        </w:tc>
        <w:tc>
          <w:tcPr>
            <w:tcW w:w="7699" w:type="dxa"/>
            <w:gridSpan w:val="3"/>
            <w:tcBorders>
              <w:top w:val="nil"/>
              <w:left w:val="nil"/>
              <w:bottom w:val="nil"/>
              <w:right w:val="nil"/>
            </w:tcBorders>
          </w:tcPr>
          <w:p w14:paraId="65531367" w14:textId="57768AE3" w:rsidR="00C076E5" w:rsidRPr="00E06B02" w:rsidRDefault="00C076E5" w:rsidP="00C076E5">
            <w:pPr>
              <w:rPr>
                <w:b/>
                <w:color w:val="4F6228" w:themeColor="accent3" w:themeShade="80"/>
              </w:rPr>
            </w:pPr>
            <w:r w:rsidRPr="00E06B02">
              <w:rPr>
                <w:b/>
                <w:color w:val="4F6228" w:themeColor="accent3" w:themeShade="80"/>
              </w:rPr>
              <w:t>THE ORGANISATION</w:t>
            </w:r>
          </w:p>
        </w:tc>
      </w:tr>
      <w:tr w:rsidR="00C076E5" w14:paraId="456430D5" w14:textId="77777777" w:rsidTr="00B94A27">
        <w:tc>
          <w:tcPr>
            <w:tcW w:w="817" w:type="dxa"/>
            <w:tcBorders>
              <w:top w:val="nil"/>
              <w:left w:val="nil"/>
              <w:bottom w:val="nil"/>
              <w:right w:val="nil"/>
            </w:tcBorders>
          </w:tcPr>
          <w:p w14:paraId="2161DADE" w14:textId="77777777" w:rsidR="00C076E5" w:rsidRDefault="00C076E5" w:rsidP="00C076E5"/>
        </w:tc>
        <w:tc>
          <w:tcPr>
            <w:tcW w:w="851" w:type="dxa"/>
            <w:tcBorders>
              <w:top w:val="nil"/>
              <w:left w:val="nil"/>
              <w:bottom w:val="nil"/>
              <w:right w:val="nil"/>
            </w:tcBorders>
          </w:tcPr>
          <w:p w14:paraId="421635E3" w14:textId="77777777" w:rsidR="00C076E5" w:rsidRDefault="00C076E5" w:rsidP="00C076E5"/>
        </w:tc>
        <w:tc>
          <w:tcPr>
            <w:tcW w:w="6848" w:type="dxa"/>
            <w:gridSpan w:val="2"/>
            <w:tcBorders>
              <w:top w:val="nil"/>
              <w:left w:val="nil"/>
              <w:bottom w:val="nil"/>
              <w:right w:val="nil"/>
            </w:tcBorders>
          </w:tcPr>
          <w:p w14:paraId="691E2AFE" w14:textId="77777777" w:rsidR="00C076E5" w:rsidRDefault="00C076E5" w:rsidP="00C076E5"/>
        </w:tc>
      </w:tr>
      <w:tr w:rsidR="00C076E5" w14:paraId="7DAD2C2F" w14:textId="77777777" w:rsidTr="00B94A27">
        <w:tc>
          <w:tcPr>
            <w:tcW w:w="817" w:type="dxa"/>
            <w:tcBorders>
              <w:top w:val="nil"/>
              <w:left w:val="nil"/>
              <w:bottom w:val="nil"/>
              <w:right w:val="nil"/>
            </w:tcBorders>
          </w:tcPr>
          <w:p w14:paraId="0090FDA0" w14:textId="77777777" w:rsidR="00C076E5" w:rsidRDefault="00C076E5" w:rsidP="00C076E5"/>
        </w:tc>
        <w:tc>
          <w:tcPr>
            <w:tcW w:w="851" w:type="dxa"/>
            <w:tcBorders>
              <w:top w:val="nil"/>
              <w:left w:val="nil"/>
              <w:bottom w:val="nil"/>
              <w:right w:val="nil"/>
            </w:tcBorders>
          </w:tcPr>
          <w:p w14:paraId="555E8F1B" w14:textId="77777777" w:rsidR="00C076E5" w:rsidRDefault="00C076E5" w:rsidP="00C076E5"/>
        </w:tc>
        <w:tc>
          <w:tcPr>
            <w:tcW w:w="6848" w:type="dxa"/>
            <w:gridSpan w:val="2"/>
            <w:tcBorders>
              <w:top w:val="nil"/>
              <w:left w:val="nil"/>
              <w:bottom w:val="nil"/>
              <w:right w:val="nil"/>
            </w:tcBorders>
          </w:tcPr>
          <w:p w14:paraId="27A4F08D" w14:textId="1C3015E4" w:rsidR="00C076E5" w:rsidRDefault="00C076E5" w:rsidP="00C076E5">
            <w:r>
              <w:t xml:space="preserve">Given the extent and impact of change and restructure over a number of years, we felt it was important to include an overview about our experiences of the organisation, including its culture. Our hope is to further anchor the review. We found the Trust to be an organisation in transition. The impression gained was of there being a history of tremendous pressure brought about by repeated change, over recent years. These changes include restructures, team reconfigurations and closures, service closures, personnel changes throughout all levels of the management structure including at executive level which has also brought changes of philosophy and priorities. In the midst of this, there has been a loss of organisational memory making it difficult to track actions or locate data referring to the past. Indeed with regard to this incident, we found that the Trust was unable to provide satisfactory evidence regarding the implementation of recommendations from the Trust RCA and DHR that followed this domestic homicide. In this regard, the experience was of informality and the vestiges of resistance to learning lessons from serious incidents. </w:t>
            </w:r>
          </w:p>
        </w:tc>
      </w:tr>
      <w:tr w:rsidR="00C076E5" w14:paraId="6660E1D7" w14:textId="77777777" w:rsidTr="00B94A27">
        <w:tc>
          <w:tcPr>
            <w:tcW w:w="817" w:type="dxa"/>
            <w:tcBorders>
              <w:top w:val="nil"/>
              <w:left w:val="nil"/>
              <w:bottom w:val="nil"/>
              <w:right w:val="nil"/>
            </w:tcBorders>
          </w:tcPr>
          <w:p w14:paraId="22BDCF0F" w14:textId="77777777" w:rsidR="00C076E5" w:rsidRDefault="00C076E5" w:rsidP="00C076E5"/>
        </w:tc>
        <w:tc>
          <w:tcPr>
            <w:tcW w:w="851" w:type="dxa"/>
            <w:tcBorders>
              <w:top w:val="nil"/>
              <w:left w:val="nil"/>
              <w:bottom w:val="nil"/>
              <w:right w:val="nil"/>
            </w:tcBorders>
          </w:tcPr>
          <w:p w14:paraId="66BD3881" w14:textId="77777777" w:rsidR="00C076E5" w:rsidRDefault="00C076E5" w:rsidP="00C076E5"/>
        </w:tc>
        <w:tc>
          <w:tcPr>
            <w:tcW w:w="6848" w:type="dxa"/>
            <w:gridSpan w:val="2"/>
            <w:tcBorders>
              <w:top w:val="nil"/>
              <w:left w:val="nil"/>
              <w:bottom w:val="nil"/>
              <w:right w:val="nil"/>
            </w:tcBorders>
          </w:tcPr>
          <w:p w14:paraId="042DA6B3" w14:textId="77777777" w:rsidR="00C076E5" w:rsidRDefault="00C076E5" w:rsidP="00C076E5"/>
        </w:tc>
      </w:tr>
      <w:tr w:rsidR="00C076E5" w14:paraId="30BAB199" w14:textId="77777777" w:rsidTr="00B94A27">
        <w:tc>
          <w:tcPr>
            <w:tcW w:w="817" w:type="dxa"/>
            <w:tcBorders>
              <w:top w:val="nil"/>
              <w:left w:val="nil"/>
              <w:bottom w:val="nil"/>
              <w:right w:val="nil"/>
            </w:tcBorders>
          </w:tcPr>
          <w:p w14:paraId="2F5772D9" w14:textId="77777777" w:rsidR="00C076E5" w:rsidRDefault="00C076E5" w:rsidP="00C076E5"/>
        </w:tc>
        <w:tc>
          <w:tcPr>
            <w:tcW w:w="851" w:type="dxa"/>
            <w:tcBorders>
              <w:top w:val="nil"/>
              <w:left w:val="nil"/>
              <w:bottom w:val="nil"/>
              <w:right w:val="nil"/>
            </w:tcBorders>
          </w:tcPr>
          <w:p w14:paraId="48DDB198" w14:textId="77777777" w:rsidR="00C076E5" w:rsidRDefault="00C076E5" w:rsidP="00C076E5"/>
        </w:tc>
        <w:tc>
          <w:tcPr>
            <w:tcW w:w="6848" w:type="dxa"/>
            <w:gridSpan w:val="2"/>
            <w:tcBorders>
              <w:top w:val="nil"/>
              <w:left w:val="nil"/>
              <w:bottom w:val="nil"/>
              <w:right w:val="nil"/>
            </w:tcBorders>
          </w:tcPr>
          <w:p w14:paraId="7BF2E7FC" w14:textId="12649413" w:rsidR="00C076E5" w:rsidRDefault="00C076E5" w:rsidP="00C076E5">
            <w:r>
              <w:t>Despite the above, we were pleased to find current senior leaders who were committed to driving through strong systems of management and integrated quality governance within clear structures in place from floor to board. This progress is at a relatively early stage and will require further time to fully embed, especially at the front line of care delivery. It is hoped that this progress will continue, providing a stable and robust context, which supports optimal care delivery.</w:t>
            </w:r>
          </w:p>
        </w:tc>
      </w:tr>
      <w:tr w:rsidR="00C076E5" w14:paraId="37E27E98" w14:textId="77777777" w:rsidTr="00B94A27">
        <w:tc>
          <w:tcPr>
            <w:tcW w:w="817" w:type="dxa"/>
            <w:tcBorders>
              <w:top w:val="nil"/>
              <w:left w:val="nil"/>
              <w:bottom w:val="nil"/>
              <w:right w:val="nil"/>
            </w:tcBorders>
          </w:tcPr>
          <w:p w14:paraId="3C3881BF" w14:textId="77777777" w:rsidR="00C076E5" w:rsidRDefault="00C076E5" w:rsidP="00C076E5"/>
        </w:tc>
        <w:tc>
          <w:tcPr>
            <w:tcW w:w="851" w:type="dxa"/>
            <w:tcBorders>
              <w:top w:val="nil"/>
              <w:left w:val="nil"/>
              <w:bottom w:val="nil"/>
              <w:right w:val="nil"/>
            </w:tcBorders>
          </w:tcPr>
          <w:p w14:paraId="5ED66270" w14:textId="77777777" w:rsidR="00C076E5" w:rsidRDefault="00C076E5" w:rsidP="00C076E5"/>
        </w:tc>
        <w:tc>
          <w:tcPr>
            <w:tcW w:w="6848" w:type="dxa"/>
            <w:gridSpan w:val="2"/>
            <w:tcBorders>
              <w:top w:val="nil"/>
              <w:left w:val="nil"/>
              <w:bottom w:val="nil"/>
              <w:right w:val="nil"/>
            </w:tcBorders>
          </w:tcPr>
          <w:p w14:paraId="618B4BA9" w14:textId="77777777" w:rsidR="00C076E5" w:rsidRDefault="00C076E5" w:rsidP="00C076E5"/>
        </w:tc>
      </w:tr>
      <w:tr w:rsidR="00C076E5" w14:paraId="5EECF06F" w14:textId="77777777" w:rsidTr="00B94A27">
        <w:tc>
          <w:tcPr>
            <w:tcW w:w="817" w:type="dxa"/>
            <w:tcBorders>
              <w:top w:val="nil"/>
              <w:left w:val="nil"/>
              <w:bottom w:val="nil"/>
              <w:right w:val="nil"/>
            </w:tcBorders>
          </w:tcPr>
          <w:p w14:paraId="7728ED15" w14:textId="77777777" w:rsidR="00C076E5" w:rsidRDefault="00C076E5" w:rsidP="00C076E5"/>
        </w:tc>
        <w:tc>
          <w:tcPr>
            <w:tcW w:w="851" w:type="dxa"/>
            <w:tcBorders>
              <w:top w:val="nil"/>
              <w:left w:val="nil"/>
              <w:bottom w:val="nil"/>
              <w:right w:val="nil"/>
            </w:tcBorders>
          </w:tcPr>
          <w:p w14:paraId="781C40A0" w14:textId="77777777" w:rsidR="00C076E5" w:rsidRDefault="00C076E5" w:rsidP="00C076E5"/>
        </w:tc>
        <w:tc>
          <w:tcPr>
            <w:tcW w:w="6848" w:type="dxa"/>
            <w:gridSpan w:val="2"/>
            <w:tcBorders>
              <w:top w:val="nil"/>
              <w:left w:val="nil"/>
              <w:bottom w:val="nil"/>
              <w:right w:val="nil"/>
            </w:tcBorders>
          </w:tcPr>
          <w:p w14:paraId="6EE84005" w14:textId="68CB89F4" w:rsidR="00C076E5" w:rsidRPr="00CB54A8" w:rsidRDefault="00C076E5" w:rsidP="00C076E5">
            <w:r w:rsidRPr="00CB54A8">
              <w:t xml:space="preserve">In terms of further positive observations about the organisation, we found repeated examples of good practice and excellence. The Trust has </w:t>
            </w:r>
            <w:r w:rsidR="00CB54A8">
              <w:t xml:space="preserve">enjoyed </w:t>
            </w:r>
            <w:r w:rsidRPr="00CB54A8">
              <w:t xml:space="preserve">a national profile for excellence in regard to the implementation of the recovery approach and its Recovery College. It has functioned as a national demonstration site for a Department of Health sponsored programme for supporting the implementation of the recovery approach in mental health services in England.  The review team visited the Recovery College and were pleased to hear about the wide range of programmes offered, which were co-produced with service users and carers. We met the Trust recovery lead and were struck by their knowledge, skills and understanding of how to embed this culture into front line care. We also note that according to the CQC community survey, the Trust has the highest employment rate for service users in London, which suggests good recovery implementation. </w:t>
            </w:r>
          </w:p>
        </w:tc>
      </w:tr>
      <w:tr w:rsidR="00C076E5" w14:paraId="143AF8F8" w14:textId="77777777" w:rsidTr="00B94A27">
        <w:tc>
          <w:tcPr>
            <w:tcW w:w="817" w:type="dxa"/>
            <w:tcBorders>
              <w:top w:val="nil"/>
              <w:left w:val="nil"/>
              <w:bottom w:val="nil"/>
              <w:right w:val="nil"/>
            </w:tcBorders>
          </w:tcPr>
          <w:p w14:paraId="1690A93C" w14:textId="77777777" w:rsidR="00C076E5" w:rsidRDefault="00C076E5" w:rsidP="00C076E5"/>
        </w:tc>
        <w:tc>
          <w:tcPr>
            <w:tcW w:w="851" w:type="dxa"/>
            <w:tcBorders>
              <w:top w:val="nil"/>
              <w:left w:val="nil"/>
              <w:bottom w:val="nil"/>
              <w:right w:val="nil"/>
            </w:tcBorders>
          </w:tcPr>
          <w:p w14:paraId="46B92076" w14:textId="77777777" w:rsidR="00C076E5" w:rsidRDefault="00C076E5" w:rsidP="00C076E5"/>
        </w:tc>
        <w:tc>
          <w:tcPr>
            <w:tcW w:w="6848" w:type="dxa"/>
            <w:gridSpan w:val="2"/>
            <w:tcBorders>
              <w:top w:val="nil"/>
              <w:left w:val="nil"/>
              <w:bottom w:val="nil"/>
              <w:right w:val="nil"/>
            </w:tcBorders>
          </w:tcPr>
          <w:p w14:paraId="471F3B83" w14:textId="77777777" w:rsidR="00C076E5" w:rsidRDefault="00C076E5" w:rsidP="00C076E5"/>
        </w:tc>
      </w:tr>
      <w:tr w:rsidR="00C076E5" w14:paraId="091BC318" w14:textId="77777777" w:rsidTr="00B94A27">
        <w:tc>
          <w:tcPr>
            <w:tcW w:w="817" w:type="dxa"/>
            <w:tcBorders>
              <w:top w:val="nil"/>
              <w:left w:val="nil"/>
              <w:bottom w:val="nil"/>
              <w:right w:val="nil"/>
            </w:tcBorders>
          </w:tcPr>
          <w:p w14:paraId="101D8DC7" w14:textId="77777777" w:rsidR="00C076E5" w:rsidRDefault="00C076E5" w:rsidP="00C076E5"/>
        </w:tc>
        <w:tc>
          <w:tcPr>
            <w:tcW w:w="851" w:type="dxa"/>
            <w:tcBorders>
              <w:top w:val="nil"/>
              <w:left w:val="nil"/>
              <w:bottom w:val="nil"/>
              <w:right w:val="nil"/>
            </w:tcBorders>
          </w:tcPr>
          <w:p w14:paraId="58D4B4CD" w14:textId="77777777" w:rsidR="00C076E5" w:rsidRDefault="00C076E5" w:rsidP="00C076E5"/>
        </w:tc>
        <w:tc>
          <w:tcPr>
            <w:tcW w:w="6848" w:type="dxa"/>
            <w:gridSpan w:val="2"/>
            <w:tcBorders>
              <w:top w:val="nil"/>
              <w:left w:val="nil"/>
              <w:bottom w:val="nil"/>
              <w:right w:val="nil"/>
            </w:tcBorders>
          </w:tcPr>
          <w:p w14:paraId="73290E70" w14:textId="3601D055" w:rsidR="00C076E5" w:rsidRPr="00CB54A8" w:rsidRDefault="00C076E5" w:rsidP="00C076E5">
            <w:r w:rsidRPr="00CB54A8">
              <w:t>The Trust also has a profile for its leadership and excellence regarding psychosocial interventions for working with people who have psychosis and their families. We were delighted to meet with the Head of Nursing Education, Practice and Research who we found to have extensive expertise regarding best practice with people experiencing psychosis. This includes how to implement and embed best practice at the front line of care delivery within the care co-ordinator role. We heard about a jointly developed education programme accredited by Kingston University but that this is under subscribed by care–coordinators and even so, skills and knowledge gained from undertaking the training has soon been washed out of the organisation due to staff turnover.</w:t>
            </w:r>
          </w:p>
        </w:tc>
      </w:tr>
      <w:tr w:rsidR="00C076E5" w14:paraId="1619A2A6" w14:textId="77777777" w:rsidTr="00B94A27">
        <w:tc>
          <w:tcPr>
            <w:tcW w:w="817" w:type="dxa"/>
            <w:tcBorders>
              <w:top w:val="nil"/>
              <w:left w:val="nil"/>
              <w:bottom w:val="nil"/>
              <w:right w:val="nil"/>
            </w:tcBorders>
          </w:tcPr>
          <w:p w14:paraId="5A2AE4F1" w14:textId="77777777" w:rsidR="00C076E5" w:rsidRDefault="00C076E5" w:rsidP="00C076E5"/>
        </w:tc>
        <w:tc>
          <w:tcPr>
            <w:tcW w:w="851" w:type="dxa"/>
            <w:tcBorders>
              <w:top w:val="nil"/>
              <w:left w:val="nil"/>
              <w:bottom w:val="nil"/>
              <w:right w:val="nil"/>
            </w:tcBorders>
          </w:tcPr>
          <w:p w14:paraId="3A9DD62E" w14:textId="77777777" w:rsidR="00C076E5" w:rsidRDefault="00C076E5" w:rsidP="00C076E5"/>
        </w:tc>
        <w:tc>
          <w:tcPr>
            <w:tcW w:w="6848" w:type="dxa"/>
            <w:gridSpan w:val="2"/>
            <w:tcBorders>
              <w:top w:val="nil"/>
              <w:left w:val="nil"/>
              <w:bottom w:val="nil"/>
              <w:right w:val="nil"/>
            </w:tcBorders>
          </w:tcPr>
          <w:p w14:paraId="542E7A60" w14:textId="77777777" w:rsidR="00C076E5" w:rsidRDefault="00C076E5" w:rsidP="00C076E5"/>
        </w:tc>
      </w:tr>
      <w:tr w:rsidR="00C076E5" w14:paraId="5B52254F" w14:textId="77777777" w:rsidTr="00B94A27">
        <w:tc>
          <w:tcPr>
            <w:tcW w:w="817" w:type="dxa"/>
            <w:tcBorders>
              <w:top w:val="nil"/>
              <w:left w:val="nil"/>
              <w:bottom w:val="nil"/>
              <w:right w:val="nil"/>
            </w:tcBorders>
          </w:tcPr>
          <w:p w14:paraId="0DA5F56F" w14:textId="77777777" w:rsidR="00C076E5" w:rsidRDefault="00C076E5" w:rsidP="00C076E5"/>
        </w:tc>
        <w:tc>
          <w:tcPr>
            <w:tcW w:w="851" w:type="dxa"/>
            <w:tcBorders>
              <w:top w:val="nil"/>
              <w:left w:val="nil"/>
              <w:bottom w:val="nil"/>
              <w:right w:val="nil"/>
            </w:tcBorders>
          </w:tcPr>
          <w:p w14:paraId="32C54A23" w14:textId="77777777" w:rsidR="00C076E5" w:rsidRDefault="00C076E5" w:rsidP="00C076E5"/>
        </w:tc>
        <w:tc>
          <w:tcPr>
            <w:tcW w:w="6848" w:type="dxa"/>
            <w:gridSpan w:val="2"/>
            <w:tcBorders>
              <w:top w:val="nil"/>
              <w:left w:val="nil"/>
              <w:bottom w:val="nil"/>
              <w:right w:val="nil"/>
            </w:tcBorders>
          </w:tcPr>
          <w:p w14:paraId="45973FB2" w14:textId="77777777" w:rsidR="00C076E5" w:rsidRDefault="00C076E5" w:rsidP="00C076E5">
            <w:r>
              <w:t>Other areas of good practice we wish to comment upon are:</w:t>
            </w:r>
          </w:p>
          <w:p w14:paraId="21FCEA0F" w14:textId="77777777" w:rsidR="00C076E5" w:rsidRDefault="00C076E5" w:rsidP="00C076E5"/>
          <w:p w14:paraId="37BD676D" w14:textId="6555F3A1" w:rsidR="00C076E5" w:rsidRDefault="00C076E5" w:rsidP="00C076E5">
            <w:pPr>
              <w:pStyle w:val="ListParagraph"/>
              <w:numPr>
                <w:ilvl w:val="0"/>
                <w:numId w:val="4"/>
              </w:numPr>
            </w:pPr>
            <w:r>
              <w:t>Strong and visible executive nurse leadership which has brought renewed professional pride and a focus on the contribution nursing can make to multi disciplinary care</w:t>
            </w:r>
          </w:p>
          <w:p w14:paraId="7835A167" w14:textId="77777777" w:rsidR="00C076E5" w:rsidRDefault="00C076E5" w:rsidP="00C076E5">
            <w:pPr>
              <w:ind w:left="360"/>
            </w:pPr>
          </w:p>
          <w:p w14:paraId="2B96C5E3" w14:textId="4B1EC6E5" w:rsidR="00C076E5" w:rsidRDefault="00C076E5" w:rsidP="00C076E5">
            <w:pPr>
              <w:pStyle w:val="ListParagraph"/>
              <w:numPr>
                <w:ilvl w:val="0"/>
                <w:numId w:val="4"/>
              </w:numPr>
            </w:pPr>
            <w:r>
              <w:t>The weekly QMG which is attended by representatives from service lines, heads of discipline and corporate governance to review all incidents, raising their profile</w:t>
            </w:r>
          </w:p>
          <w:p w14:paraId="76C10E63" w14:textId="77777777" w:rsidR="00C076E5" w:rsidRDefault="00C076E5" w:rsidP="00C076E5"/>
          <w:p w14:paraId="0055456B" w14:textId="04BEFF06" w:rsidR="00C076E5" w:rsidRPr="00FC54C2" w:rsidRDefault="00C076E5" w:rsidP="00C076E5">
            <w:pPr>
              <w:pStyle w:val="ListParagraph"/>
              <w:numPr>
                <w:ilvl w:val="0"/>
                <w:numId w:val="4"/>
              </w:numPr>
              <w:rPr>
                <w:color w:val="000000" w:themeColor="text1"/>
              </w:rPr>
            </w:pPr>
            <w:r w:rsidRPr="00FC54C2">
              <w:rPr>
                <w:color w:val="000000" w:themeColor="text1"/>
              </w:rPr>
              <w:t>A comprehensive system for facilitating learning lessons from incidents</w:t>
            </w:r>
            <w:r w:rsidR="00433BB1" w:rsidRPr="00FC54C2">
              <w:rPr>
                <w:color w:val="000000" w:themeColor="text1"/>
              </w:rPr>
              <w:t xml:space="preserve">. </w:t>
            </w:r>
            <w:r w:rsidR="007367D5" w:rsidRPr="00FC54C2">
              <w:rPr>
                <w:color w:val="000000" w:themeColor="text1"/>
              </w:rPr>
              <w:t>S</w:t>
            </w:r>
            <w:r w:rsidR="00433BB1" w:rsidRPr="00FC54C2">
              <w:rPr>
                <w:color w:val="000000" w:themeColor="text1"/>
              </w:rPr>
              <w:t>ound structures are in place</w:t>
            </w:r>
            <w:r w:rsidR="007367D5" w:rsidRPr="00FC54C2">
              <w:rPr>
                <w:color w:val="000000" w:themeColor="text1"/>
              </w:rPr>
              <w:t xml:space="preserve"> to facilitate this</w:t>
            </w:r>
            <w:r w:rsidR="00433BB1" w:rsidRPr="00FC54C2">
              <w:rPr>
                <w:color w:val="000000" w:themeColor="text1"/>
              </w:rPr>
              <w:t xml:space="preserve">. We recognise that it will take further time to embed a learning lessons culture </w:t>
            </w:r>
            <w:r w:rsidR="007367D5" w:rsidRPr="00FC54C2">
              <w:rPr>
                <w:color w:val="000000" w:themeColor="text1"/>
              </w:rPr>
              <w:t xml:space="preserve">in terms of changing </w:t>
            </w:r>
            <w:r w:rsidR="00BF0F98" w:rsidRPr="00FC54C2">
              <w:rPr>
                <w:color w:val="000000" w:themeColor="text1"/>
              </w:rPr>
              <w:t xml:space="preserve">professionals’ </w:t>
            </w:r>
            <w:r w:rsidR="00433BB1" w:rsidRPr="00FC54C2">
              <w:rPr>
                <w:color w:val="000000" w:themeColor="text1"/>
              </w:rPr>
              <w:t>attitude</w:t>
            </w:r>
            <w:r w:rsidR="007367D5" w:rsidRPr="00FC54C2">
              <w:rPr>
                <w:color w:val="000000" w:themeColor="text1"/>
              </w:rPr>
              <w:t>s</w:t>
            </w:r>
            <w:r w:rsidR="00433BB1" w:rsidRPr="00FC54C2">
              <w:rPr>
                <w:color w:val="000000" w:themeColor="text1"/>
              </w:rPr>
              <w:t xml:space="preserve"> and understanding </w:t>
            </w:r>
            <w:r w:rsidR="00BF0F98" w:rsidRPr="00FC54C2">
              <w:rPr>
                <w:color w:val="000000" w:themeColor="text1"/>
              </w:rPr>
              <w:t xml:space="preserve">regarding </w:t>
            </w:r>
            <w:r w:rsidR="007367D5" w:rsidRPr="00FC54C2">
              <w:rPr>
                <w:color w:val="000000" w:themeColor="text1"/>
              </w:rPr>
              <w:t>this aspect of patient safety</w:t>
            </w:r>
          </w:p>
          <w:p w14:paraId="69652BDE" w14:textId="77777777" w:rsidR="00C076E5" w:rsidRDefault="00C076E5" w:rsidP="00C076E5"/>
          <w:p w14:paraId="6950CC52" w14:textId="23FC777F" w:rsidR="00C076E5" w:rsidRDefault="00C076E5" w:rsidP="00C076E5">
            <w:pPr>
              <w:pStyle w:val="ListParagraph"/>
              <w:numPr>
                <w:ilvl w:val="0"/>
                <w:numId w:val="4"/>
              </w:numPr>
            </w:pPr>
            <w:r>
              <w:t xml:space="preserve">Clear floor to board structure for incident management </w:t>
            </w:r>
          </w:p>
          <w:p w14:paraId="1B238CE0" w14:textId="77777777" w:rsidR="00C076E5" w:rsidRDefault="00C076E5" w:rsidP="00C076E5"/>
          <w:p w14:paraId="74A5E3DD" w14:textId="35D270E7" w:rsidR="00C076E5" w:rsidRPr="00E86905" w:rsidRDefault="00C076E5" w:rsidP="00C076E5">
            <w:pPr>
              <w:pStyle w:val="ListParagraph"/>
              <w:numPr>
                <w:ilvl w:val="0"/>
                <w:numId w:val="4"/>
              </w:numPr>
            </w:pPr>
            <w:r w:rsidRPr="00E86905">
              <w:t>The introduction of sound mandatory risk training</w:t>
            </w:r>
            <w:r w:rsidR="00FC54C2" w:rsidRPr="00E86905">
              <w:t xml:space="preserve"> </w:t>
            </w:r>
            <w:r w:rsidR="00C47DFA" w:rsidRPr="00E86905">
              <w:t>in June</w:t>
            </w:r>
            <w:r w:rsidR="00FC54C2" w:rsidRPr="00E86905">
              <w:t xml:space="preserve"> 2017</w:t>
            </w:r>
            <w:r w:rsidRPr="00E86905">
              <w:t xml:space="preserve"> – Risk Assessment Training and Education (RATE)</w:t>
            </w:r>
            <w:r w:rsidR="00FC54C2" w:rsidRPr="00E86905">
              <w:t xml:space="preserve"> </w:t>
            </w:r>
          </w:p>
          <w:p w14:paraId="68E61AAC" w14:textId="77777777" w:rsidR="00C076E5" w:rsidRDefault="00C076E5" w:rsidP="00C076E5"/>
          <w:p w14:paraId="7A429F4C" w14:textId="2DF7BEF4" w:rsidR="00C076E5" w:rsidRDefault="00C076E5" w:rsidP="00C076E5">
            <w:pPr>
              <w:pStyle w:val="ListParagraph"/>
              <w:numPr>
                <w:ilvl w:val="0"/>
                <w:numId w:val="4"/>
              </w:numPr>
            </w:pPr>
            <w:r>
              <w:t>The virtual risk team which provides clinical teams with peer review and support when they require an additional opinion about risk management of service users</w:t>
            </w:r>
          </w:p>
          <w:p w14:paraId="3DD7835F" w14:textId="77777777" w:rsidR="00C076E5" w:rsidRDefault="00C076E5" w:rsidP="00C076E5"/>
          <w:p w14:paraId="007373C6" w14:textId="43A8C0F2" w:rsidR="00C076E5" w:rsidRDefault="00C076E5" w:rsidP="00C076E5">
            <w:pPr>
              <w:pStyle w:val="ListParagraph"/>
              <w:numPr>
                <w:ilvl w:val="0"/>
                <w:numId w:val="4"/>
              </w:numPr>
            </w:pPr>
            <w:r>
              <w:t>The implementation of sophisticated quality dashboards enabling the monitoring of individual and team performance around the quality of care delivery in real time</w:t>
            </w:r>
          </w:p>
          <w:p w14:paraId="25AEA666" w14:textId="77777777" w:rsidR="00C076E5" w:rsidRDefault="00C076E5" w:rsidP="00C076E5"/>
          <w:p w14:paraId="53F5346C" w14:textId="3F6B5B67" w:rsidR="00C076E5" w:rsidRDefault="00C076E5" w:rsidP="00C076E5">
            <w:pPr>
              <w:pStyle w:val="ListParagraph"/>
              <w:numPr>
                <w:ilvl w:val="0"/>
                <w:numId w:val="4"/>
              </w:numPr>
            </w:pPr>
            <w:r>
              <w:t xml:space="preserve">Strong and visible safeguarding leadership and good procedures in place to support front line practitioners </w:t>
            </w:r>
          </w:p>
          <w:p w14:paraId="16C507D7" w14:textId="77777777" w:rsidR="00F82C10" w:rsidRDefault="00F82C10" w:rsidP="00F82C10"/>
          <w:p w14:paraId="172A7C74" w14:textId="7B36CA0C" w:rsidR="00C076E5" w:rsidRDefault="00C076E5" w:rsidP="00C076E5">
            <w:pPr>
              <w:pStyle w:val="ListParagraph"/>
              <w:numPr>
                <w:ilvl w:val="0"/>
                <w:numId w:val="4"/>
              </w:numPr>
            </w:pPr>
            <w:r>
              <w:t>The service user led Making Safeguarding Personal Group and the co-produced and delivered training emerging from the work of the group which is entitled ‘understanding how to live safely’</w:t>
            </w:r>
          </w:p>
          <w:p w14:paraId="7FF227F7" w14:textId="77777777" w:rsidR="00C076E5" w:rsidRDefault="00C076E5" w:rsidP="00C076E5"/>
          <w:p w14:paraId="55B9FE00" w14:textId="0D8C0204" w:rsidR="00C076E5" w:rsidRDefault="00C076E5" w:rsidP="00C076E5">
            <w:pPr>
              <w:pStyle w:val="ListParagraph"/>
              <w:numPr>
                <w:ilvl w:val="0"/>
                <w:numId w:val="4"/>
              </w:numPr>
            </w:pPr>
            <w:r>
              <w:t>Good monitoring of mandatory training, appraisal and supervision</w:t>
            </w:r>
          </w:p>
        </w:tc>
      </w:tr>
      <w:tr w:rsidR="00C076E5" w14:paraId="7EBA212A" w14:textId="77777777" w:rsidTr="00B94A27">
        <w:tc>
          <w:tcPr>
            <w:tcW w:w="817" w:type="dxa"/>
            <w:tcBorders>
              <w:top w:val="nil"/>
              <w:left w:val="nil"/>
              <w:bottom w:val="nil"/>
              <w:right w:val="nil"/>
            </w:tcBorders>
          </w:tcPr>
          <w:p w14:paraId="2B72F7E8" w14:textId="6751EBF1" w:rsidR="00C076E5" w:rsidRDefault="00C076E5" w:rsidP="00C076E5"/>
        </w:tc>
        <w:tc>
          <w:tcPr>
            <w:tcW w:w="851" w:type="dxa"/>
            <w:tcBorders>
              <w:top w:val="nil"/>
              <w:left w:val="nil"/>
              <w:bottom w:val="nil"/>
              <w:right w:val="nil"/>
            </w:tcBorders>
          </w:tcPr>
          <w:p w14:paraId="749D3AFF" w14:textId="77777777" w:rsidR="00C076E5" w:rsidRDefault="00C076E5" w:rsidP="00C076E5"/>
        </w:tc>
        <w:tc>
          <w:tcPr>
            <w:tcW w:w="6848" w:type="dxa"/>
            <w:gridSpan w:val="2"/>
            <w:tcBorders>
              <w:top w:val="nil"/>
              <w:left w:val="nil"/>
              <w:bottom w:val="nil"/>
              <w:right w:val="nil"/>
            </w:tcBorders>
          </w:tcPr>
          <w:p w14:paraId="4EED3FEC" w14:textId="77777777" w:rsidR="00C076E5" w:rsidRDefault="00C076E5" w:rsidP="00C076E5"/>
        </w:tc>
      </w:tr>
      <w:tr w:rsidR="00C076E5" w14:paraId="67FE6596" w14:textId="77777777" w:rsidTr="00B94A27">
        <w:tc>
          <w:tcPr>
            <w:tcW w:w="817" w:type="dxa"/>
            <w:tcBorders>
              <w:top w:val="nil"/>
              <w:left w:val="nil"/>
              <w:bottom w:val="nil"/>
              <w:right w:val="nil"/>
            </w:tcBorders>
          </w:tcPr>
          <w:p w14:paraId="33632A17" w14:textId="77777777" w:rsidR="00C076E5" w:rsidRDefault="00C076E5" w:rsidP="00C076E5"/>
        </w:tc>
        <w:tc>
          <w:tcPr>
            <w:tcW w:w="851" w:type="dxa"/>
            <w:tcBorders>
              <w:top w:val="nil"/>
              <w:left w:val="nil"/>
              <w:bottom w:val="nil"/>
              <w:right w:val="nil"/>
            </w:tcBorders>
          </w:tcPr>
          <w:p w14:paraId="7E5278B0" w14:textId="77777777" w:rsidR="00C076E5" w:rsidRDefault="00C076E5" w:rsidP="00C076E5"/>
        </w:tc>
        <w:tc>
          <w:tcPr>
            <w:tcW w:w="6848" w:type="dxa"/>
            <w:gridSpan w:val="2"/>
            <w:tcBorders>
              <w:top w:val="nil"/>
              <w:left w:val="nil"/>
              <w:bottom w:val="nil"/>
              <w:right w:val="nil"/>
            </w:tcBorders>
          </w:tcPr>
          <w:p w14:paraId="3CECEAF4" w14:textId="7DC43938" w:rsidR="00C076E5" w:rsidRPr="00CB54A8" w:rsidRDefault="00C076E5" w:rsidP="00CB54A8">
            <w:r w:rsidRPr="00CB54A8">
              <w:t xml:space="preserve">The gap between these examples of excellence and good practice and the delivery of front line care within the CMHT is marked at the moment and must represent an area to focus future service and practice developments. In the context of this review, the challenge will be for existing good practice, excellence and expertise to be reflected in standards of care and performance by care co-ordinators and therefore the quality of </w:t>
            </w:r>
            <w:r w:rsidR="00CB54A8">
              <w:t>service user and carer experience</w:t>
            </w:r>
            <w:r w:rsidRPr="00CB54A8">
              <w:t xml:space="preserve">. </w:t>
            </w:r>
          </w:p>
        </w:tc>
      </w:tr>
      <w:tr w:rsidR="00C076E5" w14:paraId="5C26E3A5" w14:textId="77777777" w:rsidTr="00B94A27">
        <w:tc>
          <w:tcPr>
            <w:tcW w:w="817" w:type="dxa"/>
            <w:tcBorders>
              <w:top w:val="nil"/>
              <w:left w:val="nil"/>
              <w:bottom w:val="nil"/>
              <w:right w:val="nil"/>
            </w:tcBorders>
          </w:tcPr>
          <w:p w14:paraId="57C2F62B" w14:textId="77777777" w:rsidR="00C076E5" w:rsidRDefault="00C076E5" w:rsidP="00C076E5"/>
        </w:tc>
        <w:tc>
          <w:tcPr>
            <w:tcW w:w="851" w:type="dxa"/>
            <w:tcBorders>
              <w:top w:val="nil"/>
              <w:left w:val="nil"/>
              <w:bottom w:val="nil"/>
              <w:right w:val="nil"/>
            </w:tcBorders>
          </w:tcPr>
          <w:p w14:paraId="6D6AAB7B" w14:textId="77777777" w:rsidR="00C076E5" w:rsidRDefault="00C076E5" w:rsidP="00C076E5"/>
        </w:tc>
        <w:tc>
          <w:tcPr>
            <w:tcW w:w="6848" w:type="dxa"/>
            <w:gridSpan w:val="2"/>
            <w:tcBorders>
              <w:top w:val="nil"/>
              <w:left w:val="nil"/>
              <w:bottom w:val="nil"/>
              <w:right w:val="nil"/>
            </w:tcBorders>
          </w:tcPr>
          <w:p w14:paraId="3041820C" w14:textId="77777777" w:rsidR="00C076E5" w:rsidRDefault="00C076E5" w:rsidP="00C076E5"/>
        </w:tc>
      </w:tr>
      <w:tr w:rsidR="00C076E5" w14:paraId="303A0176" w14:textId="77777777" w:rsidTr="00B94A27">
        <w:tc>
          <w:tcPr>
            <w:tcW w:w="817" w:type="dxa"/>
            <w:tcBorders>
              <w:top w:val="nil"/>
              <w:left w:val="nil"/>
              <w:bottom w:val="nil"/>
              <w:right w:val="nil"/>
            </w:tcBorders>
          </w:tcPr>
          <w:p w14:paraId="190C9076" w14:textId="77777777" w:rsidR="00C076E5" w:rsidRDefault="00C076E5" w:rsidP="00C076E5"/>
        </w:tc>
        <w:tc>
          <w:tcPr>
            <w:tcW w:w="851" w:type="dxa"/>
            <w:tcBorders>
              <w:top w:val="nil"/>
              <w:left w:val="nil"/>
              <w:bottom w:val="nil"/>
              <w:right w:val="nil"/>
            </w:tcBorders>
          </w:tcPr>
          <w:p w14:paraId="120EBDA9" w14:textId="77777777" w:rsidR="00C076E5" w:rsidRDefault="00C076E5" w:rsidP="00C076E5"/>
        </w:tc>
        <w:tc>
          <w:tcPr>
            <w:tcW w:w="6848" w:type="dxa"/>
            <w:gridSpan w:val="2"/>
            <w:tcBorders>
              <w:top w:val="nil"/>
              <w:left w:val="nil"/>
              <w:bottom w:val="nil"/>
              <w:right w:val="nil"/>
            </w:tcBorders>
          </w:tcPr>
          <w:p w14:paraId="5A8EB81C" w14:textId="42AB3273" w:rsidR="00C076E5" w:rsidRPr="00650F0C" w:rsidRDefault="00C076E5" w:rsidP="00C076E5">
            <w:pPr>
              <w:rPr>
                <w:color w:val="4F6228" w:themeColor="accent3" w:themeShade="80"/>
              </w:rPr>
            </w:pPr>
            <w:r>
              <w:t>We felt it was important for the organisation to consider whether the high turnover of front line staff reflects an institutionalised coping mechanism developed in reaction to stress and exhaustion within their roles. We felt there is likely to be a system of such coping mechanisms at play within the organisation given the intensity and duration of those aspects of its apparently reactive, crisis driven history. We question whether some of our other findings including prior fragmentation within the clinical management and governance of risk, loss of organisational memory, default medical model dominance and difficulties collaborating with non statutory agencies reflect an attempt by staff to manage stress created by wider systemic factors including chronic shortfalls in resources.</w:t>
            </w:r>
          </w:p>
        </w:tc>
      </w:tr>
      <w:tr w:rsidR="00C076E5" w14:paraId="639D456E" w14:textId="77777777" w:rsidTr="00B94A27">
        <w:tc>
          <w:tcPr>
            <w:tcW w:w="817" w:type="dxa"/>
            <w:tcBorders>
              <w:top w:val="nil"/>
              <w:left w:val="nil"/>
              <w:bottom w:val="nil"/>
              <w:right w:val="nil"/>
            </w:tcBorders>
          </w:tcPr>
          <w:p w14:paraId="411F4A2A" w14:textId="77777777" w:rsidR="00C076E5" w:rsidRDefault="00C076E5" w:rsidP="00C076E5"/>
        </w:tc>
        <w:tc>
          <w:tcPr>
            <w:tcW w:w="851" w:type="dxa"/>
            <w:tcBorders>
              <w:top w:val="nil"/>
              <w:left w:val="nil"/>
              <w:bottom w:val="nil"/>
              <w:right w:val="nil"/>
            </w:tcBorders>
          </w:tcPr>
          <w:p w14:paraId="686CF603" w14:textId="77777777" w:rsidR="00C076E5" w:rsidRDefault="00C076E5" w:rsidP="00C076E5"/>
        </w:tc>
        <w:tc>
          <w:tcPr>
            <w:tcW w:w="6848" w:type="dxa"/>
            <w:gridSpan w:val="2"/>
            <w:tcBorders>
              <w:top w:val="nil"/>
              <w:left w:val="nil"/>
              <w:bottom w:val="nil"/>
              <w:right w:val="nil"/>
            </w:tcBorders>
          </w:tcPr>
          <w:p w14:paraId="4C52EEEF" w14:textId="77777777" w:rsidR="00C076E5" w:rsidRDefault="00C076E5" w:rsidP="00C076E5"/>
          <w:p w14:paraId="24A51966" w14:textId="77777777" w:rsidR="00C076E5" w:rsidRDefault="00C076E5" w:rsidP="00C076E5"/>
          <w:p w14:paraId="6CCC17F9" w14:textId="77777777" w:rsidR="00C076E5" w:rsidRDefault="00C076E5" w:rsidP="00C076E5"/>
          <w:p w14:paraId="6CC094F4" w14:textId="77777777" w:rsidR="00C076E5" w:rsidRDefault="00C076E5" w:rsidP="00C076E5"/>
          <w:p w14:paraId="331F4B41" w14:textId="77777777" w:rsidR="00C076E5" w:rsidRDefault="00C076E5" w:rsidP="00C076E5"/>
          <w:p w14:paraId="5296C4C5" w14:textId="77777777" w:rsidR="00C076E5" w:rsidRDefault="00C076E5" w:rsidP="00C076E5"/>
          <w:p w14:paraId="7D079054" w14:textId="77777777" w:rsidR="00C076E5" w:rsidRDefault="00C076E5" w:rsidP="00C076E5"/>
          <w:p w14:paraId="2638F3C2" w14:textId="77777777" w:rsidR="00C076E5" w:rsidRDefault="00C076E5" w:rsidP="00C076E5"/>
          <w:p w14:paraId="71EC1C16" w14:textId="77777777" w:rsidR="00C076E5" w:rsidRDefault="00C076E5" w:rsidP="00C076E5"/>
          <w:p w14:paraId="313B6553" w14:textId="77777777" w:rsidR="00C076E5" w:rsidRDefault="00C076E5" w:rsidP="00C076E5"/>
          <w:p w14:paraId="3726B93E" w14:textId="77777777" w:rsidR="00C076E5" w:rsidRDefault="00C076E5" w:rsidP="00C076E5"/>
        </w:tc>
      </w:tr>
      <w:tr w:rsidR="00C076E5" w14:paraId="29A2877E" w14:textId="77777777" w:rsidTr="00B94A27">
        <w:tc>
          <w:tcPr>
            <w:tcW w:w="817" w:type="dxa"/>
            <w:tcBorders>
              <w:top w:val="nil"/>
              <w:left w:val="nil"/>
              <w:bottom w:val="nil"/>
              <w:right w:val="nil"/>
            </w:tcBorders>
          </w:tcPr>
          <w:p w14:paraId="71BEE678" w14:textId="3EB45D39" w:rsidR="00C076E5" w:rsidRPr="004B3C1E" w:rsidRDefault="00C076E5" w:rsidP="00C076E5">
            <w:pPr>
              <w:rPr>
                <w:b/>
                <w:color w:val="4F6228" w:themeColor="accent3" w:themeShade="80"/>
              </w:rPr>
            </w:pPr>
            <w:r w:rsidRPr="004B3C1E">
              <w:rPr>
                <w:b/>
                <w:color w:val="4F6228" w:themeColor="accent3" w:themeShade="80"/>
              </w:rPr>
              <w:t>5</w:t>
            </w:r>
            <w:r>
              <w:rPr>
                <w:b/>
                <w:color w:val="4F6228" w:themeColor="accent3" w:themeShade="80"/>
              </w:rPr>
              <w:t>.</w:t>
            </w:r>
          </w:p>
        </w:tc>
        <w:tc>
          <w:tcPr>
            <w:tcW w:w="7699" w:type="dxa"/>
            <w:gridSpan w:val="3"/>
            <w:tcBorders>
              <w:top w:val="nil"/>
              <w:left w:val="nil"/>
              <w:bottom w:val="nil"/>
              <w:right w:val="nil"/>
            </w:tcBorders>
          </w:tcPr>
          <w:p w14:paraId="648DA93D" w14:textId="2EA7A744" w:rsidR="00C076E5" w:rsidRPr="004B3C1E" w:rsidRDefault="00C076E5" w:rsidP="00C076E5">
            <w:pPr>
              <w:rPr>
                <w:b/>
                <w:color w:val="4F6228" w:themeColor="accent3" w:themeShade="80"/>
              </w:rPr>
            </w:pPr>
            <w:r w:rsidRPr="004B3C1E">
              <w:rPr>
                <w:b/>
                <w:color w:val="4F6228" w:themeColor="accent3" w:themeShade="80"/>
              </w:rPr>
              <w:t>CONCLUSIONS</w:t>
            </w:r>
          </w:p>
        </w:tc>
      </w:tr>
      <w:tr w:rsidR="00C076E5" w14:paraId="702121DE" w14:textId="77777777" w:rsidTr="00B94A27">
        <w:tc>
          <w:tcPr>
            <w:tcW w:w="817" w:type="dxa"/>
            <w:tcBorders>
              <w:top w:val="nil"/>
              <w:left w:val="nil"/>
              <w:bottom w:val="nil"/>
              <w:right w:val="nil"/>
            </w:tcBorders>
          </w:tcPr>
          <w:p w14:paraId="103EB122" w14:textId="77777777" w:rsidR="00C076E5" w:rsidRDefault="00C076E5" w:rsidP="00C076E5"/>
        </w:tc>
        <w:tc>
          <w:tcPr>
            <w:tcW w:w="851" w:type="dxa"/>
            <w:tcBorders>
              <w:top w:val="nil"/>
              <w:left w:val="nil"/>
              <w:bottom w:val="nil"/>
              <w:right w:val="nil"/>
            </w:tcBorders>
          </w:tcPr>
          <w:p w14:paraId="501E2FC1" w14:textId="77777777" w:rsidR="00C076E5" w:rsidRDefault="00C076E5" w:rsidP="00C076E5"/>
        </w:tc>
        <w:tc>
          <w:tcPr>
            <w:tcW w:w="6848" w:type="dxa"/>
            <w:gridSpan w:val="2"/>
            <w:tcBorders>
              <w:top w:val="nil"/>
              <w:left w:val="nil"/>
              <w:bottom w:val="nil"/>
              <w:right w:val="nil"/>
            </w:tcBorders>
          </w:tcPr>
          <w:p w14:paraId="311AE71D" w14:textId="77777777" w:rsidR="00C076E5" w:rsidRDefault="00C076E5" w:rsidP="00C076E5"/>
        </w:tc>
      </w:tr>
      <w:tr w:rsidR="00C076E5" w14:paraId="03C9E3E4" w14:textId="77777777" w:rsidTr="00B94A27">
        <w:tc>
          <w:tcPr>
            <w:tcW w:w="817" w:type="dxa"/>
            <w:tcBorders>
              <w:top w:val="nil"/>
              <w:left w:val="nil"/>
              <w:bottom w:val="nil"/>
              <w:right w:val="nil"/>
            </w:tcBorders>
          </w:tcPr>
          <w:p w14:paraId="446E3825" w14:textId="77777777" w:rsidR="00C076E5" w:rsidRDefault="00C076E5" w:rsidP="00C076E5"/>
        </w:tc>
        <w:tc>
          <w:tcPr>
            <w:tcW w:w="851" w:type="dxa"/>
            <w:tcBorders>
              <w:top w:val="nil"/>
              <w:left w:val="nil"/>
              <w:bottom w:val="nil"/>
              <w:right w:val="nil"/>
            </w:tcBorders>
          </w:tcPr>
          <w:p w14:paraId="536CB569" w14:textId="77777777" w:rsidR="00C076E5" w:rsidRDefault="00C076E5" w:rsidP="00C076E5"/>
        </w:tc>
        <w:tc>
          <w:tcPr>
            <w:tcW w:w="6848" w:type="dxa"/>
            <w:gridSpan w:val="2"/>
            <w:tcBorders>
              <w:top w:val="nil"/>
              <w:left w:val="nil"/>
              <w:bottom w:val="nil"/>
              <w:right w:val="nil"/>
            </w:tcBorders>
          </w:tcPr>
          <w:p w14:paraId="0C787269" w14:textId="2057332C" w:rsidR="00C076E5" w:rsidRDefault="00C076E5" w:rsidP="00C076E5">
            <w:r>
              <w:t xml:space="preserve">We set these conclusions in the context of Mr R’s clinical presentation and the wider environmental influences on the delivery of care. We recognise the challenges of holding an individual’s initial narrative and developmental history in mind with the passing of decades.  This is especially so in the case of long term service users who might not present to professionals with clinical evidence that indicates the initial narrative and developmental history have any bearing on their current relationships or risks. Additionally and in line with the evidence base about perpetrators of domestic homicide who have psychosis and are receiving care by CMHTs, it is very difficult to predict who, of the many service users who present similarly, will enact such an event. </w:t>
            </w:r>
          </w:p>
        </w:tc>
      </w:tr>
      <w:tr w:rsidR="00C076E5" w14:paraId="72CC51A6" w14:textId="77777777" w:rsidTr="00B94A27">
        <w:tc>
          <w:tcPr>
            <w:tcW w:w="817" w:type="dxa"/>
            <w:tcBorders>
              <w:top w:val="nil"/>
              <w:left w:val="nil"/>
              <w:bottom w:val="nil"/>
              <w:right w:val="nil"/>
            </w:tcBorders>
          </w:tcPr>
          <w:p w14:paraId="6626F3CC" w14:textId="77777777" w:rsidR="00C076E5" w:rsidRDefault="00C076E5" w:rsidP="00C076E5"/>
        </w:tc>
        <w:tc>
          <w:tcPr>
            <w:tcW w:w="851" w:type="dxa"/>
            <w:tcBorders>
              <w:top w:val="nil"/>
              <w:left w:val="nil"/>
              <w:bottom w:val="nil"/>
              <w:right w:val="nil"/>
            </w:tcBorders>
          </w:tcPr>
          <w:p w14:paraId="7F63D32A" w14:textId="77777777" w:rsidR="00C076E5" w:rsidRDefault="00C076E5" w:rsidP="00C076E5"/>
        </w:tc>
        <w:tc>
          <w:tcPr>
            <w:tcW w:w="6848" w:type="dxa"/>
            <w:gridSpan w:val="2"/>
            <w:tcBorders>
              <w:top w:val="nil"/>
              <w:left w:val="nil"/>
              <w:bottom w:val="nil"/>
              <w:right w:val="nil"/>
            </w:tcBorders>
          </w:tcPr>
          <w:p w14:paraId="33A8EE57" w14:textId="77777777" w:rsidR="00C076E5" w:rsidRDefault="00C076E5" w:rsidP="00C076E5"/>
        </w:tc>
      </w:tr>
      <w:tr w:rsidR="00C076E5" w14:paraId="569B01DD" w14:textId="77777777" w:rsidTr="00B94A27">
        <w:tc>
          <w:tcPr>
            <w:tcW w:w="817" w:type="dxa"/>
            <w:tcBorders>
              <w:top w:val="nil"/>
              <w:left w:val="nil"/>
              <w:bottom w:val="nil"/>
              <w:right w:val="nil"/>
            </w:tcBorders>
          </w:tcPr>
          <w:p w14:paraId="539B8853" w14:textId="77777777" w:rsidR="00C076E5" w:rsidRDefault="00C076E5" w:rsidP="00C076E5"/>
        </w:tc>
        <w:tc>
          <w:tcPr>
            <w:tcW w:w="851" w:type="dxa"/>
            <w:tcBorders>
              <w:top w:val="nil"/>
              <w:left w:val="nil"/>
              <w:bottom w:val="nil"/>
              <w:right w:val="nil"/>
            </w:tcBorders>
          </w:tcPr>
          <w:p w14:paraId="10C9AD80" w14:textId="77777777" w:rsidR="00C076E5" w:rsidRDefault="00C076E5" w:rsidP="00C076E5"/>
        </w:tc>
        <w:tc>
          <w:tcPr>
            <w:tcW w:w="6848" w:type="dxa"/>
            <w:gridSpan w:val="2"/>
            <w:tcBorders>
              <w:top w:val="nil"/>
              <w:left w:val="nil"/>
              <w:bottom w:val="nil"/>
              <w:right w:val="nil"/>
            </w:tcBorders>
          </w:tcPr>
          <w:p w14:paraId="2411B6B5" w14:textId="26824B35" w:rsidR="00C076E5" w:rsidRDefault="00C076E5" w:rsidP="00C076E5">
            <w:r>
              <w:t>We also recognise the strains of managing large community caseloads at a time of national austerity, huge organisational pressures and multiple other systemic factors beyond the control of clinicians, that nevertheless impact on practice.</w:t>
            </w:r>
          </w:p>
        </w:tc>
      </w:tr>
      <w:tr w:rsidR="00C076E5" w14:paraId="73C7C194" w14:textId="77777777" w:rsidTr="00B94A27">
        <w:tc>
          <w:tcPr>
            <w:tcW w:w="817" w:type="dxa"/>
            <w:tcBorders>
              <w:top w:val="nil"/>
              <w:left w:val="nil"/>
              <w:bottom w:val="nil"/>
              <w:right w:val="nil"/>
            </w:tcBorders>
          </w:tcPr>
          <w:p w14:paraId="383CC0EF" w14:textId="77777777" w:rsidR="00C076E5" w:rsidRDefault="00C076E5" w:rsidP="00C076E5"/>
        </w:tc>
        <w:tc>
          <w:tcPr>
            <w:tcW w:w="851" w:type="dxa"/>
            <w:tcBorders>
              <w:top w:val="nil"/>
              <w:left w:val="nil"/>
              <w:bottom w:val="nil"/>
              <w:right w:val="nil"/>
            </w:tcBorders>
          </w:tcPr>
          <w:p w14:paraId="0DC2619A" w14:textId="77777777" w:rsidR="00C076E5" w:rsidRDefault="00C076E5" w:rsidP="00C076E5"/>
        </w:tc>
        <w:tc>
          <w:tcPr>
            <w:tcW w:w="6848" w:type="dxa"/>
            <w:gridSpan w:val="2"/>
            <w:tcBorders>
              <w:top w:val="nil"/>
              <w:left w:val="nil"/>
              <w:bottom w:val="nil"/>
              <w:right w:val="nil"/>
            </w:tcBorders>
          </w:tcPr>
          <w:p w14:paraId="7526FD13" w14:textId="77777777" w:rsidR="00C076E5" w:rsidRDefault="00C076E5" w:rsidP="00C076E5"/>
        </w:tc>
      </w:tr>
      <w:tr w:rsidR="00C076E5" w14:paraId="19B1F711" w14:textId="77777777" w:rsidTr="00B94A27">
        <w:tc>
          <w:tcPr>
            <w:tcW w:w="817" w:type="dxa"/>
            <w:tcBorders>
              <w:top w:val="nil"/>
              <w:left w:val="nil"/>
              <w:bottom w:val="nil"/>
              <w:right w:val="nil"/>
            </w:tcBorders>
          </w:tcPr>
          <w:p w14:paraId="1E432A0D" w14:textId="77777777" w:rsidR="00C076E5" w:rsidRDefault="00C076E5" w:rsidP="00C076E5"/>
        </w:tc>
        <w:tc>
          <w:tcPr>
            <w:tcW w:w="851" w:type="dxa"/>
            <w:tcBorders>
              <w:top w:val="nil"/>
              <w:left w:val="nil"/>
              <w:bottom w:val="nil"/>
              <w:right w:val="nil"/>
            </w:tcBorders>
          </w:tcPr>
          <w:p w14:paraId="11B0F7DD" w14:textId="77777777" w:rsidR="00C076E5" w:rsidRDefault="00C076E5" w:rsidP="00C076E5"/>
        </w:tc>
        <w:tc>
          <w:tcPr>
            <w:tcW w:w="6848" w:type="dxa"/>
            <w:gridSpan w:val="2"/>
            <w:tcBorders>
              <w:top w:val="nil"/>
              <w:left w:val="nil"/>
              <w:bottom w:val="nil"/>
              <w:right w:val="nil"/>
            </w:tcBorders>
          </w:tcPr>
          <w:p w14:paraId="4D21832B" w14:textId="71553321" w:rsidR="00C076E5" w:rsidRDefault="00C076E5" w:rsidP="00C076E5">
            <w:r>
              <w:t>In line with the evidence base, we will take the view that, men who present as Mr R did, should be considered as presenting a greater risk than is the norm (see appendix B for our full review). Our conclusions and recommendations are made with this cohort of service users in mind.</w:t>
            </w:r>
          </w:p>
        </w:tc>
      </w:tr>
      <w:tr w:rsidR="00C076E5" w14:paraId="1D40ECF1" w14:textId="77777777" w:rsidTr="00B94A27">
        <w:tc>
          <w:tcPr>
            <w:tcW w:w="817" w:type="dxa"/>
            <w:tcBorders>
              <w:top w:val="nil"/>
              <w:left w:val="nil"/>
              <w:bottom w:val="nil"/>
              <w:right w:val="nil"/>
            </w:tcBorders>
          </w:tcPr>
          <w:p w14:paraId="65330581" w14:textId="77777777" w:rsidR="00C076E5" w:rsidRDefault="00C076E5" w:rsidP="00C076E5"/>
        </w:tc>
        <w:tc>
          <w:tcPr>
            <w:tcW w:w="851" w:type="dxa"/>
            <w:tcBorders>
              <w:top w:val="nil"/>
              <w:left w:val="nil"/>
              <w:bottom w:val="nil"/>
              <w:right w:val="nil"/>
            </w:tcBorders>
          </w:tcPr>
          <w:p w14:paraId="71672384" w14:textId="77777777" w:rsidR="00C076E5" w:rsidRDefault="00C076E5" w:rsidP="00C076E5"/>
        </w:tc>
        <w:tc>
          <w:tcPr>
            <w:tcW w:w="6848" w:type="dxa"/>
            <w:gridSpan w:val="2"/>
            <w:tcBorders>
              <w:top w:val="nil"/>
              <w:left w:val="nil"/>
              <w:bottom w:val="nil"/>
              <w:right w:val="nil"/>
            </w:tcBorders>
          </w:tcPr>
          <w:p w14:paraId="1CCA703F" w14:textId="77777777" w:rsidR="00C076E5" w:rsidRDefault="00C076E5" w:rsidP="00C076E5"/>
        </w:tc>
      </w:tr>
      <w:tr w:rsidR="00C076E5" w14:paraId="015FDAD1" w14:textId="77777777" w:rsidTr="00B94A27">
        <w:tc>
          <w:tcPr>
            <w:tcW w:w="817" w:type="dxa"/>
            <w:tcBorders>
              <w:top w:val="nil"/>
              <w:left w:val="nil"/>
              <w:bottom w:val="nil"/>
              <w:right w:val="nil"/>
            </w:tcBorders>
          </w:tcPr>
          <w:p w14:paraId="07E70AA8" w14:textId="77777777" w:rsidR="00C076E5" w:rsidRDefault="00C076E5" w:rsidP="00C076E5"/>
        </w:tc>
        <w:tc>
          <w:tcPr>
            <w:tcW w:w="851" w:type="dxa"/>
            <w:tcBorders>
              <w:top w:val="nil"/>
              <w:left w:val="nil"/>
              <w:bottom w:val="nil"/>
              <w:right w:val="nil"/>
            </w:tcBorders>
          </w:tcPr>
          <w:p w14:paraId="4590946A" w14:textId="77777777" w:rsidR="00C076E5" w:rsidRDefault="00C076E5" w:rsidP="00C076E5"/>
        </w:tc>
        <w:tc>
          <w:tcPr>
            <w:tcW w:w="6848" w:type="dxa"/>
            <w:gridSpan w:val="2"/>
            <w:tcBorders>
              <w:top w:val="nil"/>
              <w:left w:val="nil"/>
              <w:bottom w:val="nil"/>
              <w:right w:val="nil"/>
            </w:tcBorders>
          </w:tcPr>
          <w:p w14:paraId="569A87FD" w14:textId="46436937" w:rsidR="00C076E5" w:rsidRDefault="00C076E5" w:rsidP="007367D5">
            <w:r>
              <w:t xml:space="preserve">With regard to the terms of reference relating directly to Mr R’s mental health, we found that the difference between the findings of the RCA and the DHR could be explained by the fragile control of his psychosis achieved by medication, the difficulty in assessing his mental state and the rapidity of the relapse. No symptoms of imminent relapse were apparent to his usual care team in the days prior to the homicide. After the homicide the first psychiatric assessor found him to be fit for interview. However, prison staff had already noticed that his behaviour was of concern and he rapidly became sufficiently disturbed to necessitate special precautions by the prison staff when unlocking his cell. He was extremely unwell on admission to the </w:t>
            </w:r>
            <w:r w:rsidR="007367D5" w:rsidRPr="00FC54C2">
              <w:rPr>
                <w:color w:val="000000" w:themeColor="text1"/>
              </w:rPr>
              <w:t xml:space="preserve">MSU </w:t>
            </w:r>
            <w:r>
              <w:t xml:space="preserve">approximately two weeks later. </w:t>
            </w:r>
          </w:p>
        </w:tc>
      </w:tr>
      <w:tr w:rsidR="00C076E5" w14:paraId="71CE597C" w14:textId="77777777" w:rsidTr="00B94A27">
        <w:tc>
          <w:tcPr>
            <w:tcW w:w="817" w:type="dxa"/>
            <w:tcBorders>
              <w:top w:val="nil"/>
              <w:left w:val="nil"/>
              <w:bottom w:val="nil"/>
              <w:right w:val="nil"/>
            </w:tcBorders>
          </w:tcPr>
          <w:p w14:paraId="309A9812" w14:textId="77777777" w:rsidR="00C076E5" w:rsidRDefault="00C076E5" w:rsidP="00C076E5"/>
        </w:tc>
        <w:tc>
          <w:tcPr>
            <w:tcW w:w="851" w:type="dxa"/>
            <w:tcBorders>
              <w:top w:val="nil"/>
              <w:left w:val="nil"/>
              <w:bottom w:val="nil"/>
              <w:right w:val="nil"/>
            </w:tcBorders>
          </w:tcPr>
          <w:p w14:paraId="35C8C577" w14:textId="77777777" w:rsidR="00C076E5" w:rsidRDefault="00C076E5" w:rsidP="00C076E5"/>
        </w:tc>
        <w:tc>
          <w:tcPr>
            <w:tcW w:w="6848" w:type="dxa"/>
            <w:gridSpan w:val="2"/>
            <w:tcBorders>
              <w:top w:val="nil"/>
              <w:left w:val="nil"/>
              <w:bottom w:val="nil"/>
              <w:right w:val="nil"/>
            </w:tcBorders>
          </w:tcPr>
          <w:p w14:paraId="724C3D08" w14:textId="77777777" w:rsidR="00C076E5" w:rsidRDefault="00C076E5" w:rsidP="00C076E5"/>
        </w:tc>
      </w:tr>
      <w:tr w:rsidR="00C076E5" w14:paraId="4704FF17" w14:textId="77777777" w:rsidTr="00B94A27">
        <w:tc>
          <w:tcPr>
            <w:tcW w:w="817" w:type="dxa"/>
            <w:tcBorders>
              <w:top w:val="nil"/>
              <w:left w:val="nil"/>
              <w:bottom w:val="nil"/>
              <w:right w:val="nil"/>
            </w:tcBorders>
          </w:tcPr>
          <w:p w14:paraId="7C31D561" w14:textId="77777777" w:rsidR="00C076E5" w:rsidRDefault="00C076E5" w:rsidP="00C076E5"/>
        </w:tc>
        <w:tc>
          <w:tcPr>
            <w:tcW w:w="851" w:type="dxa"/>
            <w:tcBorders>
              <w:top w:val="nil"/>
              <w:left w:val="nil"/>
              <w:bottom w:val="nil"/>
              <w:right w:val="nil"/>
            </w:tcBorders>
          </w:tcPr>
          <w:p w14:paraId="1ED3E8A5" w14:textId="77777777" w:rsidR="00C076E5" w:rsidRDefault="00C076E5" w:rsidP="00C076E5"/>
        </w:tc>
        <w:tc>
          <w:tcPr>
            <w:tcW w:w="6848" w:type="dxa"/>
            <w:gridSpan w:val="2"/>
            <w:tcBorders>
              <w:top w:val="nil"/>
              <w:left w:val="nil"/>
              <w:bottom w:val="nil"/>
              <w:right w:val="nil"/>
            </w:tcBorders>
          </w:tcPr>
          <w:p w14:paraId="4290C5E7" w14:textId="1B127212" w:rsidR="00C076E5" w:rsidRDefault="00C076E5" w:rsidP="00C076E5">
            <w:r>
              <w:t>With regard to support and services for substance misuse of cannabis and alcohol received by Mr R and how practice has changed since the index offence, first of all Mr R was not receiving any services. It appears that he had not used cannabis for many years and that he was not regarded to have misused alcohol for many years either. He has provided an uncorroborated account of drinking approximately one large bottle of vodka per month in one bout. Nevertheless, he did not present as someone with an alcohol problem, alcohol misuse was not identified as a factor relevant to his enduring mental health problems or difficulties in living. Neither alcohol nor cannabis use were found to be relevant to the index offence.</w:t>
            </w:r>
          </w:p>
        </w:tc>
      </w:tr>
      <w:tr w:rsidR="00C076E5" w14:paraId="5B2A801C" w14:textId="77777777" w:rsidTr="00B94A27">
        <w:tc>
          <w:tcPr>
            <w:tcW w:w="817" w:type="dxa"/>
            <w:tcBorders>
              <w:top w:val="nil"/>
              <w:left w:val="nil"/>
              <w:bottom w:val="nil"/>
              <w:right w:val="nil"/>
            </w:tcBorders>
          </w:tcPr>
          <w:p w14:paraId="7429FC7A" w14:textId="77777777" w:rsidR="00C076E5" w:rsidRDefault="00C076E5" w:rsidP="00C076E5"/>
        </w:tc>
        <w:tc>
          <w:tcPr>
            <w:tcW w:w="851" w:type="dxa"/>
            <w:tcBorders>
              <w:top w:val="nil"/>
              <w:left w:val="nil"/>
              <w:bottom w:val="nil"/>
              <w:right w:val="nil"/>
            </w:tcBorders>
          </w:tcPr>
          <w:p w14:paraId="09C7D1AE" w14:textId="77777777" w:rsidR="00C076E5" w:rsidRDefault="00C076E5" w:rsidP="00C076E5"/>
        </w:tc>
        <w:tc>
          <w:tcPr>
            <w:tcW w:w="6848" w:type="dxa"/>
            <w:gridSpan w:val="2"/>
            <w:tcBorders>
              <w:top w:val="nil"/>
              <w:left w:val="nil"/>
              <w:bottom w:val="nil"/>
              <w:right w:val="nil"/>
            </w:tcBorders>
          </w:tcPr>
          <w:p w14:paraId="51C3AF57" w14:textId="77777777" w:rsidR="00C076E5" w:rsidRDefault="00C076E5" w:rsidP="00C076E5"/>
        </w:tc>
      </w:tr>
      <w:tr w:rsidR="00C076E5" w14:paraId="2E71EFEF" w14:textId="77777777" w:rsidTr="00B94A27">
        <w:tc>
          <w:tcPr>
            <w:tcW w:w="817" w:type="dxa"/>
            <w:tcBorders>
              <w:top w:val="nil"/>
              <w:left w:val="nil"/>
              <w:bottom w:val="nil"/>
              <w:right w:val="nil"/>
            </w:tcBorders>
          </w:tcPr>
          <w:p w14:paraId="31F36672" w14:textId="77777777" w:rsidR="00C076E5" w:rsidRDefault="00C076E5" w:rsidP="00C076E5"/>
        </w:tc>
        <w:tc>
          <w:tcPr>
            <w:tcW w:w="851" w:type="dxa"/>
            <w:tcBorders>
              <w:top w:val="nil"/>
              <w:left w:val="nil"/>
              <w:bottom w:val="nil"/>
              <w:right w:val="nil"/>
            </w:tcBorders>
          </w:tcPr>
          <w:p w14:paraId="61ADEB6B" w14:textId="77777777" w:rsidR="00C076E5" w:rsidRDefault="00C076E5" w:rsidP="00C076E5"/>
        </w:tc>
        <w:tc>
          <w:tcPr>
            <w:tcW w:w="6848" w:type="dxa"/>
            <w:gridSpan w:val="2"/>
            <w:tcBorders>
              <w:top w:val="nil"/>
              <w:left w:val="nil"/>
              <w:bottom w:val="nil"/>
              <w:right w:val="nil"/>
            </w:tcBorders>
          </w:tcPr>
          <w:p w14:paraId="682D5710" w14:textId="6C47DB0D" w:rsidR="00C076E5" w:rsidRDefault="00C076E5" w:rsidP="00C076E5">
            <w:r>
              <w:t xml:space="preserve">The Trust has an up to date, comprehensive dual diagnosis policy but there are concerns about whether it can be realistically implemented. The Trust has recently lost a contract to provide addiction services and this has also led to a loss of professional expertise within the organisation. A high proportion of CMHT service users present with dual diagnosis but care co-ordinators do not feel they have skills to work with this complexity. Their experience is of constantly crisis managing and </w:t>
            </w:r>
            <w:r w:rsidR="00043B16" w:rsidRPr="00F82C10">
              <w:t>they</w:t>
            </w:r>
            <w:r w:rsidR="00043B16">
              <w:rPr>
                <w:color w:val="FF0000"/>
              </w:rPr>
              <w:t xml:space="preserve"> </w:t>
            </w:r>
            <w:r>
              <w:t>find that the service users are reluctant to engage in the available services now that they are not provided by the Trust.</w:t>
            </w:r>
          </w:p>
        </w:tc>
      </w:tr>
      <w:tr w:rsidR="00C076E5" w14:paraId="23A47C45" w14:textId="77777777" w:rsidTr="00B94A27">
        <w:tc>
          <w:tcPr>
            <w:tcW w:w="817" w:type="dxa"/>
            <w:tcBorders>
              <w:top w:val="nil"/>
              <w:left w:val="nil"/>
              <w:bottom w:val="nil"/>
              <w:right w:val="nil"/>
            </w:tcBorders>
          </w:tcPr>
          <w:p w14:paraId="050FEED6" w14:textId="77777777" w:rsidR="00C076E5" w:rsidRDefault="00C076E5" w:rsidP="00C076E5"/>
        </w:tc>
        <w:tc>
          <w:tcPr>
            <w:tcW w:w="851" w:type="dxa"/>
            <w:tcBorders>
              <w:top w:val="nil"/>
              <w:left w:val="nil"/>
              <w:bottom w:val="nil"/>
              <w:right w:val="nil"/>
            </w:tcBorders>
          </w:tcPr>
          <w:p w14:paraId="4F4A3F0A" w14:textId="77777777" w:rsidR="00C076E5" w:rsidRDefault="00C076E5" w:rsidP="00C076E5"/>
        </w:tc>
        <w:tc>
          <w:tcPr>
            <w:tcW w:w="6848" w:type="dxa"/>
            <w:gridSpan w:val="2"/>
            <w:tcBorders>
              <w:top w:val="nil"/>
              <w:left w:val="nil"/>
              <w:bottom w:val="nil"/>
              <w:right w:val="nil"/>
            </w:tcBorders>
          </w:tcPr>
          <w:p w14:paraId="6E613E6B" w14:textId="77777777" w:rsidR="00C076E5" w:rsidRDefault="00C076E5" w:rsidP="00C076E5"/>
        </w:tc>
      </w:tr>
      <w:tr w:rsidR="00C076E5" w14:paraId="1E85521E" w14:textId="77777777" w:rsidTr="00B94A27">
        <w:tc>
          <w:tcPr>
            <w:tcW w:w="817" w:type="dxa"/>
            <w:tcBorders>
              <w:top w:val="nil"/>
              <w:left w:val="nil"/>
              <w:bottom w:val="nil"/>
              <w:right w:val="nil"/>
            </w:tcBorders>
          </w:tcPr>
          <w:p w14:paraId="39F41DFC" w14:textId="77777777" w:rsidR="00C076E5" w:rsidRDefault="00C076E5" w:rsidP="00C076E5"/>
        </w:tc>
        <w:tc>
          <w:tcPr>
            <w:tcW w:w="851" w:type="dxa"/>
            <w:tcBorders>
              <w:top w:val="nil"/>
              <w:left w:val="nil"/>
              <w:bottom w:val="nil"/>
              <w:right w:val="nil"/>
            </w:tcBorders>
          </w:tcPr>
          <w:p w14:paraId="652F1B12" w14:textId="77777777" w:rsidR="00C076E5" w:rsidRDefault="00C076E5" w:rsidP="00C076E5"/>
        </w:tc>
        <w:tc>
          <w:tcPr>
            <w:tcW w:w="6848" w:type="dxa"/>
            <w:gridSpan w:val="2"/>
            <w:tcBorders>
              <w:top w:val="nil"/>
              <w:left w:val="nil"/>
              <w:bottom w:val="nil"/>
              <w:right w:val="nil"/>
            </w:tcBorders>
          </w:tcPr>
          <w:p w14:paraId="5B2E692A" w14:textId="4DA09CB9" w:rsidR="00C076E5" w:rsidRDefault="00C076E5" w:rsidP="00D341D9">
            <w:r>
              <w:t xml:space="preserve">Since the time of the index offence, the Care Act (2014) has been implemented. This has resulted in some key changes which, had they been in place, may have led to a greater recognition of the risks Mrs R was exposed to. These include her being directly offered a carer’s assessment and that incidents of aggression towards her by Mr R would have resulted in safeguarding alerts being raised. Additionally, </w:t>
            </w:r>
            <w:r w:rsidR="00D341D9">
              <w:t>more sophisticated incident monitoring and the weekly QMG provide</w:t>
            </w:r>
            <w:r>
              <w:t xml:space="preserve"> </w:t>
            </w:r>
            <w:r w:rsidR="00D341D9">
              <w:t xml:space="preserve">a level of </w:t>
            </w:r>
            <w:r>
              <w:t xml:space="preserve">independent </w:t>
            </w:r>
            <w:r w:rsidR="00D341D9">
              <w:t xml:space="preserve">scrutiny </w:t>
            </w:r>
            <w:r>
              <w:t>where safeguarding risks not picked up by the clinical team would be identified and followed up.</w:t>
            </w:r>
          </w:p>
        </w:tc>
      </w:tr>
      <w:tr w:rsidR="00C076E5" w14:paraId="69CA3F3A" w14:textId="77777777" w:rsidTr="00B94A27">
        <w:tc>
          <w:tcPr>
            <w:tcW w:w="817" w:type="dxa"/>
            <w:tcBorders>
              <w:top w:val="nil"/>
              <w:left w:val="nil"/>
              <w:bottom w:val="nil"/>
              <w:right w:val="nil"/>
            </w:tcBorders>
          </w:tcPr>
          <w:p w14:paraId="18CFE098" w14:textId="77777777" w:rsidR="00C076E5" w:rsidRDefault="00C076E5" w:rsidP="00C076E5"/>
        </w:tc>
        <w:tc>
          <w:tcPr>
            <w:tcW w:w="851" w:type="dxa"/>
            <w:tcBorders>
              <w:top w:val="nil"/>
              <w:left w:val="nil"/>
              <w:bottom w:val="nil"/>
              <w:right w:val="nil"/>
            </w:tcBorders>
          </w:tcPr>
          <w:p w14:paraId="79E7E123" w14:textId="77777777" w:rsidR="00C076E5" w:rsidRDefault="00C076E5" w:rsidP="00C076E5"/>
        </w:tc>
        <w:tc>
          <w:tcPr>
            <w:tcW w:w="6848" w:type="dxa"/>
            <w:gridSpan w:val="2"/>
            <w:tcBorders>
              <w:top w:val="nil"/>
              <w:left w:val="nil"/>
              <w:bottom w:val="nil"/>
              <w:right w:val="nil"/>
            </w:tcBorders>
          </w:tcPr>
          <w:p w14:paraId="4FB4E537" w14:textId="77777777" w:rsidR="00C076E5" w:rsidRDefault="00C076E5" w:rsidP="00C076E5"/>
        </w:tc>
      </w:tr>
      <w:tr w:rsidR="00C076E5" w14:paraId="772A7E8C" w14:textId="77777777" w:rsidTr="00B94A27">
        <w:tc>
          <w:tcPr>
            <w:tcW w:w="817" w:type="dxa"/>
            <w:tcBorders>
              <w:top w:val="nil"/>
              <w:left w:val="nil"/>
              <w:bottom w:val="nil"/>
              <w:right w:val="nil"/>
            </w:tcBorders>
          </w:tcPr>
          <w:p w14:paraId="449A90E9" w14:textId="77777777" w:rsidR="00C076E5" w:rsidRDefault="00C076E5" w:rsidP="00C076E5"/>
        </w:tc>
        <w:tc>
          <w:tcPr>
            <w:tcW w:w="851" w:type="dxa"/>
            <w:tcBorders>
              <w:top w:val="nil"/>
              <w:left w:val="nil"/>
              <w:bottom w:val="nil"/>
              <w:right w:val="nil"/>
            </w:tcBorders>
          </w:tcPr>
          <w:p w14:paraId="78B62364" w14:textId="77777777" w:rsidR="00C076E5" w:rsidRDefault="00C076E5" w:rsidP="00C076E5"/>
        </w:tc>
        <w:tc>
          <w:tcPr>
            <w:tcW w:w="6848" w:type="dxa"/>
            <w:gridSpan w:val="2"/>
            <w:tcBorders>
              <w:top w:val="nil"/>
              <w:left w:val="nil"/>
              <w:bottom w:val="nil"/>
              <w:right w:val="nil"/>
            </w:tcBorders>
          </w:tcPr>
          <w:p w14:paraId="7E78B0FB" w14:textId="68962BA4" w:rsidR="00C076E5" w:rsidRDefault="00C076E5" w:rsidP="00C076E5">
            <w:r>
              <w:t xml:space="preserve">The Trust offers opportunities for carers to be engaged in the business of the organisation at many levels and there is much good practice to be found. However, the day-to-day support for carers that would be facilitated through care co-ordinators appears to be inconsistent and dependent on individual teams and care co-ordinators. The absence of a current, clear strategy and understanding of the care co-ordinator role in relation to carers in some cases appears to underlie this. Carer’s assessments are experienced as unwieldy and a cause of dissatisfaction and inefficiency. </w:t>
            </w:r>
          </w:p>
        </w:tc>
      </w:tr>
      <w:tr w:rsidR="00C076E5" w14:paraId="72310F7D" w14:textId="77777777" w:rsidTr="00B94A27">
        <w:tc>
          <w:tcPr>
            <w:tcW w:w="817" w:type="dxa"/>
            <w:tcBorders>
              <w:top w:val="nil"/>
              <w:left w:val="nil"/>
              <w:bottom w:val="nil"/>
              <w:right w:val="nil"/>
            </w:tcBorders>
          </w:tcPr>
          <w:p w14:paraId="0000B88F" w14:textId="77777777" w:rsidR="00C076E5" w:rsidRDefault="00C076E5" w:rsidP="00C076E5"/>
        </w:tc>
        <w:tc>
          <w:tcPr>
            <w:tcW w:w="851" w:type="dxa"/>
            <w:tcBorders>
              <w:top w:val="nil"/>
              <w:left w:val="nil"/>
              <w:bottom w:val="nil"/>
              <w:right w:val="nil"/>
            </w:tcBorders>
          </w:tcPr>
          <w:p w14:paraId="36B4F5D4" w14:textId="77777777" w:rsidR="00C076E5" w:rsidRDefault="00C076E5" w:rsidP="00C076E5"/>
        </w:tc>
        <w:tc>
          <w:tcPr>
            <w:tcW w:w="6848" w:type="dxa"/>
            <w:gridSpan w:val="2"/>
            <w:tcBorders>
              <w:top w:val="nil"/>
              <w:left w:val="nil"/>
              <w:bottom w:val="nil"/>
              <w:right w:val="nil"/>
            </w:tcBorders>
          </w:tcPr>
          <w:p w14:paraId="5747A27A" w14:textId="77777777" w:rsidR="00C076E5" w:rsidRDefault="00C076E5" w:rsidP="00C076E5"/>
        </w:tc>
      </w:tr>
      <w:tr w:rsidR="00C076E5" w14:paraId="0F5833D3" w14:textId="77777777" w:rsidTr="00B94A27">
        <w:tc>
          <w:tcPr>
            <w:tcW w:w="817" w:type="dxa"/>
            <w:tcBorders>
              <w:top w:val="nil"/>
              <w:left w:val="nil"/>
              <w:bottom w:val="nil"/>
              <w:right w:val="nil"/>
            </w:tcBorders>
          </w:tcPr>
          <w:p w14:paraId="2F7FB85F" w14:textId="77777777" w:rsidR="00C076E5" w:rsidRDefault="00C076E5" w:rsidP="00C076E5"/>
        </w:tc>
        <w:tc>
          <w:tcPr>
            <w:tcW w:w="851" w:type="dxa"/>
            <w:tcBorders>
              <w:top w:val="nil"/>
              <w:left w:val="nil"/>
              <w:bottom w:val="nil"/>
              <w:right w:val="nil"/>
            </w:tcBorders>
          </w:tcPr>
          <w:p w14:paraId="51D0F0E6" w14:textId="77777777" w:rsidR="00C076E5" w:rsidRDefault="00C076E5" w:rsidP="00C076E5"/>
        </w:tc>
        <w:tc>
          <w:tcPr>
            <w:tcW w:w="6848" w:type="dxa"/>
            <w:gridSpan w:val="2"/>
            <w:tcBorders>
              <w:top w:val="nil"/>
              <w:left w:val="nil"/>
              <w:bottom w:val="nil"/>
              <w:right w:val="nil"/>
            </w:tcBorders>
          </w:tcPr>
          <w:p w14:paraId="57B67FF8" w14:textId="5CE4A26E" w:rsidR="00C076E5" w:rsidRDefault="00C076E5" w:rsidP="00C076E5">
            <w:r>
              <w:t>There appears to be a vast improvement in the safeguarding of vulnerable adults with well functioning systems in place at the Trust. There was evidence of excellent practices, notably the MSPG and the training evolving from this.</w:t>
            </w:r>
          </w:p>
        </w:tc>
      </w:tr>
      <w:tr w:rsidR="00C076E5" w14:paraId="7D374EC8" w14:textId="77777777" w:rsidTr="00B94A27">
        <w:tc>
          <w:tcPr>
            <w:tcW w:w="817" w:type="dxa"/>
            <w:tcBorders>
              <w:top w:val="nil"/>
              <w:left w:val="nil"/>
              <w:bottom w:val="nil"/>
              <w:right w:val="nil"/>
            </w:tcBorders>
          </w:tcPr>
          <w:p w14:paraId="5066F449" w14:textId="77777777" w:rsidR="00C076E5" w:rsidRDefault="00C076E5" w:rsidP="00C076E5"/>
        </w:tc>
        <w:tc>
          <w:tcPr>
            <w:tcW w:w="851" w:type="dxa"/>
            <w:tcBorders>
              <w:top w:val="nil"/>
              <w:left w:val="nil"/>
              <w:bottom w:val="nil"/>
              <w:right w:val="nil"/>
            </w:tcBorders>
          </w:tcPr>
          <w:p w14:paraId="18B6782D" w14:textId="77777777" w:rsidR="00C076E5" w:rsidRDefault="00C076E5" w:rsidP="00C076E5"/>
        </w:tc>
        <w:tc>
          <w:tcPr>
            <w:tcW w:w="6848" w:type="dxa"/>
            <w:gridSpan w:val="2"/>
            <w:tcBorders>
              <w:top w:val="nil"/>
              <w:left w:val="nil"/>
              <w:bottom w:val="nil"/>
              <w:right w:val="nil"/>
            </w:tcBorders>
          </w:tcPr>
          <w:p w14:paraId="2B2D2027" w14:textId="77777777" w:rsidR="00C076E5" w:rsidRDefault="00C076E5" w:rsidP="00C076E5"/>
        </w:tc>
      </w:tr>
      <w:tr w:rsidR="00C076E5" w14:paraId="318CBCC9" w14:textId="77777777" w:rsidTr="00B94A27">
        <w:tc>
          <w:tcPr>
            <w:tcW w:w="817" w:type="dxa"/>
            <w:tcBorders>
              <w:top w:val="nil"/>
              <w:left w:val="nil"/>
              <w:bottom w:val="nil"/>
              <w:right w:val="nil"/>
            </w:tcBorders>
          </w:tcPr>
          <w:p w14:paraId="5EFF4D5A" w14:textId="77777777" w:rsidR="00C076E5" w:rsidRDefault="00C076E5" w:rsidP="00C076E5"/>
        </w:tc>
        <w:tc>
          <w:tcPr>
            <w:tcW w:w="851" w:type="dxa"/>
            <w:tcBorders>
              <w:top w:val="nil"/>
              <w:left w:val="nil"/>
              <w:bottom w:val="nil"/>
              <w:right w:val="nil"/>
            </w:tcBorders>
          </w:tcPr>
          <w:p w14:paraId="03476C16" w14:textId="77777777" w:rsidR="00C076E5" w:rsidRDefault="00C076E5" w:rsidP="00C076E5"/>
        </w:tc>
        <w:tc>
          <w:tcPr>
            <w:tcW w:w="6848" w:type="dxa"/>
            <w:gridSpan w:val="2"/>
            <w:tcBorders>
              <w:top w:val="nil"/>
              <w:left w:val="nil"/>
              <w:bottom w:val="nil"/>
              <w:right w:val="nil"/>
            </w:tcBorders>
          </w:tcPr>
          <w:p w14:paraId="660A3B2B" w14:textId="59B57F93" w:rsidR="00C076E5" w:rsidRDefault="00C076E5" w:rsidP="00C076E5">
            <w:r>
              <w:t xml:space="preserve">The Trust experiences difficulties recruiting and retaining staff of which nursing presents the greatest challenge. Thus, impacting the care co-ordinator role.  At the time of our review, we found the team at Central Wandsworth and South Battersea to be, for the first time in a long time, well staffed, with a permanent manager and deputy, in receipt of supervision and a weekly reflective practice group facilitated by a consultant psychotherapist. Nevertheless, there were still a number of areas of concern and no reason to assume that the problem of rapid staff turnover was not still problematic. </w:t>
            </w:r>
          </w:p>
        </w:tc>
      </w:tr>
      <w:tr w:rsidR="00C076E5" w14:paraId="33BB6AC5" w14:textId="77777777" w:rsidTr="00B94A27">
        <w:tc>
          <w:tcPr>
            <w:tcW w:w="817" w:type="dxa"/>
            <w:tcBorders>
              <w:top w:val="nil"/>
              <w:left w:val="nil"/>
              <w:bottom w:val="nil"/>
              <w:right w:val="nil"/>
            </w:tcBorders>
          </w:tcPr>
          <w:p w14:paraId="0EFF25AC" w14:textId="3937C1C9" w:rsidR="00C076E5" w:rsidRDefault="00C076E5" w:rsidP="00C076E5"/>
        </w:tc>
        <w:tc>
          <w:tcPr>
            <w:tcW w:w="851" w:type="dxa"/>
            <w:tcBorders>
              <w:top w:val="nil"/>
              <w:left w:val="nil"/>
              <w:bottom w:val="nil"/>
              <w:right w:val="nil"/>
            </w:tcBorders>
          </w:tcPr>
          <w:p w14:paraId="6D54E663" w14:textId="77777777" w:rsidR="00C076E5" w:rsidRDefault="00C076E5" w:rsidP="00C076E5"/>
        </w:tc>
        <w:tc>
          <w:tcPr>
            <w:tcW w:w="6848" w:type="dxa"/>
            <w:gridSpan w:val="2"/>
            <w:tcBorders>
              <w:top w:val="nil"/>
              <w:left w:val="nil"/>
              <w:bottom w:val="nil"/>
              <w:right w:val="nil"/>
            </w:tcBorders>
          </w:tcPr>
          <w:p w14:paraId="6D1758ED" w14:textId="77777777" w:rsidR="00C076E5" w:rsidRDefault="00C076E5" w:rsidP="00C076E5"/>
        </w:tc>
      </w:tr>
      <w:tr w:rsidR="00C076E5" w14:paraId="4DEDD2DF" w14:textId="77777777" w:rsidTr="00B94A27">
        <w:tc>
          <w:tcPr>
            <w:tcW w:w="817" w:type="dxa"/>
            <w:tcBorders>
              <w:top w:val="nil"/>
              <w:left w:val="nil"/>
              <w:bottom w:val="nil"/>
              <w:right w:val="nil"/>
            </w:tcBorders>
          </w:tcPr>
          <w:p w14:paraId="27CF386C" w14:textId="77777777" w:rsidR="00C076E5" w:rsidRDefault="00C076E5" w:rsidP="00C076E5"/>
        </w:tc>
        <w:tc>
          <w:tcPr>
            <w:tcW w:w="851" w:type="dxa"/>
            <w:tcBorders>
              <w:top w:val="nil"/>
              <w:left w:val="nil"/>
              <w:bottom w:val="nil"/>
              <w:right w:val="nil"/>
            </w:tcBorders>
          </w:tcPr>
          <w:p w14:paraId="53B4438D" w14:textId="77777777" w:rsidR="00C076E5" w:rsidRDefault="00C076E5" w:rsidP="00C076E5"/>
        </w:tc>
        <w:tc>
          <w:tcPr>
            <w:tcW w:w="6848" w:type="dxa"/>
            <w:gridSpan w:val="2"/>
            <w:tcBorders>
              <w:top w:val="nil"/>
              <w:left w:val="nil"/>
              <w:bottom w:val="nil"/>
              <w:right w:val="nil"/>
            </w:tcBorders>
          </w:tcPr>
          <w:p w14:paraId="2E833E4C" w14:textId="1E062993" w:rsidR="00433BB1" w:rsidRDefault="00C076E5" w:rsidP="00C076E5">
            <w:r w:rsidRPr="00433BB1">
              <w:t>Systemic factors in the wider health economy combine with internal trust factors to produce a number of negative conditions and we suspect rapid job turnover may be a way for staff in this role to cope with the stress of work. Included in the factors identified as applying strain are;</w:t>
            </w:r>
          </w:p>
          <w:p w14:paraId="6F1EEC32" w14:textId="77777777" w:rsidR="00433BB1" w:rsidRDefault="00433BB1" w:rsidP="00433BB1">
            <w:pPr>
              <w:pStyle w:val="ListParagraph"/>
              <w:numPr>
                <w:ilvl w:val="0"/>
                <w:numId w:val="5"/>
              </w:numPr>
            </w:pPr>
            <w:r>
              <w:t>National shortage of mental health nurses</w:t>
            </w:r>
          </w:p>
          <w:p w14:paraId="105838DF" w14:textId="77777777" w:rsidR="00433BB1" w:rsidRDefault="00433BB1" w:rsidP="00433BB1">
            <w:pPr>
              <w:pStyle w:val="ListParagraph"/>
              <w:numPr>
                <w:ilvl w:val="0"/>
                <w:numId w:val="5"/>
              </w:numPr>
            </w:pPr>
            <w:r>
              <w:t>Small pool of talent and high levels of competition between London Trusts</w:t>
            </w:r>
          </w:p>
          <w:p w14:paraId="238A7C7C" w14:textId="77777777" w:rsidR="00433BB1" w:rsidRDefault="00433BB1" w:rsidP="00433BB1">
            <w:pPr>
              <w:pStyle w:val="ListParagraph"/>
              <w:numPr>
                <w:ilvl w:val="0"/>
                <w:numId w:val="5"/>
              </w:numPr>
            </w:pPr>
            <w:r>
              <w:t>Underfunding of services</w:t>
            </w:r>
          </w:p>
          <w:p w14:paraId="12D660BD" w14:textId="77777777" w:rsidR="00433BB1" w:rsidRDefault="00433BB1" w:rsidP="00433BB1">
            <w:pPr>
              <w:pStyle w:val="ListParagraph"/>
              <w:numPr>
                <w:ilvl w:val="0"/>
                <w:numId w:val="5"/>
              </w:numPr>
            </w:pPr>
            <w:r>
              <w:t>Care co-ordination in generic CMHTs becoming less popular in the light of speciality areas coming on stream</w:t>
            </w:r>
          </w:p>
          <w:p w14:paraId="4549F545" w14:textId="77777777" w:rsidR="00433BB1" w:rsidRDefault="00433BB1" w:rsidP="00433BB1">
            <w:pPr>
              <w:pStyle w:val="ListParagraph"/>
              <w:numPr>
                <w:ilvl w:val="0"/>
                <w:numId w:val="5"/>
              </w:numPr>
            </w:pPr>
            <w:r>
              <w:t>The impact of chronic, repeated organisational change</w:t>
            </w:r>
          </w:p>
          <w:p w14:paraId="41534443" w14:textId="77777777" w:rsidR="00433BB1" w:rsidRDefault="00433BB1" w:rsidP="00433BB1">
            <w:pPr>
              <w:pStyle w:val="ListParagraph"/>
              <w:numPr>
                <w:ilvl w:val="0"/>
                <w:numId w:val="5"/>
              </w:numPr>
            </w:pPr>
            <w:r>
              <w:t>Disaggregation of social workers from teams</w:t>
            </w:r>
          </w:p>
          <w:p w14:paraId="326EA345" w14:textId="77777777" w:rsidR="00433BB1" w:rsidRDefault="00433BB1" w:rsidP="00433BB1">
            <w:pPr>
              <w:pStyle w:val="ListParagraph"/>
              <w:numPr>
                <w:ilvl w:val="0"/>
                <w:numId w:val="5"/>
              </w:numPr>
            </w:pPr>
            <w:r>
              <w:t>Loss of Trust addiction services</w:t>
            </w:r>
          </w:p>
          <w:p w14:paraId="597A5B3E" w14:textId="77777777" w:rsidR="00433BB1" w:rsidRDefault="00433BB1" w:rsidP="00433BB1">
            <w:pPr>
              <w:pStyle w:val="ListParagraph"/>
              <w:numPr>
                <w:ilvl w:val="0"/>
                <w:numId w:val="5"/>
              </w:numPr>
            </w:pPr>
            <w:r>
              <w:t>Large caseloads</w:t>
            </w:r>
          </w:p>
          <w:p w14:paraId="460B36CF" w14:textId="77777777" w:rsidR="00433BB1" w:rsidRDefault="00433BB1" w:rsidP="00433BB1">
            <w:pPr>
              <w:pStyle w:val="ListParagraph"/>
              <w:numPr>
                <w:ilvl w:val="0"/>
                <w:numId w:val="5"/>
              </w:numPr>
            </w:pPr>
            <w:r>
              <w:t>Acuity and complexity of caseloads</w:t>
            </w:r>
          </w:p>
          <w:p w14:paraId="37428282" w14:textId="77777777" w:rsidR="00433BB1" w:rsidRDefault="00433BB1" w:rsidP="00433BB1">
            <w:pPr>
              <w:pStyle w:val="ListParagraph"/>
              <w:numPr>
                <w:ilvl w:val="0"/>
                <w:numId w:val="5"/>
              </w:numPr>
            </w:pPr>
            <w:r>
              <w:t>Lack of skills to work with complexity</w:t>
            </w:r>
          </w:p>
          <w:p w14:paraId="0D9590DE" w14:textId="77777777" w:rsidR="00433BB1" w:rsidRDefault="00433BB1" w:rsidP="00433BB1">
            <w:pPr>
              <w:pStyle w:val="ListParagraph"/>
              <w:numPr>
                <w:ilvl w:val="0"/>
                <w:numId w:val="5"/>
              </w:numPr>
            </w:pPr>
            <w:r>
              <w:t>Administrative burden</w:t>
            </w:r>
          </w:p>
          <w:p w14:paraId="3DE34DBF" w14:textId="77777777" w:rsidR="00433BB1" w:rsidRDefault="00433BB1" w:rsidP="00433BB1">
            <w:pPr>
              <w:pStyle w:val="ListParagraph"/>
              <w:numPr>
                <w:ilvl w:val="0"/>
                <w:numId w:val="5"/>
              </w:numPr>
            </w:pPr>
            <w:r>
              <w:t>Reactivity and crisis management</w:t>
            </w:r>
          </w:p>
          <w:p w14:paraId="542A5B99" w14:textId="77777777" w:rsidR="00433BB1" w:rsidRDefault="00433BB1" w:rsidP="00433BB1">
            <w:pPr>
              <w:pStyle w:val="ListParagraph"/>
              <w:numPr>
                <w:ilvl w:val="0"/>
                <w:numId w:val="5"/>
              </w:numPr>
            </w:pPr>
            <w:r>
              <w:t xml:space="preserve">Reduction in support from team psychologists due to their requirement to provide to inpatient services </w:t>
            </w:r>
          </w:p>
          <w:p w14:paraId="7808D3CC" w14:textId="77777777" w:rsidR="00433BB1" w:rsidRDefault="00433BB1" w:rsidP="00433BB1">
            <w:pPr>
              <w:pStyle w:val="ListParagraph"/>
              <w:numPr>
                <w:ilvl w:val="0"/>
                <w:numId w:val="5"/>
              </w:numPr>
            </w:pPr>
            <w:r>
              <w:t>Washout of training gains</w:t>
            </w:r>
          </w:p>
          <w:p w14:paraId="45905A87" w14:textId="05B22370" w:rsidR="00C076E5" w:rsidRDefault="00C076E5" w:rsidP="00C076E5">
            <w:r>
              <w:t>We feel it is important to be aware that deficits and problems in the wider system can become manifest at this point in care delivery, which leaves the role and staff employed within it, vulnerable to becoming the place where fault and blame gets located.</w:t>
            </w:r>
          </w:p>
        </w:tc>
      </w:tr>
      <w:tr w:rsidR="00C076E5" w14:paraId="46BC62E9" w14:textId="77777777" w:rsidTr="00B94A27">
        <w:tc>
          <w:tcPr>
            <w:tcW w:w="817" w:type="dxa"/>
            <w:tcBorders>
              <w:top w:val="nil"/>
              <w:left w:val="nil"/>
              <w:bottom w:val="nil"/>
              <w:right w:val="nil"/>
            </w:tcBorders>
          </w:tcPr>
          <w:p w14:paraId="20075C99" w14:textId="77777777" w:rsidR="00C076E5" w:rsidRDefault="00C076E5" w:rsidP="00C076E5"/>
        </w:tc>
        <w:tc>
          <w:tcPr>
            <w:tcW w:w="851" w:type="dxa"/>
            <w:tcBorders>
              <w:top w:val="nil"/>
              <w:left w:val="nil"/>
              <w:bottom w:val="nil"/>
              <w:right w:val="nil"/>
            </w:tcBorders>
          </w:tcPr>
          <w:p w14:paraId="55782170" w14:textId="77777777" w:rsidR="00C076E5" w:rsidRDefault="00C076E5" w:rsidP="00C076E5"/>
        </w:tc>
        <w:tc>
          <w:tcPr>
            <w:tcW w:w="6848" w:type="dxa"/>
            <w:gridSpan w:val="2"/>
            <w:tcBorders>
              <w:top w:val="nil"/>
              <w:left w:val="nil"/>
              <w:bottom w:val="nil"/>
              <w:right w:val="nil"/>
            </w:tcBorders>
          </w:tcPr>
          <w:p w14:paraId="7CA7A6F1" w14:textId="77777777" w:rsidR="00C076E5" w:rsidRDefault="00C076E5" w:rsidP="00C076E5"/>
        </w:tc>
      </w:tr>
      <w:tr w:rsidR="00C076E5" w14:paraId="08C901CE" w14:textId="77777777" w:rsidTr="00B94A27">
        <w:tc>
          <w:tcPr>
            <w:tcW w:w="817" w:type="dxa"/>
            <w:tcBorders>
              <w:top w:val="nil"/>
              <w:left w:val="nil"/>
              <w:bottom w:val="nil"/>
              <w:right w:val="nil"/>
            </w:tcBorders>
          </w:tcPr>
          <w:p w14:paraId="3D9AAD4B" w14:textId="77777777" w:rsidR="00C076E5" w:rsidRDefault="00C076E5" w:rsidP="00C076E5"/>
        </w:tc>
        <w:tc>
          <w:tcPr>
            <w:tcW w:w="851" w:type="dxa"/>
            <w:tcBorders>
              <w:top w:val="nil"/>
              <w:left w:val="nil"/>
              <w:bottom w:val="nil"/>
              <w:right w:val="nil"/>
            </w:tcBorders>
          </w:tcPr>
          <w:p w14:paraId="71F6F747" w14:textId="77777777" w:rsidR="00C076E5" w:rsidRDefault="00C076E5" w:rsidP="00C076E5"/>
        </w:tc>
        <w:tc>
          <w:tcPr>
            <w:tcW w:w="6848" w:type="dxa"/>
            <w:gridSpan w:val="2"/>
            <w:tcBorders>
              <w:top w:val="nil"/>
              <w:left w:val="nil"/>
              <w:bottom w:val="nil"/>
              <w:right w:val="nil"/>
            </w:tcBorders>
          </w:tcPr>
          <w:p w14:paraId="2A794140" w14:textId="62CF0A84" w:rsidR="00C076E5" w:rsidRDefault="00C076E5" w:rsidP="00C076E5">
            <w:r>
              <w:t>We noted the positive, active recruitment and retention activity led by the Director of Nursing.</w:t>
            </w:r>
          </w:p>
        </w:tc>
      </w:tr>
      <w:tr w:rsidR="00C076E5" w14:paraId="423CA6E7" w14:textId="77777777" w:rsidTr="00B94A27">
        <w:tc>
          <w:tcPr>
            <w:tcW w:w="817" w:type="dxa"/>
            <w:tcBorders>
              <w:top w:val="nil"/>
              <w:left w:val="nil"/>
              <w:bottom w:val="nil"/>
              <w:right w:val="nil"/>
            </w:tcBorders>
          </w:tcPr>
          <w:p w14:paraId="687A17F5" w14:textId="77777777" w:rsidR="00C076E5" w:rsidRDefault="00C076E5" w:rsidP="00C076E5"/>
        </w:tc>
        <w:tc>
          <w:tcPr>
            <w:tcW w:w="851" w:type="dxa"/>
            <w:tcBorders>
              <w:top w:val="nil"/>
              <w:left w:val="nil"/>
              <w:bottom w:val="nil"/>
              <w:right w:val="nil"/>
            </w:tcBorders>
          </w:tcPr>
          <w:p w14:paraId="2EF607A5" w14:textId="77777777" w:rsidR="00C076E5" w:rsidRDefault="00C076E5" w:rsidP="00C076E5"/>
        </w:tc>
        <w:tc>
          <w:tcPr>
            <w:tcW w:w="6848" w:type="dxa"/>
            <w:gridSpan w:val="2"/>
            <w:tcBorders>
              <w:top w:val="nil"/>
              <w:left w:val="nil"/>
              <w:bottom w:val="nil"/>
              <w:right w:val="nil"/>
            </w:tcBorders>
          </w:tcPr>
          <w:p w14:paraId="2F8FFF29" w14:textId="77777777" w:rsidR="00C076E5" w:rsidRDefault="00C076E5" w:rsidP="00C076E5"/>
        </w:tc>
      </w:tr>
      <w:tr w:rsidR="00C076E5" w14:paraId="35C54DA2" w14:textId="77777777" w:rsidTr="00B94A27">
        <w:tc>
          <w:tcPr>
            <w:tcW w:w="817" w:type="dxa"/>
            <w:tcBorders>
              <w:top w:val="nil"/>
              <w:left w:val="nil"/>
              <w:bottom w:val="nil"/>
              <w:right w:val="nil"/>
            </w:tcBorders>
          </w:tcPr>
          <w:p w14:paraId="17C109A5" w14:textId="77777777" w:rsidR="00C076E5" w:rsidRDefault="00C076E5" w:rsidP="00C076E5"/>
        </w:tc>
        <w:tc>
          <w:tcPr>
            <w:tcW w:w="851" w:type="dxa"/>
            <w:tcBorders>
              <w:top w:val="nil"/>
              <w:left w:val="nil"/>
              <w:bottom w:val="nil"/>
              <w:right w:val="nil"/>
            </w:tcBorders>
          </w:tcPr>
          <w:p w14:paraId="639BC898" w14:textId="77777777" w:rsidR="00C076E5" w:rsidRDefault="00C076E5" w:rsidP="00C076E5"/>
        </w:tc>
        <w:tc>
          <w:tcPr>
            <w:tcW w:w="6848" w:type="dxa"/>
            <w:gridSpan w:val="2"/>
            <w:tcBorders>
              <w:top w:val="nil"/>
              <w:left w:val="nil"/>
              <w:bottom w:val="nil"/>
              <w:right w:val="nil"/>
            </w:tcBorders>
          </w:tcPr>
          <w:p w14:paraId="6A6B69C3" w14:textId="00108061" w:rsidR="00C076E5" w:rsidRDefault="00C076E5" w:rsidP="00C076E5">
            <w:r>
              <w:t>In terms of interagency working, including that which involved risk management, we found a similar picture to that described at the time of the index offence. According to both housing and Mind, a slight improvement had been experienced following the index offence before a return to prior functioning. The disaggregation of social workers from CMHTs appears to have been a factor.</w:t>
            </w:r>
          </w:p>
        </w:tc>
      </w:tr>
      <w:tr w:rsidR="00C076E5" w14:paraId="4A7F09E3" w14:textId="77777777" w:rsidTr="00B94A27">
        <w:tc>
          <w:tcPr>
            <w:tcW w:w="817" w:type="dxa"/>
            <w:tcBorders>
              <w:top w:val="nil"/>
              <w:left w:val="nil"/>
              <w:bottom w:val="nil"/>
              <w:right w:val="nil"/>
            </w:tcBorders>
          </w:tcPr>
          <w:p w14:paraId="129A049D" w14:textId="77777777" w:rsidR="00C076E5" w:rsidRDefault="00C076E5" w:rsidP="00C076E5"/>
        </w:tc>
        <w:tc>
          <w:tcPr>
            <w:tcW w:w="851" w:type="dxa"/>
            <w:tcBorders>
              <w:top w:val="nil"/>
              <w:left w:val="nil"/>
              <w:bottom w:val="nil"/>
              <w:right w:val="nil"/>
            </w:tcBorders>
          </w:tcPr>
          <w:p w14:paraId="39AFB076" w14:textId="77777777" w:rsidR="00C076E5" w:rsidRDefault="00C076E5" w:rsidP="00C076E5"/>
        </w:tc>
        <w:tc>
          <w:tcPr>
            <w:tcW w:w="6848" w:type="dxa"/>
            <w:gridSpan w:val="2"/>
            <w:tcBorders>
              <w:top w:val="nil"/>
              <w:left w:val="nil"/>
              <w:bottom w:val="nil"/>
              <w:right w:val="nil"/>
            </w:tcBorders>
          </w:tcPr>
          <w:p w14:paraId="241165E7" w14:textId="77777777" w:rsidR="00C076E5" w:rsidRDefault="00C076E5" w:rsidP="00C076E5"/>
        </w:tc>
      </w:tr>
      <w:tr w:rsidR="00C076E5" w14:paraId="59B81700" w14:textId="77777777" w:rsidTr="00B94A27">
        <w:tc>
          <w:tcPr>
            <w:tcW w:w="817" w:type="dxa"/>
            <w:tcBorders>
              <w:top w:val="nil"/>
              <w:left w:val="nil"/>
              <w:bottom w:val="nil"/>
              <w:right w:val="nil"/>
            </w:tcBorders>
          </w:tcPr>
          <w:p w14:paraId="19F0070F" w14:textId="77777777" w:rsidR="00C076E5" w:rsidRDefault="00C076E5" w:rsidP="00C076E5"/>
        </w:tc>
        <w:tc>
          <w:tcPr>
            <w:tcW w:w="851" w:type="dxa"/>
            <w:tcBorders>
              <w:top w:val="nil"/>
              <w:left w:val="nil"/>
              <w:bottom w:val="nil"/>
              <w:right w:val="nil"/>
            </w:tcBorders>
          </w:tcPr>
          <w:p w14:paraId="284B7B28" w14:textId="77777777" w:rsidR="00C076E5" w:rsidRDefault="00C076E5" w:rsidP="00C076E5"/>
        </w:tc>
        <w:tc>
          <w:tcPr>
            <w:tcW w:w="6848" w:type="dxa"/>
            <w:gridSpan w:val="2"/>
            <w:tcBorders>
              <w:top w:val="nil"/>
              <w:left w:val="nil"/>
              <w:bottom w:val="nil"/>
              <w:right w:val="nil"/>
            </w:tcBorders>
          </w:tcPr>
          <w:p w14:paraId="72C0638D" w14:textId="70546385" w:rsidR="00C076E5" w:rsidRDefault="00C076E5" w:rsidP="00C076E5">
            <w:r>
              <w:t>Although we found no evidence of a shared protocol with GPs, there has been the development of joint mental health and primary care services since the index offence. In Wandsworth this is</w:t>
            </w:r>
            <w:r w:rsidR="00D341D9">
              <w:t xml:space="preserve"> provided by</w:t>
            </w:r>
            <w:r>
              <w:t xml:space="preserve"> Primary Care Plus. </w:t>
            </w:r>
          </w:p>
        </w:tc>
      </w:tr>
      <w:tr w:rsidR="00C076E5" w14:paraId="1EECDBAE" w14:textId="77777777" w:rsidTr="00B94A27">
        <w:tc>
          <w:tcPr>
            <w:tcW w:w="817" w:type="dxa"/>
            <w:tcBorders>
              <w:top w:val="nil"/>
              <w:left w:val="nil"/>
              <w:bottom w:val="nil"/>
              <w:right w:val="nil"/>
            </w:tcBorders>
          </w:tcPr>
          <w:p w14:paraId="6FA41EAC" w14:textId="77777777" w:rsidR="00C076E5" w:rsidRDefault="00C076E5" w:rsidP="00C076E5"/>
        </w:tc>
        <w:tc>
          <w:tcPr>
            <w:tcW w:w="851" w:type="dxa"/>
            <w:tcBorders>
              <w:top w:val="nil"/>
              <w:left w:val="nil"/>
              <w:bottom w:val="nil"/>
              <w:right w:val="nil"/>
            </w:tcBorders>
          </w:tcPr>
          <w:p w14:paraId="0639A6B2" w14:textId="77777777" w:rsidR="00C076E5" w:rsidRDefault="00C076E5" w:rsidP="00C076E5"/>
        </w:tc>
        <w:tc>
          <w:tcPr>
            <w:tcW w:w="6848" w:type="dxa"/>
            <w:gridSpan w:val="2"/>
            <w:tcBorders>
              <w:top w:val="nil"/>
              <w:left w:val="nil"/>
              <w:bottom w:val="nil"/>
              <w:right w:val="nil"/>
            </w:tcBorders>
          </w:tcPr>
          <w:p w14:paraId="6CBCB807" w14:textId="77777777" w:rsidR="00C076E5" w:rsidRDefault="00C076E5" w:rsidP="00C076E5"/>
        </w:tc>
      </w:tr>
      <w:tr w:rsidR="00C076E5" w14:paraId="7D7B354B" w14:textId="77777777" w:rsidTr="00B94A27">
        <w:tc>
          <w:tcPr>
            <w:tcW w:w="817" w:type="dxa"/>
            <w:tcBorders>
              <w:top w:val="nil"/>
              <w:left w:val="nil"/>
              <w:bottom w:val="nil"/>
              <w:right w:val="nil"/>
            </w:tcBorders>
          </w:tcPr>
          <w:p w14:paraId="73BC7C21" w14:textId="77777777" w:rsidR="00C076E5" w:rsidRDefault="00C076E5" w:rsidP="00C076E5"/>
        </w:tc>
        <w:tc>
          <w:tcPr>
            <w:tcW w:w="851" w:type="dxa"/>
            <w:tcBorders>
              <w:top w:val="nil"/>
              <w:left w:val="nil"/>
              <w:bottom w:val="nil"/>
              <w:right w:val="nil"/>
            </w:tcBorders>
          </w:tcPr>
          <w:p w14:paraId="20F2E0AC" w14:textId="77777777" w:rsidR="00C076E5" w:rsidRDefault="00C076E5" w:rsidP="00C076E5"/>
        </w:tc>
        <w:tc>
          <w:tcPr>
            <w:tcW w:w="6848" w:type="dxa"/>
            <w:gridSpan w:val="2"/>
            <w:tcBorders>
              <w:top w:val="nil"/>
              <w:left w:val="nil"/>
              <w:bottom w:val="nil"/>
              <w:right w:val="nil"/>
            </w:tcBorders>
          </w:tcPr>
          <w:p w14:paraId="20A1E281" w14:textId="0FBCEFB5" w:rsidR="00C076E5" w:rsidRDefault="00C076E5" w:rsidP="00C076E5">
            <w:r>
              <w:t>We found much good practice, expertise and excellence at the Trust and feel a key challenge is for this to be reflected in the care provided by care co-ordinators including multi agency working.</w:t>
            </w:r>
          </w:p>
        </w:tc>
      </w:tr>
      <w:tr w:rsidR="00C076E5" w14:paraId="3CA7D75D" w14:textId="77777777" w:rsidTr="00B94A27">
        <w:tc>
          <w:tcPr>
            <w:tcW w:w="817" w:type="dxa"/>
            <w:tcBorders>
              <w:top w:val="nil"/>
              <w:left w:val="nil"/>
              <w:bottom w:val="nil"/>
              <w:right w:val="nil"/>
            </w:tcBorders>
          </w:tcPr>
          <w:p w14:paraId="364A7AD8" w14:textId="77777777" w:rsidR="00C076E5" w:rsidRDefault="00C076E5" w:rsidP="00C076E5"/>
        </w:tc>
        <w:tc>
          <w:tcPr>
            <w:tcW w:w="851" w:type="dxa"/>
            <w:tcBorders>
              <w:top w:val="nil"/>
              <w:left w:val="nil"/>
              <w:bottom w:val="nil"/>
              <w:right w:val="nil"/>
            </w:tcBorders>
          </w:tcPr>
          <w:p w14:paraId="62577CF8" w14:textId="77777777" w:rsidR="00C076E5" w:rsidRDefault="00C076E5" w:rsidP="00C076E5"/>
        </w:tc>
        <w:tc>
          <w:tcPr>
            <w:tcW w:w="6848" w:type="dxa"/>
            <w:gridSpan w:val="2"/>
            <w:tcBorders>
              <w:top w:val="nil"/>
              <w:left w:val="nil"/>
              <w:bottom w:val="nil"/>
              <w:right w:val="nil"/>
            </w:tcBorders>
          </w:tcPr>
          <w:p w14:paraId="51622164" w14:textId="77777777" w:rsidR="00C076E5" w:rsidRDefault="00C076E5" w:rsidP="00C076E5"/>
        </w:tc>
      </w:tr>
      <w:tr w:rsidR="00C076E5" w14:paraId="2FAC1DB5" w14:textId="77777777" w:rsidTr="00B94A27">
        <w:tc>
          <w:tcPr>
            <w:tcW w:w="817" w:type="dxa"/>
            <w:tcBorders>
              <w:top w:val="nil"/>
              <w:left w:val="nil"/>
              <w:bottom w:val="nil"/>
              <w:right w:val="nil"/>
            </w:tcBorders>
          </w:tcPr>
          <w:p w14:paraId="51FE7049" w14:textId="77777777" w:rsidR="00C076E5" w:rsidRDefault="00C076E5" w:rsidP="00C076E5"/>
        </w:tc>
        <w:tc>
          <w:tcPr>
            <w:tcW w:w="851" w:type="dxa"/>
            <w:tcBorders>
              <w:top w:val="nil"/>
              <w:left w:val="nil"/>
              <w:bottom w:val="nil"/>
              <w:right w:val="nil"/>
            </w:tcBorders>
          </w:tcPr>
          <w:p w14:paraId="292680CE" w14:textId="77777777" w:rsidR="00C076E5" w:rsidRDefault="00C076E5" w:rsidP="00C076E5"/>
        </w:tc>
        <w:tc>
          <w:tcPr>
            <w:tcW w:w="6848" w:type="dxa"/>
            <w:gridSpan w:val="2"/>
            <w:tcBorders>
              <w:top w:val="nil"/>
              <w:left w:val="nil"/>
              <w:bottom w:val="nil"/>
              <w:right w:val="nil"/>
            </w:tcBorders>
          </w:tcPr>
          <w:p w14:paraId="452821F9" w14:textId="15F0759A" w:rsidR="00C076E5" w:rsidRDefault="00C076E5" w:rsidP="00C076E5">
            <w:r>
              <w:t>We identify a common thread running through the areas that require improvement. That thread could be described as integration and we target three key areas for recommendations; the role of the care co-ordinator, carers and multi – agency working. We would recommend a quality improvement programme around each of these areas.</w:t>
            </w:r>
          </w:p>
        </w:tc>
      </w:tr>
      <w:tr w:rsidR="00C076E5" w14:paraId="33FA3BDA" w14:textId="77777777" w:rsidTr="00B94A27">
        <w:tc>
          <w:tcPr>
            <w:tcW w:w="817" w:type="dxa"/>
            <w:tcBorders>
              <w:top w:val="nil"/>
              <w:left w:val="nil"/>
              <w:bottom w:val="nil"/>
              <w:right w:val="nil"/>
            </w:tcBorders>
          </w:tcPr>
          <w:p w14:paraId="2EC72863" w14:textId="77777777" w:rsidR="00C076E5" w:rsidRDefault="00C076E5" w:rsidP="00C076E5"/>
        </w:tc>
        <w:tc>
          <w:tcPr>
            <w:tcW w:w="851" w:type="dxa"/>
            <w:tcBorders>
              <w:top w:val="nil"/>
              <w:left w:val="nil"/>
              <w:bottom w:val="nil"/>
              <w:right w:val="nil"/>
            </w:tcBorders>
          </w:tcPr>
          <w:p w14:paraId="29651C3B" w14:textId="77777777" w:rsidR="00C076E5" w:rsidRDefault="00C076E5" w:rsidP="00C076E5"/>
        </w:tc>
        <w:tc>
          <w:tcPr>
            <w:tcW w:w="6848" w:type="dxa"/>
            <w:gridSpan w:val="2"/>
            <w:tcBorders>
              <w:top w:val="nil"/>
              <w:left w:val="nil"/>
              <w:bottom w:val="nil"/>
              <w:right w:val="nil"/>
            </w:tcBorders>
          </w:tcPr>
          <w:p w14:paraId="3F889568" w14:textId="77777777" w:rsidR="00C076E5" w:rsidRDefault="00C076E5" w:rsidP="00C076E5"/>
          <w:p w14:paraId="75D88228" w14:textId="77777777" w:rsidR="00C076E5" w:rsidRDefault="00C076E5" w:rsidP="00C076E5"/>
          <w:p w14:paraId="0E062E66" w14:textId="77777777" w:rsidR="00C076E5" w:rsidRDefault="00C076E5" w:rsidP="00C076E5"/>
          <w:p w14:paraId="3BD35F11" w14:textId="77777777" w:rsidR="00C076E5" w:rsidRDefault="00C076E5" w:rsidP="00C076E5"/>
          <w:p w14:paraId="36F2E558" w14:textId="77777777" w:rsidR="00C076E5" w:rsidRDefault="00C076E5" w:rsidP="00C076E5"/>
          <w:p w14:paraId="1F553677" w14:textId="77777777" w:rsidR="00C076E5" w:rsidRDefault="00C076E5" w:rsidP="00C076E5"/>
          <w:p w14:paraId="23173060" w14:textId="77777777" w:rsidR="00C076E5" w:rsidRDefault="00C076E5" w:rsidP="00C076E5"/>
          <w:p w14:paraId="4BA78EBE" w14:textId="77777777" w:rsidR="00C076E5" w:rsidRDefault="00C076E5" w:rsidP="00C076E5"/>
          <w:p w14:paraId="761BEDE1" w14:textId="77777777" w:rsidR="00C076E5" w:rsidRDefault="00C076E5" w:rsidP="00C076E5"/>
          <w:p w14:paraId="2881CF4B" w14:textId="77777777" w:rsidR="00C076E5" w:rsidRDefault="00C076E5" w:rsidP="00C076E5"/>
          <w:p w14:paraId="16FA4225" w14:textId="77777777" w:rsidR="00C076E5" w:rsidRDefault="00C076E5" w:rsidP="00C076E5"/>
          <w:p w14:paraId="19C84D60" w14:textId="77777777" w:rsidR="00C076E5" w:rsidRDefault="00C076E5" w:rsidP="00C076E5"/>
          <w:p w14:paraId="344D1DBD" w14:textId="77777777" w:rsidR="00C076E5" w:rsidRDefault="00C076E5" w:rsidP="00C076E5"/>
          <w:p w14:paraId="0D7AA88A" w14:textId="77777777" w:rsidR="00C076E5" w:rsidRDefault="00C076E5" w:rsidP="00C076E5"/>
          <w:p w14:paraId="35A0778C" w14:textId="77777777" w:rsidR="00C076E5" w:rsidRDefault="00C076E5" w:rsidP="00C076E5"/>
          <w:p w14:paraId="6816FF49" w14:textId="77777777" w:rsidR="00C076E5" w:rsidRDefault="00C076E5" w:rsidP="00C076E5"/>
          <w:p w14:paraId="554C9405" w14:textId="77777777" w:rsidR="00C076E5" w:rsidRDefault="00C076E5" w:rsidP="00C076E5"/>
          <w:p w14:paraId="75D7715C" w14:textId="77777777" w:rsidR="00C076E5" w:rsidRDefault="00C076E5" w:rsidP="00C076E5"/>
          <w:p w14:paraId="6524C5B0" w14:textId="77777777" w:rsidR="00C076E5" w:rsidRDefault="00C076E5" w:rsidP="00C076E5"/>
          <w:p w14:paraId="4EC0E719" w14:textId="77777777" w:rsidR="00C076E5" w:rsidRDefault="00C076E5" w:rsidP="00C076E5"/>
          <w:p w14:paraId="596E9514" w14:textId="77777777" w:rsidR="00C076E5" w:rsidRDefault="00C076E5" w:rsidP="00C076E5"/>
          <w:p w14:paraId="025A08CB" w14:textId="77777777" w:rsidR="00C076E5" w:rsidRDefault="00C076E5" w:rsidP="00C076E5"/>
          <w:p w14:paraId="53101622" w14:textId="77777777" w:rsidR="00C076E5" w:rsidRDefault="00C076E5" w:rsidP="00C076E5"/>
          <w:p w14:paraId="2B2DEDA6" w14:textId="77777777" w:rsidR="00C076E5" w:rsidRDefault="00C076E5" w:rsidP="00C076E5"/>
          <w:p w14:paraId="1C02B4E0" w14:textId="77777777" w:rsidR="00C076E5" w:rsidRDefault="00C076E5" w:rsidP="00C076E5"/>
          <w:p w14:paraId="2EE1B85D" w14:textId="77777777" w:rsidR="00C076E5" w:rsidRDefault="00C076E5" w:rsidP="00C076E5"/>
          <w:p w14:paraId="246A8A19" w14:textId="77777777" w:rsidR="00C076E5" w:rsidRDefault="00C076E5" w:rsidP="00C076E5"/>
          <w:p w14:paraId="2640B168" w14:textId="77777777" w:rsidR="00C076E5" w:rsidRDefault="00C076E5" w:rsidP="00C076E5"/>
          <w:p w14:paraId="1AE2B1D5" w14:textId="77777777" w:rsidR="00C076E5" w:rsidRDefault="00C076E5" w:rsidP="00C076E5"/>
          <w:p w14:paraId="5E3B205F" w14:textId="77777777" w:rsidR="00C076E5" w:rsidRDefault="00C076E5" w:rsidP="00C076E5"/>
          <w:p w14:paraId="1D55B5AE" w14:textId="77777777" w:rsidR="00C076E5" w:rsidRDefault="00C076E5" w:rsidP="00C076E5"/>
          <w:p w14:paraId="7C278D87" w14:textId="77777777" w:rsidR="00C076E5" w:rsidRDefault="00C076E5" w:rsidP="00C076E5"/>
          <w:p w14:paraId="6555C65D" w14:textId="77777777" w:rsidR="00C076E5" w:rsidRDefault="00C076E5" w:rsidP="00C076E5"/>
          <w:p w14:paraId="26A7C962" w14:textId="77777777" w:rsidR="00C076E5" w:rsidRDefault="00C076E5" w:rsidP="00C076E5"/>
          <w:p w14:paraId="6209199F" w14:textId="77777777" w:rsidR="00C076E5" w:rsidRDefault="00C076E5" w:rsidP="00C076E5"/>
          <w:p w14:paraId="26F8DB1A" w14:textId="77777777" w:rsidR="00C47C86" w:rsidRDefault="00C47C86" w:rsidP="00C076E5"/>
        </w:tc>
      </w:tr>
      <w:tr w:rsidR="00C076E5" w14:paraId="70130284" w14:textId="77777777" w:rsidTr="00B94A27">
        <w:tc>
          <w:tcPr>
            <w:tcW w:w="817" w:type="dxa"/>
            <w:tcBorders>
              <w:top w:val="nil"/>
              <w:left w:val="nil"/>
              <w:bottom w:val="nil"/>
              <w:right w:val="nil"/>
            </w:tcBorders>
          </w:tcPr>
          <w:p w14:paraId="215D1E78" w14:textId="7EA7D35E" w:rsidR="00C076E5" w:rsidRPr="00BC233D" w:rsidRDefault="00C076E5" w:rsidP="00C076E5">
            <w:pPr>
              <w:rPr>
                <w:b/>
                <w:color w:val="4F6228" w:themeColor="accent3" w:themeShade="80"/>
              </w:rPr>
            </w:pPr>
            <w:r w:rsidRPr="00BC233D">
              <w:rPr>
                <w:b/>
                <w:color w:val="4F6228" w:themeColor="accent3" w:themeShade="80"/>
              </w:rPr>
              <w:t>6</w:t>
            </w:r>
          </w:p>
        </w:tc>
        <w:tc>
          <w:tcPr>
            <w:tcW w:w="7699" w:type="dxa"/>
            <w:gridSpan w:val="3"/>
            <w:tcBorders>
              <w:top w:val="nil"/>
              <w:left w:val="nil"/>
              <w:bottom w:val="nil"/>
              <w:right w:val="nil"/>
            </w:tcBorders>
          </w:tcPr>
          <w:p w14:paraId="59AD7FF7" w14:textId="0764C8E5" w:rsidR="00C076E5" w:rsidRPr="00BC233D" w:rsidRDefault="00C076E5" w:rsidP="00C076E5">
            <w:pPr>
              <w:rPr>
                <w:b/>
                <w:color w:val="4F6228" w:themeColor="accent3" w:themeShade="80"/>
              </w:rPr>
            </w:pPr>
            <w:r w:rsidRPr="00BC233D">
              <w:rPr>
                <w:b/>
                <w:color w:val="4F6228" w:themeColor="accent3" w:themeShade="80"/>
              </w:rPr>
              <w:t>RECOMMENDATIONS</w:t>
            </w:r>
          </w:p>
        </w:tc>
      </w:tr>
      <w:tr w:rsidR="00C076E5" w14:paraId="6293D6BF" w14:textId="77777777" w:rsidTr="00C47DFA">
        <w:trPr>
          <w:trHeight w:val="5733"/>
        </w:trPr>
        <w:tc>
          <w:tcPr>
            <w:tcW w:w="817" w:type="dxa"/>
            <w:tcBorders>
              <w:top w:val="nil"/>
              <w:left w:val="nil"/>
              <w:bottom w:val="nil"/>
              <w:right w:val="nil"/>
            </w:tcBorders>
          </w:tcPr>
          <w:p w14:paraId="647BBAC2" w14:textId="77777777" w:rsidR="00C076E5" w:rsidRDefault="00C076E5" w:rsidP="00C076E5"/>
        </w:tc>
        <w:tc>
          <w:tcPr>
            <w:tcW w:w="851" w:type="dxa"/>
            <w:tcBorders>
              <w:top w:val="nil"/>
              <w:left w:val="nil"/>
              <w:bottom w:val="nil"/>
              <w:right w:val="nil"/>
            </w:tcBorders>
          </w:tcPr>
          <w:p w14:paraId="79B87EE9" w14:textId="407BA387" w:rsidR="00C076E5" w:rsidRPr="00BC233D" w:rsidRDefault="00C076E5" w:rsidP="00C076E5">
            <w:pPr>
              <w:rPr>
                <w:color w:val="4F6228" w:themeColor="accent3" w:themeShade="80"/>
              </w:rPr>
            </w:pPr>
            <w:r w:rsidRPr="00BC233D">
              <w:rPr>
                <w:color w:val="4F6228" w:themeColor="accent3" w:themeShade="80"/>
              </w:rPr>
              <w:t>6.1</w:t>
            </w:r>
          </w:p>
        </w:tc>
        <w:tc>
          <w:tcPr>
            <w:tcW w:w="6848" w:type="dxa"/>
            <w:gridSpan w:val="2"/>
            <w:tcBorders>
              <w:top w:val="nil"/>
              <w:left w:val="nil"/>
              <w:bottom w:val="nil"/>
              <w:right w:val="nil"/>
            </w:tcBorders>
          </w:tcPr>
          <w:p w14:paraId="490A5680" w14:textId="28B0D47C" w:rsidR="00C076E5" w:rsidRPr="00FC54C2" w:rsidRDefault="00C076E5" w:rsidP="00C076E5">
            <w:pPr>
              <w:rPr>
                <w:color w:val="000000" w:themeColor="text1"/>
              </w:rPr>
            </w:pPr>
            <w:r w:rsidRPr="00FC54C2">
              <w:rPr>
                <w:b/>
                <w:color w:val="000000" w:themeColor="text1"/>
              </w:rPr>
              <w:t>The role of the care co-ordinator</w:t>
            </w:r>
            <w:r w:rsidRPr="00FC54C2">
              <w:rPr>
                <w:color w:val="000000" w:themeColor="text1"/>
              </w:rPr>
              <w:t>: Develop a quality improvement programme around this role to augment existing good practice. The following should be included:</w:t>
            </w:r>
          </w:p>
          <w:p w14:paraId="7BBDFB00" w14:textId="2DDB9BD3" w:rsidR="00C076E5" w:rsidRPr="00FC54C2" w:rsidRDefault="00C076E5" w:rsidP="00C076E5">
            <w:pPr>
              <w:pStyle w:val="ListParagraph"/>
              <w:numPr>
                <w:ilvl w:val="0"/>
                <w:numId w:val="6"/>
              </w:numPr>
              <w:rPr>
                <w:color w:val="000000" w:themeColor="text1"/>
              </w:rPr>
            </w:pPr>
            <w:r w:rsidRPr="00FC54C2">
              <w:rPr>
                <w:color w:val="000000" w:themeColor="text1"/>
              </w:rPr>
              <w:t>An analysis of systemic factors impacting on the care co-ordinator role and address these</w:t>
            </w:r>
          </w:p>
          <w:p w14:paraId="694B08AF" w14:textId="35E6FF30" w:rsidR="007367D5" w:rsidRPr="00FC54C2" w:rsidRDefault="007367D5" w:rsidP="00C076E5">
            <w:pPr>
              <w:pStyle w:val="ListParagraph"/>
              <w:numPr>
                <w:ilvl w:val="0"/>
                <w:numId w:val="6"/>
              </w:numPr>
              <w:rPr>
                <w:color w:val="000000" w:themeColor="text1"/>
              </w:rPr>
            </w:pPr>
            <w:r w:rsidRPr="00FC54C2">
              <w:rPr>
                <w:color w:val="000000" w:themeColor="text1"/>
              </w:rPr>
              <w:t>Addressing systemic factors should include actions to address impact of rescinding of S 75 agreement in light of its implications for safeguarding</w:t>
            </w:r>
          </w:p>
          <w:p w14:paraId="0F6B51FB" w14:textId="271738E7" w:rsidR="00C076E5" w:rsidRPr="00FC54C2" w:rsidRDefault="0011566B" w:rsidP="007367D5">
            <w:pPr>
              <w:pStyle w:val="ListParagraph"/>
              <w:numPr>
                <w:ilvl w:val="0"/>
                <w:numId w:val="6"/>
              </w:numPr>
              <w:rPr>
                <w:color w:val="000000" w:themeColor="text1"/>
              </w:rPr>
            </w:pPr>
            <w:r w:rsidRPr="00FC54C2">
              <w:rPr>
                <w:color w:val="000000" w:themeColor="text1"/>
              </w:rPr>
              <w:t>Identification</w:t>
            </w:r>
            <w:r w:rsidR="00C076E5" w:rsidRPr="00FC54C2">
              <w:rPr>
                <w:color w:val="000000" w:themeColor="text1"/>
              </w:rPr>
              <w:t xml:space="preserve"> of </w:t>
            </w:r>
            <w:r w:rsidR="00D341D9" w:rsidRPr="00FC54C2">
              <w:rPr>
                <w:color w:val="000000" w:themeColor="text1"/>
              </w:rPr>
              <w:t xml:space="preserve">a </w:t>
            </w:r>
            <w:r w:rsidR="00C076E5" w:rsidRPr="00FC54C2">
              <w:rPr>
                <w:color w:val="000000" w:themeColor="text1"/>
              </w:rPr>
              <w:t xml:space="preserve">named individual </w:t>
            </w:r>
            <w:r w:rsidR="00D341D9" w:rsidRPr="00FC54C2">
              <w:rPr>
                <w:color w:val="000000" w:themeColor="text1"/>
              </w:rPr>
              <w:t xml:space="preserve">to </w:t>
            </w:r>
            <w:r w:rsidR="00492BA4" w:rsidRPr="00FC54C2">
              <w:rPr>
                <w:color w:val="000000" w:themeColor="text1"/>
              </w:rPr>
              <w:t xml:space="preserve">provide practice leadership and head the production of a development programme </w:t>
            </w:r>
            <w:r w:rsidR="00C076E5" w:rsidRPr="00FC54C2">
              <w:rPr>
                <w:color w:val="000000" w:themeColor="text1"/>
              </w:rPr>
              <w:t>for the care co-ordinator role</w:t>
            </w:r>
          </w:p>
          <w:p w14:paraId="2334C980" w14:textId="5E584743" w:rsidR="00C076E5" w:rsidRPr="00F82C10" w:rsidRDefault="00C076E5" w:rsidP="00C076E5">
            <w:pPr>
              <w:pStyle w:val="ListParagraph"/>
              <w:numPr>
                <w:ilvl w:val="0"/>
                <w:numId w:val="6"/>
              </w:numPr>
            </w:pPr>
            <w:r w:rsidRPr="00F82C10">
              <w:t xml:space="preserve">Service user and carer input </w:t>
            </w:r>
            <w:r w:rsidR="00D06913" w:rsidRPr="00F82C10">
              <w:t>in</w:t>
            </w:r>
            <w:r w:rsidRPr="00F82C10">
              <w:t xml:space="preserve">to </w:t>
            </w:r>
            <w:r w:rsidR="00D06913" w:rsidRPr="00F82C10">
              <w:t xml:space="preserve">the </w:t>
            </w:r>
            <w:r w:rsidRPr="00F82C10">
              <w:t>development programme</w:t>
            </w:r>
          </w:p>
          <w:p w14:paraId="3AF7C6FD" w14:textId="37458403" w:rsidR="00C076E5" w:rsidRPr="00FC54C2" w:rsidRDefault="00C076E5" w:rsidP="00C076E5">
            <w:pPr>
              <w:pStyle w:val="ListParagraph"/>
              <w:numPr>
                <w:ilvl w:val="0"/>
                <w:numId w:val="6"/>
              </w:numPr>
              <w:rPr>
                <w:color w:val="000000" w:themeColor="text1"/>
              </w:rPr>
            </w:pPr>
            <w:r w:rsidRPr="00FC54C2">
              <w:rPr>
                <w:color w:val="000000" w:themeColor="text1"/>
              </w:rPr>
              <w:t>Outcomes to include knowledge and skills to match known service user complexity and acuity, including working proactively with psychosis and dual diagnosis and an emphasis on empowerment and self care</w:t>
            </w:r>
          </w:p>
          <w:p w14:paraId="79D8A9C7" w14:textId="77777777" w:rsidR="00C076E5" w:rsidRPr="00FC54C2" w:rsidRDefault="00C076E5" w:rsidP="00C076E5">
            <w:pPr>
              <w:pStyle w:val="ListParagraph"/>
              <w:numPr>
                <w:ilvl w:val="0"/>
                <w:numId w:val="6"/>
              </w:numPr>
              <w:rPr>
                <w:color w:val="000000" w:themeColor="text1"/>
              </w:rPr>
            </w:pPr>
            <w:r w:rsidRPr="00FC54C2">
              <w:rPr>
                <w:color w:val="000000" w:themeColor="text1"/>
              </w:rPr>
              <w:t>Multi disciplinary input to develop and implement clinical formulations for all service users</w:t>
            </w:r>
          </w:p>
          <w:p w14:paraId="35E9BA10" w14:textId="5534B850" w:rsidR="007367D5" w:rsidRPr="00E86905" w:rsidRDefault="00E86905" w:rsidP="00E86905">
            <w:pPr>
              <w:pStyle w:val="ListParagraph"/>
              <w:numPr>
                <w:ilvl w:val="0"/>
                <w:numId w:val="6"/>
              </w:numPr>
              <w:rPr>
                <w:color w:val="000000" w:themeColor="text1"/>
              </w:rPr>
            </w:pPr>
            <w:r>
              <w:rPr>
                <w:color w:val="000000" w:themeColor="text1"/>
              </w:rPr>
              <w:t>Continue with the improvement trajectory and then maintain improved attendance on RATE training</w:t>
            </w:r>
          </w:p>
        </w:tc>
      </w:tr>
      <w:tr w:rsidR="00C076E5" w14:paraId="106CD7E1" w14:textId="77777777" w:rsidTr="00B94A27">
        <w:tc>
          <w:tcPr>
            <w:tcW w:w="817" w:type="dxa"/>
            <w:tcBorders>
              <w:top w:val="nil"/>
              <w:left w:val="nil"/>
              <w:bottom w:val="nil"/>
              <w:right w:val="nil"/>
            </w:tcBorders>
          </w:tcPr>
          <w:p w14:paraId="0775DE22" w14:textId="3B22F9A2" w:rsidR="00C076E5" w:rsidRDefault="00C076E5" w:rsidP="00C076E5"/>
        </w:tc>
        <w:tc>
          <w:tcPr>
            <w:tcW w:w="851" w:type="dxa"/>
            <w:tcBorders>
              <w:top w:val="nil"/>
              <w:left w:val="nil"/>
              <w:bottom w:val="nil"/>
              <w:right w:val="nil"/>
            </w:tcBorders>
          </w:tcPr>
          <w:p w14:paraId="4FD7763F" w14:textId="77777777" w:rsidR="00C076E5" w:rsidRDefault="00C076E5" w:rsidP="00C076E5"/>
        </w:tc>
        <w:tc>
          <w:tcPr>
            <w:tcW w:w="6848" w:type="dxa"/>
            <w:gridSpan w:val="2"/>
            <w:tcBorders>
              <w:top w:val="nil"/>
              <w:left w:val="nil"/>
              <w:bottom w:val="nil"/>
              <w:right w:val="nil"/>
            </w:tcBorders>
          </w:tcPr>
          <w:p w14:paraId="17E03C0F" w14:textId="77777777" w:rsidR="00C076E5" w:rsidRDefault="00C076E5" w:rsidP="00C076E5"/>
        </w:tc>
      </w:tr>
      <w:tr w:rsidR="00C076E5" w14:paraId="50ADC91C" w14:textId="77777777" w:rsidTr="00B94A27">
        <w:tc>
          <w:tcPr>
            <w:tcW w:w="817" w:type="dxa"/>
            <w:tcBorders>
              <w:top w:val="nil"/>
              <w:left w:val="nil"/>
              <w:bottom w:val="nil"/>
              <w:right w:val="nil"/>
            </w:tcBorders>
          </w:tcPr>
          <w:p w14:paraId="7545AF0F" w14:textId="77777777" w:rsidR="00C076E5" w:rsidRDefault="00C076E5" w:rsidP="00C076E5"/>
        </w:tc>
        <w:tc>
          <w:tcPr>
            <w:tcW w:w="851" w:type="dxa"/>
            <w:tcBorders>
              <w:top w:val="nil"/>
              <w:left w:val="nil"/>
              <w:bottom w:val="nil"/>
              <w:right w:val="nil"/>
            </w:tcBorders>
          </w:tcPr>
          <w:p w14:paraId="0D59CA43" w14:textId="5AEF334C" w:rsidR="00C076E5" w:rsidRPr="00E12CCB" w:rsidRDefault="00C076E5" w:rsidP="00C076E5">
            <w:pPr>
              <w:rPr>
                <w:color w:val="4F6228" w:themeColor="accent3" w:themeShade="80"/>
              </w:rPr>
            </w:pPr>
            <w:r w:rsidRPr="00E12CCB">
              <w:rPr>
                <w:color w:val="4F6228" w:themeColor="accent3" w:themeShade="80"/>
              </w:rPr>
              <w:t>6.2</w:t>
            </w:r>
          </w:p>
        </w:tc>
        <w:tc>
          <w:tcPr>
            <w:tcW w:w="6848" w:type="dxa"/>
            <w:gridSpan w:val="2"/>
            <w:tcBorders>
              <w:top w:val="nil"/>
              <w:left w:val="nil"/>
              <w:bottom w:val="nil"/>
              <w:right w:val="nil"/>
            </w:tcBorders>
          </w:tcPr>
          <w:p w14:paraId="7E6A0D7B" w14:textId="6AE99E58" w:rsidR="00C076E5" w:rsidRDefault="00C076E5" w:rsidP="00C076E5">
            <w:r w:rsidRPr="00AD7A7C">
              <w:rPr>
                <w:b/>
                <w:color w:val="4F6228" w:themeColor="accent3" w:themeShade="80"/>
              </w:rPr>
              <w:t>Carers</w:t>
            </w:r>
            <w:r>
              <w:t>: Develop a quality improvement programme around working with carers to address the day-to-day needs for support and information. The following should be included:</w:t>
            </w:r>
          </w:p>
          <w:p w14:paraId="6A11A06E" w14:textId="3E23E408" w:rsidR="00C076E5" w:rsidRDefault="00C076E5" w:rsidP="00C076E5">
            <w:pPr>
              <w:pStyle w:val="ListParagraph"/>
              <w:numPr>
                <w:ilvl w:val="0"/>
                <w:numId w:val="7"/>
              </w:numPr>
            </w:pPr>
            <w:r>
              <w:t>Co-produced carer strategy and policy, embedding best practice from the Triangle of Care</w:t>
            </w:r>
          </w:p>
          <w:p w14:paraId="45942557" w14:textId="77777777" w:rsidR="00C076E5" w:rsidRDefault="00C076E5" w:rsidP="00C076E5">
            <w:pPr>
              <w:pStyle w:val="ListParagraph"/>
              <w:numPr>
                <w:ilvl w:val="0"/>
                <w:numId w:val="7"/>
              </w:numPr>
            </w:pPr>
            <w:r>
              <w:t>Service user and carer input</w:t>
            </w:r>
          </w:p>
          <w:p w14:paraId="19B8AA07" w14:textId="50DCE418" w:rsidR="00C076E5" w:rsidRDefault="00C076E5" w:rsidP="00C076E5">
            <w:pPr>
              <w:pStyle w:val="ListParagraph"/>
              <w:numPr>
                <w:ilvl w:val="0"/>
                <w:numId w:val="7"/>
              </w:numPr>
            </w:pPr>
            <w:r>
              <w:t>Input from Wandsworth Carers’ Centre and address partnership working requirements</w:t>
            </w:r>
          </w:p>
          <w:p w14:paraId="6D7178C7" w14:textId="77777777" w:rsidR="00C076E5" w:rsidRDefault="00C076E5" w:rsidP="00C076E5">
            <w:pPr>
              <w:pStyle w:val="ListParagraph"/>
              <w:numPr>
                <w:ilvl w:val="0"/>
                <w:numId w:val="7"/>
              </w:numPr>
            </w:pPr>
            <w:r>
              <w:t>Include a whole family approach to care delivery</w:t>
            </w:r>
          </w:p>
          <w:p w14:paraId="48B130E6" w14:textId="51D1A7EE" w:rsidR="00C076E5" w:rsidRDefault="00C076E5" w:rsidP="00C076E5">
            <w:pPr>
              <w:pStyle w:val="ListParagraph"/>
              <w:numPr>
                <w:ilvl w:val="0"/>
                <w:numId w:val="7"/>
              </w:numPr>
            </w:pPr>
            <w:r>
              <w:t>Inform and empower front line staff to provide required support and information for carers</w:t>
            </w:r>
          </w:p>
        </w:tc>
      </w:tr>
      <w:tr w:rsidR="00C076E5" w14:paraId="29ADC8C6" w14:textId="77777777" w:rsidTr="00B94A27">
        <w:tc>
          <w:tcPr>
            <w:tcW w:w="817" w:type="dxa"/>
            <w:tcBorders>
              <w:top w:val="nil"/>
              <w:left w:val="nil"/>
              <w:bottom w:val="nil"/>
              <w:right w:val="nil"/>
            </w:tcBorders>
          </w:tcPr>
          <w:p w14:paraId="68D57C29" w14:textId="113B93DE" w:rsidR="00C076E5" w:rsidRDefault="00C076E5" w:rsidP="00C076E5"/>
        </w:tc>
        <w:tc>
          <w:tcPr>
            <w:tcW w:w="851" w:type="dxa"/>
            <w:tcBorders>
              <w:top w:val="nil"/>
              <w:left w:val="nil"/>
              <w:bottom w:val="nil"/>
              <w:right w:val="nil"/>
            </w:tcBorders>
          </w:tcPr>
          <w:p w14:paraId="610916DF" w14:textId="4C0B13B4" w:rsidR="00C076E5" w:rsidRDefault="00C076E5" w:rsidP="00C076E5"/>
        </w:tc>
        <w:tc>
          <w:tcPr>
            <w:tcW w:w="6848" w:type="dxa"/>
            <w:gridSpan w:val="2"/>
            <w:tcBorders>
              <w:top w:val="nil"/>
              <w:left w:val="nil"/>
              <w:bottom w:val="nil"/>
              <w:right w:val="nil"/>
            </w:tcBorders>
          </w:tcPr>
          <w:p w14:paraId="34BF4B05" w14:textId="77777777" w:rsidR="00C076E5" w:rsidRDefault="00C076E5" w:rsidP="00C076E5"/>
        </w:tc>
      </w:tr>
      <w:tr w:rsidR="00C076E5" w14:paraId="3C8493EC" w14:textId="77777777" w:rsidTr="00B94A27">
        <w:tc>
          <w:tcPr>
            <w:tcW w:w="817" w:type="dxa"/>
            <w:tcBorders>
              <w:top w:val="nil"/>
              <w:left w:val="nil"/>
              <w:bottom w:val="nil"/>
              <w:right w:val="nil"/>
            </w:tcBorders>
          </w:tcPr>
          <w:p w14:paraId="453B6DA1" w14:textId="77777777" w:rsidR="00C076E5" w:rsidRDefault="00C076E5" w:rsidP="00C076E5"/>
        </w:tc>
        <w:tc>
          <w:tcPr>
            <w:tcW w:w="851" w:type="dxa"/>
            <w:tcBorders>
              <w:top w:val="nil"/>
              <w:left w:val="nil"/>
              <w:bottom w:val="nil"/>
              <w:right w:val="nil"/>
            </w:tcBorders>
          </w:tcPr>
          <w:p w14:paraId="13E99760" w14:textId="73243C56" w:rsidR="00C076E5" w:rsidRDefault="00C076E5" w:rsidP="00C076E5">
            <w:r>
              <w:t xml:space="preserve">6.3 </w:t>
            </w:r>
          </w:p>
        </w:tc>
        <w:tc>
          <w:tcPr>
            <w:tcW w:w="6848" w:type="dxa"/>
            <w:gridSpan w:val="2"/>
            <w:tcBorders>
              <w:top w:val="nil"/>
              <w:left w:val="nil"/>
              <w:bottom w:val="nil"/>
              <w:right w:val="nil"/>
            </w:tcBorders>
          </w:tcPr>
          <w:p w14:paraId="3617CD57" w14:textId="1B95F8CB" w:rsidR="00C076E5" w:rsidRDefault="00C076E5" w:rsidP="00C076E5">
            <w:r w:rsidRPr="00AD7A7C">
              <w:rPr>
                <w:b/>
                <w:color w:val="4F6228" w:themeColor="accent3" w:themeShade="80"/>
              </w:rPr>
              <w:t>Inter-agency working between the CMHT, housing and Mind:</w:t>
            </w:r>
            <w:r>
              <w:t xml:space="preserve"> Develop a quality improvement programme: The following to be included:</w:t>
            </w:r>
          </w:p>
          <w:p w14:paraId="2ECABF3F" w14:textId="34B69C0A" w:rsidR="00C076E5" w:rsidRDefault="00C076E5" w:rsidP="00C076E5">
            <w:pPr>
              <w:pStyle w:val="ListParagraph"/>
              <w:numPr>
                <w:ilvl w:val="0"/>
                <w:numId w:val="10"/>
              </w:numPr>
            </w:pPr>
            <w:r>
              <w:t xml:space="preserve">Produce, implement and monitor an agreed protocol for inter-agency working  </w:t>
            </w:r>
          </w:p>
          <w:p w14:paraId="06EBF805" w14:textId="77777777" w:rsidR="00C076E5" w:rsidRDefault="00C076E5" w:rsidP="00C076E5">
            <w:pPr>
              <w:pStyle w:val="ListParagraph"/>
              <w:numPr>
                <w:ilvl w:val="0"/>
                <w:numId w:val="8"/>
              </w:numPr>
            </w:pPr>
            <w:r>
              <w:t>Service user and carer input</w:t>
            </w:r>
          </w:p>
          <w:p w14:paraId="19EF1EFE" w14:textId="77777777" w:rsidR="00C076E5" w:rsidRDefault="00C076E5" w:rsidP="00C076E5">
            <w:pPr>
              <w:pStyle w:val="ListParagraph"/>
              <w:numPr>
                <w:ilvl w:val="0"/>
                <w:numId w:val="8"/>
              </w:numPr>
            </w:pPr>
            <w:r>
              <w:t>Input from front line staff</w:t>
            </w:r>
          </w:p>
          <w:p w14:paraId="5A821E13" w14:textId="77777777" w:rsidR="00C076E5" w:rsidRDefault="00C076E5" w:rsidP="00C076E5">
            <w:pPr>
              <w:pStyle w:val="ListParagraph"/>
              <w:numPr>
                <w:ilvl w:val="0"/>
                <w:numId w:val="8"/>
              </w:numPr>
            </w:pPr>
            <w:r>
              <w:t>Representation from all agencies</w:t>
            </w:r>
          </w:p>
          <w:p w14:paraId="47BDB581" w14:textId="637648E7" w:rsidR="00C076E5" w:rsidRDefault="00C076E5" w:rsidP="00C076E5">
            <w:pPr>
              <w:pStyle w:val="ListParagraph"/>
              <w:numPr>
                <w:ilvl w:val="0"/>
                <w:numId w:val="8"/>
              </w:numPr>
            </w:pPr>
            <w:r>
              <w:t>Analysis of systemic factors impeding joint working and address these</w:t>
            </w:r>
          </w:p>
          <w:p w14:paraId="2A6E9BFF" w14:textId="64120A83" w:rsidR="00C076E5" w:rsidRDefault="00C076E5" w:rsidP="00C076E5">
            <w:pPr>
              <w:pStyle w:val="ListParagraph"/>
              <w:numPr>
                <w:ilvl w:val="0"/>
                <w:numId w:val="8"/>
              </w:numPr>
            </w:pPr>
            <w:r>
              <w:t>Focus on risk management and information sharing</w:t>
            </w:r>
          </w:p>
          <w:p w14:paraId="03610835" w14:textId="2B1F8D5D" w:rsidR="00C076E5" w:rsidRDefault="00C076E5" w:rsidP="00C076E5">
            <w:pPr>
              <w:pStyle w:val="ListParagraph"/>
              <w:numPr>
                <w:ilvl w:val="0"/>
                <w:numId w:val="8"/>
              </w:numPr>
            </w:pPr>
            <w:r>
              <w:t>Ongoing monitoring and reporting to ensure progress is maintained</w:t>
            </w:r>
          </w:p>
        </w:tc>
      </w:tr>
    </w:tbl>
    <w:p w14:paraId="016A475C" w14:textId="2D9486F5" w:rsidR="00B63B6C" w:rsidRDefault="00C46DC4" w:rsidP="00B63B6C">
      <w:pPr>
        <w:contextualSpacing/>
        <w:rPr>
          <w:rFonts w:ascii="Arial" w:hAnsi="Arial" w:cs="Arial"/>
          <w:b/>
          <w:sz w:val="22"/>
          <w:szCs w:val="22"/>
        </w:rPr>
      </w:pPr>
      <w:r>
        <w:rPr>
          <w:rFonts w:ascii="Arial" w:hAnsi="Arial" w:cs="Arial"/>
        </w:rPr>
        <w:t>A</w:t>
      </w:r>
      <w:r w:rsidR="00B63B6C">
        <w:rPr>
          <w:rFonts w:ascii="Arial" w:hAnsi="Arial" w:cs="Arial"/>
        </w:rPr>
        <w:t>ppendix A</w:t>
      </w:r>
    </w:p>
    <w:p w14:paraId="654034F0" w14:textId="77777777" w:rsidR="00B63B6C" w:rsidRDefault="00B63B6C" w:rsidP="00B63B6C">
      <w:pPr>
        <w:contextualSpacing/>
        <w:rPr>
          <w:rFonts w:ascii="Arial" w:hAnsi="Arial" w:cs="Arial"/>
          <w:b/>
          <w:sz w:val="22"/>
          <w:szCs w:val="22"/>
        </w:rPr>
      </w:pPr>
    </w:p>
    <w:p w14:paraId="6B3BD4F2" w14:textId="77777777" w:rsidR="00B63B6C" w:rsidRDefault="00B63B6C" w:rsidP="00B63B6C">
      <w:pPr>
        <w:contextualSpacing/>
        <w:rPr>
          <w:rFonts w:ascii="Arial" w:hAnsi="Arial" w:cs="Arial"/>
          <w:b/>
          <w:sz w:val="22"/>
          <w:szCs w:val="22"/>
        </w:rPr>
      </w:pPr>
      <w:r>
        <w:rPr>
          <w:rFonts w:ascii="Arial" w:hAnsi="Arial" w:cs="Arial"/>
          <w:b/>
          <w:sz w:val="22"/>
          <w:szCs w:val="22"/>
        </w:rPr>
        <w:t>Specific Terms of Reference</w:t>
      </w:r>
    </w:p>
    <w:p w14:paraId="71653395" w14:textId="77777777" w:rsidR="00B63B6C" w:rsidRPr="00DC557B" w:rsidRDefault="00B63B6C" w:rsidP="00B63B6C">
      <w:pPr>
        <w:contextualSpacing/>
        <w:rPr>
          <w:rFonts w:ascii="Arial" w:hAnsi="Arial" w:cs="Arial"/>
          <w:b/>
          <w:sz w:val="22"/>
          <w:szCs w:val="22"/>
        </w:rPr>
      </w:pPr>
    </w:p>
    <w:p w14:paraId="5278DC14" w14:textId="370E638C" w:rsidR="00B63B6C" w:rsidRPr="00F82C10" w:rsidRDefault="00B63B6C" w:rsidP="00B63B6C">
      <w:pPr>
        <w:pStyle w:val="ListParagraph"/>
        <w:numPr>
          <w:ilvl w:val="0"/>
          <w:numId w:val="11"/>
        </w:numPr>
        <w:rPr>
          <w:rFonts w:ascii="Arial" w:hAnsi="Arial" w:cs="Arial"/>
          <w:sz w:val="22"/>
          <w:szCs w:val="22"/>
        </w:rPr>
      </w:pPr>
      <w:r w:rsidRPr="00F82C10">
        <w:rPr>
          <w:rFonts w:ascii="Arial" w:hAnsi="Arial" w:cs="Arial"/>
          <w:sz w:val="22"/>
          <w:szCs w:val="22"/>
        </w:rPr>
        <w:t xml:space="preserve">To understand what services / support </w:t>
      </w:r>
      <w:r w:rsidR="00C46DC4" w:rsidRPr="00F82C10">
        <w:rPr>
          <w:rFonts w:ascii="Arial" w:hAnsi="Arial" w:cs="Arial"/>
          <w:sz w:val="22"/>
          <w:szCs w:val="22"/>
        </w:rPr>
        <w:t xml:space="preserve">Mr R </w:t>
      </w:r>
      <w:r w:rsidRPr="00F82C10">
        <w:rPr>
          <w:rFonts w:ascii="Arial" w:hAnsi="Arial" w:cs="Arial"/>
          <w:sz w:val="22"/>
          <w:szCs w:val="22"/>
        </w:rPr>
        <w:t>was receiving for the management of his substance misuse of cannabis and alcohol and how practice has changed since the index offence.</w:t>
      </w:r>
    </w:p>
    <w:p w14:paraId="019FDC56" w14:textId="77777777" w:rsidR="00B63B6C" w:rsidRPr="009C7573" w:rsidRDefault="00B63B6C" w:rsidP="00B63B6C">
      <w:pPr>
        <w:pStyle w:val="ListParagraph"/>
        <w:rPr>
          <w:rFonts w:ascii="Arial" w:hAnsi="Arial" w:cs="Arial"/>
          <w:sz w:val="22"/>
          <w:szCs w:val="22"/>
        </w:rPr>
      </w:pPr>
    </w:p>
    <w:p w14:paraId="6CD48663" w14:textId="77777777" w:rsidR="00B63B6C" w:rsidRDefault="00B63B6C" w:rsidP="00B63B6C">
      <w:pPr>
        <w:pStyle w:val="ListParagraph"/>
        <w:numPr>
          <w:ilvl w:val="0"/>
          <w:numId w:val="11"/>
        </w:numPr>
        <w:rPr>
          <w:rFonts w:ascii="Arial" w:hAnsi="Arial" w:cs="Arial"/>
          <w:sz w:val="22"/>
          <w:szCs w:val="22"/>
        </w:rPr>
      </w:pPr>
      <w:r w:rsidRPr="00DC557B">
        <w:rPr>
          <w:rFonts w:ascii="Arial" w:hAnsi="Arial" w:cs="Arial"/>
          <w:sz w:val="22"/>
          <w:szCs w:val="22"/>
        </w:rPr>
        <w:t>To explore how practice has chan</w:t>
      </w:r>
      <w:r>
        <w:rPr>
          <w:rFonts w:ascii="Arial" w:hAnsi="Arial" w:cs="Arial"/>
          <w:sz w:val="22"/>
          <w:szCs w:val="22"/>
        </w:rPr>
        <w:t>ged regarding carers assessment</w:t>
      </w:r>
      <w:r w:rsidRPr="00DC557B">
        <w:rPr>
          <w:rFonts w:ascii="Arial" w:hAnsi="Arial" w:cs="Arial"/>
          <w:sz w:val="22"/>
          <w:szCs w:val="22"/>
        </w:rPr>
        <w:t>/safeguarding since the index offence</w:t>
      </w:r>
      <w:r>
        <w:rPr>
          <w:rFonts w:ascii="Arial" w:hAnsi="Arial" w:cs="Arial"/>
          <w:sz w:val="22"/>
          <w:szCs w:val="22"/>
        </w:rPr>
        <w:t>.</w:t>
      </w:r>
    </w:p>
    <w:p w14:paraId="3034782E" w14:textId="77777777" w:rsidR="00B63B6C" w:rsidRPr="00FA000E" w:rsidRDefault="00B63B6C" w:rsidP="00B63B6C">
      <w:pPr>
        <w:rPr>
          <w:rFonts w:ascii="Arial" w:hAnsi="Arial" w:cs="Arial"/>
          <w:sz w:val="22"/>
          <w:szCs w:val="22"/>
        </w:rPr>
      </w:pPr>
    </w:p>
    <w:p w14:paraId="67F35799" w14:textId="77777777" w:rsidR="00B63B6C" w:rsidRDefault="00B63B6C" w:rsidP="00B63B6C">
      <w:pPr>
        <w:pStyle w:val="ListParagraph"/>
        <w:numPr>
          <w:ilvl w:val="0"/>
          <w:numId w:val="11"/>
        </w:numPr>
        <w:rPr>
          <w:rFonts w:ascii="Arial" w:hAnsi="Arial" w:cs="Arial"/>
          <w:sz w:val="22"/>
          <w:szCs w:val="22"/>
        </w:rPr>
      </w:pPr>
      <w:r>
        <w:rPr>
          <w:rFonts w:ascii="Arial" w:hAnsi="Arial" w:cs="Arial"/>
          <w:sz w:val="22"/>
          <w:szCs w:val="22"/>
        </w:rPr>
        <w:t>To explore current staffing levels and capacity of staff.</w:t>
      </w:r>
    </w:p>
    <w:p w14:paraId="7D746F15" w14:textId="77777777" w:rsidR="00B63B6C" w:rsidRPr="009C7573" w:rsidRDefault="00B63B6C" w:rsidP="00B63B6C">
      <w:pPr>
        <w:pStyle w:val="ListParagraph"/>
        <w:rPr>
          <w:rFonts w:ascii="Arial" w:hAnsi="Arial" w:cs="Arial"/>
          <w:sz w:val="22"/>
          <w:szCs w:val="22"/>
        </w:rPr>
      </w:pPr>
    </w:p>
    <w:p w14:paraId="76D6650C" w14:textId="0C1DD227" w:rsidR="00B63B6C" w:rsidRPr="00F82C10" w:rsidRDefault="00B63B6C" w:rsidP="00B63B6C">
      <w:pPr>
        <w:pStyle w:val="ListParagraph"/>
        <w:numPr>
          <w:ilvl w:val="0"/>
          <w:numId w:val="11"/>
        </w:numPr>
        <w:rPr>
          <w:rFonts w:ascii="Arial" w:hAnsi="Arial" w:cs="Arial"/>
          <w:i/>
          <w:sz w:val="22"/>
          <w:szCs w:val="22"/>
        </w:rPr>
      </w:pPr>
      <w:r w:rsidRPr="00F82C10">
        <w:rPr>
          <w:rFonts w:ascii="Arial" w:hAnsi="Arial" w:cs="Arial"/>
          <w:sz w:val="22"/>
          <w:szCs w:val="22"/>
        </w:rPr>
        <w:t xml:space="preserve">To understand the mental health of </w:t>
      </w:r>
      <w:r w:rsidR="00C46DC4" w:rsidRPr="00F82C10">
        <w:rPr>
          <w:rFonts w:ascii="Arial" w:hAnsi="Arial" w:cs="Arial"/>
          <w:sz w:val="22"/>
          <w:szCs w:val="22"/>
        </w:rPr>
        <w:t xml:space="preserve">Mr R </w:t>
      </w:r>
      <w:r w:rsidRPr="00F82C10">
        <w:rPr>
          <w:rFonts w:ascii="Arial" w:hAnsi="Arial" w:cs="Arial"/>
          <w:sz w:val="22"/>
          <w:szCs w:val="22"/>
        </w:rPr>
        <w:t xml:space="preserve">at the time of the incident. This is in relation to the trust internal report which concludes that </w:t>
      </w:r>
      <w:r w:rsidR="00C46DC4" w:rsidRPr="00F82C10">
        <w:rPr>
          <w:rFonts w:ascii="Arial" w:hAnsi="Arial" w:cs="Arial"/>
          <w:sz w:val="22"/>
          <w:szCs w:val="22"/>
        </w:rPr>
        <w:t>there were no concerns with Mr R’s</w:t>
      </w:r>
      <w:r w:rsidRPr="00F82C10">
        <w:rPr>
          <w:rFonts w:ascii="Arial" w:hAnsi="Arial" w:cs="Arial"/>
          <w:sz w:val="22"/>
          <w:szCs w:val="22"/>
        </w:rPr>
        <w:t xml:space="preserve"> mental health and the DHR report which highlights an extract from the court papers stating </w:t>
      </w:r>
      <w:r w:rsidR="00C46DC4" w:rsidRPr="00F82C10">
        <w:rPr>
          <w:rFonts w:ascii="Arial" w:hAnsi="Arial" w:cs="Arial"/>
          <w:sz w:val="22"/>
          <w:szCs w:val="22"/>
        </w:rPr>
        <w:t>that Mr R</w:t>
      </w:r>
      <w:r w:rsidRPr="00F82C10">
        <w:rPr>
          <w:rFonts w:ascii="Arial" w:hAnsi="Arial" w:cs="Arial"/>
          <w:sz w:val="22"/>
          <w:szCs w:val="22"/>
        </w:rPr>
        <w:t xml:space="preserve"> was </w:t>
      </w:r>
      <w:r w:rsidRPr="00F82C10">
        <w:rPr>
          <w:rFonts w:ascii="Arial" w:hAnsi="Arial" w:cs="Arial"/>
          <w:i/>
          <w:sz w:val="22"/>
          <w:szCs w:val="22"/>
        </w:rPr>
        <w:t>“at the time extremely ill.”</w:t>
      </w:r>
    </w:p>
    <w:p w14:paraId="19EF7745" w14:textId="77777777" w:rsidR="00B63B6C" w:rsidRPr="00FA000E" w:rsidRDefault="00B63B6C" w:rsidP="00B63B6C">
      <w:pPr>
        <w:rPr>
          <w:rFonts w:ascii="Arial" w:hAnsi="Arial" w:cs="Arial"/>
          <w:i/>
          <w:sz w:val="22"/>
          <w:szCs w:val="22"/>
        </w:rPr>
      </w:pPr>
    </w:p>
    <w:p w14:paraId="12BF59ED" w14:textId="77777777" w:rsidR="00B63B6C" w:rsidRPr="00FA000E" w:rsidRDefault="00B63B6C" w:rsidP="00B63B6C">
      <w:pPr>
        <w:pStyle w:val="ListParagraph"/>
        <w:numPr>
          <w:ilvl w:val="0"/>
          <w:numId w:val="11"/>
        </w:numPr>
        <w:rPr>
          <w:rFonts w:ascii="Arial" w:hAnsi="Arial" w:cs="Arial"/>
          <w:i/>
          <w:sz w:val="22"/>
          <w:szCs w:val="22"/>
        </w:rPr>
      </w:pPr>
      <w:r>
        <w:rPr>
          <w:rFonts w:ascii="Arial" w:hAnsi="Arial" w:cs="Arial"/>
          <w:sz w:val="22"/>
          <w:szCs w:val="22"/>
        </w:rPr>
        <w:t>To explore what changes have been implemented to improve the joint management and support for service users between the CMHT and housing.</w:t>
      </w:r>
    </w:p>
    <w:p w14:paraId="51E993FE" w14:textId="77777777" w:rsidR="00B63B6C" w:rsidRPr="009C7573" w:rsidRDefault="00B63B6C" w:rsidP="00B63B6C">
      <w:pPr>
        <w:pStyle w:val="ListParagraph"/>
        <w:rPr>
          <w:rFonts w:ascii="Arial" w:hAnsi="Arial" w:cs="Arial"/>
          <w:i/>
          <w:sz w:val="22"/>
          <w:szCs w:val="22"/>
        </w:rPr>
      </w:pPr>
    </w:p>
    <w:p w14:paraId="08DF4846" w14:textId="5A4FABBF" w:rsidR="00B63B6C" w:rsidRPr="00F82C10" w:rsidRDefault="00B63B6C" w:rsidP="00B63B6C">
      <w:pPr>
        <w:pStyle w:val="ListParagraph"/>
        <w:numPr>
          <w:ilvl w:val="0"/>
          <w:numId w:val="11"/>
        </w:numPr>
        <w:rPr>
          <w:rFonts w:ascii="Arial" w:hAnsi="Arial" w:cs="Arial"/>
          <w:sz w:val="22"/>
          <w:szCs w:val="22"/>
        </w:rPr>
      </w:pPr>
      <w:r w:rsidRPr="00F82C10">
        <w:rPr>
          <w:rFonts w:ascii="Arial" w:hAnsi="Arial" w:cs="Arial"/>
          <w:sz w:val="22"/>
          <w:szCs w:val="22"/>
        </w:rPr>
        <w:t>To explore and specify the impact of what the ‘significant’ service changes were and if the introduction of electron</w:t>
      </w:r>
      <w:r w:rsidR="00C46DC4" w:rsidRPr="00F82C10">
        <w:rPr>
          <w:rFonts w:ascii="Arial" w:hAnsi="Arial" w:cs="Arial"/>
          <w:sz w:val="22"/>
          <w:szCs w:val="22"/>
        </w:rPr>
        <w:t>ic records had an impact on Mr R’s</w:t>
      </w:r>
      <w:r w:rsidRPr="00F82C10">
        <w:rPr>
          <w:rFonts w:ascii="Arial" w:hAnsi="Arial" w:cs="Arial"/>
          <w:sz w:val="22"/>
          <w:szCs w:val="22"/>
        </w:rPr>
        <w:t xml:space="preserve"> care and treatment.</w:t>
      </w:r>
    </w:p>
    <w:p w14:paraId="78E46677" w14:textId="77777777" w:rsidR="00B63B6C" w:rsidRPr="00FA000E" w:rsidRDefault="00B63B6C" w:rsidP="00B63B6C">
      <w:pPr>
        <w:rPr>
          <w:rFonts w:ascii="Arial" w:hAnsi="Arial" w:cs="Arial"/>
          <w:sz w:val="22"/>
          <w:szCs w:val="22"/>
        </w:rPr>
      </w:pPr>
    </w:p>
    <w:p w14:paraId="6D3BD68B" w14:textId="77777777" w:rsidR="00B63B6C" w:rsidRDefault="00B63B6C" w:rsidP="00B63B6C">
      <w:pPr>
        <w:pStyle w:val="ListParagraph"/>
        <w:numPr>
          <w:ilvl w:val="0"/>
          <w:numId w:val="11"/>
        </w:numPr>
        <w:rPr>
          <w:rFonts w:ascii="Arial" w:hAnsi="Arial" w:cs="Arial"/>
          <w:sz w:val="22"/>
          <w:szCs w:val="22"/>
        </w:rPr>
      </w:pPr>
      <w:r>
        <w:rPr>
          <w:rFonts w:ascii="Arial" w:hAnsi="Arial" w:cs="Arial"/>
          <w:sz w:val="22"/>
          <w:szCs w:val="22"/>
        </w:rPr>
        <w:t>To review the change in the level of communication between MHT, Wandsworth MIND, Viridian Housing and GP practice and to establish what improvements have been made.</w:t>
      </w:r>
    </w:p>
    <w:p w14:paraId="2BA28151" w14:textId="77777777" w:rsidR="00B63B6C" w:rsidRPr="00FA000E" w:rsidRDefault="00B63B6C" w:rsidP="00B63B6C">
      <w:pPr>
        <w:rPr>
          <w:rFonts w:ascii="Arial" w:hAnsi="Arial" w:cs="Arial"/>
          <w:sz w:val="22"/>
          <w:szCs w:val="22"/>
        </w:rPr>
      </w:pPr>
    </w:p>
    <w:p w14:paraId="1447CCC8" w14:textId="3D7C9814" w:rsidR="00B63B6C" w:rsidRPr="00F82C10" w:rsidRDefault="00B63B6C" w:rsidP="00B63B6C">
      <w:pPr>
        <w:pStyle w:val="ListParagraph"/>
        <w:numPr>
          <w:ilvl w:val="0"/>
          <w:numId w:val="11"/>
        </w:numPr>
        <w:rPr>
          <w:rFonts w:ascii="Arial" w:hAnsi="Arial" w:cs="Arial"/>
          <w:sz w:val="22"/>
          <w:szCs w:val="22"/>
        </w:rPr>
      </w:pPr>
      <w:r w:rsidRPr="00F82C10">
        <w:rPr>
          <w:rFonts w:ascii="Arial" w:hAnsi="Arial" w:cs="Arial"/>
          <w:sz w:val="22"/>
          <w:szCs w:val="22"/>
        </w:rPr>
        <w:t>To review the development and implementation of a shared protocol between Trust and Primary Care Groups, to establish clear shared care arrangements between CMHTs and GPs (as identified in previous homicide in 2010</w:t>
      </w:r>
      <w:r w:rsidR="00C46DC4" w:rsidRPr="00F82C10">
        <w:rPr>
          <w:rFonts w:ascii="Arial" w:hAnsi="Arial" w:cs="Arial"/>
          <w:sz w:val="22"/>
          <w:szCs w:val="22"/>
        </w:rPr>
        <w:t>)</w:t>
      </w:r>
      <w:r w:rsidRPr="00F82C10">
        <w:rPr>
          <w:rFonts w:ascii="Arial" w:hAnsi="Arial" w:cs="Arial"/>
          <w:sz w:val="22"/>
          <w:szCs w:val="22"/>
        </w:rPr>
        <w:t>.</w:t>
      </w:r>
    </w:p>
    <w:p w14:paraId="2187CBA8" w14:textId="77777777" w:rsidR="00B63B6C" w:rsidRDefault="00B63B6C" w:rsidP="00B63B6C">
      <w:pPr>
        <w:contextualSpacing/>
        <w:rPr>
          <w:rFonts w:ascii="Arial" w:hAnsi="Arial" w:cs="Arial"/>
        </w:rPr>
      </w:pPr>
    </w:p>
    <w:p w14:paraId="2E0AEC19" w14:textId="57D3D2AE" w:rsidR="00C9501F" w:rsidRDefault="00823208" w:rsidP="00420964">
      <w:r>
        <w:br w:type="textWrapping" w:clear="all"/>
      </w:r>
    </w:p>
    <w:p w14:paraId="741045DC" w14:textId="77777777" w:rsidR="00C9501F" w:rsidRDefault="00C9501F" w:rsidP="00420964"/>
    <w:p w14:paraId="2F54ED67" w14:textId="77777777" w:rsidR="00C9501F" w:rsidRDefault="00C9501F" w:rsidP="00420964"/>
    <w:p w14:paraId="68245238" w14:textId="77777777" w:rsidR="00C9501F" w:rsidRDefault="00C9501F" w:rsidP="00420964"/>
    <w:p w14:paraId="54732B53" w14:textId="77777777" w:rsidR="00C9501F" w:rsidRDefault="00C9501F" w:rsidP="00420964"/>
    <w:p w14:paraId="6151E817" w14:textId="77777777" w:rsidR="00C9501F" w:rsidRDefault="00C9501F" w:rsidP="00420964"/>
    <w:p w14:paraId="1E41AB80" w14:textId="77777777" w:rsidR="00C9501F" w:rsidRDefault="00C9501F" w:rsidP="00420964"/>
    <w:p w14:paraId="585D0B9D" w14:textId="77777777" w:rsidR="00C9501F" w:rsidRDefault="00C9501F" w:rsidP="00420964"/>
    <w:p w14:paraId="04937622" w14:textId="77777777" w:rsidR="00C9501F" w:rsidRDefault="00C9501F" w:rsidP="00420964"/>
    <w:p w14:paraId="28279FA4" w14:textId="77777777" w:rsidR="00C9501F" w:rsidRDefault="00C9501F" w:rsidP="00420964"/>
    <w:p w14:paraId="13240D47" w14:textId="77777777" w:rsidR="00C9501F" w:rsidRDefault="00C9501F" w:rsidP="00420964"/>
    <w:p w14:paraId="691E2732" w14:textId="77777777" w:rsidR="00C9501F" w:rsidRDefault="00C9501F" w:rsidP="00420964"/>
    <w:p w14:paraId="44D2912A" w14:textId="77777777" w:rsidR="00C9501F" w:rsidRDefault="00C9501F" w:rsidP="00420964"/>
    <w:p w14:paraId="5D17D697" w14:textId="77777777" w:rsidR="00C9501F" w:rsidRDefault="00C9501F" w:rsidP="00420964"/>
    <w:p w14:paraId="769052FE" w14:textId="77777777" w:rsidR="00C9501F" w:rsidRDefault="00C9501F" w:rsidP="00420964"/>
    <w:p w14:paraId="4BB6D595" w14:textId="77777777" w:rsidR="00B63B6C" w:rsidRDefault="00B63B6C" w:rsidP="00420964"/>
    <w:p w14:paraId="2312E67C" w14:textId="77777777" w:rsidR="00B63B6C" w:rsidRPr="00F82C10" w:rsidRDefault="00B63B6C" w:rsidP="00B63B6C">
      <w:pPr>
        <w:pStyle w:val="Heading1"/>
        <w:rPr>
          <w:b w:val="0"/>
          <w:color w:val="auto"/>
        </w:rPr>
      </w:pPr>
      <w:r w:rsidRPr="00F82C10">
        <w:rPr>
          <w:b w:val="0"/>
          <w:color w:val="auto"/>
        </w:rPr>
        <w:t>Appendix B.</w:t>
      </w:r>
    </w:p>
    <w:p w14:paraId="2720ECB4" w14:textId="77777777" w:rsidR="00B63B6C" w:rsidRPr="001241C5" w:rsidRDefault="00B63B6C" w:rsidP="00B63B6C">
      <w:pPr>
        <w:pStyle w:val="Heading1"/>
        <w:rPr>
          <w:color w:val="114208"/>
        </w:rPr>
      </w:pPr>
      <w:r w:rsidRPr="001241C5">
        <w:rPr>
          <w:color w:val="114208"/>
        </w:rPr>
        <w:t>What can the published evidence base tell us?</w:t>
      </w:r>
    </w:p>
    <w:p w14:paraId="35257E12" w14:textId="77777777" w:rsidR="00B63B6C" w:rsidRDefault="00B63B6C" w:rsidP="00B63B6C">
      <w:pPr>
        <w:spacing w:line="276" w:lineRule="auto"/>
        <w:contextualSpacing/>
        <w:rPr>
          <w:rFonts w:ascii="Arial" w:hAnsi="Arial" w:cs="Arial"/>
          <w:b/>
          <w:sz w:val="22"/>
          <w:szCs w:val="22"/>
        </w:rPr>
      </w:pPr>
    </w:p>
    <w:p w14:paraId="7A6259B8"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The aim of this section is to review the recent published evidence base on homicide and mental illness.  We have reviewed the relevant publications from the past five years, and extracted information which is of potential relevance to this particular inquiry.  That is, we have restricted our review to information on perpetrators of a homicide offence who have a diagnosis of severe and enduring mental illness (usually schizophrenia) and who are under the care of community mental health teams at the time of the offence.</w:t>
      </w:r>
    </w:p>
    <w:p w14:paraId="2A18D83D" w14:textId="77777777" w:rsidR="00B63B6C" w:rsidRDefault="00B63B6C" w:rsidP="00B63B6C">
      <w:pPr>
        <w:spacing w:line="276" w:lineRule="auto"/>
        <w:contextualSpacing/>
        <w:rPr>
          <w:rFonts w:ascii="Arial" w:hAnsi="Arial" w:cs="Arial"/>
          <w:sz w:val="22"/>
          <w:szCs w:val="22"/>
        </w:rPr>
      </w:pPr>
    </w:p>
    <w:p w14:paraId="162C6152"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 xml:space="preserve">The most useful and comprehensive oversight is provided by the National Confidential Inquiry into Suicide and Homicide by People with Mental Illness (NCISH: </w:t>
      </w:r>
      <w:r w:rsidRPr="001241C5">
        <w:rPr>
          <w:rFonts w:ascii="Arial" w:hAnsi="Arial" w:cs="Arial"/>
          <w:sz w:val="22"/>
          <w:szCs w:val="22"/>
        </w:rPr>
        <w:t>http://research.bmh.manchester.ac.uk/cmhs/research/centreforsuicideprevention/nci/</w:t>
      </w:r>
      <w:r>
        <w:rPr>
          <w:rFonts w:ascii="Arial" w:hAnsi="Arial" w:cs="Arial"/>
          <w:sz w:val="22"/>
          <w:szCs w:val="22"/>
        </w:rPr>
        <w:t>) .  The following data has been extracted from their Annual Report and 20 year review (2016), and is presented in Table 1 for ease of understanding.</w:t>
      </w:r>
    </w:p>
    <w:p w14:paraId="3F9E535E" w14:textId="77777777" w:rsidR="00B63B6C" w:rsidRDefault="00B63B6C" w:rsidP="00B63B6C">
      <w:pPr>
        <w:spacing w:line="276" w:lineRule="auto"/>
        <w:contextualSpacing/>
        <w:rPr>
          <w:rFonts w:ascii="Arial" w:hAnsi="Arial" w:cs="Arial"/>
          <w:sz w:val="22"/>
          <w:szCs w:val="22"/>
        </w:rPr>
      </w:pPr>
    </w:p>
    <w:p w14:paraId="37F1090D"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The report covers the period 2004-2014, during which time the Inquiry was notified of 6,241 homicide convictions, an average of 567 per year.  Of these, 662 (an average of 60 per year) were confirmed patient cases.  Out of the 662 patients, 369 homicides were by people with a history of schizophrenia, which is 6% of the total sample and an average of 34 per year.  However, the number of those with schizophrenia who were patients at the time of the offence falls to 209, an average of 19 per year.</w:t>
      </w:r>
    </w:p>
    <w:p w14:paraId="34F511A3" w14:textId="77777777" w:rsidR="00B63B6C" w:rsidRDefault="00B63B6C" w:rsidP="00B63B6C">
      <w:pPr>
        <w:spacing w:line="276" w:lineRule="auto"/>
        <w:contextualSpacing/>
        <w:rPr>
          <w:rFonts w:ascii="Arial" w:hAnsi="Arial" w:cs="Arial"/>
          <w:sz w:val="22"/>
          <w:szCs w:val="22"/>
        </w:rPr>
      </w:pPr>
    </w:p>
    <w:p w14:paraId="38B272DB" w14:textId="77777777" w:rsidR="00B63B6C" w:rsidRDefault="00B63B6C" w:rsidP="00B63B6C">
      <w:pPr>
        <w:spacing w:line="276" w:lineRule="auto"/>
        <w:contextualSpacing/>
        <w:rPr>
          <w:rFonts w:ascii="Arial" w:hAnsi="Arial" w:cs="Arial"/>
          <w:b/>
          <w:sz w:val="22"/>
          <w:szCs w:val="22"/>
        </w:rPr>
      </w:pPr>
      <w:r w:rsidRPr="001241C5">
        <w:rPr>
          <w:rFonts w:ascii="Arial" w:hAnsi="Arial" w:cs="Arial"/>
          <w:b/>
          <w:sz w:val="22"/>
          <w:szCs w:val="22"/>
        </w:rPr>
        <w:t>Table 1. Patient homicide off</w:t>
      </w:r>
      <w:r>
        <w:rPr>
          <w:rFonts w:ascii="Arial" w:hAnsi="Arial" w:cs="Arial"/>
          <w:b/>
          <w:sz w:val="22"/>
          <w:szCs w:val="22"/>
        </w:rPr>
        <w:t>enders in England (2004-2014) and t</w:t>
      </w:r>
      <w:r w:rsidRPr="001241C5">
        <w:rPr>
          <w:rFonts w:ascii="Arial" w:hAnsi="Arial" w:cs="Arial"/>
          <w:b/>
          <w:sz w:val="22"/>
          <w:szCs w:val="22"/>
        </w:rPr>
        <w:t>hose with a diagnosis of schizophrenia</w:t>
      </w:r>
    </w:p>
    <w:p w14:paraId="30ED10D4" w14:textId="77777777" w:rsidR="00B63B6C" w:rsidRPr="001241C5" w:rsidRDefault="00B63B6C" w:rsidP="00B63B6C">
      <w:pPr>
        <w:spacing w:line="276" w:lineRule="auto"/>
        <w:contextualSpacing/>
        <w:rPr>
          <w:rFonts w:ascii="Arial" w:hAnsi="Arial" w:cs="Arial"/>
          <w:b/>
          <w:sz w:val="22"/>
          <w:szCs w:val="22"/>
        </w:rPr>
      </w:pPr>
    </w:p>
    <w:tbl>
      <w:tblPr>
        <w:tblStyle w:val="LightList-Accent3"/>
        <w:tblW w:w="0" w:type="auto"/>
        <w:tblLook w:val="04A0" w:firstRow="1" w:lastRow="0" w:firstColumn="1" w:lastColumn="0" w:noHBand="0" w:noVBand="1"/>
      </w:tblPr>
      <w:tblGrid>
        <w:gridCol w:w="5997"/>
        <w:gridCol w:w="2283"/>
      </w:tblGrid>
      <w:tr w:rsidR="00B63B6C" w:rsidRPr="00505D32" w14:paraId="25693A3A" w14:textId="77777777" w:rsidTr="00B63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11AB639E" w14:textId="77777777" w:rsidR="00B63B6C" w:rsidRPr="00505D32" w:rsidRDefault="00B63B6C" w:rsidP="00B63B6C">
            <w:pPr>
              <w:spacing w:line="276" w:lineRule="auto"/>
              <w:contextualSpacing/>
              <w:rPr>
                <w:rFonts w:ascii="Arial" w:hAnsi="Arial" w:cs="Arial"/>
                <w:sz w:val="22"/>
                <w:szCs w:val="22"/>
              </w:rPr>
            </w:pPr>
            <w:r w:rsidRPr="00505D32">
              <w:rPr>
                <w:rFonts w:ascii="Arial" w:hAnsi="Arial" w:cs="Arial"/>
                <w:sz w:val="22"/>
                <w:szCs w:val="22"/>
              </w:rPr>
              <w:t>RELEVANT FINDING</w:t>
            </w:r>
          </w:p>
        </w:tc>
        <w:tc>
          <w:tcPr>
            <w:tcW w:w="2312" w:type="dxa"/>
          </w:tcPr>
          <w:p w14:paraId="77196CA0" w14:textId="77777777" w:rsidR="00B63B6C" w:rsidRPr="00505D32" w:rsidRDefault="00B63B6C" w:rsidP="00B63B6C">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505D32">
              <w:rPr>
                <w:rFonts w:ascii="Arial" w:hAnsi="Arial" w:cs="Arial"/>
                <w:sz w:val="22"/>
                <w:szCs w:val="22"/>
              </w:rPr>
              <w:t>FREQUENCY &amp; PERCENTAGE</w:t>
            </w:r>
          </w:p>
        </w:tc>
      </w:tr>
      <w:tr w:rsidR="00B63B6C" w:rsidRPr="00505D32" w14:paraId="14AF9FAE" w14:textId="77777777" w:rsidTr="00B63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50EB7F89" w14:textId="77777777" w:rsidR="00B63B6C" w:rsidRPr="00505D32" w:rsidRDefault="00B63B6C" w:rsidP="00B63B6C">
            <w:pPr>
              <w:spacing w:line="276" w:lineRule="auto"/>
              <w:contextualSpacing/>
              <w:rPr>
                <w:rFonts w:ascii="Arial" w:hAnsi="Arial" w:cs="Arial"/>
                <w:sz w:val="22"/>
                <w:szCs w:val="22"/>
              </w:rPr>
            </w:pPr>
            <w:r w:rsidRPr="00505D32">
              <w:rPr>
                <w:rFonts w:ascii="Arial" w:hAnsi="Arial" w:cs="Arial"/>
                <w:sz w:val="22"/>
                <w:szCs w:val="22"/>
              </w:rPr>
              <w:t xml:space="preserve">All patients with a mental health diagnosis </w:t>
            </w:r>
          </w:p>
        </w:tc>
        <w:tc>
          <w:tcPr>
            <w:tcW w:w="2312" w:type="dxa"/>
          </w:tcPr>
          <w:p w14:paraId="75889B02" w14:textId="77777777" w:rsidR="00B63B6C" w:rsidRPr="00505D32" w:rsidRDefault="00B63B6C" w:rsidP="00B63B6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505D32">
              <w:rPr>
                <w:rFonts w:ascii="Arial" w:hAnsi="Arial" w:cs="Arial"/>
                <w:b/>
                <w:sz w:val="22"/>
                <w:szCs w:val="22"/>
              </w:rPr>
              <w:t>662</w:t>
            </w:r>
          </w:p>
        </w:tc>
      </w:tr>
      <w:tr w:rsidR="00B63B6C" w:rsidRPr="00505D32" w14:paraId="2FC54B47" w14:textId="77777777" w:rsidTr="00B63B6C">
        <w:tc>
          <w:tcPr>
            <w:cnfStyle w:val="001000000000" w:firstRow="0" w:lastRow="0" w:firstColumn="1" w:lastColumn="0" w:oddVBand="0" w:evenVBand="0" w:oddHBand="0" w:evenHBand="0" w:firstRowFirstColumn="0" w:firstRowLastColumn="0" w:lastRowFirstColumn="0" w:lastRowLastColumn="0"/>
            <w:tcW w:w="6204" w:type="dxa"/>
          </w:tcPr>
          <w:p w14:paraId="308D84BE"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Individual committed homicide 1-4 weeks after their last contact with services</w:t>
            </w:r>
          </w:p>
        </w:tc>
        <w:tc>
          <w:tcPr>
            <w:tcW w:w="2312" w:type="dxa"/>
          </w:tcPr>
          <w:p w14:paraId="402A3F25" w14:textId="77777777" w:rsidR="00B63B6C" w:rsidRPr="00505D32" w:rsidRDefault="00B63B6C" w:rsidP="00B63B6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5D32">
              <w:rPr>
                <w:rFonts w:ascii="Arial" w:hAnsi="Arial" w:cs="Arial"/>
                <w:sz w:val="22"/>
                <w:szCs w:val="22"/>
              </w:rPr>
              <w:t>317 (48%)</w:t>
            </w:r>
          </w:p>
        </w:tc>
      </w:tr>
      <w:tr w:rsidR="00B63B6C" w:rsidRPr="00505D32" w14:paraId="5CC46D1E" w14:textId="77777777" w:rsidTr="00B63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EE5BEA8"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Individual committed homicide 5-13 weeks after their last contact with services</w:t>
            </w:r>
          </w:p>
        </w:tc>
        <w:tc>
          <w:tcPr>
            <w:tcW w:w="2312" w:type="dxa"/>
          </w:tcPr>
          <w:p w14:paraId="0ED00109" w14:textId="77777777" w:rsidR="00B63B6C" w:rsidRPr="00505D32" w:rsidRDefault="00B63B6C" w:rsidP="00B63B6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05D32">
              <w:rPr>
                <w:rFonts w:ascii="Arial" w:hAnsi="Arial" w:cs="Arial"/>
                <w:sz w:val="22"/>
                <w:szCs w:val="22"/>
              </w:rPr>
              <w:t>141 (21%)</w:t>
            </w:r>
          </w:p>
        </w:tc>
      </w:tr>
      <w:tr w:rsidR="00B63B6C" w:rsidRPr="00505D32" w14:paraId="49779D9B" w14:textId="77777777" w:rsidTr="00B63B6C">
        <w:tc>
          <w:tcPr>
            <w:cnfStyle w:val="001000000000" w:firstRow="0" w:lastRow="0" w:firstColumn="1" w:lastColumn="0" w:oddVBand="0" w:evenVBand="0" w:oddHBand="0" w:evenHBand="0" w:firstRowFirstColumn="0" w:firstRowLastColumn="0" w:lastRowFirstColumn="0" w:lastRowLastColumn="0"/>
            <w:tcW w:w="6204" w:type="dxa"/>
          </w:tcPr>
          <w:p w14:paraId="769AF03C"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 xml:space="preserve">Relationship of victim to perpetrator was family member or spouse </w:t>
            </w:r>
          </w:p>
        </w:tc>
        <w:tc>
          <w:tcPr>
            <w:tcW w:w="2312" w:type="dxa"/>
          </w:tcPr>
          <w:p w14:paraId="30FF33EB" w14:textId="77777777" w:rsidR="00B63B6C" w:rsidRPr="00505D32" w:rsidRDefault="00B63B6C" w:rsidP="00B63B6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5D32">
              <w:rPr>
                <w:rFonts w:ascii="Arial" w:hAnsi="Arial" w:cs="Arial"/>
                <w:sz w:val="22"/>
                <w:szCs w:val="22"/>
              </w:rPr>
              <w:t>222 (38%)</w:t>
            </w:r>
          </w:p>
        </w:tc>
      </w:tr>
      <w:tr w:rsidR="00B63B6C" w:rsidRPr="00505D32" w14:paraId="1E65F342" w14:textId="77777777" w:rsidTr="00B63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0CE617FB"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Previous history of convictions for violence</w:t>
            </w:r>
          </w:p>
        </w:tc>
        <w:tc>
          <w:tcPr>
            <w:tcW w:w="2312" w:type="dxa"/>
          </w:tcPr>
          <w:p w14:paraId="7232B566" w14:textId="77777777" w:rsidR="00B63B6C" w:rsidRPr="00505D32" w:rsidRDefault="00B63B6C" w:rsidP="00B63B6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05D32">
              <w:rPr>
                <w:rFonts w:ascii="Arial" w:hAnsi="Arial" w:cs="Arial"/>
                <w:sz w:val="22"/>
                <w:szCs w:val="22"/>
              </w:rPr>
              <w:t>334 (52%)</w:t>
            </w:r>
          </w:p>
        </w:tc>
      </w:tr>
      <w:tr w:rsidR="00B63B6C" w:rsidRPr="00505D32" w14:paraId="5995AFD4" w14:textId="77777777" w:rsidTr="00B63B6C">
        <w:tc>
          <w:tcPr>
            <w:cnfStyle w:val="001000000000" w:firstRow="0" w:lastRow="0" w:firstColumn="1" w:lastColumn="0" w:oddVBand="0" w:evenVBand="0" w:oddHBand="0" w:evenHBand="0" w:firstRowFirstColumn="0" w:firstRowLastColumn="0" w:lastRowFirstColumn="0" w:lastRowLastColumn="0"/>
            <w:tcW w:w="6204" w:type="dxa"/>
          </w:tcPr>
          <w:p w14:paraId="4831DF5A" w14:textId="77777777" w:rsidR="00B63B6C" w:rsidRDefault="00B63B6C" w:rsidP="00B63B6C">
            <w:pPr>
              <w:spacing w:line="276" w:lineRule="auto"/>
              <w:contextualSpacing/>
              <w:rPr>
                <w:rFonts w:ascii="Arial" w:hAnsi="Arial" w:cs="Arial"/>
                <w:sz w:val="22"/>
                <w:szCs w:val="22"/>
              </w:rPr>
            </w:pPr>
          </w:p>
          <w:p w14:paraId="3C525843" w14:textId="77777777" w:rsidR="00B63B6C" w:rsidRPr="00505D32" w:rsidRDefault="00B63B6C" w:rsidP="00B63B6C">
            <w:pPr>
              <w:spacing w:line="276" w:lineRule="auto"/>
              <w:contextualSpacing/>
              <w:rPr>
                <w:rFonts w:ascii="Arial" w:hAnsi="Arial" w:cs="Arial"/>
                <w:sz w:val="22"/>
                <w:szCs w:val="22"/>
              </w:rPr>
            </w:pPr>
            <w:r w:rsidRPr="00505D32">
              <w:rPr>
                <w:rFonts w:ascii="Arial" w:hAnsi="Arial" w:cs="Arial"/>
                <w:sz w:val="22"/>
                <w:szCs w:val="22"/>
              </w:rPr>
              <w:t xml:space="preserve">Known patients with a mental health diagnosis of schizophrenia </w:t>
            </w:r>
          </w:p>
        </w:tc>
        <w:tc>
          <w:tcPr>
            <w:tcW w:w="2312" w:type="dxa"/>
          </w:tcPr>
          <w:p w14:paraId="3E10D0A4" w14:textId="77777777" w:rsidR="00B63B6C" w:rsidRDefault="00B63B6C" w:rsidP="00B63B6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14:paraId="2620F64D" w14:textId="77777777" w:rsidR="00B63B6C" w:rsidRPr="00505D32" w:rsidRDefault="00B63B6C" w:rsidP="00B63B6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505D32">
              <w:rPr>
                <w:rFonts w:ascii="Arial" w:hAnsi="Arial" w:cs="Arial"/>
                <w:b/>
                <w:sz w:val="22"/>
                <w:szCs w:val="22"/>
              </w:rPr>
              <w:t>209 (57%)</w:t>
            </w:r>
          </w:p>
        </w:tc>
      </w:tr>
      <w:tr w:rsidR="00B63B6C" w:rsidRPr="00505D32" w14:paraId="7C6953FF" w14:textId="77777777" w:rsidTr="00B63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5E873945"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Patient had abnormal mental state (psychotic) at the time of the offence</w:t>
            </w:r>
          </w:p>
        </w:tc>
        <w:tc>
          <w:tcPr>
            <w:tcW w:w="2312" w:type="dxa"/>
          </w:tcPr>
          <w:p w14:paraId="04AD036E" w14:textId="77777777" w:rsidR="00B63B6C" w:rsidRPr="00505D32" w:rsidRDefault="00B63B6C" w:rsidP="00B63B6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05D32">
              <w:rPr>
                <w:rFonts w:ascii="Arial" w:hAnsi="Arial" w:cs="Arial"/>
                <w:sz w:val="22"/>
                <w:szCs w:val="22"/>
              </w:rPr>
              <w:t>303 (82%)</w:t>
            </w:r>
          </w:p>
        </w:tc>
      </w:tr>
      <w:tr w:rsidR="00B63B6C" w:rsidRPr="00505D32" w14:paraId="268AB070" w14:textId="77777777" w:rsidTr="00B63B6C">
        <w:tc>
          <w:tcPr>
            <w:cnfStyle w:val="001000000000" w:firstRow="0" w:lastRow="0" w:firstColumn="1" w:lastColumn="0" w:oddVBand="0" w:evenVBand="0" w:oddHBand="0" w:evenHBand="0" w:firstRowFirstColumn="0" w:firstRowLastColumn="0" w:lastRowFirstColumn="0" w:lastRowLastColumn="0"/>
            <w:tcW w:w="6204" w:type="dxa"/>
          </w:tcPr>
          <w:p w14:paraId="6FC850F3"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Non compliant (or non-adherent) patients with drug treatment in the month before the homicide</w:t>
            </w:r>
          </w:p>
        </w:tc>
        <w:tc>
          <w:tcPr>
            <w:tcW w:w="2312" w:type="dxa"/>
          </w:tcPr>
          <w:p w14:paraId="72D66918" w14:textId="77777777" w:rsidR="00B63B6C" w:rsidRPr="00505D32" w:rsidRDefault="00B63B6C" w:rsidP="00B63B6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5D32">
              <w:rPr>
                <w:rFonts w:ascii="Arial" w:hAnsi="Arial" w:cs="Arial"/>
                <w:sz w:val="22"/>
                <w:szCs w:val="22"/>
              </w:rPr>
              <w:t>57 (30%)</w:t>
            </w:r>
          </w:p>
        </w:tc>
      </w:tr>
      <w:tr w:rsidR="00B63B6C" w:rsidRPr="00505D32" w14:paraId="3165569A" w14:textId="77777777" w:rsidTr="00B63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19F6FC3"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Patients who missed their final service contact before the homicide</w:t>
            </w:r>
          </w:p>
        </w:tc>
        <w:tc>
          <w:tcPr>
            <w:tcW w:w="2312" w:type="dxa"/>
          </w:tcPr>
          <w:p w14:paraId="4C8F52B9" w14:textId="77777777" w:rsidR="00B63B6C" w:rsidRPr="00505D32" w:rsidRDefault="00B63B6C" w:rsidP="00B63B6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05D32">
              <w:rPr>
                <w:rFonts w:ascii="Arial" w:hAnsi="Arial" w:cs="Arial"/>
                <w:sz w:val="22"/>
                <w:szCs w:val="22"/>
              </w:rPr>
              <w:t>69 (37%)</w:t>
            </w:r>
          </w:p>
        </w:tc>
      </w:tr>
      <w:tr w:rsidR="00B63B6C" w:rsidRPr="00505D32" w14:paraId="231A7B66" w14:textId="77777777" w:rsidTr="00B63B6C">
        <w:tc>
          <w:tcPr>
            <w:cnfStyle w:val="001000000000" w:firstRow="0" w:lastRow="0" w:firstColumn="1" w:lastColumn="0" w:oddVBand="0" w:evenVBand="0" w:oddHBand="0" w:evenHBand="0" w:firstRowFirstColumn="0" w:firstRowLastColumn="0" w:lastRowFirstColumn="0" w:lastRowLastColumn="0"/>
            <w:tcW w:w="6204" w:type="dxa"/>
          </w:tcPr>
          <w:p w14:paraId="17B83228"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Patients who were either non compliant or missed their final contact</w:t>
            </w:r>
          </w:p>
        </w:tc>
        <w:tc>
          <w:tcPr>
            <w:tcW w:w="2312" w:type="dxa"/>
          </w:tcPr>
          <w:p w14:paraId="1068E4B4" w14:textId="77777777" w:rsidR="00B63B6C" w:rsidRPr="00505D32" w:rsidRDefault="00B63B6C" w:rsidP="00B63B6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5D32">
              <w:rPr>
                <w:rFonts w:ascii="Arial" w:hAnsi="Arial" w:cs="Arial"/>
                <w:sz w:val="22"/>
                <w:szCs w:val="22"/>
              </w:rPr>
              <w:t>106 (57%)</w:t>
            </w:r>
          </w:p>
        </w:tc>
      </w:tr>
      <w:tr w:rsidR="00B63B6C" w:rsidRPr="00505D32" w14:paraId="68965122" w14:textId="77777777" w:rsidTr="00B63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49FCBFC3" w14:textId="77777777" w:rsidR="00B63B6C" w:rsidRPr="00505D32" w:rsidRDefault="00B63B6C" w:rsidP="00B63B6C">
            <w:pPr>
              <w:spacing w:line="276" w:lineRule="auto"/>
              <w:contextualSpacing/>
              <w:rPr>
                <w:rFonts w:ascii="Arial" w:hAnsi="Arial" w:cs="Arial"/>
                <w:b w:val="0"/>
                <w:sz w:val="22"/>
                <w:szCs w:val="22"/>
              </w:rPr>
            </w:pPr>
            <w:r w:rsidRPr="00505D32">
              <w:rPr>
                <w:rFonts w:ascii="Arial" w:hAnsi="Arial" w:cs="Arial"/>
                <w:b w:val="0"/>
                <w:sz w:val="22"/>
                <w:szCs w:val="22"/>
              </w:rPr>
              <w:t>Patients with schizophrenia and co-morbid alcohol or drug dependence/misuse</w:t>
            </w:r>
          </w:p>
        </w:tc>
        <w:tc>
          <w:tcPr>
            <w:tcW w:w="2312" w:type="dxa"/>
          </w:tcPr>
          <w:p w14:paraId="00556F2A" w14:textId="77777777" w:rsidR="00B63B6C" w:rsidRPr="00505D32" w:rsidRDefault="00B63B6C" w:rsidP="00B63B6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05D32">
              <w:rPr>
                <w:rFonts w:ascii="Arial" w:hAnsi="Arial" w:cs="Arial"/>
                <w:sz w:val="22"/>
                <w:szCs w:val="22"/>
              </w:rPr>
              <w:t>158 (25%)</w:t>
            </w:r>
          </w:p>
        </w:tc>
      </w:tr>
    </w:tbl>
    <w:p w14:paraId="69B36C01" w14:textId="77777777" w:rsidR="00B63B6C" w:rsidRDefault="00B63B6C" w:rsidP="00B63B6C">
      <w:pPr>
        <w:spacing w:line="276" w:lineRule="auto"/>
        <w:contextualSpacing/>
        <w:rPr>
          <w:rFonts w:ascii="Arial" w:hAnsi="Arial" w:cs="Arial"/>
          <w:sz w:val="22"/>
          <w:szCs w:val="22"/>
        </w:rPr>
      </w:pPr>
    </w:p>
    <w:p w14:paraId="234344BF"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A more detailed study of domestic homicide offenders, drawing on the National Inquiry database (Oram and colleagues, 2014) found that 28% of adult family homicide perpetrators had a lifetime diagnosis of schizophrenia of whom 70% were acutely ill at the time of the offence.  When this group of offenders were compared with those domestic homicide offenders without a history of mental illness, they were found to be less likely to be employed, and less likely to have a history of alcohol abuse or prior violence.</w:t>
      </w:r>
    </w:p>
    <w:p w14:paraId="66B119D1" w14:textId="77777777" w:rsidR="00B63B6C" w:rsidRDefault="00B63B6C" w:rsidP="00B63B6C">
      <w:pPr>
        <w:spacing w:line="276" w:lineRule="auto"/>
        <w:contextualSpacing/>
        <w:rPr>
          <w:rFonts w:ascii="Arial" w:hAnsi="Arial" w:cs="Arial"/>
          <w:sz w:val="22"/>
          <w:szCs w:val="22"/>
        </w:rPr>
      </w:pPr>
    </w:p>
    <w:p w14:paraId="33385D3D"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Patients who are in contact with services and commit a homicide offence are generally judged as low risk by clinicians at their last contact prior to the homicide (NCISH, 2013).   A pilot study investigating the quality of risk assessments in these cases found 59% to be of satisfactory quality; diagnoses of personality disorder and alcohol misuse were strongly linked to poor risk assessments.</w:t>
      </w:r>
    </w:p>
    <w:p w14:paraId="145DBFBC" w14:textId="77777777" w:rsidR="00B63B6C" w:rsidRDefault="00B63B6C" w:rsidP="00B63B6C">
      <w:pPr>
        <w:spacing w:line="276" w:lineRule="auto"/>
        <w:contextualSpacing/>
        <w:rPr>
          <w:rFonts w:ascii="Arial" w:hAnsi="Arial" w:cs="Arial"/>
          <w:sz w:val="22"/>
          <w:szCs w:val="22"/>
        </w:rPr>
      </w:pPr>
    </w:p>
    <w:p w14:paraId="6B914937"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 xml:space="preserve">Raymond and colleagues (2015) published a retrospective study of 40 parricidal (killing a father or mother) patients in a French secure unit over 15 year period. The authors first summarized the published literature on parricide as follows: perpetrators of parricide nearly always have a history of mental illness (if killings for financial gain are excluded); they comprise mostly sons, with an average age of around 30, who tend to be single and unemployed, living with the victim in a ‘hostile-dependent’ relationship, and with a previous history of violence towards the victim.  Active symptoms of psychosis tend to be present at the time of the homicide, and ‘persecutory’ motivation is often evident.  By this, the authors mean that the perpetrator is suffering from paranoid beliefs that others are going to harm them.  The offences tend to take place in the victim’s house, frequently involving excessive violence.  Precipitating factors are abusing substances and stopping psychotropic medication.  </w:t>
      </w:r>
    </w:p>
    <w:p w14:paraId="3FB2AC7B" w14:textId="77777777" w:rsidR="00B63B6C" w:rsidRDefault="00B63B6C" w:rsidP="00B63B6C">
      <w:pPr>
        <w:spacing w:line="276" w:lineRule="auto"/>
        <w:contextualSpacing/>
        <w:rPr>
          <w:rFonts w:ascii="Arial" w:hAnsi="Arial" w:cs="Arial"/>
          <w:sz w:val="22"/>
          <w:szCs w:val="22"/>
        </w:rPr>
      </w:pPr>
    </w:p>
    <w:p w14:paraId="448FBAEF"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 xml:space="preserve">The authors go on to describe their own sample of 40 parricidal patients: in their study, they found half had witnessed or been victims of violence as children; at the time of the offence they lived with and were dependent on their victim.  Around 40% had previous convictions, and 60 had been previously aggressive towards others. Sixty six per cent had a history of psychiatric hospitalization, most had a diagnosis of schizophrenia, and 80% were known to mental health services prior to the offence; 50% abused substances (mostly alcohol and cannabis).  At the time of the homicide, the perpetrators were suffering from symptoms with persecutory, grandiose or religious themes; 70% described the act as one of self defence. </w:t>
      </w:r>
    </w:p>
    <w:p w14:paraId="59032AE7" w14:textId="77777777" w:rsidR="00B63B6C" w:rsidRDefault="00B63B6C" w:rsidP="00B63B6C">
      <w:pPr>
        <w:spacing w:line="276" w:lineRule="auto"/>
        <w:contextualSpacing/>
        <w:rPr>
          <w:rFonts w:ascii="Arial" w:hAnsi="Arial" w:cs="Arial"/>
          <w:sz w:val="22"/>
          <w:szCs w:val="22"/>
        </w:rPr>
      </w:pPr>
    </w:p>
    <w:p w14:paraId="6991D614"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The authors suggested that the majority of the offences lacked premeditation, precipitant often being an argument.  As with prior research, not taking medication and misusing substances were evident, and excessive destructive violence was present in 60% of the homicide events.  In this sample, mothers were slightly more at risk than fathers, and mothers were described – after the event – as over protective or authoritarian, with evidence of a hostile dependence from patient.  Interestingly a third of victims had apparently refused to acknowledge or had trivialized the existence of mental illness in their child.</w:t>
      </w:r>
    </w:p>
    <w:p w14:paraId="1ACEA844" w14:textId="77777777" w:rsidR="00B63B6C" w:rsidRDefault="00B63B6C" w:rsidP="00B63B6C">
      <w:pPr>
        <w:spacing w:line="276" w:lineRule="auto"/>
        <w:contextualSpacing/>
        <w:rPr>
          <w:color w:val="1B4412"/>
        </w:rPr>
      </w:pPr>
    </w:p>
    <w:p w14:paraId="0519FADE" w14:textId="77777777" w:rsidR="00B63B6C" w:rsidRPr="00230736" w:rsidRDefault="00B63B6C" w:rsidP="00B63B6C">
      <w:pPr>
        <w:spacing w:line="276" w:lineRule="auto"/>
        <w:contextualSpacing/>
        <w:rPr>
          <w:rFonts w:ascii="Arial" w:hAnsi="Arial" w:cs="Arial"/>
          <w:b/>
          <w:sz w:val="22"/>
          <w:szCs w:val="22"/>
        </w:rPr>
      </w:pPr>
      <w:r w:rsidRPr="00230736">
        <w:rPr>
          <w:b/>
          <w:color w:val="1B4412"/>
        </w:rPr>
        <w:t>Summary</w:t>
      </w:r>
    </w:p>
    <w:p w14:paraId="50B9D909" w14:textId="77777777" w:rsidR="00B63B6C" w:rsidRDefault="00B63B6C" w:rsidP="00B63B6C">
      <w:pPr>
        <w:spacing w:line="276" w:lineRule="auto"/>
        <w:contextualSpacing/>
        <w:rPr>
          <w:rFonts w:ascii="Arial" w:hAnsi="Arial" w:cs="Arial"/>
          <w:sz w:val="22"/>
          <w:szCs w:val="22"/>
        </w:rPr>
      </w:pPr>
      <w:r>
        <w:rPr>
          <w:rFonts w:ascii="Arial" w:hAnsi="Arial" w:cs="Arial"/>
          <w:sz w:val="22"/>
          <w:szCs w:val="22"/>
        </w:rPr>
        <w:t xml:space="preserve">The killing of family members by patients with schizophrenia is a rare event and difficult to predict; furthermore, although there are some helpful indicators of characteristics which are associated with this type of offence, they are fairly commonly encountered, and the research is not sufficiently robust to suggest that they are specific risk indicators.  Factors which are </w:t>
      </w:r>
      <w:r w:rsidRPr="000A1B0E">
        <w:rPr>
          <w:rFonts w:ascii="Arial" w:hAnsi="Arial" w:cs="Arial"/>
          <w:b/>
          <w:sz w:val="22"/>
          <w:szCs w:val="22"/>
        </w:rPr>
        <w:t>associated</w:t>
      </w:r>
      <w:r>
        <w:rPr>
          <w:rFonts w:ascii="Arial" w:hAnsi="Arial" w:cs="Arial"/>
          <w:sz w:val="22"/>
          <w:szCs w:val="22"/>
        </w:rPr>
        <w:t xml:space="preserve"> with an event are not necessarily factors which </w:t>
      </w:r>
      <w:r w:rsidRPr="000A1B0E">
        <w:rPr>
          <w:rFonts w:ascii="Arial" w:hAnsi="Arial" w:cs="Arial"/>
          <w:b/>
          <w:sz w:val="22"/>
          <w:szCs w:val="22"/>
        </w:rPr>
        <w:t>cause</w:t>
      </w:r>
      <w:r>
        <w:rPr>
          <w:rFonts w:ascii="Arial" w:hAnsi="Arial" w:cs="Arial"/>
          <w:sz w:val="22"/>
          <w:szCs w:val="22"/>
        </w:rPr>
        <w:t xml:space="preserve"> an event to take place.</w:t>
      </w:r>
    </w:p>
    <w:p w14:paraId="04C80591" w14:textId="77777777" w:rsidR="00B63B6C" w:rsidRDefault="00B63B6C" w:rsidP="00B63B6C">
      <w:pPr>
        <w:spacing w:line="276" w:lineRule="auto"/>
        <w:contextualSpacing/>
        <w:rPr>
          <w:rFonts w:ascii="Arial" w:hAnsi="Arial" w:cs="Arial"/>
          <w:sz w:val="22"/>
          <w:szCs w:val="22"/>
        </w:rPr>
      </w:pPr>
    </w:p>
    <w:p w14:paraId="088A303F" w14:textId="5BC073F6" w:rsidR="00B63B6C" w:rsidRPr="00F82C10" w:rsidRDefault="00B63B6C" w:rsidP="00B63B6C">
      <w:pPr>
        <w:spacing w:line="276" w:lineRule="auto"/>
        <w:contextualSpacing/>
        <w:rPr>
          <w:rFonts w:ascii="Arial" w:hAnsi="Arial" w:cs="Arial"/>
          <w:sz w:val="22"/>
          <w:szCs w:val="22"/>
        </w:rPr>
      </w:pPr>
      <w:r w:rsidRPr="00F82C10">
        <w:rPr>
          <w:rFonts w:ascii="Arial" w:hAnsi="Arial" w:cs="Arial"/>
          <w:sz w:val="22"/>
          <w:szCs w:val="22"/>
        </w:rPr>
        <w:t>Nevertheless, the evidence base suggests that male patients with schizophrenia who are sing</w:t>
      </w:r>
      <w:r w:rsidR="00FB1E0E" w:rsidRPr="00F82C10">
        <w:rPr>
          <w:rFonts w:ascii="Arial" w:hAnsi="Arial" w:cs="Arial"/>
          <w:sz w:val="22"/>
          <w:szCs w:val="22"/>
        </w:rPr>
        <w:t>le and unemployed, possibly</w:t>
      </w:r>
      <w:r w:rsidRPr="00F82C10">
        <w:rPr>
          <w:rFonts w:ascii="Arial" w:hAnsi="Arial" w:cs="Arial"/>
          <w:sz w:val="22"/>
          <w:szCs w:val="22"/>
        </w:rPr>
        <w:t xml:space="preserve"> with prior convictions and a history of psychiatric hospitalisation, but more probably with co-morbid substance misuse and prior threats against the potential family victim, should be considered as posing a greater risk.  Family dynamics may well play a part, most particularly if there is evidence that the patient expresses mixed feelings about the family member, or the family member is experienced by the patient as over protective.  As might be expected, stopping or reducing medication for the mental illness seems to precipitate the event, with the ensuing development of paranoid beliefs regarding the family member.  There is some suggestion that the family member’s attempt to protect the patient by minimizing the impact of their illness may expose them to greater risk.</w:t>
      </w:r>
    </w:p>
    <w:p w14:paraId="38698694" w14:textId="77777777" w:rsidR="00B63B6C" w:rsidRDefault="00B63B6C" w:rsidP="00B63B6C">
      <w:pPr>
        <w:spacing w:line="276" w:lineRule="auto"/>
        <w:contextualSpacing/>
        <w:rPr>
          <w:rFonts w:ascii="Arial" w:hAnsi="Arial" w:cs="Arial"/>
          <w:sz w:val="22"/>
          <w:szCs w:val="22"/>
        </w:rPr>
      </w:pPr>
    </w:p>
    <w:p w14:paraId="435C9D41" w14:textId="77777777" w:rsidR="00B63B6C" w:rsidRPr="00F468C2" w:rsidRDefault="00B63B6C" w:rsidP="00B63B6C">
      <w:pPr>
        <w:pStyle w:val="Heading2"/>
        <w:rPr>
          <w:color w:val="1B4412"/>
        </w:rPr>
      </w:pPr>
      <w:r w:rsidRPr="00F468C2">
        <w:rPr>
          <w:color w:val="1B4412"/>
        </w:rPr>
        <w:t>References</w:t>
      </w:r>
    </w:p>
    <w:p w14:paraId="53099703" w14:textId="77777777" w:rsidR="00B63B6C" w:rsidRPr="00F468C2" w:rsidRDefault="00B63B6C" w:rsidP="00B63B6C">
      <w:pPr>
        <w:spacing w:line="276" w:lineRule="auto"/>
        <w:ind w:left="720" w:hanging="720"/>
        <w:contextualSpacing/>
        <w:rPr>
          <w:rFonts w:ascii="Arial" w:eastAsia="Times New Roman" w:hAnsi="Arial" w:cs="Arial"/>
          <w:color w:val="111111"/>
          <w:sz w:val="22"/>
          <w:szCs w:val="22"/>
          <w:shd w:val="clear" w:color="auto" w:fill="FFFFFF"/>
        </w:rPr>
      </w:pPr>
      <w:r w:rsidRPr="00F468C2">
        <w:rPr>
          <w:rFonts w:ascii="Arial" w:eastAsia="Times New Roman" w:hAnsi="Arial" w:cs="Arial"/>
          <w:color w:val="111111"/>
          <w:sz w:val="22"/>
          <w:szCs w:val="22"/>
          <w:shd w:val="clear" w:color="auto" w:fill="FFFFFF"/>
        </w:rPr>
        <w:t xml:space="preserve">National Confidential Inquiry into Suicide and Homicide by People with Mental Illness (2016). </w:t>
      </w:r>
      <w:r w:rsidRPr="00F468C2">
        <w:rPr>
          <w:rFonts w:ascii="Arial" w:eastAsia="Times New Roman" w:hAnsi="Arial" w:cs="Arial"/>
          <w:i/>
          <w:color w:val="111111"/>
          <w:sz w:val="22"/>
          <w:szCs w:val="22"/>
          <w:shd w:val="clear" w:color="auto" w:fill="FFFFFF"/>
        </w:rPr>
        <w:t>Making Mental Health Care Safer</w:t>
      </w:r>
      <w:r w:rsidRPr="00F468C2">
        <w:rPr>
          <w:rFonts w:ascii="Arial" w:eastAsia="Times New Roman" w:hAnsi="Arial" w:cs="Arial"/>
          <w:color w:val="111111"/>
          <w:sz w:val="22"/>
          <w:szCs w:val="22"/>
          <w:shd w:val="clear" w:color="auto" w:fill="FFFFFF"/>
        </w:rPr>
        <w:t xml:space="preserve">: </w:t>
      </w:r>
      <w:r w:rsidRPr="00F468C2">
        <w:rPr>
          <w:rFonts w:ascii="Arial" w:eastAsia="Times New Roman" w:hAnsi="Arial" w:cs="Arial"/>
          <w:i/>
          <w:color w:val="111111"/>
          <w:sz w:val="22"/>
          <w:szCs w:val="22"/>
          <w:shd w:val="clear" w:color="auto" w:fill="FFFFFF"/>
        </w:rPr>
        <w:t>Annual Report and 20-year Review</w:t>
      </w:r>
      <w:r w:rsidRPr="00F468C2">
        <w:rPr>
          <w:rFonts w:ascii="Arial" w:eastAsia="Times New Roman" w:hAnsi="Arial" w:cs="Arial"/>
          <w:color w:val="111111"/>
          <w:sz w:val="22"/>
          <w:szCs w:val="22"/>
          <w:shd w:val="clear" w:color="auto" w:fill="FFFFFF"/>
        </w:rPr>
        <w:t>. University of Manchester.</w:t>
      </w:r>
    </w:p>
    <w:p w14:paraId="31F3241C" w14:textId="77777777" w:rsidR="00B63B6C" w:rsidRPr="00F468C2" w:rsidRDefault="00B63B6C" w:rsidP="00B63B6C">
      <w:pPr>
        <w:spacing w:line="276" w:lineRule="auto"/>
        <w:ind w:left="720" w:hanging="720"/>
        <w:contextualSpacing/>
        <w:rPr>
          <w:rFonts w:ascii="Arial" w:eastAsia="Times New Roman" w:hAnsi="Arial" w:cs="Arial"/>
          <w:color w:val="111111"/>
          <w:sz w:val="22"/>
          <w:szCs w:val="22"/>
          <w:shd w:val="clear" w:color="auto" w:fill="FFFFFF"/>
        </w:rPr>
      </w:pPr>
      <w:r w:rsidRPr="00F468C2">
        <w:rPr>
          <w:rFonts w:ascii="Arial" w:eastAsia="Times New Roman" w:hAnsi="Arial" w:cs="Arial"/>
          <w:color w:val="111111"/>
          <w:sz w:val="22"/>
          <w:szCs w:val="22"/>
          <w:shd w:val="clear" w:color="auto" w:fill="FFFFFF"/>
        </w:rPr>
        <w:t xml:space="preserve">National Confidential Inquiry into Suicide and Homicide by People with Mental Illness. (2013). </w:t>
      </w:r>
      <w:r w:rsidRPr="00F468C2">
        <w:rPr>
          <w:rFonts w:ascii="Arial" w:eastAsia="Times New Roman" w:hAnsi="Arial" w:cs="Arial"/>
          <w:i/>
          <w:color w:val="111111"/>
          <w:sz w:val="22"/>
          <w:szCs w:val="22"/>
          <w:shd w:val="clear" w:color="auto" w:fill="FFFFFF"/>
        </w:rPr>
        <w:t xml:space="preserve">Quality of Risk Assessment prior to Suicide and Homicide: A Pilot Study. </w:t>
      </w:r>
      <w:r w:rsidRPr="00F468C2">
        <w:rPr>
          <w:rFonts w:ascii="Arial" w:eastAsia="Times New Roman" w:hAnsi="Arial" w:cs="Arial"/>
          <w:color w:val="111111"/>
          <w:sz w:val="22"/>
          <w:szCs w:val="22"/>
          <w:shd w:val="clear" w:color="auto" w:fill="FFFFFF"/>
        </w:rPr>
        <w:t>University of Manchester.</w:t>
      </w:r>
    </w:p>
    <w:p w14:paraId="57BD0DBA" w14:textId="77777777" w:rsidR="00B63B6C" w:rsidRPr="00F468C2" w:rsidRDefault="00B63B6C" w:rsidP="00B63B6C">
      <w:pPr>
        <w:spacing w:line="276" w:lineRule="auto"/>
        <w:ind w:left="720" w:hanging="720"/>
        <w:contextualSpacing/>
        <w:rPr>
          <w:rFonts w:ascii="Arial" w:hAnsi="Arial" w:cs="Arial"/>
          <w:sz w:val="22"/>
          <w:szCs w:val="22"/>
        </w:rPr>
      </w:pPr>
      <w:r w:rsidRPr="00F468C2">
        <w:rPr>
          <w:rFonts w:ascii="Arial" w:eastAsia="Times New Roman" w:hAnsi="Arial" w:cs="Arial"/>
          <w:color w:val="111111"/>
          <w:sz w:val="22"/>
          <w:szCs w:val="22"/>
          <w:shd w:val="clear" w:color="auto" w:fill="FFFFFF"/>
        </w:rPr>
        <w:t>Oram, S., Flynn, S. M., Shaw, J., Appleby, L., &amp; Howard, L. M. (2013). Mental illness and domestic homicide: A population-based descriptive study. </w:t>
      </w:r>
      <w:r w:rsidRPr="00F468C2">
        <w:rPr>
          <w:rFonts w:ascii="Arial" w:eastAsia="Times New Roman" w:hAnsi="Arial" w:cs="Arial"/>
          <w:i/>
          <w:iCs/>
          <w:color w:val="111111"/>
          <w:sz w:val="22"/>
          <w:szCs w:val="22"/>
          <w:shd w:val="clear" w:color="auto" w:fill="FFFFFF"/>
        </w:rPr>
        <w:t>Psychiatric Services</w:t>
      </w:r>
      <w:r w:rsidRPr="00F468C2">
        <w:rPr>
          <w:rFonts w:ascii="Arial" w:eastAsia="Times New Roman" w:hAnsi="Arial" w:cs="Arial"/>
          <w:color w:val="111111"/>
          <w:sz w:val="22"/>
          <w:szCs w:val="22"/>
          <w:shd w:val="clear" w:color="auto" w:fill="FFFFFF"/>
        </w:rPr>
        <w:t>, </w:t>
      </w:r>
      <w:r w:rsidRPr="00F468C2">
        <w:rPr>
          <w:rFonts w:ascii="Arial" w:eastAsia="Times New Roman" w:hAnsi="Arial" w:cs="Arial"/>
          <w:i/>
          <w:iCs/>
          <w:color w:val="111111"/>
          <w:sz w:val="22"/>
          <w:szCs w:val="22"/>
          <w:shd w:val="clear" w:color="auto" w:fill="FFFFFF"/>
        </w:rPr>
        <w:t>64</w:t>
      </w:r>
      <w:r w:rsidRPr="00F468C2">
        <w:rPr>
          <w:rFonts w:ascii="Arial" w:eastAsia="Times New Roman" w:hAnsi="Arial" w:cs="Arial"/>
          <w:color w:val="111111"/>
          <w:sz w:val="22"/>
          <w:szCs w:val="22"/>
          <w:shd w:val="clear" w:color="auto" w:fill="FFFFFF"/>
        </w:rPr>
        <w:t xml:space="preserve">(10), 1006-1011. </w:t>
      </w:r>
    </w:p>
    <w:p w14:paraId="0AC48452" w14:textId="77777777" w:rsidR="00B63B6C" w:rsidRPr="00F468C2" w:rsidRDefault="00B63B6C" w:rsidP="00B63B6C">
      <w:pPr>
        <w:spacing w:line="276" w:lineRule="auto"/>
        <w:ind w:left="720" w:hanging="720"/>
        <w:contextualSpacing/>
        <w:rPr>
          <w:rFonts w:ascii="Arial" w:hAnsi="Arial" w:cs="Arial"/>
          <w:sz w:val="22"/>
          <w:szCs w:val="22"/>
        </w:rPr>
      </w:pPr>
      <w:r w:rsidRPr="00F468C2">
        <w:rPr>
          <w:rFonts w:ascii="Arial" w:hAnsi="Arial" w:cs="Arial"/>
          <w:sz w:val="22"/>
          <w:szCs w:val="22"/>
        </w:rPr>
        <w:t>Raymond, S., Leger, A., &amp; Lachaux, B. (2015). A descriptive and follow-up study of 40 parricidal patients hospitalized in a French secure unit over a 15 year period. International Journal of Law and Psychiatry, 41, 43-49.</w:t>
      </w:r>
    </w:p>
    <w:p w14:paraId="3014F8E9" w14:textId="77777777" w:rsidR="00B63B6C" w:rsidRPr="001241C5" w:rsidRDefault="00B63B6C" w:rsidP="00B63B6C">
      <w:pPr>
        <w:spacing w:line="276" w:lineRule="auto"/>
        <w:contextualSpacing/>
        <w:rPr>
          <w:rFonts w:ascii="Arial" w:hAnsi="Arial" w:cs="Arial"/>
          <w:sz w:val="22"/>
          <w:szCs w:val="22"/>
        </w:rPr>
      </w:pPr>
    </w:p>
    <w:p w14:paraId="433067F6" w14:textId="5031D706" w:rsidR="00B63B6C" w:rsidRDefault="00B63B6C" w:rsidP="00420964"/>
    <w:p w14:paraId="33112461" w14:textId="77777777" w:rsidR="00B63B6C" w:rsidRDefault="00B63B6C" w:rsidP="00420964"/>
    <w:p w14:paraId="33AD792D" w14:textId="77777777" w:rsidR="00B63B6C" w:rsidRDefault="00B63B6C" w:rsidP="00420964"/>
    <w:p w14:paraId="210E8852" w14:textId="77777777" w:rsidR="00B63B6C" w:rsidRDefault="00B63B6C" w:rsidP="00420964"/>
    <w:p w14:paraId="45906484" w14:textId="77777777" w:rsidR="00B63B6C" w:rsidRDefault="00B63B6C" w:rsidP="00420964"/>
    <w:p w14:paraId="4F6CF4AB" w14:textId="77777777" w:rsidR="00B63B6C" w:rsidRDefault="00B63B6C" w:rsidP="00420964"/>
    <w:p w14:paraId="5DF62A37" w14:textId="77777777" w:rsidR="00B63B6C" w:rsidRPr="00F82C10" w:rsidRDefault="00B63B6C" w:rsidP="00B63B6C">
      <w:pPr>
        <w:rPr>
          <w:rFonts w:asciiTheme="majorHAnsi" w:hAnsiTheme="majorHAnsi"/>
          <w:b/>
          <w:sz w:val="22"/>
          <w:szCs w:val="22"/>
        </w:rPr>
      </w:pPr>
      <w:r w:rsidRPr="00F82C10">
        <w:rPr>
          <w:rFonts w:asciiTheme="majorHAnsi" w:hAnsiTheme="majorHAnsi"/>
          <w:b/>
          <w:sz w:val="22"/>
          <w:szCs w:val="22"/>
        </w:rPr>
        <w:t>Appendix C</w:t>
      </w:r>
    </w:p>
    <w:p w14:paraId="47BE5C11" w14:textId="77777777" w:rsidR="00B63B6C" w:rsidRDefault="00B63B6C" w:rsidP="00B63B6C">
      <w:pPr>
        <w:jc w:val="center"/>
        <w:rPr>
          <w:rFonts w:asciiTheme="majorHAnsi" w:hAnsiTheme="majorHAnsi"/>
          <w:b/>
          <w:sz w:val="22"/>
          <w:szCs w:val="22"/>
        </w:rPr>
      </w:pPr>
    </w:p>
    <w:p w14:paraId="6CDEDB14" w14:textId="77777777" w:rsidR="00B63B6C" w:rsidRPr="001D2EB3" w:rsidRDefault="00B63B6C" w:rsidP="00B63B6C">
      <w:pPr>
        <w:jc w:val="center"/>
        <w:rPr>
          <w:rFonts w:asciiTheme="majorHAnsi" w:hAnsiTheme="majorHAnsi"/>
          <w:b/>
          <w:sz w:val="22"/>
          <w:szCs w:val="22"/>
        </w:rPr>
      </w:pPr>
      <w:r w:rsidRPr="001D2EB3">
        <w:rPr>
          <w:rFonts w:asciiTheme="majorHAnsi" w:hAnsiTheme="majorHAnsi"/>
          <w:b/>
          <w:sz w:val="22"/>
          <w:szCs w:val="22"/>
        </w:rPr>
        <w:t xml:space="preserve">SWLSTG Focus Group – </w:t>
      </w:r>
      <w:r>
        <w:rPr>
          <w:rFonts w:asciiTheme="majorHAnsi" w:hAnsiTheme="majorHAnsi"/>
          <w:b/>
          <w:sz w:val="22"/>
          <w:szCs w:val="22"/>
        </w:rPr>
        <w:t>Report</w:t>
      </w:r>
    </w:p>
    <w:p w14:paraId="3C87857A" w14:textId="77777777" w:rsidR="00B63B6C" w:rsidRPr="001D2EB3" w:rsidRDefault="00B63B6C" w:rsidP="00B63B6C">
      <w:pPr>
        <w:jc w:val="center"/>
        <w:rPr>
          <w:rFonts w:asciiTheme="majorHAnsi" w:hAnsiTheme="majorHAnsi"/>
          <w:sz w:val="22"/>
          <w:szCs w:val="22"/>
        </w:rPr>
      </w:pPr>
    </w:p>
    <w:p w14:paraId="361872DC" w14:textId="77777777" w:rsidR="00B63B6C" w:rsidRDefault="00B63B6C" w:rsidP="00B63B6C">
      <w:pPr>
        <w:rPr>
          <w:rFonts w:asciiTheme="majorHAnsi" w:hAnsiTheme="majorHAnsi"/>
          <w:sz w:val="22"/>
          <w:szCs w:val="22"/>
        </w:rPr>
      </w:pPr>
      <w:r>
        <w:rPr>
          <w:rFonts w:asciiTheme="majorHAnsi" w:hAnsiTheme="majorHAnsi"/>
          <w:sz w:val="22"/>
          <w:szCs w:val="22"/>
        </w:rPr>
        <w:t>The following report summarises the findings of a service user and carer focus group that was held in SWLSTG on 14</w:t>
      </w:r>
      <w:r w:rsidRPr="00443C8F">
        <w:rPr>
          <w:rFonts w:asciiTheme="majorHAnsi" w:hAnsiTheme="majorHAnsi"/>
          <w:sz w:val="22"/>
          <w:szCs w:val="22"/>
          <w:vertAlign w:val="superscript"/>
        </w:rPr>
        <w:t>th</w:t>
      </w:r>
      <w:r>
        <w:rPr>
          <w:rFonts w:asciiTheme="majorHAnsi" w:hAnsiTheme="majorHAnsi"/>
          <w:sz w:val="22"/>
          <w:szCs w:val="22"/>
        </w:rPr>
        <w:t xml:space="preserve"> July 2017. Although only two people attended the focus group, both participants identified as having experiences of being both service users and carers in the Trust. </w:t>
      </w:r>
    </w:p>
    <w:p w14:paraId="62FB3E15" w14:textId="77777777" w:rsidR="00B63B6C" w:rsidRDefault="00B63B6C" w:rsidP="00B63B6C">
      <w:pPr>
        <w:rPr>
          <w:rFonts w:asciiTheme="majorHAnsi" w:hAnsiTheme="majorHAnsi"/>
          <w:sz w:val="22"/>
          <w:szCs w:val="22"/>
        </w:rPr>
      </w:pPr>
    </w:p>
    <w:p w14:paraId="5B899580" w14:textId="77777777" w:rsidR="00B63B6C" w:rsidRDefault="00B63B6C" w:rsidP="00B63B6C">
      <w:pPr>
        <w:rPr>
          <w:rFonts w:asciiTheme="majorHAnsi" w:hAnsiTheme="majorHAnsi"/>
          <w:sz w:val="22"/>
          <w:szCs w:val="22"/>
        </w:rPr>
      </w:pPr>
      <w:r>
        <w:rPr>
          <w:rFonts w:asciiTheme="majorHAnsi" w:hAnsiTheme="majorHAnsi"/>
          <w:sz w:val="22"/>
          <w:szCs w:val="22"/>
        </w:rPr>
        <w:t xml:space="preserve">The first part of the session focused on the participants’ experiences as service users. </w:t>
      </w:r>
    </w:p>
    <w:p w14:paraId="48394297" w14:textId="77777777" w:rsidR="00B63B6C" w:rsidRDefault="00B63B6C" w:rsidP="00B63B6C">
      <w:pPr>
        <w:rPr>
          <w:rFonts w:asciiTheme="majorHAnsi" w:hAnsiTheme="majorHAnsi"/>
          <w:sz w:val="22"/>
          <w:szCs w:val="22"/>
        </w:rPr>
      </w:pPr>
    </w:p>
    <w:p w14:paraId="57BC74B2" w14:textId="77777777" w:rsidR="00B63B6C" w:rsidRDefault="00B63B6C" w:rsidP="00B63B6C">
      <w:pPr>
        <w:rPr>
          <w:rFonts w:asciiTheme="majorHAnsi" w:hAnsiTheme="majorHAnsi"/>
          <w:sz w:val="22"/>
          <w:szCs w:val="22"/>
        </w:rPr>
      </w:pPr>
      <w:r>
        <w:rPr>
          <w:rFonts w:asciiTheme="majorHAnsi" w:hAnsiTheme="majorHAnsi"/>
          <w:sz w:val="22"/>
          <w:szCs w:val="22"/>
        </w:rPr>
        <w:t xml:space="preserve">Although the participants highlighted a couple of examples of good practice, for instance, a positive experience of care co-ordination, such experiences were few and far between. Moreover, these experiences were short-lived, such that when the care co-ordinator in question became pregnant and had to take leave, the service user was, in turn, treated as a ‘closed case’: </w:t>
      </w:r>
    </w:p>
    <w:p w14:paraId="73D5A255" w14:textId="77777777" w:rsidR="00B63B6C" w:rsidRDefault="00B63B6C" w:rsidP="00B63B6C">
      <w:pPr>
        <w:rPr>
          <w:rFonts w:asciiTheme="majorHAnsi" w:hAnsiTheme="majorHAnsi"/>
          <w:sz w:val="22"/>
          <w:szCs w:val="22"/>
        </w:rPr>
      </w:pPr>
    </w:p>
    <w:p w14:paraId="65C196A1" w14:textId="77777777" w:rsidR="00B63B6C" w:rsidRDefault="00B63B6C" w:rsidP="00B63B6C">
      <w:pPr>
        <w:ind w:left="720"/>
        <w:rPr>
          <w:rFonts w:asciiTheme="majorHAnsi" w:hAnsiTheme="majorHAnsi"/>
          <w:sz w:val="22"/>
          <w:szCs w:val="22"/>
        </w:rPr>
      </w:pPr>
      <w:r>
        <w:rPr>
          <w:rFonts w:asciiTheme="majorHAnsi" w:hAnsiTheme="majorHAnsi"/>
          <w:sz w:val="22"/>
          <w:szCs w:val="22"/>
        </w:rPr>
        <w:t>‘I had a good relationship with her [the care co-ordinator] but it was like she just had to close me as a case and there was no follow-up’.</w:t>
      </w:r>
    </w:p>
    <w:p w14:paraId="4EBC9327" w14:textId="77777777" w:rsidR="00B63B6C" w:rsidRDefault="00B63B6C" w:rsidP="00B63B6C">
      <w:pPr>
        <w:rPr>
          <w:rFonts w:asciiTheme="majorHAnsi" w:hAnsiTheme="majorHAnsi"/>
          <w:sz w:val="22"/>
          <w:szCs w:val="22"/>
        </w:rPr>
      </w:pPr>
    </w:p>
    <w:p w14:paraId="336611E4" w14:textId="77777777" w:rsidR="00B63B6C" w:rsidRDefault="00B63B6C" w:rsidP="00B63B6C">
      <w:pPr>
        <w:rPr>
          <w:rFonts w:asciiTheme="majorHAnsi" w:hAnsiTheme="majorHAnsi"/>
          <w:sz w:val="22"/>
          <w:szCs w:val="22"/>
        </w:rPr>
      </w:pPr>
      <w:r>
        <w:rPr>
          <w:rFonts w:asciiTheme="majorHAnsi" w:hAnsiTheme="majorHAnsi"/>
          <w:sz w:val="22"/>
          <w:szCs w:val="22"/>
        </w:rPr>
        <w:t xml:space="preserve">Indeed, both participants reported a constant turnover of staff and spoke of the negative impact this had on their experience of care, highlighting the lack of continuity and consistency this engendered and how changes in staff often heralded imminent discharge with little or no follow up in the community: </w:t>
      </w:r>
    </w:p>
    <w:p w14:paraId="6DC91FAF" w14:textId="77777777" w:rsidR="00B63B6C" w:rsidRDefault="00B63B6C" w:rsidP="00B63B6C">
      <w:pPr>
        <w:rPr>
          <w:rFonts w:asciiTheme="majorHAnsi" w:hAnsiTheme="majorHAnsi"/>
          <w:sz w:val="22"/>
          <w:szCs w:val="22"/>
        </w:rPr>
      </w:pPr>
    </w:p>
    <w:p w14:paraId="57D15DD4" w14:textId="77777777" w:rsidR="00B63B6C" w:rsidRPr="00443C8F" w:rsidRDefault="00B63B6C" w:rsidP="00B63B6C">
      <w:pPr>
        <w:ind w:firstLine="720"/>
        <w:rPr>
          <w:rFonts w:asciiTheme="majorHAnsi" w:hAnsiTheme="majorHAnsi"/>
          <w:sz w:val="22"/>
          <w:szCs w:val="22"/>
        </w:rPr>
      </w:pPr>
      <w:r>
        <w:rPr>
          <w:rFonts w:asciiTheme="majorHAnsi" w:hAnsiTheme="majorHAnsi"/>
          <w:sz w:val="22"/>
          <w:szCs w:val="22"/>
        </w:rPr>
        <w:t>‘The emphasis [then] was on being discharged. I was no longer of importance.’</w:t>
      </w:r>
    </w:p>
    <w:p w14:paraId="16098587" w14:textId="77777777" w:rsidR="00B63B6C" w:rsidRPr="00B46326" w:rsidRDefault="00B63B6C" w:rsidP="00B63B6C">
      <w:pPr>
        <w:rPr>
          <w:rFonts w:asciiTheme="majorHAnsi" w:hAnsiTheme="majorHAnsi"/>
          <w:sz w:val="22"/>
          <w:szCs w:val="22"/>
        </w:rPr>
      </w:pPr>
    </w:p>
    <w:p w14:paraId="06545B05" w14:textId="77777777" w:rsidR="00B63B6C" w:rsidRDefault="00B63B6C" w:rsidP="00B63B6C">
      <w:pPr>
        <w:rPr>
          <w:rFonts w:asciiTheme="majorHAnsi" w:hAnsiTheme="majorHAnsi"/>
          <w:sz w:val="22"/>
          <w:szCs w:val="22"/>
        </w:rPr>
      </w:pPr>
      <w:r>
        <w:rPr>
          <w:rFonts w:asciiTheme="majorHAnsi" w:hAnsiTheme="majorHAnsi"/>
          <w:sz w:val="22"/>
          <w:szCs w:val="22"/>
        </w:rPr>
        <w:t xml:space="preserve">When participants were referred into other services, for example, to a day hospital, their experiences were generally positive. However, with little or no evidence of robust multiagency working - or even communication between services - the participants felt ‘dropped’ and ‘dumped’ by services rather than experiencing a ‘joined-up’ pathway of care. Thus, when the day hospital was closed, no services were offered for participants to be referred into or to return to. </w:t>
      </w:r>
    </w:p>
    <w:p w14:paraId="6D349386" w14:textId="77777777" w:rsidR="00B63B6C" w:rsidRDefault="00B63B6C" w:rsidP="00B63B6C">
      <w:pPr>
        <w:rPr>
          <w:rFonts w:asciiTheme="majorHAnsi" w:hAnsiTheme="majorHAnsi"/>
          <w:sz w:val="22"/>
          <w:szCs w:val="22"/>
        </w:rPr>
      </w:pPr>
    </w:p>
    <w:p w14:paraId="150C6B2D" w14:textId="77777777" w:rsidR="00B63B6C" w:rsidRDefault="00B63B6C" w:rsidP="00B63B6C">
      <w:pPr>
        <w:rPr>
          <w:rFonts w:asciiTheme="majorHAnsi" w:hAnsiTheme="majorHAnsi"/>
          <w:sz w:val="22"/>
          <w:szCs w:val="22"/>
        </w:rPr>
      </w:pPr>
      <w:r>
        <w:rPr>
          <w:rFonts w:asciiTheme="majorHAnsi" w:hAnsiTheme="majorHAnsi"/>
          <w:sz w:val="22"/>
          <w:szCs w:val="22"/>
        </w:rPr>
        <w:t>Similar shortcomings were reported at assessment. Both participants highlighted the lack of a psychologically-informed formulation of their difficulties and care needs. Instead, the assessment focus tended to be upon medication and managing symptoms rather than on, or alongside, a psychological understanding of their complex needs:</w:t>
      </w:r>
    </w:p>
    <w:p w14:paraId="18785B9E" w14:textId="77777777" w:rsidR="00B63B6C" w:rsidRDefault="00B63B6C" w:rsidP="00B63B6C">
      <w:pPr>
        <w:rPr>
          <w:rFonts w:asciiTheme="majorHAnsi" w:hAnsiTheme="majorHAnsi"/>
          <w:sz w:val="22"/>
          <w:szCs w:val="22"/>
        </w:rPr>
      </w:pPr>
    </w:p>
    <w:p w14:paraId="5C5F6DB3" w14:textId="77777777" w:rsidR="00B63B6C" w:rsidRDefault="00B63B6C" w:rsidP="00B63B6C">
      <w:pPr>
        <w:ind w:left="720"/>
        <w:rPr>
          <w:rFonts w:asciiTheme="majorHAnsi" w:hAnsiTheme="majorHAnsi"/>
          <w:sz w:val="22"/>
          <w:szCs w:val="22"/>
        </w:rPr>
      </w:pPr>
      <w:r>
        <w:rPr>
          <w:rFonts w:asciiTheme="majorHAnsi" w:hAnsiTheme="majorHAnsi"/>
          <w:sz w:val="22"/>
          <w:szCs w:val="22"/>
        </w:rPr>
        <w:t>‘I really suffered psychologically when I was working. People in my job were awful to me and there was institutional racism. It seemed that services refused to acknowledge what I was going through. Mental health professionals seem to be in a class of their own. The psychiatrist thought she was an expert on me, but she was not. The racism made me ill but they didn’t want to talk about it.’</w:t>
      </w:r>
    </w:p>
    <w:p w14:paraId="540059CC" w14:textId="77777777" w:rsidR="00B63B6C" w:rsidRDefault="00B63B6C" w:rsidP="00B63B6C">
      <w:pPr>
        <w:rPr>
          <w:rFonts w:asciiTheme="majorHAnsi" w:hAnsiTheme="majorHAnsi"/>
          <w:sz w:val="22"/>
          <w:szCs w:val="22"/>
        </w:rPr>
      </w:pPr>
    </w:p>
    <w:p w14:paraId="2C81C4EC" w14:textId="77777777" w:rsidR="00B63B6C" w:rsidRDefault="00B63B6C" w:rsidP="00B63B6C">
      <w:pPr>
        <w:rPr>
          <w:rFonts w:asciiTheme="majorHAnsi" w:hAnsiTheme="majorHAnsi"/>
          <w:sz w:val="22"/>
          <w:szCs w:val="22"/>
        </w:rPr>
      </w:pPr>
      <w:r>
        <w:rPr>
          <w:rFonts w:asciiTheme="majorHAnsi" w:hAnsiTheme="majorHAnsi"/>
          <w:sz w:val="22"/>
          <w:szCs w:val="22"/>
        </w:rPr>
        <w:t>Experiences of trying to secure Personal Budgets were also identified as problematic with the application process itself described as being long and confusing with poor mechanisms for feedback about outcomes:</w:t>
      </w:r>
    </w:p>
    <w:p w14:paraId="096C5519" w14:textId="77777777" w:rsidR="00B63B6C" w:rsidRDefault="00B63B6C" w:rsidP="00B63B6C">
      <w:pPr>
        <w:rPr>
          <w:rFonts w:asciiTheme="majorHAnsi" w:hAnsiTheme="majorHAnsi"/>
          <w:sz w:val="22"/>
          <w:szCs w:val="22"/>
        </w:rPr>
      </w:pPr>
    </w:p>
    <w:p w14:paraId="1C095EE0" w14:textId="77777777" w:rsidR="00B63B6C" w:rsidRDefault="00B63B6C" w:rsidP="00B63B6C">
      <w:pPr>
        <w:ind w:left="720"/>
        <w:rPr>
          <w:rFonts w:asciiTheme="majorHAnsi" w:hAnsiTheme="majorHAnsi"/>
          <w:sz w:val="22"/>
          <w:szCs w:val="22"/>
        </w:rPr>
      </w:pPr>
      <w:r>
        <w:rPr>
          <w:rFonts w:asciiTheme="majorHAnsi" w:hAnsiTheme="majorHAnsi"/>
          <w:sz w:val="22"/>
          <w:szCs w:val="22"/>
        </w:rPr>
        <w:t>‘I have sickle cell and other issues and I wanted to use my personal budget to go swimming and to sit in a sauna, especially in the winter. I simply never received it and was never informed as to the outcome.</w:t>
      </w:r>
    </w:p>
    <w:p w14:paraId="2E897318" w14:textId="77777777" w:rsidR="00B63B6C" w:rsidRDefault="00B63B6C" w:rsidP="00B63B6C">
      <w:pPr>
        <w:rPr>
          <w:rFonts w:asciiTheme="majorHAnsi" w:hAnsiTheme="majorHAnsi"/>
          <w:sz w:val="22"/>
          <w:szCs w:val="22"/>
        </w:rPr>
      </w:pPr>
    </w:p>
    <w:p w14:paraId="6A1130A4" w14:textId="77777777" w:rsidR="00B63B6C" w:rsidRDefault="00B63B6C" w:rsidP="00B63B6C">
      <w:pPr>
        <w:rPr>
          <w:rFonts w:asciiTheme="majorHAnsi" w:hAnsiTheme="majorHAnsi"/>
          <w:sz w:val="22"/>
          <w:szCs w:val="22"/>
        </w:rPr>
      </w:pPr>
      <w:r>
        <w:rPr>
          <w:rFonts w:asciiTheme="majorHAnsi" w:hAnsiTheme="majorHAnsi"/>
          <w:sz w:val="22"/>
          <w:szCs w:val="22"/>
        </w:rPr>
        <w:t>Both participants spoke of the complex interplay of psychological and social factors that affect their mental health and both highlighted the need for services to address this dynamic if service users are to be supported effectively in the community:</w:t>
      </w:r>
    </w:p>
    <w:p w14:paraId="3083E403" w14:textId="77777777" w:rsidR="00B63B6C" w:rsidRDefault="00B63B6C" w:rsidP="00B63B6C">
      <w:pPr>
        <w:rPr>
          <w:rFonts w:asciiTheme="majorHAnsi" w:hAnsiTheme="majorHAnsi"/>
          <w:sz w:val="22"/>
          <w:szCs w:val="22"/>
        </w:rPr>
      </w:pPr>
    </w:p>
    <w:p w14:paraId="4ECF1829" w14:textId="77777777" w:rsidR="00B63B6C" w:rsidRDefault="00B63B6C" w:rsidP="00B63B6C">
      <w:pPr>
        <w:ind w:left="720"/>
        <w:rPr>
          <w:rFonts w:asciiTheme="majorHAnsi" w:hAnsiTheme="majorHAnsi"/>
          <w:sz w:val="22"/>
          <w:szCs w:val="22"/>
        </w:rPr>
      </w:pPr>
      <w:r>
        <w:rPr>
          <w:rFonts w:asciiTheme="majorHAnsi" w:hAnsiTheme="majorHAnsi"/>
          <w:sz w:val="22"/>
          <w:szCs w:val="22"/>
        </w:rPr>
        <w:t>‘Professionals underestimate the difficulties service users have with practical matters and especially managing their finances when they are on large amounts of medication or feeling unwell. I used to fear the brown envelopes coming through the letter box.’</w:t>
      </w:r>
    </w:p>
    <w:p w14:paraId="79DECB43" w14:textId="77777777" w:rsidR="00B63B6C" w:rsidRDefault="00B63B6C" w:rsidP="00B63B6C">
      <w:pPr>
        <w:ind w:left="720"/>
        <w:rPr>
          <w:rFonts w:asciiTheme="majorHAnsi" w:hAnsiTheme="majorHAnsi"/>
          <w:sz w:val="22"/>
          <w:szCs w:val="22"/>
        </w:rPr>
      </w:pPr>
    </w:p>
    <w:p w14:paraId="7328B888" w14:textId="77777777" w:rsidR="00B63B6C" w:rsidRDefault="00B63B6C" w:rsidP="00B63B6C">
      <w:pPr>
        <w:ind w:left="720"/>
        <w:rPr>
          <w:rFonts w:asciiTheme="majorHAnsi" w:hAnsiTheme="majorHAnsi"/>
          <w:sz w:val="22"/>
          <w:szCs w:val="22"/>
        </w:rPr>
      </w:pPr>
      <w:r>
        <w:rPr>
          <w:rFonts w:asciiTheme="majorHAnsi" w:hAnsiTheme="majorHAnsi"/>
          <w:sz w:val="22"/>
          <w:szCs w:val="22"/>
        </w:rPr>
        <w:t>‘It’s when people are discharged and there is no management of their finances and utilities that things get out of hand. It causes stress and relapses and people are readmitted. They wonder why people want to stay in secondary care!’</w:t>
      </w:r>
    </w:p>
    <w:p w14:paraId="7C3C2886" w14:textId="77777777" w:rsidR="00B63B6C" w:rsidRDefault="00B63B6C" w:rsidP="00B63B6C">
      <w:pPr>
        <w:rPr>
          <w:rFonts w:asciiTheme="majorHAnsi" w:hAnsiTheme="majorHAnsi"/>
          <w:sz w:val="22"/>
          <w:szCs w:val="22"/>
        </w:rPr>
      </w:pPr>
    </w:p>
    <w:p w14:paraId="2AEB84E8" w14:textId="77777777" w:rsidR="00B63B6C" w:rsidRDefault="00B63B6C" w:rsidP="00B63B6C">
      <w:pPr>
        <w:rPr>
          <w:rFonts w:asciiTheme="majorHAnsi" w:hAnsiTheme="majorHAnsi"/>
          <w:sz w:val="22"/>
          <w:szCs w:val="22"/>
        </w:rPr>
      </w:pPr>
      <w:r>
        <w:rPr>
          <w:rFonts w:asciiTheme="majorHAnsi" w:hAnsiTheme="majorHAnsi"/>
          <w:sz w:val="22"/>
          <w:szCs w:val="22"/>
        </w:rPr>
        <w:t>Furthermore, both participants addressed the issue of co-morbidity and spoke of how alcohol and drug use is commonplace within the service user population. For the two participants, this was completely understandable since it was viewed as part of a coping strategy in lieu of anything that would effectively attend to the underlying problem:</w:t>
      </w:r>
    </w:p>
    <w:p w14:paraId="2856853C" w14:textId="77777777" w:rsidR="00B63B6C" w:rsidRDefault="00B63B6C" w:rsidP="00B63B6C">
      <w:pPr>
        <w:rPr>
          <w:rFonts w:asciiTheme="majorHAnsi" w:hAnsiTheme="majorHAnsi"/>
          <w:sz w:val="22"/>
          <w:szCs w:val="22"/>
        </w:rPr>
      </w:pPr>
    </w:p>
    <w:p w14:paraId="1A42172E" w14:textId="77777777" w:rsidR="00B63B6C" w:rsidRDefault="00B63B6C" w:rsidP="00B63B6C">
      <w:pPr>
        <w:ind w:left="720"/>
        <w:rPr>
          <w:rFonts w:asciiTheme="majorHAnsi" w:hAnsiTheme="majorHAnsi"/>
          <w:sz w:val="22"/>
          <w:szCs w:val="22"/>
        </w:rPr>
      </w:pPr>
      <w:r>
        <w:rPr>
          <w:rFonts w:asciiTheme="majorHAnsi" w:hAnsiTheme="majorHAnsi"/>
          <w:sz w:val="22"/>
          <w:szCs w:val="22"/>
        </w:rPr>
        <w:t>‘They want to numb psychological pain but they do this with alcohol and drugs. It’s the underlying issue that needs to be addressed.’</w:t>
      </w:r>
    </w:p>
    <w:p w14:paraId="74800504" w14:textId="77777777" w:rsidR="00B63B6C" w:rsidRDefault="00B63B6C" w:rsidP="00B63B6C">
      <w:pPr>
        <w:rPr>
          <w:rFonts w:asciiTheme="majorHAnsi" w:hAnsiTheme="majorHAnsi"/>
          <w:sz w:val="22"/>
          <w:szCs w:val="22"/>
        </w:rPr>
      </w:pPr>
    </w:p>
    <w:p w14:paraId="6E4D6B54" w14:textId="77777777" w:rsidR="00B63B6C" w:rsidRDefault="00B63B6C" w:rsidP="00B63B6C">
      <w:pPr>
        <w:rPr>
          <w:rFonts w:asciiTheme="majorHAnsi" w:hAnsiTheme="majorHAnsi"/>
          <w:sz w:val="22"/>
          <w:szCs w:val="22"/>
        </w:rPr>
      </w:pPr>
      <w:r>
        <w:rPr>
          <w:rFonts w:asciiTheme="majorHAnsi" w:hAnsiTheme="majorHAnsi"/>
          <w:sz w:val="22"/>
          <w:szCs w:val="22"/>
        </w:rPr>
        <w:t xml:space="preserve">The second part of the session focused on the participants’ experiences of being carers in the Trust. </w:t>
      </w:r>
    </w:p>
    <w:p w14:paraId="2B1B5F8A" w14:textId="77777777" w:rsidR="00B63B6C" w:rsidRDefault="00B63B6C" w:rsidP="00B63B6C">
      <w:pPr>
        <w:rPr>
          <w:rFonts w:asciiTheme="majorHAnsi" w:hAnsiTheme="majorHAnsi"/>
          <w:sz w:val="22"/>
          <w:szCs w:val="22"/>
        </w:rPr>
      </w:pPr>
    </w:p>
    <w:p w14:paraId="542D0BDF" w14:textId="77777777" w:rsidR="00B63B6C" w:rsidRDefault="00B63B6C" w:rsidP="00B63B6C">
      <w:pPr>
        <w:rPr>
          <w:rFonts w:asciiTheme="majorHAnsi" w:hAnsiTheme="majorHAnsi"/>
          <w:sz w:val="22"/>
          <w:szCs w:val="22"/>
        </w:rPr>
      </w:pPr>
      <w:r>
        <w:rPr>
          <w:rFonts w:asciiTheme="majorHAnsi" w:hAnsiTheme="majorHAnsi"/>
          <w:sz w:val="22"/>
          <w:szCs w:val="22"/>
        </w:rPr>
        <w:t>Both participants had had experience of carers’ assessments and although the outcomes differed, in that one received a discretionary grant, whilst the other felt that her application had simply been ‘lost’, both highlighted significant problems with the current system.</w:t>
      </w:r>
    </w:p>
    <w:p w14:paraId="5F2D4293" w14:textId="77777777" w:rsidR="00B63B6C" w:rsidRDefault="00B63B6C" w:rsidP="00B63B6C">
      <w:pPr>
        <w:rPr>
          <w:rFonts w:asciiTheme="majorHAnsi" w:hAnsiTheme="majorHAnsi"/>
          <w:sz w:val="22"/>
          <w:szCs w:val="22"/>
        </w:rPr>
      </w:pPr>
    </w:p>
    <w:p w14:paraId="665FF610" w14:textId="77777777" w:rsidR="00B63B6C" w:rsidRDefault="00B63B6C" w:rsidP="00B63B6C">
      <w:pPr>
        <w:rPr>
          <w:rFonts w:asciiTheme="majorHAnsi" w:hAnsiTheme="majorHAnsi"/>
          <w:sz w:val="22"/>
          <w:szCs w:val="22"/>
        </w:rPr>
      </w:pPr>
      <w:r>
        <w:rPr>
          <w:rFonts w:asciiTheme="majorHAnsi" w:hAnsiTheme="majorHAnsi"/>
          <w:sz w:val="22"/>
          <w:szCs w:val="22"/>
        </w:rPr>
        <w:t>Both described the process as longwinded and complicated with a series of financial questions which many applicants would find unduly intrusive and off-putting. Both participants agreed that it was very difficult for carers to deal with financial assessments and that this would be especially so if the carers were to have mental health needs of their own.</w:t>
      </w:r>
    </w:p>
    <w:p w14:paraId="0A6FBCE6" w14:textId="77777777" w:rsidR="00B63B6C" w:rsidRDefault="00B63B6C" w:rsidP="00B63B6C">
      <w:pPr>
        <w:rPr>
          <w:rFonts w:asciiTheme="majorHAnsi" w:hAnsiTheme="majorHAnsi"/>
          <w:sz w:val="22"/>
          <w:szCs w:val="22"/>
        </w:rPr>
      </w:pPr>
    </w:p>
    <w:p w14:paraId="7BAE8B68" w14:textId="77777777" w:rsidR="00B63B6C" w:rsidRDefault="00B63B6C" w:rsidP="00B63B6C">
      <w:pPr>
        <w:rPr>
          <w:rFonts w:asciiTheme="majorHAnsi" w:hAnsiTheme="majorHAnsi"/>
          <w:sz w:val="22"/>
          <w:szCs w:val="22"/>
        </w:rPr>
      </w:pPr>
      <w:r>
        <w:rPr>
          <w:rFonts w:asciiTheme="majorHAnsi" w:hAnsiTheme="majorHAnsi"/>
          <w:sz w:val="22"/>
          <w:szCs w:val="22"/>
        </w:rPr>
        <w:t>One participant described the type of support carers get as a postcode lottery, since the quality and extent of the offer depends wholly on the borough in which you live. Moreover, both participants agreed that carers fail to be fully valued and respected by the Trust:</w:t>
      </w:r>
    </w:p>
    <w:p w14:paraId="72271C66" w14:textId="77777777" w:rsidR="00B63B6C" w:rsidRDefault="00B63B6C" w:rsidP="00B63B6C">
      <w:pPr>
        <w:rPr>
          <w:rFonts w:asciiTheme="majorHAnsi" w:hAnsiTheme="majorHAnsi"/>
          <w:sz w:val="22"/>
          <w:szCs w:val="22"/>
        </w:rPr>
      </w:pPr>
    </w:p>
    <w:p w14:paraId="61796C90" w14:textId="77777777" w:rsidR="00B63B6C" w:rsidRDefault="00B63B6C" w:rsidP="00B63B6C">
      <w:pPr>
        <w:ind w:left="720"/>
        <w:rPr>
          <w:rFonts w:asciiTheme="majorHAnsi" w:hAnsiTheme="majorHAnsi"/>
          <w:sz w:val="22"/>
          <w:szCs w:val="22"/>
        </w:rPr>
      </w:pPr>
      <w:r>
        <w:rPr>
          <w:rFonts w:asciiTheme="majorHAnsi" w:hAnsiTheme="majorHAnsi"/>
          <w:sz w:val="22"/>
          <w:szCs w:val="22"/>
        </w:rPr>
        <w:t>‘I am at home with my family but I don’t get respect for looking after my mum and dad.’</w:t>
      </w:r>
    </w:p>
    <w:p w14:paraId="0A46C5BB" w14:textId="77777777" w:rsidR="00B63B6C" w:rsidRPr="007F43BB" w:rsidRDefault="00B63B6C" w:rsidP="00B63B6C">
      <w:pPr>
        <w:ind w:left="720"/>
        <w:rPr>
          <w:rFonts w:asciiTheme="majorHAnsi" w:hAnsiTheme="majorHAnsi"/>
          <w:sz w:val="22"/>
          <w:szCs w:val="22"/>
        </w:rPr>
      </w:pPr>
    </w:p>
    <w:p w14:paraId="581C3C3F" w14:textId="77777777" w:rsidR="00B63B6C" w:rsidRDefault="00B63B6C" w:rsidP="00B63B6C">
      <w:pPr>
        <w:rPr>
          <w:rFonts w:asciiTheme="majorHAnsi" w:hAnsiTheme="majorHAnsi"/>
          <w:sz w:val="22"/>
          <w:szCs w:val="22"/>
        </w:rPr>
      </w:pPr>
      <w:r>
        <w:rPr>
          <w:rFonts w:asciiTheme="majorHAnsi" w:hAnsiTheme="majorHAnsi"/>
          <w:sz w:val="22"/>
          <w:szCs w:val="22"/>
        </w:rPr>
        <w:t>One participant gave a moving account of her experience as a carer for a family member and the lack of support she received from services:</w:t>
      </w:r>
    </w:p>
    <w:p w14:paraId="4E402842" w14:textId="77777777" w:rsidR="00B63B6C" w:rsidRDefault="00B63B6C" w:rsidP="00B63B6C">
      <w:pPr>
        <w:rPr>
          <w:rFonts w:asciiTheme="majorHAnsi" w:hAnsiTheme="majorHAnsi"/>
          <w:sz w:val="22"/>
          <w:szCs w:val="22"/>
        </w:rPr>
      </w:pPr>
    </w:p>
    <w:p w14:paraId="0E5550FC" w14:textId="77777777" w:rsidR="00B63B6C" w:rsidRDefault="00B63B6C" w:rsidP="00B63B6C">
      <w:pPr>
        <w:ind w:left="720"/>
        <w:rPr>
          <w:rFonts w:asciiTheme="majorHAnsi" w:hAnsiTheme="majorHAnsi"/>
          <w:sz w:val="22"/>
          <w:szCs w:val="22"/>
        </w:rPr>
      </w:pPr>
      <w:r>
        <w:rPr>
          <w:rFonts w:asciiTheme="majorHAnsi" w:hAnsiTheme="majorHAnsi"/>
          <w:sz w:val="22"/>
          <w:szCs w:val="22"/>
        </w:rPr>
        <w:t>‘I felt that what I was doing was good. I would wash his clothes. He would come to my house for a shower. But I couldn’t get anyone to help him in his home. It was tiring.’</w:t>
      </w:r>
    </w:p>
    <w:p w14:paraId="7A108153" w14:textId="77777777" w:rsidR="00B63B6C" w:rsidRPr="009E7B06" w:rsidRDefault="00B63B6C" w:rsidP="00B63B6C">
      <w:pPr>
        <w:ind w:left="720"/>
        <w:rPr>
          <w:rFonts w:asciiTheme="majorHAnsi" w:hAnsiTheme="majorHAnsi"/>
          <w:sz w:val="22"/>
          <w:szCs w:val="22"/>
        </w:rPr>
      </w:pPr>
    </w:p>
    <w:p w14:paraId="663E4CAE" w14:textId="77777777" w:rsidR="00B63B6C" w:rsidRDefault="00B63B6C" w:rsidP="00B63B6C">
      <w:pPr>
        <w:rPr>
          <w:rFonts w:asciiTheme="majorHAnsi" w:hAnsiTheme="majorHAnsi"/>
          <w:sz w:val="22"/>
          <w:szCs w:val="22"/>
        </w:rPr>
      </w:pPr>
      <w:r>
        <w:rPr>
          <w:rFonts w:asciiTheme="majorHAnsi" w:hAnsiTheme="majorHAnsi"/>
          <w:sz w:val="22"/>
          <w:szCs w:val="22"/>
        </w:rPr>
        <w:t>Despite her concerns for the family member’s safety and her explicit requests for him to be kept in hospital, her family member was granted leave and subsequently committed suicide. Although the participant asked repeatedly for information about the circumstances of the family member’s care and leave prior to the incident, her requests went unanswered:</w:t>
      </w:r>
    </w:p>
    <w:p w14:paraId="7F108F0A" w14:textId="77777777" w:rsidR="00B63B6C" w:rsidRDefault="00B63B6C" w:rsidP="00B63B6C">
      <w:pPr>
        <w:rPr>
          <w:rFonts w:asciiTheme="majorHAnsi" w:hAnsiTheme="majorHAnsi"/>
          <w:sz w:val="22"/>
          <w:szCs w:val="22"/>
        </w:rPr>
      </w:pPr>
    </w:p>
    <w:p w14:paraId="394C7F0D" w14:textId="77777777" w:rsidR="00B63B6C" w:rsidRDefault="00B63B6C" w:rsidP="00B63B6C">
      <w:pPr>
        <w:ind w:left="720"/>
        <w:rPr>
          <w:rFonts w:asciiTheme="majorHAnsi" w:hAnsiTheme="majorHAnsi"/>
          <w:sz w:val="22"/>
          <w:szCs w:val="22"/>
        </w:rPr>
      </w:pPr>
      <w:r>
        <w:rPr>
          <w:rFonts w:asciiTheme="majorHAnsi" w:hAnsiTheme="majorHAnsi"/>
          <w:sz w:val="22"/>
          <w:szCs w:val="22"/>
        </w:rPr>
        <w:t>‘It was like a wall of secrecy. I felt they didn’t want me to have any information.’</w:t>
      </w:r>
    </w:p>
    <w:p w14:paraId="46B2D87C" w14:textId="77777777" w:rsidR="00B63B6C" w:rsidRDefault="00B63B6C" w:rsidP="00B63B6C">
      <w:pPr>
        <w:rPr>
          <w:rFonts w:asciiTheme="majorHAnsi" w:hAnsiTheme="majorHAnsi"/>
          <w:sz w:val="22"/>
          <w:szCs w:val="22"/>
        </w:rPr>
      </w:pPr>
    </w:p>
    <w:p w14:paraId="5627E0D1" w14:textId="77777777" w:rsidR="00B63B6C" w:rsidRDefault="00B63B6C" w:rsidP="00B63B6C">
      <w:pPr>
        <w:rPr>
          <w:rFonts w:asciiTheme="majorHAnsi" w:hAnsiTheme="majorHAnsi"/>
          <w:sz w:val="22"/>
          <w:szCs w:val="22"/>
        </w:rPr>
      </w:pPr>
      <w:r>
        <w:rPr>
          <w:rFonts w:asciiTheme="majorHAnsi" w:hAnsiTheme="majorHAnsi"/>
          <w:sz w:val="22"/>
          <w:szCs w:val="22"/>
        </w:rPr>
        <w:t>The lack of emotional support following the incident further compounded the participant’s sense of being disregarded as a carer. This was echoed by the other participant who highlighted a lack of emotional support for carers across the board.</w:t>
      </w:r>
    </w:p>
    <w:p w14:paraId="52E88E9C" w14:textId="77777777" w:rsidR="00B63B6C" w:rsidRPr="009E7B06" w:rsidRDefault="00B63B6C" w:rsidP="00B63B6C">
      <w:pPr>
        <w:rPr>
          <w:rFonts w:asciiTheme="majorHAnsi" w:hAnsiTheme="majorHAnsi"/>
          <w:sz w:val="22"/>
          <w:szCs w:val="22"/>
        </w:rPr>
      </w:pPr>
    </w:p>
    <w:p w14:paraId="3EB3EAF6" w14:textId="77777777" w:rsidR="00B63B6C" w:rsidRDefault="00B63B6C" w:rsidP="00B63B6C"/>
    <w:p w14:paraId="19CCC8F2" w14:textId="77777777" w:rsidR="00C9501F" w:rsidRDefault="00C9501F" w:rsidP="00420964"/>
    <w:p w14:paraId="6045AA54" w14:textId="77777777" w:rsidR="00C9501F" w:rsidRDefault="00C9501F" w:rsidP="00420964"/>
    <w:p w14:paraId="6BA43E1E" w14:textId="77777777" w:rsidR="00C9501F" w:rsidRPr="00420964" w:rsidRDefault="00C9501F" w:rsidP="00420964"/>
    <w:sectPr w:rsidR="00C9501F" w:rsidRPr="00420964" w:rsidSect="006376BE">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pgBorders w:display="firstPage">
        <w:top w:val="single" w:sz="48" w:space="1" w:color="4F6228" w:themeColor="accent3" w:themeShade="80"/>
        <w:left w:val="single" w:sz="48" w:space="4" w:color="4F6228" w:themeColor="accent3" w:themeShade="80"/>
        <w:bottom w:val="single" w:sz="48" w:space="1" w:color="4F6228" w:themeColor="accent3" w:themeShade="80"/>
        <w:right w:val="single" w:sz="48" w:space="4" w:color="4F6228" w:themeColor="accent3"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4A9E2" w14:textId="77777777" w:rsidR="00094D38" w:rsidRDefault="00094D38" w:rsidP="006376BE">
      <w:r>
        <w:separator/>
      </w:r>
    </w:p>
  </w:endnote>
  <w:endnote w:type="continuationSeparator" w:id="0">
    <w:p w14:paraId="3FE71534" w14:textId="77777777" w:rsidR="00094D38" w:rsidRDefault="00094D38" w:rsidP="0063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C49F" w14:textId="77777777" w:rsidR="003D0A82" w:rsidRDefault="003D0A82" w:rsidP="002843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ECEF1" w14:textId="77777777" w:rsidR="003D0A82" w:rsidRDefault="003D0A82" w:rsidP="006376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B6D5" w14:textId="19523A5A" w:rsidR="003D0A82" w:rsidRDefault="003D0A82" w:rsidP="002843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451">
      <w:rPr>
        <w:rStyle w:val="PageNumber"/>
        <w:noProof/>
      </w:rPr>
      <w:t>21</w:t>
    </w:r>
    <w:r>
      <w:rPr>
        <w:rStyle w:val="PageNumber"/>
      </w:rPr>
      <w:fldChar w:fldCharType="end"/>
    </w:r>
  </w:p>
  <w:p w14:paraId="39533F2F" w14:textId="77777777" w:rsidR="003D0A82" w:rsidRDefault="003D0A82" w:rsidP="006376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F426" w14:textId="77777777" w:rsidR="006020C6" w:rsidRDefault="0060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888C8" w14:textId="77777777" w:rsidR="00094D38" w:rsidRDefault="00094D38" w:rsidP="006376BE">
      <w:r>
        <w:separator/>
      </w:r>
    </w:p>
  </w:footnote>
  <w:footnote w:type="continuationSeparator" w:id="0">
    <w:p w14:paraId="49CBB4DC" w14:textId="77777777" w:rsidR="00094D38" w:rsidRDefault="00094D38" w:rsidP="006376BE">
      <w:r>
        <w:continuationSeparator/>
      </w:r>
    </w:p>
  </w:footnote>
  <w:footnote w:id="1">
    <w:p w14:paraId="0EABBEB0" w14:textId="5C501E9F" w:rsidR="003D0A82" w:rsidRPr="00FE2109" w:rsidRDefault="003D0A82">
      <w:pPr>
        <w:pStyle w:val="FootnoteText"/>
        <w:rPr>
          <w:sz w:val="20"/>
          <w:szCs w:val="20"/>
          <w:lang w:val="en-US"/>
        </w:rPr>
      </w:pPr>
      <w:r w:rsidRPr="00FE2109">
        <w:rPr>
          <w:rStyle w:val="FootnoteReference"/>
          <w:sz w:val="20"/>
          <w:szCs w:val="20"/>
        </w:rPr>
        <w:footnoteRef/>
      </w:r>
      <w:r w:rsidRPr="00FE2109">
        <w:rPr>
          <w:sz w:val="20"/>
          <w:szCs w:val="20"/>
        </w:rPr>
        <w:t xml:space="preserve"> </w:t>
      </w:r>
      <w:r w:rsidRPr="00FE2109">
        <w:rPr>
          <w:sz w:val="20"/>
          <w:szCs w:val="20"/>
          <w:lang w:val="en-US"/>
        </w:rPr>
        <w:t>This means we collected information from a number different sources in order to increase confidence in the accuracy of our findings and conclusions</w:t>
      </w:r>
    </w:p>
  </w:footnote>
  <w:footnote w:id="2">
    <w:p w14:paraId="29B840E4" w14:textId="2F7FEA7F" w:rsidR="003D0A82" w:rsidRPr="006D24A3" w:rsidRDefault="003D0A82">
      <w:pPr>
        <w:pStyle w:val="FootnoteText"/>
        <w:rPr>
          <w:sz w:val="20"/>
          <w:szCs w:val="20"/>
          <w:lang w:val="en-US"/>
        </w:rPr>
      </w:pPr>
      <w:r w:rsidRPr="006D24A3">
        <w:rPr>
          <w:rStyle w:val="FootnoteReference"/>
          <w:sz w:val="20"/>
          <w:szCs w:val="20"/>
        </w:rPr>
        <w:footnoteRef/>
      </w:r>
      <w:r w:rsidRPr="006D24A3">
        <w:rPr>
          <w:sz w:val="20"/>
          <w:szCs w:val="20"/>
        </w:rPr>
        <w:t xml:space="preserve"> Carers Trust (2013) The Triangle of Care. Carers Included: A Guide to Best Practice in Mental Health Care in England. Second Edition.</w:t>
      </w:r>
    </w:p>
  </w:footnote>
  <w:footnote w:id="3">
    <w:p w14:paraId="4FD9D4B7" w14:textId="20D292AC" w:rsidR="003D0A82" w:rsidRPr="006536E6" w:rsidRDefault="003D0A82" w:rsidP="00E84183">
      <w:pPr>
        <w:pStyle w:val="FootnoteText"/>
        <w:rPr>
          <w:sz w:val="20"/>
          <w:szCs w:val="20"/>
          <w:lang w:val="en-US"/>
        </w:rPr>
      </w:pPr>
      <w:r w:rsidRPr="006536E6">
        <w:rPr>
          <w:rStyle w:val="FootnoteReference"/>
          <w:sz w:val="20"/>
          <w:szCs w:val="20"/>
        </w:rPr>
        <w:footnoteRef/>
      </w:r>
      <w:r w:rsidRPr="006536E6">
        <w:rPr>
          <w:sz w:val="20"/>
          <w:szCs w:val="20"/>
        </w:rPr>
        <w:t xml:space="preserve"> </w:t>
      </w:r>
      <w:r w:rsidRPr="006536E6">
        <w:rPr>
          <w:sz w:val="20"/>
          <w:szCs w:val="20"/>
          <w:lang w:val="en-US"/>
        </w:rPr>
        <w:t>Department of Health (2015) Themes and Lessons Learnt from NHS investigations into matters relating to Jimmy Savile</w:t>
      </w:r>
    </w:p>
    <w:p w14:paraId="2F20E573" w14:textId="0D9CB509" w:rsidR="003D0A82" w:rsidRPr="00E84183" w:rsidRDefault="003D0A8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AF38" w14:textId="0FBCF452" w:rsidR="003D0A82" w:rsidRDefault="003D0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3373" w14:textId="6CF1B516" w:rsidR="003D0A82" w:rsidRDefault="003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8A4F" w14:textId="5EF5B3D8" w:rsidR="003D0A82" w:rsidRDefault="003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1022"/>
    <w:multiLevelType w:val="hybridMultilevel"/>
    <w:tmpl w:val="252A0CB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 w15:restartNumberingAfterBreak="0">
    <w:nsid w:val="154B0B2A"/>
    <w:multiLevelType w:val="hybridMultilevel"/>
    <w:tmpl w:val="6A38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F4175"/>
    <w:multiLevelType w:val="hybridMultilevel"/>
    <w:tmpl w:val="E2708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06BF1"/>
    <w:multiLevelType w:val="hybridMultilevel"/>
    <w:tmpl w:val="8276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A3F70"/>
    <w:multiLevelType w:val="hybridMultilevel"/>
    <w:tmpl w:val="B79C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40143"/>
    <w:multiLevelType w:val="hybridMultilevel"/>
    <w:tmpl w:val="1C08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233A8"/>
    <w:multiLevelType w:val="hybridMultilevel"/>
    <w:tmpl w:val="F45E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D4977"/>
    <w:multiLevelType w:val="hybridMultilevel"/>
    <w:tmpl w:val="05028E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5CDB0CD8"/>
    <w:multiLevelType w:val="hybridMultilevel"/>
    <w:tmpl w:val="29D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97C05"/>
    <w:multiLevelType w:val="hybridMultilevel"/>
    <w:tmpl w:val="543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D5989"/>
    <w:multiLevelType w:val="hybridMultilevel"/>
    <w:tmpl w:val="879C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F7377"/>
    <w:multiLevelType w:val="hybridMultilevel"/>
    <w:tmpl w:val="C404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86502"/>
    <w:multiLevelType w:val="hybridMultilevel"/>
    <w:tmpl w:val="D064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71028"/>
    <w:multiLevelType w:val="hybridMultilevel"/>
    <w:tmpl w:val="284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E5339"/>
    <w:multiLevelType w:val="hybridMultilevel"/>
    <w:tmpl w:val="CD2EF53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3"/>
  </w:num>
  <w:num w:numId="2">
    <w:abstractNumId w:val="6"/>
  </w:num>
  <w:num w:numId="3">
    <w:abstractNumId w:val="10"/>
  </w:num>
  <w:num w:numId="4">
    <w:abstractNumId w:val="8"/>
  </w:num>
  <w:num w:numId="5">
    <w:abstractNumId w:val="12"/>
  </w:num>
  <w:num w:numId="6">
    <w:abstractNumId w:val="7"/>
  </w:num>
  <w:num w:numId="7">
    <w:abstractNumId w:val="11"/>
  </w:num>
  <w:num w:numId="8">
    <w:abstractNumId w:val="5"/>
  </w:num>
  <w:num w:numId="9">
    <w:abstractNumId w:val="2"/>
  </w:num>
  <w:num w:numId="10">
    <w:abstractNumId w:val="9"/>
  </w:num>
  <w:num w:numId="11">
    <w:abstractNumId w:val="1"/>
  </w:num>
  <w:num w:numId="12">
    <w:abstractNumId w:val="14"/>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64"/>
    <w:rsid w:val="0001444F"/>
    <w:rsid w:val="00015E2B"/>
    <w:rsid w:val="00017A28"/>
    <w:rsid w:val="0002068B"/>
    <w:rsid w:val="00020D5D"/>
    <w:rsid w:val="000216D6"/>
    <w:rsid w:val="0003009A"/>
    <w:rsid w:val="00043B16"/>
    <w:rsid w:val="000602D8"/>
    <w:rsid w:val="00066BBB"/>
    <w:rsid w:val="00082B91"/>
    <w:rsid w:val="00084EF7"/>
    <w:rsid w:val="00094D38"/>
    <w:rsid w:val="0009593D"/>
    <w:rsid w:val="000A2125"/>
    <w:rsid w:val="000D6386"/>
    <w:rsid w:val="000F06BE"/>
    <w:rsid w:val="000F3537"/>
    <w:rsid w:val="00100830"/>
    <w:rsid w:val="0010562C"/>
    <w:rsid w:val="0011566B"/>
    <w:rsid w:val="00130EBF"/>
    <w:rsid w:val="00140247"/>
    <w:rsid w:val="00152AE3"/>
    <w:rsid w:val="00166964"/>
    <w:rsid w:val="00173237"/>
    <w:rsid w:val="00186172"/>
    <w:rsid w:val="0018776A"/>
    <w:rsid w:val="001A7367"/>
    <w:rsid w:val="001B0BE6"/>
    <w:rsid w:val="001B6DEE"/>
    <w:rsid w:val="001C5DD0"/>
    <w:rsid w:val="001E09B6"/>
    <w:rsid w:val="001E22A2"/>
    <w:rsid w:val="001E44DC"/>
    <w:rsid w:val="001E4D30"/>
    <w:rsid w:val="001F0590"/>
    <w:rsid w:val="001F5917"/>
    <w:rsid w:val="00202A7A"/>
    <w:rsid w:val="0021018C"/>
    <w:rsid w:val="00227D8B"/>
    <w:rsid w:val="00235DFF"/>
    <w:rsid w:val="00245869"/>
    <w:rsid w:val="00250003"/>
    <w:rsid w:val="00265D00"/>
    <w:rsid w:val="0027659D"/>
    <w:rsid w:val="00277FBE"/>
    <w:rsid w:val="00282805"/>
    <w:rsid w:val="00282874"/>
    <w:rsid w:val="002843AB"/>
    <w:rsid w:val="00297432"/>
    <w:rsid w:val="002A0774"/>
    <w:rsid w:val="002A1602"/>
    <w:rsid w:val="002A1DE7"/>
    <w:rsid w:val="002B5095"/>
    <w:rsid w:val="002D0635"/>
    <w:rsid w:val="002D2B73"/>
    <w:rsid w:val="002E76D9"/>
    <w:rsid w:val="002F33EF"/>
    <w:rsid w:val="002F7EDB"/>
    <w:rsid w:val="00302FB0"/>
    <w:rsid w:val="003128B2"/>
    <w:rsid w:val="003143C1"/>
    <w:rsid w:val="0032018C"/>
    <w:rsid w:val="0032256D"/>
    <w:rsid w:val="003227AD"/>
    <w:rsid w:val="00325381"/>
    <w:rsid w:val="003336F0"/>
    <w:rsid w:val="00352FBB"/>
    <w:rsid w:val="003535D6"/>
    <w:rsid w:val="00353C62"/>
    <w:rsid w:val="0035666E"/>
    <w:rsid w:val="00357E65"/>
    <w:rsid w:val="003640C1"/>
    <w:rsid w:val="00371D3D"/>
    <w:rsid w:val="00372C51"/>
    <w:rsid w:val="0037664D"/>
    <w:rsid w:val="00386AAA"/>
    <w:rsid w:val="00392316"/>
    <w:rsid w:val="00395801"/>
    <w:rsid w:val="00397D29"/>
    <w:rsid w:val="003B4869"/>
    <w:rsid w:val="003B79F3"/>
    <w:rsid w:val="003C1284"/>
    <w:rsid w:val="003C17F0"/>
    <w:rsid w:val="003D0A82"/>
    <w:rsid w:val="003D4D9F"/>
    <w:rsid w:val="003F4ECC"/>
    <w:rsid w:val="00420964"/>
    <w:rsid w:val="00425C91"/>
    <w:rsid w:val="00427303"/>
    <w:rsid w:val="00433BB1"/>
    <w:rsid w:val="00436A88"/>
    <w:rsid w:val="00437776"/>
    <w:rsid w:val="00443748"/>
    <w:rsid w:val="00452FBA"/>
    <w:rsid w:val="00455E64"/>
    <w:rsid w:val="004663DD"/>
    <w:rsid w:val="00466B5A"/>
    <w:rsid w:val="00470345"/>
    <w:rsid w:val="00471174"/>
    <w:rsid w:val="00477798"/>
    <w:rsid w:val="00480815"/>
    <w:rsid w:val="00492BA4"/>
    <w:rsid w:val="00497D80"/>
    <w:rsid w:val="004A18F0"/>
    <w:rsid w:val="004A2F6B"/>
    <w:rsid w:val="004A33DB"/>
    <w:rsid w:val="004A6274"/>
    <w:rsid w:val="004B3C1E"/>
    <w:rsid w:val="004B5238"/>
    <w:rsid w:val="004C0DD6"/>
    <w:rsid w:val="004F355B"/>
    <w:rsid w:val="005050DF"/>
    <w:rsid w:val="0050694F"/>
    <w:rsid w:val="005110D9"/>
    <w:rsid w:val="0051255B"/>
    <w:rsid w:val="00517E7C"/>
    <w:rsid w:val="00525654"/>
    <w:rsid w:val="005272D3"/>
    <w:rsid w:val="0053166D"/>
    <w:rsid w:val="005439D5"/>
    <w:rsid w:val="00551599"/>
    <w:rsid w:val="00561263"/>
    <w:rsid w:val="005707E5"/>
    <w:rsid w:val="005804CD"/>
    <w:rsid w:val="00581142"/>
    <w:rsid w:val="005A546E"/>
    <w:rsid w:val="005C582D"/>
    <w:rsid w:val="005D1DFF"/>
    <w:rsid w:val="005D5B61"/>
    <w:rsid w:val="005E36C6"/>
    <w:rsid w:val="005E7136"/>
    <w:rsid w:val="005F555E"/>
    <w:rsid w:val="006020C6"/>
    <w:rsid w:val="00614FE9"/>
    <w:rsid w:val="00615E6E"/>
    <w:rsid w:val="00620F7E"/>
    <w:rsid w:val="00623CBC"/>
    <w:rsid w:val="00624691"/>
    <w:rsid w:val="006376BE"/>
    <w:rsid w:val="00644CF8"/>
    <w:rsid w:val="006479FD"/>
    <w:rsid w:val="00650F0C"/>
    <w:rsid w:val="006536E6"/>
    <w:rsid w:val="00671FA1"/>
    <w:rsid w:val="00672BAD"/>
    <w:rsid w:val="00680683"/>
    <w:rsid w:val="006826B2"/>
    <w:rsid w:val="0068301F"/>
    <w:rsid w:val="006A323D"/>
    <w:rsid w:val="006A7E04"/>
    <w:rsid w:val="006D1C1B"/>
    <w:rsid w:val="006D24A3"/>
    <w:rsid w:val="006D7675"/>
    <w:rsid w:val="006E79C4"/>
    <w:rsid w:val="006F2A24"/>
    <w:rsid w:val="006F3610"/>
    <w:rsid w:val="006F7CA0"/>
    <w:rsid w:val="006F7E6E"/>
    <w:rsid w:val="00705818"/>
    <w:rsid w:val="007116AD"/>
    <w:rsid w:val="00712579"/>
    <w:rsid w:val="00725C55"/>
    <w:rsid w:val="00726DFF"/>
    <w:rsid w:val="00726FE2"/>
    <w:rsid w:val="00731142"/>
    <w:rsid w:val="00731F6E"/>
    <w:rsid w:val="007367D5"/>
    <w:rsid w:val="00742680"/>
    <w:rsid w:val="007450BE"/>
    <w:rsid w:val="00746700"/>
    <w:rsid w:val="0075073D"/>
    <w:rsid w:val="0075259E"/>
    <w:rsid w:val="00754F7B"/>
    <w:rsid w:val="0075755B"/>
    <w:rsid w:val="00770CA4"/>
    <w:rsid w:val="007717B0"/>
    <w:rsid w:val="00774DC1"/>
    <w:rsid w:val="00774DE6"/>
    <w:rsid w:val="0078207E"/>
    <w:rsid w:val="0079684B"/>
    <w:rsid w:val="00797147"/>
    <w:rsid w:val="00797EB0"/>
    <w:rsid w:val="007B5F32"/>
    <w:rsid w:val="007C1C01"/>
    <w:rsid w:val="007E12B9"/>
    <w:rsid w:val="007E51FB"/>
    <w:rsid w:val="007E731C"/>
    <w:rsid w:val="007E7886"/>
    <w:rsid w:val="0080065A"/>
    <w:rsid w:val="00812480"/>
    <w:rsid w:val="00823208"/>
    <w:rsid w:val="00830763"/>
    <w:rsid w:val="00840F0D"/>
    <w:rsid w:val="00847FFB"/>
    <w:rsid w:val="00856A9E"/>
    <w:rsid w:val="008674E5"/>
    <w:rsid w:val="00876AC5"/>
    <w:rsid w:val="008835A3"/>
    <w:rsid w:val="00887A59"/>
    <w:rsid w:val="00894098"/>
    <w:rsid w:val="008A0A47"/>
    <w:rsid w:val="008A661C"/>
    <w:rsid w:val="008B15BA"/>
    <w:rsid w:val="008B3EB1"/>
    <w:rsid w:val="008B5C92"/>
    <w:rsid w:val="008C6D9D"/>
    <w:rsid w:val="008C715B"/>
    <w:rsid w:val="008E30BE"/>
    <w:rsid w:val="008E3BC2"/>
    <w:rsid w:val="008F16A8"/>
    <w:rsid w:val="0090364A"/>
    <w:rsid w:val="009110AD"/>
    <w:rsid w:val="0091324D"/>
    <w:rsid w:val="009226AF"/>
    <w:rsid w:val="00923D5B"/>
    <w:rsid w:val="00924CE8"/>
    <w:rsid w:val="00926E48"/>
    <w:rsid w:val="009319D8"/>
    <w:rsid w:val="009476BB"/>
    <w:rsid w:val="00970957"/>
    <w:rsid w:val="00974B4D"/>
    <w:rsid w:val="00984617"/>
    <w:rsid w:val="00985F7A"/>
    <w:rsid w:val="009B14B4"/>
    <w:rsid w:val="009C0065"/>
    <w:rsid w:val="009C0813"/>
    <w:rsid w:val="009C3F88"/>
    <w:rsid w:val="009D350F"/>
    <w:rsid w:val="009D6D80"/>
    <w:rsid w:val="009E5432"/>
    <w:rsid w:val="009F27B7"/>
    <w:rsid w:val="009F459D"/>
    <w:rsid w:val="009F71CC"/>
    <w:rsid w:val="00A01690"/>
    <w:rsid w:val="00A021D3"/>
    <w:rsid w:val="00A245FB"/>
    <w:rsid w:val="00A247DC"/>
    <w:rsid w:val="00A33437"/>
    <w:rsid w:val="00A47F48"/>
    <w:rsid w:val="00A53451"/>
    <w:rsid w:val="00A6366B"/>
    <w:rsid w:val="00A71D3A"/>
    <w:rsid w:val="00A87FE8"/>
    <w:rsid w:val="00A92A4B"/>
    <w:rsid w:val="00A978BE"/>
    <w:rsid w:val="00AA3FFB"/>
    <w:rsid w:val="00AB0664"/>
    <w:rsid w:val="00AB1D65"/>
    <w:rsid w:val="00AB7EAB"/>
    <w:rsid w:val="00AD7A7C"/>
    <w:rsid w:val="00AE4747"/>
    <w:rsid w:val="00B05D45"/>
    <w:rsid w:val="00B12FE1"/>
    <w:rsid w:val="00B21699"/>
    <w:rsid w:val="00B25127"/>
    <w:rsid w:val="00B43C5B"/>
    <w:rsid w:val="00B44B7B"/>
    <w:rsid w:val="00B44D70"/>
    <w:rsid w:val="00B628E4"/>
    <w:rsid w:val="00B63B6C"/>
    <w:rsid w:val="00B94A27"/>
    <w:rsid w:val="00BA0652"/>
    <w:rsid w:val="00BA19EC"/>
    <w:rsid w:val="00BA4165"/>
    <w:rsid w:val="00BB0CB7"/>
    <w:rsid w:val="00BB4B5B"/>
    <w:rsid w:val="00BC233D"/>
    <w:rsid w:val="00BC2AB5"/>
    <w:rsid w:val="00BF0F98"/>
    <w:rsid w:val="00C044F5"/>
    <w:rsid w:val="00C076E5"/>
    <w:rsid w:val="00C13650"/>
    <w:rsid w:val="00C14292"/>
    <w:rsid w:val="00C16B6C"/>
    <w:rsid w:val="00C24E9F"/>
    <w:rsid w:val="00C32E00"/>
    <w:rsid w:val="00C35336"/>
    <w:rsid w:val="00C46DC4"/>
    <w:rsid w:val="00C47C86"/>
    <w:rsid w:val="00C47DFA"/>
    <w:rsid w:val="00C51FB1"/>
    <w:rsid w:val="00C56B74"/>
    <w:rsid w:val="00C640E5"/>
    <w:rsid w:val="00C75F29"/>
    <w:rsid w:val="00C82121"/>
    <w:rsid w:val="00C926BE"/>
    <w:rsid w:val="00C9501F"/>
    <w:rsid w:val="00CB2E6B"/>
    <w:rsid w:val="00CB54A8"/>
    <w:rsid w:val="00CB734E"/>
    <w:rsid w:val="00CD340F"/>
    <w:rsid w:val="00CD5B02"/>
    <w:rsid w:val="00CD5EBF"/>
    <w:rsid w:val="00CE0974"/>
    <w:rsid w:val="00CE7B22"/>
    <w:rsid w:val="00CF05D9"/>
    <w:rsid w:val="00CF1919"/>
    <w:rsid w:val="00CF2F76"/>
    <w:rsid w:val="00D0477B"/>
    <w:rsid w:val="00D06913"/>
    <w:rsid w:val="00D13129"/>
    <w:rsid w:val="00D341D9"/>
    <w:rsid w:val="00D40573"/>
    <w:rsid w:val="00D41074"/>
    <w:rsid w:val="00D418B7"/>
    <w:rsid w:val="00D445E1"/>
    <w:rsid w:val="00D77101"/>
    <w:rsid w:val="00D77EC4"/>
    <w:rsid w:val="00D8009C"/>
    <w:rsid w:val="00D839C7"/>
    <w:rsid w:val="00D86FF7"/>
    <w:rsid w:val="00DA2EA0"/>
    <w:rsid w:val="00DC1B3F"/>
    <w:rsid w:val="00DC29BF"/>
    <w:rsid w:val="00DC2DEE"/>
    <w:rsid w:val="00DF425D"/>
    <w:rsid w:val="00E03871"/>
    <w:rsid w:val="00E06B02"/>
    <w:rsid w:val="00E12CCB"/>
    <w:rsid w:val="00E20EF5"/>
    <w:rsid w:val="00E24790"/>
    <w:rsid w:val="00E3371A"/>
    <w:rsid w:val="00E35836"/>
    <w:rsid w:val="00E541B4"/>
    <w:rsid w:val="00E54D01"/>
    <w:rsid w:val="00E56249"/>
    <w:rsid w:val="00E650D6"/>
    <w:rsid w:val="00E66282"/>
    <w:rsid w:val="00E768DE"/>
    <w:rsid w:val="00E84183"/>
    <w:rsid w:val="00E85E11"/>
    <w:rsid w:val="00E86905"/>
    <w:rsid w:val="00E92426"/>
    <w:rsid w:val="00E94B1F"/>
    <w:rsid w:val="00EA0A29"/>
    <w:rsid w:val="00EC17D7"/>
    <w:rsid w:val="00EC6D3E"/>
    <w:rsid w:val="00EC7947"/>
    <w:rsid w:val="00ED358E"/>
    <w:rsid w:val="00EE1480"/>
    <w:rsid w:val="00F05D95"/>
    <w:rsid w:val="00F16F62"/>
    <w:rsid w:val="00F17015"/>
    <w:rsid w:val="00F21B4D"/>
    <w:rsid w:val="00F2780B"/>
    <w:rsid w:val="00F43708"/>
    <w:rsid w:val="00F510C8"/>
    <w:rsid w:val="00F55BF5"/>
    <w:rsid w:val="00F57C0E"/>
    <w:rsid w:val="00F61229"/>
    <w:rsid w:val="00F708D7"/>
    <w:rsid w:val="00F7242D"/>
    <w:rsid w:val="00F73BEA"/>
    <w:rsid w:val="00F82C10"/>
    <w:rsid w:val="00F82FE4"/>
    <w:rsid w:val="00F8732F"/>
    <w:rsid w:val="00F9110C"/>
    <w:rsid w:val="00F93C10"/>
    <w:rsid w:val="00FB1E0E"/>
    <w:rsid w:val="00FB1E18"/>
    <w:rsid w:val="00FB5279"/>
    <w:rsid w:val="00FC54C2"/>
    <w:rsid w:val="00FC6C9E"/>
    <w:rsid w:val="00FD378C"/>
    <w:rsid w:val="00FD5B2B"/>
    <w:rsid w:val="00FD5C80"/>
    <w:rsid w:val="00FE2109"/>
    <w:rsid w:val="00FE2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8D15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0964"/>
    <w:rPr>
      <w:lang w:val="en-GB"/>
    </w:rPr>
  </w:style>
  <w:style w:type="paragraph" w:styleId="Heading1">
    <w:name w:val="heading 1"/>
    <w:basedOn w:val="Normal"/>
    <w:next w:val="Normal"/>
    <w:link w:val="Heading1Char"/>
    <w:uiPriority w:val="9"/>
    <w:qFormat/>
    <w:rsid w:val="00B63B6C"/>
    <w:pPr>
      <w:keepNext/>
      <w:keepLines/>
      <w:spacing w:before="480"/>
      <w:outlineLvl w:val="0"/>
    </w:pPr>
    <w:rPr>
      <w:rFonts w:ascii="Arial" w:eastAsiaTheme="majorEastAsia" w:hAnsi="Arial" w:cs="Arial"/>
      <w:b/>
      <w:bCs/>
      <w:color w:val="345A8A" w:themeColor="accent1" w:themeShade="B5"/>
      <w:sz w:val="28"/>
      <w:szCs w:val="22"/>
    </w:rPr>
  </w:style>
  <w:style w:type="paragraph" w:styleId="Heading2">
    <w:name w:val="heading 2"/>
    <w:basedOn w:val="Normal"/>
    <w:next w:val="Normal"/>
    <w:link w:val="Heading2Char"/>
    <w:uiPriority w:val="9"/>
    <w:unhideWhenUsed/>
    <w:qFormat/>
    <w:rsid w:val="00B63B6C"/>
    <w:pPr>
      <w:keepNext/>
      <w:keepLines/>
      <w:spacing w:before="200"/>
      <w:outlineLvl w:val="1"/>
    </w:pPr>
    <w:rPr>
      <w:rFonts w:ascii="Arial" w:eastAsiaTheme="majorEastAsia" w:hAnsi="Arial" w:cstheme="majorBidi"/>
      <w:b/>
      <w:bCs/>
      <w:color w:val="4F81BD" w:themeColor="accen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9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964"/>
    <w:rPr>
      <w:rFonts w:ascii="Lucida Grande" w:hAnsi="Lucida Grande" w:cs="Lucida Grande"/>
      <w:sz w:val="18"/>
      <w:szCs w:val="18"/>
    </w:rPr>
  </w:style>
  <w:style w:type="table" w:styleId="TableGrid">
    <w:name w:val="Table Grid"/>
    <w:basedOn w:val="TableNormal"/>
    <w:uiPriority w:val="59"/>
    <w:rsid w:val="00420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579"/>
    <w:pPr>
      <w:ind w:left="720"/>
      <w:contextualSpacing/>
    </w:pPr>
  </w:style>
  <w:style w:type="paragraph" w:styleId="Footer">
    <w:name w:val="footer"/>
    <w:basedOn w:val="Normal"/>
    <w:link w:val="FooterChar"/>
    <w:uiPriority w:val="99"/>
    <w:unhideWhenUsed/>
    <w:rsid w:val="006376BE"/>
    <w:pPr>
      <w:tabs>
        <w:tab w:val="center" w:pos="4320"/>
        <w:tab w:val="right" w:pos="8640"/>
      </w:tabs>
    </w:pPr>
  </w:style>
  <w:style w:type="character" w:customStyle="1" w:styleId="FooterChar">
    <w:name w:val="Footer Char"/>
    <w:basedOn w:val="DefaultParagraphFont"/>
    <w:link w:val="Footer"/>
    <w:uiPriority w:val="99"/>
    <w:rsid w:val="006376BE"/>
    <w:rPr>
      <w:lang w:val="en-GB"/>
    </w:rPr>
  </w:style>
  <w:style w:type="character" w:styleId="PageNumber">
    <w:name w:val="page number"/>
    <w:basedOn w:val="DefaultParagraphFont"/>
    <w:uiPriority w:val="99"/>
    <w:semiHidden/>
    <w:unhideWhenUsed/>
    <w:rsid w:val="006376BE"/>
  </w:style>
  <w:style w:type="paragraph" w:styleId="Header">
    <w:name w:val="header"/>
    <w:basedOn w:val="Normal"/>
    <w:link w:val="HeaderChar"/>
    <w:uiPriority w:val="99"/>
    <w:unhideWhenUsed/>
    <w:rsid w:val="00C14292"/>
    <w:pPr>
      <w:tabs>
        <w:tab w:val="center" w:pos="4320"/>
        <w:tab w:val="right" w:pos="8640"/>
      </w:tabs>
    </w:pPr>
  </w:style>
  <w:style w:type="character" w:customStyle="1" w:styleId="HeaderChar">
    <w:name w:val="Header Char"/>
    <w:basedOn w:val="DefaultParagraphFont"/>
    <w:link w:val="Header"/>
    <w:uiPriority w:val="99"/>
    <w:rsid w:val="00C14292"/>
    <w:rPr>
      <w:lang w:val="en-GB"/>
    </w:rPr>
  </w:style>
  <w:style w:type="character" w:styleId="PlaceholderText">
    <w:name w:val="Placeholder Text"/>
    <w:basedOn w:val="DefaultParagraphFont"/>
    <w:uiPriority w:val="99"/>
    <w:semiHidden/>
    <w:rsid w:val="00620F7E"/>
    <w:rPr>
      <w:color w:val="808080"/>
    </w:rPr>
  </w:style>
  <w:style w:type="paragraph" w:styleId="FootnoteText">
    <w:name w:val="footnote text"/>
    <w:basedOn w:val="Normal"/>
    <w:link w:val="FootnoteTextChar"/>
    <w:uiPriority w:val="99"/>
    <w:unhideWhenUsed/>
    <w:rsid w:val="00974B4D"/>
  </w:style>
  <w:style w:type="character" w:customStyle="1" w:styleId="FootnoteTextChar">
    <w:name w:val="Footnote Text Char"/>
    <w:basedOn w:val="DefaultParagraphFont"/>
    <w:link w:val="FootnoteText"/>
    <w:uiPriority w:val="99"/>
    <w:rsid w:val="00974B4D"/>
    <w:rPr>
      <w:lang w:val="en-GB"/>
    </w:rPr>
  </w:style>
  <w:style w:type="character" w:styleId="FootnoteReference">
    <w:name w:val="footnote reference"/>
    <w:basedOn w:val="DefaultParagraphFont"/>
    <w:uiPriority w:val="99"/>
    <w:unhideWhenUsed/>
    <w:rsid w:val="00974B4D"/>
    <w:rPr>
      <w:vertAlign w:val="superscript"/>
    </w:rPr>
  </w:style>
  <w:style w:type="character" w:customStyle="1" w:styleId="Heading1Char">
    <w:name w:val="Heading 1 Char"/>
    <w:basedOn w:val="DefaultParagraphFont"/>
    <w:link w:val="Heading1"/>
    <w:uiPriority w:val="9"/>
    <w:rsid w:val="00B63B6C"/>
    <w:rPr>
      <w:rFonts w:ascii="Arial" w:eastAsiaTheme="majorEastAsia" w:hAnsi="Arial" w:cs="Arial"/>
      <w:b/>
      <w:bCs/>
      <w:color w:val="345A8A" w:themeColor="accent1" w:themeShade="B5"/>
      <w:sz w:val="28"/>
      <w:szCs w:val="22"/>
      <w:lang w:val="en-GB"/>
    </w:rPr>
  </w:style>
  <w:style w:type="character" w:customStyle="1" w:styleId="Heading2Char">
    <w:name w:val="Heading 2 Char"/>
    <w:basedOn w:val="DefaultParagraphFont"/>
    <w:link w:val="Heading2"/>
    <w:uiPriority w:val="9"/>
    <w:rsid w:val="00B63B6C"/>
    <w:rPr>
      <w:rFonts w:ascii="Arial" w:eastAsiaTheme="majorEastAsia" w:hAnsi="Arial" w:cstheme="majorBidi"/>
      <w:b/>
      <w:bCs/>
      <w:color w:val="4F81BD" w:themeColor="accent1"/>
      <w:szCs w:val="26"/>
    </w:rPr>
  </w:style>
  <w:style w:type="table" w:styleId="LightList-Accent3">
    <w:name w:val="Light List Accent 3"/>
    <w:basedOn w:val="TableNormal"/>
    <w:uiPriority w:val="61"/>
    <w:rsid w:val="00B63B6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38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0A5A-EC2D-4645-8386-CCFC8836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12791</Words>
  <Characters>72914</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Dr Anne Aiyegbusi Consulting</Company>
  <LinksUpToDate>false</LinksUpToDate>
  <CharactersWithSpaces>85534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Aiyegbusi</dc:creator>
  <cp:keywords/>
  <dc:description/>
  <cp:lastModifiedBy>Kelly Whiting</cp:lastModifiedBy>
  <cp:revision>2</cp:revision>
  <cp:lastPrinted>2018-03-01T10:06:00Z</cp:lastPrinted>
  <dcterms:created xsi:type="dcterms:W3CDTF">2019-02-28T09:13:00Z</dcterms:created>
  <dcterms:modified xsi:type="dcterms:W3CDTF">2019-02-28T09:13:00Z</dcterms:modified>
</cp:coreProperties>
</file>