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77706" w14:textId="77777777" w:rsidR="004A590D" w:rsidRDefault="004A590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387985</wp:posOffset>
                </wp:positionV>
                <wp:extent cx="5477510" cy="1404620"/>
                <wp:effectExtent l="0" t="0" r="2794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5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29E20" w14:textId="77777777" w:rsidR="004A590D" w:rsidRPr="004A590D" w:rsidRDefault="004A590D" w:rsidP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title:</w:t>
                            </w:r>
                          </w:p>
                          <w:p w14:paraId="627917E6" w14:textId="6692FB24" w:rsidR="004A590D" w:rsidRPr="004A590D" w:rsidRDefault="00A519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GRASP-AF GP Database Software</w:t>
                            </w:r>
                            <w:r w:rsidR="001E4807">
                              <w:rPr>
                                <w:sz w:val="24"/>
                                <w:szCs w:val="24"/>
                              </w:rPr>
                              <w:t xml:space="preserve"> Tool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0.55pt;width:431.3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">
                <v:textbox style="mso-fit-shape-to-text:t">
                  <w:txbxContent>
                    <w:p w14:paraId="3F029E20" w14:textId="77777777" w:rsidR="004A590D" w:rsidRPr="004A590D" w:rsidRDefault="004A590D" w:rsidP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title:</w:t>
                      </w:r>
                    </w:p>
                    <w:p w14:paraId="627917E6" w14:textId="6692FB24" w:rsidR="004A590D" w:rsidRPr="004A590D" w:rsidRDefault="00A519C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GRASP-AF GP Database Software</w:t>
                      </w:r>
                      <w:r w:rsidR="001E4807">
                        <w:rPr>
                          <w:sz w:val="24"/>
                          <w:szCs w:val="24"/>
                        </w:rPr>
                        <w:t xml:space="preserve"> Tool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96D06F" w14:textId="24E3FC96" w:rsidR="004A590D" w:rsidRDefault="009D7B9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editId="6A7EA36A">
                <wp:simplePos x="0" y="0"/>
                <wp:positionH relativeFrom="margin">
                  <wp:posOffset>0</wp:posOffset>
                </wp:positionH>
                <wp:positionV relativeFrom="paragraph">
                  <wp:posOffset>6778625</wp:posOffset>
                </wp:positionV>
                <wp:extent cx="5492750" cy="1404620"/>
                <wp:effectExtent l="0" t="0" r="12700" b="133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F331A" w14:textId="77777777" w:rsidR="004A590D" w:rsidRP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Cost:</w:t>
                            </w:r>
                          </w:p>
                          <w:p w14:paraId="600858B7" w14:textId="4DF7F877" w:rsidR="004A590D" w:rsidRPr="00AD5B94" w:rsidRDefault="0051557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15576">
                              <w:rPr>
                                <w:sz w:val="24"/>
                                <w:szCs w:val="24"/>
                              </w:rPr>
                              <w:t>The GRASP-AF quality improvement tool is freely available to all PRIMIS Hub members within England.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533.75pt;width:432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">
                <v:textbox style="mso-fit-shape-to-text:t">
                  <w:txbxContent>
                    <w:p w14:paraId="576F331A" w14:textId="77777777" w:rsidR="004A590D" w:rsidRP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Cost:</w:t>
                      </w:r>
                    </w:p>
                    <w:p w14:paraId="600858B7" w14:textId="4DF7F877" w:rsidR="004A590D" w:rsidRPr="00AD5B94" w:rsidRDefault="00515576">
                      <w:pPr>
                        <w:rPr>
                          <w:sz w:val="24"/>
                          <w:szCs w:val="24"/>
                        </w:rPr>
                      </w:pPr>
                      <w:r w:rsidRPr="00515576">
                        <w:rPr>
                          <w:sz w:val="24"/>
                          <w:szCs w:val="24"/>
                        </w:rPr>
                        <w:t>The GRASP-AF quality improvement tool is freely available to all PRIMIS Hub members within England.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editId="595DC3B5">
                <wp:simplePos x="0" y="0"/>
                <wp:positionH relativeFrom="margin">
                  <wp:align>left</wp:align>
                </wp:positionH>
                <wp:positionV relativeFrom="paragraph">
                  <wp:posOffset>3550285</wp:posOffset>
                </wp:positionV>
                <wp:extent cx="5454650" cy="3057525"/>
                <wp:effectExtent l="0" t="0" r="1270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FB4E8" w14:textId="77777777" w:rsidR="00AD5B94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Outcomes:     </w:t>
                            </w:r>
                          </w:p>
                          <w:p w14:paraId="1F0CDD12" w14:textId="6A1709DC" w:rsidR="005E4991" w:rsidRDefault="009D7B94" w:rsidP="009D7B94">
                            <w:r w:rsidRPr="009D7B94">
                              <w:rPr>
                                <w:b/>
                              </w:rPr>
                              <w:t>Luton CCG</w:t>
                            </w:r>
                            <w:r>
                              <w:t xml:space="preserve">: </w:t>
                            </w:r>
                            <w:r>
                              <w:t>overall in the CCG, prevalence of AF rose to 1.11% (an increase of 23%) – in real terms this means 307 patients were newly diagnosed with AF or coded appropriately</w:t>
                            </w:r>
                          </w:p>
                          <w:p w14:paraId="10E22D9E" w14:textId="09EC9961" w:rsidR="009D7B94" w:rsidRDefault="009D7B94" w:rsidP="009D7B94">
                            <w:r w:rsidRPr="009D7B94">
                              <w:rPr>
                                <w:b/>
                              </w:rPr>
                              <w:t>Blackpool CCG</w:t>
                            </w:r>
                            <w:r>
                              <w:t xml:space="preserve">: </w:t>
                            </w:r>
                            <w:r>
                              <w:t>214 new cases of AF identified (an increase of 8% in register size). These new cases equate to a jump from 7.7% to 8.3% prevalence in the over 65s and a rise in overall prevalence from 1.6% to 1.75%</w:t>
                            </w:r>
                          </w:p>
                          <w:p w14:paraId="54C4CE1E" w14:textId="52A29738" w:rsidR="009D7B94" w:rsidRDefault="009D7B94" w:rsidP="009D7B94">
                            <w:r w:rsidRPr="009D7B94">
                              <w:rPr>
                                <w:b/>
                              </w:rPr>
                              <w:t>West Hampshire CCG: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2,000 additional patients are now receiving OAC therapy and fewer high-risk patients are prescribed antiplatelet monotherapy</w:t>
                            </w:r>
                          </w:p>
                          <w:p w14:paraId="4290136A" w14:textId="0A44096B" w:rsidR="009D7B94" w:rsidRPr="009D7B94" w:rsidRDefault="009D7B94" w:rsidP="009D7B94">
                            <w:r>
                              <w:rPr>
                                <w:b/>
                              </w:rPr>
                              <w:t xml:space="preserve">Nene CCG: </w:t>
                            </w:r>
                            <w:r>
                              <w:t>553 relevant patients were reviewed in the CGG initiative. Of these patients: 66% were prescribed treatment with an anticoagulant. This meant an additional 365 high-risk AF patients commenced anticoagulation. Overall this resulted in a predicted stroke admission reduction within the CCG (projected to be a 5% annual reduction in strokes across the CCG compared with previous year-on-year increases)</w:t>
                            </w:r>
                          </w:p>
                          <w:p w14:paraId="30DA6D5E" w14:textId="77777777" w:rsidR="009D7B94" w:rsidRDefault="009D7B94" w:rsidP="009D7B94"/>
                          <w:p w14:paraId="5D75867C" w14:textId="77777777" w:rsidR="009D7B94" w:rsidRPr="00117279" w:rsidRDefault="009D7B94" w:rsidP="009D7B94"/>
                          <w:p w14:paraId="7F8C0411" w14:textId="16B45425" w:rsidR="004A590D" w:rsidRP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279.55pt;width:429.5pt;height:240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">
                <v:textbox>
                  <w:txbxContent>
                    <w:p w14:paraId="32BFB4E8" w14:textId="77777777" w:rsidR="00AD5B94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 xml:space="preserve">Outcomes:     </w:t>
                      </w:r>
                    </w:p>
                    <w:p w14:paraId="1F0CDD12" w14:textId="6A1709DC" w:rsidR="005E4991" w:rsidRDefault="009D7B94" w:rsidP="009D7B94">
                      <w:r w:rsidRPr="009D7B94">
                        <w:rPr>
                          <w:b/>
                        </w:rPr>
                        <w:t>Luton CCG</w:t>
                      </w:r>
                      <w:r>
                        <w:t xml:space="preserve">: </w:t>
                      </w:r>
                      <w:r>
                        <w:t>overall in the CCG, prevalence of AF rose to 1.11% (an increase of 23%) – in real terms this means 307 patients were newly diagnosed with AF or coded appropriately</w:t>
                      </w:r>
                    </w:p>
                    <w:p w14:paraId="10E22D9E" w14:textId="09EC9961" w:rsidR="009D7B94" w:rsidRDefault="009D7B94" w:rsidP="009D7B94">
                      <w:r w:rsidRPr="009D7B94">
                        <w:rPr>
                          <w:b/>
                        </w:rPr>
                        <w:t>Blackpool CCG</w:t>
                      </w:r>
                      <w:r>
                        <w:t xml:space="preserve">: </w:t>
                      </w:r>
                      <w:r>
                        <w:t>214 new cases of AF identified (an increase of 8% in register size). These new cases equate to a jump from 7.7% to 8.3% prevalence in the over 65s and a rise in overall prevalence from 1.6% to 1.75%</w:t>
                      </w:r>
                    </w:p>
                    <w:p w14:paraId="54C4CE1E" w14:textId="52A29738" w:rsidR="009D7B94" w:rsidRDefault="009D7B94" w:rsidP="009D7B94">
                      <w:r w:rsidRPr="009D7B94">
                        <w:rPr>
                          <w:b/>
                        </w:rPr>
                        <w:t>West Hampshire CCG: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2,000 additional patients are now receiving OAC therapy and fewer high-risk patients are prescribed antiplatelet monotherapy</w:t>
                      </w:r>
                    </w:p>
                    <w:p w14:paraId="4290136A" w14:textId="0A44096B" w:rsidR="009D7B94" w:rsidRPr="009D7B94" w:rsidRDefault="009D7B94" w:rsidP="009D7B94">
                      <w:r>
                        <w:rPr>
                          <w:b/>
                        </w:rPr>
                        <w:t xml:space="preserve">Nene CCG: </w:t>
                      </w:r>
                      <w:r>
                        <w:t>553 relevant patients were reviewed in the CGG initiative. Of these patients: 66% were prescribed treatment with an anticoagulant. This meant an additional 365 high-risk AF patients commenced anticoagulation. Overall this resulted in a predicted stroke admission reduction within the CCG (projected to be a 5% annual reduction in strokes across the CCG compared with previous year-on-year increases)</w:t>
                      </w:r>
                    </w:p>
                    <w:p w14:paraId="30DA6D5E" w14:textId="77777777" w:rsidR="009D7B94" w:rsidRDefault="009D7B94" w:rsidP="009D7B94"/>
                    <w:p w14:paraId="5D75867C" w14:textId="77777777" w:rsidR="009D7B94" w:rsidRPr="00117279" w:rsidRDefault="009D7B94" w:rsidP="009D7B94"/>
                    <w:p w14:paraId="7F8C0411" w14:textId="16B45425" w:rsidR="004A590D" w:rsidRP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 xml:space="preserve">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54A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editId="7ED5DF2B">
                <wp:simplePos x="0" y="0"/>
                <wp:positionH relativeFrom="column">
                  <wp:posOffset>38100</wp:posOffset>
                </wp:positionH>
                <wp:positionV relativeFrom="paragraph">
                  <wp:posOffset>1143000</wp:posOffset>
                </wp:positionV>
                <wp:extent cx="5416550" cy="2266950"/>
                <wp:effectExtent l="0" t="0" r="1270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EA37A" w14:textId="77777777" w:rsid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aims:</w:t>
                            </w:r>
                          </w:p>
                          <w:p w14:paraId="7E326299" w14:textId="4664A45D" w:rsidR="004A590D" w:rsidRPr="00D954A5" w:rsidRDefault="00D954A5" w:rsidP="00D954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Use the AF case</w:t>
                            </w:r>
                            <w:r w:rsidR="00D70841"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t>finder to identify patients who may have a missing diagnosis of atrial fibrillation (AF)</w:t>
                            </w:r>
                          </w:p>
                          <w:p w14:paraId="12558CF0" w14:textId="4491A9AE" w:rsidR="00D954A5" w:rsidRPr="00D954A5" w:rsidRDefault="00D954A5" w:rsidP="00D954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Identify patients with a CHA2DS2- </w:t>
                            </w:r>
                            <w:proofErr w:type="spellStart"/>
                            <w:r>
                              <w:t>VASc</w:t>
                            </w:r>
                            <w:proofErr w:type="spellEnd"/>
                            <w:r>
                              <w:t xml:space="preserve"> score of </w:t>
                            </w:r>
                            <w:r>
                              <w:t>1</w:t>
                            </w:r>
                            <w:r>
                              <w:t xml:space="preserve"> who are not on an oral anti-coagulant</w:t>
                            </w:r>
                          </w:p>
                          <w:p w14:paraId="379DA597" w14:textId="7A5B3F4A" w:rsidR="00D954A5" w:rsidRPr="001E4807" w:rsidRDefault="00D954A5" w:rsidP="00D954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Identify patients with a CHA2DS2- </w:t>
                            </w:r>
                            <w:proofErr w:type="spellStart"/>
                            <w:r>
                              <w:t>VASc</w:t>
                            </w:r>
                            <w:proofErr w:type="spellEnd"/>
                            <w:r>
                              <w:t xml:space="preserve"> score of 2 or more who are not on an oral anti-coagulant</w:t>
                            </w:r>
                          </w:p>
                          <w:p w14:paraId="1997F72A" w14:textId="37ED1FF5" w:rsidR="001E4807" w:rsidRPr="001E4807" w:rsidRDefault="001E4807" w:rsidP="00D954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Ensure all patients with AF have a CHA2DS2-VASc score recorded regularly and an annual review</w:t>
                            </w:r>
                          </w:p>
                          <w:p w14:paraId="1EEFDB30" w14:textId="2C9D3FF6" w:rsidR="001E4807" w:rsidRPr="00D954A5" w:rsidRDefault="001E4807" w:rsidP="00D954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Upload data to CHART Online for benchmarking and comparison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pt;margin-top:90pt;width:426.5pt;height:17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">
                <v:textbox>
                  <w:txbxContent>
                    <w:p w14:paraId="3EDEA37A" w14:textId="77777777" w:rsid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aims:</w:t>
                      </w:r>
                    </w:p>
                    <w:p w14:paraId="7E326299" w14:textId="4664A45D" w:rsidR="004A590D" w:rsidRPr="00D954A5" w:rsidRDefault="00D954A5" w:rsidP="00D954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t>Use the AF case</w:t>
                      </w:r>
                      <w:r w:rsidR="00D70841">
                        <w:t xml:space="preserve"> </w:t>
                      </w:r>
                      <w:bookmarkStart w:id="1" w:name="_GoBack"/>
                      <w:bookmarkEnd w:id="1"/>
                      <w:r>
                        <w:t>finder to identify patients who may have a missing diagnosis of atrial fibrillation (AF)</w:t>
                      </w:r>
                    </w:p>
                    <w:p w14:paraId="12558CF0" w14:textId="4491A9AE" w:rsidR="00D954A5" w:rsidRPr="00D954A5" w:rsidRDefault="00D954A5" w:rsidP="00D954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t xml:space="preserve">Identify patients with a CHA2DS2- </w:t>
                      </w:r>
                      <w:proofErr w:type="spellStart"/>
                      <w:r>
                        <w:t>VASc</w:t>
                      </w:r>
                      <w:proofErr w:type="spellEnd"/>
                      <w:r>
                        <w:t xml:space="preserve"> score of </w:t>
                      </w:r>
                      <w:r>
                        <w:t>1</w:t>
                      </w:r>
                      <w:r>
                        <w:t xml:space="preserve"> who are not on an oral anti-coagulant</w:t>
                      </w:r>
                    </w:p>
                    <w:p w14:paraId="379DA597" w14:textId="7A5B3F4A" w:rsidR="00D954A5" w:rsidRPr="001E4807" w:rsidRDefault="00D954A5" w:rsidP="00D954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t xml:space="preserve">Identify patients with a CHA2DS2- </w:t>
                      </w:r>
                      <w:proofErr w:type="spellStart"/>
                      <w:r>
                        <w:t>VASc</w:t>
                      </w:r>
                      <w:proofErr w:type="spellEnd"/>
                      <w:r>
                        <w:t xml:space="preserve"> score of 2 or more who are not on an oral anti-coagulant</w:t>
                      </w:r>
                    </w:p>
                    <w:p w14:paraId="1997F72A" w14:textId="37ED1FF5" w:rsidR="001E4807" w:rsidRPr="001E4807" w:rsidRDefault="001E4807" w:rsidP="00D954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t>Ensure all patients with AF have a CHA2DS2-VASc score recorded regularly and an annual review</w:t>
                      </w:r>
                    </w:p>
                    <w:p w14:paraId="1EEFDB30" w14:textId="2C9D3FF6" w:rsidR="001E4807" w:rsidRPr="00D954A5" w:rsidRDefault="001E4807" w:rsidP="00D954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t>Upload data to CHART Online for benchmarking and comparison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A5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C16D7"/>
    <w:multiLevelType w:val="hybridMultilevel"/>
    <w:tmpl w:val="D63E87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0D"/>
    <w:rsid w:val="00117279"/>
    <w:rsid w:val="001A7ED5"/>
    <w:rsid w:val="001E4807"/>
    <w:rsid w:val="004110EE"/>
    <w:rsid w:val="00467D9A"/>
    <w:rsid w:val="004A590D"/>
    <w:rsid w:val="00515576"/>
    <w:rsid w:val="005E4991"/>
    <w:rsid w:val="00675C78"/>
    <w:rsid w:val="008523D0"/>
    <w:rsid w:val="008540E6"/>
    <w:rsid w:val="008A2009"/>
    <w:rsid w:val="00977C33"/>
    <w:rsid w:val="009D7B94"/>
    <w:rsid w:val="00A519CC"/>
    <w:rsid w:val="00AD5B94"/>
    <w:rsid w:val="00BF5C2C"/>
    <w:rsid w:val="00CD7320"/>
    <w:rsid w:val="00D70841"/>
    <w:rsid w:val="00D954A5"/>
    <w:rsid w:val="00DE636C"/>
    <w:rsid w:val="00E46C65"/>
    <w:rsid w:val="00EC3D02"/>
    <w:rsid w:val="00FC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D445C"/>
  <w15:chartTrackingRefBased/>
  <w15:docId w15:val="{6B54DB56-D575-496A-A63B-4846FAFE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186003A03CD40B3A610C9BC57CA65" ma:contentTypeVersion="10" ma:contentTypeDescription="Create a new document." ma:contentTypeScope="" ma:versionID="1caa22485ce72e5be85845cbc8cf289e">
  <xsd:schema xmlns:xsd="http://www.w3.org/2001/XMLSchema" xmlns:xs="http://www.w3.org/2001/XMLSchema" xmlns:p="http://schemas.microsoft.com/office/2006/metadata/properties" xmlns:ns2="a3e8a4da-d3d7-4ced-984a-b0cae2f5c114" xmlns:ns3="70a8c163-9edb-4c90-b199-1456d4b92c98" targetNamespace="http://schemas.microsoft.com/office/2006/metadata/properties" ma:root="true" ma:fieldsID="cf0e47c292e11d61404fd78db48ffeb4" ns2:_="" ns3:_="">
    <xsd:import namespace="a3e8a4da-d3d7-4ced-984a-b0cae2f5c114"/>
    <xsd:import namespace="70a8c163-9edb-4c90-b199-1456d4b92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8a4da-d3d7-4ced-984a-b0cae2f5c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c163-9edb-4c90-b199-1456d4b92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CBD344-0E72-4AF1-B70C-B3EA60C84D8A}"/>
</file>

<file path=customXml/itemProps2.xml><?xml version="1.0" encoding="utf-8"?>
<ds:datastoreItem xmlns:ds="http://schemas.openxmlformats.org/officeDocument/2006/customXml" ds:itemID="{620E8746-2EA2-4E63-A6D4-231E3A7FF3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BF239E-7967-4A61-8E44-CC7130BE78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Cutting</dc:creator>
  <cp:keywords/>
  <dc:description/>
  <cp:lastModifiedBy>HEEGER, Gregory (HEALTH INNOVATION NETWORK SOUTH LONDON)</cp:lastModifiedBy>
  <cp:revision>26</cp:revision>
  <dcterms:created xsi:type="dcterms:W3CDTF">2019-07-15T10:41:00Z</dcterms:created>
  <dcterms:modified xsi:type="dcterms:W3CDTF">2019-07-15T14:34:00Z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0x010100DB5186003A03CD40B3A610C9BC57CA65</vt:lpwstr>
  </property>
</Properties>
</file>