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6D45" w14:textId="77777777" w:rsidR="004A590D" w:rsidRDefault="00DD7A5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2AD48C" wp14:editId="4A28CA3D">
                <wp:simplePos x="0" y="0"/>
                <wp:positionH relativeFrom="margin">
                  <wp:align>left</wp:align>
                </wp:positionH>
                <wp:positionV relativeFrom="paragraph">
                  <wp:posOffset>8174355</wp:posOffset>
                </wp:positionV>
                <wp:extent cx="5492750" cy="10382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BA41" w14:textId="77777777" w:rsidR="004A590D" w:rsidRPr="000E4390" w:rsidRDefault="004A59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E73C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F0324C" w14:textId="77777777" w:rsidR="00D0640B" w:rsidRPr="00E853BA" w:rsidRDefault="00DD7A50" w:rsidP="00D0640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 specified – please see resources link for further information</w:t>
                            </w:r>
                            <w:r w:rsidR="00D0640B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0640B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Harris C, </w:t>
                            </w:r>
                            <w:proofErr w:type="spellStart"/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>Beaini</w:t>
                            </w:r>
                            <w:proofErr w:type="spellEnd"/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Y, </w:t>
                            </w:r>
                            <w:proofErr w:type="spellStart"/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>Gwozdziewicz</w:t>
                            </w:r>
                            <w:proofErr w:type="spellEnd"/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 xml:space="preserve"> M. Bradford’s Healthy Hearts. British Journal of Primary Care Nursing. 2018;14(1</w:t>
                            </w:r>
                            <w:proofErr w:type="gramStart"/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>):S</w:t>
                            </w:r>
                            <w:proofErr w:type="gramEnd"/>
                            <w:r w:rsidR="00D0640B" w:rsidRPr="00D62DC3">
                              <w:rPr>
                                <w:color w:val="4472C4" w:themeColor="accent1"/>
                                <w:sz w:val="20"/>
                                <w:szCs w:val="24"/>
                              </w:rPr>
                              <w:t>17-S19</w:t>
                            </w:r>
                          </w:p>
                          <w:p w14:paraId="7FC6498C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AD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3.65pt;width:432.5pt;height:8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">
                <v:textbox>
                  <w:txbxContent>
                    <w:p w14:paraId="5442BA41" w14:textId="77777777" w:rsidR="004A590D" w:rsidRPr="000E4390" w:rsidRDefault="004A59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E73CE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F0324C" w14:textId="77777777" w:rsidR="00D0640B" w:rsidRPr="00E853BA" w:rsidRDefault="00DD7A50" w:rsidP="00D0640B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 specified – please see resources link for further information</w:t>
                      </w:r>
                      <w:r w:rsidR="00D0640B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D0640B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 xml:space="preserve">Harris C, </w:t>
                      </w:r>
                      <w:proofErr w:type="spellStart"/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>Beaini</w:t>
                      </w:r>
                      <w:proofErr w:type="spellEnd"/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 xml:space="preserve"> Y, </w:t>
                      </w:r>
                      <w:proofErr w:type="spellStart"/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>Gwozdziewicz</w:t>
                      </w:r>
                      <w:proofErr w:type="spellEnd"/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 xml:space="preserve"> M. Bradford’s Healthy Hearts. British Journal of Primary Care Nursing. 2018;14(1</w:t>
                      </w:r>
                      <w:proofErr w:type="gramStart"/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>):S</w:t>
                      </w:r>
                      <w:proofErr w:type="gramEnd"/>
                      <w:r w:rsidR="00D0640B" w:rsidRPr="00D62DC3">
                        <w:rPr>
                          <w:color w:val="4472C4" w:themeColor="accent1"/>
                          <w:sz w:val="20"/>
                          <w:szCs w:val="24"/>
                        </w:rPr>
                        <w:t>17-S19</w:t>
                      </w:r>
                    </w:p>
                    <w:p w14:paraId="7FC6498C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3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E355A9" wp14:editId="415A0385">
                <wp:simplePos x="0" y="0"/>
                <wp:positionH relativeFrom="margin">
                  <wp:align>left</wp:align>
                </wp:positionH>
                <wp:positionV relativeFrom="paragraph">
                  <wp:posOffset>5974080</wp:posOffset>
                </wp:positionV>
                <wp:extent cx="5477510" cy="201930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F7E3" w14:textId="77777777" w:rsidR="00BE7927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4E67A61E" w14:textId="77777777" w:rsidR="00B66935" w:rsidRPr="00B66935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6935">
                              <w:rPr>
                                <w:sz w:val="24"/>
                                <w:szCs w:val="24"/>
                              </w:rPr>
                              <w:t xml:space="preserve">Statins were switched in 6,000 patients </w:t>
                            </w:r>
                          </w:p>
                          <w:p w14:paraId="795CA0E4" w14:textId="77777777" w:rsidR="00B66935" w:rsidRPr="00B66935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6935">
                              <w:rPr>
                                <w:sz w:val="24"/>
                                <w:szCs w:val="24"/>
                              </w:rPr>
                              <w:t xml:space="preserve">QRISK &gt; 20%: 4,000 people started on statins </w:t>
                            </w:r>
                          </w:p>
                          <w:p w14:paraId="71953C6B" w14:textId="77777777" w:rsidR="00B66935" w:rsidRPr="00B66935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6935">
                              <w:rPr>
                                <w:sz w:val="24"/>
                                <w:szCs w:val="24"/>
                              </w:rPr>
                              <w:t xml:space="preserve">QRISK 10-20%: 3,000 people started on statins </w:t>
                            </w:r>
                          </w:p>
                          <w:p w14:paraId="053BBCCD" w14:textId="77777777" w:rsidR="00B66935" w:rsidRPr="00B66935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6935">
                              <w:rPr>
                                <w:sz w:val="24"/>
                                <w:szCs w:val="24"/>
                              </w:rPr>
                              <w:t xml:space="preserve">AF: &gt; 1,000 people started on anticoagulation </w:t>
                            </w:r>
                          </w:p>
                          <w:p w14:paraId="5FC6B58D" w14:textId="77777777" w:rsidR="00B66935" w:rsidRPr="00B66935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6935">
                              <w:rPr>
                                <w:sz w:val="24"/>
                                <w:szCs w:val="24"/>
                              </w:rPr>
                              <w:t>Hypertension: &gt; 2,500 people newly diagnosed, a 0.8% increase in prevalence l BP newly to target in &gt; 5,200 diagnosed hypertensive patients (76%)</w:t>
                            </w:r>
                          </w:p>
                          <w:p w14:paraId="652FBB16" w14:textId="77777777" w:rsidR="00E73CEC" w:rsidRPr="00DD7A50" w:rsidRDefault="00B66935" w:rsidP="00DD7A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6935">
                              <w:rPr>
                                <w:sz w:val="24"/>
                                <w:szCs w:val="24"/>
                              </w:rPr>
                              <w:t>Total of 21,700 clinical improvements to patients’ treatment over 2½ years</w:t>
                            </w:r>
                          </w:p>
                          <w:p w14:paraId="7329252A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70.4pt;width:431.3pt;height:15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MCJQ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">
                <v:textbox>
                  <w:txbxContent>
                    <w:p w:rsidR="00BE7927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:rsidR="00B66935" w:rsidRPr="00B66935" w:rsidRDefault="00B66935" w:rsidP="00B669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66935">
                        <w:rPr>
                          <w:sz w:val="24"/>
                          <w:szCs w:val="24"/>
                        </w:rPr>
                        <w:t xml:space="preserve">Statins were switched in 6,000 patients </w:t>
                      </w:r>
                    </w:p>
                    <w:p w:rsidR="00B66935" w:rsidRPr="00B66935" w:rsidRDefault="00B66935" w:rsidP="00B669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66935">
                        <w:rPr>
                          <w:sz w:val="24"/>
                          <w:szCs w:val="24"/>
                        </w:rPr>
                        <w:t xml:space="preserve">QRISK &gt; 20%: 4,000 people started on statins </w:t>
                      </w:r>
                    </w:p>
                    <w:p w:rsidR="00B66935" w:rsidRPr="00B66935" w:rsidRDefault="00B66935" w:rsidP="00B669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66935">
                        <w:rPr>
                          <w:sz w:val="24"/>
                          <w:szCs w:val="24"/>
                        </w:rPr>
                        <w:t xml:space="preserve">QRISK 10-20%: 3,000 people started on statins </w:t>
                      </w:r>
                    </w:p>
                    <w:p w:rsidR="00B66935" w:rsidRPr="00B66935" w:rsidRDefault="00B66935" w:rsidP="00B669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66935">
                        <w:rPr>
                          <w:sz w:val="24"/>
                          <w:szCs w:val="24"/>
                        </w:rPr>
                        <w:t xml:space="preserve">AF: &gt; 1,000 people started on anticoagulation </w:t>
                      </w:r>
                    </w:p>
                    <w:p w:rsidR="00B66935" w:rsidRPr="00B66935" w:rsidRDefault="00B66935" w:rsidP="00B669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66935">
                        <w:rPr>
                          <w:sz w:val="24"/>
                          <w:szCs w:val="24"/>
                        </w:rPr>
                        <w:t>Hypertension: &gt; 2,500 people newly diagnosed, a 0.8% increase in prevalence l BP newly to target in &gt; 5,200 diagnosed hypertensive patients (76%)</w:t>
                      </w:r>
                    </w:p>
                    <w:p w:rsidR="00E73CEC" w:rsidRPr="00DD7A50" w:rsidRDefault="00B66935" w:rsidP="00DD7A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66935">
                        <w:rPr>
                          <w:sz w:val="24"/>
                          <w:szCs w:val="24"/>
                        </w:rPr>
                        <w:t>Total of 21,700 clinical improvements to patients’ treatment over 2½ years</w:t>
                      </w:r>
                    </w:p>
                    <w:p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3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5D7F7" wp14:editId="537ADF9E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5477510" cy="5238750"/>
                <wp:effectExtent l="0" t="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57F7" w14:textId="77777777" w:rsid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B66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63A">
                              <w:rPr>
                                <w:sz w:val="24"/>
                                <w:szCs w:val="24"/>
                              </w:rPr>
                              <w:t>Reduce CVD</w:t>
                            </w:r>
                            <w:r w:rsidR="00B66935" w:rsidRPr="00B66935">
                              <w:rPr>
                                <w:sz w:val="24"/>
                                <w:szCs w:val="24"/>
                              </w:rPr>
                              <w:t>-related deaths by at least 10% and prevent 150 strokes and 350 myocardial infarctions (MI) by 2020</w:t>
                            </w:r>
                            <w:r w:rsidR="00B6693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E576A08" w14:textId="77777777" w:rsidR="00B66935" w:rsidRPr="000E4390" w:rsidRDefault="00B669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The six key features of the programme were:</w:t>
                            </w:r>
                          </w:p>
                          <w:p w14:paraId="0A8BA3CE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Use of indicative data to identify where to look for improvement </w:t>
                            </w:r>
                          </w:p>
                          <w:p w14:paraId="2A17C2B8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Clear clinical leadership of the improvement programme </w:t>
                            </w:r>
                          </w:p>
                          <w:p w14:paraId="6C95DF1D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Primary care-led solutions, but a strong focus on clinical engagement with a wide range of stakeholder organisations. A clinical champion was cultivated in every GP practice, who could be a GP, nurse or pharmacist </w:t>
                            </w:r>
                          </w:p>
                          <w:p w14:paraId="4C9D464F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Use of a broad-ranging database to inform the interventions and to regularly benchmark </w:t>
                            </w:r>
                          </w:p>
                          <w:p w14:paraId="489F1865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Optimal use of interventions to focus strongly on large-scale improvements, while minimising the workload/resource impact on front-line staff</w:t>
                            </w:r>
                          </w:p>
                          <w:p w14:paraId="1A77B069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A public awareness programme to achieve public engagement and patient involvement throughout, using: </w:t>
                            </w:r>
                          </w:p>
                          <w:p w14:paraId="7CB77E30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A website and social media </w:t>
                            </w:r>
                          </w:p>
                          <w:p w14:paraId="2670F3AC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Leaflets o Electronic displays in GP surgeries </w:t>
                            </w:r>
                          </w:p>
                          <w:p w14:paraId="5640C741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 xml:space="preserve">Radio interviews, newspaper articles and community events </w:t>
                            </w:r>
                          </w:p>
                          <w:p w14:paraId="0E28E42E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A face-to-face education programme across the clinical commissioning group</w:t>
                            </w:r>
                          </w:p>
                          <w:p w14:paraId="51C66AD6" w14:textId="77777777" w:rsidR="00B66935" w:rsidRPr="000E4390" w:rsidRDefault="00B669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Three separate workstreams were agreed for the first two years of the programme:</w:t>
                            </w:r>
                          </w:p>
                          <w:p w14:paraId="43FD8170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Statins</w:t>
                            </w:r>
                          </w:p>
                          <w:p w14:paraId="6F5B7C87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Atrial fibrillation (AF)</w:t>
                            </w:r>
                          </w:p>
                          <w:p w14:paraId="23C534E4" w14:textId="77777777" w:rsidR="00B66935" w:rsidRPr="000E4390" w:rsidRDefault="00B66935" w:rsidP="00B669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4390">
                              <w:rPr>
                                <w:sz w:val="24"/>
                                <w:szCs w:val="24"/>
                              </w:rPr>
                              <w:t>Hypertension</w:t>
                            </w:r>
                          </w:p>
                          <w:p w14:paraId="5F8ACD64" w14:textId="77777777" w:rsidR="004A590D" w:rsidRPr="000E4390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9.5pt;width:431.3pt;height:41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">
                <v:textbox>
                  <w:txbxContent>
                    <w:p w:rsidR="004A590D" w:rsidRDefault="004A590D">
                      <w:pPr>
                        <w:rPr>
                          <w:sz w:val="24"/>
                          <w:szCs w:val="24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B669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763A">
                        <w:rPr>
                          <w:sz w:val="24"/>
                          <w:szCs w:val="24"/>
                        </w:rPr>
                        <w:t>Reduce CVD</w:t>
                      </w:r>
                      <w:r w:rsidR="00B66935" w:rsidRPr="00B66935">
                        <w:rPr>
                          <w:sz w:val="24"/>
                          <w:szCs w:val="24"/>
                        </w:rPr>
                        <w:t>-related deaths by at least 10% and prevent 150 strokes and 350 myocardial infarctions (MI) by 2020</w:t>
                      </w:r>
                      <w:r w:rsidR="00B6693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66935" w:rsidRPr="000E4390" w:rsidRDefault="00B66935">
                      <w:p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The six key features of the programme were: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Use of indicative data to identify where to look for improvement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Clear clinical leadership of the improvement programme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Primary care-led solutions, but a strong focus on clinical engagement with a wide range of stakeholder organisations. A clinical champion was cultivated in every GP practice, who could be a GP, nurse or pharmacist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Use of a broad-ranging database to inform the interventions and to regularly benchmark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Optimal use of interventions to focus strongly on large-scale improvements, while minimising the workload/resource impact on front-line staff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A public awareness programme to achieve public engagement and patient involvement throughout, using: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A website and social media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Leaflets o Electronic displays in GP surgeries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 xml:space="preserve">Radio interviews, newspaper articles and community events 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A face-to-face education programme across the clinical commissioning group</w:t>
                      </w:r>
                    </w:p>
                    <w:p w:rsidR="00B66935" w:rsidRPr="000E4390" w:rsidRDefault="00B66935">
                      <w:p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Three separate workstreams were agreed for the first two years of the programme: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Statins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Atrial fibrillation (AF)</w:t>
                      </w:r>
                    </w:p>
                    <w:p w:rsidR="00B66935" w:rsidRPr="000E4390" w:rsidRDefault="00B66935" w:rsidP="00B669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4390">
                        <w:rPr>
                          <w:sz w:val="24"/>
                          <w:szCs w:val="24"/>
                        </w:rPr>
                        <w:t>Hypertension</w:t>
                      </w:r>
                    </w:p>
                    <w:p w:rsidR="004A590D" w:rsidRPr="000E4390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3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195C7" wp14:editId="083BC3E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5477510" cy="3333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5535" w14:textId="77777777" w:rsidR="004A590D" w:rsidRPr="00BE7927" w:rsidRDefault="004A590D" w:rsidP="004A59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BE79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79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7927" w:rsidRPr="00B66935">
                              <w:rPr>
                                <w:sz w:val="24"/>
                                <w:szCs w:val="24"/>
                              </w:rPr>
                              <w:t>Bradford Healthy Hearts</w:t>
                            </w:r>
                            <w:r w:rsidR="00B66935">
                              <w:rPr>
                                <w:sz w:val="24"/>
                                <w:szCs w:val="24"/>
                              </w:rPr>
                              <w:t xml:space="preserve"> Programme</w:t>
                            </w:r>
                          </w:p>
                          <w:p w14:paraId="0A89B4DD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05pt;width:431.3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">
                <v:textbox>
                  <w:txbxContent>
                    <w:p w:rsidR="004A590D" w:rsidRPr="00BE7927" w:rsidRDefault="004A590D" w:rsidP="004A59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BE79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79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7927" w:rsidRPr="00B66935">
                        <w:rPr>
                          <w:sz w:val="24"/>
                          <w:szCs w:val="24"/>
                        </w:rPr>
                        <w:t>Bradford Healthy Hearts</w:t>
                      </w:r>
                      <w:r w:rsidR="00B66935">
                        <w:rPr>
                          <w:sz w:val="24"/>
                          <w:szCs w:val="24"/>
                        </w:rPr>
                        <w:t xml:space="preserve"> Programme</w:t>
                      </w:r>
                    </w:p>
                    <w:p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6C1"/>
    <w:multiLevelType w:val="hybridMultilevel"/>
    <w:tmpl w:val="098A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AAB"/>
    <w:multiLevelType w:val="hybridMultilevel"/>
    <w:tmpl w:val="05CC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6EA"/>
    <w:multiLevelType w:val="hybridMultilevel"/>
    <w:tmpl w:val="C58C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E4390"/>
    <w:rsid w:val="002B763A"/>
    <w:rsid w:val="004A590D"/>
    <w:rsid w:val="00667FAA"/>
    <w:rsid w:val="00675C78"/>
    <w:rsid w:val="008A2009"/>
    <w:rsid w:val="00977C33"/>
    <w:rsid w:val="00AD5B94"/>
    <w:rsid w:val="00B66935"/>
    <w:rsid w:val="00BE7927"/>
    <w:rsid w:val="00CD7320"/>
    <w:rsid w:val="00D0640B"/>
    <w:rsid w:val="00D62DC3"/>
    <w:rsid w:val="00DD7A50"/>
    <w:rsid w:val="00E73CEC"/>
    <w:rsid w:val="00E853BA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DCE6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8D3F9-2244-492D-BEEC-5EB9FA5F3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9D306-401B-4FE8-8861-F8E53773F234}">
  <ds:schemaRefs>
    <ds:schemaRef ds:uri="http://schemas.microsoft.com/office/infopath/2007/PartnerControls"/>
    <ds:schemaRef ds:uri="70a8c163-9edb-4c90-b199-1456d4b92c9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3e8a4da-d3d7-4ced-984a-b0cae2f5c1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90BEEE-6218-4F22-8C77-D2B31EBC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8</cp:revision>
  <dcterms:created xsi:type="dcterms:W3CDTF">2019-03-21T17:44:00Z</dcterms:created>
  <dcterms:modified xsi:type="dcterms:W3CDTF">2019-08-05T07:57:00Z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