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4A19F616" w:rsidR="004A590D" w:rsidRDefault="00544ED9">
      <w:r>
        <w:rPr>
          <w:noProof/>
        </w:rPr>
        <mc:AlternateContent>
          <mc:Choice Requires="wps">
            <w:drawing>
              <wp:anchor distT="45720" distB="45720" distL="114300" distR="114300" simplePos="0" relativeHeight="251665408" behindDoc="0" locked="0" layoutInCell="1" allowOverlap="1" wp14:anchorId="75BB3651" wp14:editId="61028541">
                <wp:simplePos x="0" y="0"/>
                <wp:positionH relativeFrom="margin">
                  <wp:align>left</wp:align>
                </wp:positionH>
                <wp:positionV relativeFrom="paragraph">
                  <wp:posOffset>6619875</wp:posOffset>
                </wp:positionV>
                <wp:extent cx="5492750" cy="1404620"/>
                <wp:effectExtent l="0" t="0" r="1270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6AA685A6" w:rsidR="004A590D" w:rsidRPr="00544ED9" w:rsidRDefault="006307BF">
                            <w:pPr>
                              <w:rPr>
                                <w:rFonts w:cstheme="minorHAnsi"/>
                                <w:bCs/>
                                <w:color w:val="0B0C0C"/>
                                <w:sz w:val="28"/>
                                <w:szCs w:val="28"/>
                                <w:shd w:val="clear" w:color="auto" w:fill="FFFFFF"/>
                              </w:rPr>
                            </w:pPr>
                            <w:r w:rsidRPr="00544ED9">
                              <w:rPr>
                                <w:rFonts w:cstheme="minorHAnsi"/>
                                <w:bCs/>
                                <w:color w:val="0B0C0C"/>
                                <w:sz w:val="28"/>
                                <w:szCs w:val="28"/>
                                <w:shd w:val="clear" w:color="auto" w:fill="FFFFFF"/>
                              </w:rPr>
                              <w:t xml:space="preserve">Not yet available – may vary across localities. </w:t>
                            </w:r>
                            <w:r w:rsidR="00DD0C62">
                              <w:rPr>
                                <w:rFonts w:cstheme="minorHAnsi"/>
                                <w:bCs/>
                                <w:color w:val="0B0C0C"/>
                                <w:sz w:val="28"/>
                                <w:szCs w:val="28"/>
                                <w:shd w:val="clear" w:color="auto" w:fill="FFFFFF"/>
                              </w:rPr>
                              <w:t xml:space="preserve">Please see resources link for further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B3651" id="_x0000_t202" coordsize="21600,21600" o:spt="202" path="m,l,21600r21600,l21600,xe">
                <v:stroke joinstyle="miter"/>
                <v:path gradientshapeok="t" o:connecttype="rect"/>
              </v:shapetype>
              <v:shape id="Text Box 2" o:spid="_x0000_s1026" type="#_x0000_t202" style="position:absolute;margin-left:0;margin-top:521.25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">
                <v:textbox style="mso-fit-shape-to-text:t">
                  <w:txbxContent>
                    <w:p w14:paraId="3538F1FB" w14:textId="77777777" w:rsidR="004A590D" w:rsidRPr="004A590D" w:rsidRDefault="004A590D">
                      <w:pPr>
                        <w:rPr>
                          <w:b/>
                          <w:sz w:val="28"/>
                          <w:szCs w:val="28"/>
                        </w:rPr>
                      </w:pPr>
                      <w:r w:rsidRPr="004A590D">
                        <w:rPr>
                          <w:b/>
                          <w:sz w:val="28"/>
                          <w:szCs w:val="28"/>
                        </w:rPr>
                        <w:t>Cost:</w:t>
                      </w:r>
                    </w:p>
                    <w:p w14:paraId="64A7FA94" w14:textId="6AA685A6" w:rsidR="004A590D" w:rsidRPr="00544ED9" w:rsidRDefault="006307BF">
                      <w:pPr>
                        <w:rPr>
                          <w:rFonts w:cstheme="minorHAnsi"/>
                          <w:bCs/>
                          <w:color w:val="0B0C0C"/>
                          <w:sz w:val="28"/>
                          <w:szCs w:val="28"/>
                          <w:shd w:val="clear" w:color="auto" w:fill="FFFFFF"/>
                        </w:rPr>
                      </w:pPr>
                      <w:r w:rsidRPr="00544ED9">
                        <w:rPr>
                          <w:rFonts w:cstheme="minorHAnsi"/>
                          <w:bCs/>
                          <w:color w:val="0B0C0C"/>
                          <w:sz w:val="28"/>
                          <w:szCs w:val="28"/>
                          <w:shd w:val="clear" w:color="auto" w:fill="FFFFFF"/>
                        </w:rPr>
                        <w:t xml:space="preserve">Not yet available – may vary across localities. </w:t>
                      </w:r>
                      <w:r w:rsidR="00DD0C62">
                        <w:rPr>
                          <w:rFonts w:cstheme="minorHAnsi"/>
                          <w:bCs/>
                          <w:color w:val="0B0C0C"/>
                          <w:sz w:val="28"/>
                          <w:szCs w:val="28"/>
                          <w:shd w:val="clear" w:color="auto" w:fill="FFFFFF"/>
                        </w:rPr>
                        <w:t xml:space="preserve">Please see resources link for further information. </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F9BEBEE" wp14:editId="6E58E070">
                <wp:simplePos x="0" y="0"/>
                <wp:positionH relativeFrom="margin">
                  <wp:align>left</wp:align>
                </wp:positionH>
                <wp:positionV relativeFrom="paragraph">
                  <wp:posOffset>2443480</wp:posOffset>
                </wp:positionV>
                <wp:extent cx="5457825" cy="39433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3943350"/>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5CEADB69" w14:textId="77777777" w:rsidR="00CB2949" w:rsidRPr="00544ED9" w:rsidRDefault="00CB2949" w:rsidP="00544ED9">
                            <w:pPr>
                              <w:rPr>
                                <w:rFonts w:cstheme="minorHAnsi"/>
                                <w:bCs/>
                                <w:color w:val="0B0C0C"/>
                                <w:sz w:val="28"/>
                                <w:szCs w:val="28"/>
                                <w:shd w:val="clear" w:color="auto" w:fill="FFFFFF"/>
                              </w:rPr>
                            </w:pPr>
                            <w:r w:rsidRPr="00544ED9">
                              <w:rPr>
                                <w:rFonts w:cstheme="minorHAnsi"/>
                                <w:bCs/>
                                <w:color w:val="0B0C0C"/>
                                <w:sz w:val="28"/>
                                <w:szCs w:val="28"/>
                                <w:shd w:val="clear" w:color="auto" w:fill="FFFFFF"/>
                              </w:rPr>
                              <w:t>The success criterion for the proportion of patients undertaking a minimum days’ texting was met for the diagnosis of hypertension (84%) and 1 of the monitoring protocols (56%).</w:t>
                            </w:r>
                          </w:p>
                          <w:p w14:paraId="38F02BA7" w14:textId="77777777" w:rsidR="00CB2949" w:rsidRPr="00544ED9" w:rsidRDefault="00CB2949" w:rsidP="00544ED9">
                            <w:pPr>
                              <w:rPr>
                                <w:rFonts w:cstheme="minorHAnsi"/>
                                <w:bCs/>
                                <w:color w:val="0B0C0C"/>
                                <w:sz w:val="28"/>
                                <w:szCs w:val="28"/>
                                <w:shd w:val="clear" w:color="auto" w:fill="FFFFFF"/>
                              </w:rPr>
                            </w:pPr>
                            <w:r w:rsidRPr="00544ED9">
                              <w:rPr>
                                <w:rFonts w:cstheme="minorHAnsi"/>
                                <w:bCs/>
                                <w:color w:val="0B0C0C"/>
                                <w:sz w:val="28"/>
                                <w:szCs w:val="28"/>
                                <w:shd w:val="clear" w:color="auto" w:fill="FFFFFF"/>
                              </w:rPr>
                              <w:t>For the remaining 2 protocols, 1 nearly reached the success criterion (47%) and the other fell short by far (15%).</w:t>
                            </w:r>
                          </w:p>
                          <w:p w14:paraId="70C77DB5" w14:textId="77777777" w:rsidR="00CB2949" w:rsidRPr="00544ED9" w:rsidRDefault="00CB2949" w:rsidP="00544ED9">
                            <w:pPr>
                              <w:rPr>
                                <w:rFonts w:cstheme="minorHAnsi"/>
                                <w:bCs/>
                                <w:color w:val="0B0C0C"/>
                                <w:sz w:val="28"/>
                                <w:szCs w:val="28"/>
                                <w:shd w:val="clear" w:color="auto" w:fill="FFFFFF"/>
                              </w:rPr>
                            </w:pPr>
                            <w:r w:rsidRPr="00544ED9">
                              <w:rPr>
                                <w:rFonts w:cstheme="minorHAnsi"/>
                                <w:bCs/>
                                <w:color w:val="0B0C0C"/>
                                <w:sz w:val="28"/>
                                <w:szCs w:val="28"/>
                                <w:shd w:val="clear" w:color="auto" w:fill="FFFFFF"/>
                              </w:rPr>
                              <w:t xml:space="preserve">Although the success criterion of 100% of patients having a diagnosis of hypertension confirmed or refuted was not met, 79% of patients ever registering on the protocol did submit </w:t>
                            </w:r>
                            <w:proofErr w:type="gramStart"/>
                            <w:r w:rsidRPr="00544ED9">
                              <w:rPr>
                                <w:rFonts w:cstheme="minorHAnsi"/>
                                <w:bCs/>
                                <w:color w:val="0B0C0C"/>
                                <w:sz w:val="28"/>
                                <w:szCs w:val="28"/>
                                <w:shd w:val="clear" w:color="auto" w:fill="FFFFFF"/>
                              </w:rPr>
                              <w:t>sufficient</w:t>
                            </w:r>
                            <w:proofErr w:type="gramEnd"/>
                            <w:r w:rsidRPr="00544ED9">
                              <w:rPr>
                                <w:rFonts w:cstheme="minorHAnsi"/>
                                <w:bCs/>
                                <w:color w:val="0B0C0C"/>
                                <w:sz w:val="28"/>
                                <w:szCs w:val="28"/>
                                <w:shd w:val="clear" w:color="auto" w:fill="FFFFFF"/>
                              </w:rPr>
                              <w:t xml:space="preserve"> readings to reach a conclusion.</w:t>
                            </w:r>
                          </w:p>
                          <w:p w14:paraId="302E7301" w14:textId="77777777" w:rsidR="00CB2949" w:rsidRPr="00544ED9" w:rsidRDefault="00CB2949" w:rsidP="00544ED9">
                            <w:pPr>
                              <w:rPr>
                                <w:rFonts w:cstheme="minorHAnsi"/>
                                <w:bCs/>
                                <w:color w:val="0B0C0C"/>
                                <w:sz w:val="28"/>
                                <w:szCs w:val="28"/>
                                <w:shd w:val="clear" w:color="auto" w:fill="FFFFFF"/>
                              </w:rPr>
                            </w:pPr>
                            <w:r w:rsidRPr="00544ED9">
                              <w:rPr>
                                <w:rFonts w:cstheme="minorHAnsi"/>
                                <w:bCs/>
                                <w:color w:val="0B0C0C"/>
                                <w:sz w:val="28"/>
                                <w:szCs w:val="28"/>
                                <w:shd w:val="clear" w:color="auto" w:fill="FFFFFF"/>
                              </w:rPr>
                              <w:t>Of those who finished using the monitoring protocols only 5 to 22% of patients had a BP in target.</w:t>
                            </w:r>
                          </w:p>
                          <w:p w14:paraId="00FEB6B9" w14:textId="77777777" w:rsidR="00CB2949" w:rsidRPr="00544ED9" w:rsidRDefault="00CB2949" w:rsidP="00544ED9">
                            <w:pPr>
                              <w:rPr>
                                <w:rFonts w:cstheme="minorHAnsi"/>
                                <w:bCs/>
                                <w:color w:val="0B0C0C"/>
                                <w:sz w:val="28"/>
                                <w:szCs w:val="28"/>
                                <w:shd w:val="clear" w:color="auto" w:fill="FFFFFF"/>
                              </w:rPr>
                            </w:pPr>
                            <w:r w:rsidRPr="00544ED9">
                              <w:rPr>
                                <w:rFonts w:cstheme="minorHAnsi"/>
                                <w:bCs/>
                                <w:color w:val="0B0C0C"/>
                                <w:sz w:val="28"/>
                                <w:szCs w:val="28"/>
                                <w:shd w:val="clear" w:color="auto" w:fill="FFFFFF"/>
                              </w:rPr>
                              <w:t>Over 80% of responding patients agreed that they would recommend the service to their friends and family each time they were asked except for month 3, for one of the monitoring protocols, where 79% agreed with the statement.</w:t>
                            </w:r>
                          </w:p>
                          <w:p w14:paraId="37B4011B" w14:textId="455F2D94" w:rsidR="004A590D" w:rsidRPr="004A590D" w:rsidRDefault="004A590D">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7" type="#_x0000_t202" style="position:absolute;margin-left:0;margin-top:192.4pt;width:429.75pt;height:31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">
                <v:textbox>
                  <w:txbxContent>
                    <w:p w14:paraId="09FC862C" w14:textId="77777777" w:rsidR="00AD5B94" w:rsidRDefault="004A590D">
                      <w:pPr>
                        <w:rPr>
                          <w:b/>
                          <w:sz w:val="28"/>
                          <w:szCs w:val="28"/>
                        </w:rPr>
                      </w:pPr>
                      <w:r w:rsidRPr="004A590D">
                        <w:rPr>
                          <w:b/>
                          <w:sz w:val="28"/>
                          <w:szCs w:val="28"/>
                        </w:rPr>
                        <w:t xml:space="preserve">Outcomes:     </w:t>
                      </w:r>
                    </w:p>
                    <w:p w14:paraId="5CEADB69" w14:textId="77777777" w:rsidR="00CB2949" w:rsidRPr="00544ED9" w:rsidRDefault="00CB2949" w:rsidP="00544ED9">
                      <w:pPr>
                        <w:rPr>
                          <w:rFonts w:cstheme="minorHAnsi"/>
                          <w:bCs/>
                          <w:color w:val="0B0C0C"/>
                          <w:sz w:val="28"/>
                          <w:szCs w:val="28"/>
                          <w:shd w:val="clear" w:color="auto" w:fill="FFFFFF"/>
                        </w:rPr>
                      </w:pPr>
                      <w:r w:rsidRPr="00544ED9">
                        <w:rPr>
                          <w:rFonts w:cstheme="minorHAnsi"/>
                          <w:bCs/>
                          <w:color w:val="0B0C0C"/>
                          <w:sz w:val="28"/>
                          <w:szCs w:val="28"/>
                          <w:shd w:val="clear" w:color="auto" w:fill="FFFFFF"/>
                        </w:rPr>
                        <w:t>The success criterion for the proportion of patients undertaking a minimum days’ texting was met for the diagnosis of hypertension (84%) and 1 of the monitoring protocols (56%).</w:t>
                      </w:r>
                    </w:p>
                    <w:p w14:paraId="38F02BA7" w14:textId="77777777" w:rsidR="00CB2949" w:rsidRPr="00544ED9" w:rsidRDefault="00CB2949" w:rsidP="00544ED9">
                      <w:pPr>
                        <w:rPr>
                          <w:rFonts w:cstheme="minorHAnsi"/>
                          <w:bCs/>
                          <w:color w:val="0B0C0C"/>
                          <w:sz w:val="28"/>
                          <w:szCs w:val="28"/>
                          <w:shd w:val="clear" w:color="auto" w:fill="FFFFFF"/>
                        </w:rPr>
                      </w:pPr>
                      <w:r w:rsidRPr="00544ED9">
                        <w:rPr>
                          <w:rFonts w:cstheme="minorHAnsi"/>
                          <w:bCs/>
                          <w:color w:val="0B0C0C"/>
                          <w:sz w:val="28"/>
                          <w:szCs w:val="28"/>
                          <w:shd w:val="clear" w:color="auto" w:fill="FFFFFF"/>
                        </w:rPr>
                        <w:t>For the remaining 2 protocols, 1 nearly reached the success criterion (47%) and the other fell short by far (15%).</w:t>
                      </w:r>
                    </w:p>
                    <w:p w14:paraId="70C77DB5" w14:textId="77777777" w:rsidR="00CB2949" w:rsidRPr="00544ED9" w:rsidRDefault="00CB2949" w:rsidP="00544ED9">
                      <w:pPr>
                        <w:rPr>
                          <w:rFonts w:cstheme="minorHAnsi"/>
                          <w:bCs/>
                          <w:color w:val="0B0C0C"/>
                          <w:sz w:val="28"/>
                          <w:szCs w:val="28"/>
                          <w:shd w:val="clear" w:color="auto" w:fill="FFFFFF"/>
                        </w:rPr>
                      </w:pPr>
                      <w:r w:rsidRPr="00544ED9">
                        <w:rPr>
                          <w:rFonts w:cstheme="minorHAnsi"/>
                          <w:bCs/>
                          <w:color w:val="0B0C0C"/>
                          <w:sz w:val="28"/>
                          <w:szCs w:val="28"/>
                          <w:shd w:val="clear" w:color="auto" w:fill="FFFFFF"/>
                        </w:rPr>
                        <w:t xml:space="preserve">Although the success criterion of 100% of patients having a diagnosis of hypertension confirmed or refuted was not met, 79% of patients ever registering on the protocol did submit </w:t>
                      </w:r>
                      <w:proofErr w:type="gramStart"/>
                      <w:r w:rsidRPr="00544ED9">
                        <w:rPr>
                          <w:rFonts w:cstheme="minorHAnsi"/>
                          <w:bCs/>
                          <w:color w:val="0B0C0C"/>
                          <w:sz w:val="28"/>
                          <w:szCs w:val="28"/>
                          <w:shd w:val="clear" w:color="auto" w:fill="FFFFFF"/>
                        </w:rPr>
                        <w:t>sufficient</w:t>
                      </w:r>
                      <w:proofErr w:type="gramEnd"/>
                      <w:r w:rsidRPr="00544ED9">
                        <w:rPr>
                          <w:rFonts w:cstheme="minorHAnsi"/>
                          <w:bCs/>
                          <w:color w:val="0B0C0C"/>
                          <w:sz w:val="28"/>
                          <w:szCs w:val="28"/>
                          <w:shd w:val="clear" w:color="auto" w:fill="FFFFFF"/>
                        </w:rPr>
                        <w:t xml:space="preserve"> readings to reach a conclusion.</w:t>
                      </w:r>
                    </w:p>
                    <w:p w14:paraId="302E7301" w14:textId="77777777" w:rsidR="00CB2949" w:rsidRPr="00544ED9" w:rsidRDefault="00CB2949" w:rsidP="00544ED9">
                      <w:pPr>
                        <w:rPr>
                          <w:rFonts w:cstheme="minorHAnsi"/>
                          <w:bCs/>
                          <w:color w:val="0B0C0C"/>
                          <w:sz w:val="28"/>
                          <w:szCs w:val="28"/>
                          <w:shd w:val="clear" w:color="auto" w:fill="FFFFFF"/>
                        </w:rPr>
                      </w:pPr>
                      <w:r w:rsidRPr="00544ED9">
                        <w:rPr>
                          <w:rFonts w:cstheme="minorHAnsi"/>
                          <w:bCs/>
                          <w:color w:val="0B0C0C"/>
                          <w:sz w:val="28"/>
                          <w:szCs w:val="28"/>
                          <w:shd w:val="clear" w:color="auto" w:fill="FFFFFF"/>
                        </w:rPr>
                        <w:t>Of those who finished using the monitoring protocols only 5 to 22% of patients had a BP in target.</w:t>
                      </w:r>
                    </w:p>
                    <w:p w14:paraId="00FEB6B9" w14:textId="77777777" w:rsidR="00CB2949" w:rsidRPr="00544ED9" w:rsidRDefault="00CB2949" w:rsidP="00544ED9">
                      <w:pPr>
                        <w:rPr>
                          <w:rFonts w:cstheme="minorHAnsi"/>
                          <w:bCs/>
                          <w:color w:val="0B0C0C"/>
                          <w:sz w:val="28"/>
                          <w:szCs w:val="28"/>
                          <w:shd w:val="clear" w:color="auto" w:fill="FFFFFF"/>
                        </w:rPr>
                      </w:pPr>
                      <w:r w:rsidRPr="00544ED9">
                        <w:rPr>
                          <w:rFonts w:cstheme="minorHAnsi"/>
                          <w:bCs/>
                          <w:color w:val="0B0C0C"/>
                          <w:sz w:val="28"/>
                          <w:szCs w:val="28"/>
                          <w:shd w:val="clear" w:color="auto" w:fill="FFFFFF"/>
                        </w:rPr>
                        <w:t>Over 80% of responding patients agreed that they would recommend the service to their friends and family each time they were asked except for month 3, for one of the monitoring protocols, where 79% agreed with the statement.</w:t>
                      </w:r>
                    </w:p>
                    <w:p w14:paraId="37B4011B" w14:textId="455F2D94" w:rsidR="004A590D" w:rsidRPr="004A590D" w:rsidRDefault="004A590D">
                      <w:pPr>
                        <w:rPr>
                          <w:b/>
                          <w:sz w:val="28"/>
                          <w:szCs w:val="28"/>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E38A0D0" wp14:editId="0FA042FF">
                <wp:simplePos x="0" y="0"/>
                <wp:positionH relativeFrom="margin">
                  <wp:align>left</wp:align>
                </wp:positionH>
                <wp:positionV relativeFrom="paragraph">
                  <wp:posOffset>979805</wp:posOffset>
                </wp:positionV>
                <wp:extent cx="5457825" cy="1404620"/>
                <wp:effectExtent l="0" t="0" r="2857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solidFill>
                          <a:srgbClr val="FFFFFF"/>
                        </a:solidFill>
                        <a:ln w="9525">
                          <a:solidFill>
                            <a:srgbClr val="000000"/>
                          </a:solidFill>
                          <a:miter lim="800000"/>
                          <a:headEnd/>
                          <a:tailEnd/>
                        </a:ln>
                      </wps:spPr>
                      <wps:txbx>
                        <w:txbxContent>
                          <w:p w14:paraId="7C3F3F95" w14:textId="1B795656" w:rsidR="004A590D" w:rsidRDefault="004A590D">
                            <w:pPr>
                              <w:rPr>
                                <w:b/>
                                <w:sz w:val="28"/>
                                <w:szCs w:val="28"/>
                              </w:rPr>
                            </w:pPr>
                            <w:r w:rsidRPr="004A590D">
                              <w:rPr>
                                <w:b/>
                                <w:sz w:val="28"/>
                                <w:szCs w:val="28"/>
                              </w:rPr>
                              <w:t>Project aims:</w:t>
                            </w:r>
                          </w:p>
                          <w:p w14:paraId="217741AC" w14:textId="2908244F" w:rsidR="004A590D" w:rsidRPr="00544ED9" w:rsidRDefault="001525B4">
                            <w:pPr>
                              <w:rPr>
                                <w:rFonts w:cstheme="minorHAnsi"/>
                                <w:bCs/>
                                <w:color w:val="0B0C0C"/>
                                <w:sz w:val="28"/>
                                <w:szCs w:val="28"/>
                                <w:shd w:val="clear" w:color="auto" w:fill="FFFFFF"/>
                              </w:rPr>
                            </w:pPr>
                            <w:r w:rsidRPr="00544ED9">
                              <w:rPr>
                                <w:rFonts w:cstheme="minorHAnsi"/>
                                <w:bCs/>
                                <w:color w:val="0B0C0C"/>
                                <w:sz w:val="28"/>
                                <w:szCs w:val="28"/>
                                <w:shd w:val="clear" w:color="auto" w:fill="FFFFFF"/>
                              </w:rPr>
                              <w:t>The AIM project uses a simple telehealth system (‘Flo’) to support patients to take responsibility for the monitoring and shared management of their condition, treatment or lifestyle.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8A0D0" id="_x0000_s1028" type="#_x0000_t202" style="position:absolute;margin-left:0;margin-top:77.15pt;width:429.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">
                <v:textbox style="mso-fit-shape-to-text:t">
                  <w:txbxContent>
                    <w:p w14:paraId="7C3F3F95" w14:textId="1B795656" w:rsidR="004A590D" w:rsidRDefault="004A590D">
                      <w:pPr>
                        <w:rPr>
                          <w:b/>
                          <w:sz w:val="28"/>
                          <w:szCs w:val="28"/>
                        </w:rPr>
                      </w:pPr>
                      <w:r w:rsidRPr="004A590D">
                        <w:rPr>
                          <w:b/>
                          <w:sz w:val="28"/>
                          <w:szCs w:val="28"/>
                        </w:rPr>
                        <w:t>Project aims:</w:t>
                      </w:r>
                    </w:p>
                    <w:p w14:paraId="217741AC" w14:textId="2908244F" w:rsidR="004A590D" w:rsidRPr="00544ED9" w:rsidRDefault="001525B4">
                      <w:pPr>
                        <w:rPr>
                          <w:rFonts w:cstheme="minorHAnsi"/>
                          <w:bCs/>
                          <w:color w:val="0B0C0C"/>
                          <w:sz w:val="28"/>
                          <w:szCs w:val="28"/>
                          <w:shd w:val="clear" w:color="auto" w:fill="FFFFFF"/>
                        </w:rPr>
                      </w:pPr>
                      <w:r w:rsidRPr="00544ED9">
                        <w:rPr>
                          <w:rFonts w:cstheme="minorHAnsi"/>
                          <w:bCs/>
                          <w:color w:val="0B0C0C"/>
                          <w:sz w:val="28"/>
                          <w:szCs w:val="28"/>
                          <w:shd w:val="clear" w:color="auto" w:fill="FFFFFF"/>
                        </w:rPr>
                        <w:t>The AIM project uses a simple telehealth system (‘Flo’) to support patients to take responsibility for the monitoring and shared management of their condition, treatment or lifestyle.</w:t>
                      </w:r>
                    </w:p>
                  </w:txbxContent>
                </v:textbox>
                <w10:wrap type="square" anchorx="margin"/>
              </v:shape>
            </w:pict>
          </mc:Fallback>
        </mc:AlternateContent>
      </w:r>
      <w:r w:rsidR="004A590D">
        <w:rPr>
          <w:noProof/>
        </w:rPr>
        <mc:AlternateContent>
          <mc:Choice Requires="wps">
            <w:drawing>
              <wp:anchor distT="45720" distB="45720" distL="114300" distR="114300" simplePos="0" relativeHeight="251659264" behindDoc="0" locked="0" layoutInCell="1" allowOverlap="1" wp14:anchorId="31CEA605" wp14:editId="0471DA7D">
                <wp:simplePos x="0" y="0"/>
                <wp:positionH relativeFrom="margin">
                  <wp:align>left</wp:align>
                </wp:positionH>
                <wp:positionV relativeFrom="paragraph">
                  <wp:posOffset>0</wp:posOffset>
                </wp:positionV>
                <wp:extent cx="5477510" cy="1404620"/>
                <wp:effectExtent l="0" t="0" r="2794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6BE71764" w:rsidR="004A590D" w:rsidRPr="00544ED9" w:rsidRDefault="001525B4" w:rsidP="002E4D64">
                            <w:pPr>
                              <w:rPr>
                                <w:rFonts w:cstheme="minorHAnsi"/>
                                <w:sz w:val="28"/>
                                <w:szCs w:val="28"/>
                              </w:rPr>
                            </w:pPr>
                            <w:r w:rsidRPr="00544ED9">
                              <w:rPr>
                                <w:rFonts w:cstheme="minorHAnsi"/>
                                <w:bCs/>
                                <w:color w:val="0B0C0C"/>
                                <w:sz w:val="28"/>
                                <w:szCs w:val="28"/>
                                <w:shd w:val="clear" w:color="auto" w:fill="FFFFFF"/>
                              </w:rPr>
                              <w:t>Stoke-on-Trent: telehealth helps patients manage their own conditions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EA605" id="_x0000_s1029" type="#_x0000_t202" style="position:absolute;margin-left:0;margin-top:0;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">
                <v:textbox style="mso-fit-shape-to-text:t">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6BE71764" w:rsidR="004A590D" w:rsidRPr="00544ED9" w:rsidRDefault="001525B4" w:rsidP="002E4D64">
                      <w:pPr>
                        <w:rPr>
                          <w:rFonts w:cstheme="minorHAnsi"/>
                          <w:sz w:val="28"/>
                          <w:szCs w:val="28"/>
                        </w:rPr>
                      </w:pPr>
                      <w:r w:rsidRPr="00544ED9">
                        <w:rPr>
                          <w:rFonts w:cstheme="minorHAnsi"/>
                          <w:bCs/>
                          <w:color w:val="0B0C0C"/>
                          <w:sz w:val="28"/>
                          <w:szCs w:val="28"/>
                          <w:shd w:val="clear" w:color="auto" w:fill="FFFFFF"/>
                        </w:rPr>
                        <w:t>Stoke-on-Trent: telehealth helps patients manage their own conditions</w:t>
                      </w:r>
                    </w:p>
                  </w:txbxContent>
                </v:textbox>
                <w10:wrap type="square" anchorx="margin"/>
              </v:shape>
            </w:pict>
          </mc:Fallback>
        </mc:AlternateContent>
      </w:r>
    </w:p>
    <w:p w14:paraId="77FC64A3" w14:textId="2E45E2C9" w:rsidR="004A590D" w:rsidRDefault="004A590D">
      <w:bookmarkStart w:id="0" w:name="_GoBack"/>
      <w:bookmarkEnd w:id="0"/>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1525B4"/>
    <w:rsid w:val="001E03AB"/>
    <w:rsid w:val="002E4D64"/>
    <w:rsid w:val="004A590D"/>
    <w:rsid w:val="005351E6"/>
    <w:rsid w:val="00544ED9"/>
    <w:rsid w:val="006307BF"/>
    <w:rsid w:val="00675C78"/>
    <w:rsid w:val="007E1537"/>
    <w:rsid w:val="00873036"/>
    <w:rsid w:val="008A2009"/>
    <w:rsid w:val="00942EF3"/>
    <w:rsid w:val="00977C33"/>
    <w:rsid w:val="00AD5B94"/>
    <w:rsid w:val="00CB2949"/>
    <w:rsid w:val="00CD7320"/>
    <w:rsid w:val="00DD0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2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926155809">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2.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5</cp:revision>
  <dcterms:created xsi:type="dcterms:W3CDTF">2019-07-19T13:21:00Z</dcterms:created>
  <dcterms:modified xsi:type="dcterms:W3CDTF">2019-08-05T08:33:00Z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