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693" w14:textId="2B51C9FC" w:rsidR="004A590D" w:rsidRDefault="00624DF0">
      <w:bookmarkStart w:id="0" w:name="_GoBack"/>
      <w:bookmarkEnd w:id="0"/>
      <w:r>
        <w:rPr>
          <w:noProof/>
        </w:rPr>
        <mc:AlternateContent>
          <mc:Choice Requires="wps">
            <w:drawing>
              <wp:anchor distT="45720" distB="45720" distL="114300" distR="114300" simplePos="0" relativeHeight="251663360" behindDoc="0" locked="0" layoutInCell="1" allowOverlap="1" wp14:anchorId="1F9BEBEE" wp14:editId="0AC6A840">
                <wp:simplePos x="0" y="0"/>
                <wp:positionH relativeFrom="margin">
                  <wp:align>left</wp:align>
                </wp:positionH>
                <wp:positionV relativeFrom="paragraph">
                  <wp:posOffset>1676400</wp:posOffset>
                </wp:positionV>
                <wp:extent cx="5457825" cy="49149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14900"/>
                        </a:xfrm>
                        <a:prstGeom prst="rect">
                          <a:avLst/>
                        </a:prstGeom>
                        <a:solidFill>
                          <a:srgbClr val="FFFFFF"/>
                        </a:solidFill>
                        <a:ln w="9525">
                          <a:solidFill>
                            <a:srgbClr val="000000"/>
                          </a:solidFill>
                          <a:miter lim="800000"/>
                          <a:headEnd/>
                          <a:tailEnd/>
                        </a:ln>
                      </wps:spPr>
                      <wps:txbx>
                        <w:txbxContent>
                          <w:p w14:paraId="09FC862C" w14:textId="4C6164D4" w:rsidR="00AD5B94" w:rsidRDefault="00624DF0">
                            <w:pPr>
                              <w:rPr>
                                <w:b/>
                                <w:sz w:val="28"/>
                                <w:szCs w:val="28"/>
                              </w:rPr>
                            </w:pPr>
                            <w:r>
                              <w:rPr>
                                <w:b/>
                                <w:sz w:val="28"/>
                                <w:szCs w:val="28"/>
                              </w:rPr>
                              <w:t>Executive Summary:</w:t>
                            </w:r>
                          </w:p>
                          <w:p w14:paraId="49F949E8" w14:textId="5CE76816" w:rsidR="00624DF0" w:rsidRDefault="00624DF0" w:rsidP="00624DF0">
                            <w:pPr>
                              <w:rPr>
                                <w:sz w:val="28"/>
                                <w:szCs w:val="28"/>
                              </w:rPr>
                            </w:pPr>
                            <w:r w:rsidRPr="00624DF0">
                              <w:rPr>
                                <w:sz w:val="28"/>
                                <w:szCs w:val="28"/>
                              </w:rPr>
                              <w:t>In 2008, the National Institute for Health and Care Excellence (NICE) in England published guidelines recommending that genetic testing is</w:t>
                            </w:r>
                            <w:r w:rsidRPr="00624DF0">
                              <w:rPr>
                                <w:sz w:val="28"/>
                                <w:szCs w:val="28"/>
                              </w:rPr>
                              <w:t xml:space="preserve"> </w:t>
                            </w:r>
                            <w:r w:rsidRPr="00624DF0">
                              <w:rPr>
                                <w:sz w:val="28"/>
                                <w:szCs w:val="28"/>
                              </w:rPr>
                              <w:t>provided for individuals suspected of FH as well as their family</w:t>
                            </w:r>
                            <w:r w:rsidRPr="00624DF0">
                              <w:rPr>
                                <w:sz w:val="28"/>
                                <w:szCs w:val="28"/>
                              </w:rPr>
                              <w:t xml:space="preserve"> </w:t>
                            </w:r>
                            <w:r w:rsidRPr="00624DF0">
                              <w:rPr>
                                <w:sz w:val="28"/>
                                <w:szCs w:val="28"/>
                              </w:rPr>
                              <w:t xml:space="preserve">members. Although NICE guidelines and low cost per QALY </w:t>
                            </w:r>
                            <w:proofErr w:type="gramStart"/>
                            <w:r w:rsidRPr="00624DF0">
                              <w:rPr>
                                <w:sz w:val="28"/>
                                <w:szCs w:val="28"/>
                              </w:rPr>
                              <w:t>are seen as</w:t>
                            </w:r>
                            <w:proofErr w:type="gramEnd"/>
                            <w:r w:rsidRPr="00624DF0">
                              <w:rPr>
                                <w:sz w:val="28"/>
                                <w:szCs w:val="28"/>
                              </w:rPr>
                              <w:t xml:space="preserve"> powerful incentives, genetic testing is not offered widely at present and services are patchy across the UK. The situation is further</w:t>
                            </w:r>
                            <w:r w:rsidRPr="00624DF0">
                              <w:rPr>
                                <w:sz w:val="28"/>
                                <w:szCs w:val="28"/>
                              </w:rPr>
                              <w:t xml:space="preserve"> </w:t>
                            </w:r>
                            <w:r w:rsidRPr="00624DF0">
                              <w:rPr>
                                <w:sz w:val="28"/>
                                <w:szCs w:val="28"/>
                              </w:rPr>
                              <w:t>fragmented in England where the responsibility for commissioning FH services is divided amongst 211 local Clinical Commissioning Groups. The BHF funding to support implementation of FH cascade services across the country have brought to light a variety of local and system-level barriers and enablers that are contributing to the current variation in access to services across the country.</w:t>
                            </w:r>
                          </w:p>
                          <w:p w14:paraId="34910223" w14:textId="1FA83967" w:rsidR="00624DF0" w:rsidRDefault="00624DF0" w:rsidP="00624DF0">
                            <w:pPr>
                              <w:rPr>
                                <w:sz w:val="28"/>
                                <w:szCs w:val="28"/>
                              </w:rPr>
                            </w:pPr>
                            <w:r>
                              <w:rPr>
                                <w:sz w:val="28"/>
                                <w:szCs w:val="28"/>
                              </w:rPr>
                              <w:t xml:space="preserve">This encompasses services and pathways, testing and databases, establishing and improving relationships, training and education, enablers and barriers to cost, data and sustainability. </w:t>
                            </w:r>
                          </w:p>
                          <w:p w14:paraId="13AEED41" w14:textId="38D09002" w:rsidR="00624DF0" w:rsidRDefault="00624DF0" w:rsidP="00624DF0">
                            <w:pPr>
                              <w:rPr>
                                <w:sz w:val="28"/>
                                <w:szCs w:val="28"/>
                              </w:rPr>
                            </w:pPr>
                          </w:p>
                          <w:p w14:paraId="34317BD0" w14:textId="023154AE" w:rsidR="00624DF0" w:rsidRPr="00624DF0" w:rsidRDefault="00624DF0" w:rsidP="00624DF0">
                            <w:pPr>
                              <w:jc w:val="center"/>
                              <w:rPr>
                                <w:i/>
                                <w:color w:val="4472C4" w:themeColor="accent1"/>
                                <w:sz w:val="24"/>
                                <w:szCs w:val="28"/>
                              </w:rPr>
                            </w:pPr>
                            <w:r w:rsidRPr="00624DF0">
                              <w:rPr>
                                <w:i/>
                                <w:color w:val="4472C4" w:themeColor="accent1"/>
                                <w:sz w:val="24"/>
                                <w:szCs w:val="28"/>
                              </w:rPr>
                              <w:t>Please see resources link for full report.</w:t>
                            </w:r>
                          </w:p>
                          <w:p w14:paraId="4F65EEA8" w14:textId="77777777" w:rsidR="00624DF0" w:rsidRDefault="00624DF0">
                            <w:pPr>
                              <w:rPr>
                                <w:b/>
                                <w:sz w:val="28"/>
                                <w:szCs w:val="28"/>
                              </w:rPr>
                            </w:pPr>
                          </w:p>
                          <w:p w14:paraId="37B4011B" w14:textId="455F2D94" w:rsidR="004A590D" w:rsidRPr="004A590D" w:rsidRDefault="004A590D">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BEBEE" id="_x0000_t202" coordsize="21600,21600" o:spt="202" path="m,l,21600r21600,l21600,xe">
                <v:stroke joinstyle="miter"/>
                <v:path gradientshapeok="t" o:connecttype="rect"/>
              </v:shapetype>
              <v:shape id="Text Box 2" o:spid="_x0000_s1026" type="#_x0000_t202" style="position:absolute;margin-left:0;margin-top:132pt;width:429.75pt;height:38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">
                <v:textbox>
                  <w:txbxContent>
                    <w:p w14:paraId="09FC862C" w14:textId="4C6164D4" w:rsidR="00AD5B94" w:rsidRDefault="00624DF0">
                      <w:pPr>
                        <w:rPr>
                          <w:b/>
                          <w:sz w:val="28"/>
                          <w:szCs w:val="28"/>
                        </w:rPr>
                      </w:pPr>
                      <w:r>
                        <w:rPr>
                          <w:b/>
                          <w:sz w:val="28"/>
                          <w:szCs w:val="28"/>
                        </w:rPr>
                        <w:t>Executive Summary:</w:t>
                      </w:r>
                    </w:p>
                    <w:p w14:paraId="49F949E8" w14:textId="5CE76816" w:rsidR="00624DF0" w:rsidRDefault="00624DF0" w:rsidP="00624DF0">
                      <w:pPr>
                        <w:rPr>
                          <w:sz w:val="28"/>
                          <w:szCs w:val="28"/>
                        </w:rPr>
                      </w:pPr>
                      <w:r w:rsidRPr="00624DF0">
                        <w:rPr>
                          <w:sz w:val="28"/>
                          <w:szCs w:val="28"/>
                        </w:rPr>
                        <w:t>In 2008, the National Institute for Health and Care Excellence (NICE) in England published guidelines recommending that genetic testing is</w:t>
                      </w:r>
                      <w:r w:rsidRPr="00624DF0">
                        <w:rPr>
                          <w:sz w:val="28"/>
                          <w:szCs w:val="28"/>
                        </w:rPr>
                        <w:t xml:space="preserve"> </w:t>
                      </w:r>
                      <w:r w:rsidRPr="00624DF0">
                        <w:rPr>
                          <w:sz w:val="28"/>
                          <w:szCs w:val="28"/>
                        </w:rPr>
                        <w:t>provided for individuals suspected of FH as well as their family</w:t>
                      </w:r>
                      <w:r w:rsidRPr="00624DF0">
                        <w:rPr>
                          <w:sz w:val="28"/>
                          <w:szCs w:val="28"/>
                        </w:rPr>
                        <w:t xml:space="preserve"> </w:t>
                      </w:r>
                      <w:r w:rsidRPr="00624DF0">
                        <w:rPr>
                          <w:sz w:val="28"/>
                          <w:szCs w:val="28"/>
                        </w:rPr>
                        <w:t xml:space="preserve">members. Although NICE guidelines and low cost per QALY </w:t>
                      </w:r>
                      <w:proofErr w:type="gramStart"/>
                      <w:r w:rsidRPr="00624DF0">
                        <w:rPr>
                          <w:sz w:val="28"/>
                          <w:szCs w:val="28"/>
                        </w:rPr>
                        <w:t>are seen as</w:t>
                      </w:r>
                      <w:proofErr w:type="gramEnd"/>
                      <w:r w:rsidRPr="00624DF0">
                        <w:rPr>
                          <w:sz w:val="28"/>
                          <w:szCs w:val="28"/>
                        </w:rPr>
                        <w:t xml:space="preserve"> powerful incentives, genetic testing is not offered widely at present and services are patchy across the UK. The situation is further</w:t>
                      </w:r>
                      <w:r w:rsidRPr="00624DF0">
                        <w:rPr>
                          <w:sz w:val="28"/>
                          <w:szCs w:val="28"/>
                        </w:rPr>
                        <w:t xml:space="preserve"> </w:t>
                      </w:r>
                      <w:r w:rsidRPr="00624DF0">
                        <w:rPr>
                          <w:sz w:val="28"/>
                          <w:szCs w:val="28"/>
                        </w:rPr>
                        <w:t>fragmented in England where the responsibility for commissioning FH services is divided amongst 211 local Clinical Commissioning Groups. The BHF funding to support implementation of FH cascade services across the country have brought to light a variety of local and system-level barriers and enablers that are contributing to the current variation in access to services across the country.</w:t>
                      </w:r>
                    </w:p>
                    <w:p w14:paraId="34910223" w14:textId="1FA83967" w:rsidR="00624DF0" w:rsidRDefault="00624DF0" w:rsidP="00624DF0">
                      <w:pPr>
                        <w:rPr>
                          <w:sz w:val="28"/>
                          <w:szCs w:val="28"/>
                        </w:rPr>
                      </w:pPr>
                      <w:r>
                        <w:rPr>
                          <w:sz w:val="28"/>
                          <w:szCs w:val="28"/>
                        </w:rPr>
                        <w:t xml:space="preserve">This encompasses services and pathways, testing and databases, establishing and improving relationships, training and education, enablers and barriers to cost, data and sustainability. </w:t>
                      </w:r>
                    </w:p>
                    <w:p w14:paraId="13AEED41" w14:textId="38D09002" w:rsidR="00624DF0" w:rsidRDefault="00624DF0" w:rsidP="00624DF0">
                      <w:pPr>
                        <w:rPr>
                          <w:sz w:val="28"/>
                          <w:szCs w:val="28"/>
                        </w:rPr>
                      </w:pPr>
                    </w:p>
                    <w:p w14:paraId="34317BD0" w14:textId="023154AE" w:rsidR="00624DF0" w:rsidRPr="00624DF0" w:rsidRDefault="00624DF0" w:rsidP="00624DF0">
                      <w:pPr>
                        <w:jc w:val="center"/>
                        <w:rPr>
                          <w:i/>
                          <w:color w:val="4472C4" w:themeColor="accent1"/>
                          <w:sz w:val="24"/>
                          <w:szCs w:val="28"/>
                        </w:rPr>
                      </w:pPr>
                      <w:r w:rsidRPr="00624DF0">
                        <w:rPr>
                          <w:i/>
                          <w:color w:val="4472C4" w:themeColor="accent1"/>
                          <w:sz w:val="24"/>
                          <w:szCs w:val="28"/>
                        </w:rPr>
                        <w:t>Please see resources link for full report.</w:t>
                      </w:r>
                    </w:p>
                    <w:p w14:paraId="4F65EEA8" w14:textId="77777777" w:rsidR="00624DF0" w:rsidRDefault="00624DF0">
                      <w:pPr>
                        <w:rPr>
                          <w:b/>
                          <w:sz w:val="28"/>
                          <w:szCs w:val="28"/>
                        </w:rPr>
                      </w:pPr>
                    </w:p>
                    <w:p w14:paraId="37B4011B" w14:textId="455F2D94" w:rsidR="004A590D" w:rsidRPr="004A590D" w:rsidRDefault="004A590D">
                      <w:pPr>
                        <w:rPr>
                          <w:b/>
                          <w:sz w:val="28"/>
                          <w:szCs w:val="28"/>
                        </w:rPr>
                      </w:pPr>
                    </w:p>
                  </w:txbxContent>
                </v:textbox>
                <w10:wrap type="square" anchorx="margin"/>
              </v:shape>
            </w:pict>
          </mc:Fallback>
        </mc:AlternateContent>
      </w:r>
      <w:r w:rsidR="004A590D">
        <w:rPr>
          <w:noProof/>
        </w:rPr>
        <mc:AlternateContent>
          <mc:Choice Requires="wps">
            <w:drawing>
              <wp:anchor distT="45720" distB="45720" distL="114300" distR="114300" simplePos="0" relativeHeight="251659264" behindDoc="0" locked="0" layoutInCell="1" allowOverlap="1" wp14:anchorId="31CEA605" wp14:editId="45262B88">
                <wp:simplePos x="0" y="0"/>
                <wp:positionH relativeFrom="margin">
                  <wp:align>left</wp:align>
                </wp:positionH>
                <wp:positionV relativeFrom="paragraph">
                  <wp:posOffset>387985</wp:posOffset>
                </wp:positionV>
                <wp:extent cx="5477510" cy="1038225"/>
                <wp:effectExtent l="0" t="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038225"/>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4E33FA99" w:rsidR="004A590D" w:rsidRPr="000B173D" w:rsidRDefault="00624DF0" w:rsidP="002E4D64">
                            <w:pPr>
                              <w:rPr>
                                <w:sz w:val="28"/>
                                <w:szCs w:val="24"/>
                              </w:rPr>
                            </w:pPr>
                            <w:r w:rsidRPr="00624DF0">
                              <w:rPr>
                                <w:sz w:val="28"/>
                                <w:szCs w:val="24"/>
                              </w:rPr>
                              <w:t xml:space="preserve">Delivery </w:t>
                            </w:r>
                            <w:r>
                              <w:rPr>
                                <w:sz w:val="28"/>
                                <w:szCs w:val="24"/>
                              </w:rPr>
                              <w:t>o</w:t>
                            </w:r>
                            <w:r w:rsidRPr="00624DF0">
                              <w:rPr>
                                <w:sz w:val="28"/>
                                <w:szCs w:val="24"/>
                              </w:rPr>
                              <w:t>f Familial Hypercholesterolaemia Services:</w:t>
                            </w:r>
                            <w:r>
                              <w:rPr>
                                <w:sz w:val="28"/>
                                <w:szCs w:val="24"/>
                              </w:rPr>
                              <w:t xml:space="preserve"> Identifying Enablers and Barriers – BHF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EA605" id="_x0000_s1027" type="#_x0000_t202" style="position:absolute;margin-left:0;margin-top:30.55pt;width:431.3pt;height:81.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">
                <v:textbox>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4E33FA99" w:rsidR="004A590D" w:rsidRPr="000B173D" w:rsidRDefault="00624DF0" w:rsidP="002E4D64">
                      <w:pPr>
                        <w:rPr>
                          <w:sz w:val="28"/>
                          <w:szCs w:val="24"/>
                        </w:rPr>
                      </w:pPr>
                      <w:r w:rsidRPr="00624DF0">
                        <w:rPr>
                          <w:sz w:val="28"/>
                          <w:szCs w:val="24"/>
                        </w:rPr>
                        <w:t xml:space="preserve">Delivery </w:t>
                      </w:r>
                      <w:r>
                        <w:rPr>
                          <w:sz w:val="28"/>
                          <w:szCs w:val="24"/>
                        </w:rPr>
                        <w:t>o</w:t>
                      </w:r>
                      <w:r w:rsidRPr="00624DF0">
                        <w:rPr>
                          <w:sz w:val="28"/>
                          <w:szCs w:val="24"/>
                        </w:rPr>
                        <w:t>f Familial Hypercholesterolaemia Services:</w:t>
                      </w:r>
                      <w:r>
                        <w:rPr>
                          <w:sz w:val="28"/>
                          <w:szCs w:val="24"/>
                        </w:rPr>
                        <w:t xml:space="preserve"> Identifying Enablers and Barriers – BHF Report </w:t>
                      </w:r>
                    </w:p>
                  </w:txbxContent>
                </v:textbox>
                <w10:wrap type="square" anchorx="margin"/>
              </v:shape>
            </w:pict>
          </mc:Fallback>
        </mc:AlternateContent>
      </w:r>
    </w:p>
    <w:p w14:paraId="77FC64A3" w14:textId="57972807" w:rsidR="004A590D" w:rsidRDefault="004A590D"/>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0B173D"/>
    <w:rsid w:val="00120D70"/>
    <w:rsid w:val="001E03AB"/>
    <w:rsid w:val="002E4D64"/>
    <w:rsid w:val="00350B80"/>
    <w:rsid w:val="004A590D"/>
    <w:rsid w:val="005351E6"/>
    <w:rsid w:val="005A0BC0"/>
    <w:rsid w:val="00624DF0"/>
    <w:rsid w:val="00675C78"/>
    <w:rsid w:val="007E1537"/>
    <w:rsid w:val="00873036"/>
    <w:rsid w:val="008A2009"/>
    <w:rsid w:val="00942EF3"/>
    <w:rsid w:val="00977C33"/>
    <w:rsid w:val="00AD5B94"/>
    <w:rsid w:val="00CD7320"/>
    <w:rsid w:val="00EE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731538669">
      <w:bodyDiv w:val="1"/>
      <w:marLeft w:val="0"/>
      <w:marRight w:val="0"/>
      <w:marTop w:val="0"/>
      <w:marBottom w:val="0"/>
      <w:divBdr>
        <w:top w:val="none" w:sz="0" w:space="0" w:color="auto"/>
        <w:left w:val="none" w:sz="0" w:space="0" w:color="auto"/>
        <w:bottom w:val="none" w:sz="0" w:space="0" w:color="auto"/>
        <w:right w:val="none" w:sz="0" w:space="0" w:color="auto"/>
      </w:divBdr>
    </w:div>
    <w:div w:id="1052071158">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 w:id="1550997757">
      <w:bodyDiv w:val="1"/>
      <w:marLeft w:val="0"/>
      <w:marRight w:val="0"/>
      <w:marTop w:val="0"/>
      <w:marBottom w:val="0"/>
      <w:divBdr>
        <w:top w:val="none" w:sz="0" w:space="0" w:color="auto"/>
        <w:left w:val="none" w:sz="0" w:space="0" w:color="auto"/>
        <w:bottom w:val="none" w:sz="0" w:space="0" w:color="auto"/>
        <w:right w:val="none" w:sz="0" w:space="0" w:color="auto"/>
      </w:divBdr>
    </w:div>
    <w:div w:id="1583679001">
      <w:bodyDiv w:val="1"/>
      <w:marLeft w:val="0"/>
      <w:marRight w:val="0"/>
      <w:marTop w:val="0"/>
      <w:marBottom w:val="0"/>
      <w:divBdr>
        <w:top w:val="none" w:sz="0" w:space="0" w:color="auto"/>
        <w:left w:val="none" w:sz="0" w:space="0" w:color="auto"/>
        <w:bottom w:val="none" w:sz="0" w:space="0" w:color="auto"/>
        <w:right w:val="none" w:sz="0" w:space="0" w:color="auto"/>
      </w:divBdr>
    </w:div>
    <w:div w:id="1910648795">
      <w:bodyDiv w:val="1"/>
      <w:marLeft w:val="0"/>
      <w:marRight w:val="0"/>
      <w:marTop w:val="0"/>
      <w:marBottom w:val="0"/>
      <w:divBdr>
        <w:top w:val="none" w:sz="0" w:space="0" w:color="auto"/>
        <w:left w:val="none" w:sz="0" w:space="0" w:color="auto"/>
        <w:bottom w:val="none" w:sz="0" w:space="0" w:color="auto"/>
        <w:right w:val="none" w:sz="0" w:space="0" w:color="auto"/>
      </w:divBdr>
    </w:div>
    <w:div w:id="203059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F239E-7967-4A61-8E44-CC7130BE787C}">
  <ds:schemaRefs>
    <ds:schemaRef ds:uri="http://schemas.microsoft.com/sharepoint/v3/contenttype/forms"/>
  </ds:schemaRefs>
</ds:datastoreItem>
</file>

<file path=customXml/itemProps2.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2</cp:revision>
  <dcterms:created xsi:type="dcterms:W3CDTF">2019-08-05T10:36:00Z</dcterms:created>
  <dcterms:modified xsi:type="dcterms:W3CDTF">2019-08-05T10:36:00Z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