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573E1" w14:textId="12B00F8C" w:rsidR="00112624" w:rsidRDefault="003262F8">
      <w:pPr>
        <w:spacing w:before="17" w:line="280" w:lineRule="exact"/>
        <w:rPr>
          <w:sz w:val="28"/>
          <w:szCs w:val="28"/>
        </w:rPr>
      </w:pPr>
      <w:r>
        <w:rPr>
          <w:noProof/>
          <w:lang w:val="en-GB" w:eastAsia="en-GB"/>
        </w:rPr>
        <w:drawing>
          <wp:anchor distT="0" distB="0" distL="114300" distR="114300" simplePos="0" relativeHeight="251660288" behindDoc="0" locked="0" layoutInCell="1" allowOverlap="1" wp14:anchorId="3379D641" wp14:editId="62234480">
            <wp:simplePos x="0" y="0"/>
            <wp:positionH relativeFrom="column">
              <wp:posOffset>5952871</wp:posOffset>
            </wp:positionH>
            <wp:positionV relativeFrom="paragraph">
              <wp:posOffset>142875</wp:posOffset>
            </wp:positionV>
            <wp:extent cx="1146810" cy="76390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6810" cy="76390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7A75D6DE" wp14:editId="6ACD132A">
            <wp:simplePos x="0" y="0"/>
            <wp:positionH relativeFrom="margin">
              <wp:align>left</wp:align>
            </wp:positionH>
            <wp:positionV relativeFrom="margin">
              <wp:posOffset>158750</wp:posOffset>
            </wp:positionV>
            <wp:extent cx="1124585" cy="6673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8182" cy="669565"/>
                    </a:xfrm>
                    <a:prstGeom prst="rect">
                      <a:avLst/>
                    </a:prstGeom>
                    <a:noFill/>
                  </pic:spPr>
                </pic:pic>
              </a:graphicData>
            </a:graphic>
            <wp14:sizeRelH relativeFrom="margin">
              <wp14:pctWidth>0</wp14:pctWidth>
            </wp14:sizeRelH>
            <wp14:sizeRelV relativeFrom="margin">
              <wp14:pctHeight>0</wp14:pctHeight>
            </wp14:sizeRelV>
          </wp:anchor>
        </w:drawing>
      </w:r>
    </w:p>
    <w:p w14:paraId="2E3B3B6E" w14:textId="0B1C3AA3" w:rsidR="00112624" w:rsidRDefault="00112624">
      <w:pPr>
        <w:spacing w:before="8" w:line="120" w:lineRule="exact"/>
        <w:rPr>
          <w:sz w:val="12"/>
          <w:szCs w:val="12"/>
        </w:rPr>
      </w:pPr>
    </w:p>
    <w:p w14:paraId="3163C9BF" w14:textId="78CC83A2" w:rsidR="00112624" w:rsidRDefault="00A160E3">
      <w:pPr>
        <w:spacing w:line="200" w:lineRule="exact"/>
      </w:pPr>
      <w:r>
        <w:t xml:space="preserve">                                                                                                                                              </w:t>
      </w:r>
    </w:p>
    <w:p w14:paraId="5C3F759C" w14:textId="264A7D27" w:rsidR="00112624" w:rsidRDefault="00112624">
      <w:pPr>
        <w:spacing w:line="200" w:lineRule="exact"/>
      </w:pPr>
    </w:p>
    <w:p w14:paraId="098FB79E" w14:textId="21C33FAB" w:rsidR="00112624" w:rsidRDefault="00112624">
      <w:pPr>
        <w:spacing w:line="200" w:lineRule="exact"/>
      </w:pPr>
    </w:p>
    <w:p w14:paraId="48DFCCD8" w14:textId="722BBD2F" w:rsidR="00F8690A" w:rsidRDefault="00A160E3" w:rsidP="00196B3A">
      <w:pPr>
        <w:spacing w:before="25"/>
        <w:ind w:right="5719"/>
        <w:rPr>
          <w:rFonts w:ascii="Arial" w:eastAsia="Arial" w:hAnsi="Arial" w:cs="Arial"/>
          <w:b/>
          <w:sz w:val="28"/>
          <w:szCs w:val="28"/>
        </w:rPr>
      </w:pPr>
      <w:r>
        <w:rPr>
          <w:rFonts w:ascii="Arial" w:eastAsia="Arial" w:hAnsi="Arial" w:cs="Arial"/>
          <w:b/>
          <w:sz w:val="28"/>
          <w:szCs w:val="28"/>
        </w:rPr>
        <w:t xml:space="preserve"> </w:t>
      </w:r>
    </w:p>
    <w:p w14:paraId="6983E8FC" w14:textId="56384C9B" w:rsidR="00112624" w:rsidRDefault="00A160E3" w:rsidP="00196B3A">
      <w:pPr>
        <w:spacing w:before="25"/>
        <w:ind w:right="5719"/>
        <w:rPr>
          <w:rFonts w:ascii="Arial" w:eastAsia="Arial" w:hAnsi="Arial" w:cs="Arial"/>
          <w:sz w:val="28"/>
          <w:szCs w:val="28"/>
        </w:rPr>
      </w:pPr>
      <w:r>
        <w:rPr>
          <w:rFonts w:ascii="Arial" w:eastAsia="Arial" w:hAnsi="Arial" w:cs="Arial"/>
          <w:b/>
          <w:sz w:val="28"/>
          <w:szCs w:val="28"/>
        </w:rPr>
        <w:t xml:space="preserve"> London Clinical Oxygen </w:t>
      </w:r>
      <w:r w:rsidR="002C1BD0">
        <w:rPr>
          <w:rFonts w:ascii="Arial" w:eastAsia="Arial" w:hAnsi="Arial" w:cs="Arial"/>
          <w:b/>
          <w:sz w:val="28"/>
          <w:szCs w:val="28"/>
        </w:rPr>
        <w:t>Network (LCON)</w:t>
      </w:r>
      <w:r w:rsidRPr="00A160E3">
        <w:rPr>
          <w:noProof/>
          <w:lang w:eastAsia="en-GB"/>
        </w:rPr>
        <w:t xml:space="preserve"> </w:t>
      </w:r>
    </w:p>
    <w:p w14:paraId="048DFB6B" w14:textId="77777777" w:rsidR="00112624" w:rsidRDefault="00A160E3" w:rsidP="00196B3A">
      <w:pPr>
        <w:spacing w:before="6" w:line="240" w:lineRule="exact"/>
        <w:rPr>
          <w:sz w:val="24"/>
          <w:szCs w:val="24"/>
        </w:rPr>
      </w:pPr>
      <w:r>
        <w:rPr>
          <w:noProof/>
          <w:lang w:val="en-GB" w:eastAsia="en-GB"/>
        </w:rPr>
        <w:drawing>
          <wp:inline distT="0" distB="0" distL="0" distR="0" wp14:anchorId="2A324486" wp14:editId="657BA224">
            <wp:extent cx="1475105" cy="1000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5105" cy="1000125"/>
                    </a:xfrm>
                    <a:prstGeom prst="rect">
                      <a:avLst/>
                    </a:prstGeom>
                    <a:noFill/>
                  </pic:spPr>
                </pic:pic>
              </a:graphicData>
            </a:graphic>
          </wp:inline>
        </w:drawing>
      </w:r>
    </w:p>
    <w:p w14:paraId="55F2F29D" w14:textId="77777777" w:rsidR="00112624" w:rsidRDefault="002C1BD0">
      <w:pPr>
        <w:ind w:left="70" w:right="5710"/>
        <w:jc w:val="center"/>
        <w:rPr>
          <w:rFonts w:ascii="Arial" w:eastAsia="Arial" w:hAnsi="Arial" w:cs="Arial"/>
          <w:sz w:val="22"/>
          <w:szCs w:val="22"/>
        </w:rPr>
      </w:pPr>
      <w:r>
        <w:rPr>
          <w:rFonts w:ascii="Arial" w:eastAsia="Arial" w:hAnsi="Arial" w:cs="Arial"/>
          <w:b/>
          <w:sz w:val="22"/>
          <w:szCs w:val="22"/>
        </w:rPr>
        <w:t>Responsible Oxygen Prescribing Messages (Adults)</w:t>
      </w:r>
    </w:p>
    <w:p w14:paraId="64525A75" w14:textId="77777777" w:rsidR="00112624" w:rsidRDefault="00112624">
      <w:pPr>
        <w:spacing w:before="6" w:line="240" w:lineRule="exact"/>
        <w:rPr>
          <w:sz w:val="24"/>
          <w:szCs w:val="24"/>
        </w:rPr>
      </w:pPr>
    </w:p>
    <w:p w14:paraId="46652A26" w14:textId="0E78BE9D" w:rsidR="00112624" w:rsidRDefault="002C1BD0">
      <w:pPr>
        <w:spacing w:line="240" w:lineRule="exact"/>
        <w:ind w:left="466" w:right="1418" w:hanging="360"/>
        <w:rPr>
          <w:rFonts w:ascii="Arial" w:eastAsia="Arial" w:hAnsi="Arial" w:cs="Arial"/>
          <w:sz w:val="22"/>
          <w:szCs w:val="22"/>
        </w:rPr>
      </w:pPr>
      <w:r>
        <w:rPr>
          <w:rFonts w:ascii="Arial" w:eastAsia="Arial" w:hAnsi="Arial" w:cs="Arial"/>
          <w:sz w:val="22"/>
          <w:szCs w:val="22"/>
        </w:rPr>
        <w:t xml:space="preserve">1.   Oxygen is a medicine that should always be planned, </w:t>
      </w:r>
      <w:proofErr w:type="gramStart"/>
      <w:r>
        <w:rPr>
          <w:rFonts w:ascii="Arial" w:eastAsia="Arial" w:hAnsi="Arial" w:cs="Arial"/>
          <w:sz w:val="22"/>
          <w:szCs w:val="22"/>
        </w:rPr>
        <w:t>prescribed</w:t>
      </w:r>
      <w:proofErr w:type="gramEnd"/>
      <w:r>
        <w:rPr>
          <w:rFonts w:ascii="Arial" w:eastAsia="Arial" w:hAnsi="Arial" w:cs="Arial"/>
          <w:sz w:val="22"/>
          <w:szCs w:val="22"/>
        </w:rPr>
        <w:t xml:space="preserve"> and reviewed by staff trained in oxygen prescription and use.</w:t>
      </w:r>
      <w:r w:rsidR="003262F8" w:rsidRPr="003262F8">
        <w:rPr>
          <w:noProof/>
          <w:lang w:val="en-GB" w:eastAsia="en-GB"/>
        </w:rPr>
        <w:t xml:space="preserve"> </w:t>
      </w:r>
    </w:p>
    <w:p w14:paraId="320EC002" w14:textId="77777777" w:rsidR="00112624" w:rsidRDefault="00112624">
      <w:pPr>
        <w:spacing w:before="10" w:line="240" w:lineRule="exact"/>
        <w:rPr>
          <w:sz w:val="24"/>
          <w:szCs w:val="24"/>
        </w:rPr>
      </w:pPr>
    </w:p>
    <w:p w14:paraId="7AE8DC26" w14:textId="77777777" w:rsidR="00112624" w:rsidRDefault="002C1BD0">
      <w:pPr>
        <w:ind w:left="466" w:right="942" w:hanging="360"/>
        <w:rPr>
          <w:rFonts w:ascii="Arial" w:eastAsia="Arial" w:hAnsi="Arial" w:cs="Arial"/>
          <w:sz w:val="22"/>
          <w:szCs w:val="22"/>
        </w:rPr>
      </w:pPr>
      <w:r>
        <w:rPr>
          <w:rFonts w:ascii="Arial" w:eastAsia="Arial" w:hAnsi="Arial" w:cs="Arial"/>
          <w:sz w:val="22"/>
          <w:szCs w:val="22"/>
        </w:rPr>
        <w:t>2.   Oxygen is a medicine to treat hypoxia, not breathlessness, and therefore should not be prescribed for breathlessness without hypoxia. Cluster headache is the only indication for oxygen in the absence of hypoxia.</w:t>
      </w:r>
    </w:p>
    <w:p w14:paraId="52528C53" w14:textId="77777777" w:rsidR="00112624" w:rsidRDefault="00112624">
      <w:pPr>
        <w:spacing w:before="19" w:line="240" w:lineRule="exact"/>
        <w:rPr>
          <w:sz w:val="24"/>
          <w:szCs w:val="24"/>
        </w:rPr>
      </w:pPr>
    </w:p>
    <w:p w14:paraId="43DE22FF" w14:textId="77777777" w:rsidR="00112624" w:rsidRDefault="002C1BD0">
      <w:pPr>
        <w:spacing w:line="240" w:lineRule="exact"/>
        <w:ind w:left="466" w:right="1386" w:hanging="360"/>
        <w:rPr>
          <w:rFonts w:ascii="Arial" w:eastAsia="Arial" w:hAnsi="Arial" w:cs="Arial"/>
          <w:sz w:val="22"/>
          <w:szCs w:val="22"/>
        </w:rPr>
      </w:pPr>
      <w:r>
        <w:rPr>
          <w:rFonts w:ascii="Arial" w:eastAsia="Arial" w:hAnsi="Arial" w:cs="Arial"/>
          <w:sz w:val="22"/>
          <w:szCs w:val="22"/>
        </w:rPr>
        <w:t>3.   Just as any other medicine, oxygen should not be prescribed without a clear indication, dose and duration. Intended benefits, risk and contraindications should be considered.</w:t>
      </w:r>
    </w:p>
    <w:p w14:paraId="3BF1581E" w14:textId="77777777" w:rsidR="00112624" w:rsidRDefault="00112624">
      <w:pPr>
        <w:spacing w:before="10" w:line="240" w:lineRule="exact"/>
        <w:rPr>
          <w:sz w:val="24"/>
          <w:szCs w:val="24"/>
        </w:rPr>
      </w:pPr>
    </w:p>
    <w:p w14:paraId="34CE5BAE" w14:textId="77777777" w:rsidR="00112624" w:rsidRDefault="002C1BD0">
      <w:pPr>
        <w:ind w:left="466" w:right="669" w:hanging="360"/>
        <w:jc w:val="both"/>
        <w:rPr>
          <w:rFonts w:ascii="Arial" w:eastAsia="Arial" w:hAnsi="Arial" w:cs="Arial"/>
          <w:sz w:val="22"/>
          <w:szCs w:val="22"/>
        </w:rPr>
      </w:pPr>
      <w:r>
        <w:rPr>
          <w:rFonts w:ascii="Arial" w:eastAsia="Arial" w:hAnsi="Arial" w:cs="Arial"/>
          <w:sz w:val="22"/>
          <w:szCs w:val="22"/>
        </w:rPr>
        <w:t xml:space="preserve">4.   Acute oxygen prescription </w:t>
      </w:r>
      <w:r w:rsidR="00196B3A">
        <w:rPr>
          <w:rFonts w:ascii="Arial" w:eastAsia="Arial" w:hAnsi="Arial" w:cs="Arial"/>
          <w:sz w:val="22"/>
          <w:szCs w:val="22"/>
        </w:rPr>
        <w:t>must include</w:t>
      </w:r>
      <w:r>
        <w:rPr>
          <w:rFonts w:ascii="Arial" w:eastAsia="Arial" w:hAnsi="Arial" w:cs="Arial"/>
          <w:sz w:val="22"/>
          <w:szCs w:val="22"/>
        </w:rPr>
        <w:t xml:space="preserve"> the </w:t>
      </w:r>
      <w:r w:rsidR="00196B3A">
        <w:rPr>
          <w:rFonts w:ascii="Arial" w:eastAsia="Arial" w:hAnsi="Arial" w:cs="Arial"/>
          <w:sz w:val="22"/>
          <w:szCs w:val="22"/>
        </w:rPr>
        <w:t>target oxygen</w:t>
      </w:r>
      <w:r>
        <w:rPr>
          <w:rFonts w:ascii="Arial" w:eastAsia="Arial" w:hAnsi="Arial" w:cs="Arial"/>
          <w:sz w:val="22"/>
          <w:szCs w:val="22"/>
        </w:rPr>
        <w:t xml:space="preserve"> saturation range and state the appropriate interface and range of flow rates to achieve this.   Oxygen saturations must be monitored according to </w:t>
      </w:r>
      <w:r w:rsidR="00196B3A">
        <w:rPr>
          <w:rFonts w:ascii="Arial" w:eastAsia="Arial" w:hAnsi="Arial" w:cs="Arial"/>
          <w:sz w:val="22"/>
          <w:szCs w:val="22"/>
        </w:rPr>
        <w:t>an agreed</w:t>
      </w:r>
      <w:r w:rsidR="009247D5">
        <w:rPr>
          <w:rFonts w:ascii="Arial" w:eastAsia="Arial" w:hAnsi="Arial" w:cs="Arial"/>
          <w:sz w:val="22"/>
          <w:szCs w:val="22"/>
        </w:rPr>
        <w:t xml:space="preserve"> </w:t>
      </w:r>
      <w:r>
        <w:rPr>
          <w:rFonts w:ascii="Arial" w:eastAsia="Arial" w:hAnsi="Arial" w:cs="Arial"/>
          <w:sz w:val="22"/>
          <w:szCs w:val="22"/>
        </w:rPr>
        <w:t xml:space="preserve">and feasible  management  plan.  </w:t>
      </w:r>
      <w:r w:rsidR="00196B3A">
        <w:rPr>
          <w:rFonts w:ascii="Arial" w:eastAsia="Arial" w:hAnsi="Arial" w:cs="Arial"/>
          <w:sz w:val="22"/>
          <w:szCs w:val="22"/>
        </w:rPr>
        <w:t xml:space="preserve">Those who </w:t>
      </w:r>
      <w:r w:rsidR="00F10750">
        <w:rPr>
          <w:rFonts w:ascii="Arial" w:eastAsia="Arial" w:hAnsi="Arial" w:cs="Arial"/>
          <w:sz w:val="22"/>
          <w:szCs w:val="22"/>
        </w:rPr>
        <w:t>administer oxygen should have regular</w:t>
      </w:r>
      <w:r>
        <w:rPr>
          <w:rFonts w:ascii="Arial" w:eastAsia="Arial" w:hAnsi="Arial" w:cs="Arial"/>
          <w:sz w:val="22"/>
          <w:szCs w:val="22"/>
        </w:rPr>
        <w:t xml:space="preserve"> and ongoing training so that they are able to monitor and respond to a patient’s oxygen saturations within the management plan.</w:t>
      </w:r>
    </w:p>
    <w:p w14:paraId="6B9FE173" w14:textId="77777777" w:rsidR="00112624" w:rsidRDefault="00112624">
      <w:pPr>
        <w:spacing w:before="13" w:line="240" w:lineRule="exact"/>
        <w:rPr>
          <w:sz w:val="24"/>
          <w:szCs w:val="24"/>
        </w:rPr>
      </w:pPr>
    </w:p>
    <w:p w14:paraId="6F98DE4D" w14:textId="77777777" w:rsidR="00112624" w:rsidRPr="00E6445F" w:rsidRDefault="002C1BD0">
      <w:pPr>
        <w:ind w:left="466" w:right="668" w:hanging="360"/>
        <w:jc w:val="both"/>
        <w:rPr>
          <w:rFonts w:ascii="Arial" w:eastAsia="Arial" w:hAnsi="Arial" w:cs="Arial"/>
          <w:sz w:val="22"/>
          <w:szCs w:val="22"/>
        </w:rPr>
      </w:pPr>
      <w:r>
        <w:rPr>
          <w:rFonts w:ascii="Arial" w:eastAsia="Arial" w:hAnsi="Arial" w:cs="Arial"/>
          <w:sz w:val="22"/>
          <w:szCs w:val="22"/>
        </w:rPr>
        <w:t>5.   Long  term  oxygen  treatment  (15-24  hours  per  day)  and  oxygen  used  with  non-invasive  ventilation should only be prescribed after specialist review. This must include a risk assessment around possible fire, burns, falls and ability to use complex equipment.  The identification and communication of risks is the responsibility of the prescriber.</w:t>
      </w:r>
      <w:r w:rsidR="005D14E5">
        <w:rPr>
          <w:rFonts w:ascii="Arial" w:eastAsia="Arial" w:hAnsi="Arial" w:cs="Arial"/>
          <w:sz w:val="22"/>
          <w:szCs w:val="22"/>
        </w:rPr>
        <w:t xml:space="preserve"> </w:t>
      </w:r>
      <w:r w:rsidR="005D14E5" w:rsidRPr="00E6445F">
        <w:rPr>
          <w:rFonts w:ascii="Arial" w:eastAsia="Arial" w:hAnsi="Arial" w:cs="Arial"/>
          <w:sz w:val="22"/>
          <w:szCs w:val="22"/>
        </w:rPr>
        <w:t xml:space="preserve">The </w:t>
      </w:r>
      <w:r w:rsidR="00E6445F" w:rsidRPr="00E6445F">
        <w:rPr>
          <w:rFonts w:ascii="Arial" w:eastAsia="Arial" w:hAnsi="Arial" w:cs="Arial"/>
          <w:sz w:val="22"/>
          <w:szCs w:val="22"/>
        </w:rPr>
        <w:t xml:space="preserve">electronic </w:t>
      </w:r>
      <w:r w:rsidR="005D14E5" w:rsidRPr="00E6445F">
        <w:rPr>
          <w:rFonts w:ascii="Arial" w:eastAsia="Arial" w:hAnsi="Arial" w:cs="Arial"/>
          <w:sz w:val="22"/>
          <w:szCs w:val="22"/>
        </w:rPr>
        <w:t xml:space="preserve">risk assessment </w:t>
      </w:r>
      <w:r w:rsidR="00E6445F" w:rsidRPr="00E6445F">
        <w:rPr>
          <w:rFonts w:ascii="Arial" w:eastAsia="Arial" w:hAnsi="Arial" w:cs="Arial"/>
          <w:sz w:val="22"/>
          <w:szCs w:val="22"/>
        </w:rPr>
        <w:t>should be</w:t>
      </w:r>
      <w:r w:rsidR="005D14E5" w:rsidRPr="00E6445F">
        <w:rPr>
          <w:rFonts w:ascii="Arial" w:eastAsia="Arial" w:hAnsi="Arial" w:cs="Arial"/>
          <w:sz w:val="22"/>
          <w:szCs w:val="22"/>
        </w:rPr>
        <w:t xml:space="preserve"> </w:t>
      </w:r>
      <w:r w:rsidR="00E6445F" w:rsidRPr="00E6445F">
        <w:rPr>
          <w:rFonts w:ascii="Arial" w:eastAsia="Arial" w:hAnsi="Arial" w:cs="Arial"/>
          <w:sz w:val="22"/>
          <w:szCs w:val="22"/>
        </w:rPr>
        <w:t>completed</w:t>
      </w:r>
      <w:r w:rsidR="005D14E5" w:rsidRPr="00E6445F">
        <w:rPr>
          <w:rFonts w:ascii="Arial" w:eastAsia="Arial" w:hAnsi="Arial" w:cs="Arial"/>
          <w:sz w:val="22"/>
          <w:szCs w:val="22"/>
        </w:rPr>
        <w:t xml:space="preserve"> on the </w:t>
      </w:r>
      <w:r w:rsidR="00E6445F" w:rsidRPr="00E6445F">
        <w:rPr>
          <w:rFonts w:ascii="Arial" w:eastAsia="Arial" w:hAnsi="Arial" w:cs="Arial"/>
          <w:sz w:val="22"/>
          <w:szCs w:val="22"/>
        </w:rPr>
        <w:t xml:space="preserve">oxygen </w:t>
      </w:r>
      <w:proofErr w:type="gramStart"/>
      <w:r w:rsidR="00E6445F" w:rsidRPr="00E6445F">
        <w:rPr>
          <w:rFonts w:ascii="Arial" w:eastAsia="Arial" w:hAnsi="Arial" w:cs="Arial"/>
          <w:sz w:val="22"/>
          <w:szCs w:val="22"/>
        </w:rPr>
        <w:t>suppliers</w:t>
      </w:r>
      <w:proofErr w:type="gramEnd"/>
      <w:r w:rsidR="005D14E5" w:rsidRPr="00E6445F">
        <w:rPr>
          <w:rFonts w:ascii="Arial" w:eastAsia="Arial" w:hAnsi="Arial" w:cs="Arial"/>
          <w:sz w:val="22"/>
          <w:szCs w:val="22"/>
        </w:rPr>
        <w:t xml:space="preserve"> portal</w:t>
      </w:r>
      <w:r w:rsidR="00E6445F" w:rsidRPr="00E6445F">
        <w:rPr>
          <w:rFonts w:ascii="Arial" w:eastAsia="Arial" w:hAnsi="Arial" w:cs="Arial"/>
          <w:sz w:val="22"/>
          <w:szCs w:val="22"/>
        </w:rPr>
        <w:t xml:space="preserve"> before prescribing the oxygen.</w:t>
      </w:r>
    </w:p>
    <w:p w14:paraId="569534F8" w14:textId="77777777" w:rsidR="00112624" w:rsidRPr="005D14E5" w:rsidRDefault="00112624">
      <w:pPr>
        <w:spacing w:before="14" w:line="240" w:lineRule="exact"/>
        <w:rPr>
          <w:color w:val="FF0000"/>
          <w:sz w:val="24"/>
          <w:szCs w:val="24"/>
        </w:rPr>
      </w:pPr>
    </w:p>
    <w:p w14:paraId="351DF7D2" w14:textId="77777777" w:rsidR="00112624" w:rsidRDefault="002C1BD0">
      <w:pPr>
        <w:ind w:left="466" w:right="675" w:hanging="360"/>
        <w:jc w:val="both"/>
        <w:rPr>
          <w:rFonts w:ascii="Arial" w:eastAsia="Arial" w:hAnsi="Arial" w:cs="Arial"/>
          <w:sz w:val="22"/>
          <w:szCs w:val="22"/>
        </w:rPr>
      </w:pPr>
      <w:r>
        <w:rPr>
          <w:rFonts w:ascii="Arial" w:eastAsia="Arial" w:hAnsi="Arial" w:cs="Arial"/>
          <w:sz w:val="22"/>
          <w:szCs w:val="22"/>
        </w:rPr>
        <w:t xml:space="preserve">6.   Oxygen  prescription  for  people  who  smoke  poses  a  danger,  to  patients  themselves  and  to  others, because of the fire risk. Starting or continuing home oxygen prescription in this group is very strongly discouraged. Support for smoking cessation must be the priority for treatment </w:t>
      </w:r>
      <w:r w:rsidR="00E6445F">
        <w:rPr>
          <w:rFonts w:ascii="Arial" w:eastAsia="Arial" w:hAnsi="Arial" w:cs="Arial"/>
          <w:sz w:val="22"/>
          <w:szCs w:val="22"/>
        </w:rPr>
        <w:t xml:space="preserve">and may itself remove the need </w:t>
      </w:r>
      <w:proofErr w:type="gramStart"/>
      <w:r>
        <w:rPr>
          <w:rFonts w:ascii="Arial" w:eastAsia="Arial" w:hAnsi="Arial" w:cs="Arial"/>
          <w:sz w:val="22"/>
          <w:szCs w:val="22"/>
        </w:rPr>
        <w:t>for  oxygen</w:t>
      </w:r>
      <w:proofErr w:type="gramEnd"/>
      <w:r>
        <w:rPr>
          <w:rFonts w:ascii="Arial" w:eastAsia="Arial" w:hAnsi="Arial" w:cs="Arial"/>
          <w:sz w:val="22"/>
          <w:szCs w:val="22"/>
        </w:rPr>
        <w:t xml:space="preserve">  by  improving  blood  gases.  Ongoing  specialist  follow  up  of  this  high  risk  group  of hypoxic smokers is essential.</w:t>
      </w:r>
    </w:p>
    <w:p w14:paraId="59B8F214" w14:textId="77777777" w:rsidR="00112624" w:rsidRDefault="00112624">
      <w:pPr>
        <w:spacing w:before="13" w:line="240" w:lineRule="exact"/>
        <w:rPr>
          <w:sz w:val="24"/>
          <w:szCs w:val="24"/>
        </w:rPr>
      </w:pPr>
    </w:p>
    <w:p w14:paraId="272BCB59" w14:textId="77777777" w:rsidR="00112624" w:rsidRDefault="002C1BD0">
      <w:pPr>
        <w:ind w:left="466" w:right="710" w:hanging="360"/>
        <w:rPr>
          <w:rFonts w:ascii="Arial" w:eastAsia="Arial" w:hAnsi="Arial" w:cs="Arial"/>
          <w:sz w:val="22"/>
          <w:szCs w:val="22"/>
        </w:rPr>
      </w:pPr>
      <w:r>
        <w:rPr>
          <w:rFonts w:ascii="Arial" w:eastAsia="Arial" w:hAnsi="Arial" w:cs="Arial"/>
          <w:sz w:val="22"/>
          <w:szCs w:val="22"/>
        </w:rPr>
        <w:t xml:space="preserve">7.   Specialist oxygen assessment and follow up should include </w:t>
      </w:r>
      <w:proofErr w:type="spellStart"/>
      <w:r>
        <w:rPr>
          <w:rFonts w:ascii="Arial" w:eastAsia="Arial" w:hAnsi="Arial" w:cs="Arial"/>
          <w:sz w:val="22"/>
          <w:szCs w:val="22"/>
        </w:rPr>
        <w:t>individualised</w:t>
      </w:r>
      <w:proofErr w:type="spellEnd"/>
      <w:r>
        <w:rPr>
          <w:rFonts w:ascii="Arial" w:eastAsia="Arial" w:hAnsi="Arial" w:cs="Arial"/>
          <w:sz w:val="22"/>
          <w:szCs w:val="22"/>
        </w:rPr>
        <w:t xml:space="preserve"> patient and </w:t>
      </w:r>
      <w:proofErr w:type="spellStart"/>
      <w:r>
        <w:rPr>
          <w:rFonts w:ascii="Arial" w:eastAsia="Arial" w:hAnsi="Arial" w:cs="Arial"/>
          <w:sz w:val="22"/>
          <w:szCs w:val="22"/>
        </w:rPr>
        <w:t>carer</w:t>
      </w:r>
      <w:proofErr w:type="spellEnd"/>
      <w:r>
        <w:rPr>
          <w:rFonts w:ascii="Arial" w:eastAsia="Arial" w:hAnsi="Arial" w:cs="Arial"/>
          <w:sz w:val="22"/>
          <w:szCs w:val="22"/>
        </w:rPr>
        <w:t xml:space="preserve"> education about oxygen treatment, comprehensive risk assessment and carbon monoxide monitoring. Health care professionals should discuss with the patient his or her responsibility to use oxygen safely, the risks of a smoking relapse and the importance of continued abstinence from smoking. Time should be allowed to check patients’ and </w:t>
      </w:r>
      <w:proofErr w:type="spellStart"/>
      <w:r>
        <w:rPr>
          <w:rFonts w:ascii="Arial" w:eastAsia="Arial" w:hAnsi="Arial" w:cs="Arial"/>
          <w:sz w:val="22"/>
          <w:szCs w:val="22"/>
        </w:rPr>
        <w:t>carers’</w:t>
      </w:r>
      <w:proofErr w:type="spellEnd"/>
      <w:r>
        <w:rPr>
          <w:rFonts w:ascii="Arial" w:eastAsia="Arial" w:hAnsi="Arial" w:cs="Arial"/>
          <w:sz w:val="22"/>
          <w:szCs w:val="22"/>
        </w:rPr>
        <w:t xml:space="preserve"> understanding of these complex issues.</w:t>
      </w:r>
    </w:p>
    <w:p w14:paraId="5624E641" w14:textId="77777777" w:rsidR="00112624" w:rsidRDefault="00112624">
      <w:pPr>
        <w:spacing w:before="11" w:line="240" w:lineRule="exact"/>
        <w:rPr>
          <w:sz w:val="24"/>
          <w:szCs w:val="24"/>
        </w:rPr>
      </w:pPr>
    </w:p>
    <w:p w14:paraId="60A22C0B" w14:textId="77777777" w:rsidR="00112624" w:rsidRDefault="002C1BD0">
      <w:pPr>
        <w:ind w:left="466" w:right="678" w:hanging="360"/>
        <w:rPr>
          <w:rFonts w:ascii="Arial" w:eastAsia="Arial" w:hAnsi="Arial" w:cs="Arial"/>
          <w:sz w:val="22"/>
          <w:szCs w:val="22"/>
        </w:rPr>
      </w:pPr>
      <w:r>
        <w:rPr>
          <w:rFonts w:ascii="Arial" w:eastAsia="Arial" w:hAnsi="Arial" w:cs="Arial"/>
          <w:sz w:val="22"/>
          <w:szCs w:val="22"/>
        </w:rPr>
        <w:t>8.   Patients on long term oxygen therapy at risk of harm from excessive oxygen should be identified and their care plan shared with their GP and local hospitals as well as ambulance and out of hours services.</w:t>
      </w:r>
    </w:p>
    <w:p w14:paraId="4880996E" w14:textId="77777777" w:rsidR="00112624" w:rsidRDefault="00112624">
      <w:pPr>
        <w:spacing w:before="17" w:line="240" w:lineRule="exact"/>
        <w:rPr>
          <w:sz w:val="24"/>
          <w:szCs w:val="24"/>
        </w:rPr>
      </w:pPr>
    </w:p>
    <w:p w14:paraId="088AFF56" w14:textId="77777777" w:rsidR="00112624" w:rsidRDefault="002C1BD0">
      <w:pPr>
        <w:spacing w:line="240" w:lineRule="exact"/>
        <w:ind w:left="466" w:right="672" w:hanging="360"/>
        <w:rPr>
          <w:rFonts w:ascii="Arial" w:eastAsia="Arial" w:hAnsi="Arial" w:cs="Arial"/>
          <w:sz w:val="22"/>
          <w:szCs w:val="22"/>
        </w:rPr>
      </w:pPr>
      <w:r>
        <w:rPr>
          <w:rFonts w:ascii="Arial" w:eastAsia="Arial" w:hAnsi="Arial" w:cs="Arial"/>
          <w:sz w:val="22"/>
          <w:szCs w:val="22"/>
        </w:rPr>
        <w:t xml:space="preserve">9.   Patients  who  may  benefit  from  ambulatory  oxygen  to  </w:t>
      </w:r>
      <w:proofErr w:type="spellStart"/>
      <w:r>
        <w:rPr>
          <w:rFonts w:ascii="Arial" w:eastAsia="Arial" w:hAnsi="Arial" w:cs="Arial"/>
          <w:sz w:val="22"/>
          <w:szCs w:val="22"/>
        </w:rPr>
        <w:t>maximise</w:t>
      </w:r>
      <w:proofErr w:type="spellEnd"/>
      <w:r>
        <w:rPr>
          <w:rFonts w:ascii="Arial" w:eastAsia="Arial" w:hAnsi="Arial" w:cs="Arial"/>
          <w:sz w:val="22"/>
          <w:szCs w:val="22"/>
        </w:rPr>
        <w:t xml:space="preserve">  their  independence  should  have  a specialist assessment with access to the full range of relevant equipment to meet their individual needs.</w:t>
      </w:r>
    </w:p>
    <w:p w14:paraId="577228B5" w14:textId="77777777" w:rsidR="00112624" w:rsidRPr="00E6445F" w:rsidRDefault="00112624">
      <w:pPr>
        <w:spacing w:before="8" w:line="280" w:lineRule="exact"/>
        <w:rPr>
          <w:sz w:val="28"/>
          <w:szCs w:val="28"/>
        </w:rPr>
      </w:pPr>
    </w:p>
    <w:p w14:paraId="519096DF" w14:textId="77777777" w:rsidR="00112624" w:rsidRPr="00E6445F" w:rsidRDefault="002C1BD0">
      <w:pPr>
        <w:ind w:left="466" w:right="857" w:hanging="360"/>
        <w:rPr>
          <w:rFonts w:ascii="Arial" w:eastAsia="Arial" w:hAnsi="Arial" w:cs="Arial"/>
          <w:sz w:val="22"/>
          <w:szCs w:val="22"/>
        </w:rPr>
      </w:pPr>
      <w:r w:rsidRPr="00E6445F">
        <w:rPr>
          <w:rFonts w:ascii="Arial" w:eastAsia="Arial" w:hAnsi="Arial" w:cs="Arial"/>
          <w:sz w:val="22"/>
          <w:szCs w:val="22"/>
        </w:rPr>
        <w:t xml:space="preserve">10. Home Oxygen Service Assessment and Review (HOSAR) services are vital to ensure evidence based patient </w:t>
      </w:r>
      <w:proofErr w:type="spellStart"/>
      <w:r w:rsidRPr="00E6445F">
        <w:rPr>
          <w:rFonts w:ascii="Arial" w:eastAsia="Arial" w:hAnsi="Arial" w:cs="Arial"/>
          <w:sz w:val="22"/>
          <w:szCs w:val="22"/>
        </w:rPr>
        <w:t>centred</w:t>
      </w:r>
      <w:proofErr w:type="spellEnd"/>
      <w:r w:rsidRPr="00E6445F">
        <w:rPr>
          <w:rFonts w:ascii="Arial" w:eastAsia="Arial" w:hAnsi="Arial" w:cs="Arial"/>
          <w:sz w:val="22"/>
          <w:szCs w:val="22"/>
        </w:rPr>
        <w:t xml:space="preserve"> care and optimal value for money. They should be integrated with local respi</w:t>
      </w:r>
      <w:r w:rsidR="00A160E3" w:rsidRPr="00E6445F">
        <w:rPr>
          <w:rFonts w:ascii="Arial" w:eastAsia="Arial" w:hAnsi="Arial" w:cs="Arial"/>
          <w:sz w:val="22"/>
          <w:szCs w:val="22"/>
        </w:rPr>
        <w:t>ratory services to be effective</w:t>
      </w:r>
      <w:r w:rsidR="00196B3A" w:rsidRPr="00E6445F">
        <w:rPr>
          <w:rFonts w:ascii="Arial" w:eastAsia="Arial" w:hAnsi="Arial" w:cs="Arial"/>
          <w:sz w:val="22"/>
          <w:szCs w:val="22"/>
        </w:rPr>
        <w:t xml:space="preserve"> as per the</w:t>
      </w:r>
      <w:r w:rsidR="00A160E3" w:rsidRPr="00E6445F">
        <w:t xml:space="preserve"> </w:t>
      </w:r>
      <w:r w:rsidR="00A160E3" w:rsidRPr="00E6445F">
        <w:rPr>
          <w:rFonts w:ascii="Arial" w:eastAsia="Arial" w:hAnsi="Arial" w:cs="Arial"/>
          <w:sz w:val="22"/>
          <w:szCs w:val="22"/>
        </w:rPr>
        <w:t>London Service Specification: Home Oxygen Assessment and Review Service (HOS-AR)</w:t>
      </w:r>
    </w:p>
    <w:p w14:paraId="32F8D12A" w14:textId="77777777" w:rsidR="00112624" w:rsidRDefault="00112624">
      <w:pPr>
        <w:spacing w:before="6" w:line="100" w:lineRule="exact"/>
        <w:rPr>
          <w:sz w:val="10"/>
          <w:szCs w:val="10"/>
        </w:rPr>
      </w:pPr>
    </w:p>
    <w:p w14:paraId="0E7CFE2B" w14:textId="77777777" w:rsidR="00112624" w:rsidRDefault="00112624">
      <w:pPr>
        <w:spacing w:line="200" w:lineRule="exact"/>
      </w:pPr>
    </w:p>
    <w:p w14:paraId="6C2F7D27" w14:textId="77777777" w:rsidR="00112624" w:rsidRDefault="00112624">
      <w:pPr>
        <w:spacing w:line="200" w:lineRule="exact"/>
      </w:pPr>
    </w:p>
    <w:p w14:paraId="74E13095" w14:textId="77777777" w:rsidR="00112624" w:rsidRPr="00E6445F" w:rsidRDefault="002C1BD0">
      <w:pPr>
        <w:spacing w:line="240" w:lineRule="exact"/>
        <w:ind w:left="466"/>
        <w:rPr>
          <w:rFonts w:ascii="Arial" w:eastAsia="Arial" w:hAnsi="Arial" w:cs="Arial"/>
          <w:sz w:val="22"/>
          <w:szCs w:val="22"/>
        </w:rPr>
      </w:pPr>
      <w:r w:rsidRPr="00E6445F">
        <w:rPr>
          <w:rFonts w:ascii="Arial" w:eastAsia="Arial" w:hAnsi="Arial" w:cs="Arial"/>
          <w:sz w:val="22"/>
          <w:szCs w:val="22"/>
        </w:rPr>
        <w:t>London Clinical Oxygen Network</w:t>
      </w:r>
    </w:p>
    <w:p w14:paraId="7E11C839" w14:textId="77777777" w:rsidR="00112624" w:rsidRPr="00E6445F" w:rsidRDefault="002C1BD0">
      <w:pPr>
        <w:spacing w:before="1"/>
        <w:ind w:left="466"/>
        <w:rPr>
          <w:rFonts w:ascii="Arial" w:eastAsia="Arial" w:hAnsi="Arial" w:cs="Arial"/>
          <w:sz w:val="22"/>
          <w:szCs w:val="22"/>
        </w:rPr>
      </w:pPr>
      <w:r w:rsidRPr="00E6445F">
        <w:rPr>
          <w:rFonts w:ascii="Arial" w:eastAsia="Arial" w:hAnsi="Arial" w:cs="Arial"/>
          <w:sz w:val="22"/>
          <w:szCs w:val="22"/>
        </w:rPr>
        <w:t>June 2016</w:t>
      </w:r>
    </w:p>
    <w:p w14:paraId="0B3B3BE7" w14:textId="77777777" w:rsidR="00196B3A" w:rsidRPr="00E6445F" w:rsidRDefault="00196B3A">
      <w:pPr>
        <w:spacing w:before="1"/>
        <w:ind w:left="466"/>
        <w:rPr>
          <w:rFonts w:ascii="Arial" w:eastAsia="Arial" w:hAnsi="Arial" w:cs="Arial"/>
          <w:sz w:val="22"/>
          <w:szCs w:val="22"/>
        </w:rPr>
      </w:pPr>
      <w:r w:rsidRPr="00E6445F">
        <w:rPr>
          <w:rFonts w:ascii="Arial" w:eastAsia="Arial" w:hAnsi="Arial" w:cs="Arial"/>
          <w:sz w:val="22"/>
          <w:szCs w:val="22"/>
        </w:rPr>
        <w:t>Reviewed March 2022</w:t>
      </w:r>
    </w:p>
    <w:sectPr w:rsidR="00196B3A" w:rsidRPr="00E6445F">
      <w:type w:val="continuous"/>
      <w:pgSz w:w="11920" w:h="16840"/>
      <w:pgMar w:top="20" w:right="1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0B6571"/>
    <w:multiLevelType w:val="multilevel"/>
    <w:tmpl w:val="C0CE4C3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24"/>
    <w:rsid w:val="00112624"/>
    <w:rsid w:val="00196B3A"/>
    <w:rsid w:val="002C1BD0"/>
    <w:rsid w:val="003262F8"/>
    <w:rsid w:val="00530145"/>
    <w:rsid w:val="005D14E5"/>
    <w:rsid w:val="009247D5"/>
    <w:rsid w:val="00A160E3"/>
    <w:rsid w:val="00A65D58"/>
    <w:rsid w:val="00AF102E"/>
    <w:rsid w:val="00E6445F"/>
    <w:rsid w:val="00F10750"/>
    <w:rsid w:val="00F86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46D8"/>
  <w15:docId w15:val="{2717B3D6-4E45-4B72-B85A-DF0C49D0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A160E3"/>
    <w:rPr>
      <w:sz w:val="16"/>
      <w:szCs w:val="16"/>
    </w:rPr>
  </w:style>
  <w:style w:type="paragraph" w:styleId="CommentText">
    <w:name w:val="annotation text"/>
    <w:basedOn w:val="Normal"/>
    <w:link w:val="CommentTextChar"/>
    <w:uiPriority w:val="99"/>
    <w:semiHidden/>
    <w:unhideWhenUsed/>
    <w:rsid w:val="00A160E3"/>
  </w:style>
  <w:style w:type="character" w:customStyle="1" w:styleId="CommentTextChar">
    <w:name w:val="Comment Text Char"/>
    <w:basedOn w:val="DefaultParagraphFont"/>
    <w:link w:val="CommentText"/>
    <w:uiPriority w:val="99"/>
    <w:semiHidden/>
    <w:rsid w:val="00A160E3"/>
  </w:style>
  <w:style w:type="paragraph" w:styleId="CommentSubject">
    <w:name w:val="annotation subject"/>
    <w:basedOn w:val="CommentText"/>
    <w:next w:val="CommentText"/>
    <w:link w:val="CommentSubjectChar"/>
    <w:uiPriority w:val="99"/>
    <w:semiHidden/>
    <w:unhideWhenUsed/>
    <w:rsid w:val="00A160E3"/>
    <w:rPr>
      <w:b/>
      <w:bCs/>
    </w:rPr>
  </w:style>
  <w:style w:type="character" w:customStyle="1" w:styleId="CommentSubjectChar">
    <w:name w:val="Comment Subject Char"/>
    <w:basedOn w:val="CommentTextChar"/>
    <w:link w:val="CommentSubject"/>
    <w:uiPriority w:val="99"/>
    <w:semiHidden/>
    <w:rsid w:val="00A160E3"/>
    <w:rPr>
      <w:b/>
      <w:bCs/>
    </w:rPr>
  </w:style>
  <w:style w:type="paragraph" w:styleId="BalloonText">
    <w:name w:val="Balloon Text"/>
    <w:basedOn w:val="Normal"/>
    <w:link w:val="BalloonTextChar"/>
    <w:uiPriority w:val="99"/>
    <w:semiHidden/>
    <w:unhideWhenUsed/>
    <w:rsid w:val="00A160E3"/>
    <w:rPr>
      <w:rFonts w:ascii="Tahoma" w:hAnsi="Tahoma" w:cs="Tahoma"/>
      <w:sz w:val="16"/>
      <w:szCs w:val="16"/>
    </w:rPr>
  </w:style>
  <w:style w:type="character" w:customStyle="1" w:styleId="BalloonTextChar">
    <w:name w:val="Balloon Text Char"/>
    <w:basedOn w:val="DefaultParagraphFont"/>
    <w:link w:val="BalloonText"/>
    <w:uiPriority w:val="99"/>
    <w:semiHidden/>
    <w:rsid w:val="00A16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512</Words>
  <Characters>2919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Homerton University Hospital NHS Foundation Trust</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Roots Deborah at Homerton University Hospital NHS Trust</dc:creator>
  <cp:lastModifiedBy>Maisie Nair</cp:lastModifiedBy>
  <cp:revision>2</cp:revision>
  <dcterms:created xsi:type="dcterms:W3CDTF">2022-07-07T08:49:00Z</dcterms:created>
  <dcterms:modified xsi:type="dcterms:W3CDTF">2022-07-07T08:49:00Z</dcterms:modified>
</cp:coreProperties>
</file>