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BCABA" w14:textId="77777777" w:rsidR="00E160DD" w:rsidRDefault="00E160DD" w:rsidP="004329CE">
      <w:pPr>
        <w:pStyle w:val="NoSpacing"/>
        <w:jc w:val="both"/>
        <w:rPr>
          <w:b/>
          <w:sz w:val="20"/>
          <w:szCs w:val="20"/>
          <w:u w:val="single"/>
        </w:rPr>
      </w:pPr>
    </w:p>
    <w:p w14:paraId="6B6D4D62" w14:textId="77777777" w:rsidR="00E160DD" w:rsidRDefault="00E160DD" w:rsidP="004329CE">
      <w:pPr>
        <w:pStyle w:val="NoSpacing"/>
        <w:jc w:val="both"/>
        <w:rPr>
          <w:b/>
          <w:sz w:val="20"/>
          <w:szCs w:val="20"/>
          <w:u w:val="single"/>
        </w:rPr>
      </w:pPr>
    </w:p>
    <w:p w14:paraId="5B3EA6B4" w14:textId="77777777" w:rsidR="00E160DD" w:rsidRDefault="00E160DD" w:rsidP="004329CE">
      <w:pPr>
        <w:pStyle w:val="NoSpacing"/>
        <w:jc w:val="both"/>
        <w:rPr>
          <w:b/>
          <w:sz w:val="20"/>
          <w:szCs w:val="20"/>
          <w:u w:val="single"/>
        </w:rPr>
      </w:pPr>
    </w:p>
    <w:p w14:paraId="0D8E3C35" w14:textId="77777777" w:rsidR="00E160DD" w:rsidRDefault="00E160DD" w:rsidP="004329CE">
      <w:pPr>
        <w:pStyle w:val="NoSpacing"/>
        <w:jc w:val="both"/>
        <w:rPr>
          <w:b/>
          <w:sz w:val="20"/>
          <w:szCs w:val="20"/>
          <w:u w:val="single"/>
        </w:rPr>
      </w:pPr>
    </w:p>
    <w:p w14:paraId="24A8778D" w14:textId="77777777" w:rsidR="00565F68" w:rsidRDefault="00514EDF" w:rsidP="00565F68">
      <w:pPr>
        <w:jc w:val="both"/>
        <w:rPr>
          <w:rFonts w:eastAsia="Times New Roman"/>
          <w:b/>
          <w:color w:val="FF0000"/>
          <w:sz w:val="28"/>
          <w:szCs w:val="28"/>
          <w:lang w:val="en-US" w:eastAsia="en-GB"/>
        </w:rPr>
      </w:pPr>
      <w:r w:rsidRPr="00FA4718">
        <w:rPr>
          <w:b/>
          <w:i/>
          <w:szCs w:val="28"/>
        </w:rPr>
        <w:br/>
      </w:r>
    </w:p>
    <w:p w14:paraId="6DFF1BD6" w14:textId="77777777" w:rsidR="00565F68" w:rsidRDefault="00565F68" w:rsidP="00565F68">
      <w:pPr>
        <w:jc w:val="both"/>
        <w:rPr>
          <w:rFonts w:eastAsia="Times New Roman"/>
          <w:b/>
          <w:color w:val="FF0000"/>
          <w:sz w:val="28"/>
          <w:szCs w:val="28"/>
          <w:lang w:val="en-US" w:eastAsia="en-GB"/>
        </w:rPr>
      </w:pPr>
      <w:r>
        <w:rPr>
          <w:rFonts w:eastAsia="Times New Roman"/>
          <w:b/>
          <w:color w:val="FF0000"/>
          <w:sz w:val="28"/>
          <w:szCs w:val="28"/>
          <w:lang w:val="en-US" w:eastAsia="en-GB"/>
        </w:rPr>
        <w:t>Advice on Oxygen treatment for Cluster Headache in Adults</w:t>
      </w:r>
    </w:p>
    <w:p w14:paraId="6EDBC2BF" w14:textId="77777777" w:rsidR="00565F68" w:rsidRDefault="00565F68" w:rsidP="00565F68">
      <w:pPr>
        <w:jc w:val="both"/>
        <w:rPr>
          <w:rFonts w:eastAsia="Times New Roman"/>
          <w:b/>
          <w:color w:val="FF0000"/>
          <w:sz w:val="16"/>
          <w:szCs w:val="24"/>
          <w:lang w:val="en-US" w:eastAsia="en-GB"/>
        </w:rPr>
      </w:pPr>
      <w:r>
        <w:rPr>
          <w:rFonts w:eastAsia="Times New Roman"/>
          <w:b/>
          <w:color w:val="FF0000"/>
          <w:sz w:val="28"/>
          <w:szCs w:val="28"/>
          <w:lang w:val="en-US" w:eastAsia="en-GB"/>
        </w:rPr>
        <w:t>London Clinical Oxygen Network</w:t>
      </w:r>
    </w:p>
    <w:p w14:paraId="7FCB09B3" w14:textId="77777777" w:rsidR="00565F68" w:rsidRDefault="00565F68" w:rsidP="00565F68">
      <w:pPr>
        <w:rPr>
          <w:rFonts w:eastAsia="Times New Roman"/>
          <w:b/>
          <w:color w:val="FF0000"/>
          <w:sz w:val="28"/>
          <w:szCs w:val="28"/>
          <w:lang w:eastAsia="en-GB"/>
        </w:rPr>
      </w:pPr>
      <w:r>
        <w:rPr>
          <w:rFonts w:eastAsia="Times New Roman"/>
          <w:b/>
          <w:color w:val="FF0000"/>
          <w:sz w:val="28"/>
          <w:szCs w:val="28"/>
          <w:lang w:eastAsia="en-GB"/>
        </w:rPr>
        <w:t>Information for GPs and Neurologists</w:t>
      </w:r>
    </w:p>
    <w:p w14:paraId="2B402305" w14:textId="2E3A81AE" w:rsidR="00565F68" w:rsidRDefault="00565F68" w:rsidP="00565F68">
      <w:pPr>
        <w:jc w:val="both"/>
        <w:rPr>
          <w:rFonts w:eastAsia="Times New Roman"/>
          <w:lang w:eastAsia="en-GB"/>
        </w:rPr>
      </w:pPr>
      <w:r>
        <w:rPr>
          <w:rFonts w:eastAsia="Times New Roman"/>
          <w:lang w:eastAsia="en-GB"/>
        </w:rPr>
        <w:t xml:space="preserve">Cluster headache is the only indication for oxygen therapy in the absence of hypoxia. High flow oxygen is very effective in some patients in relieving symptoms of an acute cluster headache (CH) quickly and safely. The evidence base is clear, and the use widely accepted in the medical </w:t>
      </w:r>
      <w:r>
        <w:rPr>
          <w:rFonts w:eastAsia="Times New Roman"/>
          <w:lang w:eastAsia="en-GB"/>
        </w:rPr>
        <w:fldChar w:fldCharType="begin"/>
      </w:r>
      <w:r>
        <w:rPr>
          <w:rFonts w:eastAsia="Times New Roman"/>
          <w:lang w:eastAsia="en-GB"/>
        </w:rPr>
        <w:instrText xml:space="preserve"> ADDIN EN.CITE &lt;EndNote&gt;&lt;Cite&gt;&lt;Author&gt;Nesbitt&lt;/Author&gt;&lt;Year&gt;2012&lt;/Year&gt;&lt;RecNum&gt;10139&lt;/RecNum&gt;&lt;DisplayText&gt;(1)&lt;/DisplayText&gt;&lt;record&gt;&lt;rec-number&gt;10139&lt;/rec-number&gt;&lt;foreign-keys&gt;&lt;key app="EN" db-id="f5sszra5d5xtxlezx215rx0qdpts2atfww0s" timestamp="1437576397"&gt;10139&lt;/key&gt;&lt;key app="ENWeb" db-id=""&gt;0&lt;/key&gt;&lt;/foreign-keys&gt;&lt;ref-type name="Journal Article"&gt;17&lt;/ref-type&gt;&lt;contributors&gt;&lt;authors&gt;&lt;author&gt;Nesbitt, A. D.&lt;/author&gt;&lt;author&gt;Goadsby, P. J.&lt;/author&gt;&lt;/authors&gt;&lt;/contributors&gt;&lt;titles&gt;&lt;title&gt;Cluster Headache&lt;/title&gt;&lt;secondary-title&gt;British Medical Journal&lt;/secondary-title&gt;&lt;/titles&gt;&lt;periodical&gt;&lt;full-title&gt;British Medical Journal&lt;/full-title&gt;&lt;abbr-1&gt;British Medical Journal&lt;/abbr-1&gt;&lt;/periodical&gt;&lt;pages&gt;e2407&lt;/pages&gt;&lt;volume&gt;344&lt;/volume&gt;&lt;keywords&gt;&lt;keyword&gt;review&lt;/keyword&gt;&lt;/keywords&gt;&lt;dates&gt;&lt;year&gt;2012&lt;/year&gt;&lt;/dates&gt;&lt;urls&gt;&lt;/urls&gt;&lt;/record&gt;&lt;/Cite&gt;&lt;/EndNote&gt;</w:instrText>
      </w:r>
      <w:r>
        <w:rPr>
          <w:rFonts w:eastAsia="Times New Roman"/>
          <w:lang w:eastAsia="en-GB"/>
        </w:rPr>
        <w:fldChar w:fldCharType="separate"/>
      </w:r>
      <w:r>
        <w:rPr>
          <w:rFonts w:eastAsia="Times New Roman"/>
          <w:noProof/>
          <w:lang w:eastAsia="en-GB"/>
        </w:rPr>
        <w:t>(1)</w:t>
      </w:r>
      <w:r>
        <w:rPr>
          <w:rFonts w:eastAsia="Times New Roman"/>
          <w:lang w:eastAsia="en-GB"/>
        </w:rPr>
        <w:fldChar w:fldCharType="end"/>
      </w:r>
      <w:r>
        <w:rPr>
          <w:rFonts w:eastAsia="Times New Roman"/>
          <w:lang w:eastAsia="en-GB"/>
        </w:rPr>
        <w:t xml:space="preserve"> and patient communities (www.ouch-uk.org). In the majority of these patients, the headaches occur in clusters (bouts) with daily attacks for several weeks. Cluster headache bouts alternate with remission periods</w:t>
      </w:r>
      <w:r w:rsidR="00577DD5">
        <w:rPr>
          <w:rFonts w:eastAsia="Times New Roman"/>
          <w:lang w:eastAsia="en-GB"/>
        </w:rPr>
        <w:t xml:space="preserve"> </w:t>
      </w:r>
      <w:r>
        <w:rPr>
          <w:rFonts w:eastAsia="Times New Roman"/>
          <w:lang w:eastAsia="en-GB"/>
        </w:rPr>
        <w:t>when patients are pain free. During the remission phase oxygen may be unused but carried just in case patients have sudden recurrence of symptoms.</w:t>
      </w:r>
    </w:p>
    <w:p w14:paraId="568C4E8E" w14:textId="7BF862DC" w:rsidR="00565F68" w:rsidRDefault="00565F68" w:rsidP="00565F68">
      <w:pPr>
        <w:jc w:val="both"/>
        <w:rPr>
          <w:rFonts w:eastAsia="Times New Roman"/>
          <w:lang w:eastAsia="en-GB"/>
        </w:rPr>
      </w:pPr>
      <w:r>
        <w:rPr>
          <w:rFonts w:eastAsia="Times New Roman"/>
          <w:lang w:eastAsia="en-GB"/>
        </w:rPr>
        <w:t>Patients prescribed oxygen for cluster headache may experience problems with under supply, delays in supply and lack of clarity as to who to contact for support. GPs may be asked to prescribe oxygen by a neurologist and may be unclear as to how/what to prescribe; GPs are also restricted to HOOF A forms which preclude ordering an ambulatory supply.</w:t>
      </w:r>
      <w:r w:rsidR="00086B72">
        <w:rPr>
          <w:rFonts w:eastAsia="Times New Roman"/>
          <w:lang w:eastAsia="en-GB"/>
        </w:rPr>
        <w:t xml:space="preserve"> </w:t>
      </w:r>
      <w:r>
        <w:rPr>
          <w:rFonts w:eastAsia="Times New Roman"/>
          <w:lang w:eastAsia="en-GB"/>
        </w:rPr>
        <w:t>Neurologists recommending oxygen may not be able to undertake a full risk assessment as to the safety of oxygen in the patient’s home or follow the patient up indefinitely. This guidance has been developed by the London Clinical Oxygen Network in collaboration with Kings College London, and the Organisation for Understanding Cluster Headache</w:t>
      </w:r>
      <w:r w:rsidR="00086B72">
        <w:rPr>
          <w:rFonts w:eastAsia="Times New Roman"/>
          <w:lang w:eastAsia="en-GB"/>
        </w:rPr>
        <w:t xml:space="preserve"> </w:t>
      </w:r>
      <w:r>
        <w:rPr>
          <w:rFonts w:eastAsia="Times New Roman"/>
          <w:lang w:eastAsia="en-GB"/>
        </w:rPr>
        <w:t>- UK (OUCH-UK) to offer some insight into CH and the type of support required.</w:t>
      </w:r>
    </w:p>
    <w:p w14:paraId="5FAE9253" w14:textId="77777777" w:rsidR="00565F68" w:rsidRDefault="00565F68" w:rsidP="00565F68">
      <w:pPr>
        <w:jc w:val="both"/>
        <w:rPr>
          <w:rFonts w:eastAsia="Times New Roman"/>
          <w:b/>
          <w:lang w:eastAsia="en-GB"/>
        </w:rPr>
      </w:pPr>
      <w:r>
        <w:rPr>
          <w:rFonts w:eastAsia="Times New Roman"/>
          <w:lang w:eastAsia="en-GB"/>
        </w:rPr>
        <w:t xml:space="preserve">Oxygen should be offered to CH patients to try as soon as the diagnosis has been made so that those who find it helpful can continue to use it, and those that do not can stop using it. </w:t>
      </w:r>
      <w:r>
        <w:rPr>
          <w:rFonts w:eastAsia="Times New Roman"/>
          <w:b/>
          <w:lang w:eastAsia="en-GB"/>
        </w:rPr>
        <w:t>Where possible, refer a CH patient needing home oxygen to the local specialist home oxygen assessment and review (HOSAR) team, who should be able to support appropriate and safe oxygen prescription and ongoing review (</w:t>
      </w:r>
      <w:r>
        <w:rPr>
          <w:rFonts w:eastAsia="Times New Roman"/>
          <w:b/>
          <w:i/>
          <w:lang w:eastAsia="en-GB"/>
        </w:rPr>
        <w:t>Responsible Oxygen Prescribing Messages:</w:t>
      </w:r>
      <w:r>
        <w:rPr>
          <w:rFonts w:ascii="Calibri" w:eastAsia="Times New Roman" w:hAnsi="Calibri"/>
          <w:b/>
          <w:i/>
          <w:lang w:eastAsia="en-GB"/>
        </w:rPr>
        <w:t xml:space="preserve"> </w:t>
      </w:r>
      <w:r>
        <w:rPr>
          <w:rFonts w:eastAsia="Times New Roman"/>
          <w:b/>
          <w:i/>
          <w:lang w:eastAsia="en-GB"/>
        </w:rPr>
        <w:t>https://www.networks.nhs.uk/nhs-networks/london-lungs</w:t>
      </w:r>
      <w:r>
        <w:rPr>
          <w:rFonts w:eastAsia="Times New Roman"/>
          <w:b/>
          <w:lang w:eastAsia="en-GB"/>
        </w:rPr>
        <w:t>).</w:t>
      </w:r>
      <w:r>
        <w:rPr>
          <w:rFonts w:eastAsia="Times New Roman"/>
          <w:lang w:eastAsia="en-GB"/>
        </w:rPr>
        <w:t xml:space="preserve"> </w:t>
      </w:r>
      <w:r>
        <w:rPr>
          <w:rFonts w:eastAsia="Times New Roman"/>
          <w:lang w:val="en-US" w:eastAsia="en-GB"/>
        </w:rPr>
        <w:t xml:space="preserve">All patients starting oxygen need education and information so that they understand how to use oxygen safely and effectively. </w:t>
      </w:r>
      <w:r>
        <w:rPr>
          <w:rFonts w:eastAsia="Times New Roman"/>
          <w:lang w:eastAsia="en-GB"/>
        </w:rPr>
        <w:t>Oxygen supplies introduce additional risks such as fire and trip hazards, and consideration and mitigation of these risks should be discussed, particularly where the patient has impaired cognition or smokes. 1 in 4 oxygen related domestic fires results in death and 1 in 3 results in serious injury therefore patient education and risk assessment are crucial aspects of safe home oxygen prescription. Smoking cessation advice and support should b</w:t>
      </w:r>
      <w:r w:rsidR="00543C35">
        <w:rPr>
          <w:rFonts w:eastAsia="Times New Roman"/>
          <w:lang w:eastAsia="en-GB"/>
        </w:rPr>
        <w:t>e offered at every intervention.</w:t>
      </w:r>
    </w:p>
    <w:p w14:paraId="473053D7" w14:textId="77777777" w:rsidR="00565F68" w:rsidRDefault="00565F68" w:rsidP="00565F68">
      <w:pPr>
        <w:jc w:val="both"/>
        <w:rPr>
          <w:rFonts w:eastAsia="Times New Roman"/>
          <w:lang w:eastAsia="en-GB"/>
        </w:rPr>
      </w:pPr>
    </w:p>
    <w:p w14:paraId="240D4935" w14:textId="77777777" w:rsidR="00565F68" w:rsidRDefault="00565F68" w:rsidP="00565F68">
      <w:pPr>
        <w:jc w:val="both"/>
        <w:rPr>
          <w:rFonts w:eastAsia="Times New Roman"/>
          <w:b/>
          <w:lang w:eastAsia="en-GB"/>
        </w:rPr>
      </w:pPr>
      <w:r>
        <w:rPr>
          <w:rFonts w:eastAsia="Times New Roman"/>
          <w:b/>
          <w:lang w:eastAsia="en-GB"/>
        </w:rPr>
        <w:t>Oxygen Prescription in Cluster Headache</w:t>
      </w:r>
    </w:p>
    <w:p w14:paraId="2CBE3186" w14:textId="77777777" w:rsidR="00565F68" w:rsidRDefault="00565F68" w:rsidP="00565F68">
      <w:pPr>
        <w:jc w:val="both"/>
        <w:rPr>
          <w:rFonts w:eastAsia="Times New Roman"/>
          <w:lang w:eastAsia="en-GB"/>
        </w:rPr>
      </w:pPr>
      <w:r>
        <w:rPr>
          <w:rFonts w:eastAsia="Times New Roman"/>
          <w:lang w:eastAsia="en-GB"/>
        </w:rPr>
        <w:t xml:space="preserve">CH oxygen supplies should be in one of 2 formats: a static supply or, for those patients who are mobile, a static supply with some ambulatory cylinders (and a carry bag). </w:t>
      </w:r>
    </w:p>
    <w:p w14:paraId="177EAF29" w14:textId="77777777" w:rsidR="00565F68" w:rsidRDefault="00565F68" w:rsidP="00565F68">
      <w:pPr>
        <w:numPr>
          <w:ilvl w:val="0"/>
          <w:numId w:val="14"/>
        </w:numPr>
        <w:spacing w:after="0" w:line="240" w:lineRule="auto"/>
        <w:jc w:val="both"/>
        <w:rPr>
          <w:rFonts w:eastAsia="Times New Roman"/>
          <w:lang w:eastAsia="en-GB"/>
        </w:rPr>
      </w:pPr>
      <w:r>
        <w:rPr>
          <w:rFonts w:eastAsia="Times New Roman"/>
          <w:lang w:eastAsia="en-GB"/>
        </w:rPr>
        <w:t>Static (HOOF A – non specialist order)</w:t>
      </w:r>
    </w:p>
    <w:p w14:paraId="72126453" w14:textId="77777777" w:rsidR="00565F68" w:rsidRDefault="00565F68" w:rsidP="00565F68">
      <w:pPr>
        <w:ind w:left="720"/>
        <w:jc w:val="both"/>
        <w:rPr>
          <w:rFonts w:eastAsia="Times New Roman"/>
          <w:lang w:eastAsia="en-GB"/>
        </w:rPr>
      </w:pPr>
      <w:r>
        <w:rPr>
          <w:rFonts w:eastAsia="Times New Roman"/>
          <w:lang w:eastAsia="en-GB"/>
        </w:rPr>
        <w:t>12-15lpm flow as required</w:t>
      </w:r>
    </w:p>
    <w:p w14:paraId="469FB957" w14:textId="77777777" w:rsidR="00565F68" w:rsidRDefault="00565F68" w:rsidP="00565F68">
      <w:pPr>
        <w:ind w:left="720"/>
        <w:jc w:val="both"/>
        <w:rPr>
          <w:rFonts w:eastAsia="Times New Roman"/>
          <w:lang w:eastAsia="en-GB"/>
        </w:rPr>
      </w:pPr>
      <w:r>
        <w:rPr>
          <w:rFonts w:eastAsia="Times New Roman"/>
          <w:lang w:eastAsia="en-GB"/>
        </w:rPr>
        <w:t>x1 large back-up cylinder</w:t>
      </w:r>
    </w:p>
    <w:p w14:paraId="78961BBD" w14:textId="77777777" w:rsidR="00565F68" w:rsidRDefault="00565F68" w:rsidP="00565F68">
      <w:pPr>
        <w:ind w:left="720"/>
        <w:jc w:val="both"/>
        <w:rPr>
          <w:rFonts w:eastAsia="Times New Roman"/>
          <w:lang w:eastAsia="en-GB"/>
        </w:rPr>
      </w:pPr>
      <w:r>
        <w:rPr>
          <w:rFonts w:eastAsia="Times New Roman"/>
          <w:lang w:eastAsia="en-GB"/>
        </w:rPr>
        <w:t>x1 Non rebreathe high concentration mask fitted with a reservoir</w:t>
      </w:r>
    </w:p>
    <w:p w14:paraId="31B31966" w14:textId="77777777" w:rsidR="00565F68" w:rsidRDefault="00565F68" w:rsidP="00565F68">
      <w:pPr>
        <w:ind w:left="720"/>
        <w:jc w:val="both"/>
        <w:rPr>
          <w:rFonts w:eastAsia="Times New Roman"/>
          <w:lang w:eastAsia="en-GB"/>
        </w:rPr>
      </w:pPr>
      <w:r>
        <w:rPr>
          <w:rFonts w:eastAsia="Times New Roman"/>
          <w:lang w:eastAsia="en-GB"/>
        </w:rPr>
        <w:t>or</w:t>
      </w:r>
    </w:p>
    <w:p w14:paraId="3EE21BB9" w14:textId="77777777" w:rsidR="00565F68" w:rsidRDefault="00565F68" w:rsidP="00565F68">
      <w:pPr>
        <w:ind w:left="720"/>
        <w:jc w:val="both"/>
        <w:rPr>
          <w:rFonts w:eastAsia="Times New Roman"/>
          <w:lang w:eastAsia="en-GB"/>
        </w:rPr>
      </w:pPr>
    </w:p>
    <w:p w14:paraId="034E4E7E" w14:textId="77777777" w:rsidR="00565F68" w:rsidRDefault="00565F68" w:rsidP="00565F68">
      <w:pPr>
        <w:ind w:left="720"/>
        <w:jc w:val="both"/>
        <w:rPr>
          <w:rFonts w:eastAsia="Times New Roman"/>
          <w:lang w:eastAsia="en-GB"/>
        </w:rPr>
      </w:pPr>
    </w:p>
    <w:p w14:paraId="2664D7FE" w14:textId="1B9D325A" w:rsidR="00565F68" w:rsidRDefault="00565F68" w:rsidP="00565F68">
      <w:pPr>
        <w:jc w:val="both"/>
        <w:rPr>
          <w:rFonts w:eastAsia="Times New Roman"/>
          <w:lang w:eastAsia="en-GB"/>
        </w:rPr>
      </w:pPr>
    </w:p>
    <w:p w14:paraId="78A17691" w14:textId="77777777" w:rsidR="00C97320" w:rsidRDefault="00C97320" w:rsidP="00565F68">
      <w:pPr>
        <w:jc w:val="both"/>
        <w:rPr>
          <w:rFonts w:eastAsia="Times New Roman"/>
          <w:lang w:eastAsia="en-GB"/>
        </w:rPr>
      </w:pPr>
    </w:p>
    <w:p w14:paraId="05BEF35C" w14:textId="77777777" w:rsidR="00565F68" w:rsidRDefault="00565F68" w:rsidP="00565F68">
      <w:pPr>
        <w:numPr>
          <w:ilvl w:val="0"/>
          <w:numId w:val="14"/>
        </w:numPr>
        <w:spacing w:after="0" w:line="240" w:lineRule="auto"/>
        <w:jc w:val="both"/>
        <w:rPr>
          <w:rFonts w:eastAsia="Times New Roman"/>
          <w:lang w:eastAsia="en-GB"/>
        </w:rPr>
      </w:pPr>
      <w:r>
        <w:rPr>
          <w:rFonts w:eastAsia="Times New Roman"/>
          <w:lang w:eastAsia="en-GB"/>
        </w:rPr>
        <w:t>Static and Ambulatory (HOOF B – specialist order)</w:t>
      </w:r>
    </w:p>
    <w:p w14:paraId="098AB9DC" w14:textId="77777777" w:rsidR="00565F68" w:rsidRDefault="00565F68" w:rsidP="00565F68">
      <w:pPr>
        <w:ind w:left="720"/>
        <w:jc w:val="both"/>
        <w:rPr>
          <w:rFonts w:eastAsia="Times New Roman"/>
          <w:lang w:eastAsia="en-GB"/>
        </w:rPr>
      </w:pPr>
      <w:r>
        <w:rPr>
          <w:rFonts w:eastAsia="Times New Roman"/>
          <w:lang w:eastAsia="en-GB"/>
        </w:rPr>
        <w:t>12-15lpm flow as required</w:t>
      </w:r>
    </w:p>
    <w:p w14:paraId="2A08F18F" w14:textId="77777777" w:rsidR="00565F68" w:rsidRDefault="00565F68" w:rsidP="00565F68">
      <w:pPr>
        <w:ind w:left="720"/>
        <w:jc w:val="both"/>
        <w:rPr>
          <w:rFonts w:eastAsia="Times New Roman"/>
          <w:lang w:eastAsia="en-GB"/>
        </w:rPr>
      </w:pPr>
      <w:r>
        <w:rPr>
          <w:rFonts w:eastAsia="Times New Roman"/>
          <w:lang w:eastAsia="en-GB"/>
        </w:rPr>
        <w:t>x1 large back-up cylinder</w:t>
      </w:r>
    </w:p>
    <w:p w14:paraId="3427BD1D" w14:textId="77777777" w:rsidR="00565F68" w:rsidRDefault="00565F68" w:rsidP="00565F68">
      <w:pPr>
        <w:ind w:left="720"/>
        <w:jc w:val="both"/>
        <w:rPr>
          <w:rFonts w:eastAsia="Times New Roman"/>
          <w:lang w:eastAsia="en-GB"/>
        </w:rPr>
      </w:pPr>
      <w:r>
        <w:rPr>
          <w:rFonts w:eastAsia="Times New Roman"/>
          <w:lang w:eastAsia="en-GB"/>
        </w:rPr>
        <w:t xml:space="preserve">X4 Standard ambulatory cylinders </w:t>
      </w:r>
    </w:p>
    <w:p w14:paraId="738EC3EB" w14:textId="77777777" w:rsidR="00565F68" w:rsidRDefault="00565F68" w:rsidP="00565F68">
      <w:pPr>
        <w:ind w:left="720"/>
        <w:jc w:val="both"/>
        <w:rPr>
          <w:rFonts w:eastAsia="Times New Roman"/>
          <w:lang w:eastAsia="en-GB"/>
        </w:rPr>
      </w:pPr>
      <w:r>
        <w:rPr>
          <w:rFonts w:eastAsia="Times New Roman"/>
          <w:lang w:eastAsia="en-GB"/>
        </w:rPr>
        <w:t>X1 Non rebreathe high concentration mask fitted with a reservoir</w:t>
      </w:r>
    </w:p>
    <w:p w14:paraId="46FF0C07" w14:textId="77777777" w:rsidR="00565F68" w:rsidRDefault="00565F68" w:rsidP="00565F68">
      <w:pPr>
        <w:jc w:val="both"/>
        <w:rPr>
          <w:rFonts w:eastAsia="Times New Roman"/>
          <w:lang w:eastAsia="en-GB"/>
        </w:rPr>
      </w:pPr>
      <w:r>
        <w:rPr>
          <w:rFonts w:eastAsia="Times New Roman"/>
          <w:lang w:eastAsia="en-GB"/>
        </w:rPr>
        <w:t xml:space="preserve">Example </w:t>
      </w:r>
      <w:r w:rsidR="00F92494">
        <w:rPr>
          <w:rFonts w:eastAsia="Times New Roman"/>
          <w:lang w:eastAsia="en-GB"/>
        </w:rPr>
        <w:t xml:space="preserve">CH </w:t>
      </w:r>
      <w:r>
        <w:rPr>
          <w:rFonts w:eastAsia="Times New Roman"/>
          <w:lang w:eastAsia="en-GB"/>
        </w:rPr>
        <w:t xml:space="preserve">Home Oxygen Order Forms are available. </w:t>
      </w:r>
    </w:p>
    <w:p w14:paraId="417D338C" w14:textId="77777777" w:rsidR="00565F68" w:rsidRDefault="00565F68" w:rsidP="00565F68">
      <w:pPr>
        <w:jc w:val="both"/>
        <w:rPr>
          <w:rFonts w:eastAsia="Times New Roman"/>
          <w:lang w:eastAsia="en-GB"/>
        </w:rPr>
      </w:pPr>
      <w:r>
        <w:rPr>
          <w:rFonts w:eastAsia="Times New Roman"/>
          <w:lang w:eastAsia="en-GB"/>
        </w:rPr>
        <w:t>Some CH patients go for so long without a cluster bout that they offer to return the equipment, only to need stocks at short notice. This then causes a problem with the need for a HOOF B. In these cases it may be helpful for their GP to keep a model copy of their cluster headache HOOF so that it can be sent off without delay.</w:t>
      </w:r>
    </w:p>
    <w:p w14:paraId="7B2F54E0" w14:textId="77777777" w:rsidR="00565F68" w:rsidRDefault="00565F68" w:rsidP="00565F68">
      <w:pPr>
        <w:tabs>
          <w:tab w:val="left" w:pos="540"/>
        </w:tabs>
        <w:jc w:val="both"/>
        <w:rPr>
          <w:rFonts w:eastAsia="Times New Roman"/>
          <w:b/>
          <w:lang w:val="en-US"/>
        </w:rPr>
      </w:pPr>
      <w:r>
        <w:rPr>
          <w:rFonts w:eastAsia="Times New Roman"/>
          <w:b/>
          <w:lang w:val="en-US"/>
        </w:rPr>
        <w:t>Useful information to offer patients starting oxygen for CH</w:t>
      </w:r>
    </w:p>
    <w:p w14:paraId="61D81F77" w14:textId="77777777" w:rsidR="00565F68" w:rsidRDefault="00565F68" w:rsidP="00565F68">
      <w:pPr>
        <w:tabs>
          <w:tab w:val="left" w:pos="540"/>
        </w:tabs>
        <w:jc w:val="both"/>
        <w:rPr>
          <w:rFonts w:eastAsia="Times New Roman"/>
          <w:lang w:val="en-US"/>
        </w:rPr>
      </w:pPr>
      <w:r>
        <w:rPr>
          <w:rFonts w:eastAsia="Times New Roman"/>
          <w:lang w:val="en-US"/>
        </w:rPr>
        <w:t xml:space="preserve">The general guidance for patients is that </w:t>
      </w:r>
      <w:r>
        <w:rPr>
          <w:rFonts w:eastAsia="Times New Roman"/>
          <w:b/>
          <w:lang w:val="en-US"/>
        </w:rPr>
        <w:t>if there is inadequate relief from oxygen therapy within 15 minutes they should cease using it and move to an alternative for that attack</w:t>
      </w:r>
      <w:r>
        <w:rPr>
          <w:rFonts w:eastAsia="Times New Roman"/>
          <w:lang w:val="en-US"/>
        </w:rPr>
        <w:t xml:space="preserve">. If the oxygen has not worked, the patient should turn off the oxygen and try again with the next attack.  If the attack is successfully aborted, the patient should be advised to stay on the oxygen for 5-10 minutes after the pain has gone to “mop up” the attack and prevent possible rebound, which is described by some patients. This means that even a small cylinder may support 2-3 attacks. </w:t>
      </w:r>
    </w:p>
    <w:p w14:paraId="3B3C0F71" w14:textId="77777777" w:rsidR="00565F68" w:rsidRDefault="00565F68" w:rsidP="00565F68">
      <w:pPr>
        <w:tabs>
          <w:tab w:val="left" w:pos="540"/>
        </w:tabs>
        <w:jc w:val="both"/>
        <w:rPr>
          <w:rFonts w:eastAsia="Times New Roman"/>
          <w:lang w:val="en-US"/>
        </w:rPr>
      </w:pPr>
      <w:r>
        <w:rPr>
          <w:rFonts w:eastAsia="Times New Roman"/>
          <w:lang w:val="en-US"/>
        </w:rPr>
        <w:t xml:space="preserve">Patients need to know that if they do not find oxygen helpful, or they do not want to continue to use it, they must let a health professional know so that the HOOF can be cancelled. </w:t>
      </w:r>
    </w:p>
    <w:p w14:paraId="0A293B85" w14:textId="77777777" w:rsidR="00565F68" w:rsidRDefault="00565F68" w:rsidP="00565F68">
      <w:pPr>
        <w:jc w:val="both"/>
        <w:rPr>
          <w:rFonts w:eastAsia="Times New Roman"/>
          <w:lang w:eastAsia="en-GB"/>
        </w:rPr>
      </w:pPr>
      <w:r>
        <w:rPr>
          <w:rFonts w:eastAsia="Times New Roman"/>
          <w:lang w:eastAsia="en-GB"/>
        </w:rPr>
        <w:t>Where no further neurology follow-up is necessarily expected, patients should be advised that support will probably come from the GP with assistance from the local specialist home oxygen (HOSAR) team. Where a patient’s use is high, erratic or with frequent technician call outs, the case will need to be discussed by the local HOSAR to ensure that adequate supplies are in place and the use is appropriate and within guidance. Primary care teams may need to refer back to or call the neurology team for specific clinical questions that may arise, particularly where high use may be a flag for consideration of preventive treatment options.</w:t>
      </w:r>
    </w:p>
    <w:p w14:paraId="6ADD0C25" w14:textId="77777777" w:rsidR="00543C35" w:rsidRDefault="00543C35" w:rsidP="00565F68">
      <w:pPr>
        <w:rPr>
          <w:rFonts w:eastAsia="Times New Roman"/>
          <w:b/>
          <w:color w:val="FF0000"/>
          <w:sz w:val="28"/>
          <w:szCs w:val="28"/>
          <w:lang w:eastAsia="en-GB"/>
        </w:rPr>
      </w:pPr>
    </w:p>
    <w:p w14:paraId="3D27D570" w14:textId="77777777" w:rsidR="00565F68" w:rsidRDefault="00565F68" w:rsidP="00565F68">
      <w:pPr>
        <w:rPr>
          <w:rFonts w:eastAsia="Times New Roman"/>
          <w:b/>
          <w:color w:val="FF0000"/>
          <w:sz w:val="28"/>
          <w:szCs w:val="28"/>
          <w:lang w:eastAsia="en-GB"/>
        </w:rPr>
      </w:pPr>
      <w:r>
        <w:rPr>
          <w:rFonts w:eastAsia="Times New Roman"/>
          <w:b/>
          <w:color w:val="FF0000"/>
          <w:sz w:val="28"/>
          <w:szCs w:val="28"/>
          <w:lang w:eastAsia="en-GB"/>
        </w:rPr>
        <w:t>Background Information: Cluster Headaches</w:t>
      </w:r>
    </w:p>
    <w:p w14:paraId="3C33F60A" w14:textId="77777777" w:rsidR="00565F68" w:rsidRDefault="00565F68" w:rsidP="00565F68">
      <w:pPr>
        <w:jc w:val="both"/>
        <w:rPr>
          <w:rFonts w:eastAsia="Times New Roman"/>
          <w:b/>
          <w:lang w:val="en-US" w:eastAsia="en-GB"/>
        </w:rPr>
      </w:pPr>
      <w:r>
        <w:rPr>
          <w:rFonts w:eastAsia="Times New Roman"/>
          <w:b/>
          <w:lang w:val="en-US" w:eastAsia="en-GB"/>
        </w:rPr>
        <w:t>Purpose</w:t>
      </w:r>
    </w:p>
    <w:p w14:paraId="3072BAFF" w14:textId="77777777" w:rsidR="00565F68" w:rsidRDefault="00565F68" w:rsidP="00565F68">
      <w:pPr>
        <w:jc w:val="both"/>
        <w:rPr>
          <w:rFonts w:eastAsia="Times New Roman"/>
          <w:lang w:val="en-US" w:eastAsia="en-GB"/>
        </w:rPr>
      </w:pPr>
      <w:r>
        <w:rPr>
          <w:rFonts w:eastAsia="Times New Roman"/>
          <w:lang w:val="en-US" w:eastAsia="en-GB"/>
        </w:rPr>
        <w:t>To outline the right approach to the needs of London Cluster Headache (CH) patients in the light of:</w:t>
      </w:r>
    </w:p>
    <w:p w14:paraId="3C7C888D" w14:textId="77777777" w:rsidR="00565F68" w:rsidRDefault="00565F68" w:rsidP="00565F68">
      <w:pPr>
        <w:numPr>
          <w:ilvl w:val="0"/>
          <w:numId w:val="15"/>
        </w:numPr>
        <w:spacing w:after="0" w:line="240" w:lineRule="auto"/>
        <w:jc w:val="both"/>
        <w:rPr>
          <w:rFonts w:eastAsia="Times New Roman"/>
          <w:lang w:val="en-US" w:eastAsia="en-GB"/>
        </w:rPr>
      </w:pPr>
      <w:r>
        <w:rPr>
          <w:rFonts w:eastAsia="Times New Roman"/>
          <w:lang w:val="en-US" w:eastAsia="en-GB"/>
        </w:rPr>
        <w:t>the terms of the 2012 home oxygen supply (HOS) contract which requires the prescriber to select equipment rather than leaving equipment selection to the gas supplier</w:t>
      </w:r>
    </w:p>
    <w:p w14:paraId="108F60BE" w14:textId="77777777" w:rsidR="00565F68" w:rsidRDefault="00565F68" w:rsidP="00565F68">
      <w:pPr>
        <w:numPr>
          <w:ilvl w:val="0"/>
          <w:numId w:val="15"/>
        </w:numPr>
        <w:spacing w:after="0" w:line="240" w:lineRule="auto"/>
        <w:jc w:val="both"/>
        <w:rPr>
          <w:rFonts w:eastAsia="Times New Roman"/>
          <w:lang w:val="en-US" w:eastAsia="en-GB"/>
        </w:rPr>
      </w:pPr>
      <w:r>
        <w:rPr>
          <w:rFonts w:eastAsia="Times New Roman"/>
          <w:lang w:val="en-US" w:eastAsia="en-GB"/>
        </w:rPr>
        <w:t>restriction of GP ordering to a temporary or emergency supply (HOOF A) which does not include ambulatory devices</w:t>
      </w:r>
    </w:p>
    <w:p w14:paraId="677F127E" w14:textId="77777777" w:rsidR="00565F68" w:rsidRDefault="00565F68" w:rsidP="00565F68">
      <w:pPr>
        <w:numPr>
          <w:ilvl w:val="0"/>
          <w:numId w:val="15"/>
        </w:numPr>
        <w:spacing w:after="0" w:line="240" w:lineRule="auto"/>
        <w:jc w:val="both"/>
        <w:rPr>
          <w:rFonts w:eastAsia="Times New Roman"/>
          <w:lang w:val="en-US" w:eastAsia="en-GB"/>
        </w:rPr>
      </w:pPr>
      <w:r>
        <w:rPr>
          <w:rFonts w:eastAsia="Times New Roman"/>
          <w:lang w:val="en-US" w:eastAsia="en-GB"/>
        </w:rPr>
        <w:t>uncertainty by those trained to be HOOF B prescribers on the use of oxygen in CH</w:t>
      </w:r>
    </w:p>
    <w:p w14:paraId="10F551D4" w14:textId="77777777" w:rsidR="00565F68" w:rsidRDefault="00565F68" w:rsidP="00565F68">
      <w:pPr>
        <w:numPr>
          <w:ilvl w:val="0"/>
          <w:numId w:val="15"/>
        </w:numPr>
        <w:spacing w:after="0" w:line="240" w:lineRule="auto"/>
        <w:jc w:val="both"/>
        <w:rPr>
          <w:rFonts w:eastAsia="Times New Roman"/>
          <w:lang w:val="en-US" w:eastAsia="en-GB"/>
        </w:rPr>
      </w:pPr>
      <w:r>
        <w:rPr>
          <w:rFonts w:eastAsia="Times New Roman"/>
          <w:lang w:val="en-US" w:eastAsia="en-GB"/>
        </w:rPr>
        <w:t>problems in GP ordering at the request of neurologists and the limited ability of specialist headache clinics in London to follow up patients (with few Clinical Nurse Specialists available to support patients)</w:t>
      </w:r>
    </w:p>
    <w:p w14:paraId="2E50F4A1" w14:textId="77777777" w:rsidR="00565F68" w:rsidRDefault="00565F68" w:rsidP="00565F68">
      <w:pPr>
        <w:numPr>
          <w:ilvl w:val="0"/>
          <w:numId w:val="15"/>
        </w:numPr>
        <w:spacing w:after="0" w:line="240" w:lineRule="auto"/>
        <w:jc w:val="both"/>
        <w:rPr>
          <w:rFonts w:eastAsia="Times New Roman"/>
          <w:b/>
          <w:lang w:val="en-US" w:eastAsia="en-GB"/>
        </w:rPr>
      </w:pPr>
      <w:r>
        <w:rPr>
          <w:rFonts w:eastAsia="Times New Roman"/>
          <w:lang w:val="en-US" w:eastAsia="en-GB"/>
        </w:rPr>
        <w:t xml:space="preserve">advice from the Cluster headache support group (OUCH-UK) </w:t>
      </w:r>
    </w:p>
    <w:p w14:paraId="72C58A52" w14:textId="77777777" w:rsidR="00565F68" w:rsidRDefault="00565F68" w:rsidP="00565F68">
      <w:pPr>
        <w:ind w:left="720"/>
        <w:jc w:val="both"/>
        <w:rPr>
          <w:rFonts w:eastAsia="Times New Roman"/>
          <w:b/>
          <w:lang w:val="en-US" w:eastAsia="en-GB"/>
        </w:rPr>
      </w:pPr>
    </w:p>
    <w:p w14:paraId="1F5850B8" w14:textId="77777777" w:rsidR="00565F68" w:rsidRDefault="00565F68" w:rsidP="00565F68">
      <w:pPr>
        <w:jc w:val="both"/>
        <w:rPr>
          <w:rFonts w:eastAsia="Times New Roman"/>
          <w:b/>
          <w:lang w:val="en-US" w:eastAsia="en-GB"/>
        </w:rPr>
      </w:pPr>
    </w:p>
    <w:p w14:paraId="1A1D7019" w14:textId="77777777" w:rsidR="00565F68" w:rsidRDefault="00565F68" w:rsidP="00565F68">
      <w:pPr>
        <w:jc w:val="both"/>
        <w:rPr>
          <w:rFonts w:eastAsia="Times New Roman"/>
          <w:b/>
          <w:lang w:val="en-US" w:eastAsia="en-GB"/>
        </w:rPr>
      </w:pPr>
    </w:p>
    <w:p w14:paraId="54A6EBC7" w14:textId="77777777" w:rsidR="00396953" w:rsidRDefault="00396953" w:rsidP="00565F68">
      <w:pPr>
        <w:jc w:val="both"/>
        <w:rPr>
          <w:rFonts w:eastAsia="Times New Roman"/>
          <w:b/>
          <w:lang w:val="en-US" w:eastAsia="en-GB"/>
        </w:rPr>
      </w:pPr>
    </w:p>
    <w:p w14:paraId="4B670C73" w14:textId="7BD5D059" w:rsidR="00565F68" w:rsidRDefault="00565F68" w:rsidP="00565F68">
      <w:pPr>
        <w:jc w:val="both"/>
        <w:rPr>
          <w:rFonts w:eastAsia="Times New Roman"/>
          <w:b/>
          <w:lang w:val="en-US" w:eastAsia="en-GB"/>
        </w:rPr>
      </w:pPr>
      <w:r>
        <w:rPr>
          <w:rFonts w:eastAsia="Times New Roman"/>
          <w:b/>
          <w:lang w:val="en-US" w:eastAsia="en-GB"/>
        </w:rPr>
        <w:t>Overview</w:t>
      </w:r>
    </w:p>
    <w:p w14:paraId="4B5568A0" w14:textId="6869BA70" w:rsidR="00565F68" w:rsidRDefault="00565F68" w:rsidP="00565F68">
      <w:pPr>
        <w:jc w:val="both"/>
        <w:rPr>
          <w:rFonts w:eastAsia="Times New Roman"/>
          <w:lang w:val="en-US" w:eastAsia="en-GB"/>
        </w:rPr>
      </w:pPr>
      <w:r>
        <w:rPr>
          <w:rFonts w:eastAsia="Times New Roman"/>
          <w:lang w:val="en-US" w:eastAsia="en-GB"/>
        </w:rPr>
        <w:t xml:space="preserve">Cluster Headache is a rare condition with a prevalence of approximately 1:1000 adults </w:t>
      </w:r>
      <w:r>
        <w:rPr>
          <w:rFonts w:eastAsia="Times New Roman"/>
          <w:lang w:val="en-US" w:eastAsia="en-GB"/>
        </w:rPr>
        <w:fldChar w:fldCharType="begin"/>
      </w:r>
      <w:r>
        <w:rPr>
          <w:rFonts w:eastAsia="Times New Roman"/>
          <w:lang w:val="en-US" w:eastAsia="en-GB"/>
        </w:rPr>
        <w:instrText xml:space="preserve"> ADDIN EN.CITE &lt;EndNote&gt;&lt;Cite&gt;&lt;Author&gt;Nesbitt&lt;/Author&gt;&lt;Year&gt;2012&lt;/Year&gt;&lt;RecNum&gt;10139&lt;/RecNum&gt;&lt;DisplayText&gt;(1)&lt;/DisplayText&gt;&lt;record&gt;&lt;rec-number&gt;10139&lt;/rec-number&gt;&lt;foreign-keys&gt;&lt;key app="EN" db-id="f5sszra5d5xtxlezx215rx0qdpts2atfww0s" timestamp="1437576397"&gt;10139&lt;/key&gt;&lt;key app="ENWeb" db-id=""&gt;0&lt;/key&gt;&lt;/foreign-keys&gt;&lt;ref-type name="Journal Article"&gt;17&lt;/ref-type&gt;&lt;contributors&gt;&lt;authors&gt;&lt;author&gt;Nesbitt, A. D.&lt;/author&gt;&lt;author&gt;Goadsby, P. J.&lt;/author&gt;&lt;/authors&gt;&lt;/contributors&gt;&lt;titles&gt;&lt;title&gt;Cluster Headache&lt;/title&gt;&lt;secondary-title&gt;British Medical Journal&lt;/secondary-title&gt;&lt;/titles&gt;&lt;periodical&gt;&lt;full-title&gt;British Medical Journal&lt;/full-title&gt;&lt;abbr-1&gt;British Medical Journal&lt;/abbr-1&gt;&lt;/periodical&gt;&lt;pages&gt;e2407&lt;/pages&gt;&lt;volume&gt;344&lt;/volume&gt;&lt;keywords&gt;&lt;keyword&gt;review&lt;/keyword&gt;&lt;/keywords&gt;&lt;dates&gt;&lt;year&gt;2012&lt;/year&gt;&lt;/dates&gt;&lt;urls&gt;&lt;/urls&gt;&lt;/record&gt;&lt;/Cite&gt;&lt;/EndNote&gt;</w:instrText>
      </w:r>
      <w:r>
        <w:rPr>
          <w:rFonts w:eastAsia="Times New Roman"/>
          <w:lang w:val="en-US" w:eastAsia="en-GB"/>
        </w:rPr>
        <w:fldChar w:fldCharType="separate"/>
      </w:r>
      <w:r>
        <w:rPr>
          <w:rFonts w:eastAsia="Times New Roman"/>
          <w:noProof/>
          <w:lang w:val="en-US" w:eastAsia="en-GB"/>
        </w:rPr>
        <w:t>(1)</w:t>
      </w:r>
      <w:r>
        <w:rPr>
          <w:rFonts w:eastAsia="Times New Roman"/>
          <w:lang w:val="en-US" w:eastAsia="en-GB"/>
        </w:rPr>
        <w:fldChar w:fldCharType="end"/>
      </w:r>
      <w:r>
        <w:rPr>
          <w:rFonts w:eastAsia="Times New Roman"/>
          <w:lang w:val="en-US" w:eastAsia="en-GB"/>
        </w:rPr>
        <w:t xml:space="preserve">. The condition usually starts in early adulthood but can occur through the whole age range. It may spontaneously improve with age. The diagnosis is often delayed, typically 2-3yrs. Confusion with migraine is common with the accurate diagnosis often being made after specialist referral. Attacks last between 15mins and 3 hours and occur at a frequency ranging from one every alternate day to up to eight daily. The headache is excruciating, typically confined to one half of the head and associated with cranial autonomic features such as lacrimation, conjunctival injection, eyelid oedema, nasal congestion, </w:t>
      </w:r>
      <w:r w:rsidR="00086B72">
        <w:rPr>
          <w:rFonts w:eastAsia="Times New Roman"/>
          <w:lang w:val="en-US" w:eastAsia="en-GB"/>
        </w:rPr>
        <w:t>rhinorrhea</w:t>
      </w:r>
      <w:r>
        <w:rPr>
          <w:rFonts w:eastAsia="Times New Roman"/>
          <w:lang w:val="en-US" w:eastAsia="en-GB"/>
        </w:rPr>
        <w:t xml:space="preserve"> and facial redness. Unlike migraine, suffers are restless and agitated during attacks </w:t>
      </w:r>
      <w:r>
        <w:rPr>
          <w:rFonts w:eastAsia="Times New Roman"/>
          <w:lang w:val="en-US" w:eastAsia="en-GB"/>
        </w:rPr>
        <w:fldChar w:fldCharType="begin"/>
      </w:r>
      <w:r>
        <w:rPr>
          <w:rFonts w:eastAsia="Times New Roman"/>
          <w:lang w:val="en-US" w:eastAsia="en-GB"/>
        </w:rPr>
        <w:instrText xml:space="preserve"> ADDIN EN.CITE &lt;EndNote&gt;&lt;Cite&gt;&lt;Author&gt;Headache Classification Committee of the International Headache Society&lt;/Author&gt;&lt;Year&gt;2013&lt;/Year&gt;&lt;RecNum&gt;9830&lt;/RecNum&gt;&lt;DisplayText&gt;(2)&lt;/DisplayText&gt;&lt;record&gt;&lt;rec-number&gt;9830&lt;/rec-number&gt;&lt;foreign-keys&gt;&lt;key app="EN" db-id="f5sszra5d5xtxlezx215rx0qdpts2atfww0s" timestamp="1437576075"&gt;9830&lt;/key&gt;&lt;key app="ENWeb" db-id=""&gt;0&lt;/key&gt;&lt;/foreign-keys&gt;&lt;ref-type name="Journal Article"&gt;17&lt;/ref-type&gt;&lt;contributors&gt;&lt;authors&gt;&lt;author&gt;Headache Classification Committee of the International Headache Society,&lt;/author&gt;&lt;/authors&gt;&lt;/contributors&gt;&lt;titles&gt;&lt;title&gt;The International Classification of Headache Disorders, 3rd edition (beta version)&lt;/title&gt;&lt;secondary-title&gt;Cephalalgia&lt;/secondary-title&gt;&lt;/titles&gt;&lt;periodical&gt;&lt;full-title&gt;Cephalalgia&lt;/full-title&gt;&lt;abbr-1&gt;Cephalalgia&lt;/abbr-1&gt;&lt;/periodical&gt;&lt;pages&gt;629-808&lt;/pages&gt;&lt;volume&gt;33&lt;/volume&gt;&lt;dates&gt;&lt;year&gt;2013&lt;/year&gt;&lt;/dates&gt;&lt;urls&gt;&lt;/urls&gt;&lt;/record&gt;&lt;/Cite&gt;&lt;/EndNote&gt;</w:instrText>
      </w:r>
      <w:r>
        <w:rPr>
          <w:rFonts w:eastAsia="Times New Roman"/>
          <w:lang w:val="en-US" w:eastAsia="en-GB"/>
        </w:rPr>
        <w:fldChar w:fldCharType="separate"/>
      </w:r>
      <w:r>
        <w:rPr>
          <w:rFonts w:eastAsia="Times New Roman"/>
          <w:noProof/>
          <w:lang w:val="en-US" w:eastAsia="en-GB"/>
        </w:rPr>
        <w:t>(2)</w:t>
      </w:r>
      <w:r>
        <w:rPr>
          <w:rFonts w:eastAsia="Times New Roman"/>
          <w:lang w:val="en-US" w:eastAsia="en-GB"/>
        </w:rPr>
        <w:fldChar w:fldCharType="end"/>
      </w:r>
      <w:r>
        <w:rPr>
          <w:rFonts w:eastAsia="Times New Roman"/>
          <w:lang w:val="en-US" w:eastAsia="en-GB"/>
        </w:rPr>
        <w:t xml:space="preserve">. The majority of the attacks occur spontaneously though alcohol, the smell of volatile substances, heavy exercise and raised ambient temperature can all trigger attacks. During attacks individuals may be unable to undertake normal activities of daily living. Suicide is a recognised concern </w:t>
      </w:r>
      <w:r>
        <w:rPr>
          <w:rFonts w:eastAsia="Times New Roman"/>
          <w:lang w:val="en-US" w:eastAsia="en-GB"/>
        </w:rPr>
        <w:fldChar w:fldCharType="begin"/>
      </w:r>
      <w:r>
        <w:rPr>
          <w:rFonts w:eastAsia="Times New Roman"/>
          <w:lang w:val="en-US" w:eastAsia="en-GB"/>
        </w:rPr>
        <w:instrText xml:space="preserve"> ADDIN EN.CITE &lt;EndNote&gt;&lt;Cite&gt;&lt;Author&gt;National Clinical Guideline Centre&lt;/Author&gt;&lt;Year&gt;2012&lt;/Year&gt;&lt;RecNum&gt;9354&lt;/RecNum&gt;&lt;DisplayText&gt;(3)&lt;/DisplayText&gt;&lt;record&gt;&lt;rec-number&gt;9354&lt;/rec-number&gt;&lt;foreign-keys&gt;&lt;key app="EN" db-id="f5sszra5d5xtxlezx215rx0qdpts2atfww0s" timestamp="1437575338"&gt;9354&lt;/key&gt;&lt;key app="ENWeb" db-id=""&gt;0&lt;/key&gt;&lt;/foreign-keys&gt;&lt;ref-type name="Government Document"&gt;46&lt;/ref-type&gt;&lt;contributors&gt;&lt;authors&gt;&lt;author&gt;National Clinical Guideline Centre,&lt;/author&gt;&lt;/authors&gt;&lt;secondary-authors&gt;&lt;author&gt;National Institute for Health and Clinical Excellence,&lt;/author&gt;&lt;/secondary-authors&gt;&lt;/contributors&gt;&lt;titles&gt;&lt;title&gt;Headaches. Diagnosis and management of headaches in young people and adults&lt;/title&gt;&lt;/titles&gt;&lt;dates&gt;&lt;year&gt;2012&lt;/year&gt;&lt;/dates&gt;&lt;pub-location&gt;London&lt;/pub-location&gt;&lt;publisher&gt;Royal College of Physicians&lt;/publisher&gt;&lt;urls&gt;&lt;/urls&gt;&lt;/record&gt;&lt;/Cite&gt;&lt;/EndNote&gt;</w:instrText>
      </w:r>
      <w:r>
        <w:rPr>
          <w:rFonts w:eastAsia="Times New Roman"/>
          <w:lang w:val="en-US" w:eastAsia="en-GB"/>
        </w:rPr>
        <w:fldChar w:fldCharType="separate"/>
      </w:r>
      <w:r>
        <w:rPr>
          <w:rFonts w:eastAsia="Times New Roman"/>
          <w:noProof/>
          <w:lang w:val="en-US" w:eastAsia="en-GB"/>
        </w:rPr>
        <w:t>(3)</w:t>
      </w:r>
      <w:r>
        <w:rPr>
          <w:rFonts w:eastAsia="Times New Roman"/>
          <w:lang w:val="en-US" w:eastAsia="en-GB"/>
        </w:rPr>
        <w:fldChar w:fldCharType="end"/>
      </w:r>
      <w:r>
        <w:rPr>
          <w:rFonts w:eastAsia="Times New Roman"/>
          <w:lang w:val="en-US" w:eastAsia="en-GB"/>
        </w:rPr>
        <w:t xml:space="preserve">. </w:t>
      </w:r>
    </w:p>
    <w:p w14:paraId="269B9B97" w14:textId="77777777" w:rsidR="00565F68" w:rsidRDefault="00565F68" w:rsidP="00565F68">
      <w:pPr>
        <w:jc w:val="both"/>
        <w:rPr>
          <w:rFonts w:eastAsia="Times New Roman"/>
          <w:lang w:val="en-US" w:eastAsia="en-GB"/>
        </w:rPr>
      </w:pPr>
      <w:r>
        <w:rPr>
          <w:rFonts w:eastAsia="Times New Roman"/>
          <w:lang w:val="en-US" w:eastAsia="en-GB"/>
        </w:rPr>
        <w:t xml:space="preserve">CH patients fall into 2 groups </w:t>
      </w:r>
      <w:r>
        <w:rPr>
          <w:rFonts w:eastAsia="Times New Roman"/>
          <w:lang w:val="en-US" w:eastAsia="en-GB"/>
        </w:rPr>
        <w:fldChar w:fldCharType="begin"/>
      </w:r>
      <w:r>
        <w:rPr>
          <w:rFonts w:eastAsia="Times New Roman"/>
          <w:lang w:val="en-US" w:eastAsia="en-GB"/>
        </w:rPr>
        <w:instrText xml:space="preserve"> ADDIN EN.CITE &lt;EndNote&gt;&lt;Cite&gt;&lt;Author&gt;Headache Classification Committee of the International Headache Society&lt;/Author&gt;&lt;Year&gt;2013&lt;/Year&gt;&lt;RecNum&gt;9830&lt;/RecNum&gt;&lt;DisplayText&gt;(2)&lt;/DisplayText&gt;&lt;record&gt;&lt;rec-number&gt;9830&lt;/rec-number&gt;&lt;foreign-keys&gt;&lt;key app="EN" db-id="f5sszra5d5xtxlezx215rx0qdpts2atfww0s" timestamp="1437576075"&gt;9830&lt;/key&gt;&lt;key app="ENWeb" db-id=""&gt;0&lt;/key&gt;&lt;/foreign-keys&gt;&lt;ref-type name="Journal Article"&gt;17&lt;/ref-type&gt;&lt;contributors&gt;&lt;authors&gt;&lt;author&gt;Headache Classification Committee of the International Headache Society,&lt;/author&gt;&lt;/authors&gt;&lt;/contributors&gt;&lt;titles&gt;&lt;title&gt;The International Classification of Headache Disorders, 3rd edition (beta version)&lt;/title&gt;&lt;secondary-title&gt;Cephalalgia&lt;/secondary-title&gt;&lt;/titles&gt;&lt;periodical&gt;&lt;full-title&gt;Cephalalgia&lt;/full-title&gt;&lt;abbr-1&gt;Cephalalgia&lt;/abbr-1&gt;&lt;/periodical&gt;&lt;pages&gt;629-808&lt;/pages&gt;&lt;volume&gt;33&lt;/volume&gt;&lt;dates&gt;&lt;year&gt;2013&lt;/year&gt;&lt;/dates&gt;&lt;urls&gt;&lt;/urls&gt;&lt;/record&gt;&lt;/Cite&gt;&lt;/EndNote&gt;</w:instrText>
      </w:r>
      <w:r>
        <w:rPr>
          <w:rFonts w:eastAsia="Times New Roman"/>
          <w:lang w:val="en-US" w:eastAsia="en-GB"/>
        </w:rPr>
        <w:fldChar w:fldCharType="separate"/>
      </w:r>
      <w:r>
        <w:rPr>
          <w:rFonts w:eastAsia="Times New Roman"/>
          <w:noProof/>
          <w:lang w:val="en-US" w:eastAsia="en-GB"/>
        </w:rPr>
        <w:t>(2)</w:t>
      </w:r>
      <w:r>
        <w:rPr>
          <w:rFonts w:eastAsia="Times New Roman"/>
          <w:lang w:val="en-US" w:eastAsia="en-GB"/>
        </w:rPr>
        <w:fldChar w:fldCharType="end"/>
      </w:r>
      <w:r>
        <w:rPr>
          <w:rFonts w:eastAsia="Times New Roman"/>
          <w:lang w:val="en-US" w:eastAsia="en-GB"/>
        </w:rPr>
        <w:t>:</w:t>
      </w:r>
    </w:p>
    <w:p w14:paraId="3AACC50D" w14:textId="1E2F78FF" w:rsidR="00565F68" w:rsidRDefault="00565F68" w:rsidP="00565F68">
      <w:pPr>
        <w:numPr>
          <w:ilvl w:val="0"/>
          <w:numId w:val="16"/>
        </w:numPr>
        <w:spacing w:after="0" w:line="240" w:lineRule="auto"/>
        <w:ind w:left="360"/>
        <w:contextualSpacing/>
        <w:jc w:val="both"/>
        <w:rPr>
          <w:rFonts w:eastAsia="Times New Roman"/>
          <w:lang w:eastAsia="en-GB"/>
        </w:rPr>
      </w:pPr>
      <w:r>
        <w:rPr>
          <w:rFonts w:eastAsia="Times New Roman"/>
          <w:lang w:eastAsia="en-GB"/>
        </w:rPr>
        <w:t xml:space="preserve">Episodic CH affects 80-90%: diagnosed when individuals experience recurrent bouts with a duration of more than a week and separated by remissions lasting more than </w:t>
      </w:r>
      <w:r w:rsidR="00086B72">
        <w:rPr>
          <w:rFonts w:eastAsia="Times New Roman"/>
          <w:lang w:eastAsia="en-GB"/>
        </w:rPr>
        <w:t>three months</w:t>
      </w:r>
      <w:r>
        <w:rPr>
          <w:rFonts w:eastAsia="Times New Roman"/>
          <w:lang w:eastAsia="en-GB"/>
        </w:rPr>
        <w:t xml:space="preserve">. Most patients have one or two annual cluster periods, each lasting between </w:t>
      </w:r>
      <w:r w:rsidR="00086B72">
        <w:rPr>
          <w:rFonts w:eastAsia="Times New Roman"/>
          <w:lang w:eastAsia="en-GB"/>
        </w:rPr>
        <w:t>two weeks</w:t>
      </w:r>
      <w:r>
        <w:rPr>
          <w:rFonts w:eastAsia="Times New Roman"/>
          <w:lang w:eastAsia="en-GB"/>
        </w:rPr>
        <w:t xml:space="preserve"> and three months. Often the bouts occur in the same month of the year.  </w:t>
      </w:r>
    </w:p>
    <w:p w14:paraId="11104B5B" w14:textId="77777777" w:rsidR="00565F68" w:rsidRDefault="00565F68" w:rsidP="00565F68">
      <w:pPr>
        <w:jc w:val="both"/>
        <w:rPr>
          <w:rFonts w:eastAsia="Times New Roman"/>
          <w:lang w:val="en-US" w:eastAsia="en-GB"/>
        </w:rPr>
      </w:pPr>
    </w:p>
    <w:p w14:paraId="3927AE69" w14:textId="507679A4" w:rsidR="00565F68" w:rsidRDefault="00565F68" w:rsidP="00565F68">
      <w:pPr>
        <w:numPr>
          <w:ilvl w:val="0"/>
          <w:numId w:val="16"/>
        </w:numPr>
        <w:spacing w:after="0" w:line="240" w:lineRule="auto"/>
        <w:ind w:left="360"/>
        <w:contextualSpacing/>
        <w:jc w:val="both"/>
        <w:rPr>
          <w:rFonts w:eastAsia="Times New Roman"/>
          <w:lang w:eastAsia="en-GB"/>
        </w:rPr>
      </w:pPr>
      <w:r>
        <w:rPr>
          <w:rFonts w:eastAsia="Times New Roman"/>
          <w:lang w:eastAsia="en-GB"/>
        </w:rPr>
        <w:t>Chronic CH affects 10-20%:</w:t>
      </w:r>
      <w:r w:rsidR="00D057B3">
        <w:rPr>
          <w:rFonts w:eastAsia="Times New Roman"/>
          <w:lang w:eastAsia="en-GB"/>
        </w:rPr>
        <w:t xml:space="preserve"> </w:t>
      </w:r>
      <w:r>
        <w:rPr>
          <w:rFonts w:eastAsia="Times New Roman"/>
          <w:lang w:eastAsia="en-GB"/>
        </w:rPr>
        <w:t xml:space="preserve">diagnosed when either no remission occurs within one year or the remissions last less than </w:t>
      </w:r>
      <w:r w:rsidR="00086B72">
        <w:rPr>
          <w:rFonts w:eastAsia="Times New Roman"/>
          <w:lang w:eastAsia="en-GB"/>
        </w:rPr>
        <w:t>three</w:t>
      </w:r>
      <w:r>
        <w:rPr>
          <w:rFonts w:eastAsia="Times New Roman"/>
          <w:lang w:eastAsia="en-GB"/>
        </w:rPr>
        <w:t xml:space="preserve"> month</w:t>
      </w:r>
      <w:r w:rsidR="00086B72">
        <w:rPr>
          <w:rFonts w:eastAsia="Times New Roman"/>
          <w:lang w:eastAsia="en-GB"/>
        </w:rPr>
        <w:t>s.</w:t>
      </w:r>
      <w:r>
        <w:rPr>
          <w:rFonts w:eastAsia="Times New Roman"/>
          <w:lang w:eastAsia="en-GB"/>
        </w:rPr>
        <w:t xml:space="preserve"> </w:t>
      </w:r>
    </w:p>
    <w:p w14:paraId="425ACF81" w14:textId="77777777" w:rsidR="00565F68" w:rsidRDefault="00565F68" w:rsidP="00565F68">
      <w:pPr>
        <w:jc w:val="both"/>
        <w:rPr>
          <w:rFonts w:eastAsia="Times New Roman"/>
          <w:lang w:val="en-US" w:eastAsia="en-GB"/>
        </w:rPr>
      </w:pPr>
    </w:p>
    <w:p w14:paraId="30D76E24" w14:textId="77777777" w:rsidR="00565F68" w:rsidRDefault="00565F68" w:rsidP="00565F68">
      <w:pPr>
        <w:jc w:val="both"/>
        <w:rPr>
          <w:rFonts w:eastAsia="Times New Roman"/>
          <w:b/>
          <w:lang w:val="en-US" w:eastAsia="en-GB"/>
        </w:rPr>
      </w:pPr>
      <w:r>
        <w:rPr>
          <w:rFonts w:eastAsia="Times New Roman"/>
          <w:b/>
          <w:lang w:val="en-US" w:eastAsia="en-GB"/>
        </w:rPr>
        <w:t>Treatment</w:t>
      </w:r>
    </w:p>
    <w:p w14:paraId="53A93298" w14:textId="7137B4CD" w:rsidR="00565F68" w:rsidRDefault="00565F68" w:rsidP="00565F68">
      <w:pPr>
        <w:jc w:val="both"/>
        <w:rPr>
          <w:rFonts w:eastAsia="Times New Roman"/>
          <w:lang w:val="en-US" w:eastAsia="en-GB"/>
        </w:rPr>
      </w:pPr>
      <w:r>
        <w:rPr>
          <w:rFonts w:eastAsia="Times New Roman"/>
          <w:lang w:val="en-US" w:eastAsia="en-GB"/>
        </w:rPr>
        <w:t>In clinical trials, 76% of affected people obtain benefit during an attack from oxygen therapy</w:t>
      </w:r>
      <w:r w:rsidR="00D057B3">
        <w:rPr>
          <w:rFonts w:eastAsia="Times New Roman"/>
          <w:lang w:val="en-US" w:eastAsia="en-GB"/>
        </w:rPr>
        <w:t xml:space="preserve"> </w:t>
      </w:r>
      <w:r>
        <w:rPr>
          <w:rFonts w:eastAsia="Times New Roman"/>
          <w:lang w:val="en-US" w:eastAsia="en-GB"/>
        </w:rPr>
        <w:fldChar w:fldCharType="begin"/>
      </w:r>
      <w:r>
        <w:rPr>
          <w:rFonts w:eastAsia="Times New Roman"/>
          <w:lang w:val="en-US" w:eastAsia="en-GB"/>
        </w:rPr>
        <w:instrText xml:space="preserve"> ADDIN EN.CITE &lt;EndNote&gt;&lt;Cite&gt;&lt;Author&gt;Cohen&lt;/Author&gt;&lt;Year&gt;2009&lt;/Year&gt;&lt;RecNum&gt;9972&lt;/RecNum&gt;&lt;DisplayText&gt;(4)&lt;/DisplayText&gt;&lt;record&gt;&lt;rec-number&gt;9972&lt;/rec-number&gt;&lt;foreign-keys&gt;&lt;key app="EN" db-id="f5sszra5d5xtxlezx215rx0qdpts2atfww0s" timestamp="1437576252"&gt;9972&lt;/key&gt;&lt;key app="ENWeb" db-id=""&gt;0&lt;/key&gt;&lt;/foreign-keys&gt;&lt;ref-type name="Journal Article"&gt;17&lt;/ref-type&gt;&lt;contributors&gt;&lt;authors&gt;&lt;author&gt;Cohen, A. S.&lt;/author&gt;&lt;author&gt;Burns, B.&lt;/author&gt;&lt;author&gt;Goadsby, P. J.&lt;/author&gt;&lt;/authors&gt;&lt;/contributors&gt;&lt;titles&gt;&lt;title&gt;High flow oxygen for treatment of cluster headache. A randomized trial&lt;/title&gt;&lt;secondary-title&gt;Journal of the American Medical Association&lt;/secondary-title&gt;&lt;/titles&gt;&lt;periodical&gt;&lt;full-title&gt;Journal of the American Medical Association&lt;/full-title&gt;&lt;abbr-1&gt;Journal of the American Medical Association&lt;/abbr-1&gt;&lt;/periodical&gt;&lt;pages&gt;2451-2457&lt;/pages&gt;&lt;volume&gt;302&lt;/volume&gt;&lt;keywords&gt;&lt;keyword&gt;paper&lt;/keyword&gt;&lt;/keywords&gt;&lt;dates&gt;&lt;year&gt;2009&lt;/year&gt;&lt;/dates&gt;&lt;urls&gt;&lt;/urls&gt;&lt;/record&gt;&lt;/Cite&gt;&lt;/EndNote&gt;</w:instrText>
      </w:r>
      <w:r>
        <w:rPr>
          <w:rFonts w:eastAsia="Times New Roman"/>
          <w:lang w:val="en-US" w:eastAsia="en-GB"/>
        </w:rPr>
        <w:fldChar w:fldCharType="separate"/>
      </w:r>
      <w:r>
        <w:rPr>
          <w:rFonts w:eastAsia="Times New Roman"/>
          <w:noProof/>
          <w:lang w:val="en-US" w:eastAsia="en-GB"/>
        </w:rPr>
        <w:t>(4)</w:t>
      </w:r>
      <w:r>
        <w:rPr>
          <w:rFonts w:eastAsia="Times New Roman"/>
          <w:lang w:val="en-US" w:eastAsia="en-GB"/>
        </w:rPr>
        <w:fldChar w:fldCharType="end"/>
      </w:r>
      <w:r>
        <w:rPr>
          <w:rFonts w:eastAsia="Times New Roman"/>
          <w:lang w:val="en-US" w:eastAsia="en-GB"/>
        </w:rPr>
        <w:t xml:space="preserve">. Unfortunately the oxygen concentrators available through the NHS contract do not provide sufficient oxygen enrichment or high enough flow rate to be effective. Some CH patients may opt to purchase high flow concentrators but, in most, static large capacity oxygen cylinders will be required to treat home attacks and portable cylinders when away from home. Non-rebreathe high-concentration masks with a reservoir (as used by ambulances and in emergency resuscitation areas) should be used at a flow rate of 12-15 L/min. The value of the reservoir bag is to reduce entraining of air at the mask and to conserve oxygen. The flow rate should be set so as to avoid collapse of the bag during inspiration. </w:t>
      </w:r>
    </w:p>
    <w:p w14:paraId="1D06D10E" w14:textId="77777777" w:rsidR="00565F68" w:rsidRDefault="00565F68" w:rsidP="00565F68">
      <w:pPr>
        <w:jc w:val="both"/>
        <w:rPr>
          <w:rFonts w:eastAsia="Times New Roman"/>
          <w:lang w:val="en-US" w:eastAsia="en-GB"/>
        </w:rPr>
      </w:pPr>
      <w:r>
        <w:rPr>
          <w:rFonts w:eastAsia="Times New Roman"/>
          <w:lang w:val="en-US" w:eastAsia="en-GB"/>
        </w:rPr>
        <w:t xml:space="preserve">The response to high concentration oxygen occurs within 15 minutes. If there is an inadequate response after 15 minutes the advice is to turn the oxygen supply off. For those sufferers who respond to oxygen, the advice is to continue oxygen treatment for 10 minutes after the headache has abated otherwise they may have a rebound headache. There are no characteristics that predict responsiveness to oxygen. Non-responders do not generally become responders so there is no value in such people continuing to be provided with oxygen (and therefore discontinuing the HOOF order is required). It could be argued that in episodic CH the equipment could be returned between clusters but this requires that repeat prescribing at the start of a further cluster is timely and easily </w:t>
      </w:r>
      <w:r>
        <w:rPr>
          <w:rFonts w:eastAsia="Times New Roman"/>
          <w:lang w:eastAsia="en-GB"/>
        </w:rPr>
        <w:t>organised</w:t>
      </w:r>
      <w:r>
        <w:rPr>
          <w:rFonts w:eastAsia="Times New Roman"/>
          <w:lang w:val="en-US" w:eastAsia="en-GB"/>
        </w:rPr>
        <w:t xml:space="preserve">.    </w:t>
      </w:r>
    </w:p>
    <w:p w14:paraId="654625E7" w14:textId="679024A2" w:rsidR="00565F68" w:rsidRDefault="00565F68" w:rsidP="00565F68">
      <w:pPr>
        <w:jc w:val="both"/>
        <w:rPr>
          <w:rFonts w:eastAsia="Times New Roman"/>
          <w:lang w:val="en-US" w:eastAsia="en-GB"/>
        </w:rPr>
      </w:pPr>
      <w:r>
        <w:rPr>
          <w:rFonts w:eastAsia="Times New Roman"/>
          <w:lang w:val="en-US" w:eastAsia="en-GB"/>
        </w:rPr>
        <w:t>Subcutaneous</w:t>
      </w:r>
      <w:r w:rsidR="00086B72">
        <w:rPr>
          <w:rFonts w:eastAsia="Times New Roman"/>
          <w:lang w:val="en-US" w:eastAsia="en-GB"/>
        </w:rPr>
        <w:t xml:space="preserve"> </w:t>
      </w:r>
      <w:r>
        <w:rPr>
          <w:rFonts w:eastAsia="Times New Roman"/>
          <w:lang w:val="en-US" w:eastAsia="en-GB"/>
        </w:rPr>
        <w:t>sumatriptan is also very effective and is often preferred, for efficacy and to a lesser extent convenience reasons. It is licensed for use twice in 24 hrs. As attacks may occur more frequently, many with CH request a domiciliary oxygen supply, using the subcutaneous injection when out of the home. The cost of an injection is £20 which may be a factor limiting prescribing in primary care. Nasal triptans have evidence</w:t>
      </w:r>
      <w:r w:rsidR="00C97320">
        <w:rPr>
          <w:rFonts w:eastAsia="Times New Roman"/>
          <w:lang w:val="en-US" w:eastAsia="en-GB"/>
        </w:rPr>
        <w:t xml:space="preserve"> </w:t>
      </w:r>
    </w:p>
    <w:p w14:paraId="4F28FB1D" w14:textId="77777777" w:rsidR="00565F68" w:rsidRDefault="00565F68" w:rsidP="00565F68">
      <w:pPr>
        <w:jc w:val="both"/>
        <w:rPr>
          <w:rFonts w:eastAsia="Times New Roman"/>
          <w:lang w:val="en-US" w:eastAsia="en-GB"/>
        </w:rPr>
      </w:pPr>
    </w:p>
    <w:p w14:paraId="72366C76" w14:textId="77777777" w:rsidR="00565F68" w:rsidRDefault="00565F68" w:rsidP="00565F68">
      <w:pPr>
        <w:jc w:val="both"/>
        <w:rPr>
          <w:rFonts w:eastAsia="Times New Roman"/>
          <w:lang w:val="en-US" w:eastAsia="en-GB"/>
        </w:rPr>
      </w:pPr>
    </w:p>
    <w:p w14:paraId="2CEBDE68" w14:textId="3B49558F" w:rsidR="00565F68" w:rsidRDefault="00396953" w:rsidP="00396953">
      <w:pPr>
        <w:tabs>
          <w:tab w:val="left" w:pos="3150"/>
        </w:tabs>
        <w:jc w:val="both"/>
        <w:rPr>
          <w:rFonts w:eastAsia="Times New Roman"/>
          <w:lang w:val="en-US" w:eastAsia="en-GB"/>
        </w:rPr>
      </w:pPr>
      <w:r>
        <w:rPr>
          <w:rFonts w:eastAsia="Times New Roman"/>
          <w:lang w:val="en-US" w:eastAsia="en-GB"/>
        </w:rPr>
        <w:tab/>
      </w:r>
    </w:p>
    <w:p w14:paraId="6FC01937" w14:textId="1FDA5117" w:rsidR="00565F68" w:rsidRDefault="00AE3E03" w:rsidP="00565F68">
      <w:pPr>
        <w:jc w:val="both"/>
        <w:rPr>
          <w:rFonts w:eastAsia="Times New Roman"/>
          <w:lang w:val="en-US" w:eastAsia="en-GB"/>
        </w:rPr>
      </w:pPr>
      <w:r>
        <w:rPr>
          <w:rFonts w:eastAsia="Times New Roman"/>
          <w:lang w:val="en-US" w:eastAsia="en-GB"/>
        </w:rPr>
        <w:t xml:space="preserve">for their effect, notably zolmitriptan </w:t>
      </w:r>
      <w:r>
        <w:rPr>
          <w:rFonts w:eastAsia="Times New Roman"/>
          <w:lang w:val="en-US" w:eastAsia="en-GB"/>
        </w:rPr>
        <w:fldChar w:fldCharType="begin"/>
      </w:r>
      <w:r>
        <w:rPr>
          <w:rFonts w:eastAsia="Times New Roman"/>
          <w:lang w:val="en-US" w:eastAsia="en-GB"/>
        </w:rPr>
        <w:instrText xml:space="preserve"> ADDIN EN.CITE &lt;EndNote&gt;&lt;Cite&gt;&lt;Author&gt;Cittadini&lt;/Author&gt;&lt;Year&gt;2006&lt;/Year&gt;&lt;RecNum&gt;10019&lt;/RecNum&gt;&lt;DisplayText&gt;(5)&lt;/DisplayText&gt;&lt;record&gt;&lt;rec-number&gt;10019&lt;/rec-number&gt;&lt;foreign-keys&gt;&lt;key app="EN" db-id="f5sszra5d5xtxlezx215rx0qdpts2atfww0s" timestamp="1437576287"&gt;10019&lt;/key&gt;&lt;key app="ENWeb" db-id=""&gt;0&lt;/key&gt;&lt;/foreign-keys&gt;&lt;ref-type name="Journal Article"&gt;17&lt;/ref-type&gt;&lt;contributors&gt;&lt;authors&gt;&lt;author&gt;Cittadini, E.&lt;/author&gt;&lt;author&gt;May, A.&lt;/author&gt;&lt;author&gt;Straube, A.&lt;/author&gt;&lt;author&gt;Evers, S.&lt;/author&gt;&lt;author&gt;Bussone, G.&lt;/author&gt;&lt;author&gt;Goadsby, P. J.&lt;/author&gt;&lt;/authors&gt;&lt;/contributors&gt;&lt;titles&gt;&lt;title&gt;Effectiveness of intranasal zolmitriptan in acute cluster headache. A randomized, placebo-controlled, double-blind crossover study&lt;/title&gt;&lt;secondary-title&gt;Archives of Neurology&lt;/secondary-title&gt;&lt;/titles&gt;&lt;periodical&gt;&lt;full-title&gt;Archives of Neurology&lt;/full-title&gt;&lt;abbr-1&gt;Archives of Neurology&lt;/abbr-1&gt;&lt;/periodical&gt;&lt;pages&gt;1537-1542&lt;/pages&gt;&lt;volume&gt;63&lt;/volume&gt;&lt;keywords&gt;&lt;keyword&gt;paper&lt;/keyword&gt;&lt;/keywords&gt;&lt;dates&gt;&lt;year&gt;2006&lt;/year&gt;&lt;/dates&gt;&lt;urls&gt;&lt;/urls&gt;&lt;/record&gt;&lt;/Cite&gt;&lt;/EndNote&gt;</w:instrText>
      </w:r>
      <w:r>
        <w:rPr>
          <w:rFonts w:eastAsia="Times New Roman"/>
          <w:lang w:val="en-US" w:eastAsia="en-GB"/>
        </w:rPr>
        <w:fldChar w:fldCharType="separate"/>
      </w:r>
      <w:r>
        <w:rPr>
          <w:rFonts w:eastAsia="Times New Roman"/>
          <w:noProof/>
          <w:lang w:val="en-US" w:eastAsia="en-GB"/>
        </w:rPr>
        <w:t>(5)</w:t>
      </w:r>
      <w:r>
        <w:rPr>
          <w:rFonts w:eastAsia="Times New Roman"/>
          <w:lang w:val="en-US" w:eastAsia="en-GB"/>
        </w:rPr>
        <w:fldChar w:fldCharType="end"/>
      </w:r>
      <w:r>
        <w:rPr>
          <w:rFonts w:eastAsia="Times New Roman"/>
          <w:lang w:val="en-US" w:eastAsia="en-GB"/>
        </w:rPr>
        <w:t xml:space="preserve"> and sumatriptan </w:t>
      </w:r>
      <w:r>
        <w:rPr>
          <w:rFonts w:eastAsia="Times New Roman"/>
          <w:lang w:val="en-US" w:eastAsia="en-GB"/>
        </w:rPr>
        <w:fldChar w:fldCharType="begin"/>
      </w:r>
      <w:r>
        <w:rPr>
          <w:rFonts w:eastAsia="Times New Roman"/>
          <w:lang w:val="en-US" w:eastAsia="en-GB"/>
        </w:rPr>
        <w:instrText xml:space="preserve"> ADDIN EN.CITE &lt;EndNote&gt;&lt;Cite&gt;&lt;Author&gt;van Vliet&lt;/Author&gt;&lt;Year&gt;2003&lt;/Year&gt;&lt;RecNum&gt;9791&lt;/RecNum&gt;&lt;DisplayText&gt;(6)&lt;/DisplayText&gt;&lt;record&gt;&lt;rec-number&gt;9791&lt;/rec-number&gt;&lt;foreign-keys&gt;&lt;key app="EN" db-id="f5sszra5d5xtxlezx215rx0qdpts2atfww0s" timestamp="1437576036"&gt;9791&lt;/key&gt;&lt;key app="ENWeb" db-id=""&gt;0&lt;/key&gt;&lt;/foreign-keys&gt;&lt;ref-type name="Journal Article"&gt;17&lt;/ref-type&gt;&lt;contributors&gt;&lt;authors&gt;&lt;author&gt;van Vliet, J. A. &lt;/author&gt;&lt;author&gt;A. Bahra&lt;/author&gt;&lt;author&gt;V. Martin&lt;/author&gt;&lt;author&gt;S. K. Aurora&lt;/author&gt;&lt;author&gt;N. T. Mathew&lt;/author&gt;&lt;author&gt;M. D. Ferrari&lt;/author&gt;&lt;author&gt;P. J. Goadsby&lt;/author&gt;&lt;/authors&gt;&lt;/contributors&gt;&lt;titles&gt;&lt;title&gt;Intranasal sumatriptan in cluster headache- randomized placebo-controlled double-blind study&lt;/title&gt;&lt;secondary-title&gt;Neurology&lt;/secondary-title&gt;&lt;/titles&gt;&lt;periodical&gt;&lt;full-title&gt;Neurology&lt;/full-title&gt;&lt;abbr-1&gt;Neurology&lt;/abbr-1&gt;&lt;/periodical&gt;&lt;pages&gt;630-633&lt;/pages&gt;&lt;volume&gt;60&lt;/volume&gt;&lt;dates&gt;&lt;year&gt;2003&lt;/year&gt;&lt;/dates&gt;&lt;urls&gt;&lt;/urls&gt;&lt;/record&gt;&lt;/Cite&gt;&lt;/EndNote&gt;</w:instrText>
      </w:r>
      <w:r>
        <w:rPr>
          <w:rFonts w:eastAsia="Times New Roman"/>
          <w:lang w:val="en-US" w:eastAsia="en-GB"/>
        </w:rPr>
        <w:fldChar w:fldCharType="separate"/>
      </w:r>
      <w:r>
        <w:rPr>
          <w:rFonts w:eastAsia="Times New Roman"/>
          <w:noProof/>
          <w:lang w:val="en-US" w:eastAsia="en-GB"/>
        </w:rPr>
        <w:t>(6)</w:t>
      </w:r>
      <w:r>
        <w:rPr>
          <w:rFonts w:eastAsia="Times New Roman"/>
          <w:lang w:val="en-US" w:eastAsia="en-GB"/>
        </w:rPr>
        <w:fldChar w:fldCharType="end"/>
      </w:r>
      <w:r>
        <w:rPr>
          <w:rFonts w:eastAsia="Times New Roman"/>
          <w:lang w:val="en-US" w:eastAsia="en-GB"/>
        </w:rPr>
        <w:t>, and can also be used but may work more slowly than subcutaneous sumatriptan and oxygen.</w:t>
      </w:r>
    </w:p>
    <w:p w14:paraId="1D3D77BA" w14:textId="77777777" w:rsidR="009E1682" w:rsidRDefault="009E1682" w:rsidP="00565F68">
      <w:pPr>
        <w:jc w:val="both"/>
        <w:rPr>
          <w:rFonts w:eastAsia="Times New Roman"/>
          <w:lang w:val="en-US" w:eastAsia="en-GB"/>
        </w:rPr>
      </w:pPr>
    </w:p>
    <w:p w14:paraId="3794403A" w14:textId="1EC45CFA" w:rsidR="00565F68" w:rsidRDefault="00565F68" w:rsidP="00565F68">
      <w:pPr>
        <w:jc w:val="both"/>
        <w:rPr>
          <w:rFonts w:eastAsia="Times New Roman"/>
          <w:lang w:val="en-US" w:eastAsia="en-GB"/>
        </w:rPr>
      </w:pPr>
      <w:r>
        <w:rPr>
          <w:rFonts w:eastAsia="Times New Roman"/>
          <w:lang w:val="en-US" w:eastAsia="en-GB"/>
        </w:rPr>
        <w:t xml:space="preserve">With regard to preventive treatment, verapamil reduces the frequency of cluster headache attacks but specialist advice is recommended </w:t>
      </w:r>
      <w:r>
        <w:rPr>
          <w:rFonts w:eastAsia="Times New Roman"/>
          <w:lang w:val="en-US" w:eastAsia="en-GB"/>
        </w:rPr>
        <w:fldChar w:fldCharType="begin"/>
      </w:r>
      <w:r>
        <w:rPr>
          <w:rFonts w:eastAsia="Times New Roman"/>
          <w:lang w:val="en-US" w:eastAsia="en-GB"/>
        </w:rPr>
        <w:instrText xml:space="preserve"> ADDIN EN.CITE &lt;EndNote&gt;&lt;Cite&gt;&lt;Author&gt;Cohen&lt;/Author&gt;&lt;Year&gt;2007&lt;/Year&gt;&lt;RecNum&gt;9904&lt;/RecNum&gt;&lt;DisplayText&gt;(7)&lt;/DisplayText&gt;&lt;record&gt;&lt;rec-number&gt;9904&lt;/rec-number&gt;&lt;foreign-keys&gt;&lt;key app="EN" db-id="f5sszra5d5xtxlezx215rx0qdpts2atfww0s" timestamp="1437576184"&gt;9904&lt;/key&gt;&lt;key app="ENWeb" db-id=""&gt;0&lt;/key&gt;&lt;/foreign-keys&gt;&lt;ref-type name="Journal Article"&gt;17&lt;/ref-type&gt;&lt;contributors&gt;&lt;authors&gt;&lt;author&gt;Cohen, A. S.&lt;/author&gt;&lt;author&gt;Matharu, M. S.&lt;/author&gt;&lt;author&gt;Goadsby, P. J.&lt;/author&gt;&lt;/authors&gt;&lt;/contributors&gt;&lt;titles&gt;&lt;title&gt;Electrocardiographic abnormalities in patients with cluster headache on verapamil therapy&lt;/title&gt;&lt;secondary-title&gt;Neurology&lt;/secondary-title&gt;&lt;/titles&gt;&lt;periodical&gt;&lt;full-title&gt;Neurology&lt;/full-title&gt;&lt;abbr-1&gt;Neurology&lt;/abbr-1&gt;&lt;/periodical&gt;&lt;pages&gt;668-675&lt;/pages&gt;&lt;volume&gt;69&lt;/volume&gt;&lt;keywords&gt;&lt;keyword&gt;paper&lt;/keyword&gt;&lt;/keywords&gt;&lt;dates&gt;&lt;year&gt;2007&lt;/year&gt;&lt;/dates&gt;&lt;urls&gt;&lt;/urls&gt;&lt;/record&gt;&lt;/Cite&gt;&lt;/EndNote&gt;</w:instrText>
      </w:r>
      <w:r>
        <w:rPr>
          <w:rFonts w:eastAsia="Times New Roman"/>
          <w:lang w:val="en-US" w:eastAsia="en-GB"/>
        </w:rPr>
        <w:fldChar w:fldCharType="separate"/>
      </w:r>
      <w:r>
        <w:rPr>
          <w:rFonts w:eastAsia="Times New Roman"/>
          <w:noProof/>
          <w:lang w:val="en-US" w:eastAsia="en-GB"/>
        </w:rPr>
        <w:t>(7)</w:t>
      </w:r>
      <w:r>
        <w:rPr>
          <w:rFonts w:eastAsia="Times New Roman"/>
          <w:lang w:val="en-US" w:eastAsia="en-GB"/>
        </w:rPr>
        <w:fldChar w:fldCharType="end"/>
      </w:r>
      <w:r>
        <w:rPr>
          <w:rFonts w:eastAsia="Times New Roman"/>
          <w:lang w:val="en-US" w:eastAsia="en-GB"/>
        </w:rPr>
        <w:t xml:space="preserve">. </w:t>
      </w:r>
      <w:r w:rsidR="00086B72" w:rsidRPr="00086B72">
        <w:rPr>
          <w:rFonts w:eastAsia="Times New Roman"/>
          <w:lang w:val="en-US" w:eastAsia="en-GB"/>
        </w:rPr>
        <w:t>Consider verapamil for prophylactic treatment during a bout of cluster headache</w:t>
      </w:r>
      <w:r w:rsidR="00C65EB9">
        <w:rPr>
          <w:rFonts w:eastAsia="Times New Roman"/>
          <w:lang w:val="en-US" w:eastAsia="en-GB"/>
        </w:rPr>
        <w:t xml:space="preserve"> </w:t>
      </w:r>
      <w:r w:rsidR="00DB41D5">
        <w:rPr>
          <w:rFonts w:eastAsia="Times New Roman"/>
          <w:lang w:val="en-US" w:eastAsia="en-GB"/>
        </w:rPr>
        <w:t>(8)</w:t>
      </w:r>
      <w:r w:rsidR="00086B72" w:rsidRPr="00086B72">
        <w:rPr>
          <w:rFonts w:eastAsia="Times New Roman"/>
          <w:lang w:val="en-US" w:eastAsia="en-GB"/>
        </w:rPr>
        <w:t>. If unfamiliar with its use for cluster headache, seek specialist advice before starting verapamil, including advice on electrocardiogram monitoring.</w:t>
      </w:r>
    </w:p>
    <w:p w14:paraId="4D70C49D" w14:textId="77777777" w:rsidR="00565F68" w:rsidRDefault="00565F68" w:rsidP="00565F68">
      <w:pPr>
        <w:jc w:val="both"/>
        <w:rPr>
          <w:rFonts w:eastAsia="Times New Roman"/>
          <w:b/>
          <w:lang w:val="en-US" w:eastAsia="en-GB"/>
        </w:rPr>
      </w:pPr>
      <w:r>
        <w:rPr>
          <w:rFonts w:eastAsia="Times New Roman"/>
          <w:b/>
          <w:lang w:val="en-US" w:eastAsia="en-GB"/>
        </w:rPr>
        <w:t>Oxygen prescriptions</w:t>
      </w:r>
    </w:p>
    <w:p w14:paraId="7A33A92D" w14:textId="77777777" w:rsidR="00565F68" w:rsidRDefault="00565F68" w:rsidP="00565F68">
      <w:pPr>
        <w:jc w:val="both"/>
        <w:rPr>
          <w:rFonts w:eastAsia="Times New Roman"/>
          <w:lang w:val="en-US" w:eastAsia="en-GB"/>
        </w:rPr>
      </w:pPr>
      <w:r>
        <w:rPr>
          <w:rFonts w:eastAsia="Times New Roman"/>
          <w:lang w:val="en-US" w:eastAsia="en-GB"/>
        </w:rPr>
        <w:t xml:space="preserve">In England most home oxygen prescribing is carried out by home oxygen assessment and review services (HOSARs) to which neurologists and GPs are able to refer. The number of CH patients in Greater London is estimated to be 8000, on the basis that the population of Greater London is 8 million and the prevalence of CH is 1 per 1000. Home oxygen in cluster headache seems to be considerably </w:t>
      </w:r>
      <w:r>
        <w:rPr>
          <w:rFonts w:eastAsia="Times New Roman"/>
          <w:lang w:eastAsia="en-GB"/>
        </w:rPr>
        <w:t>under-utilised</w:t>
      </w:r>
      <w:r>
        <w:rPr>
          <w:rFonts w:eastAsia="Times New Roman"/>
          <w:lang w:val="en-US" w:eastAsia="en-GB"/>
        </w:rPr>
        <w:t xml:space="preserve"> in Greater London.</w:t>
      </w:r>
    </w:p>
    <w:p w14:paraId="2AEE2400" w14:textId="77777777" w:rsidR="00565F68" w:rsidRDefault="00565F68" w:rsidP="00565F68">
      <w:pPr>
        <w:jc w:val="both"/>
        <w:rPr>
          <w:rFonts w:eastAsia="Times New Roman"/>
          <w:b/>
          <w:lang w:val="en-US" w:eastAsia="en-GB"/>
        </w:rPr>
      </w:pPr>
      <w:r>
        <w:rPr>
          <w:rFonts w:eastAsia="Times New Roman"/>
          <w:b/>
          <w:lang w:val="en-US" w:eastAsia="en-GB"/>
        </w:rPr>
        <w:t>Risks with high flow oxygen</w:t>
      </w:r>
    </w:p>
    <w:p w14:paraId="0CE7E932" w14:textId="77777777" w:rsidR="00565F68" w:rsidRDefault="00565F68" w:rsidP="00565F68">
      <w:pPr>
        <w:jc w:val="both"/>
        <w:rPr>
          <w:rFonts w:eastAsia="Times New Roman"/>
          <w:lang w:eastAsia="en-GB"/>
        </w:rPr>
      </w:pPr>
      <w:r>
        <w:rPr>
          <w:rFonts w:eastAsia="Times New Roman"/>
          <w:lang w:eastAsia="en-GB"/>
        </w:rPr>
        <w:t xml:space="preserve">Oxygen is a medicine which should only be </w:t>
      </w:r>
      <w:r>
        <w:rPr>
          <w:rFonts w:eastAsia="Cambria"/>
        </w:rPr>
        <w:t>prescribed and reviewed by staff trained in oxygen prescription and use (</w:t>
      </w:r>
      <w:r>
        <w:rPr>
          <w:rFonts w:eastAsia="Times New Roman"/>
          <w:i/>
          <w:lang w:eastAsia="en-GB"/>
        </w:rPr>
        <w:t>Responsible Oxygen Prescribing Messages:</w:t>
      </w:r>
      <w:r>
        <w:rPr>
          <w:rFonts w:ascii="Calibri" w:eastAsia="Times New Roman" w:hAnsi="Calibri"/>
          <w:i/>
          <w:lang w:eastAsia="en-GB"/>
        </w:rPr>
        <w:t xml:space="preserve"> </w:t>
      </w:r>
      <w:hyperlink r:id="rId8" w:history="1">
        <w:r>
          <w:rPr>
            <w:rStyle w:val="Hyperlink"/>
            <w:rFonts w:eastAsia="Times New Roman"/>
            <w:i/>
            <w:lang w:eastAsia="en-GB"/>
          </w:rPr>
          <w:t>https://www.networks.nhs.uk/nhs-networks/london-lungs</w:t>
        </w:r>
      </w:hyperlink>
      <w:r>
        <w:rPr>
          <w:rFonts w:eastAsia="Cambria"/>
        </w:rPr>
        <w:t xml:space="preserve">). </w:t>
      </w:r>
      <w:r>
        <w:rPr>
          <w:rFonts w:eastAsia="Times New Roman"/>
          <w:lang w:eastAsia="en-GB"/>
        </w:rPr>
        <w:t xml:space="preserve">Every patient who has been newly prescribed home oxygen should have a specialist oxygen assessment to offer individualised patient and carer education about oxygen treatment, a comprehensive risk assessment and carbon monoxide monitoring. This can be done by their local specialist HOSAR team who should be made aware of local CH patients on oxygen. </w:t>
      </w:r>
    </w:p>
    <w:p w14:paraId="37E9EACC" w14:textId="77777777" w:rsidR="00565F68" w:rsidRDefault="00565F68" w:rsidP="00565F68">
      <w:pPr>
        <w:jc w:val="both"/>
        <w:rPr>
          <w:rFonts w:eastAsia="Times New Roman"/>
          <w:lang w:eastAsia="en-GB"/>
        </w:rPr>
      </w:pPr>
      <w:r>
        <w:rPr>
          <w:rFonts w:eastAsia="Times New Roman"/>
          <w:lang w:eastAsia="en-GB"/>
        </w:rPr>
        <w:t xml:space="preserve">It is estimated that around 60% of CH patients smoke. 1 in 4 oxygen related domestic fires results in death and 1 in 3 results in serious injury therefore patient education and risk assessment are crucial aspects of safe home oxygen prescription. Patients should be informed of their responsibility to use oxygen safely, including abstinence from smoking while on oxygen and of the reasons for this. Time should be allowed to check patients’ understanding of this information. The frequency of CH attacks is not related to smoking; however brief verbal advice about the health benefits of quitting smoking should be given at every contact and referral to their local smoking cessation service should be offered where appropriate. </w:t>
      </w:r>
    </w:p>
    <w:p w14:paraId="23E16077" w14:textId="6D5BA2A4" w:rsidR="00565F68" w:rsidRDefault="00565F68" w:rsidP="00565F68">
      <w:pPr>
        <w:jc w:val="both"/>
        <w:rPr>
          <w:rFonts w:eastAsia="Times New Roman"/>
          <w:lang w:eastAsia="en-GB"/>
        </w:rPr>
      </w:pPr>
      <w:r>
        <w:rPr>
          <w:rFonts w:eastAsia="Times New Roman"/>
          <w:lang w:eastAsia="en-GB"/>
        </w:rPr>
        <w:t>Consideration should also be given to whether a patient may have a condition predisposing to hypoventilation (</w:t>
      </w:r>
      <w:r w:rsidR="00086B72">
        <w:rPr>
          <w:rFonts w:eastAsia="Times New Roman"/>
          <w:lang w:eastAsia="en-GB"/>
        </w:rPr>
        <w:t>e.g.,</w:t>
      </w:r>
      <w:r>
        <w:rPr>
          <w:rFonts w:eastAsia="Times New Roman"/>
          <w:lang w:eastAsia="en-GB"/>
        </w:rPr>
        <w:t xml:space="preserve"> COPD, obesity hypoventilation or kyphoscoliosis) which could require clinical assessment before uncontrolled high flow home oxygen prescription. </w:t>
      </w:r>
    </w:p>
    <w:p w14:paraId="183E6C3B" w14:textId="77777777" w:rsidR="00565F68" w:rsidRDefault="00565F68" w:rsidP="00565F68">
      <w:pPr>
        <w:jc w:val="both"/>
        <w:rPr>
          <w:rFonts w:eastAsia="Times New Roman"/>
          <w:b/>
          <w:lang w:eastAsia="en-GB"/>
        </w:rPr>
      </w:pPr>
    </w:p>
    <w:p w14:paraId="2DCAD359" w14:textId="77777777" w:rsidR="00565F68" w:rsidRDefault="00565F68" w:rsidP="00565F68">
      <w:pPr>
        <w:jc w:val="both"/>
        <w:rPr>
          <w:rFonts w:eastAsia="Times New Roman"/>
          <w:lang w:eastAsia="en-GB"/>
        </w:rPr>
      </w:pPr>
      <w:r>
        <w:rPr>
          <w:rFonts w:eastAsia="Times New Roman"/>
          <w:b/>
          <w:lang w:eastAsia="en-GB"/>
        </w:rPr>
        <w:t>Pathway for prescribing oxygen for cluster headache patients</w:t>
      </w:r>
    </w:p>
    <w:p w14:paraId="591AD4D9" w14:textId="77777777" w:rsidR="00565F68" w:rsidRDefault="00565F68" w:rsidP="00AE3E03">
      <w:pPr>
        <w:jc w:val="both"/>
        <w:rPr>
          <w:rFonts w:eastAsia="Times New Roman"/>
          <w:lang w:val="en-US" w:eastAsia="en-GB"/>
        </w:rPr>
      </w:pPr>
      <w:r>
        <w:rPr>
          <w:rFonts w:eastAsia="Times New Roman"/>
          <w:lang w:val="en-US" w:eastAsia="en-GB"/>
        </w:rPr>
        <w:t xml:space="preserve">The NICE clinical guideline for Headaches (CG150) provides an outline for the assessment, diagnosis and treatment of cluster headache </w:t>
      </w:r>
      <w:r>
        <w:rPr>
          <w:rFonts w:eastAsia="Times New Roman"/>
          <w:lang w:val="en-US" w:eastAsia="en-GB"/>
        </w:rPr>
        <w:fldChar w:fldCharType="begin"/>
      </w:r>
      <w:r>
        <w:rPr>
          <w:rFonts w:eastAsia="Times New Roman"/>
          <w:lang w:val="en-US" w:eastAsia="en-GB"/>
        </w:rPr>
        <w:instrText xml:space="preserve"> ADDIN EN.CITE &lt;EndNote&gt;&lt;Cite&gt;&lt;Author&gt;National Clinical Guideline Centre&lt;/Author&gt;&lt;Year&gt;2012&lt;/Year&gt;&lt;RecNum&gt;9354&lt;/RecNum&gt;&lt;DisplayText&gt;(3)&lt;/DisplayText&gt;&lt;record&gt;&lt;rec-number&gt;9354&lt;/rec-number&gt;&lt;foreign-keys&gt;&lt;key app="EN" db-id="f5sszra5d5xtxlezx215rx0qdpts2atfww0s" timestamp="1437575338"&gt;9354&lt;/key&gt;&lt;key app="ENWeb" db-id=""&gt;0&lt;/key&gt;&lt;/foreign-keys&gt;&lt;ref-type name="Government Document"&gt;46&lt;/ref-type&gt;&lt;contributors&gt;&lt;authors&gt;&lt;author&gt;National Clinical Guideline Centre,&lt;/author&gt;&lt;/authors&gt;&lt;secondary-authors&gt;&lt;author&gt;National Institute for Health and Clinical Excellence,&lt;/author&gt;&lt;/secondary-authors&gt;&lt;/contributors&gt;&lt;titles&gt;&lt;title&gt;Headaches. Diagnosis and management of headaches in young people and adults&lt;/title&gt;&lt;/titles&gt;&lt;dates&gt;&lt;year&gt;2012&lt;/year&gt;&lt;/dates&gt;&lt;pub-location&gt;London&lt;/pub-location&gt;&lt;publisher&gt;Royal College of Physicians&lt;/publisher&gt;&lt;urls&gt;&lt;/urls&gt;&lt;/record&gt;&lt;/Cite&gt;&lt;/EndNote&gt;</w:instrText>
      </w:r>
      <w:r>
        <w:rPr>
          <w:rFonts w:eastAsia="Times New Roman"/>
          <w:lang w:val="en-US" w:eastAsia="en-GB"/>
        </w:rPr>
        <w:fldChar w:fldCharType="separate"/>
      </w:r>
      <w:r>
        <w:rPr>
          <w:rFonts w:eastAsia="Times New Roman"/>
          <w:noProof/>
          <w:lang w:val="en-US" w:eastAsia="en-GB"/>
        </w:rPr>
        <w:t>(3)</w:t>
      </w:r>
      <w:r>
        <w:rPr>
          <w:rFonts w:eastAsia="Times New Roman"/>
          <w:lang w:val="en-US" w:eastAsia="en-GB"/>
        </w:rPr>
        <w:fldChar w:fldCharType="end"/>
      </w:r>
      <w:r>
        <w:rPr>
          <w:rFonts w:eastAsia="Times New Roman"/>
          <w:lang w:val="en-US" w:eastAsia="en-GB"/>
        </w:rPr>
        <w:t>. The NICE guideline recommends the following pathway for managing these patients:</w:t>
      </w:r>
    </w:p>
    <w:p w14:paraId="756468AA" w14:textId="77777777" w:rsidR="00565F68" w:rsidRDefault="00565F68" w:rsidP="00AE3E03">
      <w:pPr>
        <w:numPr>
          <w:ilvl w:val="0"/>
          <w:numId w:val="17"/>
        </w:numPr>
        <w:spacing w:after="0" w:line="240" w:lineRule="auto"/>
        <w:jc w:val="both"/>
        <w:rPr>
          <w:rFonts w:eastAsia="Times New Roman"/>
          <w:lang w:eastAsia="en-GB"/>
        </w:rPr>
      </w:pPr>
      <w:r>
        <w:rPr>
          <w:rFonts w:eastAsia="Times New Roman"/>
          <w:lang w:eastAsia="en-GB"/>
        </w:rPr>
        <w:t xml:space="preserve">Evaluate people who present with headaches for red flags that raise the possibility of symptomatic (secondary) causes for headaches and consider the need for further investigations and/or referral. </w:t>
      </w:r>
    </w:p>
    <w:p w14:paraId="281027D0" w14:textId="77777777" w:rsidR="00565F68" w:rsidRDefault="00565F68" w:rsidP="00AE3E03">
      <w:pPr>
        <w:ind w:left="720"/>
        <w:contextualSpacing/>
        <w:jc w:val="both"/>
        <w:rPr>
          <w:rFonts w:eastAsia="Times New Roman"/>
          <w:lang w:eastAsia="en-GB"/>
        </w:rPr>
      </w:pPr>
    </w:p>
    <w:p w14:paraId="0ED41954" w14:textId="77777777" w:rsidR="00565F68" w:rsidRDefault="00565F68" w:rsidP="00AE3E03">
      <w:pPr>
        <w:numPr>
          <w:ilvl w:val="0"/>
          <w:numId w:val="17"/>
        </w:numPr>
        <w:spacing w:after="0" w:line="240" w:lineRule="auto"/>
        <w:jc w:val="both"/>
        <w:rPr>
          <w:rFonts w:eastAsia="Times New Roman"/>
          <w:lang w:eastAsia="en-GB"/>
        </w:rPr>
      </w:pPr>
      <w:r>
        <w:rPr>
          <w:rFonts w:eastAsia="Times New Roman"/>
          <w:lang w:eastAsia="en-GB"/>
        </w:rPr>
        <w:t>For people with primary headaches (i.e. in whom secondary causes have been excluded) diagnose cluster headache according to the headache features in the attached table 1</w:t>
      </w:r>
    </w:p>
    <w:p w14:paraId="79DC58EB" w14:textId="77777777" w:rsidR="00565F68" w:rsidRDefault="00565F68" w:rsidP="00AE3E03">
      <w:pPr>
        <w:spacing w:after="160" w:line="256" w:lineRule="auto"/>
        <w:ind w:left="720"/>
        <w:contextualSpacing/>
        <w:jc w:val="both"/>
        <w:rPr>
          <w:rFonts w:eastAsia="Times New Roman"/>
          <w:lang w:eastAsia="en-GB"/>
        </w:rPr>
      </w:pPr>
    </w:p>
    <w:p w14:paraId="4B985311" w14:textId="77777777" w:rsidR="00565F68" w:rsidRDefault="00565F68" w:rsidP="00AE3E03">
      <w:pPr>
        <w:pStyle w:val="ListParagraph"/>
        <w:jc w:val="both"/>
        <w:rPr>
          <w:rFonts w:eastAsia="Calibri"/>
        </w:rPr>
      </w:pPr>
      <w:bookmarkStart w:id="0" w:name="table"/>
    </w:p>
    <w:p w14:paraId="2DB792F0" w14:textId="77777777" w:rsidR="00565F68" w:rsidRDefault="00565F68" w:rsidP="00AE3E03">
      <w:pPr>
        <w:spacing w:after="160" w:line="256" w:lineRule="auto"/>
        <w:ind w:left="720"/>
        <w:contextualSpacing/>
        <w:jc w:val="both"/>
        <w:rPr>
          <w:rFonts w:eastAsia="Calibri"/>
        </w:rPr>
      </w:pPr>
    </w:p>
    <w:p w14:paraId="0FC4E661" w14:textId="1581A049" w:rsidR="00565F68" w:rsidRDefault="00565F68" w:rsidP="00AE3E03">
      <w:pPr>
        <w:spacing w:after="160" w:line="256" w:lineRule="auto"/>
        <w:contextualSpacing/>
        <w:jc w:val="both"/>
        <w:rPr>
          <w:rFonts w:eastAsia="Calibri"/>
        </w:rPr>
      </w:pPr>
    </w:p>
    <w:p w14:paraId="28EEDD79" w14:textId="77777777" w:rsidR="00AE3E03" w:rsidRDefault="00AE3E03" w:rsidP="00AE3E03">
      <w:pPr>
        <w:spacing w:after="160" w:line="256" w:lineRule="auto"/>
        <w:contextualSpacing/>
        <w:jc w:val="both"/>
        <w:rPr>
          <w:rFonts w:eastAsia="Calibri"/>
        </w:rPr>
      </w:pPr>
    </w:p>
    <w:p w14:paraId="40445C90" w14:textId="77777777" w:rsidR="00AE3E03" w:rsidRDefault="00AE3E03" w:rsidP="00AE3E03">
      <w:pPr>
        <w:numPr>
          <w:ilvl w:val="0"/>
          <w:numId w:val="17"/>
        </w:numPr>
        <w:spacing w:after="0" w:line="240" w:lineRule="auto"/>
        <w:jc w:val="both"/>
        <w:rPr>
          <w:rFonts w:eastAsia="Times New Roman"/>
          <w:lang w:eastAsia="en-GB"/>
        </w:rPr>
      </w:pPr>
      <w:r>
        <w:rPr>
          <w:rFonts w:eastAsia="Times New Roman"/>
          <w:lang w:eastAsia="en-GB"/>
        </w:rPr>
        <w:t>Discuss the need for neuroimaging for people with a first bout of cluster headache with a GP with a special interest in headache or a neurologist.</w:t>
      </w:r>
    </w:p>
    <w:p w14:paraId="199FD3B6" w14:textId="77777777" w:rsidR="00AE3E03" w:rsidRDefault="00AE3E03" w:rsidP="00AE3E03">
      <w:pPr>
        <w:jc w:val="both"/>
        <w:rPr>
          <w:rFonts w:eastAsia="Times New Roman"/>
          <w:lang w:val="en-US" w:eastAsia="en-GB"/>
        </w:rPr>
      </w:pPr>
    </w:p>
    <w:p w14:paraId="2389A6F7" w14:textId="77777777" w:rsidR="00AE3E03" w:rsidRDefault="00AE3E03" w:rsidP="00AE3E03">
      <w:pPr>
        <w:numPr>
          <w:ilvl w:val="0"/>
          <w:numId w:val="17"/>
        </w:numPr>
        <w:spacing w:after="160" w:line="256" w:lineRule="auto"/>
        <w:contextualSpacing/>
        <w:jc w:val="both"/>
        <w:rPr>
          <w:rFonts w:eastAsia="Calibri"/>
        </w:rPr>
      </w:pPr>
      <w:r>
        <w:rPr>
          <w:rFonts w:eastAsia="Calibri"/>
        </w:rPr>
        <w:t xml:space="preserve">Offer </w:t>
      </w:r>
      <w:r w:rsidRPr="00086B72">
        <w:rPr>
          <w:rFonts w:eastAsia="Calibri"/>
        </w:rPr>
        <w:t xml:space="preserve">oxygen </w:t>
      </w:r>
      <w:r w:rsidRPr="00086B72">
        <w:rPr>
          <w:rFonts w:eastAsia="Times New Roman"/>
        </w:rPr>
        <w:t>and/or a subcutaneous or nasal triptan</w:t>
      </w:r>
      <w:r w:rsidRPr="00086B72">
        <w:rPr>
          <w:rFonts w:eastAsia="Calibri"/>
        </w:rPr>
        <w:t xml:space="preserve"> for the acute treatment of cluster headache.</w:t>
      </w:r>
    </w:p>
    <w:p w14:paraId="72D70DE5" w14:textId="77777777" w:rsidR="00AE3E03" w:rsidRDefault="00AE3E03" w:rsidP="00AE3E03">
      <w:pPr>
        <w:pStyle w:val="ListParagraph"/>
        <w:jc w:val="both"/>
        <w:rPr>
          <w:rFonts w:eastAsia="Calibri"/>
        </w:rPr>
      </w:pPr>
    </w:p>
    <w:p w14:paraId="0FC6DCB3" w14:textId="77777777" w:rsidR="00565F68" w:rsidRDefault="00565F68" w:rsidP="00565F68">
      <w:pPr>
        <w:spacing w:after="160" w:line="256" w:lineRule="auto"/>
        <w:contextualSpacing/>
        <w:rPr>
          <w:rFonts w:eastAsia="Calibri"/>
        </w:rPr>
      </w:pPr>
    </w:p>
    <w:p w14:paraId="0E5957AA" w14:textId="77777777" w:rsidR="00565F68" w:rsidRDefault="00565F68" w:rsidP="00565F68">
      <w:pPr>
        <w:spacing w:after="160" w:line="256" w:lineRule="auto"/>
        <w:contextualSpacing/>
        <w:rPr>
          <w:rFonts w:eastAsia="Calibri"/>
        </w:rPr>
      </w:pPr>
    </w:p>
    <w:p w14:paraId="1484BDF9" w14:textId="77777777" w:rsidR="00565F68" w:rsidRDefault="00565F68" w:rsidP="00565F68">
      <w:pPr>
        <w:spacing w:after="160" w:line="256" w:lineRule="auto"/>
        <w:contextualSpacing/>
        <w:rPr>
          <w:rFonts w:eastAsia="Calibri"/>
        </w:rPr>
      </w:pPr>
    </w:p>
    <w:p w14:paraId="4378A930" w14:textId="2FF2588D" w:rsidR="00565F68" w:rsidRDefault="00565F68" w:rsidP="00565F68">
      <w:pPr>
        <w:spacing w:after="160" w:line="256" w:lineRule="auto"/>
        <w:contextualSpacing/>
        <w:rPr>
          <w:rFonts w:eastAsia="Calibri"/>
        </w:rPr>
      </w:pPr>
    </w:p>
    <w:p w14:paraId="7F3BDCE1" w14:textId="6E367EA2" w:rsidR="00AE3E03" w:rsidRDefault="00AE3E03" w:rsidP="00565F68">
      <w:pPr>
        <w:spacing w:after="160" w:line="256" w:lineRule="auto"/>
        <w:contextualSpacing/>
        <w:rPr>
          <w:rFonts w:eastAsia="Calibri"/>
        </w:rPr>
      </w:pPr>
    </w:p>
    <w:p w14:paraId="3BA4FD52" w14:textId="16D00C30" w:rsidR="00AE3E03" w:rsidRDefault="00AE3E03" w:rsidP="00565F68">
      <w:pPr>
        <w:spacing w:after="160" w:line="256" w:lineRule="auto"/>
        <w:contextualSpacing/>
        <w:rPr>
          <w:rFonts w:eastAsia="Calibri"/>
        </w:rPr>
      </w:pPr>
    </w:p>
    <w:p w14:paraId="46703DD7" w14:textId="5ABA77DB" w:rsidR="00AE3E03" w:rsidRDefault="00AE3E03" w:rsidP="00565F68">
      <w:pPr>
        <w:spacing w:after="160" w:line="256" w:lineRule="auto"/>
        <w:contextualSpacing/>
        <w:rPr>
          <w:rFonts w:eastAsia="Calibri"/>
        </w:rPr>
      </w:pPr>
    </w:p>
    <w:p w14:paraId="3E94F59C" w14:textId="77777777" w:rsidR="00AE3E03" w:rsidRDefault="00AE3E03" w:rsidP="00565F68">
      <w:pPr>
        <w:spacing w:after="160" w:line="256" w:lineRule="auto"/>
        <w:contextualSpacing/>
        <w:rPr>
          <w:rFonts w:eastAsia="Calibri"/>
        </w:rPr>
      </w:pPr>
    </w:p>
    <w:tbl>
      <w:tblPr>
        <w:tblpPr w:leftFromText="180" w:rightFromText="180" w:horzAnchor="margin" w:tblpY="1950"/>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561"/>
        <w:gridCol w:w="1559"/>
        <w:gridCol w:w="1379"/>
        <w:gridCol w:w="1385"/>
        <w:gridCol w:w="1616"/>
        <w:gridCol w:w="1505"/>
      </w:tblGrid>
      <w:tr w:rsidR="00565F68" w14:paraId="0ED118FF" w14:textId="77777777" w:rsidTr="00AE3E03">
        <w:tc>
          <w:tcPr>
            <w:tcW w:w="5000" w:type="pct"/>
            <w:gridSpan w:val="7"/>
            <w:tcBorders>
              <w:top w:val="single" w:sz="4" w:space="0" w:color="auto"/>
              <w:left w:val="single" w:sz="4" w:space="0" w:color="auto"/>
              <w:bottom w:val="single" w:sz="4" w:space="0" w:color="auto"/>
              <w:right w:val="single" w:sz="4" w:space="0" w:color="auto"/>
            </w:tcBorders>
            <w:hideMark/>
          </w:tcPr>
          <w:bookmarkEnd w:id="0"/>
          <w:p w14:paraId="06FF64F7" w14:textId="77777777" w:rsidR="00565F68" w:rsidRDefault="00565F68" w:rsidP="00AE3E03">
            <w:pPr>
              <w:keepNext/>
              <w:widowControl w:val="0"/>
              <w:spacing w:after="120"/>
              <w:rPr>
                <w:rFonts w:eastAsia="Times New Roman"/>
                <w:b/>
                <w:sz w:val="23"/>
                <w:szCs w:val="23"/>
              </w:rPr>
            </w:pPr>
            <w:r>
              <w:rPr>
                <w:rFonts w:eastAsia="Times New Roman"/>
                <w:b/>
                <w:sz w:val="23"/>
                <w:szCs w:val="23"/>
              </w:rPr>
              <w:lastRenderedPageBreak/>
              <w:t xml:space="preserve">Table 1. Diagnosis of cluster headache compared with tension-type headache and migraine </w:t>
            </w:r>
          </w:p>
        </w:tc>
      </w:tr>
      <w:tr w:rsidR="00565F68" w14:paraId="35A457DB" w14:textId="77777777" w:rsidTr="00AE3E03">
        <w:tc>
          <w:tcPr>
            <w:tcW w:w="788" w:type="pct"/>
            <w:tcBorders>
              <w:top w:val="single" w:sz="4" w:space="0" w:color="auto"/>
              <w:left w:val="single" w:sz="4" w:space="0" w:color="auto"/>
              <w:bottom w:val="single" w:sz="4" w:space="0" w:color="auto"/>
              <w:right w:val="single" w:sz="4" w:space="0" w:color="auto"/>
            </w:tcBorders>
            <w:hideMark/>
          </w:tcPr>
          <w:p w14:paraId="06B8AA22" w14:textId="77777777" w:rsidR="00565F68" w:rsidRDefault="00565F68" w:rsidP="00AE3E03">
            <w:pPr>
              <w:keepNext/>
              <w:spacing w:after="60"/>
              <w:rPr>
                <w:rFonts w:eastAsia="Times New Roman"/>
                <w:b/>
                <w:sz w:val="21"/>
                <w:szCs w:val="21"/>
              </w:rPr>
            </w:pPr>
            <w:r>
              <w:rPr>
                <w:rFonts w:eastAsia="Times New Roman"/>
                <w:b/>
                <w:sz w:val="21"/>
                <w:szCs w:val="21"/>
              </w:rPr>
              <w:t>Headache feature</w:t>
            </w:r>
          </w:p>
        </w:tc>
        <w:tc>
          <w:tcPr>
            <w:tcW w:w="1459" w:type="pct"/>
            <w:gridSpan w:val="2"/>
            <w:tcBorders>
              <w:top w:val="single" w:sz="4" w:space="0" w:color="auto"/>
              <w:left w:val="single" w:sz="4" w:space="0" w:color="auto"/>
              <w:bottom w:val="single" w:sz="4" w:space="0" w:color="auto"/>
              <w:right w:val="single" w:sz="4" w:space="0" w:color="auto"/>
            </w:tcBorders>
            <w:hideMark/>
          </w:tcPr>
          <w:p w14:paraId="7563965E" w14:textId="77777777" w:rsidR="00565F68" w:rsidRDefault="00565F68" w:rsidP="00AE3E03">
            <w:pPr>
              <w:keepNext/>
              <w:spacing w:after="60"/>
              <w:rPr>
                <w:rFonts w:eastAsia="Times New Roman"/>
                <w:b/>
                <w:sz w:val="21"/>
                <w:szCs w:val="21"/>
              </w:rPr>
            </w:pPr>
            <w:r>
              <w:rPr>
                <w:rFonts w:eastAsia="Times New Roman"/>
                <w:b/>
                <w:sz w:val="21"/>
                <w:szCs w:val="21"/>
              </w:rPr>
              <w:t>Cluster headache</w:t>
            </w:r>
          </w:p>
        </w:tc>
        <w:tc>
          <w:tcPr>
            <w:tcW w:w="1293" w:type="pct"/>
            <w:gridSpan w:val="2"/>
            <w:tcBorders>
              <w:top w:val="single" w:sz="4" w:space="0" w:color="auto"/>
              <w:left w:val="single" w:sz="4" w:space="0" w:color="auto"/>
              <w:bottom w:val="single" w:sz="4" w:space="0" w:color="auto"/>
              <w:right w:val="single" w:sz="4" w:space="0" w:color="auto"/>
            </w:tcBorders>
            <w:hideMark/>
          </w:tcPr>
          <w:p w14:paraId="088C80F3" w14:textId="77777777" w:rsidR="00565F68" w:rsidRDefault="00565F68" w:rsidP="00AE3E03">
            <w:pPr>
              <w:keepNext/>
              <w:spacing w:after="60"/>
              <w:rPr>
                <w:rFonts w:eastAsia="Times New Roman"/>
                <w:b/>
                <w:sz w:val="21"/>
                <w:szCs w:val="21"/>
              </w:rPr>
            </w:pPr>
            <w:r>
              <w:rPr>
                <w:rFonts w:eastAsia="Times New Roman"/>
                <w:b/>
                <w:sz w:val="21"/>
                <w:szCs w:val="21"/>
              </w:rPr>
              <w:t>Tension-type headache</w:t>
            </w:r>
          </w:p>
        </w:tc>
        <w:tc>
          <w:tcPr>
            <w:tcW w:w="1460" w:type="pct"/>
            <w:gridSpan w:val="2"/>
            <w:tcBorders>
              <w:top w:val="single" w:sz="4" w:space="0" w:color="auto"/>
              <w:left w:val="single" w:sz="4" w:space="0" w:color="auto"/>
              <w:bottom w:val="single" w:sz="4" w:space="0" w:color="auto"/>
              <w:right w:val="single" w:sz="4" w:space="0" w:color="auto"/>
            </w:tcBorders>
            <w:hideMark/>
          </w:tcPr>
          <w:p w14:paraId="113B93DE" w14:textId="77777777" w:rsidR="00565F68" w:rsidRDefault="00565F68" w:rsidP="00AE3E03">
            <w:pPr>
              <w:keepNext/>
              <w:spacing w:after="60"/>
              <w:rPr>
                <w:rFonts w:eastAsia="Times New Roman"/>
                <w:b/>
                <w:sz w:val="21"/>
                <w:szCs w:val="21"/>
              </w:rPr>
            </w:pPr>
            <w:r>
              <w:rPr>
                <w:rFonts w:eastAsia="Times New Roman"/>
                <w:b/>
                <w:sz w:val="21"/>
                <w:szCs w:val="21"/>
              </w:rPr>
              <w:t xml:space="preserve">Migraine (with or without aura) </w:t>
            </w:r>
          </w:p>
        </w:tc>
      </w:tr>
      <w:tr w:rsidR="00565F68" w14:paraId="15642BDC" w14:textId="77777777" w:rsidTr="00AE3E03">
        <w:tc>
          <w:tcPr>
            <w:tcW w:w="788" w:type="pct"/>
            <w:tcBorders>
              <w:top w:val="single" w:sz="4" w:space="0" w:color="auto"/>
              <w:left w:val="single" w:sz="4" w:space="0" w:color="auto"/>
              <w:bottom w:val="single" w:sz="4" w:space="0" w:color="auto"/>
              <w:right w:val="single" w:sz="4" w:space="0" w:color="auto"/>
            </w:tcBorders>
            <w:hideMark/>
          </w:tcPr>
          <w:p w14:paraId="7CCB4CD7" w14:textId="77777777" w:rsidR="00565F68" w:rsidRDefault="00565F68" w:rsidP="00AE3E03">
            <w:pPr>
              <w:keepNext/>
              <w:spacing w:after="60"/>
              <w:rPr>
                <w:rFonts w:eastAsia="Times New Roman"/>
                <w:sz w:val="18"/>
                <w:szCs w:val="18"/>
              </w:rPr>
            </w:pPr>
            <w:r>
              <w:rPr>
                <w:rFonts w:eastAsia="Times New Roman"/>
                <w:sz w:val="18"/>
                <w:szCs w:val="18"/>
              </w:rPr>
              <w:t>Pain location</w:t>
            </w:r>
            <w:r>
              <w:rPr>
                <w:rFonts w:eastAsia="Times New Roman"/>
                <w:sz w:val="18"/>
                <w:szCs w:val="18"/>
                <w:vertAlign w:val="superscript"/>
              </w:rPr>
              <w:t>1</w:t>
            </w:r>
          </w:p>
        </w:tc>
        <w:tc>
          <w:tcPr>
            <w:tcW w:w="1459" w:type="pct"/>
            <w:gridSpan w:val="2"/>
            <w:tcBorders>
              <w:top w:val="single" w:sz="4" w:space="0" w:color="auto"/>
              <w:left w:val="single" w:sz="4" w:space="0" w:color="auto"/>
              <w:bottom w:val="single" w:sz="4" w:space="0" w:color="auto"/>
              <w:right w:val="single" w:sz="4" w:space="0" w:color="auto"/>
            </w:tcBorders>
            <w:hideMark/>
          </w:tcPr>
          <w:p w14:paraId="1E4FBD9B" w14:textId="77777777" w:rsidR="00565F68" w:rsidRDefault="00565F68" w:rsidP="00AE3E03">
            <w:pPr>
              <w:keepNext/>
              <w:spacing w:after="60"/>
              <w:rPr>
                <w:rFonts w:eastAsia="Times New Roman"/>
                <w:sz w:val="18"/>
                <w:szCs w:val="18"/>
              </w:rPr>
            </w:pPr>
            <w:r>
              <w:rPr>
                <w:rFonts w:eastAsia="Times New Roman"/>
                <w:sz w:val="18"/>
                <w:szCs w:val="18"/>
              </w:rPr>
              <w:t>Unilateral (around the eye, above the eye and along the side of the head/face)</w:t>
            </w:r>
          </w:p>
        </w:tc>
        <w:tc>
          <w:tcPr>
            <w:tcW w:w="1293" w:type="pct"/>
            <w:gridSpan w:val="2"/>
            <w:tcBorders>
              <w:top w:val="single" w:sz="4" w:space="0" w:color="auto"/>
              <w:left w:val="single" w:sz="4" w:space="0" w:color="auto"/>
              <w:bottom w:val="single" w:sz="4" w:space="0" w:color="auto"/>
              <w:right w:val="single" w:sz="4" w:space="0" w:color="auto"/>
            </w:tcBorders>
            <w:hideMark/>
          </w:tcPr>
          <w:p w14:paraId="7429B38E" w14:textId="77777777" w:rsidR="00565F68" w:rsidRDefault="00565F68" w:rsidP="00AE3E03">
            <w:pPr>
              <w:keepNext/>
              <w:spacing w:after="60"/>
              <w:rPr>
                <w:rFonts w:eastAsia="Times New Roman"/>
                <w:sz w:val="18"/>
                <w:szCs w:val="18"/>
              </w:rPr>
            </w:pPr>
            <w:r>
              <w:rPr>
                <w:rFonts w:eastAsia="Times New Roman"/>
                <w:sz w:val="18"/>
                <w:szCs w:val="18"/>
              </w:rPr>
              <w:t>Bilateral</w:t>
            </w:r>
          </w:p>
        </w:tc>
        <w:tc>
          <w:tcPr>
            <w:tcW w:w="1460" w:type="pct"/>
            <w:gridSpan w:val="2"/>
            <w:tcBorders>
              <w:top w:val="single" w:sz="4" w:space="0" w:color="auto"/>
              <w:left w:val="single" w:sz="4" w:space="0" w:color="auto"/>
              <w:bottom w:val="single" w:sz="4" w:space="0" w:color="auto"/>
              <w:right w:val="single" w:sz="4" w:space="0" w:color="auto"/>
            </w:tcBorders>
            <w:hideMark/>
          </w:tcPr>
          <w:p w14:paraId="7EDA3D07" w14:textId="77777777" w:rsidR="00565F68" w:rsidRDefault="00565F68" w:rsidP="00AE3E03">
            <w:pPr>
              <w:keepNext/>
              <w:spacing w:after="60"/>
              <w:rPr>
                <w:rFonts w:eastAsia="Times New Roman"/>
                <w:sz w:val="18"/>
                <w:szCs w:val="18"/>
                <w:highlight w:val="yellow"/>
              </w:rPr>
            </w:pPr>
            <w:r>
              <w:rPr>
                <w:rFonts w:eastAsia="Times New Roman"/>
                <w:sz w:val="18"/>
                <w:szCs w:val="18"/>
              </w:rPr>
              <w:t>Unilateral or bilateral</w:t>
            </w:r>
          </w:p>
        </w:tc>
      </w:tr>
      <w:tr w:rsidR="00565F68" w14:paraId="7B52528B" w14:textId="77777777" w:rsidTr="00AE3E03">
        <w:tc>
          <w:tcPr>
            <w:tcW w:w="788" w:type="pct"/>
            <w:tcBorders>
              <w:top w:val="single" w:sz="4" w:space="0" w:color="auto"/>
              <w:left w:val="single" w:sz="4" w:space="0" w:color="auto"/>
              <w:bottom w:val="single" w:sz="4" w:space="0" w:color="auto"/>
              <w:right w:val="single" w:sz="4" w:space="0" w:color="auto"/>
            </w:tcBorders>
            <w:hideMark/>
          </w:tcPr>
          <w:p w14:paraId="3EF34334" w14:textId="77777777" w:rsidR="00565F68" w:rsidRDefault="00565F68" w:rsidP="00AE3E03">
            <w:pPr>
              <w:keepNext/>
              <w:spacing w:after="60"/>
              <w:rPr>
                <w:rFonts w:eastAsia="Times New Roman"/>
                <w:sz w:val="18"/>
                <w:szCs w:val="18"/>
              </w:rPr>
            </w:pPr>
            <w:r>
              <w:rPr>
                <w:rFonts w:eastAsia="Times New Roman"/>
                <w:sz w:val="18"/>
                <w:szCs w:val="18"/>
              </w:rPr>
              <w:t>Pain quality</w:t>
            </w:r>
          </w:p>
        </w:tc>
        <w:tc>
          <w:tcPr>
            <w:tcW w:w="1459" w:type="pct"/>
            <w:gridSpan w:val="2"/>
            <w:tcBorders>
              <w:top w:val="single" w:sz="4" w:space="0" w:color="auto"/>
              <w:left w:val="single" w:sz="4" w:space="0" w:color="auto"/>
              <w:bottom w:val="single" w:sz="4" w:space="0" w:color="auto"/>
              <w:right w:val="single" w:sz="4" w:space="0" w:color="auto"/>
            </w:tcBorders>
            <w:hideMark/>
          </w:tcPr>
          <w:p w14:paraId="15660925" w14:textId="77777777" w:rsidR="00565F68" w:rsidRDefault="00565F68" w:rsidP="00AE3E03">
            <w:pPr>
              <w:keepNext/>
              <w:spacing w:after="60"/>
              <w:rPr>
                <w:rFonts w:eastAsia="Times New Roman"/>
                <w:sz w:val="18"/>
                <w:szCs w:val="18"/>
              </w:rPr>
            </w:pPr>
            <w:r>
              <w:rPr>
                <w:rFonts w:eastAsia="Times New Roman"/>
                <w:sz w:val="18"/>
                <w:szCs w:val="18"/>
              </w:rPr>
              <w:t>Variable (can be sharp, boring, burning, throbbing or tightening)</w:t>
            </w:r>
          </w:p>
        </w:tc>
        <w:tc>
          <w:tcPr>
            <w:tcW w:w="1293" w:type="pct"/>
            <w:gridSpan w:val="2"/>
            <w:tcBorders>
              <w:top w:val="single" w:sz="4" w:space="0" w:color="auto"/>
              <w:left w:val="single" w:sz="4" w:space="0" w:color="auto"/>
              <w:bottom w:val="single" w:sz="4" w:space="0" w:color="auto"/>
              <w:right w:val="single" w:sz="4" w:space="0" w:color="auto"/>
            </w:tcBorders>
            <w:hideMark/>
          </w:tcPr>
          <w:p w14:paraId="06798F76" w14:textId="77777777" w:rsidR="00565F68" w:rsidRDefault="00565F68" w:rsidP="00AE3E03">
            <w:pPr>
              <w:keepNext/>
              <w:spacing w:after="60"/>
              <w:rPr>
                <w:rFonts w:eastAsia="Times New Roman"/>
                <w:sz w:val="18"/>
                <w:szCs w:val="18"/>
              </w:rPr>
            </w:pPr>
            <w:r>
              <w:rPr>
                <w:rFonts w:eastAsia="Times New Roman"/>
                <w:sz w:val="18"/>
                <w:szCs w:val="18"/>
              </w:rPr>
              <w:t xml:space="preserve">Pressing/tightening (non-pulsating) </w:t>
            </w:r>
          </w:p>
        </w:tc>
        <w:tc>
          <w:tcPr>
            <w:tcW w:w="1460" w:type="pct"/>
            <w:gridSpan w:val="2"/>
            <w:tcBorders>
              <w:top w:val="single" w:sz="4" w:space="0" w:color="auto"/>
              <w:left w:val="single" w:sz="4" w:space="0" w:color="auto"/>
              <w:bottom w:val="single" w:sz="4" w:space="0" w:color="auto"/>
              <w:right w:val="single" w:sz="4" w:space="0" w:color="auto"/>
            </w:tcBorders>
            <w:hideMark/>
          </w:tcPr>
          <w:p w14:paraId="00814C22" w14:textId="77777777" w:rsidR="00565F68" w:rsidRDefault="00565F68" w:rsidP="00AE3E03">
            <w:pPr>
              <w:keepNext/>
              <w:spacing w:after="60"/>
              <w:rPr>
                <w:rFonts w:eastAsia="Times New Roman"/>
                <w:sz w:val="18"/>
                <w:szCs w:val="18"/>
                <w:highlight w:val="yellow"/>
              </w:rPr>
            </w:pPr>
            <w:r>
              <w:rPr>
                <w:rFonts w:eastAsia="Times New Roman"/>
                <w:sz w:val="18"/>
                <w:szCs w:val="18"/>
              </w:rPr>
              <w:t>Pulsating (throbbing or banging in young people aged 12-17yrs)</w:t>
            </w:r>
          </w:p>
        </w:tc>
      </w:tr>
      <w:tr w:rsidR="00565F68" w14:paraId="1D73CA25" w14:textId="77777777" w:rsidTr="00AE3E03">
        <w:tc>
          <w:tcPr>
            <w:tcW w:w="788" w:type="pct"/>
            <w:tcBorders>
              <w:top w:val="single" w:sz="4" w:space="0" w:color="auto"/>
              <w:left w:val="single" w:sz="4" w:space="0" w:color="auto"/>
              <w:bottom w:val="single" w:sz="4" w:space="0" w:color="auto"/>
              <w:right w:val="single" w:sz="4" w:space="0" w:color="auto"/>
            </w:tcBorders>
            <w:hideMark/>
          </w:tcPr>
          <w:p w14:paraId="2035A66B" w14:textId="77777777" w:rsidR="00565F68" w:rsidRDefault="00565F68" w:rsidP="00AE3E03">
            <w:pPr>
              <w:keepNext/>
              <w:spacing w:after="60"/>
              <w:rPr>
                <w:rFonts w:eastAsia="Times New Roman"/>
                <w:sz w:val="18"/>
                <w:szCs w:val="18"/>
              </w:rPr>
            </w:pPr>
            <w:r>
              <w:rPr>
                <w:rFonts w:eastAsia="Times New Roman"/>
                <w:sz w:val="18"/>
                <w:szCs w:val="18"/>
              </w:rPr>
              <w:t>Pain intensity</w:t>
            </w:r>
          </w:p>
        </w:tc>
        <w:tc>
          <w:tcPr>
            <w:tcW w:w="1459" w:type="pct"/>
            <w:gridSpan w:val="2"/>
            <w:tcBorders>
              <w:top w:val="single" w:sz="4" w:space="0" w:color="auto"/>
              <w:left w:val="single" w:sz="4" w:space="0" w:color="auto"/>
              <w:bottom w:val="single" w:sz="4" w:space="0" w:color="auto"/>
              <w:right w:val="single" w:sz="4" w:space="0" w:color="auto"/>
            </w:tcBorders>
            <w:hideMark/>
          </w:tcPr>
          <w:p w14:paraId="453E28EB" w14:textId="77777777" w:rsidR="00565F68" w:rsidRDefault="00565F68" w:rsidP="00AE3E03">
            <w:pPr>
              <w:keepNext/>
              <w:spacing w:after="60"/>
              <w:rPr>
                <w:rFonts w:eastAsia="Times New Roman"/>
                <w:sz w:val="18"/>
                <w:szCs w:val="18"/>
              </w:rPr>
            </w:pPr>
            <w:r>
              <w:rPr>
                <w:rFonts w:eastAsia="Times New Roman"/>
                <w:sz w:val="18"/>
                <w:szCs w:val="18"/>
              </w:rPr>
              <w:t>Severe or very severe</w:t>
            </w:r>
          </w:p>
        </w:tc>
        <w:tc>
          <w:tcPr>
            <w:tcW w:w="1293" w:type="pct"/>
            <w:gridSpan w:val="2"/>
            <w:tcBorders>
              <w:top w:val="single" w:sz="4" w:space="0" w:color="auto"/>
              <w:left w:val="single" w:sz="4" w:space="0" w:color="auto"/>
              <w:bottom w:val="single" w:sz="4" w:space="0" w:color="auto"/>
              <w:right w:val="single" w:sz="4" w:space="0" w:color="auto"/>
            </w:tcBorders>
            <w:hideMark/>
          </w:tcPr>
          <w:p w14:paraId="7CB4953C" w14:textId="77777777" w:rsidR="00565F68" w:rsidRDefault="00565F68" w:rsidP="00AE3E03">
            <w:pPr>
              <w:keepNext/>
              <w:spacing w:after="60"/>
              <w:rPr>
                <w:rFonts w:eastAsia="Times New Roman"/>
                <w:sz w:val="18"/>
                <w:szCs w:val="18"/>
              </w:rPr>
            </w:pPr>
            <w:r>
              <w:rPr>
                <w:rFonts w:eastAsia="Times New Roman"/>
                <w:sz w:val="18"/>
                <w:szCs w:val="18"/>
              </w:rPr>
              <w:t>Mild or moderate</w:t>
            </w:r>
          </w:p>
        </w:tc>
        <w:tc>
          <w:tcPr>
            <w:tcW w:w="1460" w:type="pct"/>
            <w:gridSpan w:val="2"/>
            <w:tcBorders>
              <w:top w:val="single" w:sz="4" w:space="0" w:color="auto"/>
              <w:left w:val="single" w:sz="4" w:space="0" w:color="auto"/>
              <w:bottom w:val="single" w:sz="4" w:space="0" w:color="auto"/>
              <w:right w:val="single" w:sz="4" w:space="0" w:color="auto"/>
            </w:tcBorders>
            <w:hideMark/>
          </w:tcPr>
          <w:p w14:paraId="36CE2525" w14:textId="77777777" w:rsidR="00565F68" w:rsidRDefault="00565F68" w:rsidP="00AE3E03">
            <w:pPr>
              <w:keepNext/>
              <w:spacing w:after="60"/>
              <w:rPr>
                <w:rFonts w:eastAsia="Times New Roman"/>
                <w:sz w:val="18"/>
                <w:szCs w:val="18"/>
                <w:highlight w:val="yellow"/>
              </w:rPr>
            </w:pPr>
            <w:r>
              <w:rPr>
                <w:rFonts w:eastAsia="Times New Roman"/>
                <w:sz w:val="18"/>
                <w:szCs w:val="18"/>
              </w:rPr>
              <w:t>Moderate or severe</w:t>
            </w:r>
          </w:p>
        </w:tc>
      </w:tr>
      <w:tr w:rsidR="00565F68" w14:paraId="3D792894" w14:textId="77777777" w:rsidTr="00AE3E03">
        <w:tc>
          <w:tcPr>
            <w:tcW w:w="788" w:type="pct"/>
            <w:tcBorders>
              <w:top w:val="single" w:sz="4" w:space="0" w:color="auto"/>
              <w:left w:val="single" w:sz="4" w:space="0" w:color="auto"/>
              <w:bottom w:val="single" w:sz="4" w:space="0" w:color="auto"/>
              <w:right w:val="single" w:sz="4" w:space="0" w:color="auto"/>
            </w:tcBorders>
            <w:hideMark/>
          </w:tcPr>
          <w:p w14:paraId="7E1EAEC7" w14:textId="77777777" w:rsidR="00565F68" w:rsidRDefault="00565F68" w:rsidP="00AE3E03">
            <w:pPr>
              <w:keepNext/>
              <w:spacing w:after="60"/>
              <w:rPr>
                <w:rFonts w:eastAsia="Times New Roman"/>
                <w:sz w:val="18"/>
                <w:szCs w:val="18"/>
              </w:rPr>
            </w:pPr>
            <w:r>
              <w:rPr>
                <w:rFonts w:eastAsia="Times New Roman"/>
                <w:sz w:val="18"/>
                <w:szCs w:val="18"/>
              </w:rPr>
              <w:t>Effect on activities</w:t>
            </w:r>
          </w:p>
        </w:tc>
        <w:tc>
          <w:tcPr>
            <w:tcW w:w="1459" w:type="pct"/>
            <w:gridSpan w:val="2"/>
            <w:tcBorders>
              <w:top w:val="single" w:sz="4" w:space="0" w:color="auto"/>
              <w:left w:val="single" w:sz="4" w:space="0" w:color="auto"/>
              <w:bottom w:val="single" w:sz="4" w:space="0" w:color="auto"/>
              <w:right w:val="single" w:sz="4" w:space="0" w:color="auto"/>
            </w:tcBorders>
            <w:hideMark/>
          </w:tcPr>
          <w:p w14:paraId="7A23F11D" w14:textId="77777777" w:rsidR="00565F68" w:rsidRDefault="00565F68" w:rsidP="00AE3E03">
            <w:pPr>
              <w:keepNext/>
              <w:spacing w:after="60"/>
              <w:rPr>
                <w:rFonts w:eastAsia="Times New Roman"/>
                <w:sz w:val="18"/>
                <w:szCs w:val="18"/>
              </w:rPr>
            </w:pPr>
            <w:r>
              <w:rPr>
                <w:rFonts w:eastAsia="Times New Roman"/>
                <w:sz w:val="18"/>
                <w:szCs w:val="18"/>
              </w:rPr>
              <w:t>Restlessness or agitation</w:t>
            </w:r>
          </w:p>
        </w:tc>
        <w:tc>
          <w:tcPr>
            <w:tcW w:w="1293" w:type="pct"/>
            <w:gridSpan w:val="2"/>
            <w:tcBorders>
              <w:top w:val="single" w:sz="4" w:space="0" w:color="auto"/>
              <w:left w:val="single" w:sz="4" w:space="0" w:color="auto"/>
              <w:bottom w:val="single" w:sz="4" w:space="0" w:color="auto"/>
              <w:right w:val="single" w:sz="4" w:space="0" w:color="auto"/>
            </w:tcBorders>
            <w:hideMark/>
          </w:tcPr>
          <w:p w14:paraId="4FE5EA3C" w14:textId="77777777" w:rsidR="00565F68" w:rsidRDefault="00565F68" w:rsidP="00AE3E03">
            <w:pPr>
              <w:keepNext/>
              <w:spacing w:after="60"/>
              <w:rPr>
                <w:rFonts w:eastAsia="Times New Roman"/>
                <w:sz w:val="18"/>
                <w:szCs w:val="18"/>
              </w:rPr>
            </w:pPr>
            <w:r>
              <w:rPr>
                <w:rFonts w:eastAsia="Times New Roman"/>
                <w:sz w:val="18"/>
                <w:szCs w:val="18"/>
              </w:rPr>
              <w:t>Not aggravated by routine activities of daily living</w:t>
            </w:r>
          </w:p>
        </w:tc>
        <w:tc>
          <w:tcPr>
            <w:tcW w:w="1460" w:type="pct"/>
            <w:gridSpan w:val="2"/>
            <w:tcBorders>
              <w:top w:val="single" w:sz="4" w:space="0" w:color="auto"/>
              <w:left w:val="single" w:sz="4" w:space="0" w:color="auto"/>
              <w:bottom w:val="single" w:sz="4" w:space="0" w:color="auto"/>
              <w:right w:val="single" w:sz="4" w:space="0" w:color="auto"/>
            </w:tcBorders>
            <w:hideMark/>
          </w:tcPr>
          <w:p w14:paraId="4257CDA6" w14:textId="77777777" w:rsidR="00565F68" w:rsidRDefault="00565F68" w:rsidP="00AE3E03">
            <w:pPr>
              <w:keepNext/>
              <w:spacing w:after="60"/>
              <w:rPr>
                <w:rFonts w:eastAsia="Times New Roman"/>
                <w:sz w:val="18"/>
                <w:szCs w:val="18"/>
                <w:highlight w:val="yellow"/>
              </w:rPr>
            </w:pPr>
            <w:r>
              <w:rPr>
                <w:rFonts w:eastAsia="Times New Roman"/>
                <w:sz w:val="18"/>
                <w:szCs w:val="18"/>
              </w:rPr>
              <w:t>Aggravated by, or causes avoidance of, routine activities of daily living</w:t>
            </w:r>
          </w:p>
        </w:tc>
      </w:tr>
      <w:tr w:rsidR="00565F68" w14:paraId="456F1253" w14:textId="77777777" w:rsidTr="00AE3E03">
        <w:trPr>
          <w:trHeight w:val="3685"/>
        </w:trPr>
        <w:tc>
          <w:tcPr>
            <w:tcW w:w="788" w:type="pct"/>
            <w:tcBorders>
              <w:top w:val="single" w:sz="4" w:space="0" w:color="auto"/>
              <w:left w:val="single" w:sz="4" w:space="0" w:color="auto"/>
              <w:bottom w:val="single" w:sz="4" w:space="0" w:color="auto"/>
              <w:right w:val="single" w:sz="4" w:space="0" w:color="auto"/>
            </w:tcBorders>
            <w:hideMark/>
          </w:tcPr>
          <w:p w14:paraId="6C169659" w14:textId="77777777" w:rsidR="00565F68" w:rsidRDefault="00565F68" w:rsidP="00AE3E03">
            <w:pPr>
              <w:keepNext/>
              <w:spacing w:after="60"/>
              <w:rPr>
                <w:rFonts w:eastAsia="Times New Roman"/>
                <w:sz w:val="18"/>
                <w:szCs w:val="18"/>
              </w:rPr>
            </w:pPr>
            <w:r>
              <w:rPr>
                <w:rFonts w:eastAsia="Times New Roman"/>
                <w:sz w:val="18"/>
                <w:szCs w:val="18"/>
              </w:rPr>
              <w:t>Other symptoms</w:t>
            </w:r>
          </w:p>
        </w:tc>
        <w:tc>
          <w:tcPr>
            <w:tcW w:w="1459" w:type="pct"/>
            <w:gridSpan w:val="2"/>
            <w:tcBorders>
              <w:top w:val="single" w:sz="4" w:space="0" w:color="auto"/>
              <w:left w:val="single" w:sz="4" w:space="0" w:color="auto"/>
              <w:bottom w:val="single" w:sz="4" w:space="0" w:color="auto"/>
              <w:right w:val="single" w:sz="4" w:space="0" w:color="auto"/>
            </w:tcBorders>
            <w:hideMark/>
          </w:tcPr>
          <w:p w14:paraId="3992B358" w14:textId="77777777" w:rsidR="00565F68" w:rsidRDefault="00565F68" w:rsidP="00AE3E03">
            <w:pPr>
              <w:keepNext/>
              <w:spacing w:after="60"/>
              <w:rPr>
                <w:rFonts w:eastAsia="Times New Roman"/>
                <w:sz w:val="18"/>
                <w:szCs w:val="18"/>
              </w:rPr>
            </w:pPr>
            <w:r>
              <w:rPr>
                <w:rFonts w:eastAsia="Times New Roman"/>
                <w:sz w:val="18"/>
                <w:szCs w:val="18"/>
              </w:rPr>
              <w:t>On the same side as the headache:</w:t>
            </w:r>
          </w:p>
          <w:p w14:paraId="4BF6F6BB" w14:textId="77777777" w:rsidR="00565F68" w:rsidRDefault="00565F68" w:rsidP="00AE3E03">
            <w:pPr>
              <w:keepNext/>
              <w:numPr>
                <w:ilvl w:val="0"/>
                <w:numId w:val="18"/>
              </w:numPr>
              <w:spacing w:after="60" w:line="240" w:lineRule="auto"/>
              <w:ind w:left="220" w:hanging="220"/>
              <w:rPr>
                <w:rFonts w:eastAsia="Times New Roman"/>
                <w:sz w:val="18"/>
                <w:szCs w:val="18"/>
              </w:rPr>
            </w:pPr>
            <w:r>
              <w:rPr>
                <w:rFonts w:eastAsia="Times New Roman"/>
                <w:sz w:val="18"/>
                <w:szCs w:val="18"/>
              </w:rPr>
              <w:t>red and/or watery eye</w:t>
            </w:r>
          </w:p>
          <w:p w14:paraId="5C6453E0" w14:textId="77777777" w:rsidR="00565F68" w:rsidRDefault="00565F68" w:rsidP="00AE3E03">
            <w:pPr>
              <w:keepNext/>
              <w:numPr>
                <w:ilvl w:val="0"/>
                <w:numId w:val="18"/>
              </w:numPr>
              <w:spacing w:after="60" w:line="240" w:lineRule="auto"/>
              <w:ind w:left="220" w:hanging="220"/>
              <w:rPr>
                <w:rFonts w:eastAsia="Times New Roman"/>
                <w:sz w:val="18"/>
                <w:szCs w:val="18"/>
              </w:rPr>
            </w:pPr>
            <w:r>
              <w:rPr>
                <w:rFonts w:eastAsia="Times New Roman"/>
                <w:sz w:val="18"/>
                <w:szCs w:val="18"/>
              </w:rPr>
              <w:t>nasal congestion and/or runny nose</w:t>
            </w:r>
          </w:p>
          <w:p w14:paraId="0FF2A074" w14:textId="77777777" w:rsidR="00565F68" w:rsidRDefault="00565F68" w:rsidP="00AE3E03">
            <w:pPr>
              <w:keepNext/>
              <w:numPr>
                <w:ilvl w:val="0"/>
                <w:numId w:val="18"/>
              </w:numPr>
              <w:spacing w:after="60" w:line="240" w:lineRule="auto"/>
              <w:ind w:left="220" w:hanging="220"/>
              <w:rPr>
                <w:rFonts w:eastAsia="Times New Roman"/>
                <w:sz w:val="18"/>
                <w:szCs w:val="18"/>
              </w:rPr>
            </w:pPr>
            <w:r>
              <w:rPr>
                <w:rFonts w:eastAsia="Times New Roman"/>
                <w:sz w:val="18"/>
                <w:szCs w:val="18"/>
              </w:rPr>
              <w:t>swollen eyelid</w:t>
            </w:r>
          </w:p>
          <w:p w14:paraId="6A024114" w14:textId="77777777" w:rsidR="00565F68" w:rsidRDefault="00565F68" w:rsidP="00AE3E03">
            <w:pPr>
              <w:keepNext/>
              <w:numPr>
                <w:ilvl w:val="0"/>
                <w:numId w:val="18"/>
              </w:numPr>
              <w:spacing w:after="60" w:line="240" w:lineRule="auto"/>
              <w:ind w:left="221" w:hanging="221"/>
              <w:rPr>
                <w:rFonts w:eastAsia="Times New Roman"/>
                <w:sz w:val="18"/>
                <w:szCs w:val="18"/>
              </w:rPr>
            </w:pPr>
            <w:r>
              <w:rPr>
                <w:rFonts w:eastAsia="Times New Roman"/>
                <w:sz w:val="18"/>
                <w:szCs w:val="18"/>
              </w:rPr>
              <w:t>forehead and facial sweating</w:t>
            </w:r>
          </w:p>
          <w:p w14:paraId="73878C48" w14:textId="77777777" w:rsidR="00565F68" w:rsidRDefault="00565F68" w:rsidP="00AE3E03">
            <w:pPr>
              <w:keepNext/>
              <w:numPr>
                <w:ilvl w:val="0"/>
                <w:numId w:val="18"/>
              </w:numPr>
              <w:spacing w:after="60" w:line="240" w:lineRule="auto"/>
              <w:ind w:left="220" w:hanging="220"/>
              <w:rPr>
                <w:rFonts w:eastAsia="Times New Roman"/>
                <w:sz w:val="18"/>
                <w:szCs w:val="18"/>
              </w:rPr>
            </w:pPr>
            <w:r>
              <w:rPr>
                <w:rFonts w:eastAsia="Times New Roman"/>
                <w:sz w:val="18"/>
                <w:szCs w:val="18"/>
              </w:rPr>
              <w:t>constricted pupil and/or drooping eyelid</w:t>
            </w:r>
          </w:p>
        </w:tc>
        <w:tc>
          <w:tcPr>
            <w:tcW w:w="1293" w:type="pct"/>
            <w:gridSpan w:val="2"/>
            <w:tcBorders>
              <w:top w:val="single" w:sz="4" w:space="0" w:color="auto"/>
              <w:left w:val="single" w:sz="4" w:space="0" w:color="auto"/>
              <w:bottom w:val="single" w:sz="4" w:space="0" w:color="auto"/>
              <w:right w:val="single" w:sz="4" w:space="0" w:color="auto"/>
            </w:tcBorders>
          </w:tcPr>
          <w:p w14:paraId="321D9533" w14:textId="77777777" w:rsidR="00565F68" w:rsidRDefault="00565F68" w:rsidP="00AE3E03">
            <w:pPr>
              <w:keepNext/>
              <w:spacing w:after="60"/>
              <w:rPr>
                <w:rFonts w:eastAsia="Times New Roman"/>
                <w:sz w:val="18"/>
                <w:szCs w:val="18"/>
              </w:rPr>
            </w:pPr>
            <w:r>
              <w:rPr>
                <w:rFonts w:eastAsia="Times New Roman"/>
                <w:sz w:val="18"/>
                <w:szCs w:val="18"/>
              </w:rPr>
              <w:t>None</w:t>
            </w:r>
          </w:p>
          <w:p w14:paraId="33F1A6DC" w14:textId="77777777" w:rsidR="00565F68" w:rsidRDefault="00565F68" w:rsidP="00AE3E03">
            <w:pPr>
              <w:keepNext/>
              <w:spacing w:after="60"/>
              <w:rPr>
                <w:rFonts w:eastAsia="Times New Roman"/>
                <w:sz w:val="18"/>
                <w:szCs w:val="18"/>
              </w:rPr>
            </w:pPr>
          </w:p>
        </w:tc>
        <w:tc>
          <w:tcPr>
            <w:tcW w:w="1460" w:type="pct"/>
            <w:gridSpan w:val="2"/>
            <w:tcBorders>
              <w:top w:val="single" w:sz="4" w:space="0" w:color="auto"/>
              <w:left w:val="single" w:sz="4" w:space="0" w:color="auto"/>
              <w:bottom w:val="single" w:sz="4" w:space="0" w:color="auto"/>
              <w:right w:val="single" w:sz="4" w:space="0" w:color="auto"/>
            </w:tcBorders>
            <w:hideMark/>
          </w:tcPr>
          <w:p w14:paraId="589B1DE3" w14:textId="77777777" w:rsidR="00565F68" w:rsidRDefault="00565F68" w:rsidP="00AE3E03">
            <w:pPr>
              <w:keepNext/>
              <w:spacing w:after="60"/>
              <w:rPr>
                <w:rFonts w:eastAsia="Times New Roman"/>
                <w:sz w:val="18"/>
                <w:szCs w:val="18"/>
              </w:rPr>
            </w:pPr>
            <w:r>
              <w:rPr>
                <w:rFonts w:eastAsia="Times New Roman"/>
                <w:sz w:val="18"/>
                <w:szCs w:val="18"/>
              </w:rPr>
              <w:t>Unusual sensitivity to light and/or sound or nausea and/or vomiting</w:t>
            </w:r>
          </w:p>
          <w:p w14:paraId="51D670BE" w14:textId="77777777" w:rsidR="00565F68" w:rsidRDefault="00565F68" w:rsidP="00AE3E03">
            <w:pPr>
              <w:keepNext/>
              <w:spacing w:after="60"/>
              <w:rPr>
                <w:rFonts w:eastAsia="Times New Roman"/>
                <w:sz w:val="18"/>
                <w:szCs w:val="18"/>
              </w:rPr>
            </w:pPr>
            <w:r>
              <w:rPr>
                <w:rFonts w:eastAsia="Times New Roman"/>
                <w:b/>
                <w:sz w:val="18"/>
                <w:szCs w:val="18"/>
              </w:rPr>
              <w:t>Aura</w:t>
            </w:r>
            <w:r>
              <w:rPr>
                <w:rFonts w:eastAsia="Times New Roman"/>
                <w:b/>
                <w:sz w:val="18"/>
                <w:szCs w:val="18"/>
                <w:vertAlign w:val="superscript"/>
              </w:rPr>
              <w:t>2</w:t>
            </w:r>
            <w:r>
              <w:rPr>
                <w:rFonts w:eastAsia="Times New Roman"/>
                <w:sz w:val="18"/>
                <w:szCs w:val="18"/>
              </w:rPr>
              <w:t xml:space="preserve"> </w:t>
            </w:r>
          </w:p>
          <w:p w14:paraId="2AB01CB7" w14:textId="77777777" w:rsidR="00565F68" w:rsidRDefault="00565F68" w:rsidP="00AE3E03">
            <w:pPr>
              <w:keepNext/>
              <w:spacing w:after="60"/>
              <w:rPr>
                <w:rFonts w:eastAsia="Times New Roman"/>
                <w:sz w:val="18"/>
                <w:szCs w:val="18"/>
              </w:rPr>
            </w:pPr>
            <w:r>
              <w:rPr>
                <w:rFonts w:eastAsia="Times New Roman"/>
                <w:sz w:val="18"/>
                <w:szCs w:val="18"/>
              </w:rPr>
              <w:t xml:space="preserve">Symptoms can occur with or without headache and: </w:t>
            </w:r>
          </w:p>
          <w:p w14:paraId="414A5D57" w14:textId="77777777" w:rsidR="00565F68" w:rsidRDefault="00565F68" w:rsidP="00AE3E03">
            <w:pPr>
              <w:keepNext/>
              <w:numPr>
                <w:ilvl w:val="0"/>
                <w:numId w:val="18"/>
              </w:numPr>
              <w:spacing w:after="60" w:line="240" w:lineRule="auto"/>
              <w:ind w:left="220" w:hanging="220"/>
              <w:rPr>
                <w:rFonts w:eastAsia="Times New Roman"/>
                <w:sz w:val="18"/>
                <w:szCs w:val="18"/>
              </w:rPr>
            </w:pPr>
            <w:r>
              <w:rPr>
                <w:rFonts w:eastAsia="Times New Roman"/>
                <w:sz w:val="18"/>
                <w:szCs w:val="18"/>
              </w:rPr>
              <w:t>are fully reversible</w:t>
            </w:r>
          </w:p>
          <w:p w14:paraId="5CEBA9AC" w14:textId="77777777" w:rsidR="00565F68" w:rsidRDefault="00565F68" w:rsidP="00AE3E03">
            <w:pPr>
              <w:keepNext/>
              <w:numPr>
                <w:ilvl w:val="0"/>
                <w:numId w:val="18"/>
              </w:numPr>
              <w:spacing w:after="60" w:line="240" w:lineRule="auto"/>
              <w:ind w:left="220" w:hanging="220"/>
              <w:rPr>
                <w:rFonts w:eastAsia="Times New Roman"/>
                <w:sz w:val="18"/>
                <w:szCs w:val="18"/>
              </w:rPr>
            </w:pPr>
            <w:r>
              <w:rPr>
                <w:rFonts w:eastAsia="Times New Roman"/>
                <w:sz w:val="18"/>
                <w:szCs w:val="18"/>
              </w:rPr>
              <w:t>develop over at least 5 minutes</w:t>
            </w:r>
          </w:p>
          <w:p w14:paraId="57D907DF" w14:textId="77777777" w:rsidR="00565F68" w:rsidRDefault="00565F68" w:rsidP="00AE3E03">
            <w:pPr>
              <w:keepNext/>
              <w:numPr>
                <w:ilvl w:val="0"/>
                <w:numId w:val="18"/>
              </w:numPr>
              <w:spacing w:after="60" w:line="240" w:lineRule="auto"/>
              <w:ind w:left="220" w:hanging="220"/>
              <w:rPr>
                <w:rFonts w:eastAsia="Times New Roman"/>
                <w:sz w:val="18"/>
                <w:szCs w:val="18"/>
              </w:rPr>
            </w:pPr>
            <w:r>
              <w:rPr>
                <w:rFonts w:eastAsia="Times New Roman"/>
                <w:sz w:val="18"/>
                <w:szCs w:val="18"/>
              </w:rPr>
              <w:t>last 5−60 minutes.</w:t>
            </w:r>
          </w:p>
          <w:p w14:paraId="3C0FCE6D" w14:textId="77777777" w:rsidR="00565F68" w:rsidRDefault="00565F68" w:rsidP="00AE3E03">
            <w:pPr>
              <w:keepNext/>
              <w:spacing w:after="60"/>
              <w:rPr>
                <w:rFonts w:eastAsia="Times New Roman"/>
                <w:sz w:val="18"/>
                <w:szCs w:val="18"/>
              </w:rPr>
            </w:pPr>
            <w:r>
              <w:rPr>
                <w:rFonts w:eastAsia="Times New Roman"/>
                <w:sz w:val="18"/>
                <w:szCs w:val="18"/>
              </w:rPr>
              <w:t xml:space="preserve">Typical aura symptoms include visual symptoms  such as flickering lights, spots or lines and/or partial loss of vision; sensory symptoms such as numbness and/or pins and needles; and/or speech disturbance. </w:t>
            </w:r>
          </w:p>
        </w:tc>
      </w:tr>
      <w:tr w:rsidR="00565F68" w14:paraId="6D36AABF" w14:textId="77777777" w:rsidTr="00AE3E03">
        <w:trPr>
          <w:trHeight w:val="737"/>
        </w:trPr>
        <w:tc>
          <w:tcPr>
            <w:tcW w:w="788" w:type="pct"/>
            <w:tcBorders>
              <w:top w:val="single" w:sz="4" w:space="0" w:color="auto"/>
              <w:left w:val="single" w:sz="4" w:space="0" w:color="auto"/>
              <w:bottom w:val="single" w:sz="4" w:space="0" w:color="auto"/>
              <w:right w:val="single" w:sz="4" w:space="0" w:color="auto"/>
            </w:tcBorders>
            <w:hideMark/>
          </w:tcPr>
          <w:p w14:paraId="511ED51D" w14:textId="77777777" w:rsidR="00565F68" w:rsidRDefault="00565F68" w:rsidP="00AE3E03">
            <w:pPr>
              <w:keepNext/>
              <w:spacing w:after="60"/>
              <w:rPr>
                <w:rFonts w:eastAsia="Times New Roman"/>
                <w:sz w:val="18"/>
                <w:szCs w:val="18"/>
              </w:rPr>
            </w:pPr>
            <w:r>
              <w:rPr>
                <w:rFonts w:eastAsia="Times New Roman"/>
                <w:sz w:val="18"/>
                <w:szCs w:val="18"/>
              </w:rPr>
              <w:t>Duration of headache</w:t>
            </w:r>
          </w:p>
        </w:tc>
        <w:tc>
          <w:tcPr>
            <w:tcW w:w="1459" w:type="pct"/>
            <w:gridSpan w:val="2"/>
            <w:tcBorders>
              <w:top w:val="single" w:sz="4" w:space="0" w:color="auto"/>
              <w:left w:val="single" w:sz="4" w:space="0" w:color="auto"/>
              <w:bottom w:val="single" w:sz="4" w:space="0" w:color="auto"/>
              <w:right w:val="single" w:sz="4" w:space="0" w:color="auto"/>
            </w:tcBorders>
            <w:hideMark/>
          </w:tcPr>
          <w:p w14:paraId="26E2A702" w14:textId="77777777" w:rsidR="00565F68" w:rsidRDefault="00565F68" w:rsidP="00AE3E03">
            <w:pPr>
              <w:keepNext/>
              <w:spacing w:after="60"/>
              <w:rPr>
                <w:rFonts w:eastAsia="Times New Roman"/>
                <w:sz w:val="18"/>
                <w:szCs w:val="18"/>
              </w:rPr>
            </w:pPr>
            <w:r>
              <w:rPr>
                <w:rFonts w:eastAsia="Times New Roman"/>
                <w:sz w:val="18"/>
                <w:szCs w:val="18"/>
              </w:rPr>
              <w:t>15–180 minutes</w:t>
            </w:r>
          </w:p>
        </w:tc>
        <w:tc>
          <w:tcPr>
            <w:tcW w:w="1293" w:type="pct"/>
            <w:gridSpan w:val="2"/>
            <w:tcBorders>
              <w:top w:val="single" w:sz="4" w:space="0" w:color="auto"/>
              <w:left w:val="single" w:sz="4" w:space="0" w:color="auto"/>
              <w:bottom w:val="single" w:sz="4" w:space="0" w:color="auto"/>
              <w:right w:val="single" w:sz="4" w:space="0" w:color="auto"/>
            </w:tcBorders>
            <w:hideMark/>
          </w:tcPr>
          <w:p w14:paraId="602DB9A9" w14:textId="77777777" w:rsidR="00565F68" w:rsidRDefault="00565F68" w:rsidP="00AE3E03">
            <w:pPr>
              <w:keepNext/>
              <w:spacing w:after="60"/>
              <w:rPr>
                <w:rFonts w:eastAsia="Times New Roman"/>
                <w:sz w:val="18"/>
                <w:szCs w:val="18"/>
              </w:rPr>
            </w:pPr>
            <w:r>
              <w:rPr>
                <w:rFonts w:eastAsia="Times New Roman"/>
                <w:sz w:val="18"/>
                <w:szCs w:val="18"/>
              </w:rPr>
              <w:t>30 minutes–continuous</w:t>
            </w:r>
          </w:p>
        </w:tc>
        <w:tc>
          <w:tcPr>
            <w:tcW w:w="1460" w:type="pct"/>
            <w:gridSpan w:val="2"/>
            <w:tcBorders>
              <w:top w:val="single" w:sz="4" w:space="0" w:color="auto"/>
              <w:left w:val="single" w:sz="4" w:space="0" w:color="auto"/>
              <w:bottom w:val="single" w:sz="4" w:space="0" w:color="auto"/>
              <w:right w:val="single" w:sz="4" w:space="0" w:color="auto"/>
            </w:tcBorders>
            <w:hideMark/>
          </w:tcPr>
          <w:p w14:paraId="5538829A" w14:textId="77777777" w:rsidR="00565F68" w:rsidRDefault="00565F68" w:rsidP="00AE3E03">
            <w:pPr>
              <w:keepNext/>
              <w:spacing w:after="60"/>
              <w:rPr>
                <w:rFonts w:eastAsia="Times New Roman"/>
                <w:sz w:val="18"/>
                <w:szCs w:val="18"/>
              </w:rPr>
            </w:pPr>
            <w:r>
              <w:rPr>
                <w:rFonts w:eastAsia="Times New Roman"/>
                <w:sz w:val="18"/>
                <w:szCs w:val="18"/>
              </w:rPr>
              <w:t xml:space="preserve">4–72 hours in adults </w:t>
            </w:r>
          </w:p>
          <w:p w14:paraId="73F73199" w14:textId="77777777" w:rsidR="00565F68" w:rsidRDefault="00565F68" w:rsidP="00AE3E03">
            <w:pPr>
              <w:keepNext/>
              <w:spacing w:after="60"/>
              <w:rPr>
                <w:rFonts w:eastAsia="Times New Roman"/>
                <w:sz w:val="18"/>
                <w:szCs w:val="18"/>
              </w:rPr>
            </w:pPr>
            <w:r>
              <w:rPr>
                <w:rFonts w:eastAsia="Times New Roman"/>
                <w:sz w:val="18"/>
                <w:szCs w:val="18"/>
              </w:rPr>
              <w:t xml:space="preserve">1–72 hours in young people aged 12–17 years  </w:t>
            </w:r>
          </w:p>
        </w:tc>
      </w:tr>
      <w:tr w:rsidR="00565F68" w14:paraId="7A6D292C" w14:textId="77777777" w:rsidTr="00AE3E03">
        <w:tc>
          <w:tcPr>
            <w:tcW w:w="788" w:type="pct"/>
            <w:tcBorders>
              <w:top w:val="single" w:sz="4" w:space="0" w:color="auto"/>
              <w:left w:val="single" w:sz="4" w:space="0" w:color="auto"/>
              <w:bottom w:val="single" w:sz="4" w:space="0" w:color="auto"/>
              <w:right w:val="single" w:sz="4" w:space="0" w:color="auto"/>
            </w:tcBorders>
            <w:hideMark/>
          </w:tcPr>
          <w:p w14:paraId="65415E71" w14:textId="77777777" w:rsidR="00565F68" w:rsidRDefault="00565F68" w:rsidP="00AE3E03">
            <w:pPr>
              <w:keepNext/>
              <w:spacing w:after="60"/>
              <w:rPr>
                <w:rFonts w:eastAsia="Times New Roman"/>
                <w:sz w:val="18"/>
                <w:szCs w:val="18"/>
              </w:rPr>
            </w:pPr>
            <w:r>
              <w:rPr>
                <w:rFonts w:eastAsia="Times New Roman"/>
                <w:sz w:val="18"/>
                <w:szCs w:val="18"/>
              </w:rPr>
              <w:t>Frequency of headache</w:t>
            </w:r>
          </w:p>
        </w:tc>
        <w:tc>
          <w:tcPr>
            <w:tcW w:w="730" w:type="pct"/>
            <w:tcBorders>
              <w:top w:val="single" w:sz="4" w:space="0" w:color="auto"/>
              <w:left w:val="single" w:sz="4" w:space="0" w:color="auto"/>
              <w:bottom w:val="single" w:sz="4" w:space="0" w:color="auto"/>
              <w:right w:val="single" w:sz="4" w:space="0" w:color="auto"/>
            </w:tcBorders>
            <w:hideMark/>
          </w:tcPr>
          <w:p w14:paraId="17D0F509" w14:textId="77777777" w:rsidR="00565F68" w:rsidRDefault="00565F68" w:rsidP="00AE3E03">
            <w:pPr>
              <w:keepNext/>
              <w:spacing w:after="60"/>
              <w:rPr>
                <w:rFonts w:eastAsia="Times New Roman"/>
                <w:sz w:val="18"/>
                <w:szCs w:val="18"/>
              </w:rPr>
            </w:pPr>
            <w:r>
              <w:rPr>
                <w:rFonts w:eastAsia="Times New Roman"/>
                <w:sz w:val="18"/>
                <w:szCs w:val="18"/>
              </w:rPr>
              <w:t>1 every other day to 8 per day</w:t>
            </w:r>
            <w:r>
              <w:rPr>
                <w:rFonts w:eastAsia="Times New Roman"/>
                <w:sz w:val="18"/>
                <w:szCs w:val="18"/>
                <w:vertAlign w:val="superscript"/>
              </w:rPr>
              <w:t>3</w:t>
            </w:r>
            <w:r>
              <w:rPr>
                <w:rFonts w:eastAsia="Times New Roman"/>
                <w:sz w:val="18"/>
                <w:szCs w:val="18"/>
              </w:rPr>
              <w:t>, with remission</w:t>
            </w:r>
            <w:r>
              <w:rPr>
                <w:rFonts w:eastAsia="Times New Roman"/>
                <w:sz w:val="18"/>
                <w:szCs w:val="18"/>
                <w:vertAlign w:val="superscript"/>
              </w:rPr>
              <w:t xml:space="preserve">4 </w:t>
            </w:r>
            <w:r>
              <w:rPr>
                <w:rFonts w:eastAsia="Times New Roman"/>
                <w:sz w:val="18"/>
                <w:szCs w:val="18"/>
              </w:rPr>
              <w:t xml:space="preserve">&gt; 1 month </w:t>
            </w:r>
          </w:p>
        </w:tc>
        <w:tc>
          <w:tcPr>
            <w:tcW w:w="729" w:type="pct"/>
            <w:tcBorders>
              <w:top w:val="single" w:sz="4" w:space="0" w:color="auto"/>
              <w:left w:val="single" w:sz="4" w:space="0" w:color="auto"/>
              <w:bottom w:val="single" w:sz="4" w:space="0" w:color="auto"/>
              <w:right w:val="single" w:sz="4" w:space="0" w:color="auto"/>
            </w:tcBorders>
            <w:hideMark/>
          </w:tcPr>
          <w:p w14:paraId="465527E5" w14:textId="77777777" w:rsidR="00565F68" w:rsidRDefault="00565F68" w:rsidP="00AE3E03">
            <w:pPr>
              <w:keepNext/>
              <w:spacing w:after="60"/>
              <w:rPr>
                <w:rFonts w:eastAsia="Times New Roman"/>
                <w:sz w:val="18"/>
                <w:szCs w:val="18"/>
                <w:vertAlign w:val="superscript"/>
              </w:rPr>
            </w:pPr>
            <w:r>
              <w:rPr>
                <w:rFonts w:eastAsia="Times New Roman"/>
                <w:sz w:val="18"/>
                <w:szCs w:val="18"/>
              </w:rPr>
              <w:t>1 every other day to 8 per day</w:t>
            </w:r>
            <w:r>
              <w:rPr>
                <w:rFonts w:eastAsia="Times New Roman"/>
                <w:sz w:val="18"/>
                <w:szCs w:val="18"/>
                <w:vertAlign w:val="superscript"/>
              </w:rPr>
              <w:t>3</w:t>
            </w:r>
            <w:r>
              <w:rPr>
                <w:rFonts w:eastAsia="Times New Roman"/>
                <w:sz w:val="18"/>
                <w:szCs w:val="18"/>
              </w:rPr>
              <w:t xml:space="preserve">, </w:t>
            </w:r>
            <w:r>
              <w:rPr>
                <w:rFonts w:eastAsia="Times New Roman"/>
                <w:sz w:val="18"/>
                <w:szCs w:val="18"/>
              </w:rPr>
              <w:br/>
              <w:t>with a continuous remission</w:t>
            </w:r>
            <w:r>
              <w:rPr>
                <w:rFonts w:eastAsia="Times New Roman"/>
                <w:sz w:val="18"/>
                <w:szCs w:val="18"/>
                <w:vertAlign w:val="superscript"/>
              </w:rPr>
              <w:t xml:space="preserve">4 </w:t>
            </w:r>
            <w:r>
              <w:rPr>
                <w:rFonts w:eastAsia="Times New Roman"/>
                <w:sz w:val="18"/>
                <w:szCs w:val="18"/>
              </w:rPr>
              <w:t>&lt;1 month</w:t>
            </w:r>
            <w:r>
              <w:rPr>
                <w:rFonts w:eastAsia="Times New Roman"/>
                <w:sz w:val="18"/>
                <w:szCs w:val="18"/>
              </w:rPr>
              <w:br/>
              <w:t xml:space="preserve"> in a </w:t>
            </w:r>
            <w:r>
              <w:rPr>
                <w:rFonts w:eastAsia="Times New Roman"/>
                <w:sz w:val="18"/>
                <w:szCs w:val="18"/>
              </w:rPr>
              <w:br/>
              <w:t xml:space="preserve">12-month period </w:t>
            </w:r>
          </w:p>
        </w:tc>
        <w:tc>
          <w:tcPr>
            <w:tcW w:w="645" w:type="pct"/>
            <w:tcBorders>
              <w:top w:val="single" w:sz="4" w:space="0" w:color="auto"/>
              <w:left w:val="single" w:sz="4" w:space="0" w:color="auto"/>
              <w:bottom w:val="single" w:sz="4" w:space="0" w:color="auto"/>
              <w:right w:val="single" w:sz="4" w:space="0" w:color="auto"/>
            </w:tcBorders>
            <w:hideMark/>
          </w:tcPr>
          <w:p w14:paraId="4BE85CEC" w14:textId="77777777" w:rsidR="00565F68" w:rsidRDefault="00565F68" w:rsidP="00AE3E03">
            <w:pPr>
              <w:keepNext/>
              <w:spacing w:after="60"/>
              <w:rPr>
                <w:rFonts w:eastAsia="Times New Roman"/>
                <w:sz w:val="18"/>
                <w:szCs w:val="18"/>
              </w:rPr>
            </w:pPr>
            <w:r>
              <w:rPr>
                <w:rFonts w:eastAsia="Times New Roman"/>
                <w:sz w:val="18"/>
                <w:szCs w:val="18"/>
              </w:rPr>
              <w:t>&lt; 15 days per month</w:t>
            </w:r>
          </w:p>
        </w:tc>
        <w:tc>
          <w:tcPr>
            <w:tcW w:w="648" w:type="pct"/>
            <w:tcBorders>
              <w:top w:val="single" w:sz="4" w:space="0" w:color="auto"/>
              <w:left w:val="single" w:sz="4" w:space="0" w:color="auto"/>
              <w:bottom w:val="single" w:sz="4" w:space="0" w:color="auto"/>
              <w:right w:val="single" w:sz="4" w:space="0" w:color="auto"/>
            </w:tcBorders>
            <w:hideMark/>
          </w:tcPr>
          <w:p w14:paraId="2C41B6AE" w14:textId="77777777" w:rsidR="00565F68" w:rsidRDefault="00565F68" w:rsidP="00AE3E03">
            <w:pPr>
              <w:keepNext/>
              <w:spacing w:after="60"/>
              <w:rPr>
                <w:rFonts w:eastAsia="Times New Roman"/>
                <w:sz w:val="18"/>
                <w:szCs w:val="18"/>
              </w:rPr>
            </w:pPr>
            <w:r>
              <w:rPr>
                <w:rFonts w:eastAsia="Times New Roman"/>
                <w:sz w:val="18"/>
                <w:szCs w:val="18"/>
              </w:rPr>
              <w:t>≥ 15 days per month for more than 3 months</w:t>
            </w:r>
          </w:p>
        </w:tc>
        <w:tc>
          <w:tcPr>
            <w:tcW w:w="756" w:type="pct"/>
            <w:tcBorders>
              <w:top w:val="single" w:sz="4" w:space="0" w:color="auto"/>
              <w:left w:val="single" w:sz="4" w:space="0" w:color="auto"/>
              <w:bottom w:val="single" w:sz="4" w:space="0" w:color="auto"/>
              <w:right w:val="single" w:sz="4" w:space="0" w:color="auto"/>
            </w:tcBorders>
            <w:hideMark/>
          </w:tcPr>
          <w:p w14:paraId="700A0F18" w14:textId="77777777" w:rsidR="00565F68" w:rsidRDefault="00565F68" w:rsidP="00AE3E03">
            <w:pPr>
              <w:keepNext/>
              <w:spacing w:after="60"/>
              <w:rPr>
                <w:rFonts w:eastAsia="Times New Roman"/>
                <w:sz w:val="18"/>
                <w:szCs w:val="18"/>
              </w:rPr>
            </w:pPr>
            <w:r>
              <w:rPr>
                <w:rFonts w:eastAsia="Times New Roman"/>
                <w:sz w:val="18"/>
                <w:szCs w:val="18"/>
              </w:rPr>
              <w:t>&lt; 15 days per month</w:t>
            </w:r>
          </w:p>
        </w:tc>
        <w:tc>
          <w:tcPr>
            <w:tcW w:w="704" w:type="pct"/>
            <w:tcBorders>
              <w:top w:val="single" w:sz="4" w:space="0" w:color="auto"/>
              <w:left w:val="single" w:sz="4" w:space="0" w:color="auto"/>
              <w:bottom w:val="single" w:sz="4" w:space="0" w:color="auto"/>
              <w:right w:val="single" w:sz="4" w:space="0" w:color="auto"/>
            </w:tcBorders>
            <w:hideMark/>
          </w:tcPr>
          <w:p w14:paraId="4CF1FC69" w14:textId="77777777" w:rsidR="00565F68" w:rsidRDefault="00565F68" w:rsidP="00AE3E03">
            <w:pPr>
              <w:keepNext/>
              <w:spacing w:after="60"/>
              <w:rPr>
                <w:rFonts w:eastAsia="Times New Roman"/>
                <w:sz w:val="18"/>
                <w:szCs w:val="18"/>
              </w:rPr>
            </w:pPr>
            <w:r>
              <w:rPr>
                <w:rFonts w:eastAsia="Times New Roman"/>
                <w:sz w:val="18"/>
                <w:szCs w:val="18"/>
              </w:rPr>
              <w:t>≥ 15 days per month for more than 3 months</w:t>
            </w:r>
          </w:p>
        </w:tc>
      </w:tr>
      <w:tr w:rsidR="00565F68" w14:paraId="6EF570F5" w14:textId="77777777" w:rsidTr="00AE3E03">
        <w:tc>
          <w:tcPr>
            <w:tcW w:w="788" w:type="pct"/>
            <w:tcBorders>
              <w:top w:val="single" w:sz="4" w:space="0" w:color="auto"/>
              <w:left w:val="single" w:sz="4" w:space="0" w:color="auto"/>
              <w:bottom w:val="single" w:sz="4" w:space="0" w:color="auto"/>
              <w:right w:val="single" w:sz="4" w:space="0" w:color="auto"/>
            </w:tcBorders>
            <w:hideMark/>
          </w:tcPr>
          <w:p w14:paraId="48D185CE" w14:textId="77777777" w:rsidR="00565F68" w:rsidRDefault="00565F68" w:rsidP="00AE3E03">
            <w:pPr>
              <w:keepNext/>
              <w:spacing w:after="60"/>
              <w:rPr>
                <w:rFonts w:eastAsia="Times New Roman"/>
                <w:b/>
                <w:sz w:val="18"/>
                <w:szCs w:val="18"/>
              </w:rPr>
            </w:pPr>
            <w:r>
              <w:rPr>
                <w:rFonts w:eastAsia="Times New Roman"/>
                <w:b/>
                <w:sz w:val="18"/>
                <w:szCs w:val="18"/>
              </w:rPr>
              <w:t>Diagnosis</w:t>
            </w:r>
          </w:p>
        </w:tc>
        <w:tc>
          <w:tcPr>
            <w:tcW w:w="730" w:type="pct"/>
            <w:tcBorders>
              <w:top w:val="single" w:sz="4" w:space="0" w:color="auto"/>
              <w:left w:val="single" w:sz="4" w:space="0" w:color="auto"/>
              <w:bottom w:val="single" w:sz="4" w:space="0" w:color="auto"/>
              <w:right w:val="single" w:sz="4" w:space="0" w:color="auto"/>
            </w:tcBorders>
            <w:hideMark/>
          </w:tcPr>
          <w:p w14:paraId="2906FD63" w14:textId="77777777" w:rsidR="00565F68" w:rsidRDefault="00565F68" w:rsidP="00AE3E03">
            <w:pPr>
              <w:keepNext/>
              <w:spacing w:after="60"/>
              <w:rPr>
                <w:rFonts w:eastAsia="Times New Roman"/>
                <w:b/>
                <w:sz w:val="18"/>
                <w:szCs w:val="18"/>
              </w:rPr>
            </w:pPr>
            <w:r>
              <w:rPr>
                <w:rFonts w:eastAsia="Times New Roman"/>
                <w:b/>
                <w:sz w:val="18"/>
                <w:szCs w:val="18"/>
              </w:rPr>
              <w:t>Episodic cluster headache</w:t>
            </w:r>
          </w:p>
        </w:tc>
        <w:tc>
          <w:tcPr>
            <w:tcW w:w="729" w:type="pct"/>
            <w:tcBorders>
              <w:top w:val="single" w:sz="4" w:space="0" w:color="auto"/>
              <w:left w:val="single" w:sz="4" w:space="0" w:color="auto"/>
              <w:bottom w:val="single" w:sz="4" w:space="0" w:color="auto"/>
              <w:right w:val="single" w:sz="4" w:space="0" w:color="auto"/>
            </w:tcBorders>
            <w:hideMark/>
          </w:tcPr>
          <w:p w14:paraId="0C3398BC" w14:textId="77777777" w:rsidR="00565F68" w:rsidRDefault="00565F68" w:rsidP="00AE3E03">
            <w:pPr>
              <w:keepNext/>
              <w:spacing w:after="60"/>
              <w:rPr>
                <w:rFonts w:eastAsia="Times New Roman"/>
                <w:b/>
                <w:sz w:val="18"/>
                <w:szCs w:val="18"/>
              </w:rPr>
            </w:pPr>
            <w:r>
              <w:rPr>
                <w:rFonts w:eastAsia="Times New Roman"/>
                <w:b/>
                <w:sz w:val="18"/>
                <w:szCs w:val="18"/>
              </w:rPr>
              <w:t>Chronic cluster headache</w:t>
            </w:r>
          </w:p>
        </w:tc>
        <w:tc>
          <w:tcPr>
            <w:tcW w:w="645" w:type="pct"/>
            <w:tcBorders>
              <w:top w:val="single" w:sz="4" w:space="0" w:color="auto"/>
              <w:left w:val="single" w:sz="4" w:space="0" w:color="auto"/>
              <w:bottom w:val="single" w:sz="4" w:space="0" w:color="auto"/>
              <w:right w:val="single" w:sz="4" w:space="0" w:color="auto"/>
            </w:tcBorders>
            <w:hideMark/>
          </w:tcPr>
          <w:p w14:paraId="327708A3" w14:textId="77777777" w:rsidR="00565F68" w:rsidRDefault="00565F68" w:rsidP="00AE3E03">
            <w:pPr>
              <w:keepNext/>
              <w:spacing w:after="60"/>
              <w:rPr>
                <w:rFonts w:eastAsia="Times New Roman"/>
                <w:b/>
                <w:sz w:val="18"/>
                <w:szCs w:val="18"/>
              </w:rPr>
            </w:pPr>
            <w:r>
              <w:rPr>
                <w:rFonts w:eastAsia="Times New Roman"/>
                <w:b/>
                <w:sz w:val="18"/>
                <w:szCs w:val="18"/>
              </w:rPr>
              <w:t>Episodic</w:t>
            </w:r>
            <w:r>
              <w:rPr>
                <w:rFonts w:eastAsia="Times New Roman"/>
                <w:b/>
                <w:sz w:val="18"/>
                <w:szCs w:val="18"/>
              </w:rPr>
              <w:br/>
              <w:t>tension-type headache</w:t>
            </w:r>
          </w:p>
        </w:tc>
        <w:tc>
          <w:tcPr>
            <w:tcW w:w="648" w:type="pct"/>
            <w:tcBorders>
              <w:top w:val="single" w:sz="4" w:space="0" w:color="auto"/>
              <w:left w:val="single" w:sz="4" w:space="0" w:color="auto"/>
              <w:bottom w:val="single" w:sz="4" w:space="0" w:color="auto"/>
              <w:right w:val="single" w:sz="4" w:space="0" w:color="auto"/>
            </w:tcBorders>
            <w:hideMark/>
          </w:tcPr>
          <w:p w14:paraId="1B9332BA" w14:textId="77777777" w:rsidR="00565F68" w:rsidRDefault="00565F68" w:rsidP="00AE3E03">
            <w:pPr>
              <w:keepNext/>
              <w:spacing w:after="60"/>
              <w:rPr>
                <w:rFonts w:eastAsia="Times New Roman"/>
                <w:b/>
                <w:sz w:val="18"/>
                <w:szCs w:val="18"/>
              </w:rPr>
            </w:pPr>
            <w:r>
              <w:rPr>
                <w:rFonts w:eastAsia="Times New Roman"/>
                <w:b/>
                <w:sz w:val="18"/>
                <w:szCs w:val="18"/>
              </w:rPr>
              <w:t>Chronic tension type headache</w:t>
            </w:r>
            <w:r>
              <w:rPr>
                <w:rFonts w:eastAsia="Times New Roman"/>
                <w:b/>
                <w:sz w:val="18"/>
                <w:szCs w:val="18"/>
                <w:vertAlign w:val="superscript"/>
              </w:rPr>
              <w:t xml:space="preserve">5 </w:t>
            </w:r>
          </w:p>
        </w:tc>
        <w:tc>
          <w:tcPr>
            <w:tcW w:w="756" w:type="pct"/>
            <w:tcBorders>
              <w:top w:val="single" w:sz="4" w:space="0" w:color="auto"/>
              <w:left w:val="single" w:sz="4" w:space="0" w:color="auto"/>
              <w:bottom w:val="single" w:sz="4" w:space="0" w:color="auto"/>
              <w:right w:val="single" w:sz="4" w:space="0" w:color="auto"/>
            </w:tcBorders>
            <w:hideMark/>
          </w:tcPr>
          <w:p w14:paraId="790DD76B" w14:textId="77777777" w:rsidR="00565F68" w:rsidRDefault="00565F68" w:rsidP="00AE3E03">
            <w:pPr>
              <w:keepNext/>
              <w:spacing w:after="60"/>
              <w:rPr>
                <w:rFonts w:eastAsia="Times New Roman"/>
                <w:b/>
                <w:sz w:val="18"/>
                <w:szCs w:val="18"/>
              </w:rPr>
            </w:pPr>
            <w:r>
              <w:rPr>
                <w:rFonts w:eastAsia="Times New Roman"/>
                <w:b/>
                <w:sz w:val="18"/>
                <w:szCs w:val="18"/>
              </w:rPr>
              <w:t>Episodic migraine (with or without aura)</w:t>
            </w:r>
          </w:p>
        </w:tc>
        <w:tc>
          <w:tcPr>
            <w:tcW w:w="704" w:type="pct"/>
            <w:tcBorders>
              <w:top w:val="single" w:sz="4" w:space="0" w:color="auto"/>
              <w:left w:val="single" w:sz="4" w:space="0" w:color="auto"/>
              <w:bottom w:val="single" w:sz="4" w:space="0" w:color="auto"/>
              <w:right w:val="single" w:sz="4" w:space="0" w:color="auto"/>
            </w:tcBorders>
            <w:hideMark/>
          </w:tcPr>
          <w:p w14:paraId="230E1983" w14:textId="77777777" w:rsidR="00565F68" w:rsidRDefault="00565F68" w:rsidP="00AE3E03">
            <w:pPr>
              <w:keepNext/>
              <w:spacing w:after="60"/>
              <w:rPr>
                <w:rFonts w:eastAsia="Times New Roman"/>
                <w:b/>
                <w:sz w:val="18"/>
                <w:szCs w:val="18"/>
              </w:rPr>
            </w:pPr>
            <w:r>
              <w:rPr>
                <w:rFonts w:eastAsia="Times New Roman"/>
                <w:b/>
                <w:sz w:val="18"/>
                <w:szCs w:val="18"/>
              </w:rPr>
              <w:t>Chronic migraine</w:t>
            </w:r>
            <w:r>
              <w:rPr>
                <w:rFonts w:eastAsia="Times New Roman"/>
                <w:b/>
                <w:sz w:val="18"/>
                <w:szCs w:val="18"/>
                <w:vertAlign w:val="superscript"/>
              </w:rPr>
              <w:t>6</w:t>
            </w:r>
            <w:r>
              <w:rPr>
                <w:rFonts w:eastAsia="Times New Roman"/>
                <w:b/>
                <w:sz w:val="18"/>
                <w:szCs w:val="18"/>
              </w:rPr>
              <w:t xml:space="preserve"> (with or without aura)</w:t>
            </w:r>
          </w:p>
        </w:tc>
      </w:tr>
      <w:tr w:rsidR="00565F68" w14:paraId="7BBBCA89" w14:textId="77777777" w:rsidTr="00AE3E03">
        <w:trPr>
          <w:trHeight w:val="416"/>
        </w:trPr>
        <w:tc>
          <w:tcPr>
            <w:tcW w:w="5000" w:type="pct"/>
            <w:gridSpan w:val="7"/>
            <w:tcBorders>
              <w:top w:val="single" w:sz="4" w:space="0" w:color="auto"/>
              <w:left w:val="single" w:sz="4" w:space="0" w:color="auto"/>
              <w:bottom w:val="single" w:sz="4" w:space="0" w:color="auto"/>
              <w:right w:val="single" w:sz="4" w:space="0" w:color="auto"/>
            </w:tcBorders>
            <w:hideMark/>
          </w:tcPr>
          <w:p w14:paraId="58FB53F3" w14:textId="77777777" w:rsidR="00565F68" w:rsidRDefault="00565F68" w:rsidP="00AE3E03">
            <w:pPr>
              <w:keepNext/>
              <w:spacing w:before="60" w:after="60"/>
              <w:rPr>
                <w:rFonts w:eastAsia="Times New Roman"/>
                <w:sz w:val="16"/>
                <w:szCs w:val="16"/>
              </w:rPr>
            </w:pPr>
            <w:r>
              <w:rPr>
                <w:rFonts w:eastAsia="Times New Roman"/>
                <w:sz w:val="16"/>
                <w:szCs w:val="16"/>
                <w:vertAlign w:val="superscript"/>
              </w:rPr>
              <w:t>1</w:t>
            </w:r>
            <w:r>
              <w:rPr>
                <w:rFonts w:eastAsia="Times New Roman"/>
                <w:sz w:val="16"/>
                <w:szCs w:val="16"/>
              </w:rPr>
              <w:t xml:space="preserve"> Headache pain can be felt in the head, face or neck.</w:t>
            </w:r>
          </w:p>
          <w:p w14:paraId="3CD06F50" w14:textId="77777777" w:rsidR="00565F68" w:rsidRDefault="00565F68" w:rsidP="00AE3E03">
            <w:pPr>
              <w:keepNext/>
              <w:spacing w:before="60" w:after="60"/>
              <w:rPr>
                <w:rFonts w:eastAsia="Times New Roman"/>
                <w:sz w:val="16"/>
                <w:szCs w:val="16"/>
              </w:rPr>
            </w:pPr>
            <w:r>
              <w:rPr>
                <w:rFonts w:eastAsia="Times New Roman"/>
                <w:sz w:val="16"/>
                <w:szCs w:val="16"/>
                <w:vertAlign w:val="superscript"/>
              </w:rPr>
              <w:t xml:space="preserve">2 </w:t>
            </w:r>
            <w:r>
              <w:rPr>
                <w:rFonts w:eastAsia="Times New Roman"/>
                <w:sz w:val="16"/>
                <w:szCs w:val="16"/>
              </w:rPr>
              <w:t>See recommendations</w:t>
            </w:r>
            <w:r>
              <w:rPr>
                <w:rFonts w:eastAsia="Times New Roman"/>
              </w:rPr>
              <w:t xml:space="preserve"> </w:t>
            </w:r>
            <w:r>
              <w:rPr>
                <w:rFonts w:eastAsia="Times New Roman"/>
                <w:sz w:val="16"/>
                <w:szCs w:val="16"/>
              </w:rPr>
              <w:t>1.2.2, 1.2.3 and 1.2.4 for further information on diagnosis of migraine with aura.</w:t>
            </w:r>
          </w:p>
          <w:p w14:paraId="234B2855" w14:textId="77777777" w:rsidR="00565F68" w:rsidRDefault="00565F68" w:rsidP="00AE3E03">
            <w:pPr>
              <w:keepNext/>
              <w:spacing w:after="60"/>
              <w:rPr>
                <w:rFonts w:eastAsia="Times New Roman"/>
                <w:sz w:val="16"/>
                <w:szCs w:val="16"/>
              </w:rPr>
            </w:pPr>
            <w:r>
              <w:rPr>
                <w:rFonts w:eastAsia="Times New Roman"/>
                <w:sz w:val="16"/>
                <w:szCs w:val="16"/>
                <w:vertAlign w:val="superscript"/>
              </w:rPr>
              <w:t>3</w:t>
            </w:r>
            <w:r>
              <w:rPr>
                <w:rFonts w:eastAsia="Times New Roman"/>
                <w:sz w:val="16"/>
                <w:szCs w:val="16"/>
              </w:rPr>
              <w:t xml:space="preserve"> The frequency of recurrent headaches during a cluster headache bout.</w:t>
            </w:r>
          </w:p>
          <w:p w14:paraId="1556F74F" w14:textId="77777777" w:rsidR="00565F68" w:rsidRDefault="00565F68" w:rsidP="00AE3E03">
            <w:pPr>
              <w:keepNext/>
              <w:spacing w:after="60"/>
              <w:rPr>
                <w:rFonts w:eastAsia="Times New Roman"/>
                <w:sz w:val="16"/>
                <w:szCs w:val="16"/>
              </w:rPr>
            </w:pPr>
            <w:r>
              <w:rPr>
                <w:rFonts w:eastAsia="Times New Roman"/>
                <w:sz w:val="16"/>
                <w:szCs w:val="16"/>
                <w:vertAlign w:val="superscript"/>
              </w:rPr>
              <w:t>4</w:t>
            </w:r>
            <w:r>
              <w:rPr>
                <w:rFonts w:eastAsia="Times New Roman"/>
                <w:sz w:val="16"/>
                <w:szCs w:val="16"/>
              </w:rPr>
              <w:t xml:space="preserve"> The pain-free period between cluster headache bouts.</w:t>
            </w:r>
          </w:p>
          <w:p w14:paraId="445A4E8B" w14:textId="77777777" w:rsidR="00565F68" w:rsidRDefault="00565F68" w:rsidP="00AE3E03">
            <w:pPr>
              <w:keepNext/>
              <w:spacing w:after="60"/>
              <w:rPr>
                <w:rFonts w:eastAsia="Times New Roman"/>
                <w:sz w:val="16"/>
                <w:szCs w:val="16"/>
              </w:rPr>
            </w:pPr>
            <w:r>
              <w:rPr>
                <w:rFonts w:eastAsia="Times New Roman"/>
                <w:sz w:val="16"/>
                <w:szCs w:val="16"/>
                <w:vertAlign w:val="superscript"/>
              </w:rPr>
              <w:t>5</w:t>
            </w:r>
            <w:r>
              <w:rPr>
                <w:rFonts w:eastAsia="Times New Roman"/>
                <w:sz w:val="16"/>
                <w:szCs w:val="16"/>
              </w:rPr>
              <w:t xml:space="preserve"> Chronic migraine and chronic tension-type headache commonly overlap. If there are any features of migraine, diagnose chronic migraine.</w:t>
            </w:r>
          </w:p>
          <w:p w14:paraId="5783F0DA" w14:textId="77777777" w:rsidR="00565F68" w:rsidRDefault="00565F68" w:rsidP="00AE3E03">
            <w:pPr>
              <w:keepNext/>
              <w:spacing w:after="60"/>
              <w:rPr>
                <w:rFonts w:eastAsia="Times New Roman"/>
                <w:sz w:val="16"/>
                <w:szCs w:val="16"/>
              </w:rPr>
            </w:pPr>
            <w:r>
              <w:rPr>
                <w:rFonts w:eastAsia="Times New Roman"/>
                <w:sz w:val="16"/>
                <w:szCs w:val="16"/>
                <w:vertAlign w:val="superscript"/>
              </w:rPr>
              <w:t>6</w:t>
            </w:r>
            <w:r>
              <w:rPr>
                <w:rFonts w:eastAsia="Times New Roman"/>
                <w:sz w:val="16"/>
                <w:szCs w:val="16"/>
              </w:rPr>
              <w:t xml:space="preserve"> NICE has developed technology appraisal guidance on </w:t>
            </w:r>
            <w:hyperlink r:id="rId9" w:history="1">
              <w:r>
                <w:rPr>
                  <w:rStyle w:val="Hyperlink"/>
                  <w:rFonts w:eastAsia="Times New Roman"/>
                  <w:sz w:val="16"/>
                  <w:szCs w:val="16"/>
                </w:rPr>
                <w:t>Botulinum toxin type A for the prevention of headaches in adults with chronic migraine</w:t>
              </w:r>
            </w:hyperlink>
            <w:r>
              <w:rPr>
                <w:rFonts w:eastAsia="Times New Roman"/>
                <w:sz w:val="16"/>
                <w:szCs w:val="16"/>
              </w:rPr>
              <w:t xml:space="preserve"> (headaches on at least 15 days per month of which at least 8 days are with migraine).</w:t>
            </w:r>
          </w:p>
        </w:tc>
      </w:tr>
    </w:tbl>
    <w:p w14:paraId="7F9912D8" w14:textId="77777777" w:rsidR="00396953" w:rsidRDefault="00396953" w:rsidP="00565F68">
      <w:pPr>
        <w:rPr>
          <w:rFonts w:eastAsia="Times New Roman"/>
          <w:b/>
          <w:color w:val="000000"/>
          <w:lang w:val="en-US" w:eastAsia="en-GB"/>
        </w:rPr>
      </w:pPr>
    </w:p>
    <w:p w14:paraId="5756917D" w14:textId="77777777" w:rsidR="00396953" w:rsidRDefault="00396953">
      <w:pPr>
        <w:spacing w:after="160" w:line="259" w:lineRule="auto"/>
        <w:rPr>
          <w:rFonts w:eastAsia="Times New Roman"/>
          <w:b/>
          <w:color w:val="000000"/>
          <w:lang w:val="en-US" w:eastAsia="en-GB"/>
        </w:rPr>
      </w:pPr>
      <w:r>
        <w:rPr>
          <w:rFonts w:eastAsia="Times New Roman"/>
          <w:b/>
          <w:color w:val="000000"/>
          <w:lang w:val="en-US" w:eastAsia="en-GB"/>
        </w:rPr>
        <w:br w:type="page"/>
      </w:r>
    </w:p>
    <w:p w14:paraId="70EB7C9A" w14:textId="77777777" w:rsidR="00AE3E03" w:rsidRDefault="00AE3E03" w:rsidP="00565F68">
      <w:pPr>
        <w:rPr>
          <w:rFonts w:eastAsia="Times New Roman"/>
          <w:b/>
          <w:color w:val="000000"/>
          <w:lang w:val="en-US" w:eastAsia="en-GB"/>
        </w:rPr>
      </w:pPr>
    </w:p>
    <w:p w14:paraId="56C783E2" w14:textId="77777777" w:rsidR="00AE3E03" w:rsidRDefault="00AE3E03" w:rsidP="00565F68">
      <w:pPr>
        <w:rPr>
          <w:rFonts w:eastAsia="Times New Roman"/>
          <w:b/>
          <w:color w:val="000000"/>
          <w:lang w:val="en-US" w:eastAsia="en-GB"/>
        </w:rPr>
      </w:pPr>
    </w:p>
    <w:p w14:paraId="15D5A38B" w14:textId="77777777" w:rsidR="00AE3E03" w:rsidRDefault="00AE3E03" w:rsidP="00565F68">
      <w:pPr>
        <w:rPr>
          <w:rFonts w:eastAsia="Times New Roman"/>
          <w:b/>
          <w:color w:val="000000"/>
          <w:lang w:val="en-US" w:eastAsia="en-GB"/>
        </w:rPr>
      </w:pPr>
    </w:p>
    <w:p w14:paraId="6EE520F1" w14:textId="77777777" w:rsidR="00AE3E03" w:rsidRDefault="00AE3E03" w:rsidP="00565F68">
      <w:pPr>
        <w:rPr>
          <w:rFonts w:eastAsia="Times New Roman"/>
          <w:b/>
          <w:color w:val="000000"/>
          <w:lang w:val="en-US" w:eastAsia="en-GB"/>
        </w:rPr>
      </w:pPr>
    </w:p>
    <w:p w14:paraId="4139B1A4" w14:textId="70DD52D3" w:rsidR="00565F68" w:rsidRDefault="00565F68" w:rsidP="00565F68">
      <w:pPr>
        <w:rPr>
          <w:rFonts w:eastAsia="Times New Roman"/>
          <w:noProof/>
          <w:sz w:val="20"/>
          <w:szCs w:val="20"/>
          <w:lang w:val="en-US"/>
        </w:rPr>
      </w:pPr>
      <w:r>
        <w:rPr>
          <w:rFonts w:eastAsia="Times New Roman"/>
          <w:b/>
          <w:color w:val="000000"/>
          <w:lang w:val="en-US" w:eastAsia="en-GB"/>
        </w:rPr>
        <w:t>References</w:t>
      </w:r>
      <w:r>
        <w:rPr>
          <w:rFonts w:eastAsia="Times New Roman"/>
          <w:sz w:val="20"/>
          <w:szCs w:val="20"/>
          <w:lang w:val="en-US"/>
        </w:rPr>
        <w:fldChar w:fldCharType="begin"/>
      </w:r>
      <w:r>
        <w:rPr>
          <w:rFonts w:eastAsia="Times New Roman"/>
          <w:sz w:val="20"/>
          <w:szCs w:val="20"/>
          <w:lang w:val="en-US"/>
        </w:rPr>
        <w:instrText xml:space="preserve"> ADDIN EN.REFLIST </w:instrText>
      </w:r>
      <w:r>
        <w:rPr>
          <w:rFonts w:eastAsia="Times New Roman"/>
          <w:sz w:val="20"/>
          <w:szCs w:val="20"/>
          <w:lang w:val="en-US"/>
        </w:rPr>
        <w:fldChar w:fldCharType="separate"/>
      </w:r>
    </w:p>
    <w:p w14:paraId="5D60BE3D" w14:textId="77777777" w:rsidR="00565F68" w:rsidRDefault="00565F68" w:rsidP="00565F68">
      <w:pPr>
        <w:rPr>
          <w:rFonts w:eastAsia="Calibri"/>
          <w:noProof/>
          <w:sz w:val="20"/>
          <w:szCs w:val="20"/>
          <w:lang w:val="en-US"/>
        </w:rPr>
      </w:pPr>
      <w:r>
        <w:rPr>
          <w:rFonts w:eastAsia="Calibri"/>
          <w:noProof/>
          <w:sz w:val="20"/>
          <w:szCs w:val="20"/>
          <w:lang w:val="en-US"/>
        </w:rPr>
        <w:t>1.</w:t>
      </w:r>
      <w:r>
        <w:rPr>
          <w:rFonts w:eastAsia="Calibri"/>
          <w:noProof/>
          <w:sz w:val="20"/>
          <w:szCs w:val="20"/>
          <w:lang w:val="en-US"/>
        </w:rPr>
        <w:tab/>
        <w:t>Nesbitt AD, Goadsby PJ. Cluster Headache. British Medical Journal. 2012;344:e2407.</w:t>
      </w:r>
    </w:p>
    <w:p w14:paraId="636F05F2" w14:textId="77777777" w:rsidR="00565F68" w:rsidRDefault="00565F68" w:rsidP="00565F68">
      <w:pPr>
        <w:rPr>
          <w:rFonts w:eastAsia="Calibri"/>
          <w:noProof/>
          <w:sz w:val="20"/>
          <w:szCs w:val="20"/>
          <w:lang w:val="en-US"/>
        </w:rPr>
      </w:pPr>
      <w:r>
        <w:rPr>
          <w:rFonts w:eastAsia="Calibri"/>
          <w:noProof/>
          <w:sz w:val="20"/>
          <w:szCs w:val="20"/>
          <w:lang w:val="en-US"/>
        </w:rPr>
        <w:t>2.</w:t>
      </w:r>
      <w:r>
        <w:rPr>
          <w:rFonts w:eastAsia="Calibri"/>
          <w:noProof/>
          <w:sz w:val="20"/>
          <w:szCs w:val="20"/>
          <w:lang w:val="en-US"/>
        </w:rPr>
        <w:tab/>
        <w:t>Headache Classification Committee of the International Headache Society. The International Classification of Headache Disorders, 3rd edition (beta version). Cephalalgia. 2013;33:629-808.</w:t>
      </w:r>
    </w:p>
    <w:p w14:paraId="3544024F" w14:textId="77777777" w:rsidR="00565F68" w:rsidRDefault="00565F68" w:rsidP="00565F68">
      <w:pPr>
        <w:rPr>
          <w:rFonts w:eastAsia="Calibri"/>
          <w:noProof/>
          <w:sz w:val="20"/>
          <w:szCs w:val="20"/>
          <w:lang w:val="en-US"/>
        </w:rPr>
      </w:pPr>
      <w:r>
        <w:rPr>
          <w:rFonts w:eastAsia="Calibri"/>
          <w:noProof/>
          <w:sz w:val="20"/>
          <w:szCs w:val="20"/>
          <w:lang w:val="en-US"/>
        </w:rPr>
        <w:t>3.</w:t>
      </w:r>
      <w:r>
        <w:rPr>
          <w:rFonts w:eastAsia="Calibri"/>
          <w:noProof/>
          <w:sz w:val="20"/>
          <w:szCs w:val="20"/>
          <w:lang w:val="en-US"/>
        </w:rPr>
        <w:tab/>
        <w:t>National Clinical Guideline Centre. Headaches. Diagnosis and management of headaches in young people and adults. In: National Institute for Health and Clinical Excellence, editor. London: Royal College of Physicians; 2012.</w:t>
      </w:r>
    </w:p>
    <w:p w14:paraId="0D197209" w14:textId="77777777" w:rsidR="00565F68" w:rsidRDefault="00565F68" w:rsidP="00565F68">
      <w:pPr>
        <w:rPr>
          <w:rFonts w:eastAsia="Calibri"/>
          <w:noProof/>
          <w:sz w:val="20"/>
          <w:szCs w:val="20"/>
          <w:lang w:val="en-US"/>
        </w:rPr>
      </w:pPr>
      <w:r>
        <w:rPr>
          <w:rFonts w:eastAsia="Calibri"/>
          <w:noProof/>
          <w:sz w:val="20"/>
          <w:szCs w:val="20"/>
          <w:lang w:val="en-US"/>
        </w:rPr>
        <w:t>4.</w:t>
      </w:r>
      <w:r>
        <w:rPr>
          <w:rFonts w:eastAsia="Calibri"/>
          <w:noProof/>
          <w:sz w:val="20"/>
          <w:szCs w:val="20"/>
          <w:lang w:val="en-US"/>
        </w:rPr>
        <w:tab/>
        <w:t>Cohen AS, Burns B, Goadsby PJ. High flow oxygen for treatment of cluster headache. A randomized trial. Journal of the American Medical Association. 2009;302:2451-7.</w:t>
      </w:r>
    </w:p>
    <w:p w14:paraId="243874E0" w14:textId="77777777" w:rsidR="00565F68" w:rsidRDefault="00565F68" w:rsidP="00565F68">
      <w:pPr>
        <w:rPr>
          <w:rFonts w:eastAsia="Calibri"/>
          <w:noProof/>
          <w:sz w:val="20"/>
          <w:szCs w:val="20"/>
          <w:lang w:val="en-US"/>
        </w:rPr>
      </w:pPr>
      <w:r>
        <w:rPr>
          <w:rFonts w:eastAsia="Calibri"/>
          <w:noProof/>
          <w:sz w:val="20"/>
          <w:szCs w:val="20"/>
          <w:lang w:val="en-US"/>
        </w:rPr>
        <w:t>5.</w:t>
      </w:r>
      <w:r>
        <w:rPr>
          <w:rFonts w:eastAsia="Calibri"/>
          <w:noProof/>
          <w:sz w:val="20"/>
          <w:szCs w:val="20"/>
          <w:lang w:val="en-US"/>
        </w:rPr>
        <w:tab/>
        <w:t>Cittadini E, May A, Straube A, Evers S, Bussone G, Goadsby PJ. Effectiveness of intranasal zolmitriptan in acute cluster headache. A randomized, placebo-controlled, double-blind crossover study. Archives of Neurology. 2006;63:1537-42.</w:t>
      </w:r>
    </w:p>
    <w:p w14:paraId="24E8724B" w14:textId="77777777" w:rsidR="00565F68" w:rsidRDefault="00565F68" w:rsidP="00565F68">
      <w:pPr>
        <w:rPr>
          <w:rFonts w:eastAsia="Calibri"/>
          <w:noProof/>
          <w:sz w:val="20"/>
          <w:szCs w:val="20"/>
          <w:lang w:val="en-US"/>
        </w:rPr>
      </w:pPr>
      <w:r>
        <w:rPr>
          <w:rFonts w:eastAsia="Calibri"/>
          <w:noProof/>
          <w:sz w:val="20"/>
          <w:szCs w:val="20"/>
          <w:lang w:val="en-US"/>
        </w:rPr>
        <w:t>6.</w:t>
      </w:r>
      <w:r>
        <w:rPr>
          <w:rFonts w:eastAsia="Calibri"/>
          <w:noProof/>
          <w:sz w:val="20"/>
          <w:szCs w:val="20"/>
          <w:lang w:val="en-US"/>
        </w:rPr>
        <w:tab/>
        <w:t>van Vliet JA, Bahra A, Martin V, Aurora SK, Mathew NT, Ferrari MD, et al. Intranasal sumatriptan in cluster headache- randomized placebo-controlled double-blind study. Neurology. 2003;60:630-3.</w:t>
      </w:r>
    </w:p>
    <w:p w14:paraId="04757493" w14:textId="692F8749" w:rsidR="00565F68" w:rsidRDefault="00565F68" w:rsidP="00565F68">
      <w:pPr>
        <w:spacing w:after="160"/>
        <w:rPr>
          <w:rFonts w:eastAsia="Calibri"/>
          <w:noProof/>
          <w:sz w:val="20"/>
          <w:szCs w:val="20"/>
          <w:lang w:val="en-US"/>
        </w:rPr>
      </w:pPr>
      <w:r>
        <w:rPr>
          <w:rFonts w:eastAsia="Calibri"/>
          <w:noProof/>
          <w:sz w:val="20"/>
          <w:szCs w:val="20"/>
          <w:lang w:val="en-US"/>
        </w:rPr>
        <w:t>7.</w:t>
      </w:r>
      <w:r>
        <w:rPr>
          <w:rFonts w:eastAsia="Calibri"/>
          <w:noProof/>
          <w:sz w:val="20"/>
          <w:szCs w:val="20"/>
          <w:lang w:val="en-US"/>
        </w:rPr>
        <w:tab/>
        <w:t>Cohen AS, Matharu MS, Goadsby PJ. Electrocardiographic abnormalities in patients with cluster headache on verapamil therapy. Neurology. 2007;69:668-75.</w:t>
      </w:r>
    </w:p>
    <w:p w14:paraId="5F65E23F" w14:textId="11B37EF6" w:rsidR="00E570D2" w:rsidRDefault="00E570D2" w:rsidP="00565F68">
      <w:pPr>
        <w:spacing w:after="160"/>
        <w:rPr>
          <w:rFonts w:eastAsia="Calibri"/>
          <w:noProof/>
          <w:sz w:val="20"/>
          <w:szCs w:val="20"/>
          <w:lang w:val="en-US"/>
        </w:rPr>
      </w:pPr>
      <w:r>
        <w:rPr>
          <w:rFonts w:eastAsia="Calibri"/>
          <w:noProof/>
          <w:sz w:val="20"/>
          <w:szCs w:val="20"/>
          <w:lang w:val="en-US"/>
        </w:rPr>
        <w:t xml:space="preserve">8. </w:t>
      </w:r>
      <w:r w:rsidR="00716783">
        <w:rPr>
          <w:rFonts w:eastAsia="Calibri"/>
          <w:noProof/>
          <w:sz w:val="20"/>
          <w:szCs w:val="20"/>
          <w:lang w:val="en-US"/>
        </w:rPr>
        <w:tab/>
        <w:t xml:space="preserve">National Institue for Health and Care Excellence, </w:t>
      </w:r>
      <w:r w:rsidRPr="00E570D2">
        <w:rPr>
          <w:rFonts w:eastAsia="Calibri"/>
          <w:noProof/>
          <w:sz w:val="20"/>
          <w:szCs w:val="20"/>
          <w:lang w:val="en-US"/>
        </w:rPr>
        <w:t>Headaches in over 12s: diagnosis and management</w:t>
      </w:r>
      <w:r w:rsidR="00716783">
        <w:rPr>
          <w:rFonts w:eastAsia="Calibri"/>
          <w:noProof/>
          <w:sz w:val="20"/>
          <w:szCs w:val="20"/>
          <w:lang w:val="en-US"/>
        </w:rPr>
        <w:t>,</w:t>
      </w:r>
      <w:r w:rsidR="00AF3F61">
        <w:rPr>
          <w:rFonts w:eastAsia="Calibri"/>
          <w:noProof/>
          <w:sz w:val="20"/>
          <w:szCs w:val="20"/>
          <w:lang w:val="en-US"/>
        </w:rPr>
        <w:t xml:space="preserve"> CG 150,</w:t>
      </w:r>
      <w:r w:rsidR="008A62B2">
        <w:rPr>
          <w:rFonts w:eastAsia="Calibri"/>
          <w:noProof/>
          <w:sz w:val="20"/>
          <w:szCs w:val="20"/>
          <w:lang w:val="en-US"/>
        </w:rPr>
        <w:t xml:space="preserve"> published May 2021, available from: </w:t>
      </w:r>
      <w:r w:rsidR="00AF3F61">
        <w:rPr>
          <w:rFonts w:eastAsia="Calibri"/>
          <w:noProof/>
          <w:sz w:val="20"/>
          <w:szCs w:val="20"/>
          <w:lang w:val="en-US"/>
        </w:rPr>
        <w:t xml:space="preserve"> </w:t>
      </w:r>
      <w:r w:rsidR="008A62B2" w:rsidRPr="008A62B2">
        <w:rPr>
          <w:rFonts w:eastAsia="Calibri"/>
          <w:noProof/>
          <w:sz w:val="20"/>
          <w:szCs w:val="20"/>
          <w:lang w:val="en-US"/>
        </w:rPr>
        <w:t>https://www.nice.org.uk/guidance/cg150</w:t>
      </w:r>
    </w:p>
    <w:p w14:paraId="2905F043" w14:textId="77777777" w:rsidR="00565F68" w:rsidRDefault="00565F68" w:rsidP="00565F68">
      <w:pPr>
        <w:rPr>
          <w:rFonts w:ascii="Tahoma" w:eastAsia="Times New Roman" w:hAnsi="Tahoma" w:cs="Times New Roman"/>
          <w:sz w:val="20"/>
          <w:szCs w:val="20"/>
          <w:lang w:val="en-US"/>
        </w:rPr>
      </w:pPr>
      <w:r>
        <w:rPr>
          <w:rFonts w:eastAsia="Times New Roman"/>
          <w:sz w:val="20"/>
          <w:szCs w:val="20"/>
          <w:lang w:val="en-US"/>
        </w:rPr>
        <w:fldChar w:fldCharType="end"/>
      </w:r>
    </w:p>
    <w:p w14:paraId="63DF1168" w14:textId="77777777" w:rsidR="00565F68" w:rsidRPr="00565F68" w:rsidRDefault="00565F68" w:rsidP="00565F68">
      <w:pPr>
        <w:ind w:right="-625"/>
        <w:rPr>
          <w:lang w:eastAsia="ja-JP"/>
        </w:rPr>
      </w:pPr>
      <w:r w:rsidRPr="00565F68">
        <w:rPr>
          <w:lang w:eastAsia="ja-JP"/>
        </w:rPr>
        <w:t>Irem Patel and Debbie Roots</w:t>
      </w:r>
    </w:p>
    <w:p w14:paraId="7FAB9F2A" w14:textId="77777777" w:rsidR="00565F68" w:rsidRPr="00565F68" w:rsidRDefault="00565F68" w:rsidP="00565F68">
      <w:pPr>
        <w:ind w:right="-625"/>
        <w:rPr>
          <w:lang w:eastAsia="ja-JP"/>
        </w:rPr>
      </w:pPr>
      <w:r w:rsidRPr="00565F68">
        <w:rPr>
          <w:lang w:eastAsia="ja-JP"/>
        </w:rPr>
        <w:t xml:space="preserve">London Clinical Oxygen Network </w:t>
      </w:r>
    </w:p>
    <w:p w14:paraId="76060D09" w14:textId="0AE5C2AA" w:rsidR="00565F68" w:rsidRDefault="00565F68" w:rsidP="00565F68">
      <w:pPr>
        <w:ind w:right="-625"/>
        <w:rPr>
          <w:lang w:eastAsia="ja-JP"/>
        </w:rPr>
      </w:pPr>
      <w:r w:rsidRPr="00565F68">
        <w:rPr>
          <w:lang w:eastAsia="ja-JP"/>
        </w:rPr>
        <w:t>September 20</w:t>
      </w:r>
      <w:r w:rsidR="00D3415A">
        <w:rPr>
          <w:lang w:eastAsia="ja-JP"/>
        </w:rPr>
        <w:t>21</w:t>
      </w:r>
    </w:p>
    <w:p w14:paraId="44AB8590" w14:textId="754007CD" w:rsidR="000566AE" w:rsidRDefault="00946C6F" w:rsidP="00565F68">
      <w:pPr>
        <w:ind w:right="-625"/>
        <w:rPr>
          <w:lang w:eastAsia="ja-JP"/>
        </w:rPr>
      </w:pPr>
      <w:r>
        <w:rPr>
          <w:lang w:eastAsia="ja-JP"/>
        </w:rPr>
        <w:t xml:space="preserve">with </w:t>
      </w:r>
      <w:r w:rsidR="00B6418D">
        <w:rPr>
          <w:lang w:eastAsia="ja-JP"/>
        </w:rPr>
        <w:t>thanks to</w:t>
      </w:r>
      <w:r>
        <w:rPr>
          <w:lang w:eastAsia="ja-JP"/>
        </w:rPr>
        <w:t xml:space="preserve"> </w:t>
      </w:r>
      <w:r w:rsidR="0091556F">
        <w:rPr>
          <w:lang w:eastAsia="ja-JP"/>
        </w:rPr>
        <w:t xml:space="preserve">Dr </w:t>
      </w:r>
      <w:r>
        <w:rPr>
          <w:lang w:eastAsia="ja-JP"/>
        </w:rPr>
        <w:t xml:space="preserve">Bazo Raheem, </w:t>
      </w:r>
      <w:r w:rsidR="0091556F">
        <w:rPr>
          <w:lang w:eastAsia="ja-JP"/>
        </w:rPr>
        <w:t>consultant neurologist</w:t>
      </w:r>
      <w:r w:rsidR="00D3415A">
        <w:rPr>
          <w:lang w:eastAsia="ja-JP"/>
        </w:rPr>
        <w:t xml:space="preserve">, </w:t>
      </w:r>
    </w:p>
    <w:p w14:paraId="484D4B88" w14:textId="6BAC1B98" w:rsidR="00946C6F" w:rsidRDefault="00946C6F" w:rsidP="00565F68">
      <w:pPr>
        <w:ind w:right="-625"/>
        <w:rPr>
          <w:lang w:eastAsia="ja-JP"/>
        </w:rPr>
      </w:pPr>
      <w:r>
        <w:rPr>
          <w:lang w:eastAsia="ja-JP"/>
        </w:rPr>
        <w:t xml:space="preserve">King’s College Hospital NHS </w:t>
      </w:r>
      <w:r w:rsidR="0091556F">
        <w:rPr>
          <w:lang w:eastAsia="ja-JP"/>
        </w:rPr>
        <w:t>F</w:t>
      </w:r>
      <w:r>
        <w:rPr>
          <w:lang w:eastAsia="ja-JP"/>
        </w:rPr>
        <w:t xml:space="preserve">oundation Trust </w:t>
      </w:r>
    </w:p>
    <w:p w14:paraId="5B86FAB4" w14:textId="2B69AA15" w:rsidR="005B3328" w:rsidRDefault="005B3328" w:rsidP="005B3328">
      <w:pPr>
        <w:ind w:right="-625"/>
        <w:rPr>
          <w:lang w:eastAsia="ja-JP"/>
        </w:rPr>
      </w:pPr>
    </w:p>
    <w:sectPr w:rsidR="005B3328" w:rsidSect="00313C2A">
      <w:headerReference w:type="default" r:id="rId10"/>
      <w:footerReference w:type="default" r:id="rId11"/>
      <w:pgSz w:w="11906" w:h="16838"/>
      <w:pgMar w:top="-74" w:right="849" w:bottom="0" w:left="567" w:header="17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607B3" w14:textId="77777777" w:rsidR="00364D0E" w:rsidRDefault="00364D0E">
      <w:pPr>
        <w:spacing w:after="0" w:line="240" w:lineRule="auto"/>
      </w:pPr>
      <w:r>
        <w:separator/>
      </w:r>
    </w:p>
  </w:endnote>
  <w:endnote w:type="continuationSeparator" w:id="0">
    <w:p w14:paraId="259DF98E" w14:textId="77777777" w:rsidR="00364D0E" w:rsidRDefault="0036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C647F" w14:textId="0411C6CD" w:rsidR="00396953" w:rsidRDefault="00396953">
    <w:pPr>
      <w:pStyle w:val="Footer"/>
    </w:pPr>
    <w:r>
      <w:ptab w:relativeTo="margin" w:alignment="center" w:leader="none"/>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7C54D" w14:textId="77777777" w:rsidR="00364D0E" w:rsidRDefault="00364D0E">
      <w:pPr>
        <w:spacing w:after="0" w:line="240" w:lineRule="auto"/>
      </w:pPr>
      <w:r>
        <w:separator/>
      </w:r>
    </w:p>
  </w:footnote>
  <w:footnote w:type="continuationSeparator" w:id="0">
    <w:p w14:paraId="2A5B08DE" w14:textId="77777777" w:rsidR="00364D0E" w:rsidRDefault="00364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333" w:type="dxa"/>
      <w:tblInd w:w="-1026" w:type="dxa"/>
      <w:tblLook w:val="00A0" w:firstRow="1" w:lastRow="0" w:firstColumn="1" w:lastColumn="0" w:noHBand="0" w:noVBand="0"/>
    </w:tblPr>
    <w:tblGrid>
      <w:gridCol w:w="992"/>
      <w:gridCol w:w="1702"/>
      <w:gridCol w:w="4252"/>
      <w:gridCol w:w="5387"/>
    </w:tblGrid>
    <w:tr w:rsidR="000E7274" w:rsidRPr="00FC5F2D" w14:paraId="55E1F891" w14:textId="77777777" w:rsidTr="00313C2A">
      <w:trPr>
        <w:trHeight w:val="993"/>
        <w:tblHeader/>
      </w:trPr>
      <w:tc>
        <w:tcPr>
          <w:tcW w:w="992" w:type="dxa"/>
        </w:tcPr>
        <w:p w14:paraId="43B07411" w14:textId="1CCCE000" w:rsidR="000E7274" w:rsidRPr="00FC5F2D" w:rsidRDefault="00913A54" w:rsidP="00605BA7">
          <w:pPr>
            <w:tabs>
              <w:tab w:val="center" w:pos="4320"/>
              <w:tab w:val="right" w:pos="8640"/>
            </w:tabs>
            <w:spacing w:after="0" w:line="240" w:lineRule="auto"/>
            <w:rPr>
              <w:rFonts w:ascii="Calibri" w:eastAsia="Cambria" w:hAnsi="Calibri" w:cs="Times New Roman"/>
              <w:b/>
              <w:bCs/>
              <w:noProof/>
              <w:sz w:val="18"/>
              <w:szCs w:val="24"/>
              <w:lang w:val="en-US"/>
            </w:rPr>
          </w:pPr>
          <w:r>
            <w:rPr>
              <w:rFonts w:ascii="Calibri" w:eastAsia="Cambria" w:hAnsi="Calibri" w:cs="Times New Roman"/>
              <w:b/>
              <w:bCs/>
              <w:color w:val="A00054"/>
              <w:sz w:val="18"/>
              <w:szCs w:val="28"/>
              <w:lang w:val="en-US"/>
            </w:rPr>
            <w:ptab w:relativeTo="margin" w:alignment="center" w:leader="none"/>
          </w:r>
          <w:r>
            <w:rPr>
              <w:rFonts w:ascii="Calibri" w:eastAsia="Cambria" w:hAnsi="Calibri" w:cs="Times New Roman"/>
              <w:b/>
              <w:bCs/>
              <w:color w:val="A00054"/>
              <w:sz w:val="18"/>
              <w:szCs w:val="28"/>
              <w:lang w:val="en-US"/>
            </w:rPr>
            <w:ptab w:relativeTo="margin" w:alignment="left" w:leader="none"/>
          </w:r>
          <w:r w:rsidR="000E7274" w:rsidRPr="00FC5F2D">
            <w:rPr>
              <w:rFonts w:ascii="Calibri" w:eastAsia="Cambria" w:hAnsi="Calibri" w:cs="Times New Roman"/>
              <w:b/>
              <w:bCs/>
              <w:color w:val="A00054"/>
              <w:sz w:val="18"/>
              <w:szCs w:val="28"/>
              <w:lang w:val="en-US"/>
            </w:rPr>
            <w:t xml:space="preserve"> </w:t>
          </w:r>
        </w:p>
      </w:tc>
      <w:tc>
        <w:tcPr>
          <w:tcW w:w="1702" w:type="dxa"/>
        </w:tcPr>
        <w:p w14:paraId="63619BEC" w14:textId="77777777" w:rsidR="000E7274" w:rsidRPr="00605BA7" w:rsidRDefault="000E7274" w:rsidP="00FC5F2D">
          <w:pPr>
            <w:tabs>
              <w:tab w:val="center" w:pos="4320"/>
              <w:tab w:val="right" w:pos="8640"/>
            </w:tabs>
            <w:spacing w:after="0" w:line="240" w:lineRule="auto"/>
            <w:rPr>
              <w:rFonts w:ascii="Calibri" w:eastAsia="Cambria" w:hAnsi="Calibri" w:cs="Times New Roman"/>
              <w:b/>
              <w:bCs/>
              <w:color w:val="A00054"/>
              <w:sz w:val="20"/>
              <w:szCs w:val="28"/>
              <w:lang w:val="en-US"/>
            </w:rPr>
          </w:pPr>
          <w:r w:rsidRPr="00605BA7">
            <w:rPr>
              <w:rFonts w:ascii="Calibri" w:eastAsia="Cambria" w:hAnsi="Calibri" w:cs="Times New Roman"/>
              <w:b/>
              <w:bCs/>
              <w:noProof/>
              <w:color w:val="A00054"/>
              <w:sz w:val="20"/>
              <w:szCs w:val="28"/>
              <w:lang w:eastAsia="en-GB"/>
            </w:rPr>
            <w:drawing>
              <wp:anchor distT="0" distB="0" distL="114300" distR="114300" simplePos="0" relativeHeight="251658240" behindDoc="1" locked="0" layoutInCell="1" allowOverlap="1" wp14:anchorId="7C29BD96" wp14:editId="42BEFB16">
                <wp:simplePos x="0" y="0"/>
                <wp:positionH relativeFrom="column">
                  <wp:posOffset>56515</wp:posOffset>
                </wp:positionH>
                <wp:positionV relativeFrom="paragraph">
                  <wp:posOffset>123825</wp:posOffset>
                </wp:positionV>
                <wp:extent cx="906145" cy="615872"/>
                <wp:effectExtent l="0" t="0" r="8255" b="0"/>
                <wp:wrapTight wrapText="bothSides">
                  <wp:wrapPolygon edited="0">
                    <wp:start x="0" y="0"/>
                    <wp:lineTo x="0" y="20731"/>
                    <wp:lineTo x="21343" y="20731"/>
                    <wp:lineTo x="21343" y="0"/>
                    <wp:lineTo x="0" y="0"/>
                  </wp:wrapPolygon>
                </wp:wrapTight>
                <wp:docPr id="1" name="Picture 11" descr="Screen shot 2015-05-15 a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 shot 2015-05-15 at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615872"/>
                        </a:xfrm>
                        <a:prstGeom prst="rect">
                          <a:avLst/>
                        </a:prstGeom>
                        <a:noFill/>
                        <a:ln w="9525">
                          <a:noFill/>
                          <a:miter lim="800000"/>
                          <a:headEnd/>
                          <a:tailEnd/>
                        </a:ln>
                      </pic:spPr>
                    </pic:pic>
                  </a:graphicData>
                </a:graphic>
              </wp:anchor>
            </w:drawing>
          </w:r>
        </w:p>
      </w:tc>
      <w:tc>
        <w:tcPr>
          <w:tcW w:w="4252" w:type="dxa"/>
        </w:tcPr>
        <w:p w14:paraId="21D4669D" w14:textId="77777777" w:rsidR="00396953" w:rsidRDefault="000E7274" w:rsidP="009F462A">
          <w:pPr>
            <w:tabs>
              <w:tab w:val="center" w:pos="4320"/>
              <w:tab w:val="right" w:pos="8640"/>
            </w:tabs>
            <w:spacing w:after="0" w:line="240" w:lineRule="auto"/>
            <w:rPr>
              <w:rFonts w:ascii="Calibri" w:eastAsia="Cambria" w:hAnsi="Calibri" w:cs="Times New Roman"/>
              <w:b/>
              <w:bCs/>
              <w:color w:val="A00054"/>
              <w:sz w:val="18"/>
              <w:szCs w:val="28"/>
              <w:lang w:val="en-US"/>
            </w:rPr>
          </w:pPr>
          <w:r>
            <w:rPr>
              <w:rFonts w:ascii="Calibri" w:eastAsia="Cambria" w:hAnsi="Calibri" w:cs="Times New Roman"/>
              <w:b/>
              <w:bCs/>
              <w:color w:val="A00054"/>
              <w:sz w:val="18"/>
              <w:szCs w:val="28"/>
              <w:lang w:val="en-US"/>
            </w:rPr>
            <w:br/>
          </w:r>
        </w:p>
        <w:p w14:paraId="5426A927" w14:textId="6C715506" w:rsidR="000E7274" w:rsidRPr="00E160DD" w:rsidRDefault="000E7274" w:rsidP="009F462A">
          <w:pPr>
            <w:tabs>
              <w:tab w:val="center" w:pos="4320"/>
              <w:tab w:val="right" w:pos="8640"/>
            </w:tabs>
            <w:spacing w:after="0" w:line="240" w:lineRule="auto"/>
            <w:rPr>
              <w:rFonts w:ascii="Calibri" w:eastAsia="Cambria" w:hAnsi="Calibri" w:cs="Times New Roman"/>
              <w:b/>
              <w:bCs/>
              <w:color w:val="A00054"/>
              <w:sz w:val="18"/>
              <w:szCs w:val="28"/>
              <w:lang w:val="en-US"/>
            </w:rPr>
          </w:pPr>
          <w:r>
            <w:rPr>
              <w:rFonts w:ascii="Calibri" w:eastAsia="Cambria" w:hAnsi="Calibri" w:cs="Times New Roman"/>
              <w:b/>
              <w:bCs/>
              <w:color w:val="A00054"/>
              <w:sz w:val="18"/>
              <w:szCs w:val="28"/>
              <w:lang w:val="en-US"/>
            </w:rPr>
            <w:t>L</w:t>
          </w:r>
          <w:r w:rsidRPr="00E160DD">
            <w:rPr>
              <w:rFonts w:ascii="Calibri" w:eastAsia="Cambria" w:hAnsi="Calibri" w:cs="Times New Roman"/>
              <w:b/>
              <w:bCs/>
              <w:color w:val="A00054"/>
              <w:sz w:val="18"/>
              <w:szCs w:val="28"/>
              <w:lang w:val="en-US"/>
            </w:rPr>
            <w:t>ondon Respiratory Network: Collective clinical leadership for respiratory health</w:t>
          </w:r>
          <w:r w:rsidR="00396953">
            <w:rPr>
              <w:rFonts w:ascii="Calibri" w:eastAsia="Cambria" w:hAnsi="Calibri" w:cs="Times New Roman"/>
              <w:b/>
              <w:bCs/>
              <w:color w:val="A00054"/>
              <w:sz w:val="18"/>
              <w:szCs w:val="28"/>
              <w:lang w:val="en-US"/>
            </w:rPr>
            <w:t>.</w:t>
          </w:r>
        </w:p>
      </w:tc>
      <w:tc>
        <w:tcPr>
          <w:tcW w:w="5387" w:type="dxa"/>
        </w:tcPr>
        <w:p w14:paraId="6A342159" w14:textId="36F72894" w:rsidR="000E7274" w:rsidRPr="00FC5F2D" w:rsidRDefault="00396953" w:rsidP="00FC5F2D">
          <w:pPr>
            <w:tabs>
              <w:tab w:val="center" w:pos="4320"/>
              <w:tab w:val="right" w:pos="8640"/>
            </w:tabs>
            <w:spacing w:after="0" w:line="240" w:lineRule="auto"/>
            <w:jc w:val="right"/>
            <w:rPr>
              <w:rFonts w:ascii="Cambria" w:eastAsia="Cambria" w:hAnsi="Cambria" w:cs="Times New Roman"/>
              <w:b/>
              <w:noProof/>
              <w:color w:val="A00054"/>
              <w:sz w:val="32"/>
              <w:szCs w:val="32"/>
              <w:lang w:val="en-US"/>
            </w:rPr>
          </w:pPr>
          <w:r>
            <w:rPr>
              <w:noProof/>
            </w:rPr>
            <w:drawing>
              <wp:anchor distT="0" distB="0" distL="114300" distR="114300" simplePos="0" relativeHeight="251659264" behindDoc="1" locked="0" layoutInCell="1" allowOverlap="1" wp14:anchorId="208BC939" wp14:editId="497566DE">
                <wp:simplePos x="0" y="0"/>
                <wp:positionH relativeFrom="column">
                  <wp:posOffset>2165350</wp:posOffset>
                </wp:positionH>
                <wp:positionV relativeFrom="paragraph">
                  <wp:posOffset>73025</wp:posOffset>
                </wp:positionV>
                <wp:extent cx="1075456" cy="598707"/>
                <wp:effectExtent l="0" t="0" r="0" b="0"/>
                <wp:wrapTight wrapText="bothSides">
                  <wp:wrapPolygon edited="0">
                    <wp:start x="0" y="0"/>
                    <wp:lineTo x="0" y="20637"/>
                    <wp:lineTo x="21051" y="20637"/>
                    <wp:lineTo x="21051" y="0"/>
                    <wp:lineTo x="0" y="0"/>
                  </wp:wrapPolygon>
                </wp:wrapTight>
                <wp:docPr id="2" name="Picture 2" descr="A picture containing text&#10;&#10;Description automatically generated">
                  <a:extLst xmlns:a="http://schemas.openxmlformats.org/drawingml/2006/main">
                    <a:ext uri="{FF2B5EF4-FFF2-40B4-BE49-F238E27FC236}">
                      <a16:creationId xmlns:a16="http://schemas.microsoft.com/office/drawing/2014/main" id="{C06ABB3E-D78A-4BA9-803E-699114A65D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10;&#10;Description automatically generated">
                          <a:extLst>
                            <a:ext uri="{FF2B5EF4-FFF2-40B4-BE49-F238E27FC236}">
                              <a16:creationId xmlns:a16="http://schemas.microsoft.com/office/drawing/2014/main" id="{C06ABB3E-D78A-4BA9-803E-699114A65D58}"/>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75456" cy="598707"/>
                        </a:xfrm>
                        <a:prstGeom prst="rect">
                          <a:avLst/>
                        </a:prstGeom>
                      </pic:spPr>
                    </pic:pic>
                  </a:graphicData>
                </a:graphic>
              </wp:anchor>
            </w:drawing>
          </w:r>
        </w:p>
        <w:p w14:paraId="6CF03303" w14:textId="5684928E" w:rsidR="000E7274" w:rsidRPr="00FC5F2D" w:rsidRDefault="000E7274" w:rsidP="00E160DD">
          <w:pPr>
            <w:tabs>
              <w:tab w:val="center" w:pos="4320"/>
              <w:tab w:val="right" w:pos="8640"/>
            </w:tabs>
            <w:spacing w:after="0" w:line="240" w:lineRule="auto"/>
            <w:jc w:val="right"/>
            <w:rPr>
              <w:rFonts w:ascii="Calibri" w:eastAsia="Cambria" w:hAnsi="Calibri" w:cs="Times New Roman"/>
              <w:b/>
              <w:bCs/>
              <w:color w:val="A00054"/>
              <w:sz w:val="20"/>
              <w:szCs w:val="28"/>
              <w:lang w:val="en-US"/>
            </w:rPr>
          </w:pPr>
        </w:p>
      </w:tc>
    </w:tr>
  </w:tbl>
  <w:p w14:paraId="5909C3E4" w14:textId="77777777" w:rsidR="000E7274" w:rsidRPr="00FC5F2D" w:rsidRDefault="000E7274" w:rsidP="00FC5F2D">
    <w:pPr>
      <w:tabs>
        <w:tab w:val="center" w:pos="4320"/>
        <w:tab w:val="right" w:pos="8640"/>
      </w:tabs>
      <w:spacing w:after="0" w:line="240" w:lineRule="auto"/>
      <w:ind w:right="828"/>
      <w:rPr>
        <w:rFonts w:ascii="Cambria" w:eastAsia="Cambria" w:hAnsi="Cambria" w:cs="Times New Roman"/>
        <w:sz w:val="24"/>
        <w:szCs w:val="24"/>
        <w:lang w:val="en-US"/>
      </w:rPr>
    </w:pPr>
  </w:p>
  <w:p w14:paraId="66ACED46" w14:textId="77777777" w:rsidR="000E7274" w:rsidRDefault="000E7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3F67"/>
    <w:multiLevelType w:val="hybridMultilevel"/>
    <w:tmpl w:val="5652F7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1611761"/>
    <w:multiLevelType w:val="hybridMultilevel"/>
    <w:tmpl w:val="DC30D1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501DC"/>
    <w:multiLevelType w:val="hybridMultilevel"/>
    <w:tmpl w:val="CB228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07880"/>
    <w:multiLevelType w:val="hybridMultilevel"/>
    <w:tmpl w:val="3EFA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11C5F"/>
    <w:multiLevelType w:val="hybridMultilevel"/>
    <w:tmpl w:val="1A68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D5100"/>
    <w:multiLevelType w:val="hybridMultilevel"/>
    <w:tmpl w:val="7522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C0069"/>
    <w:multiLevelType w:val="hybridMultilevel"/>
    <w:tmpl w:val="010A3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1479C2"/>
    <w:multiLevelType w:val="hybridMultilevel"/>
    <w:tmpl w:val="CD1A1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4810ED"/>
    <w:multiLevelType w:val="hybridMultilevel"/>
    <w:tmpl w:val="D994A7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60758C"/>
    <w:multiLevelType w:val="hybridMultilevel"/>
    <w:tmpl w:val="6DC0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1269E9"/>
    <w:multiLevelType w:val="hybridMultilevel"/>
    <w:tmpl w:val="DA84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2248A2"/>
    <w:multiLevelType w:val="hybridMultilevel"/>
    <w:tmpl w:val="8A66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A41E7"/>
    <w:multiLevelType w:val="hybridMultilevel"/>
    <w:tmpl w:val="E3B8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437503"/>
    <w:multiLevelType w:val="hybridMultilevel"/>
    <w:tmpl w:val="98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5"/>
  </w:num>
  <w:num w:numId="5">
    <w:abstractNumId w:val="11"/>
  </w:num>
  <w:num w:numId="6">
    <w:abstractNumId w:val="3"/>
  </w:num>
  <w:num w:numId="7">
    <w:abstractNumId w:val="13"/>
  </w:num>
  <w:num w:numId="8">
    <w:abstractNumId w:val="8"/>
  </w:num>
  <w:num w:numId="9">
    <w:abstractNumId w:val="1"/>
  </w:num>
  <w:num w:numId="10">
    <w:abstractNumId w:val="10"/>
  </w:num>
  <w:num w:numId="11">
    <w:abstractNumId w:val="7"/>
  </w:num>
  <w:num w:numId="12">
    <w:abstractNumId w:val="2"/>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05C"/>
    <w:rsid w:val="000123A0"/>
    <w:rsid w:val="00035C1D"/>
    <w:rsid w:val="000566AE"/>
    <w:rsid w:val="00057F44"/>
    <w:rsid w:val="0006559A"/>
    <w:rsid w:val="00086B72"/>
    <w:rsid w:val="00092F33"/>
    <w:rsid w:val="00095E28"/>
    <w:rsid w:val="0009685F"/>
    <w:rsid w:val="000A5739"/>
    <w:rsid w:val="000B1EE4"/>
    <w:rsid w:val="000B251D"/>
    <w:rsid w:val="000E106A"/>
    <w:rsid w:val="000E23C4"/>
    <w:rsid w:val="000E7274"/>
    <w:rsid w:val="000F6F14"/>
    <w:rsid w:val="00133387"/>
    <w:rsid w:val="00142271"/>
    <w:rsid w:val="00144CA3"/>
    <w:rsid w:val="001514E9"/>
    <w:rsid w:val="001600E0"/>
    <w:rsid w:val="001819E7"/>
    <w:rsid w:val="00187787"/>
    <w:rsid w:val="001D3D85"/>
    <w:rsid w:val="001D5963"/>
    <w:rsid w:val="001E4A24"/>
    <w:rsid w:val="001F1B85"/>
    <w:rsid w:val="002035AD"/>
    <w:rsid w:val="0021118D"/>
    <w:rsid w:val="00211701"/>
    <w:rsid w:val="0024124D"/>
    <w:rsid w:val="0024782B"/>
    <w:rsid w:val="00250DD4"/>
    <w:rsid w:val="00273FA5"/>
    <w:rsid w:val="0028057A"/>
    <w:rsid w:val="00283F81"/>
    <w:rsid w:val="002856CD"/>
    <w:rsid w:val="002A490E"/>
    <w:rsid w:val="002B111A"/>
    <w:rsid w:val="002D3FB4"/>
    <w:rsid w:val="002E587D"/>
    <w:rsid w:val="003006F8"/>
    <w:rsid w:val="00300E1A"/>
    <w:rsid w:val="00313C2A"/>
    <w:rsid w:val="003429FB"/>
    <w:rsid w:val="00364D0E"/>
    <w:rsid w:val="00396953"/>
    <w:rsid w:val="003A2B1F"/>
    <w:rsid w:val="003A7CAA"/>
    <w:rsid w:val="003C5306"/>
    <w:rsid w:val="003D0EE3"/>
    <w:rsid w:val="003D24E8"/>
    <w:rsid w:val="003E378F"/>
    <w:rsid w:val="003E5406"/>
    <w:rsid w:val="00412550"/>
    <w:rsid w:val="00414077"/>
    <w:rsid w:val="00426877"/>
    <w:rsid w:val="004329CE"/>
    <w:rsid w:val="00436436"/>
    <w:rsid w:val="00443B7D"/>
    <w:rsid w:val="004D4050"/>
    <w:rsid w:val="004F7E87"/>
    <w:rsid w:val="00514EDF"/>
    <w:rsid w:val="0051616A"/>
    <w:rsid w:val="00543C35"/>
    <w:rsid w:val="0055369F"/>
    <w:rsid w:val="0055687F"/>
    <w:rsid w:val="00561E40"/>
    <w:rsid w:val="00565F68"/>
    <w:rsid w:val="00576442"/>
    <w:rsid w:val="00577DD5"/>
    <w:rsid w:val="005A3573"/>
    <w:rsid w:val="005B3328"/>
    <w:rsid w:val="005C711F"/>
    <w:rsid w:val="005E059F"/>
    <w:rsid w:val="005F50B1"/>
    <w:rsid w:val="006001B3"/>
    <w:rsid w:val="00605BA7"/>
    <w:rsid w:val="006175BC"/>
    <w:rsid w:val="0066105C"/>
    <w:rsid w:val="0067175E"/>
    <w:rsid w:val="00690CFF"/>
    <w:rsid w:val="00692045"/>
    <w:rsid w:val="006B75C7"/>
    <w:rsid w:val="006C14D7"/>
    <w:rsid w:val="006C3E11"/>
    <w:rsid w:val="006C4DED"/>
    <w:rsid w:val="006E086B"/>
    <w:rsid w:val="006F233D"/>
    <w:rsid w:val="00701D53"/>
    <w:rsid w:val="00706EE0"/>
    <w:rsid w:val="00713B67"/>
    <w:rsid w:val="00716783"/>
    <w:rsid w:val="00734163"/>
    <w:rsid w:val="0073715A"/>
    <w:rsid w:val="007419DD"/>
    <w:rsid w:val="007421FE"/>
    <w:rsid w:val="00746B17"/>
    <w:rsid w:val="00762927"/>
    <w:rsid w:val="007A2DF4"/>
    <w:rsid w:val="007B5E39"/>
    <w:rsid w:val="007D561D"/>
    <w:rsid w:val="007D7402"/>
    <w:rsid w:val="007F672E"/>
    <w:rsid w:val="008471E6"/>
    <w:rsid w:val="00861DBC"/>
    <w:rsid w:val="008729EC"/>
    <w:rsid w:val="00891152"/>
    <w:rsid w:val="00894B29"/>
    <w:rsid w:val="008A24BA"/>
    <w:rsid w:val="008A29A6"/>
    <w:rsid w:val="008A62B2"/>
    <w:rsid w:val="008B53EC"/>
    <w:rsid w:val="008D2583"/>
    <w:rsid w:val="008F30CC"/>
    <w:rsid w:val="008F493D"/>
    <w:rsid w:val="00913A54"/>
    <w:rsid w:val="0091556F"/>
    <w:rsid w:val="00916F52"/>
    <w:rsid w:val="00917DDB"/>
    <w:rsid w:val="00932A2A"/>
    <w:rsid w:val="00946C6F"/>
    <w:rsid w:val="00947396"/>
    <w:rsid w:val="00957A4E"/>
    <w:rsid w:val="00980695"/>
    <w:rsid w:val="00984133"/>
    <w:rsid w:val="009920D4"/>
    <w:rsid w:val="009A4486"/>
    <w:rsid w:val="009D4791"/>
    <w:rsid w:val="009D6245"/>
    <w:rsid w:val="009E1682"/>
    <w:rsid w:val="009F194F"/>
    <w:rsid w:val="009F462A"/>
    <w:rsid w:val="00A03533"/>
    <w:rsid w:val="00A04A75"/>
    <w:rsid w:val="00A1083E"/>
    <w:rsid w:val="00A11292"/>
    <w:rsid w:val="00A274A9"/>
    <w:rsid w:val="00A63CC0"/>
    <w:rsid w:val="00A66663"/>
    <w:rsid w:val="00A8070C"/>
    <w:rsid w:val="00AA2347"/>
    <w:rsid w:val="00AB089B"/>
    <w:rsid w:val="00AB3051"/>
    <w:rsid w:val="00AE3E03"/>
    <w:rsid w:val="00AF3F61"/>
    <w:rsid w:val="00AF534E"/>
    <w:rsid w:val="00AF6362"/>
    <w:rsid w:val="00B02ABA"/>
    <w:rsid w:val="00B0507F"/>
    <w:rsid w:val="00B31A53"/>
    <w:rsid w:val="00B566F4"/>
    <w:rsid w:val="00B6418D"/>
    <w:rsid w:val="00B67A24"/>
    <w:rsid w:val="00B814E3"/>
    <w:rsid w:val="00B82D01"/>
    <w:rsid w:val="00BA1383"/>
    <w:rsid w:val="00BA1EFD"/>
    <w:rsid w:val="00BC673B"/>
    <w:rsid w:val="00BE0EE1"/>
    <w:rsid w:val="00BE3EF5"/>
    <w:rsid w:val="00C076A0"/>
    <w:rsid w:val="00C07D08"/>
    <w:rsid w:val="00C24FA2"/>
    <w:rsid w:val="00C467FB"/>
    <w:rsid w:val="00C52F1D"/>
    <w:rsid w:val="00C5652F"/>
    <w:rsid w:val="00C62115"/>
    <w:rsid w:val="00C65EB9"/>
    <w:rsid w:val="00C968DE"/>
    <w:rsid w:val="00C97320"/>
    <w:rsid w:val="00CC4484"/>
    <w:rsid w:val="00CD23D9"/>
    <w:rsid w:val="00CD642F"/>
    <w:rsid w:val="00CE2B7C"/>
    <w:rsid w:val="00D057B3"/>
    <w:rsid w:val="00D14AEE"/>
    <w:rsid w:val="00D22E03"/>
    <w:rsid w:val="00D240AC"/>
    <w:rsid w:val="00D25036"/>
    <w:rsid w:val="00D26320"/>
    <w:rsid w:val="00D3415A"/>
    <w:rsid w:val="00D365A3"/>
    <w:rsid w:val="00D45A4B"/>
    <w:rsid w:val="00D62CD6"/>
    <w:rsid w:val="00DB41D5"/>
    <w:rsid w:val="00DF1017"/>
    <w:rsid w:val="00DF770E"/>
    <w:rsid w:val="00E146BB"/>
    <w:rsid w:val="00E160DD"/>
    <w:rsid w:val="00E570D2"/>
    <w:rsid w:val="00E60BF1"/>
    <w:rsid w:val="00ED115D"/>
    <w:rsid w:val="00ED2F1C"/>
    <w:rsid w:val="00ED678C"/>
    <w:rsid w:val="00F16548"/>
    <w:rsid w:val="00F85B97"/>
    <w:rsid w:val="00F861C7"/>
    <w:rsid w:val="00F92494"/>
    <w:rsid w:val="00F95C40"/>
    <w:rsid w:val="00FA4718"/>
    <w:rsid w:val="00FC5F2D"/>
    <w:rsid w:val="00FC7BB8"/>
    <w:rsid w:val="00FE0E6D"/>
    <w:rsid w:val="00FE6F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BC5DD"/>
  <w15:docId w15:val="{3EEEAE8D-20F6-47BB-B66D-AA5F2944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05C"/>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2632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CD2400"/>
    <w:rPr>
      <w:rFonts w:ascii="Lucida Grande" w:hAnsi="Lucida Grande"/>
      <w:sz w:val="18"/>
      <w:szCs w:val="18"/>
    </w:rPr>
  </w:style>
  <w:style w:type="character" w:customStyle="1" w:styleId="BalloonTextChar0">
    <w:name w:val="Balloon Text Char"/>
    <w:basedOn w:val="DefaultParagraphFont"/>
    <w:uiPriority w:val="99"/>
    <w:semiHidden/>
    <w:rsid w:val="00CD2400"/>
    <w:rPr>
      <w:rFonts w:ascii="Lucida Grande" w:hAnsi="Lucida Grande"/>
      <w:sz w:val="18"/>
      <w:szCs w:val="18"/>
    </w:rPr>
  </w:style>
  <w:style w:type="paragraph" w:styleId="NoSpacing">
    <w:name w:val="No Spacing"/>
    <w:uiPriority w:val="1"/>
    <w:qFormat/>
    <w:rsid w:val="0066105C"/>
    <w:pPr>
      <w:spacing w:after="0" w:line="240" w:lineRule="auto"/>
    </w:pPr>
    <w:rPr>
      <w:rFonts w:ascii="Arial" w:hAnsi="Arial" w:cs="Arial"/>
    </w:rPr>
  </w:style>
  <w:style w:type="paragraph" w:styleId="ListParagraph">
    <w:name w:val="List Paragraph"/>
    <w:basedOn w:val="Normal"/>
    <w:uiPriority w:val="34"/>
    <w:qFormat/>
    <w:rsid w:val="0066105C"/>
    <w:pPr>
      <w:ind w:left="720"/>
      <w:contextualSpacing/>
    </w:pPr>
  </w:style>
  <w:style w:type="character" w:styleId="CommentReference">
    <w:name w:val="annotation reference"/>
    <w:basedOn w:val="DefaultParagraphFont"/>
    <w:uiPriority w:val="99"/>
    <w:semiHidden/>
    <w:unhideWhenUsed/>
    <w:rsid w:val="00D26320"/>
    <w:rPr>
      <w:sz w:val="16"/>
      <w:szCs w:val="16"/>
    </w:rPr>
  </w:style>
  <w:style w:type="paragraph" w:styleId="CommentText">
    <w:name w:val="annotation text"/>
    <w:basedOn w:val="Normal"/>
    <w:link w:val="CommentTextChar"/>
    <w:uiPriority w:val="99"/>
    <w:semiHidden/>
    <w:unhideWhenUsed/>
    <w:rsid w:val="00D26320"/>
    <w:pPr>
      <w:spacing w:line="240" w:lineRule="auto"/>
    </w:pPr>
    <w:rPr>
      <w:sz w:val="20"/>
      <w:szCs w:val="20"/>
    </w:rPr>
  </w:style>
  <w:style w:type="character" w:customStyle="1" w:styleId="CommentTextChar">
    <w:name w:val="Comment Text Char"/>
    <w:basedOn w:val="DefaultParagraphFont"/>
    <w:link w:val="CommentText"/>
    <w:uiPriority w:val="99"/>
    <w:semiHidden/>
    <w:rsid w:val="00D2632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26320"/>
    <w:rPr>
      <w:b/>
      <w:bCs/>
    </w:rPr>
  </w:style>
  <w:style w:type="character" w:customStyle="1" w:styleId="CommentSubjectChar">
    <w:name w:val="Comment Subject Char"/>
    <w:basedOn w:val="CommentTextChar"/>
    <w:link w:val="CommentSubject"/>
    <w:uiPriority w:val="99"/>
    <w:semiHidden/>
    <w:rsid w:val="00D26320"/>
    <w:rPr>
      <w:rFonts w:ascii="Arial" w:hAnsi="Arial" w:cs="Arial"/>
      <w:b/>
      <w:bCs/>
      <w:sz w:val="20"/>
      <w:szCs w:val="20"/>
    </w:rPr>
  </w:style>
  <w:style w:type="character" w:customStyle="1" w:styleId="BalloonTextChar1">
    <w:name w:val="Balloon Text Char1"/>
    <w:basedOn w:val="DefaultParagraphFont"/>
    <w:link w:val="BalloonText"/>
    <w:uiPriority w:val="99"/>
    <w:semiHidden/>
    <w:rsid w:val="00D26320"/>
    <w:rPr>
      <w:rFonts w:ascii="Tahoma" w:hAnsi="Tahoma" w:cs="Tahoma"/>
      <w:sz w:val="16"/>
      <w:szCs w:val="16"/>
    </w:rPr>
  </w:style>
  <w:style w:type="paragraph" w:styleId="Revision">
    <w:name w:val="Revision"/>
    <w:hidden/>
    <w:uiPriority w:val="99"/>
    <w:semiHidden/>
    <w:rsid w:val="00984133"/>
    <w:pPr>
      <w:spacing w:after="0" w:line="240" w:lineRule="auto"/>
    </w:pPr>
    <w:rPr>
      <w:rFonts w:ascii="Arial" w:hAnsi="Arial" w:cs="Arial"/>
    </w:rPr>
  </w:style>
  <w:style w:type="paragraph" w:styleId="Header">
    <w:name w:val="header"/>
    <w:basedOn w:val="Normal"/>
    <w:link w:val="HeaderChar"/>
    <w:uiPriority w:val="99"/>
    <w:unhideWhenUsed/>
    <w:rsid w:val="00FC5F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5F2D"/>
    <w:rPr>
      <w:rFonts w:ascii="Arial" w:hAnsi="Arial" w:cs="Arial"/>
    </w:rPr>
  </w:style>
  <w:style w:type="paragraph" w:styleId="Footer">
    <w:name w:val="footer"/>
    <w:basedOn w:val="Normal"/>
    <w:link w:val="FooterChar"/>
    <w:uiPriority w:val="99"/>
    <w:unhideWhenUsed/>
    <w:rsid w:val="00FC5F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5F2D"/>
    <w:rPr>
      <w:rFonts w:ascii="Arial" w:hAnsi="Arial" w:cs="Arial"/>
    </w:rPr>
  </w:style>
  <w:style w:type="character" w:styleId="Hyperlink">
    <w:name w:val="Hyperlink"/>
    <w:basedOn w:val="DefaultParagraphFont"/>
    <w:rsid w:val="008B53EC"/>
    <w:rPr>
      <w:color w:val="0000FF"/>
      <w:u w:val="single"/>
    </w:rPr>
  </w:style>
  <w:style w:type="paragraph" w:customStyle="1" w:styleId="Unnumberedboldheading">
    <w:name w:val="Unnumbered bold heading"/>
    <w:next w:val="Normal"/>
    <w:rsid w:val="008B53EC"/>
    <w:pPr>
      <w:keepNext/>
      <w:widowControl w:val="0"/>
      <w:spacing w:after="120" w:line="240" w:lineRule="auto"/>
    </w:pPr>
    <w:rPr>
      <w:rFonts w:ascii="Arial" w:eastAsia="Times New Roman" w:hAnsi="Arial" w:cs="Times New Roman"/>
      <w:b/>
      <w:sz w:val="24"/>
      <w:szCs w:val="24"/>
    </w:rPr>
  </w:style>
  <w:style w:type="paragraph" w:customStyle="1" w:styleId="Tabletitle">
    <w:name w:val="Table title"/>
    <w:basedOn w:val="Normal"/>
    <w:next w:val="Normal"/>
    <w:rsid w:val="008B53EC"/>
    <w:pPr>
      <w:keepNext/>
      <w:spacing w:after="60" w:line="240" w:lineRule="auto"/>
    </w:pPr>
    <w:rPr>
      <w:rFonts w:eastAsia="Times New Roman" w:cs="Times New Roman"/>
      <w:b/>
      <w:sz w:val="24"/>
      <w:szCs w:val="24"/>
    </w:rPr>
  </w:style>
  <w:style w:type="paragraph" w:customStyle="1" w:styleId="Tabletext">
    <w:name w:val="Table text"/>
    <w:basedOn w:val="Normal"/>
    <w:rsid w:val="008B53EC"/>
    <w:pPr>
      <w:keepNext/>
      <w:spacing w:after="60" w:line="240" w:lineRule="auto"/>
    </w:pPr>
    <w:rPr>
      <w:rFonts w:eastAsia="Times New Roman" w:cs="Times New Roman"/>
      <w:szCs w:val="24"/>
    </w:rPr>
  </w:style>
  <w:style w:type="paragraph" w:customStyle="1" w:styleId="EndNoteBibliography">
    <w:name w:val="EndNote Bibliography"/>
    <w:basedOn w:val="Normal"/>
    <w:link w:val="EndNoteBibliographyChar"/>
    <w:rsid w:val="008B53EC"/>
    <w:pPr>
      <w:spacing w:after="160" w:line="240" w:lineRule="auto"/>
      <w:jc w:val="both"/>
    </w:pPr>
    <w:rPr>
      <w:rFonts w:ascii="Tahoma" w:hAnsi="Tahoma" w:cs="Tahoma"/>
      <w:noProof/>
      <w:sz w:val="16"/>
      <w:lang w:val="en-US"/>
    </w:rPr>
  </w:style>
  <w:style w:type="character" w:customStyle="1" w:styleId="EndNoteBibliographyChar">
    <w:name w:val="EndNote Bibliography Char"/>
    <w:basedOn w:val="DefaultParagraphFont"/>
    <w:link w:val="EndNoteBibliography"/>
    <w:rsid w:val="008B53EC"/>
    <w:rPr>
      <w:rFonts w:ascii="Tahoma" w:hAnsi="Tahoma" w:cs="Tahoma"/>
      <w:noProof/>
      <w:sz w:val="16"/>
      <w:lang w:val="en-US"/>
    </w:rPr>
  </w:style>
  <w:style w:type="paragraph" w:customStyle="1" w:styleId="EndNoteBibliographyTitle">
    <w:name w:val="EndNote Bibliography Title"/>
    <w:basedOn w:val="Normal"/>
    <w:link w:val="EndNoteBibliographyTitleChar"/>
    <w:rsid w:val="008B53EC"/>
    <w:pPr>
      <w:spacing w:after="0" w:line="240" w:lineRule="auto"/>
      <w:jc w:val="center"/>
    </w:pPr>
    <w:rPr>
      <w:rFonts w:ascii="Tahoma" w:eastAsia="Times New Roman" w:hAnsi="Tahoma" w:cs="Tahoma"/>
      <w:noProof/>
      <w:sz w:val="16"/>
      <w:szCs w:val="24"/>
      <w:lang w:val="en-US"/>
    </w:rPr>
  </w:style>
  <w:style w:type="character" w:customStyle="1" w:styleId="EndNoteBibliographyTitleChar">
    <w:name w:val="EndNote Bibliography Title Char"/>
    <w:basedOn w:val="DefaultParagraphFont"/>
    <w:link w:val="EndNoteBibliographyTitle"/>
    <w:rsid w:val="008B53EC"/>
    <w:rPr>
      <w:rFonts w:ascii="Tahoma" w:eastAsia="Times New Roman" w:hAnsi="Tahoma" w:cs="Tahoma"/>
      <w:noProof/>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132784">
      <w:bodyDiv w:val="1"/>
      <w:marLeft w:val="0"/>
      <w:marRight w:val="0"/>
      <w:marTop w:val="0"/>
      <w:marBottom w:val="0"/>
      <w:divBdr>
        <w:top w:val="none" w:sz="0" w:space="0" w:color="auto"/>
        <w:left w:val="none" w:sz="0" w:space="0" w:color="auto"/>
        <w:bottom w:val="none" w:sz="0" w:space="0" w:color="auto"/>
        <w:right w:val="none" w:sz="0" w:space="0" w:color="auto"/>
      </w:divBdr>
    </w:div>
    <w:div w:id="21085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works.nhs.uk/nhs-networks/london-lu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uidance.nice.org.uk/TA26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47324-F270-4EC8-B7E9-83987E6A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3971</Words>
  <Characters>22639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26557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Buxton</dc:creator>
  <cp:lastModifiedBy>Rachel Lord</cp:lastModifiedBy>
  <cp:revision>2</cp:revision>
  <cp:lastPrinted>2015-02-24T21:17:00Z</cp:lastPrinted>
  <dcterms:created xsi:type="dcterms:W3CDTF">2022-05-03T13:43:00Z</dcterms:created>
  <dcterms:modified xsi:type="dcterms:W3CDTF">2022-05-03T13:43:00Z</dcterms:modified>
</cp:coreProperties>
</file>