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FCB" w:rsidRPr="002B10ED" w:rsidRDefault="000F02AB" w:rsidP="000F02AB">
      <w:pPr>
        <w:jc w:val="center"/>
        <w:rPr>
          <w:b/>
          <w:sz w:val="32"/>
        </w:rPr>
      </w:pPr>
      <w:r w:rsidRPr="002B10ED">
        <w:rPr>
          <w:b/>
          <w:sz w:val="32"/>
        </w:rPr>
        <w:t>Core Competency Theme 10: Nutrition</w:t>
      </w:r>
    </w:p>
    <w:tbl>
      <w:tblPr>
        <w:tblStyle w:val="TableGrid"/>
        <w:tblW w:w="10916" w:type="dxa"/>
        <w:tblInd w:w="-743" w:type="dxa"/>
        <w:tblLayout w:type="fixed"/>
        <w:tblLook w:val="04A0" w:firstRow="1" w:lastRow="0" w:firstColumn="1" w:lastColumn="0" w:noHBand="0" w:noVBand="1"/>
      </w:tblPr>
      <w:tblGrid>
        <w:gridCol w:w="2127"/>
        <w:gridCol w:w="8789"/>
      </w:tblGrid>
      <w:tr w:rsidR="000F02AB" w:rsidTr="002B10ED">
        <w:tc>
          <w:tcPr>
            <w:tcW w:w="2127" w:type="dxa"/>
          </w:tcPr>
          <w:p w:rsidR="000F02AB" w:rsidRPr="002B10ED" w:rsidRDefault="000F02AB" w:rsidP="00300D63">
            <w:pPr>
              <w:rPr>
                <w:b/>
              </w:rPr>
            </w:pPr>
          </w:p>
        </w:tc>
        <w:tc>
          <w:tcPr>
            <w:tcW w:w="8789" w:type="dxa"/>
          </w:tcPr>
          <w:p w:rsidR="000F02AB" w:rsidRPr="002B10ED" w:rsidRDefault="000F02AB" w:rsidP="00465662">
            <w:pPr>
              <w:rPr>
                <w:b/>
              </w:rPr>
            </w:pPr>
            <w:r w:rsidRPr="002B10ED">
              <w:rPr>
                <w:b/>
              </w:rPr>
              <w:t>Basic definition</w:t>
            </w:r>
            <w:r w:rsidR="007F0601" w:rsidRPr="002B10ED">
              <w:rPr>
                <w:b/>
              </w:rPr>
              <w:t xml:space="preserve">, </w:t>
            </w:r>
            <w:r w:rsidR="00465662" w:rsidRPr="002B10ED">
              <w:rPr>
                <w:b/>
              </w:rPr>
              <w:t>symptoms</w:t>
            </w:r>
            <w:r w:rsidRPr="002B10ED">
              <w:rPr>
                <w:b/>
              </w:rPr>
              <w:t xml:space="preserve"> </w:t>
            </w:r>
            <w:r w:rsidR="007F0601" w:rsidRPr="002B10ED">
              <w:rPr>
                <w:b/>
              </w:rPr>
              <w:t>and management</w:t>
            </w:r>
          </w:p>
        </w:tc>
      </w:tr>
      <w:tr w:rsidR="000F02AB" w:rsidTr="002B10ED">
        <w:tc>
          <w:tcPr>
            <w:tcW w:w="2127" w:type="dxa"/>
          </w:tcPr>
          <w:p w:rsidR="000F02AB" w:rsidRPr="002B10ED" w:rsidRDefault="000F02AB" w:rsidP="00300D63">
            <w:pPr>
              <w:jc w:val="center"/>
              <w:rPr>
                <w:b/>
              </w:rPr>
            </w:pPr>
          </w:p>
          <w:p w:rsidR="000F02AB" w:rsidRPr="002B10ED" w:rsidRDefault="000F02AB" w:rsidP="00300D63">
            <w:pPr>
              <w:jc w:val="center"/>
              <w:rPr>
                <w:b/>
              </w:rPr>
            </w:pPr>
            <w:r w:rsidRPr="002B10ED">
              <w:rPr>
                <w:b/>
              </w:rPr>
              <w:t>Hypernatraemia</w:t>
            </w:r>
          </w:p>
        </w:tc>
        <w:tc>
          <w:tcPr>
            <w:tcW w:w="8789" w:type="dxa"/>
          </w:tcPr>
          <w:p w:rsidR="002B7B9E" w:rsidRDefault="00496E34" w:rsidP="00496E34">
            <w:pPr>
              <w:autoSpaceDE w:val="0"/>
              <w:autoSpaceDN w:val="0"/>
              <w:adjustRightInd w:val="0"/>
              <w:rPr>
                <w:rFonts w:cs="Helvetica-Bold"/>
                <w:bCs/>
              </w:rPr>
            </w:pPr>
            <w:r w:rsidRPr="00255518">
              <w:rPr>
                <w:rFonts w:cs="Helvetica-Bold"/>
                <w:bCs/>
              </w:rPr>
              <w:t xml:space="preserve">Hypernatraemia is defined as </w:t>
            </w:r>
            <w:r w:rsidR="00465662" w:rsidRPr="00255518">
              <w:rPr>
                <w:rFonts w:cs="Helvetica-Bold"/>
                <w:bCs/>
              </w:rPr>
              <w:t>plasma</w:t>
            </w:r>
            <w:r w:rsidRPr="00255518">
              <w:rPr>
                <w:rFonts w:cs="Helvetica-Bold"/>
                <w:bCs/>
              </w:rPr>
              <w:t xml:space="preserve"> sodium greater </w:t>
            </w:r>
            <w:proofErr w:type="gramStart"/>
            <w:r w:rsidRPr="00255518">
              <w:rPr>
                <w:rFonts w:cs="Helvetica-Bold"/>
                <w:bCs/>
              </w:rPr>
              <w:t>than 146 mmol/L.</w:t>
            </w:r>
            <w:proofErr w:type="gramEnd"/>
            <w:r w:rsidR="001E244A" w:rsidRPr="00255518">
              <w:rPr>
                <w:rFonts w:cs="Helvetica-Bold"/>
                <w:bCs/>
              </w:rPr>
              <w:t xml:space="preserve"> </w:t>
            </w:r>
            <w:r w:rsidRPr="00255518">
              <w:rPr>
                <w:rFonts w:cs="Helvetica-Bold"/>
                <w:bCs/>
              </w:rPr>
              <w:t>The clinical significance of hypernatraemia depends on its severity,</w:t>
            </w:r>
            <w:r w:rsidR="001E244A" w:rsidRPr="00255518">
              <w:rPr>
                <w:rFonts w:cs="Helvetica-Bold"/>
                <w:bCs/>
              </w:rPr>
              <w:t xml:space="preserve"> </w:t>
            </w:r>
            <w:r w:rsidRPr="00255518">
              <w:rPr>
                <w:rFonts w:cs="Helvetica-Bold"/>
                <w:bCs/>
              </w:rPr>
              <w:t>speed of onset and underlying cause.</w:t>
            </w:r>
            <w:r w:rsidR="002B7B9E">
              <w:rPr>
                <w:rFonts w:cs="Helvetica-Bold"/>
                <w:bCs/>
              </w:rPr>
              <w:t xml:space="preserve"> </w:t>
            </w:r>
            <w:r w:rsidRPr="00255518">
              <w:rPr>
                <w:rFonts w:cs="Helvetica-Bold"/>
                <w:bCs/>
              </w:rPr>
              <w:t>It is usually due to a deficiency of water, rather than an excess of</w:t>
            </w:r>
            <w:r w:rsidR="001E244A" w:rsidRPr="00255518">
              <w:rPr>
                <w:rFonts w:cs="Helvetica-Bold"/>
                <w:bCs/>
              </w:rPr>
              <w:t xml:space="preserve"> </w:t>
            </w:r>
            <w:r w:rsidRPr="00255518">
              <w:rPr>
                <w:rFonts w:cs="Helvetica-Bold"/>
                <w:bCs/>
              </w:rPr>
              <w:t>sodium.</w:t>
            </w:r>
          </w:p>
          <w:p w:rsidR="002B7B9E" w:rsidRDefault="002B7B9E" w:rsidP="00496E34">
            <w:pPr>
              <w:autoSpaceDE w:val="0"/>
              <w:autoSpaceDN w:val="0"/>
              <w:adjustRightInd w:val="0"/>
              <w:rPr>
                <w:rFonts w:cs="Helvetica-Bold"/>
                <w:bCs/>
              </w:rPr>
            </w:pPr>
          </w:p>
          <w:p w:rsidR="00496E34" w:rsidRPr="00255518" w:rsidRDefault="00496E34" w:rsidP="00496E34">
            <w:pPr>
              <w:autoSpaceDE w:val="0"/>
              <w:autoSpaceDN w:val="0"/>
              <w:adjustRightInd w:val="0"/>
              <w:rPr>
                <w:rFonts w:cs="Helvetica"/>
              </w:rPr>
            </w:pPr>
            <w:r w:rsidRPr="00255518">
              <w:rPr>
                <w:rFonts w:cs="Helvetica-Bold"/>
                <w:bCs/>
              </w:rPr>
              <w:t>Symptoms</w:t>
            </w:r>
            <w:r w:rsidR="002B7B9E">
              <w:rPr>
                <w:rFonts w:cs="Helvetica-Bold"/>
                <w:bCs/>
              </w:rPr>
              <w:t xml:space="preserve"> are p</w:t>
            </w:r>
            <w:r w:rsidRPr="00255518">
              <w:rPr>
                <w:rFonts w:cs="Helvetica"/>
              </w:rPr>
              <w:t>rimarily neurological and reflect changes in brain volume (shrinkage). They</w:t>
            </w:r>
            <w:r w:rsidR="001E244A" w:rsidRPr="00255518">
              <w:rPr>
                <w:rFonts w:cs="Helvetica"/>
              </w:rPr>
              <w:t xml:space="preserve"> </w:t>
            </w:r>
            <w:r w:rsidRPr="00255518">
              <w:rPr>
                <w:rFonts w:cs="Helvetica"/>
              </w:rPr>
              <w:t>range in severity and include:</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Headache</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Confusion</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Nausea and vomiting</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Lethargy</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Irritability</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Seizures</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Nystagmus</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Myoclonic jerks</w:t>
            </w:r>
          </w:p>
          <w:p w:rsidR="00496E34" w:rsidRPr="00255518" w:rsidRDefault="00496E34" w:rsidP="00496E34">
            <w:pPr>
              <w:autoSpaceDE w:val="0"/>
              <w:autoSpaceDN w:val="0"/>
              <w:adjustRightInd w:val="0"/>
              <w:rPr>
                <w:rFonts w:cs="Helvetica"/>
              </w:rPr>
            </w:pPr>
            <w:r w:rsidRPr="00255518">
              <w:rPr>
                <w:rFonts w:cs="Symbol"/>
              </w:rPr>
              <w:t xml:space="preserve">• </w:t>
            </w:r>
            <w:r w:rsidRPr="00255518">
              <w:rPr>
                <w:rFonts w:cs="Helvetica"/>
              </w:rPr>
              <w:t>Loss of consciousness</w:t>
            </w:r>
          </w:p>
          <w:p w:rsidR="00496E34" w:rsidRDefault="00496E34" w:rsidP="00496E34">
            <w:pPr>
              <w:rPr>
                <w:rFonts w:cs="Helvetica"/>
              </w:rPr>
            </w:pPr>
            <w:r w:rsidRPr="00255518">
              <w:rPr>
                <w:rFonts w:cs="Symbol"/>
              </w:rPr>
              <w:t xml:space="preserve">• </w:t>
            </w:r>
            <w:r w:rsidRPr="00255518">
              <w:rPr>
                <w:rFonts w:cs="Helvetica"/>
              </w:rPr>
              <w:t>Coma</w:t>
            </w:r>
          </w:p>
          <w:p w:rsidR="002B7B9E" w:rsidRPr="00255518" w:rsidRDefault="002B7B9E" w:rsidP="00496E34"/>
          <w:p w:rsidR="00496E34" w:rsidRPr="00255518" w:rsidRDefault="00496E34" w:rsidP="00496E34">
            <w:pPr>
              <w:autoSpaceDE w:val="0"/>
              <w:autoSpaceDN w:val="0"/>
              <w:adjustRightInd w:val="0"/>
              <w:rPr>
                <w:rFonts w:cs="Helvetica-Bold"/>
                <w:bCs/>
              </w:rPr>
            </w:pPr>
            <w:r w:rsidRPr="00255518">
              <w:rPr>
                <w:rFonts w:cs="Helvetica-Bold"/>
                <w:bCs/>
              </w:rPr>
              <w:t>There are three common causes for hypernatraemia</w:t>
            </w:r>
            <w:r w:rsidR="001E244A" w:rsidRPr="00255518">
              <w:rPr>
                <w:rFonts w:cs="Helvetica-Bold"/>
                <w:bCs/>
              </w:rPr>
              <w:t>:</w:t>
            </w:r>
          </w:p>
          <w:p w:rsidR="00496E34" w:rsidRPr="002B7B9E" w:rsidRDefault="00496E34" w:rsidP="002B7B9E">
            <w:pPr>
              <w:pStyle w:val="ListParagraph"/>
              <w:numPr>
                <w:ilvl w:val="0"/>
                <w:numId w:val="9"/>
              </w:numPr>
              <w:autoSpaceDE w:val="0"/>
              <w:autoSpaceDN w:val="0"/>
              <w:adjustRightInd w:val="0"/>
              <w:rPr>
                <w:rFonts w:cs="Helvetica-Oblique"/>
                <w:iCs/>
              </w:rPr>
            </w:pPr>
            <w:r w:rsidRPr="002B7B9E">
              <w:rPr>
                <w:rFonts w:cs="Helvetica-Oblique"/>
                <w:iCs/>
              </w:rPr>
              <w:t>Low fluid intake</w:t>
            </w:r>
          </w:p>
          <w:p w:rsidR="00496E34" w:rsidRPr="002B7B9E" w:rsidRDefault="00496E34" w:rsidP="002B7B9E">
            <w:pPr>
              <w:pStyle w:val="ListParagraph"/>
              <w:numPr>
                <w:ilvl w:val="0"/>
                <w:numId w:val="9"/>
              </w:numPr>
              <w:autoSpaceDE w:val="0"/>
              <w:autoSpaceDN w:val="0"/>
              <w:adjustRightInd w:val="0"/>
              <w:rPr>
                <w:rFonts w:cs="Helvetica-Oblique"/>
                <w:iCs/>
              </w:rPr>
            </w:pPr>
            <w:r w:rsidRPr="002B7B9E">
              <w:rPr>
                <w:rFonts w:cs="Helvetica-Oblique"/>
                <w:iCs/>
              </w:rPr>
              <w:t>Diabetes insipidus (DI)</w:t>
            </w:r>
          </w:p>
          <w:p w:rsidR="000F02AB" w:rsidRPr="002B7B9E" w:rsidRDefault="00496E34" w:rsidP="002B7B9E">
            <w:pPr>
              <w:pStyle w:val="ListParagraph"/>
              <w:numPr>
                <w:ilvl w:val="0"/>
                <w:numId w:val="9"/>
              </w:numPr>
              <w:autoSpaceDE w:val="0"/>
              <w:autoSpaceDN w:val="0"/>
              <w:adjustRightInd w:val="0"/>
              <w:rPr>
                <w:rFonts w:cs="Helvetica-Oblique"/>
                <w:iCs/>
              </w:rPr>
            </w:pPr>
            <w:r w:rsidRPr="002B7B9E">
              <w:rPr>
                <w:rFonts w:cs="Helvetica-Oblique"/>
                <w:iCs/>
              </w:rPr>
              <w:t>Hyperosmolar hyperglycaemic state (HHS), previously called Hyperosmolar</w:t>
            </w:r>
            <w:r w:rsidR="001E244A" w:rsidRPr="002B7B9E">
              <w:rPr>
                <w:rFonts w:cs="Helvetica-Oblique"/>
                <w:iCs/>
              </w:rPr>
              <w:t xml:space="preserve"> </w:t>
            </w:r>
            <w:r w:rsidRPr="002B7B9E">
              <w:rPr>
                <w:rFonts w:cs="Helvetica-Oblique"/>
                <w:iCs/>
              </w:rPr>
              <w:t>non-ketotic state (“HONK”)</w:t>
            </w:r>
            <w:r w:rsidR="001E244A" w:rsidRPr="002B7B9E">
              <w:rPr>
                <w:rFonts w:cs="Helvetica-Oblique"/>
                <w:iCs/>
              </w:rPr>
              <w:t>. Oral fluids should be encouraged if able; alternatively fluids should be administered via NG, PEG or intravenously. An accurate fluid balance chart maintained.</w:t>
            </w:r>
          </w:p>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Hyponatremia</w:t>
            </w:r>
          </w:p>
        </w:tc>
        <w:tc>
          <w:tcPr>
            <w:tcW w:w="8789" w:type="dxa"/>
          </w:tcPr>
          <w:p w:rsidR="00496E34" w:rsidRDefault="00496E34" w:rsidP="00C41F9A">
            <w:pPr>
              <w:autoSpaceDE w:val="0"/>
              <w:autoSpaceDN w:val="0"/>
              <w:adjustRightInd w:val="0"/>
              <w:rPr>
                <w:rFonts w:cs="Helvetica-Bold"/>
                <w:bCs/>
              </w:rPr>
            </w:pPr>
            <w:r w:rsidRPr="00255518">
              <w:rPr>
                <w:rFonts w:cs="Helvetica-Bold"/>
                <w:bCs/>
              </w:rPr>
              <w:t xml:space="preserve">Hyponatraemia can be defined as </w:t>
            </w:r>
            <w:r w:rsidR="00465662" w:rsidRPr="00255518">
              <w:rPr>
                <w:rFonts w:cs="Helvetica-Bold"/>
                <w:bCs/>
              </w:rPr>
              <w:t>plasma</w:t>
            </w:r>
            <w:r w:rsidRPr="00255518">
              <w:rPr>
                <w:rFonts w:cs="Helvetica-Bold"/>
                <w:bCs/>
              </w:rPr>
              <w:t xml:space="preserve"> sodium </w:t>
            </w:r>
            <w:proofErr w:type="gramStart"/>
            <w:r w:rsidRPr="00255518">
              <w:rPr>
                <w:rFonts w:cs="Helvetica-Bold"/>
                <w:bCs/>
              </w:rPr>
              <w:t>below 133 mmol/L.</w:t>
            </w:r>
            <w:proofErr w:type="gramEnd"/>
            <w:r w:rsidRPr="00255518">
              <w:rPr>
                <w:rFonts w:cs="Helvetica-Bold"/>
                <w:bCs/>
              </w:rPr>
              <w:t xml:space="preserve"> The clinical significance of hyponatraemia depends on its severity, its speed of onset and its underlying cause. It is usually due to an excess of water, not a deficiency of sodium.</w:t>
            </w:r>
          </w:p>
          <w:p w:rsidR="002B7B9E" w:rsidRPr="00255518" w:rsidRDefault="002B7B9E" w:rsidP="00C41F9A">
            <w:pPr>
              <w:autoSpaceDE w:val="0"/>
              <w:autoSpaceDN w:val="0"/>
              <w:adjustRightInd w:val="0"/>
              <w:rPr>
                <w:rFonts w:cs="Helvetica-Bold"/>
                <w:bCs/>
              </w:rPr>
            </w:pPr>
          </w:p>
          <w:p w:rsidR="00496E34" w:rsidRPr="00255518" w:rsidRDefault="00496E34" w:rsidP="00C41F9A">
            <w:pPr>
              <w:autoSpaceDE w:val="0"/>
              <w:autoSpaceDN w:val="0"/>
              <w:adjustRightInd w:val="0"/>
              <w:rPr>
                <w:rFonts w:cs="Helvetica"/>
              </w:rPr>
            </w:pPr>
            <w:r w:rsidRPr="00255518">
              <w:rPr>
                <w:rFonts w:cs="Helvetica-Bold"/>
                <w:bCs/>
              </w:rPr>
              <w:t xml:space="preserve">Symptoms </w:t>
            </w:r>
            <w:r w:rsidRPr="00255518">
              <w:rPr>
                <w:rFonts w:cs="Helvetica"/>
              </w:rPr>
              <w:t>are primarily neurological and reflect changes in brain volume. They</w:t>
            </w:r>
          </w:p>
          <w:p w:rsidR="00496E34" w:rsidRPr="00255518" w:rsidRDefault="00496E34" w:rsidP="00C41F9A">
            <w:pPr>
              <w:autoSpaceDE w:val="0"/>
              <w:autoSpaceDN w:val="0"/>
              <w:adjustRightInd w:val="0"/>
              <w:rPr>
                <w:rFonts w:cs="Helvetica"/>
              </w:rPr>
            </w:pPr>
            <w:r w:rsidRPr="00255518">
              <w:rPr>
                <w:rFonts w:cs="Helvetica"/>
              </w:rPr>
              <w:t>range in severity and include:</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Headache</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Confusion</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Nausea and vomiting</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Lethargy</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Irritability</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Seizures</w:t>
            </w:r>
          </w:p>
          <w:p w:rsidR="00496E34" w:rsidRPr="00255518" w:rsidRDefault="00496E34" w:rsidP="00C41F9A">
            <w:pPr>
              <w:pStyle w:val="ListParagraph"/>
              <w:numPr>
                <w:ilvl w:val="0"/>
                <w:numId w:val="3"/>
              </w:numPr>
              <w:autoSpaceDE w:val="0"/>
              <w:autoSpaceDN w:val="0"/>
              <w:adjustRightInd w:val="0"/>
              <w:rPr>
                <w:rFonts w:cs="Helvetica"/>
              </w:rPr>
            </w:pPr>
            <w:r w:rsidRPr="00255518">
              <w:rPr>
                <w:rFonts w:cs="Helvetica"/>
              </w:rPr>
              <w:t>Loss of consciousness</w:t>
            </w:r>
          </w:p>
          <w:p w:rsidR="00496E34" w:rsidRDefault="00496E34" w:rsidP="00C41F9A">
            <w:pPr>
              <w:pStyle w:val="ListParagraph"/>
              <w:numPr>
                <w:ilvl w:val="0"/>
                <w:numId w:val="3"/>
              </w:numPr>
              <w:rPr>
                <w:rFonts w:cs="Helvetica"/>
              </w:rPr>
            </w:pPr>
            <w:r w:rsidRPr="00255518">
              <w:rPr>
                <w:rFonts w:cs="Helvetica"/>
              </w:rPr>
              <w:t>Coma</w:t>
            </w:r>
          </w:p>
          <w:p w:rsidR="002B7B9E" w:rsidRPr="00255518" w:rsidRDefault="002B7B9E" w:rsidP="002B10ED">
            <w:pPr>
              <w:pStyle w:val="ListParagraph"/>
              <w:rPr>
                <w:rFonts w:cs="Helvetica"/>
              </w:rPr>
            </w:pPr>
          </w:p>
          <w:p w:rsidR="00496E34" w:rsidRPr="00255518" w:rsidRDefault="00496E34" w:rsidP="00C41F9A">
            <w:pPr>
              <w:autoSpaceDE w:val="0"/>
              <w:autoSpaceDN w:val="0"/>
              <w:adjustRightInd w:val="0"/>
            </w:pPr>
            <w:r w:rsidRPr="00255518">
              <w:rPr>
                <w:rFonts w:cs="Helvetica"/>
              </w:rPr>
              <w:t>Stopping hyponatraemic medications can help to confirm the cause of hyponatraemia as well as resolve the problem, doctors may also ask for a fluid restriction. An accurate fluid balance should be being maintained on all patients in a hyponatraemic state.</w:t>
            </w:r>
            <w:r w:rsidRPr="00255518">
              <w:rPr>
                <w:rFonts w:ascii="Helvetica" w:hAnsi="Helvetica" w:cs="Helvetica"/>
              </w:rPr>
              <w:t xml:space="preserve"> </w:t>
            </w:r>
          </w:p>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Hypokalaemia</w:t>
            </w:r>
          </w:p>
        </w:tc>
        <w:tc>
          <w:tcPr>
            <w:tcW w:w="8789" w:type="dxa"/>
          </w:tcPr>
          <w:p w:rsidR="00AD251A" w:rsidRDefault="000A20B5" w:rsidP="002B623A">
            <w:pPr>
              <w:autoSpaceDE w:val="0"/>
              <w:autoSpaceDN w:val="0"/>
              <w:adjustRightInd w:val="0"/>
              <w:rPr>
                <w:rFonts w:cs="Helvetica-Bold"/>
                <w:bCs/>
              </w:rPr>
            </w:pPr>
            <w:r>
              <w:t>Hypokalaemia</w:t>
            </w:r>
            <w:r>
              <w:t xml:space="preserve"> has 3 stages and is classed as mild, moderate and severe. Mild </w:t>
            </w:r>
            <w:r>
              <w:t>Hypokalaemia</w:t>
            </w:r>
            <w:r>
              <w:t xml:space="preserve"> is classed when the potassium level drops under 3.5mmol/l, moderate at under 3mmol/l and severe when under 2.5mmol/l</w:t>
            </w:r>
            <w:r w:rsidR="00AD251A">
              <w:rPr>
                <w:rFonts w:cs="Helvetica-Bold"/>
                <w:bCs/>
              </w:rPr>
              <w:t xml:space="preserve">. </w:t>
            </w:r>
          </w:p>
          <w:p w:rsidR="00AD251A" w:rsidRDefault="00AD251A" w:rsidP="002B623A">
            <w:pPr>
              <w:autoSpaceDE w:val="0"/>
              <w:autoSpaceDN w:val="0"/>
              <w:adjustRightInd w:val="0"/>
              <w:rPr>
                <w:rFonts w:cs="Helvetica-Bold"/>
                <w:bCs/>
              </w:rPr>
            </w:pPr>
          </w:p>
          <w:p w:rsidR="002B623A" w:rsidRPr="00AD251A" w:rsidRDefault="002B623A" w:rsidP="002B623A">
            <w:pPr>
              <w:autoSpaceDE w:val="0"/>
              <w:autoSpaceDN w:val="0"/>
              <w:adjustRightInd w:val="0"/>
              <w:rPr>
                <w:rFonts w:cs="Helvetica-Bold"/>
                <w:b/>
                <w:bCs/>
              </w:rPr>
            </w:pPr>
            <w:r w:rsidRPr="00AD251A">
              <w:rPr>
                <w:rFonts w:cs="Helvetica-Bold"/>
                <w:b/>
                <w:bCs/>
              </w:rPr>
              <w:t>Signs and symptoms of Hypokalaemia</w:t>
            </w:r>
          </w:p>
          <w:p w:rsidR="002B7B9E" w:rsidRPr="00255518" w:rsidRDefault="002B7B9E" w:rsidP="002B623A">
            <w:pPr>
              <w:autoSpaceDE w:val="0"/>
              <w:autoSpaceDN w:val="0"/>
              <w:adjustRightInd w:val="0"/>
              <w:rPr>
                <w:rFonts w:cs="Helvetica-Bold"/>
                <w:bCs/>
              </w:rPr>
            </w:pPr>
          </w:p>
          <w:p w:rsidR="002B623A" w:rsidRPr="00255518" w:rsidRDefault="002B623A" w:rsidP="002B623A">
            <w:pPr>
              <w:autoSpaceDE w:val="0"/>
              <w:autoSpaceDN w:val="0"/>
              <w:adjustRightInd w:val="0"/>
              <w:rPr>
                <w:rFonts w:cs="Helvetica"/>
                <w:b/>
              </w:rPr>
            </w:pPr>
            <w:r w:rsidRPr="00255518">
              <w:rPr>
                <w:rFonts w:cs="Helvetica"/>
                <w:b/>
              </w:rPr>
              <w:t>Cardiovascular</w:t>
            </w:r>
          </w:p>
          <w:p w:rsidR="002B623A" w:rsidRPr="00255518" w:rsidRDefault="002B623A" w:rsidP="002B623A">
            <w:pPr>
              <w:autoSpaceDE w:val="0"/>
              <w:autoSpaceDN w:val="0"/>
              <w:adjustRightInd w:val="0"/>
              <w:rPr>
                <w:rFonts w:cs="Helvetica"/>
              </w:rPr>
            </w:pPr>
            <w:r w:rsidRPr="00255518">
              <w:rPr>
                <w:rFonts w:cs="Helvetica"/>
              </w:rPr>
              <w:t>Bradycardia or tachycardia, hypotension, arrhythmias, cardiac arrest and palpitations.</w:t>
            </w:r>
          </w:p>
          <w:p w:rsidR="002B623A" w:rsidRPr="00255518" w:rsidRDefault="002B623A" w:rsidP="002B623A">
            <w:pPr>
              <w:autoSpaceDE w:val="0"/>
              <w:autoSpaceDN w:val="0"/>
              <w:adjustRightInd w:val="0"/>
              <w:rPr>
                <w:rFonts w:cs="Helvetica"/>
              </w:rPr>
            </w:pPr>
            <w:r w:rsidRPr="00255518">
              <w:rPr>
                <w:rFonts w:cs="Helvetica"/>
              </w:rPr>
              <w:t>ECG changes (U waves, T wave flattening, ST segment changes)</w:t>
            </w:r>
          </w:p>
          <w:p w:rsidR="002B623A" w:rsidRPr="00255518" w:rsidRDefault="002B623A" w:rsidP="002B623A">
            <w:pPr>
              <w:autoSpaceDE w:val="0"/>
              <w:autoSpaceDN w:val="0"/>
              <w:adjustRightInd w:val="0"/>
              <w:rPr>
                <w:rFonts w:cs="Helvetica"/>
                <w:b/>
              </w:rPr>
            </w:pPr>
            <w:r w:rsidRPr="00255518">
              <w:rPr>
                <w:rFonts w:cs="Helvetica"/>
                <w:b/>
              </w:rPr>
              <w:t>Respiratory</w:t>
            </w:r>
          </w:p>
          <w:p w:rsidR="002B623A" w:rsidRPr="00255518" w:rsidRDefault="002B623A" w:rsidP="002B623A">
            <w:pPr>
              <w:autoSpaceDE w:val="0"/>
              <w:autoSpaceDN w:val="0"/>
              <w:adjustRightInd w:val="0"/>
              <w:rPr>
                <w:rFonts w:cs="Helvetica"/>
              </w:rPr>
            </w:pPr>
            <w:r w:rsidRPr="00255518">
              <w:rPr>
                <w:rFonts w:cs="Helvetica"/>
              </w:rPr>
              <w:t>Respiratory distress and respiratory failure, hypoventilation</w:t>
            </w:r>
          </w:p>
          <w:p w:rsidR="00AD251A" w:rsidRDefault="00AD251A" w:rsidP="002B623A">
            <w:pPr>
              <w:autoSpaceDE w:val="0"/>
              <w:autoSpaceDN w:val="0"/>
              <w:adjustRightInd w:val="0"/>
              <w:rPr>
                <w:rFonts w:cs="Helvetica"/>
                <w:b/>
              </w:rPr>
            </w:pPr>
          </w:p>
          <w:p w:rsidR="002B623A" w:rsidRPr="00255518" w:rsidRDefault="002B623A" w:rsidP="002B623A">
            <w:pPr>
              <w:autoSpaceDE w:val="0"/>
              <w:autoSpaceDN w:val="0"/>
              <w:adjustRightInd w:val="0"/>
              <w:rPr>
                <w:rFonts w:cs="Helvetica"/>
                <w:b/>
              </w:rPr>
            </w:pPr>
            <w:proofErr w:type="spellStart"/>
            <w:r w:rsidRPr="00255518">
              <w:rPr>
                <w:rFonts w:cs="Helvetica"/>
                <w:b/>
              </w:rPr>
              <w:lastRenderedPageBreak/>
              <w:t>Musculosketal</w:t>
            </w:r>
            <w:proofErr w:type="spellEnd"/>
          </w:p>
          <w:p w:rsidR="002B623A" w:rsidRDefault="002B623A" w:rsidP="002B623A">
            <w:pPr>
              <w:autoSpaceDE w:val="0"/>
              <w:autoSpaceDN w:val="0"/>
              <w:adjustRightInd w:val="0"/>
              <w:rPr>
                <w:rFonts w:cs="Helvetica"/>
              </w:rPr>
            </w:pPr>
            <w:r w:rsidRPr="00255518">
              <w:rPr>
                <w:rFonts w:cs="Helvetica"/>
              </w:rPr>
              <w:t>Cramps, tetany, reduced deep tendon reflexes, reduced muscle strength</w:t>
            </w:r>
          </w:p>
          <w:p w:rsidR="002B623A" w:rsidRPr="00255518" w:rsidRDefault="002B623A" w:rsidP="002B623A">
            <w:pPr>
              <w:autoSpaceDE w:val="0"/>
              <w:autoSpaceDN w:val="0"/>
              <w:adjustRightInd w:val="0"/>
              <w:rPr>
                <w:rFonts w:cs="Helvetica"/>
                <w:b/>
              </w:rPr>
            </w:pPr>
            <w:r w:rsidRPr="00255518">
              <w:rPr>
                <w:rFonts w:cs="Helvetica"/>
                <w:b/>
              </w:rPr>
              <w:t>General</w:t>
            </w:r>
          </w:p>
          <w:p w:rsidR="002B623A" w:rsidRPr="00255518" w:rsidRDefault="002B623A" w:rsidP="002B623A">
            <w:pPr>
              <w:autoSpaceDE w:val="0"/>
              <w:autoSpaceDN w:val="0"/>
              <w:adjustRightInd w:val="0"/>
              <w:rPr>
                <w:rFonts w:cs="Helvetica"/>
              </w:rPr>
            </w:pPr>
            <w:r w:rsidRPr="00255518">
              <w:rPr>
                <w:rFonts w:cs="Helvetica"/>
              </w:rPr>
              <w:t>Peripheral oedema, lethargy, constipation, nausea, vomiting, abdominal cramping and paraesthesia</w:t>
            </w:r>
          </w:p>
          <w:p w:rsidR="002B623A" w:rsidRPr="00255518" w:rsidRDefault="002B623A" w:rsidP="002B623A">
            <w:pPr>
              <w:autoSpaceDE w:val="0"/>
              <w:autoSpaceDN w:val="0"/>
              <w:adjustRightInd w:val="0"/>
              <w:rPr>
                <w:rFonts w:cs="Times-Roman"/>
              </w:rPr>
            </w:pPr>
          </w:p>
          <w:p w:rsidR="002B623A" w:rsidRPr="00255518" w:rsidRDefault="002B623A" w:rsidP="002B623A">
            <w:pPr>
              <w:autoSpaceDE w:val="0"/>
              <w:autoSpaceDN w:val="0"/>
              <w:adjustRightInd w:val="0"/>
              <w:rPr>
                <w:rFonts w:cs="Helvetica-Bold"/>
                <w:b/>
                <w:bCs/>
              </w:rPr>
            </w:pPr>
            <w:r w:rsidRPr="00255518">
              <w:rPr>
                <w:rFonts w:cs="Helvetica-Bold"/>
                <w:b/>
                <w:bCs/>
              </w:rPr>
              <w:t>Causes of hypokalaemia can include:</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Inadequate diet including anorexia, malnutrition, bulimia</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High dietary sodium intake</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Gastrointestinal loss including diarrhoea, vomiting, ileostomy,</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intestinal fistulae</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Renal loss including dialysis</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Urinary loss in congestive heart failure</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Hypomagnesaemia</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Endocrine disorders, hyperaldosteronism, Cushing’s syndrome</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Metabolic acidosis</w:t>
            </w:r>
          </w:p>
          <w:p w:rsidR="002B623A" w:rsidRPr="00255518" w:rsidRDefault="002B623A" w:rsidP="002B623A">
            <w:pPr>
              <w:pStyle w:val="ListParagraph"/>
              <w:numPr>
                <w:ilvl w:val="0"/>
                <w:numId w:val="7"/>
              </w:numPr>
              <w:autoSpaceDE w:val="0"/>
              <w:autoSpaceDN w:val="0"/>
              <w:adjustRightInd w:val="0"/>
              <w:rPr>
                <w:rFonts w:cs="Helvetica"/>
              </w:rPr>
            </w:pPr>
            <w:r w:rsidRPr="00255518">
              <w:rPr>
                <w:rFonts w:cs="Helvetica"/>
              </w:rPr>
              <w:t>Medication</w:t>
            </w:r>
          </w:p>
          <w:p w:rsidR="00496E34" w:rsidRPr="00255518" w:rsidRDefault="002B623A" w:rsidP="002B623A">
            <w:pPr>
              <w:pStyle w:val="ListParagraph"/>
              <w:numPr>
                <w:ilvl w:val="0"/>
                <w:numId w:val="7"/>
              </w:numPr>
              <w:rPr>
                <w:rFonts w:cs="Helvetica"/>
              </w:rPr>
            </w:pPr>
            <w:r w:rsidRPr="00255518">
              <w:rPr>
                <w:rFonts w:cs="Helvetica"/>
              </w:rPr>
              <w:t>Transcellular shift (movement of potassium from serum into cells)</w:t>
            </w:r>
          </w:p>
          <w:p w:rsidR="002B623A" w:rsidRPr="00255518" w:rsidRDefault="002B623A" w:rsidP="002B623A"/>
          <w:p w:rsidR="002B623A" w:rsidRPr="00255518" w:rsidRDefault="002B623A" w:rsidP="002B623A">
            <w:pPr>
              <w:autoSpaceDE w:val="0"/>
              <w:autoSpaceDN w:val="0"/>
              <w:adjustRightInd w:val="0"/>
              <w:rPr>
                <w:rFonts w:cs="Helvetica-Bold"/>
                <w:b/>
                <w:bCs/>
              </w:rPr>
            </w:pPr>
            <w:r w:rsidRPr="00255518">
              <w:rPr>
                <w:rFonts w:cs="Helvetica-Bold"/>
                <w:b/>
                <w:bCs/>
              </w:rPr>
              <w:t>Treatment</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Gradual replacement of potassium, via the oral route, is preferred if clinically appropriate</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Oral potassium should be taken with plenty of fluid, with or after meals.</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A drop in serum potassium level of 1 mmol/L represents a loss of about 100-200 mmol of potassium from body stores.</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For serum levels between 2-3 mmol/l, a maximum oral daily dose of 100-200 mmol K+ and for serum levels between 3-4mmol/l, a maximum oral daily dose of 50-100 mmol K+ should be considered.</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Use IV route in patients with severe nausea, vomiting, abdominal distress or when the oral or enteral route is not available or will not achieve the required increase of serum potassium within a clinically acceptable time.</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Use pre-mixed IV infusions. Sodium Chloride 0.9% is the preferred infusion fluid as Glucose 5% may cause trans-cellular shift of potassium into cells.</w:t>
            </w:r>
          </w:p>
          <w:p w:rsidR="002B623A" w:rsidRPr="00255518" w:rsidRDefault="002B623A" w:rsidP="002B623A">
            <w:pPr>
              <w:pStyle w:val="ListParagraph"/>
              <w:numPr>
                <w:ilvl w:val="0"/>
                <w:numId w:val="6"/>
              </w:numPr>
              <w:autoSpaceDE w:val="0"/>
              <w:autoSpaceDN w:val="0"/>
              <w:adjustRightInd w:val="0"/>
              <w:rPr>
                <w:rFonts w:cs="Helvetica"/>
              </w:rPr>
            </w:pPr>
            <w:r w:rsidRPr="00255518">
              <w:rPr>
                <w:rFonts w:cs="Helvetica"/>
              </w:rPr>
              <w:t>Before a patient is transferred any prescriptions for solutions containing potassium infusions must be reviewed to ensure that the treatment can be continued on the receiving ward.</w:t>
            </w:r>
          </w:p>
          <w:p w:rsidR="00496E34" w:rsidRPr="00255518" w:rsidRDefault="002B623A" w:rsidP="002B623A">
            <w:pPr>
              <w:pStyle w:val="ListParagraph"/>
              <w:numPr>
                <w:ilvl w:val="0"/>
                <w:numId w:val="6"/>
              </w:numPr>
              <w:autoSpaceDE w:val="0"/>
              <w:autoSpaceDN w:val="0"/>
              <w:adjustRightInd w:val="0"/>
            </w:pPr>
            <w:r w:rsidRPr="00255518">
              <w:rPr>
                <w:rFonts w:cs="Helvetica"/>
              </w:rPr>
              <w:t>Potassium must be replaced cautiously in patients with renal impairment (risk of hyperkalaemia secondary to impaired potassium excretion). Contact the renal team if patient is on dialysis or has severe renal impairment.</w:t>
            </w:r>
          </w:p>
          <w:p w:rsidR="00496E34" w:rsidRPr="00255518" w:rsidRDefault="00496E34" w:rsidP="00300D63"/>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Hyperkalaemia</w:t>
            </w:r>
          </w:p>
        </w:tc>
        <w:tc>
          <w:tcPr>
            <w:tcW w:w="8789" w:type="dxa"/>
          </w:tcPr>
          <w:p w:rsidR="004E6123" w:rsidRPr="002B10ED" w:rsidRDefault="004E6123" w:rsidP="004E6123">
            <w:pPr>
              <w:autoSpaceDE w:val="0"/>
              <w:autoSpaceDN w:val="0"/>
              <w:adjustRightInd w:val="0"/>
              <w:rPr>
                <w:rFonts w:cs="Helvetica"/>
              </w:rPr>
            </w:pPr>
            <w:r w:rsidRPr="002B10ED">
              <w:rPr>
                <w:rFonts w:cs="Helvetica"/>
              </w:rPr>
              <w:t>Hyperkalaemia is classified as a raised serum potassium level:</w:t>
            </w:r>
          </w:p>
          <w:p w:rsidR="004E6123" w:rsidRPr="002B10ED" w:rsidRDefault="004E6123" w:rsidP="004E6123">
            <w:pPr>
              <w:pStyle w:val="ListParagraph"/>
              <w:numPr>
                <w:ilvl w:val="0"/>
                <w:numId w:val="4"/>
              </w:numPr>
              <w:autoSpaceDE w:val="0"/>
              <w:autoSpaceDN w:val="0"/>
              <w:adjustRightInd w:val="0"/>
              <w:rPr>
                <w:rFonts w:cs="Helvetica"/>
              </w:rPr>
            </w:pPr>
            <w:r w:rsidRPr="002B10ED">
              <w:rPr>
                <w:rFonts w:cs="Helvetica"/>
              </w:rPr>
              <w:t>Mild: K+ = 5.5-5.9mmol/L</w:t>
            </w:r>
          </w:p>
          <w:p w:rsidR="004E6123" w:rsidRPr="002B10ED" w:rsidRDefault="004E6123" w:rsidP="004E6123">
            <w:pPr>
              <w:pStyle w:val="ListParagraph"/>
              <w:numPr>
                <w:ilvl w:val="0"/>
                <w:numId w:val="4"/>
              </w:numPr>
              <w:autoSpaceDE w:val="0"/>
              <w:autoSpaceDN w:val="0"/>
              <w:adjustRightInd w:val="0"/>
              <w:rPr>
                <w:rFonts w:cs="Helvetica"/>
              </w:rPr>
            </w:pPr>
            <w:r w:rsidRPr="002B10ED">
              <w:rPr>
                <w:rFonts w:cs="Helvetica"/>
              </w:rPr>
              <w:t>Moderate: K+ = 6-6.4mmol/L</w:t>
            </w:r>
          </w:p>
          <w:p w:rsidR="00496E34" w:rsidRPr="002B10ED" w:rsidRDefault="004E6123" w:rsidP="004E6123">
            <w:pPr>
              <w:pStyle w:val="ListParagraph"/>
              <w:numPr>
                <w:ilvl w:val="0"/>
                <w:numId w:val="4"/>
              </w:numPr>
            </w:pPr>
            <w:r w:rsidRPr="002B10ED">
              <w:rPr>
                <w:rFonts w:cs="Helvetica"/>
              </w:rPr>
              <w:t xml:space="preserve">Severe: K+ </w:t>
            </w:r>
            <w:r w:rsidRPr="002B10ED">
              <w:rPr>
                <w:rFonts w:cs="TTE2D67490t00"/>
              </w:rPr>
              <w:t xml:space="preserve">_ </w:t>
            </w:r>
            <w:r w:rsidRPr="002B10ED">
              <w:rPr>
                <w:rFonts w:cs="Helvetica"/>
              </w:rPr>
              <w:t>6.5mmol/L</w:t>
            </w:r>
          </w:p>
          <w:p w:rsidR="002B10ED" w:rsidRPr="002B10ED" w:rsidRDefault="002B10ED" w:rsidP="004E6123">
            <w:pPr>
              <w:pStyle w:val="ListParagraph"/>
              <w:numPr>
                <w:ilvl w:val="0"/>
                <w:numId w:val="4"/>
              </w:numPr>
            </w:pPr>
          </w:p>
          <w:p w:rsidR="004E6123" w:rsidRDefault="004E6123" w:rsidP="00470F18">
            <w:pPr>
              <w:autoSpaceDE w:val="0"/>
              <w:autoSpaceDN w:val="0"/>
              <w:adjustRightInd w:val="0"/>
              <w:rPr>
                <w:rFonts w:cs="Helvetica"/>
              </w:rPr>
            </w:pPr>
            <w:r w:rsidRPr="002B10ED">
              <w:t xml:space="preserve">An ECG should be performed on all patients with a raised potassium </w:t>
            </w:r>
            <w:proofErr w:type="gramStart"/>
            <w:r w:rsidRPr="002B10ED">
              <w:t>level,</w:t>
            </w:r>
            <w:proofErr w:type="gramEnd"/>
            <w:r w:rsidRPr="002B10ED">
              <w:t xml:space="preserve"> if there are changes on the ECG </w:t>
            </w:r>
            <w:r w:rsidR="00470F18" w:rsidRPr="002B10ED">
              <w:t>it is important to commence treatment. Other symptoms include</w:t>
            </w:r>
            <w:r w:rsidR="00470F18" w:rsidRPr="002B10ED">
              <w:rPr>
                <w:rFonts w:cs="Helvetica-Bold"/>
                <w:bCs/>
              </w:rPr>
              <w:t xml:space="preserve"> a</w:t>
            </w:r>
            <w:r w:rsidR="00470F18" w:rsidRPr="002B10ED">
              <w:rPr>
                <w:rFonts w:cs="Helvetica"/>
              </w:rPr>
              <w:t>rrhythmias, Muscle weakness and constipation.</w:t>
            </w:r>
          </w:p>
          <w:p w:rsidR="002B10ED" w:rsidRPr="002B10ED" w:rsidRDefault="002B10ED" w:rsidP="00470F18">
            <w:pPr>
              <w:autoSpaceDE w:val="0"/>
              <w:autoSpaceDN w:val="0"/>
              <w:adjustRightInd w:val="0"/>
              <w:rPr>
                <w:rFonts w:cs="Helvetica"/>
              </w:rPr>
            </w:pPr>
          </w:p>
          <w:p w:rsidR="00470F18" w:rsidRPr="002B10ED" w:rsidRDefault="00470F18" w:rsidP="00470F18">
            <w:pPr>
              <w:autoSpaceDE w:val="0"/>
              <w:autoSpaceDN w:val="0"/>
              <w:adjustRightInd w:val="0"/>
              <w:rPr>
                <w:rFonts w:cs="Helvetica-Bold"/>
                <w:bCs/>
              </w:rPr>
            </w:pPr>
            <w:r w:rsidRPr="002B10ED">
              <w:rPr>
                <w:rFonts w:cs="Helvetica-Bold"/>
                <w:bCs/>
              </w:rPr>
              <w:t>The causes of Hyperkalaemia include:</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Pseudohyperkalaemia</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Acute kidney injury</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Chronic kidney disease</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Drugs (potassium supplements, potassium-sparing, ACE inhibitors, NSAIDs,</w:t>
            </w:r>
            <w:r w:rsidRPr="002B10ED">
              <w:rPr>
                <w:rFonts w:cs="Symbol"/>
              </w:rPr>
              <w:t>b</w:t>
            </w:r>
            <w:r w:rsidRPr="002B10ED">
              <w:rPr>
                <w:rFonts w:cs="Helvetica"/>
              </w:rPr>
              <w:t>-blockers, digoxin poisoning)</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 xml:space="preserve">Acidosis, including diabetic ketoacidosis </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lastRenderedPageBreak/>
              <w:t>Mineralocorticoid deficiency (e.g. Addison’s)</w:t>
            </w:r>
          </w:p>
          <w:p w:rsidR="00470F18" w:rsidRPr="002B10ED" w:rsidRDefault="00470F18" w:rsidP="00470F18">
            <w:pPr>
              <w:pStyle w:val="ListParagraph"/>
              <w:numPr>
                <w:ilvl w:val="0"/>
                <w:numId w:val="5"/>
              </w:numPr>
              <w:autoSpaceDE w:val="0"/>
              <w:autoSpaceDN w:val="0"/>
              <w:adjustRightInd w:val="0"/>
              <w:rPr>
                <w:rFonts w:cs="Helvetica"/>
              </w:rPr>
            </w:pPr>
            <w:r w:rsidRPr="002B10ED">
              <w:rPr>
                <w:rFonts w:cs="Helvetica"/>
              </w:rPr>
              <w:t>Endogenous (tumour-lysis syndrome, rhabdomyolysis, trauma, burns)</w:t>
            </w:r>
          </w:p>
          <w:p w:rsidR="00470F18" w:rsidRPr="002B10ED" w:rsidRDefault="00470F18" w:rsidP="00470F18">
            <w:pPr>
              <w:autoSpaceDE w:val="0"/>
              <w:autoSpaceDN w:val="0"/>
              <w:adjustRightInd w:val="0"/>
            </w:pPr>
          </w:p>
          <w:p w:rsidR="00470F18" w:rsidRPr="002B10ED" w:rsidRDefault="00470F18" w:rsidP="00470F18">
            <w:pPr>
              <w:autoSpaceDE w:val="0"/>
              <w:autoSpaceDN w:val="0"/>
              <w:adjustRightInd w:val="0"/>
              <w:rPr>
                <w:rFonts w:cs="Helvetica-Bold"/>
                <w:bCs/>
              </w:rPr>
            </w:pPr>
            <w:r w:rsidRPr="002B10ED">
              <w:rPr>
                <w:rFonts w:cs="Helvetica-Bold"/>
                <w:bCs/>
              </w:rPr>
              <w:t xml:space="preserve">A raised potassium level is normally </w:t>
            </w:r>
            <w:proofErr w:type="gramStart"/>
            <w:r w:rsidRPr="002B10ED">
              <w:rPr>
                <w:rFonts w:cs="Helvetica-Bold"/>
                <w:bCs/>
              </w:rPr>
              <w:t>rang</w:t>
            </w:r>
            <w:proofErr w:type="gramEnd"/>
            <w:r w:rsidRPr="002B10ED">
              <w:rPr>
                <w:rFonts w:cs="Helvetica-Bold"/>
                <w:bCs/>
              </w:rPr>
              <w:t xml:space="preserve"> through from pathology and should be handed over to the medical staff as soon as possible. Treatment of Hyperkalaemia can include:</w:t>
            </w:r>
          </w:p>
          <w:p w:rsidR="00470F18" w:rsidRPr="002B10ED" w:rsidRDefault="00470F18" w:rsidP="00470F18">
            <w:pPr>
              <w:autoSpaceDE w:val="0"/>
              <w:autoSpaceDN w:val="0"/>
              <w:adjustRightInd w:val="0"/>
              <w:rPr>
                <w:rFonts w:cs="Helvetica-Bold"/>
                <w:bCs/>
              </w:rPr>
            </w:pPr>
            <w:r w:rsidRPr="002B10ED">
              <w:rPr>
                <w:rFonts w:cs="Helvetica-Bold"/>
                <w:bCs/>
              </w:rPr>
              <w:t>Exclude pseudohyperkalaemia.</w:t>
            </w:r>
          </w:p>
          <w:p w:rsidR="00470F18" w:rsidRPr="002B10ED" w:rsidRDefault="00470F18" w:rsidP="00470F18">
            <w:pPr>
              <w:autoSpaceDE w:val="0"/>
              <w:autoSpaceDN w:val="0"/>
              <w:adjustRightInd w:val="0"/>
              <w:rPr>
                <w:rFonts w:cs="Helvetica-Bold"/>
                <w:bCs/>
              </w:rPr>
            </w:pPr>
            <w:r w:rsidRPr="002B10ED">
              <w:rPr>
                <w:rFonts w:cs="Helvetica-Bold"/>
                <w:bCs/>
              </w:rPr>
              <w:t>Stop all potassium supplements (IV and oral).</w:t>
            </w:r>
          </w:p>
          <w:p w:rsidR="00470F18" w:rsidRPr="002B10ED" w:rsidRDefault="00470F18" w:rsidP="00470F18">
            <w:pPr>
              <w:autoSpaceDE w:val="0"/>
              <w:autoSpaceDN w:val="0"/>
              <w:adjustRightInd w:val="0"/>
              <w:rPr>
                <w:rFonts w:cs="Helvetica-Bold"/>
                <w:bCs/>
              </w:rPr>
            </w:pPr>
            <w:r w:rsidRPr="002B10ED">
              <w:rPr>
                <w:rFonts w:cs="Helvetica-Bold"/>
                <w:bCs/>
              </w:rPr>
              <w:t>Review patient’s medication for possible contributors to hyperkalaemia and or acute renal failure.</w:t>
            </w:r>
          </w:p>
          <w:p w:rsidR="00470F18" w:rsidRPr="002B10ED" w:rsidRDefault="00470F18" w:rsidP="00470F18">
            <w:pPr>
              <w:autoSpaceDE w:val="0"/>
              <w:autoSpaceDN w:val="0"/>
              <w:adjustRightInd w:val="0"/>
              <w:rPr>
                <w:rFonts w:cs="Helvetica-Bold"/>
                <w:bCs/>
              </w:rPr>
            </w:pPr>
            <w:r w:rsidRPr="002B10ED">
              <w:rPr>
                <w:rFonts w:cs="Helvetica-Bold"/>
                <w:bCs/>
              </w:rPr>
              <w:t xml:space="preserve">Commence low potassium diet or </w:t>
            </w:r>
            <w:r w:rsidR="002B623A" w:rsidRPr="002B10ED">
              <w:rPr>
                <w:rFonts w:cs="Helvetica-Bold"/>
                <w:bCs/>
              </w:rPr>
              <w:t>ask for a review of NG/PEG feed by dietitian</w:t>
            </w:r>
          </w:p>
          <w:p w:rsidR="00470F18" w:rsidRPr="002B10ED" w:rsidRDefault="00470F18" w:rsidP="00470F18">
            <w:pPr>
              <w:autoSpaceDE w:val="0"/>
              <w:autoSpaceDN w:val="0"/>
              <w:adjustRightInd w:val="0"/>
              <w:rPr>
                <w:rFonts w:cs="Helvetica-Bold"/>
                <w:bCs/>
              </w:rPr>
            </w:pPr>
            <w:r w:rsidRPr="002B10ED">
              <w:rPr>
                <w:rFonts w:cs="Helvetica-Bold"/>
                <w:bCs/>
              </w:rPr>
              <w:t>Ensure adequate hydration and urine output</w:t>
            </w:r>
          </w:p>
          <w:p w:rsidR="00470F18" w:rsidRPr="002B10ED" w:rsidRDefault="00470F18" w:rsidP="00470F18">
            <w:pPr>
              <w:autoSpaceDE w:val="0"/>
              <w:autoSpaceDN w:val="0"/>
              <w:adjustRightInd w:val="0"/>
              <w:rPr>
                <w:rFonts w:cs="Helvetica-Bold"/>
                <w:bCs/>
              </w:rPr>
            </w:pPr>
            <w:r w:rsidRPr="002B10ED">
              <w:rPr>
                <w:rFonts w:cs="Helvetica-Bold"/>
                <w:bCs/>
              </w:rPr>
              <w:t>If potassium &gt; 6.5mmol/l or ECG changes monitor patient’s cardiac rhythm until it is</w:t>
            </w:r>
          </w:p>
          <w:p w:rsidR="00496E34" w:rsidRPr="002B10ED" w:rsidRDefault="00470F18" w:rsidP="00300D63">
            <w:pPr>
              <w:rPr>
                <w:rFonts w:cs="Helvetica-Bold"/>
                <w:bCs/>
              </w:rPr>
            </w:pPr>
            <w:r w:rsidRPr="002B10ED">
              <w:rPr>
                <w:rFonts w:cs="Helvetica-Bold"/>
                <w:bCs/>
              </w:rPr>
              <w:t>stable and potassium level is in range</w:t>
            </w:r>
          </w:p>
          <w:p w:rsidR="00255518" w:rsidRPr="002B10ED" w:rsidRDefault="00255518" w:rsidP="00300D63"/>
          <w:p w:rsidR="00496E34" w:rsidRPr="002B10ED" w:rsidRDefault="00496E34" w:rsidP="00300D63"/>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Hypercalcaemia</w:t>
            </w:r>
          </w:p>
        </w:tc>
        <w:tc>
          <w:tcPr>
            <w:tcW w:w="8789" w:type="dxa"/>
          </w:tcPr>
          <w:p w:rsidR="00496E34" w:rsidRPr="002B10ED" w:rsidRDefault="00255518" w:rsidP="00300D63">
            <w:pPr>
              <w:rPr>
                <w:rFonts w:cs="Helvetica"/>
              </w:rPr>
            </w:pPr>
            <w:r w:rsidRPr="002B10ED">
              <w:t>Hypercalcaemia is classified</w:t>
            </w:r>
            <w:r w:rsidR="00B75CBC" w:rsidRPr="002B10ED">
              <w:t xml:space="preserve"> as an </w:t>
            </w:r>
            <w:r w:rsidR="00B75CBC" w:rsidRPr="002B10ED">
              <w:rPr>
                <w:rFonts w:cs="Helvetica"/>
              </w:rPr>
              <w:t>a</w:t>
            </w:r>
            <w:r w:rsidR="00B75CBC" w:rsidRPr="002B10ED">
              <w:rPr>
                <w:rFonts w:cs="Helvetica"/>
              </w:rPr>
              <w:t>djusted (corrected) calcium &gt; 2.60 mmol/L</w:t>
            </w:r>
            <w:r w:rsidR="00B75CBC" w:rsidRPr="002B10ED">
              <w:rPr>
                <w:rFonts w:cs="Helvetica"/>
              </w:rPr>
              <w:t xml:space="preserve">, it can also be a medical emergency if levels are significantly raised and there is renal impairment. </w:t>
            </w:r>
          </w:p>
          <w:p w:rsidR="00255518" w:rsidRPr="002B10ED" w:rsidRDefault="00255518" w:rsidP="00300D63">
            <w:pPr>
              <w:rPr>
                <w:rFonts w:cs="Helvetica"/>
              </w:rPr>
            </w:pPr>
          </w:p>
          <w:p w:rsidR="00255518" w:rsidRPr="002B10ED" w:rsidRDefault="00255518" w:rsidP="00300D63">
            <w:pPr>
              <w:rPr>
                <w:rFonts w:cs="Helvetica"/>
              </w:rPr>
            </w:pPr>
            <w:r w:rsidRPr="002B10ED">
              <w:rPr>
                <w:rFonts w:cs="Helvetica"/>
              </w:rPr>
              <w:t>The most common reasons for hypercalcaemia are hyperparathyroidism, malignancy, chronic renal failure and over treatment with vitamin D. However less common causes include :</w:t>
            </w:r>
          </w:p>
          <w:p w:rsidR="00255518" w:rsidRPr="002B10ED" w:rsidRDefault="00255518" w:rsidP="00255518">
            <w:pPr>
              <w:autoSpaceDE w:val="0"/>
              <w:autoSpaceDN w:val="0"/>
              <w:adjustRightInd w:val="0"/>
              <w:rPr>
                <w:rFonts w:cs="Arial"/>
              </w:rPr>
            </w:pPr>
            <w:r w:rsidRPr="002B10ED">
              <w:rPr>
                <w:rFonts w:cs="Arial"/>
              </w:rPr>
              <w:t>Immobilisation</w:t>
            </w:r>
          </w:p>
          <w:p w:rsidR="00255518" w:rsidRPr="002B10ED" w:rsidRDefault="00255518" w:rsidP="00255518">
            <w:pPr>
              <w:autoSpaceDE w:val="0"/>
              <w:autoSpaceDN w:val="0"/>
              <w:adjustRightInd w:val="0"/>
              <w:rPr>
                <w:rFonts w:cs="Arial"/>
              </w:rPr>
            </w:pPr>
            <w:r w:rsidRPr="002B10ED">
              <w:rPr>
                <w:rFonts w:cs="Arial"/>
              </w:rPr>
              <w:t xml:space="preserve">Familial </w:t>
            </w:r>
            <w:proofErr w:type="spellStart"/>
            <w:r w:rsidRPr="002B10ED">
              <w:rPr>
                <w:rFonts w:cs="Arial"/>
              </w:rPr>
              <w:t>hypocalciuric</w:t>
            </w:r>
            <w:proofErr w:type="spellEnd"/>
            <w:r w:rsidRPr="002B10ED">
              <w:rPr>
                <w:rFonts w:cs="Arial"/>
              </w:rPr>
              <w:t xml:space="preserve"> hypercalcaemia</w:t>
            </w:r>
          </w:p>
          <w:p w:rsidR="00255518" w:rsidRPr="002B10ED" w:rsidRDefault="00255518" w:rsidP="00255518">
            <w:pPr>
              <w:autoSpaceDE w:val="0"/>
              <w:autoSpaceDN w:val="0"/>
              <w:adjustRightInd w:val="0"/>
              <w:rPr>
                <w:rFonts w:cs="Arial"/>
              </w:rPr>
            </w:pPr>
            <w:r w:rsidRPr="002B10ED">
              <w:rPr>
                <w:rFonts w:cs="Arial"/>
              </w:rPr>
              <w:t>Granulomatous diseases e.g. sarcoidosis or tuberculosis</w:t>
            </w:r>
          </w:p>
          <w:p w:rsidR="00255518" w:rsidRPr="002B10ED" w:rsidRDefault="00255518" w:rsidP="00255518">
            <w:pPr>
              <w:autoSpaceDE w:val="0"/>
              <w:autoSpaceDN w:val="0"/>
              <w:adjustRightInd w:val="0"/>
              <w:rPr>
                <w:rFonts w:cs="Arial"/>
              </w:rPr>
            </w:pPr>
            <w:r w:rsidRPr="002B10ED">
              <w:rPr>
                <w:rFonts w:cs="Arial"/>
              </w:rPr>
              <w:t>Thiazide diuretics</w:t>
            </w:r>
          </w:p>
          <w:p w:rsidR="00255518" w:rsidRPr="002B10ED" w:rsidRDefault="00255518" w:rsidP="00255518">
            <w:pPr>
              <w:autoSpaceDE w:val="0"/>
              <w:autoSpaceDN w:val="0"/>
              <w:adjustRightInd w:val="0"/>
              <w:rPr>
                <w:rFonts w:cs="Arial"/>
              </w:rPr>
            </w:pPr>
            <w:r w:rsidRPr="002B10ED">
              <w:rPr>
                <w:rFonts w:cs="Arial"/>
              </w:rPr>
              <w:t>Milk alkali syndrome</w:t>
            </w:r>
          </w:p>
          <w:p w:rsidR="00255518" w:rsidRPr="002B10ED" w:rsidRDefault="00255518" w:rsidP="00255518">
            <w:pPr>
              <w:rPr>
                <w:rFonts w:cs="Arial"/>
              </w:rPr>
            </w:pPr>
            <w:r w:rsidRPr="002B10ED">
              <w:rPr>
                <w:rFonts w:cs="Arial"/>
              </w:rPr>
              <w:t>Hyperthyroidism</w:t>
            </w:r>
          </w:p>
          <w:p w:rsidR="00255518" w:rsidRPr="002B10ED" w:rsidRDefault="00255518" w:rsidP="00255518">
            <w:pPr>
              <w:rPr>
                <w:rFonts w:cs="Arial"/>
              </w:rPr>
            </w:pPr>
          </w:p>
          <w:p w:rsidR="00255518" w:rsidRPr="002B10ED" w:rsidRDefault="00255518" w:rsidP="00255518">
            <w:pPr>
              <w:autoSpaceDE w:val="0"/>
              <w:autoSpaceDN w:val="0"/>
              <w:adjustRightInd w:val="0"/>
              <w:rPr>
                <w:rFonts w:cs="Helvetica"/>
              </w:rPr>
            </w:pPr>
            <w:r w:rsidRPr="002B10ED">
              <w:rPr>
                <w:rFonts w:cs="Helvetica"/>
              </w:rPr>
              <w:t>Patients who have developed hypercalcaemia acutely are also much</w:t>
            </w:r>
            <w:r w:rsidRPr="002B10ED">
              <w:rPr>
                <w:rFonts w:cs="Helvetica"/>
              </w:rPr>
              <w:t xml:space="preserve"> more likely to have symptoms, </w:t>
            </w:r>
          </w:p>
          <w:p w:rsidR="00255518" w:rsidRPr="002B10ED" w:rsidRDefault="00255518" w:rsidP="00255518">
            <w:pPr>
              <w:autoSpaceDE w:val="0"/>
              <w:autoSpaceDN w:val="0"/>
              <w:adjustRightInd w:val="0"/>
              <w:rPr>
                <w:rFonts w:cs="Helvetica"/>
              </w:rPr>
            </w:pPr>
            <w:r w:rsidRPr="002B10ED">
              <w:rPr>
                <w:rFonts w:cs="Helvetica"/>
              </w:rPr>
              <w:t>the</w:t>
            </w:r>
            <w:r w:rsidRPr="002B10ED">
              <w:rPr>
                <w:rFonts w:cs="Helvetica"/>
              </w:rPr>
              <w:t>s</w:t>
            </w:r>
            <w:r w:rsidRPr="002B10ED">
              <w:rPr>
                <w:rFonts w:cs="Helvetica"/>
              </w:rPr>
              <w:t>e</w:t>
            </w:r>
            <w:r w:rsidRPr="002B10ED">
              <w:rPr>
                <w:rFonts w:cs="Helvetica"/>
              </w:rPr>
              <w:t xml:space="preserve"> include;</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Polyuria and polydipsia</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Nausea and vomiting</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Constipation</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Weakness and tiredness</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Depression and psychiatric disturbances</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Drowsiness and confusion</w:t>
            </w:r>
          </w:p>
          <w:p w:rsidR="00255518" w:rsidRPr="002B10ED" w:rsidRDefault="00255518" w:rsidP="00255518">
            <w:pPr>
              <w:pStyle w:val="ListParagraph"/>
              <w:numPr>
                <w:ilvl w:val="0"/>
                <w:numId w:val="8"/>
              </w:numPr>
              <w:autoSpaceDE w:val="0"/>
              <w:autoSpaceDN w:val="0"/>
              <w:adjustRightInd w:val="0"/>
              <w:rPr>
                <w:rFonts w:cs="Helvetica"/>
              </w:rPr>
            </w:pPr>
            <w:r w:rsidRPr="002B10ED">
              <w:rPr>
                <w:rFonts w:cs="Helvetica"/>
              </w:rPr>
              <w:t>Bone Pain</w:t>
            </w:r>
          </w:p>
          <w:p w:rsidR="00255518" w:rsidRPr="002B10ED" w:rsidRDefault="00255518" w:rsidP="00255518">
            <w:pPr>
              <w:pStyle w:val="ListParagraph"/>
              <w:numPr>
                <w:ilvl w:val="0"/>
                <w:numId w:val="8"/>
              </w:numPr>
              <w:rPr>
                <w:rFonts w:cs="Helvetica"/>
              </w:rPr>
            </w:pPr>
            <w:r w:rsidRPr="002B10ED">
              <w:rPr>
                <w:rFonts w:cs="Helvetica"/>
              </w:rPr>
              <w:t>Renal Stones</w:t>
            </w:r>
          </w:p>
          <w:p w:rsidR="00255518" w:rsidRPr="002B10ED" w:rsidRDefault="00255518" w:rsidP="00255518">
            <w:pPr>
              <w:rPr>
                <w:rFonts w:cs="Helvetica"/>
              </w:rPr>
            </w:pPr>
          </w:p>
          <w:p w:rsidR="00255518" w:rsidRPr="002B10ED" w:rsidRDefault="00255518" w:rsidP="00255518">
            <w:pPr>
              <w:rPr>
                <w:rFonts w:cs="Helvetica"/>
              </w:rPr>
            </w:pPr>
            <w:r w:rsidRPr="002B10ED">
              <w:rPr>
                <w:rFonts w:cs="Helvetica"/>
              </w:rPr>
              <w:t>Treatment is dependant of the cause of the hypercalcaemia, which can be decided upon clinical picture and from specific blood tests such as:</w:t>
            </w:r>
          </w:p>
          <w:p w:rsidR="00255518" w:rsidRPr="002B10ED" w:rsidRDefault="00255518" w:rsidP="00255518">
            <w:pPr>
              <w:autoSpaceDE w:val="0"/>
              <w:autoSpaceDN w:val="0"/>
              <w:adjustRightInd w:val="0"/>
              <w:rPr>
                <w:rFonts w:cs="Arial"/>
              </w:rPr>
            </w:pPr>
            <w:r w:rsidRPr="002B10ED">
              <w:rPr>
                <w:rFonts w:cs="Arial"/>
              </w:rPr>
              <w:t>-PTH</w:t>
            </w:r>
          </w:p>
          <w:p w:rsidR="00255518" w:rsidRPr="002B10ED" w:rsidRDefault="00255518" w:rsidP="00255518">
            <w:pPr>
              <w:autoSpaceDE w:val="0"/>
              <w:autoSpaceDN w:val="0"/>
              <w:adjustRightInd w:val="0"/>
              <w:rPr>
                <w:rFonts w:cs="Arial"/>
              </w:rPr>
            </w:pPr>
            <w:r w:rsidRPr="002B10ED">
              <w:rPr>
                <w:rFonts w:cs="Arial"/>
              </w:rPr>
              <w:t>-Urea, creatinine and electrolytes, bicarbonate</w:t>
            </w:r>
          </w:p>
          <w:p w:rsidR="00255518" w:rsidRPr="002B10ED" w:rsidRDefault="00255518" w:rsidP="00255518">
            <w:pPr>
              <w:autoSpaceDE w:val="0"/>
              <w:autoSpaceDN w:val="0"/>
              <w:adjustRightInd w:val="0"/>
              <w:rPr>
                <w:rFonts w:cs="Arial"/>
              </w:rPr>
            </w:pPr>
            <w:r w:rsidRPr="002B10ED">
              <w:rPr>
                <w:rFonts w:cs="Arial"/>
              </w:rPr>
              <w:t xml:space="preserve">-Calcium, albumin, total </w:t>
            </w:r>
            <w:proofErr w:type="spellStart"/>
            <w:r w:rsidRPr="002B10ED">
              <w:rPr>
                <w:rFonts w:cs="Arial"/>
              </w:rPr>
              <w:t>protein,alkaline</w:t>
            </w:r>
            <w:proofErr w:type="spellEnd"/>
            <w:r w:rsidRPr="002B10ED">
              <w:rPr>
                <w:rFonts w:cs="Arial"/>
              </w:rPr>
              <w:t xml:space="preserve"> phosphatase</w:t>
            </w:r>
          </w:p>
          <w:p w:rsidR="00255518" w:rsidRPr="002B10ED" w:rsidRDefault="00255518" w:rsidP="00255518">
            <w:pPr>
              <w:autoSpaceDE w:val="0"/>
              <w:autoSpaceDN w:val="0"/>
              <w:adjustRightInd w:val="0"/>
              <w:rPr>
                <w:rFonts w:cs="Arial"/>
              </w:rPr>
            </w:pPr>
            <w:r w:rsidRPr="002B10ED">
              <w:rPr>
                <w:rFonts w:cs="Arial"/>
              </w:rPr>
              <w:t>-Liver function tests, thyroid function tests</w:t>
            </w:r>
          </w:p>
          <w:p w:rsidR="00255518" w:rsidRPr="002B10ED" w:rsidRDefault="00255518" w:rsidP="00255518">
            <w:pPr>
              <w:autoSpaceDE w:val="0"/>
              <w:autoSpaceDN w:val="0"/>
              <w:adjustRightInd w:val="0"/>
              <w:rPr>
                <w:rFonts w:cs="Arial"/>
              </w:rPr>
            </w:pPr>
            <w:r w:rsidRPr="002B10ED">
              <w:rPr>
                <w:rFonts w:cs="Arial"/>
              </w:rPr>
              <w:t>-FBC, ESR, immunoglobulins</w:t>
            </w:r>
          </w:p>
          <w:p w:rsidR="00255518" w:rsidRPr="002B10ED" w:rsidRDefault="00255518" w:rsidP="00255518">
            <w:pPr>
              <w:autoSpaceDE w:val="0"/>
              <w:autoSpaceDN w:val="0"/>
              <w:adjustRightInd w:val="0"/>
              <w:rPr>
                <w:rFonts w:cs="Arial"/>
              </w:rPr>
            </w:pPr>
          </w:p>
          <w:p w:rsidR="00255518" w:rsidRPr="002B10ED" w:rsidRDefault="00255518" w:rsidP="00255518">
            <w:pPr>
              <w:autoSpaceDE w:val="0"/>
              <w:autoSpaceDN w:val="0"/>
              <w:adjustRightInd w:val="0"/>
              <w:rPr>
                <w:rFonts w:cs="Arial"/>
              </w:rPr>
            </w:pPr>
            <w:r w:rsidRPr="002B10ED">
              <w:rPr>
                <w:rFonts w:cs="Arial"/>
              </w:rPr>
              <w:t>A u</w:t>
            </w:r>
            <w:r w:rsidRPr="002B10ED">
              <w:rPr>
                <w:rFonts w:cs="Arial"/>
              </w:rPr>
              <w:t>rine</w:t>
            </w:r>
            <w:r w:rsidRPr="002B10ED">
              <w:rPr>
                <w:rFonts w:cs="Arial"/>
              </w:rPr>
              <w:t xml:space="preserve"> sample </w:t>
            </w:r>
            <w:r w:rsidR="00634061" w:rsidRPr="002B10ED">
              <w:rPr>
                <w:rFonts w:cs="Arial"/>
              </w:rPr>
              <w:t>will</w:t>
            </w:r>
            <w:r w:rsidRPr="002B10ED">
              <w:rPr>
                <w:rFonts w:cs="Arial"/>
              </w:rPr>
              <w:t xml:space="preserve"> also </w:t>
            </w:r>
            <w:r w:rsidR="00634061" w:rsidRPr="002B10ED">
              <w:rPr>
                <w:rFonts w:cs="Arial"/>
              </w:rPr>
              <w:t xml:space="preserve">need </w:t>
            </w:r>
            <w:r w:rsidRPr="002B10ED">
              <w:rPr>
                <w:rFonts w:cs="Arial"/>
              </w:rPr>
              <w:t>be sent for:</w:t>
            </w:r>
          </w:p>
          <w:p w:rsidR="00255518" w:rsidRPr="002B10ED" w:rsidRDefault="00255518" w:rsidP="00255518">
            <w:pPr>
              <w:rPr>
                <w:rFonts w:cs="Arial"/>
              </w:rPr>
            </w:pPr>
            <w:r w:rsidRPr="002B10ED">
              <w:rPr>
                <w:rFonts w:cs="Arial"/>
              </w:rPr>
              <w:t xml:space="preserve">-Calcium, creatinine, sodium, </w:t>
            </w:r>
            <w:proofErr w:type="spellStart"/>
            <w:r w:rsidRPr="002B10ED">
              <w:rPr>
                <w:rFonts w:cs="Arial"/>
              </w:rPr>
              <w:t>B</w:t>
            </w:r>
            <w:r w:rsidR="00634061" w:rsidRPr="002B10ED">
              <w:rPr>
                <w:rFonts w:cs="Arial"/>
              </w:rPr>
              <w:t>ence</w:t>
            </w:r>
            <w:proofErr w:type="spellEnd"/>
            <w:r w:rsidR="00634061" w:rsidRPr="002B10ED">
              <w:rPr>
                <w:rFonts w:cs="Arial"/>
              </w:rPr>
              <w:t xml:space="preserve"> </w:t>
            </w:r>
            <w:r w:rsidRPr="002B10ED">
              <w:rPr>
                <w:rFonts w:cs="Arial"/>
              </w:rPr>
              <w:t>J</w:t>
            </w:r>
            <w:r w:rsidR="00634061" w:rsidRPr="002B10ED">
              <w:rPr>
                <w:rFonts w:cs="Arial"/>
              </w:rPr>
              <w:t xml:space="preserve">ones </w:t>
            </w:r>
            <w:r w:rsidRPr="002B10ED">
              <w:rPr>
                <w:rFonts w:cs="Arial"/>
              </w:rPr>
              <w:t>P</w:t>
            </w:r>
            <w:r w:rsidR="00634061" w:rsidRPr="002B10ED">
              <w:rPr>
                <w:rFonts w:cs="Arial"/>
              </w:rPr>
              <w:t>rotein (BJP)</w:t>
            </w:r>
          </w:p>
          <w:p w:rsidR="00634061" w:rsidRPr="002B10ED" w:rsidRDefault="00634061" w:rsidP="00255518">
            <w:pPr>
              <w:rPr>
                <w:rFonts w:cs="Arial"/>
              </w:rPr>
            </w:pPr>
          </w:p>
          <w:p w:rsidR="00634061" w:rsidRPr="002B10ED" w:rsidRDefault="00634061" w:rsidP="00255518">
            <w:pPr>
              <w:rPr>
                <w:rFonts w:cs="Arial"/>
              </w:rPr>
            </w:pPr>
            <w:r w:rsidRPr="002B10ED">
              <w:rPr>
                <w:rFonts w:cs="Arial"/>
              </w:rPr>
              <w:t>Doctors may also request the following images to be performed:</w:t>
            </w:r>
          </w:p>
          <w:p w:rsidR="00634061" w:rsidRPr="002B10ED" w:rsidRDefault="00634061" w:rsidP="00255518">
            <w:pPr>
              <w:rPr>
                <w:rFonts w:cs="Arial"/>
              </w:rPr>
            </w:pPr>
            <w:r w:rsidRPr="002B10ED">
              <w:rPr>
                <w:rFonts w:cs="Arial"/>
              </w:rPr>
              <w:t>C</w:t>
            </w:r>
            <w:r w:rsidRPr="002B10ED">
              <w:rPr>
                <w:rFonts w:cs="Arial"/>
              </w:rPr>
              <w:t xml:space="preserve">hest </w:t>
            </w:r>
            <w:r w:rsidRPr="002B10ED">
              <w:rPr>
                <w:rFonts w:cs="Arial"/>
              </w:rPr>
              <w:t>X</w:t>
            </w:r>
            <w:r w:rsidRPr="002B10ED">
              <w:rPr>
                <w:rFonts w:cs="Arial"/>
              </w:rPr>
              <w:t>-ray</w:t>
            </w:r>
            <w:r w:rsidRPr="002B10ED">
              <w:rPr>
                <w:rFonts w:cs="Arial"/>
              </w:rPr>
              <w:t xml:space="preserve">, </w:t>
            </w:r>
          </w:p>
          <w:p w:rsidR="00634061" w:rsidRPr="002B10ED" w:rsidRDefault="00634061" w:rsidP="00255518">
            <w:pPr>
              <w:rPr>
                <w:rFonts w:cs="Arial"/>
              </w:rPr>
            </w:pPr>
            <w:r w:rsidRPr="002B10ED">
              <w:rPr>
                <w:rFonts w:cs="Arial"/>
              </w:rPr>
              <w:t xml:space="preserve">Abdominal </w:t>
            </w:r>
            <w:r w:rsidRPr="002B10ED">
              <w:rPr>
                <w:rFonts w:cs="Arial"/>
              </w:rPr>
              <w:t>X</w:t>
            </w:r>
            <w:r w:rsidRPr="002B10ED">
              <w:rPr>
                <w:rFonts w:cs="Arial"/>
              </w:rPr>
              <w:t>-ray</w:t>
            </w:r>
            <w:r w:rsidRPr="002B10ED">
              <w:rPr>
                <w:rFonts w:cs="Arial"/>
              </w:rPr>
              <w:t xml:space="preserve">, </w:t>
            </w:r>
          </w:p>
          <w:p w:rsidR="00634061" w:rsidRPr="002B10ED" w:rsidRDefault="00634061" w:rsidP="00255518">
            <w:pPr>
              <w:rPr>
                <w:rFonts w:cs="Arial"/>
              </w:rPr>
            </w:pPr>
            <w:r w:rsidRPr="002B10ED">
              <w:rPr>
                <w:rFonts w:cs="Arial"/>
              </w:rPr>
              <w:t xml:space="preserve">Renal USS, </w:t>
            </w:r>
          </w:p>
          <w:p w:rsidR="00496E34" w:rsidRPr="002B10ED" w:rsidRDefault="00634061" w:rsidP="00300D63">
            <w:pPr>
              <w:rPr>
                <w:rFonts w:cs="Arial"/>
              </w:rPr>
            </w:pPr>
            <w:proofErr w:type="spellStart"/>
            <w:r w:rsidRPr="002B10ED">
              <w:rPr>
                <w:rFonts w:cs="Arial"/>
              </w:rPr>
              <w:t>Abdo</w:t>
            </w:r>
            <w:proofErr w:type="spellEnd"/>
            <w:r w:rsidRPr="002B10ED">
              <w:rPr>
                <w:rFonts w:cs="Arial"/>
              </w:rPr>
              <w:t xml:space="preserve"> CT depending on differential diagnosis</w:t>
            </w:r>
          </w:p>
          <w:p w:rsidR="002B7B9E" w:rsidRPr="002B10ED" w:rsidRDefault="002B7B9E" w:rsidP="00300D63">
            <w:pPr>
              <w:rPr>
                <w:rFonts w:cs="Helvetica"/>
              </w:rPr>
            </w:pPr>
          </w:p>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lastRenderedPageBreak/>
              <w:t>Hypocalcaemia</w:t>
            </w:r>
          </w:p>
        </w:tc>
        <w:tc>
          <w:tcPr>
            <w:tcW w:w="8789" w:type="dxa"/>
          </w:tcPr>
          <w:p w:rsidR="00496E34" w:rsidRPr="002B10ED" w:rsidRDefault="002B7B9E" w:rsidP="00300D63">
            <w:pPr>
              <w:rPr>
                <w:rFonts w:cs="Gotham Book"/>
                <w:color w:val="000000"/>
              </w:rPr>
            </w:pPr>
            <w:r w:rsidRPr="002B10ED">
              <w:rPr>
                <w:rFonts w:cs="Gotham Book"/>
                <w:color w:val="000000"/>
              </w:rPr>
              <w:lastRenderedPageBreak/>
              <w:t xml:space="preserve">Acute hypocalcaemia can be life threatening, necessitating urgent treatment. In severe cases, </w:t>
            </w:r>
            <w:r w:rsidRPr="002B10ED">
              <w:rPr>
                <w:rFonts w:cs="Gotham Book"/>
                <w:color w:val="000000"/>
              </w:rPr>
              <w:lastRenderedPageBreak/>
              <w:t>intravenous calcium forms the mainstay of initial therapy but it is essential to ascertain the underlying cause and commence specific therapy as early as possible.</w:t>
            </w:r>
          </w:p>
          <w:p w:rsidR="002B7B9E" w:rsidRPr="002B10ED" w:rsidRDefault="002B7B9E" w:rsidP="00300D63">
            <w:pPr>
              <w:rPr>
                <w:rFonts w:cs="Gotham Book"/>
                <w:color w:val="000000"/>
              </w:rPr>
            </w:pPr>
          </w:p>
          <w:p w:rsidR="002B7B9E" w:rsidRPr="002B10ED" w:rsidRDefault="009C50EC" w:rsidP="00300D63">
            <w:r w:rsidRPr="002B10ED">
              <w:t>Symptoms of hypocalcaemia include:</w:t>
            </w:r>
          </w:p>
          <w:p w:rsidR="009C50EC" w:rsidRPr="002B10ED" w:rsidRDefault="009C50EC" w:rsidP="009C50EC">
            <w:pPr>
              <w:pStyle w:val="Default"/>
              <w:numPr>
                <w:ilvl w:val="0"/>
                <w:numId w:val="11"/>
              </w:numPr>
              <w:spacing w:after="7"/>
              <w:ind w:left="720" w:hanging="360"/>
              <w:rPr>
                <w:rFonts w:asciiTheme="minorHAnsi" w:hAnsiTheme="minorHAnsi"/>
                <w:sz w:val="22"/>
                <w:szCs w:val="22"/>
              </w:rPr>
            </w:pPr>
            <w:proofErr w:type="spellStart"/>
            <w:r w:rsidRPr="002B10ED">
              <w:rPr>
                <w:rStyle w:val="A7"/>
                <w:rFonts w:asciiTheme="minorHAnsi" w:hAnsiTheme="minorHAnsi"/>
                <w:sz w:val="22"/>
                <w:szCs w:val="22"/>
              </w:rPr>
              <w:t>Peri</w:t>
            </w:r>
            <w:proofErr w:type="spellEnd"/>
            <w:r w:rsidRPr="002B10ED">
              <w:rPr>
                <w:rStyle w:val="A7"/>
                <w:rFonts w:asciiTheme="minorHAnsi" w:hAnsiTheme="minorHAnsi"/>
                <w:sz w:val="22"/>
                <w:szCs w:val="22"/>
              </w:rPr>
              <w:t xml:space="preserve">-oral and digital </w:t>
            </w:r>
            <w:proofErr w:type="spellStart"/>
            <w:r w:rsidRPr="002B10ED">
              <w:rPr>
                <w:rStyle w:val="A7"/>
                <w:rFonts w:asciiTheme="minorHAnsi" w:hAnsiTheme="minorHAnsi"/>
                <w:sz w:val="22"/>
                <w:szCs w:val="22"/>
              </w:rPr>
              <w:t>paraesthesiae</w:t>
            </w:r>
            <w:proofErr w:type="spellEnd"/>
          </w:p>
          <w:p w:rsidR="009C50EC" w:rsidRPr="002B10ED" w:rsidRDefault="009C50EC" w:rsidP="009C50EC">
            <w:pPr>
              <w:pStyle w:val="Default"/>
              <w:numPr>
                <w:ilvl w:val="0"/>
                <w:numId w:val="11"/>
              </w:numPr>
              <w:spacing w:after="7"/>
              <w:ind w:left="720" w:hanging="360"/>
              <w:rPr>
                <w:rFonts w:asciiTheme="minorHAnsi" w:hAnsiTheme="minorHAnsi"/>
                <w:sz w:val="22"/>
                <w:szCs w:val="22"/>
              </w:rPr>
            </w:pPr>
            <w:r w:rsidRPr="002B10ED">
              <w:rPr>
                <w:rStyle w:val="A7"/>
                <w:rFonts w:asciiTheme="minorHAnsi" w:hAnsiTheme="minorHAnsi"/>
                <w:sz w:val="22"/>
                <w:szCs w:val="22"/>
              </w:rPr>
              <w:t xml:space="preserve">Positive Trousseau’s and </w:t>
            </w:r>
            <w:proofErr w:type="spellStart"/>
            <w:r w:rsidRPr="002B10ED">
              <w:rPr>
                <w:rStyle w:val="A7"/>
                <w:rFonts w:asciiTheme="minorHAnsi" w:hAnsiTheme="minorHAnsi"/>
                <w:sz w:val="22"/>
                <w:szCs w:val="22"/>
              </w:rPr>
              <w:t>Chvostek’s</w:t>
            </w:r>
            <w:proofErr w:type="spellEnd"/>
            <w:r w:rsidRPr="002B10ED">
              <w:rPr>
                <w:rStyle w:val="A7"/>
                <w:rFonts w:asciiTheme="minorHAnsi" w:hAnsiTheme="minorHAnsi"/>
                <w:sz w:val="22"/>
                <w:szCs w:val="22"/>
              </w:rPr>
              <w:t xml:space="preserve"> signs</w:t>
            </w:r>
          </w:p>
          <w:p w:rsidR="009C50EC" w:rsidRPr="002B10ED" w:rsidRDefault="009C50EC" w:rsidP="009C50EC">
            <w:pPr>
              <w:pStyle w:val="Default"/>
              <w:numPr>
                <w:ilvl w:val="0"/>
                <w:numId w:val="11"/>
              </w:numPr>
              <w:spacing w:after="7"/>
              <w:ind w:left="720" w:hanging="360"/>
              <w:rPr>
                <w:rFonts w:asciiTheme="minorHAnsi" w:hAnsiTheme="minorHAnsi"/>
                <w:sz w:val="22"/>
                <w:szCs w:val="22"/>
              </w:rPr>
            </w:pPr>
            <w:r w:rsidRPr="002B10ED">
              <w:rPr>
                <w:rStyle w:val="A7"/>
                <w:rFonts w:asciiTheme="minorHAnsi" w:hAnsiTheme="minorHAnsi"/>
                <w:sz w:val="22"/>
                <w:szCs w:val="22"/>
              </w:rPr>
              <w:t xml:space="preserve">Tetany and </w:t>
            </w:r>
            <w:proofErr w:type="spellStart"/>
            <w:r w:rsidRPr="002B10ED">
              <w:rPr>
                <w:rStyle w:val="A7"/>
                <w:rFonts w:asciiTheme="minorHAnsi" w:hAnsiTheme="minorHAnsi"/>
                <w:sz w:val="22"/>
                <w:szCs w:val="22"/>
              </w:rPr>
              <w:t>carpopedal</w:t>
            </w:r>
            <w:proofErr w:type="spellEnd"/>
            <w:r w:rsidRPr="002B10ED">
              <w:rPr>
                <w:rStyle w:val="A7"/>
                <w:rFonts w:asciiTheme="minorHAnsi" w:hAnsiTheme="minorHAnsi"/>
                <w:sz w:val="22"/>
                <w:szCs w:val="22"/>
              </w:rPr>
              <w:t xml:space="preserve"> spasm</w:t>
            </w:r>
          </w:p>
          <w:p w:rsidR="009C50EC" w:rsidRPr="002B10ED" w:rsidRDefault="009C50EC" w:rsidP="009C50EC">
            <w:pPr>
              <w:pStyle w:val="Default"/>
              <w:numPr>
                <w:ilvl w:val="0"/>
                <w:numId w:val="11"/>
              </w:numPr>
              <w:spacing w:after="7"/>
              <w:ind w:left="720" w:hanging="360"/>
              <w:rPr>
                <w:rFonts w:asciiTheme="minorHAnsi" w:hAnsiTheme="minorHAnsi"/>
                <w:sz w:val="22"/>
                <w:szCs w:val="22"/>
              </w:rPr>
            </w:pPr>
            <w:r w:rsidRPr="002B10ED">
              <w:rPr>
                <w:rStyle w:val="A7"/>
                <w:rFonts w:asciiTheme="minorHAnsi" w:hAnsiTheme="minorHAnsi"/>
                <w:sz w:val="22"/>
                <w:szCs w:val="22"/>
              </w:rPr>
              <w:t>Laryngospasm</w:t>
            </w:r>
          </w:p>
          <w:p w:rsidR="009C50EC" w:rsidRPr="002B10ED" w:rsidRDefault="009C50EC" w:rsidP="009C50EC">
            <w:pPr>
              <w:pStyle w:val="Default"/>
              <w:numPr>
                <w:ilvl w:val="0"/>
                <w:numId w:val="11"/>
              </w:numPr>
              <w:spacing w:after="7"/>
              <w:ind w:left="720" w:hanging="360"/>
              <w:rPr>
                <w:rFonts w:asciiTheme="minorHAnsi" w:hAnsiTheme="minorHAnsi"/>
                <w:sz w:val="22"/>
                <w:szCs w:val="22"/>
              </w:rPr>
            </w:pPr>
            <w:r w:rsidRPr="002B10ED">
              <w:rPr>
                <w:rStyle w:val="A7"/>
                <w:rFonts w:asciiTheme="minorHAnsi" w:hAnsiTheme="minorHAnsi"/>
                <w:sz w:val="22"/>
                <w:szCs w:val="22"/>
              </w:rPr>
              <w:t>ECG changes (prolonged QT interval) and arrhythmia</w:t>
            </w:r>
          </w:p>
          <w:p w:rsidR="009C50EC" w:rsidRPr="002B10ED" w:rsidRDefault="009C50EC" w:rsidP="009C50EC">
            <w:pPr>
              <w:pStyle w:val="Default"/>
              <w:numPr>
                <w:ilvl w:val="0"/>
                <w:numId w:val="11"/>
              </w:numPr>
              <w:ind w:left="720" w:hanging="360"/>
              <w:rPr>
                <w:rFonts w:asciiTheme="minorHAnsi" w:hAnsiTheme="minorHAnsi"/>
                <w:sz w:val="22"/>
                <w:szCs w:val="22"/>
              </w:rPr>
            </w:pPr>
            <w:r w:rsidRPr="002B10ED">
              <w:rPr>
                <w:rStyle w:val="A7"/>
                <w:rFonts w:asciiTheme="minorHAnsi" w:hAnsiTheme="minorHAnsi"/>
                <w:sz w:val="22"/>
                <w:szCs w:val="22"/>
              </w:rPr>
              <w:t>Seizure</w:t>
            </w:r>
          </w:p>
          <w:p w:rsidR="009C50EC" w:rsidRPr="002B10ED" w:rsidRDefault="009C50EC" w:rsidP="00300D63"/>
          <w:p w:rsidR="009C50EC" w:rsidRPr="009C50EC" w:rsidRDefault="009C50EC" w:rsidP="009C50EC">
            <w:pPr>
              <w:autoSpaceDE w:val="0"/>
              <w:autoSpaceDN w:val="0"/>
              <w:adjustRightInd w:val="0"/>
              <w:rPr>
                <w:rFonts w:cs="Gotham Book"/>
                <w:color w:val="000000"/>
              </w:rPr>
            </w:pPr>
            <w:r w:rsidRPr="002B10ED">
              <w:rPr>
                <w:rFonts w:cs="Gotham Book"/>
                <w:color w:val="000000"/>
              </w:rPr>
              <w:t>The most commonest causes of hypocalcaemia are:</w:t>
            </w:r>
          </w:p>
          <w:p w:rsidR="009C50EC" w:rsidRPr="009C50EC" w:rsidRDefault="009C50EC" w:rsidP="009C50EC">
            <w:pPr>
              <w:autoSpaceDE w:val="0"/>
              <w:autoSpaceDN w:val="0"/>
              <w:adjustRightInd w:val="0"/>
              <w:spacing w:after="7"/>
              <w:rPr>
                <w:rFonts w:cs="Gotham Book"/>
                <w:color w:val="000000"/>
              </w:rPr>
            </w:pPr>
            <w:r w:rsidRPr="002B10ED">
              <w:rPr>
                <w:rFonts w:cs="Gotham Book"/>
                <w:color w:val="000000"/>
              </w:rPr>
              <w:t>Following selective parathyroidectomy (hypocalcaemia is usually transient and mild)</w:t>
            </w:r>
          </w:p>
          <w:p w:rsidR="009C50EC" w:rsidRPr="009C50EC" w:rsidRDefault="009C50EC" w:rsidP="009C50EC">
            <w:pPr>
              <w:autoSpaceDE w:val="0"/>
              <w:autoSpaceDN w:val="0"/>
              <w:adjustRightInd w:val="0"/>
              <w:spacing w:after="7"/>
              <w:rPr>
                <w:rFonts w:cs="Gotham Book"/>
                <w:color w:val="000000"/>
              </w:rPr>
            </w:pPr>
            <w:r w:rsidRPr="002B10ED">
              <w:rPr>
                <w:rFonts w:cs="Gotham Book"/>
                <w:color w:val="000000"/>
              </w:rPr>
              <w:t>• Severe vitamin D deficiency</w:t>
            </w:r>
          </w:p>
          <w:p w:rsidR="009C50EC" w:rsidRPr="009C50EC" w:rsidRDefault="009C50EC" w:rsidP="009C50EC">
            <w:pPr>
              <w:autoSpaceDE w:val="0"/>
              <w:autoSpaceDN w:val="0"/>
              <w:adjustRightInd w:val="0"/>
              <w:spacing w:after="7"/>
              <w:rPr>
                <w:rFonts w:cs="Gotham Book"/>
                <w:color w:val="000000"/>
              </w:rPr>
            </w:pPr>
            <w:r w:rsidRPr="002B10ED">
              <w:rPr>
                <w:rFonts w:cs="Gotham Book"/>
                <w:color w:val="000000"/>
              </w:rPr>
              <w:t>• Mg2+ deficiency (consider PPI-associated hypomagnesaemia)</w:t>
            </w:r>
          </w:p>
          <w:p w:rsidR="009C50EC" w:rsidRPr="009C50EC" w:rsidRDefault="009C50EC" w:rsidP="009C50EC">
            <w:pPr>
              <w:autoSpaceDE w:val="0"/>
              <w:autoSpaceDN w:val="0"/>
              <w:adjustRightInd w:val="0"/>
              <w:spacing w:after="7"/>
              <w:rPr>
                <w:rFonts w:cs="Gotham Book"/>
                <w:color w:val="000000"/>
              </w:rPr>
            </w:pPr>
            <w:r w:rsidRPr="002B10ED">
              <w:rPr>
                <w:rFonts w:cs="Gotham Book"/>
                <w:color w:val="000000"/>
              </w:rPr>
              <w:t>• Cytotoxic drug-induced hypocalcaemia</w:t>
            </w:r>
          </w:p>
          <w:p w:rsidR="009C50EC" w:rsidRPr="002B10ED" w:rsidRDefault="009C50EC" w:rsidP="009C50EC">
            <w:pPr>
              <w:autoSpaceDE w:val="0"/>
              <w:autoSpaceDN w:val="0"/>
              <w:adjustRightInd w:val="0"/>
              <w:rPr>
                <w:rFonts w:cs="Gotham Book"/>
                <w:color w:val="000000"/>
              </w:rPr>
            </w:pPr>
            <w:r w:rsidRPr="002B10ED">
              <w:rPr>
                <w:rFonts w:cs="Gotham Book"/>
                <w:color w:val="000000"/>
              </w:rPr>
              <w:t>• Pancreatitis, rhabdomyolysis, and large volume blood transfusions</w:t>
            </w:r>
          </w:p>
          <w:p w:rsidR="009C50EC" w:rsidRPr="002B10ED" w:rsidRDefault="009C50EC" w:rsidP="009C50EC">
            <w:pPr>
              <w:autoSpaceDE w:val="0"/>
              <w:autoSpaceDN w:val="0"/>
              <w:adjustRightInd w:val="0"/>
              <w:rPr>
                <w:rFonts w:cs="Gotham Book"/>
                <w:color w:val="000000"/>
              </w:rPr>
            </w:pPr>
          </w:p>
          <w:p w:rsidR="00A30F35" w:rsidRPr="00A30F35" w:rsidRDefault="009C50EC" w:rsidP="00A30F35">
            <w:pPr>
              <w:pStyle w:val="Default"/>
              <w:rPr>
                <w:rFonts w:asciiTheme="minorHAnsi" w:hAnsiTheme="minorHAnsi"/>
                <w:sz w:val="22"/>
                <w:szCs w:val="22"/>
              </w:rPr>
            </w:pPr>
            <w:r w:rsidRPr="002B10ED">
              <w:rPr>
                <w:rFonts w:asciiTheme="minorHAnsi" w:hAnsiTheme="minorHAnsi"/>
                <w:sz w:val="22"/>
                <w:szCs w:val="22"/>
              </w:rPr>
              <w:t xml:space="preserve">Treatment for hypocalcaemia is through oral replacement therapy </w:t>
            </w:r>
            <w:r w:rsidR="00A30F35" w:rsidRPr="002B10ED">
              <w:rPr>
                <w:rFonts w:asciiTheme="minorHAnsi" w:hAnsiTheme="minorHAnsi"/>
                <w:sz w:val="22"/>
                <w:szCs w:val="22"/>
              </w:rPr>
              <w:t xml:space="preserve">such as </w:t>
            </w:r>
            <w:proofErr w:type="spellStart"/>
            <w:r w:rsidR="00A30F35" w:rsidRPr="002B10ED">
              <w:rPr>
                <w:rFonts w:asciiTheme="minorHAnsi" w:hAnsiTheme="minorHAnsi"/>
                <w:sz w:val="22"/>
                <w:szCs w:val="22"/>
              </w:rPr>
              <w:t>Sandocal</w:t>
            </w:r>
            <w:proofErr w:type="spellEnd"/>
            <w:r w:rsidR="00A30F35" w:rsidRPr="002B10ED">
              <w:rPr>
                <w:rFonts w:asciiTheme="minorHAnsi" w:hAnsiTheme="minorHAnsi"/>
                <w:sz w:val="22"/>
                <w:szCs w:val="22"/>
              </w:rPr>
              <w:t xml:space="preserve">™ 1000, 2 tablets BD (Alternatives include </w:t>
            </w:r>
            <w:proofErr w:type="spellStart"/>
            <w:r w:rsidR="00A30F35" w:rsidRPr="002B10ED">
              <w:rPr>
                <w:rFonts w:asciiTheme="minorHAnsi" w:hAnsiTheme="minorHAnsi"/>
                <w:sz w:val="22"/>
                <w:szCs w:val="22"/>
              </w:rPr>
              <w:t>Adcal</w:t>
            </w:r>
            <w:proofErr w:type="spellEnd"/>
            <w:r w:rsidR="00A30F35" w:rsidRPr="002B10ED">
              <w:rPr>
                <w:rFonts w:asciiTheme="minorHAnsi" w:hAnsiTheme="minorHAnsi"/>
                <w:sz w:val="22"/>
                <w:szCs w:val="22"/>
              </w:rPr>
              <w:t xml:space="preserve"> 3 tablets BD, </w:t>
            </w:r>
            <w:proofErr w:type="spellStart"/>
            <w:r w:rsidR="00A30F35" w:rsidRPr="002B10ED">
              <w:rPr>
                <w:rFonts w:asciiTheme="minorHAnsi" w:hAnsiTheme="minorHAnsi"/>
                <w:sz w:val="22"/>
                <w:szCs w:val="22"/>
              </w:rPr>
              <w:t>Cacit</w:t>
            </w:r>
            <w:proofErr w:type="spellEnd"/>
            <w:r w:rsidR="00A30F35" w:rsidRPr="002B10ED">
              <w:rPr>
                <w:rFonts w:asciiTheme="minorHAnsi" w:hAnsiTheme="minorHAnsi"/>
                <w:sz w:val="22"/>
                <w:szCs w:val="22"/>
              </w:rPr>
              <w:t xml:space="preserve"> 4 tablets BD, or </w:t>
            </w:r>
            <w:proofErr w:type="spellStart"/>
            <w:r w:rsidR="00A30F35" w:rsidRPr="002B10ED">
              <w:rPr>
                <w:rFonts w:asciiTheme="minorHAnsi" w:hAnsiTheme="minorHAnsi"/>
                <w:sz w:val="22"/>
                <w:szCs w:val="22"/>
              </w:rPr>
              <w:t>Calcichew</w:t>
            </w:r>
            <w:proofErr w:type="spellEnd"/>
            <w:r w:rsidR="00A30F35" w:rsidRPr="002B10ED">
              <w:rPr>
                <w:rFonts w:asciiTheme="minorHAnsi" w:hAnsiTheme="minorHAnsi"/>
                <w:sz w:val="22"/>
                <w:szCs w:val="22"/>
              </w:rPr>
              <w:t xml:space="preserve"> Forte 2 tablets BD)</w:t>
            </w:r>
          </w:p>
          <w:p w:rsidR="009C50EC" w:rsidRPr="002B10ED" w:rsidRDefault="009C50EC" w:rsidP="009C50EC">
            <w:pPr>
              <w:autoSpaceDE w:val="0"/>
              <w:autoSpaceDN w:val="0"/>
              <w:adjustRightInd w:val="0"/>
              <w:rPr>
                <w:rFonts w:cs="Gotham Book"/>
                <w:color w:val="000000"/>
              </w:rPr>
            </w:pPr>
            <w:r w:rsidRPr="002B10ED">
              <w:rPr>
                <w:rFonts w:cs="Gotham Book"/>
                <w:color w:val="000000"/>
              </w:rPr>
              <w:t xml:space="preserve"> </w:t>
            </w:r>
          </w:p>
          <w:p w:rsidR="009C50EC" w:rsidRPr="002B10ED" w:rsidRDefault="00A30F35" w:rsidP="00A30F35">
            <w:pPr>
              <w:autoSpaceDE w:val="0"/>
              <w:autoSpaceDN w:val="0"/>
              <w:adjustRightInd w:val="0"/>
            </w:pPr>
            <w:r w:rsidRPr="002B10ED">
              <w:rPr>
                <w:rFonts w:cs="Gotham Book"/>
                <w:color w:val="000000"/>
              </w:rPr>
              <w:t xml:space="preserve">However if the calcium level is under 1.9 mmol/l or the patient is symptomatic it is a medical emergency and IV calcium gluconate should be prescribed and administered, cardiac monitoring should occur throughout administration. </w:t>
            </w:r>
          </w:p>
          <w:p w:rsidR="00496E34" w:rsidRPr="002B10ED" w:rsidRDefault="00496E34" w:rsidP="00300D63"/>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Hypophosphataemia</w:t>
            </w:r>
          </w:p>
        </w:tc>
        <w:tc>
          <w:tcPr>
            <w:tcW w:w="8789" w:type="dxa"/>
          </w:tcPr>
          <w:p w:rsidR="00AD251A" w:rsidRPr="002B10ED" w:rsidRDefault="00AF4B67" w:rsidP="00AD251A">
            <w:r w:rsidRPr="002B10ED">
              <w:t>The normal phosphate level for an adult is 0.8 – 1.45mmol/L, Hypophosphataemia occurs when serum phosphate levels drop</w:t>
            </w:r>
            <w:r w:rsidR="00AD251A" w:rsidRPr="002B10ED">
              <w:t xml:space="preserve"> below this, there are 3 stages </w:t>
            </w:r>
            <w:r w:rsidR="00AD251A" w:rsidRPr="002B10ED">
              <w:t>mild, moderate and severe</w:t>
            </w:r>
          </w:p>
          <w:p w:rsidR="00AD251A" w:rsidRPr="002B10ED" w:rsidRDefault="00AD251A" w:rsidP="00AD251A">
            <w:pPr>
              <w:autoSpaceDE w:val="0"/>
              <w:autoSpaceDN w:val="0"/>
              <w:adjustRightInd w:val="0"/>
              <w:rPr>
                <w:rFonts w:cs="Helvetica-Bold"/>
                <w:bCs/>
              </w:rPr>
            </w:pPr>
            <w:r w:rsidRPr="002B10ED">
              <w:t>L</w:t>
            </w:r>
            <w:r w:rsidRPr="002B10ED">
              <w:t>evel</w:t>
            </w:r>
            <w:r w:rsidRPr="002B10ED">
              <w:t xml:space="preserve">. </w:t>
            </w:r>
            <w:r w:rsidRPr="002B10ED">
              <w:t xml:space="preserve"> </w:t>
            </w:r>
            <w:r w:rsidRPr="002B10ED">
              <w:t>Mild h</w:t>
            </w:r>
            <w:r w:rsidRPr="002B10ED">
              <w:t>ypophosphataemia</w:t>
            </w:r>
            <w:r w:rsidRPr="002B10ED">
              <w:t xml:space="preserve"> is when the serum phosphate drops under 0.79</w:t>
            </w:r>
            <w:r w:rsidRPr="002B10ED">
              <w:t xml:space="preserve">mmol/l, moderate at under </w:t>
            </w:r>
            <w:r w:rsidRPr="002B10ED">
              <w:t>0.64</w:t>
            </w:r>
            <w:r w:rsidRPr="002B10ED">
              <w:t xml:space="preserve">mmol/l and severe when under </w:t>
            </w:r>
            <w:r w:rsidRPr="002B10ED">
              <w:t>0.32</w:t>
            </w:r>
            <w:r w:rsidRPr="002B10ED">
              <w:t>mmol/l</w:t>
            </w:r>
            <w:r w:rsidRPr="002B10ED">
              <w:rPr>
                <w:rFonts w:cs="Helvetica-Bold"/>
                <w:bCs/>
              </w:rPr>
              <w:t xml:space="preserve">. </w:t>
            </w:r>
          </w:p>
          <w:p w:rsidR="00AF4B67" w:rsidRPr="002B10ED" w:rsidRDefault="00AF4B67"/>
          <w:p w:rsidR="00AD251A" w:rsidRPr="002B10ED" w:rsidRDefault="00AD251A">
            <w:r w:rsidRPr="002B10ED">
              <w:t>Signs of h</w:t>
            </w:r>
            <w:r w:rsidRPr="002B10ED">
              <w:t>ypophosphataemia</w:t>
            </w:r>
            <w:r w:rsidRPr="002B10ED">
              <w:t xml:space="preserve"> do not appear until the serum phosphate is under 0.32mmol/L, which is the severe stage it is only through blood tests that a drop in levels is normally noted. </w:t>
            </w:r>
          </w:p>
          <w:p w:rsidR="00AD251A" w:rsidRPr="002B10ED" w:rsidRDefault="00AD251A"/>
          <w:p w:rsidR="00AD251A" w:rsidRPr="002B10ED" w:rsidRDefault="00AD251A">
            <w:r w:rsidRPr="002B10ED">
              <w:t>Symptoms include:</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Generalised muscle weakness, myopathy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Confusion, irritability, hallucinations, somnolence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Paraesthesia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Coma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Hypotension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Respiratory failure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Rhabdomyolysis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Decreased cardiac contractility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Abnormal LFTs </w:t>
            </w:r>
          </w:p>
          <w:p w:rsidR="00AD251A" w:rsidRPr="002B10ED" w:rsidRDefault="00AD251A" w:rsidP="00AD251A">
            <w:pPr>
              <w:pStyle w:val="ListParagraph"/>
              <w:numPr>
                <w:ilvl w:val="0"/>
                <w:numId w:val="12"/>
              </w:numPr>
              <w:autoSpaceDE w:val="0"/>
              <w:autoSpaceDN w:val="0"/>
              <w:adjustRightInd w:val="0"/>
              <w:rPr>
                <w:rFonts w:cs="Arial"/>
                <w:color w:val="000000"/>
              </w:rPr>
            </w:pPr>
            <w:r w:rsidRPr="002B10ED">
              <w:rPr>
                <w:rFonts w:cs="Arial"/>
                <w:color w:val="000000"/>
              </w:rPr>
              <w:t xml:space="preserve">Cardiomyopathy, arrhythmias </w:t>
            </w:r>
          </w:p>
          <w:p w:rsidR="00AD251A" w:rsidRPr="002B10ED" w:rsidRDefault="00AD251A" w:rsidP="00AD251A">
            <w:pPr>
              <w:pStyle w:val="ListParagraph"/>
              <w:numPr>
                <w:ilvl w:val="0"/>
                <w:numId w:val="12"/>
              </w:numPr>
            </w:pPr>
            <w:r w:rsidRPr="002B10ED">
              <w:rPr>
                <w:rFonts w:cs="Arial"/>
                <w:color w:val="000000"/>
              </w:rPr>
              <w:t>Seizures</w:t>
            </w:r>
          </w:p>
          <w:p w:rsidR="00AD251A" w:rsidRPr="002B10ED" w:rsidRDefault="00AD251A" w:rsidP="00AD251A"/>
          <w:p w:rsidR="00AD251A" w:rsidRPr="002B10ED" w:rsidRDefault="00AD251A" w:rsidP="00AD251A">
            <w:r w:rsidRPr="002B10ED">
              <w:t>Causes of h</w:t>
            </w:r>
            <w:r w:rsidRPr="002B10ED">
              <w:t>ypophosphataemia</w:t>
            </w:r>
            <w:r w:rsidRPr="002B10ED">
              <w:t xml:space="preserve"> include:</w:t>
            </w:r>
          </w:p>
          <w:p w:rsidR="00AD251A" w:rsidRPr="002B10ED" w:rsidRDefault="00AD251A" w:rsidP="00AD251A">
            <w:pPr>
              <w:pStyle w:val="Default"/>
              <w:rPr>
                <w:rFonts w:asciiTheme="minorHAnsi" w:hAnsiTheme="minorHAnsi"/>
                <w:sz w:val="22"/>
                <w:szCs w:val="22"/>
              </w:rPr>
            </w:pPr>
            <w:r w:rsidRPr="002B10ED">
              <w:rPr>
                <w:rFonts w:asciiTheme="minorHAnsi" w:hAnsiTheme="minorHAnsi"/>
                <w:sz w:val="22"/>
                <w:szCs w:val="22"/>
              </w:rPr>
              <w:t>Refeeding syndrome, recovery from diabetic ketoaci</w:t>
            </w:r>
            <w:r w:rsidRPr="002B10ED">
              <w:rPr>
                <w:rFonts w:asciiTheme="minorHAnsi" w:hAnsiTheme="minorHAnsi"/>
                <w:sz w:val="22"/>
                <w:szCs w:val="22"/>
              </w:rPr>
              <w:t xml:space="preserve">dosis, alkalosis, sepsis, drugs, </w:t>
            </w:r>
            <w:r w:rsidRPr="002B10ED">
              <w:rPr>
                <w:rFonts w:asciiTheme="minorHAnsi" w:hAnsiTheme="minorHAnsi"/>
                <w:sz w:val="22"/>
                <w:szCs w:val="22"/>
              </w:rPr>
              <w:t xml:space="preserve">Vitamin D deficiency, diarrhoea, malabsorption, vomiting, </w:t>
            </w:r>
          </w:p>
          <w:p w:rsidR="00AD251A" w:rsidRPr="002B10ED" w:rsidRDefault="00AD251A" w:rsidP="00AD251A">
            <w:pPr>
              <w:pStyle w:val="Default"/>
              <w:rPr>
                <w:rFonts w:asciiTheme="minorHAnsi" w:hAnsiTheme="minorHAnsi"/>
                <w:sz w:val="22"/>
                <w:szCs w:val="22"/>
              </w:rPr>
            </w:pPr>
            <w:r w:rsidRPr="002B10ED">
              <w:rPr>
                <w:rFonts w:asciiTheme="minorHAnsi" w:hAnsiTheme="minorHAnsi"/>
                <w:sz w:val="22"/>
                <w:szCs w:val="22"/>
              </w:rPr>
              <w:t xml:space="preserve">Renal tubular defects, hyperparathyroidism, disorders of vitamin D metabolism, diuretics, renal treatment </w:t>
            </w:r>
            <w:r w:rsidRPr="002B10ED">
              <w:rPr>
                <w:rFonts w:asciiTheme="minorHAnsi" w:hAnsiTheme="minorHAnsi"/>
                <w:sz w:val="22"/>
                <w:szCs w:val="22"/>
              </w:rPr>
              <w:t>and chronic alcoholism.</w:t>
            </w:r>
          </w:p>
          <w:p w:rsidR="00AD251A" w:rsidRPr="002B10ED" w:rsidRDefault="00AD251A" w:rsidP="00AD251A">
            <w:pPr>
              <w:pStyle w:val="Default"/>
              <w:rPr>
                <w:rFonts w:asciiTheme="minorHAnsi" w:hAnsiTheme="minorHAnsi"/>
                <w:sz w:val="22"/>
                <w:szCs w:val="22"/>
              </w:rPr>
            </w:pPr>
          </w:p>
          <w:p w:rsidR="002B10ED" w:rsidRPr="002B10ED" w:rsidRDefault="002B10ED" w:rsidP="002B10ED">
            <w:pPr>
              <w:pStyle w:val="Default"/>
              <w:rPr>
                <w:rFonts w:asciiTheme="minorHAnsi" w:hAnsiTheme="minorHAnsi"/>
                <w:sz w:val="22"/>
                <w:szCs w:val="22"/>
              </w:rPr>
            </w:pPr>
            <w:r w:rsidRPr="002B10ED">
              <w:rPr>
                <w:rFonts w:asciiTheme="minorHAnsi" w:hAnsiTheme="minorHAnsi"/>
                <w:sz w:val="22"/>
                <w:szCs w:val="22"/>
              </w:rPr>
              <w:t xml:space="preserve">Treatment is normally given orally for patients who are able to eat and drink in the form of </w:t>
            </w:r>
            <w:r w:rsidRPr="002B10ED">
              <w:rPr>
                <w:rFonts w:asciiTheme="minorHAnsi" w:hAnsiTheme="minorHAnsi"/>
                <w:sz w:val="22"/>
                <w:szCs w:val="22"/>
              </w:rPr>
              <w:t>Phospha</w:t>
            </w:r>
            <w:r w:rsidRPr="002B10ED">
              <w:rPr>
                <w:rFonts w:asciiTheme="minorHAnsi" w:hAnsiTheme="minorHAnsi"/>
                <w:sz w:val="22"/>
                <w:szCs w:val="22"/>
              </w:rPr>
              <w:t xml:space="preserve">te Sandoz® effervescent tablets, however for patients who are nil by mouth and unable to tolerate NG feeding you can administer </w:t>
            </w:r>
          </w:p>
          <w:p w:rsidR="002B10ED" w:rsidRPr="002B10ED" w:rsidRDefault="002B10ED" w:rsidP="002B10ED">
            <w:pPr>
              <w:pStyle w:val="Default"/>
              <w:rPr>
                <w:rFonts w:asciiTheme="minorHAnsi" w:hAnsiTheme="minorHAnsi"/>
                <w:color w:val="auto"/>
                <w:sz w:val="22"/>
                <w:szCs w:val="22"/>
              </w:rPr>
            </w:pPr>
          </w:p>
          <w:p w:rsidR="002B10ED" w:rsidRPr="002B10ED" w:rsidRDefault="002B10ED" w:rsidP="002B10ED">
            <w:pPr>
              <w:pStyle w:val="Default"/>
              <w:rPr>
                <w:rFonts w:asciiTheme="minorHAnsi" w:hAnsiTheme="minorHAnsi"/>
                <w:sz w:val="22"/>
                <w:szCs w:val="22"/>
              </w:rPr>
            </w:pPr>
            <w:r w:rsidRPr="002B10ED">
              <w:rPr>
                <w:rFonts w:asciiTheme="minorHAnsi" w:hAnsiTheme="minorHAnsi"/>
                <w:sz w:val="22"/>
                <w:szCs w:val="22"/>
              </w:rPr>
              <w:t>9 mmol of potassium acid phosphate 13.6% in 250 ml sod</w:t>
            </w:r>
            <w:r w:rsidRPr="002B10ED">
              <w:rPr>
                <w:rFonts w:asciiTheme="minorHAnsi" w:hAnsiTheme="minorHAnsi"/>
                <w:sz w:val="22"/>
                <w:szCs w:val="22"/>
              </w:rPr>
              <w:t xml:space="preserve">ium chloride 0.9% over 12 hours. </w:t>
            </w:r>
          </w:p>
          <w:p w:rsidR="002B10ED" w:rsidRPr="002B10ED" w:rsidRDefault="002B10ED" w:rsidP="002B10ED">
            <w:pPr>
              <w:pStyle w:val="Default"/>
              <w:rPr>
                <w:rFonts w:asciiTheme="minorHAnsi" w:hAnsiTheme="minorHAnsi"/>
                <w:sz w:val="22"/>
                <w:szCs w:val="22"/>
              </w:rPr>
            </w:pPr>
            <w:r w:rsidRPr="002B10ED">
              <w:rPr>
                <w:rFonts w:asciiTheme="minorHAnsi" w:hAnsiTheme="minorHAnsi"/>
                <w:sz w:val="22"/>
                <w:szCs w:val="22"/>
              </w:rPr>
              <w:t xml:space="preserve">For patients who have severe causes or are symptomatic of </w:t>
            </w:r>
            <w:r w:rsidRPr="002B10ED">
              <w:rPr>
                <w:rFonts w:asciiTheme="minorHAnsi" w:hAnsiTheme="minorHAnsi"/>
                <w:sz w:val="22"/>
                <w:szCs w:val="22"/>
              </w:rPr>
              <w:t>Hypophosphataemia</w:t>
            </w:r>
            <w:r w:rsidRPr="002B10ED">
              <w:rPr>
                <w:rFonts w:asciiTheme="minorHAnsi" w:hAnsiTheme="minorHAnsi"/>
                <w:sz w:val="22"/>
                <w:szCs w:val="22"/>
              </w:rPr>
              <w:t xml:space="preserve"> the intravenous dose of potassium acid phosphate can be increased to:</w:t>
            </w:r>
          </w:p>
          <w:p w:rsidR="00AD251A" w:rsidRPr="002B10ED" w:rsidRDefault="002B10ED" w:rsidP="002B10ED">
            <w:pPr>
              <w:pStyle w:val="Default"/>
              <w:rPr>
                <w:rFonts w:asciiTheme="minorHAnsi" w:hAnsiTheme="minorHAnsi"/>
                <w:sz w:val="22"/>
                <w:szCs w:val="22"/>
              </w:rPr>
            </w:pPr>
            <w:r w:rsidRPr="002B10ED">
              <w:rPr>
                <w:rFonts w:asciiTheme="minorHAnsi" w:hAnsiTheme="minorHAnsi"/>
                <w:sz w:val="22"/>
                <w:szCs w:val="22"/>
              </w:rPr>
              <w:t>18-27 mmol potassium acid phosphate in 500-750 ml sodium chloride 0.9% should be infused over 12-24 hours.</w:t>
            </w:r>
          </w:p>
          <w:p w:rsidR="00496E34" w:rsidRDefault="00496E34" w:rsidP="002B10ED"/>
          <w:p w:rsidR="002B10ED" w:rsidRPr="002B10ED" w:rsidRDefault="002B10ED" w:rsidP="002B10ED"/>
        </w:tc>
      </w:tr>
      <w:tr w:rsidR="00496E34" w:rsidTr="002B10ED">
        <w:tc>
          <w:tcPr>
            <w:tcW w:w="2127" w:type="dxa"/>
          </w:tcPr>
          <w:p w:rsidR="00496E34" w:rsidRPr="002B10ED" w:rsidRDefault="00496E34" w:rsidP="00300D63">
            <w:pPr>
              <w:jc w:val="center"/>
              <w:rPr>
                <w:b/>
              </w:rPr>
            </w:pPr>
          </w:p>
          <w:p w:rsidR="00496E34" w:rsidRPr="002B10ED" w:rsidRDefault="00496E34" w:rsidP="00300D63">
            <w:pPr>
              <w:jc w:val="center"/>
              <w:rPr>
                <w:b/>
              </w:rPr>
            </w:pPr>
            <w:r w:rsidRPr="002B10ED">
              <w:rPr>
                <w:b/>
              </w:rPr>
              <w:t>Hypomagnesaemia</w:t>
            </w:r>
          </w:p>
        </w:tc>
        <w:tc>
          <w:tcPr>
            <w:tcW w:w="8789" w:type="dxa"/>
          </w:tcPr>
          <w:p w:rsidR="00496E34" w:rsidRPr="002B7B9E" w:rsidRDefault="00496E34" w:rsidP="00300D63"/>
          <w:p w:rsidR="000034C7" w:rsidRPr="000034C7" w:rsidRDefault="000034C7" w:rsidP="000034C7">
            <w:r w:rsidRPr="000034C7">
              <w:t>Hypomagnesaemia</w:t>
            </w:r>
            <w:r w:rsidRPr="000034C7">
              <w:t xml:space="preserve"> is a low serum magnesium level however this can also </w:t>
            </w:r>
            <w:r w:rsidRPr="000034C7">
              <w:t>cause secondary hypocalcaemia, and also hypokalaemia and hyponatraemia. Therefore correction of magnesium may aid the correction of other electrolytes.</w:t>
            </w:r>
            <w:r w:rsidRPr="000034C7">
              <w:t xml:space="preserve"> Normal magnesium levels are 0.7 – 1.0mmol/L, drops in this level are classed as mild </w:t>
            </w:r>
            <w:r w:rsidRPr="000034C7">
              <w:rPr>
                <w:rFonts w:cs="Arial"/>
                <w:color w:val="000000"/>
              </w:rPr>
              <w:t>0.5-0.7mmol/l</w:t>
            </w:r>
            <w:r w:rsidRPr="000034C7">
              <w:rPr>
                <w:rFonts w:cs="Arial"/>
                <w:color w:val="000000"/>
              </w:rPr>
              <w:t xml:space="preserve"> or moderate to severe under 0.5mmol/L. </w:t>
            </w:r>
          </w:p>
          <w:p w:rsidR="000034C7" w:rsidRPr="000034C7" w:rsidRDefault="000034C7" w:rsidP="000034C7">
            <w:pPr>
              <w:autoSpaceDE w:val="0"/>
              <w:autoSpaceDN w:val="0"/>
              <w:adjustRightInd w:val="0"/>
              <w:rPr>
                <w:rFonts w:cs="Arial"/>
                <w:color w:val="000000"/>
              </w:rPr>
            </w:pPr>
          </w:p>
          <w:p w:rsidR="00496E34" w:rsidRPr="000034C7" w:rsidRDefault="000034C7" w:rsidP="00300D63">
            <w:r w:rsidRPr="000034C7">
              <w:rPr>
                <w:rFonts w:cs="Arial"/>
                <w:color w:val="000000"/>
              </w:rPr>
              <w:t>Symptomatic hypomagnesaemia is usually associated with addit</w:t>
            </w:r>
            <w:r w:rsidRPr="000034C7">
              <w:rPr>
                <w:rFonts w:cs="Arial"/>
                <w:color w:val="000000"/>
              </w:rPr>
              <w:t xml:space="preserve">ional electrolyte abnormalities and normally the symptoms only manifest only in the moderate to severe stages. </w:t>
            </w:r>
          </w:p>
          <w:p w:rsidR="000034C7" w:rsidRPr="000034C7" w:rsidRDefault="000034C7" w:rsidP="00300D63"/>
          <w:p w:rsidR="000034C7" w:rsidRPr="000034C7" w:rsidRDefault="000034C7" w:rsidP="000034C7">
            <w:pPr>
              <w:autoSpaceDE w:val="0"/>
              <w:autoSpaceDN w:val="0"/>
              <w:adjustRightInd w:val="0"/>
              <w:rPr>
                <w:rFonts w:cs="Arial"/>
                <w:color w:val="000000"/>
              </w:rPr>
            </w:pPr>
            <w:r w:rsidRPr="000034C7">
              <w:rPr>
                <w:rFonts w:cs="Arial"/>
                <w:b/>
                <w:bCs/>
                <w:color w:val="000000"/>
              </w:rPr>
              <w:t xml:space="preserve">Signs, symptoms and consequences of hypomagnesaemia </w:t>
            </w:r>
          </w:p>
          <w:p w:rsidR="000034C7" w:rsidRPr="000034C7" w:rsidRDefault="000034C7" w:rsidP="000034C7">
            <w:pPr>
              <w:pStyle w:val="ListParagraph"/>
              <w:numPr>
                <w:ilvl w:val="0"/>
                <w:numId w:val="13"/>
              </w:numPr>
              <w:autoSpaceDE w:val="0"/>
              <w:autoSpaceDN w:val="0"/>
              <w:adjustRightInd w:val="0"/>
              <w:spacing w:after="76"/>
              <w:rPr>
                <w:rFonts w:cs="Arial"/>
                <w:color w:val="000000"/>
              </w:rPr>
            </w:pPr>
            <w:r>
              <w:rPr>
                <w:rFonts w:cs="Arial"/>
                <w:color w:val="000000"/>
              </w:rPr>
              <w:t>M</w:t>
            </w:r>
            <w:r w:rsidRPr="000034C7">
              <w:rPr>
                <w:rFonts w:cs="Arial"/>
                <w:color w:val="000000"/>
              </w:rPr>
              <w:t xml:space="preserve">uscle weakness, ataxia, tremor, seizures, </w:t>
            </w:r>
            <w:proofErr w:type="spellStart"/>
            <w:r w:rsidRPr="000034C7">
              <w:rPr>
                <w:rFonts w:cs="Arial"/>
                <w:color w:val="000000"/>
              </w:rPr>
              <w:t>carpopedal</w:t>
            </w:r>
            <w:proofErr w:type="spellEnd"/>
            <w:r w:rsidRPr="000034C7">
              <w:rPr>
                <w:rFonts w:cs="Arial"/>
                <w:color w:val="000000"/>
              </w:rPr>
              <w:t xml:space="preserve"> spasm </w:t>
            </w:r>
          </w:p>
          <w:p w:rsidR="000034C7" w:rsidRPr="000034C7" w:rsidRDefault="000034C7" w:rsidP="000034C7">
            <w:pPr>
              <w:pStyle w:val="ListParagraph"/>
              <w:numPr>
                <w:ilvl w:val="0"/>
                <w:numId w:val="13"/>
              </w:numPr>
              <w:autoSpaceDE w:val="0"/>
              <w:autoSpaceDN w:val="0"/>
              <w:adjustRightInd w:val="0"/>
              <w:spacing w:after="76"/>
              <w:rPr>
                <w:rFonts w:cs="Arial"/>
                <w:color w:val="000000"/>
              </w:rPr>
            </w:pPr>
            <w:r>
              <w:rPr>
                <w:rFonts w:cs="Wingdings"/>
                <w:color w:val="000000"/>
              </w:rPr>
              <w:t>V</w:t>
            </w:r>
            <w:r w:rsidRPr="000034C7">
              <w:rPr>
                <w:rFonts w:cs="Arial"/>
                <w:color w:val="000000"/>
              </w:rPr>
              <w:t xml:space="preserve">entricular arrhythmias, ECG abnormalities such as prolonged QT interval and tachycardia </w:t>
            </w:r>
          </w:p>
          <w:p w:rsidR="000034C7" w:rsidRPr="000034C7" w:rsidRDefault="000034C7" w:rsidP="000034C7">
            <w:pPr>
              <w:pStyle w:val="ListParagraph"/>
              <w:numPr>
                <w:ilvl w:val="0"/>
                <w:numId w:val="13"/>
              </w:numPr>
              <w:autoSpaceDE w:val="0"/>
              <w:autoSpaceDN w:val="0"/>
              <w:adjustRightInd w:val="0"/>
              <w:spacing w:after="76"/>
              <w:rPr>
                <w:rFonts w:cs="Arial"/>
                <w:color w:val="000000"/>
              </w:rPr>
            </w:pPr>
            <w:r>
              <w:rPr>
                <w:rFonts w:cs="Wingdings"/>
                <w:color w:val="000000"/>
              </w:rPr>
              <w:t>D</w:t>
            </w:r>
            <w:r w:rsidRPr="000034C7">
              <w:rPr>
                <w:rFonts w:cs="Arial"/>
                <w:color w:val="000000"/>
              </w:rPr>
              <w:t xml:space="preserve">epression, psychosis </w:t>
            </w:r>
          </w:p>
          <w:p w:rsidR="000034C7" w:rsidRPr="000034C7" w:rsidRDefault="000034C7" w:rsidP="000034C7">
            <w:pPr>
              <w:pStyle w:val="ListParagraph"/>
              <w:numPr>
                <w:ilvl w:val="0"/>
                <w:numId w:val="13"/>
              </w:numPr>
              <w:autoSpaceDE w:val="0"/>
              <w:autoSpaceDN w:val="0"/>
              <w:adjustRightInd w:val="0"/>
              <w:spacing w:after="76"/>
              <w:rPr>
                <w:rFonts w:cs="Arial"/>
                <w:color w:val="000000"/>
              </w:rPr>
            </w:pPr>
            <w:r>
              <w:rPr>
                <w:rFonts w:cs="Wingdings"/>
                <w:color w:val="000000"/>
              </w:rPr>
              <w:t>V</w:t>
            </w:r>
            <w:r w:rsidRPr="000034C7">
              <w:rPr>
                <w:rFonts w:cs="Arial"/>
                <w:color w:val="000000"/>
              </w:rPr>
              <w:t xml:space="preserve">ertigo </w:t>
            </w:r>
          </w:p>
          <w:p w:rsidR="000034C7" w:rsidRPr="000034C7" w:rsidRDefault="000034C7" w:rsidP="000034C7">
            <w:pPr>
              <w:pStyle w:val="ListParagraph"/>
              <w:numPr>
                <w:ilvl w:val="0"/>
                <w:numId w:val="13"/>
              </w:numPr>
              <w:autoSpaceDE w:val="0"/>
              <w:autoSpaceDN w:val="0"/>
              <w:adjustRightInd w:val="0"/>
              <w:rPr>
                <w:rFonts w:cs="Arial"/>
                <w:color w:val="000000"/>
              </w:rPr>
            </w:pPr>
            <w:proofErr w:type="spellStart"/>
            <w:r>
              <w:rPr>
                <w:rFonts w:cs="Wingdings"/>
                <w:color w:val="000000"/>
              </w:rPr>
              <w:t>H</w:t>
            </w:r>
            <w:r w:rsidRPr="000034C7">
              <w:rPr>
                <w:rFonts w:cs="Arial"/>
                <w:color w:val="000000"/>
              </w:rPr>
              <w:t>yperinsulinism</w:t>
            </w:r>
            <w:proofErr w:type="spellEnd"/>
            <w:r w:rsidRPr="000034C7">
              <w:rPr>
                <w:rFonts w:cs="Arial"/>
                <w:color w:val="000000"/>
              </w:rPr>
              <w:t xml:space="preserve"> </w:t>
            </w:r>
          </w:p>
          <w:p w:rsidR="000034C7" w:rsidRPr="006C4B99" w:rsidRDefault="000034C7" w:rsidP="000034C7">
            <w:pPr>
              <w:autoSpaceDE w:val="0"/>
              <w:autoSpaceDN w:val="0"/>
              <w:adjustRightInd w:val="0"/>
              <w:rPr>
                <w:rFonts w:cs="Arial"/>
                <w:color w:val="000000"/>
              </w:rPr>
            </w:pPr>
          </w:p>
          <w:p w:rsidR="00931144" w:rsidRPr="006C4B99" w:rsidRDefault="00931144" w:rsidP="000034C7">
            <w:pPr>
              <w:autoSpaceDE w:val="0"/>
              <w:autoSpaceDN w:val="0"/>
              <w:adjustRightInd w:val="0"/>
              <w:rPr>
                <w:rFonts w:cs="Arial"/>
                <w:b/>
                <w:bCs/>
                <w:color w:val="000000"/>
              </w:rPr>
            </w:pPr>
            <w:r w:rsidRPr="006C4B99">
              <w:rPr>
                <w:rFonts w:cs="Arial"/>
                <w:color w:val="000000"/>
              </w:rPr>
              <w:t xml:space="preserve">Causes of </w:t>
            </w:r>
            <w:r w:rsidRPr="000034C7">
              <w:rPr>
                <w:rFonts w:cs="Arial"/>
                <w:b/>
                <w:bCs/>
                <w:color w:val="000000"/>
              </w:rPr>
              <w:t>hypomagnesaemia</w:t>
            </w:r>
            <w:r w:rsidRPr="006C4B99">
              <w:rPr>
                <w:rFonts w:cs="Arial"/>
                <w:b/>
                <w:bCs/>
                <w:color w:val="000000"/>
              </w:rPr>
              <w:t xml:space="preserve"> can include:</w:t>
            </w:r>
          </w:p>
          <w:tbl>
            <w:tblPr>
              <w:tblW w:w="0" w:type="auto"/>
              <w:tblBorders>
                <w:top w:val="nil"/>
                <w:left w:val="nil"/>
                <w:bottom w:val="nil"/>
                <w:right w:val="nil"/>
              </w:tblBorders>
              <w:tblLayout w:type="fixed"/>
              <w:tblLook w:val="0000" w:firstRow="0" w:lastRow="0" w:firstColumn="0" w:lastColumn="0" w:noHBand="0" w:noVBand="0"/>
            </w:tblPr>
            <w:tblGrid>
              <w:gridCol w:w="4124"/>
              <w:gridCol w:w="4124"/>
            </w:tblGrid>
            <w:tr w:rsidR="00931144" w:rsidRPr="00931144">
              <w:tblPrEx>
                <w:tblCellMar>
                  <w:top w:w="0" w:type="dxa"/>
                  <w:bottom w:w="0" w:type="dxa"/>
                </w:tblCellMar>
              </w:tblPrEx>
              <w:trPr>
                <w:trHeight w:val="132"/>
              </w:trPr>
              <w:tc>
                <w:tcPr>
                  <w:tcW w:w="4124" w:type="dxa"/>
                </w:tcPr>
                <w:p w:rsidR="00931144" w:rsidRPr="006C4B99" w:rsidRDefault="00931144" w:rsidP="00931144">
                  <w:pPr>
                    <w:pStyle w:val="ListParagraph"/>
                    <w:autoSpaceDE w:val="0"/>
                    <w:autoSpaceDN w:val="0"/>
                    <w:adjustRightInd w:val="0"/>
                    <w:spacing w:after="0" w:line="240" w:lineRule="auto"/>
                  </w:pPr>
                </w:p>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Gastrointestinal loss; diarrhoea </w:t>
                  </w:r>
                </w:p>
                <w:p w:rsidR="00931144" w:rsidRPr="00931144" w:rsidRDefault="00931144" w:rsidP="00931144">
                  <w:pPr>
                    <w:autoSpaceDE w:val="0"/>
                    <w:autoSpaceDN w:val="0"/>
                    <w:adjustRightInd w:val="0"/>
                    <w:spacing w:after="0" w:line="240" w:lineRule="auto"/>
                    <w:rPr>
                      <w:color w:val="000000"/>
                    </w:rPr>
                  </w:pPr>
                </w:p>
              </w:tc>
              <w:tc>
                <w:tcPr>
                  <w:tcW w:w="4124" w:type="dxa"/>
                </w:tcPr>
                <w:p w:rsidR="00931144" w:rsidRPr="006C4B99" w:rsidRDefault="00931144" w:rsidP="00931144">
                  <w:pPr>
                    <w:pStyle w:val="ListParagraph"/>
                    <w:autoSpaceDE w:val="0"/>
                    <w:autoSpaceDN w:val="0"/>
                    <w:adjustRightInd w:val="0"/>
                    <w:spacing w:after="0" w:line="240" w:lineRule="auto"/>
                  </w:pPr>
                </w:p>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Malabsorption </w:t>
                  </w:r>
                </w:p>
                <w:p w:rsidR="00931144" w:rsidRPr="00931144" w:rsidRDefault="00931144" w:rsidP="00931144">
                  <w:pPr>
                    <w:autoSpaceDE w:val="0"/>
                    <w:autoSpaceDN w:val="0"/>
                    <w:adjustRightInd w:val="0"/>
                    <w:spacing w:after="0" w:line="240" w:lineRule="auto"/>
                    <w:rPr>
                      <w:color w:val="000000"/>
                    </w:rPr>
                  </w:pPr>
                </w:p>
              </w:tc>
            </w:tr>
            <w:tr w:rsidR="00931144" w:rsidRPr="00931144">
              <w:tblPrEx>
                <w:tblCellMar>
                  <w:top w:w="0" w:type="dxa"/>
                  <w:bottom w:w="0" w:type="dxa"/>
                </w:tblCellMar>
              </w:tblPrEx>
              <w:trPr>
                <w:trHeight w:val="132"/>
              </w:trPr>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Malnutrition </w:t>
                  </w:r>
                </w:p>
                <w:p w:rsidR="00931144" w:rsidRPr="00931144" w:rsidRDefault="00931144" w:rsidP="00931144">
                  <w:pPr>
                    <w:autoSpaceDE w:val="0"/>
                    <w:autoSpaceDN w:val="0"/>
                    <w:adjustRightInd w:val="0"/>
                    <w:spacing w:after="0" w:line="240" w:lineRule="auto"/>
                    <w:rPr>
                      <w:color w:val="000000"/>
                    </w:rPr>
                  </w:pPr>
                </w:p>
              </w:tc>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rFonts w:cs="Arial"/>
                      <w:color w:val="000000"/>
                    </w:rPr>
                  </w:pPr>
                  <w:r w:rsidRPr="006C4B99">
                    <w:rPr>
                      <w:rFonts w:cs="Arial"/>
                      <w:color w:val="000000"/>
                    </w:rPr>
                    <w:t xml:space="preserve">Acute pancreatitis </w:t>
                  </w:r>
                </w:p>
                <w:p w:rsidR="00931144" w:rsidRPr="00931144" w:rsidRDefault="00931144" w:rsidP="00931144">
                  <w:pPr>
                    <w:autoSpaceDE w:val="0"/>
                    <w:autoSpaceDN w:val="0"/>
                    <w:adjustRightInd w:val="0"/>
                    <w:spacing w:after="0" w:line="240" w:lineRule="auto"/>
                    <w:rPr>
                      <w:rFonts w:cs="Arial"/>
                      <w:color w:val="000000"/>
                    </w:rPr>
                  </w:pPr>
                </w:p>
              </w:tc>
            </w:tr>
            <w:tr w:rsidR="00931144" w:rsidRPr="00931144">
              <w:tblPrEx>
                <w:tblCellMar>
                  <w:top w:w="0" w:type="dxa"/>
                  <w:bottom w:w="0" w:type="dxa"/>
                </w:tblCellMar>
              </w:tblPrEx>
              <w:trPr>
                <w:trHeight w:val="317"/>
              </w:trPr>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rFonts w:cs="Arial"/>
                      <w:color w:val="000000"/>
                    </w:rPr>
                  </w:pPr>
                  <w:r w:rsidRPr="006C4B99">
                    <w:rPr>
                      <w:rFonts w:cs="Arial"/>
                      <w:color w:val="000000"/>
                    </w:rPr>
                    <w:t xml:space="preserve">Renal tubular reabsorption defects </w:t>
                  </w:r>
                </w:p>
                <w:p w:rsidR="00931144" w:rsidRPr="00931144" w:rsidRDefault="00931144" w:rsidP="00931144">
                  <w:pPr>
                    <w:autoSpaceDE w:val="0"/>
                    <w:autoSpaceDN w:val="0"/>
                    <w:adjustRightInd w:val="0"/>
                    <w:spacing w:after="0" w:line="240" w:lineRule="auto"/>
                    <w:rPr>
                      <w:rFonts w:cs="Arial"/>
                      <w:color w:val="000000"/>
                    </w:rPr>
                  </w:pPr>
                </w:p>
              </w:tc>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Chronic alcoholism </w:t>
                  </w:r>
                </w:p>
                <w:p w:rsidR="00931144" w:rsidRPr="00931144" w:rsidRDefault="00931144" w:rsidP="00931144">
                  <w:pPr>
                    <w:autoSpaceDE w:val="0"/>
                    <w:autoSpaceDN w:val="0"/>
                    <w:adjustRightInd w:val="0"/>
                    <w:spacing w:after="0" w:line="240" w:lineRule="auto"/>
                    <w:rPr>
                      <w:color w:val="000000"/>
                    </w:rPr>
                  </w:pPr>
                </w:p>
              </w:tc>
            </w:tr>
            <w:tr w:rsidR="00931144" w:rsidRPr="00931144">
              <w:tblPrEx>
                <w:tblCellMar>
                  <w:top w:w="0" w:type="dxa"/>
                  <w:bottom w:w="0" w:type="dxa"/>
                </w:tblCellMar>
              </w:tblPrEx>
              <w:trPr>
                <w:trHeight w:val="132"/>
              </w:trPr>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Hyperaldosteronism </w:t>
                  </w:r>
                </w:p>
                <w:p w:rsidR="00931144" w:rsidRPr="00931144" w:rsidRDefault="00931144" w:rsidP="00931144">
                  <w:pPr>
                    <w:autoSpaceDE w:val="0"/>
                    <w:autoSpaceDN w:val="0"/>
                    <w:adjustRightInd w:val="0"/>
                    <w:spacing w:after="0" w:line="240" w:lineRule="auto"/>
                    <w:rPr>
                      <w:color w:val="000000"/>
                    </w:rPr>
                  </w:pPr>
                </w:p>
              </w:tc>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Lactation </w:t>
                  </w:r>
                </w:p>
                <w:p w:rsidR="00931144" w:rsidRPr="00931144" w:rsidRDefault="00931144" w:rsidP="00931144">
                  <w:pPr>
                    <w:autoSpaceDE w:val="0"/>
                    <w:autoSpaceDN w:val="0"/>
                    <w:adjustRightInd w:val="0"/>
                    <w:spacing w:after="0" w:line="240" w:lineRule="auto"/>
                    <w:rPr>
                      <w:color w:val="000000"/>
                    </w:rPr>
                  </w:pPr>
                </w:p>
              </w:tc>
            </w:tr>
            <w:tr w:rsidR="00931144" w:rsidRPr="00931144">
              <w:tblPrEx>
                <w:tblCellMar>
                  <w:top w:w="0" w:type="dxa"/>
                  <w:bottom w:w="0" w:type="dxa"/>
                </w:tblCellMar>
              </w:tblPrEx>
              <w:trPr>
                <w:trHeight w:val="316"/>
              </w:trPr>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rFonts w:cs="Arial"/>
                      <w:color w:val="000000"/>
                    </w:rPr>
                  </w:pPr>
                  <w:r w:rsidRPr="006C4B99">
                    <w:rPr>
                      <w:rFonts w:cs="Arial"/>
                      <w:color w:val="000000"/>
                    </w:rPr>
                    <w:t xml:space="preserve">Long-term IV nutrition or fluid therapy </w:t>
                  </w:r>
                </w:p>
                <w:p w:rsidR="00931144" w:rsidRPr="00931144" w:rsidRDefault="00931144" w:rsidP="00931144">
                  <w:pPr>
                    <w:autoSpaceDE w:val="0"/>
                    <w:autoSpaceDN w:val="0"/>
                    <w:adjustRightInd w:val="0"/>
                    <w:spacing w:after="0" w:line="240" w:lineRule="auto"/>
                    <w:rPr>
                      <w:rFonts w:cs="Arial"/>
                      <w:color w:val="000000"/>
                    </w:rPr>
                  </w:pPr>
                </w:p>
              </w:tc>
              <w:tc>
                <w:tcPr>
                  <w:tcW w:w="4124" w:type="dxa"/>
                </w:tcPr>
                <w:p w:rsidR="00931144" w:rsidRPr="006C4B99" w:rsidRDefault="00931144" w:rsidP="00931144">
                  <w:pPr>
                    <w:pStyle w:val="ListParagraph"/>
                    <w:numPr>
                      <w:ilvl w:val="0"/>
                      <w:numId w:val="14"/>
                    </w:numPr>
                    <w:autoSpaceDE w:val="0"/>
                    <w:autoSpaceDN w:val="0"/>
                    <w:adjustRightInd w:val="0"/>
                    <w:spacing w:after="0" w:line="240" w:lineRule="auto"/>
                    <w:rPr>
                      <w:rFonts w:cs="Arial"/>
                      <w:color w:val="000000"/>
                    </w:rPr>
                  </w:pPr>
                  <w:r w:rsidRPr="006C4B99">
                    <w:rPr>
                      <w:rFonts w:cs="Arial"/>
                      <w:color w:val="000000"/>
                    </w:rPr>
                    <w:t>Re-feeding Syndrome</w:t>
                  </w:r>
                </w:p>
                <w:p w:rsidR="00931144" w:rsidRPr="00931144" w:rsidRDefault="00931144" w:rsidP="00931144">
                  <w:pPr>
                    <w:autoSpaceDE w:val="0"/>
                    <w:autoSpaceDN w:val="0"/>
                    <w:adjustRightInd w:val="0"/>
                    <w:spacing w:after="0" w:line="240" w:lineRule="auto"/>
                    <w:rPr>
                      <w:rFonts w:cs="Arial"/>
                      <w:color w:val="000000"/>
                    </w:rPr>
                  </w:pPr>
                </w:p>
              </w:tc>
            </w:tr>
            <w:tr w:rsidR="00931144" w:rsidRPr="00931144" w:rsidTr="00931144">
              <w:tblPrEx>
                <w:tblCellMar>
                  <w:top w:w="0" w:type="dxa"/>
                  <w:bottom w:w="0" w:type="dxa"/>
                </w:tblCellMar>
              </w:tblPrEx>
              <w:trPr>
                <w:trHeight w:val="1642"/>
              </w:trPr>
              <w:tc>
                <w:tcPr>
                  <w:tcW w:w="8248" w:type="dxa"/>
                  <w:gridSpan w:val="2"/>
                </w:tcPr>
                <w:p w:rsidR="00931144" w:rsidRPr="006C4B99" w:rsidRDefault="00931144" w:rsidP="00931144">
                  <w:pPr>
                    <w:pStyle w:val="ListParagraph"/>
                    <w:numPr>
                      <w:ilvl w:val="0"/>
                      <w:numId w:val="14"/>
                    </w:numPr>
                    <w:autoSpaceDE w:val="0"/>
                    <w:autoSpaceDN w:val="0"/>
                    <w:adjustRightInd w:val="0"/>
                    <w:spacing w:after="0" w:line="240" w:lineRule="auto"/>
                    <w:rPr>
                      <w:color w:val="000000"/>
                    </w:rPr>
                  </w:pPr>
                  <w:r w:rsidRPr="006C4B99">
                    <w:rPr>
                      <w:color w:val="000000"/>
                    </w:rPr>
                    <w:t xml:space="preserve">Diabetic ketoacidosis </w:t>
                  </w:r>
                </w:p>
                <w:p w:rsidR="00931144" w:rsidRPr="006C4B99" w:rsidRDefault="00931144" w:rsidP="00931144">
                  <w:pPr>
                    <w:autoSpaceDE w:val="0"/>
                    <w:autoSpaceDN w:val="0"/>
                    <w:adjustRightInd w:val="0"/>
                    <w:spacing w:after="0" w:line="240" w:lineRule="auto"/>
                    <w:rPr>
                      <w:color w:val="000000"/>
                    </w:rPr>
                  </w:pPr>
                </w:p>
                <w:p w:rsidR="00931144" w:rsidRPr="006C4B99" w:rsidRDefault="00931144" w:rsidP="00931144">
                  <w:pPr>
                    <w:autoSpaceDE w:val="0"/>
                    <w:autoSpaceDN w:val="0"/>
                    <w:adjustRightInd w:val="0"/>
                    <w:spacing w:after="0" w:line="240" w:lineRule="auto"/>
                    <w:rPr>
                      <w:color w:val="000000"/>
                    </w:rPr>
                  </w:pPr>
                  <w:r w:rsidRPr="006C4B99">
                    <w:rPr>
                      <w:color w:val="000000"/>
                    </w:rPr>
                    <w:t>Treatment</w:t>
                  </w:r>
                </w:p>
                <w:p w:rsidR="00931144" w:rsidRPr="006C4B99" w:rsidRDefault="00931144" w:rsidP="006C4B99">
                  <w:pPr>
                    <w:pStyle w:val="Default"/>
                    <w:rPr>
                      <w:rFonts w:asciiTheme="minorHAnsi" w:hAnsiTheme="minorHAnsi" w:cs="Arial"/>
                      <w:sz w:val="22"/>
                      <w:szCs w:val="22"/>
                    </w:rPr>
                  </w:pPr>
                  <w:r w:rsidRPr="006C4B99">
                    <w:rPr>
                      <w:rFonts w:asciiTheme="minorHAnsi" w:hAnsiTheme="minorHAnsi"/>
                      <w:sz w:val="22"/>
                      <w:szCs w:val="22"/>
                    </w:rPr>
                    <w:t>Oral corrective treatment is not always well absorbed</w:t>
                  </w:r>
                  <w:r w:rsidR="006C4B99" w:rsidRPr="006C4B99">
                    <w:rPr>
                      <w:rFonts w:asciiTheme="minorHAnsi" w:hAnsiTheme="minorHAnsi"/>
                      <w:sz w:val="22"/>
                      <w:szCs w:val="22"/>
                    </w:rPr>
                    <w:t xml:space="preserve"> by the gastro-intestinal tract however if the patient is not symptomatic is it be first choice of treatment using </w:t>
                  </w:r>
                  <w:r w:rsidR="006C4B99" w:rsidRPr="006C4B99">
                    <w:rPr>
                      <w:rFonts w:asciiTheme="minorHAnsi" w:hAnsiTheme="minorHAnsi" w:cs="Arial"/>
                      <w:sz w:val="22"/>
                      <w:szCs w:val="22"/>
                    </w:rPr>
                    <w:t xml:space="preserve">Magnesium –L-aspartate </w:t>
                  </w:r>
                  <w:proofErr w:type="spellStart"/>
                  <w:r w:rsidR="006C4B99" w:rsidRPr="006C4B99">
                    <w:rPr>
                      <w:rFonts w:asciiTheme="minorHAnsi" w:hAnsiTheme="minorHAnsi" w:cs="Arial"/>
                      <w:sz w:val="22"/>
                      <w:szCs w:val="22"/>
                    </w:rPr>
                    <w:t>Magnaspartate</w:t>
                  </w:r>
                  <w:proofErr w:type="spellEnd"/>
                  <w:r w:rsidR="006C4B99" w:rsidRPr="006C4B99">
                    <w:rPr>
                      <w:rFonts w:asciiTheme="minorHAnsi" w:hAnsiTheme="minorHAnsi" w:cs="Arial"/>
                      <w:sz w:val="22"/>
                      <w:szCs w:val="22"/>
                    </w:rPr>
                    <w:t xml:space="preserve">® (10mmol/sachet) 1-2 sachets daily. </w:t>
                  </w:r>
                </w:p>
                <w:p w:rsidR="006C4B99" w:rsidRPr="006C4B99" w:rsidRDefault="006C4B99" w:rsidP="006C4B99">
                  <w:pPr>
                    <w:pStyle w:val="Default"/>
                    <w:rPr>
                      <w:rFonts w:asciiTheme="minorHAnsi" w:hAnsiTheme="minorHAnsi" w:cs="Arial"/>
                      <w:sz w:val="22"/>
                      <w:szCs w:val="22"/>
                    </w:rPr>
                  </w:pPr>
                  <w:r w:rsidRPr="006C4B99">
                    <w:rPr>
                      <w:rFonts w:asciiTheme="minorHAnsi" w:hAnsiTheme="minorHAnsi" w:cs="Arial"/>
                      <w:sz w:val="22"/>
                      <w:szCs w:val="22"/>
                    </w:rPr>
                    <w:t>However if the patient is symptomatic they should be treated intravenously using the following regime:</w:t>
                  </w:r>
                </w:p>
                <w:p w:rsidR="006C4B99" w:rsidRPr="00931144" w:rsidRDefault="006C4B99" w:rsidP="006C4B99">
                  <w:pPr>
                    <w:pStyle w:val="Default"/>
                    <w:rPr>
                      <w:rFonts w:asciiTheme="minorHAnsi" w:hAnsiTheme="minorHAnsi"/>
                      <w:sz w:val="22"/>
                      <w:szCs w:val="22"/>
                    </w:rPr>
                  </w:pPr>
                </w:p>
              </w:tc>
            </w:tr>
          </w:tbl>
          <w:p w:rsidR="006C4B99" w:rsidRPr="006C4B99" w:rsidRDefault="006C4B99" w:rsidP="006C4B99">
            <w:pPr>
              <w:autoSpaceDE w:val="0"/>
              <w:autoSpaceDN w:val="0"/>
              <w:adjustRightInd w:val="0"/>
              <w:rPr>
                <w:rFonts w:cs="Arial"/>
                <w:color w:val="000000"/>
              </w:rPr>
            </w:pPr>
            <w:r w:rsidRPr="006C4B99">
              <w:rPr>
                <w:rFonts w:cs="Arial"/>
                <w:b/>
                <w:bCs/>
                <w:color w:val="000000"/>
              </w:rPr>
              <w:t xml:space="preserve">Day 1 </w:t>
            </w:r>
          </w:p>
          <w:p w:rsidR="006C4B99" w:rsidRPr="006C4B99" w:rsidRDefault="006C4B99" w:rsidP="006C4B99">
            <w:pPr>
              <w:autoSpaceDE w:val="0"/>
              <w:autoSpaceDN w:val="0"/>
              <w:adjustRightInd w:val="0"/>
              <w:rPr>
                <w:rFonts w:cs="Arial"/>
                <w:color w:val="000000"/>
              </w:rPr>
            </w:pPr>
            <w:r w:rsidRPr="006C4B99">
              <w:rPr>
                <w:rFonts w:cs="Arial"/>
                <w:color w:val="000000"/>
              </w:rPr>
              <w:t xml:space="preserve">Magnesium Sulphate 50% 40mmol in 500ml glucose 5% over 12hours (No more than 40mmol daily) </w:t>
            </w:r>
          </w:p>
          <w:p w:rsidR="006C4B99" w:rsidRPr="006C4B99" w:rsidRDefault="006C4B99" w:rsidP="006C4B99">
            <w:pPr>
              <w:autoSpaceDE w:val="0"/>
              <w:autoSpaceDN w:val="0"/>
              <w:adjustRightInd w:val="0"/>
              <w:rPr>
                <w:rFonts w:cs="Arial"/>
                <w:color w:val="000000"/>
              </w:rPr>
            </w:pPr>
            <w:r w:rsidRPr="006C4B99">
              <w:rPr>
                <w:rFonts w:cs="Arial"/>
                <w:b/>
                <w:bCs/>
                <w:color w:val="000000"/>
              </w:rPr>
              <w:t xml:space="preserve">Days 2-5 </w:t>
            </w:r>
          </w:p>
          <w:p w:rsidR="00496E34" w:rsidRPr="006C4B99" w:rsidRDefault="006C4B99" w:rsidP="006C4B99">
            <w:pPr>
              <w:autoSpaceDE w:val="0"/>
              <w:autoSpaceDN w:val="0"/>
              <w:adjustRightInd w:val="0"/>
              <w:rPr>
                <w:rFonts w:cs="Arial"/>
                <w:b/>
                <w:bCs/>
                <w:color w:val="000000"/>
              </w:rPr>
            </w:pPr>
            <w:r w:rsidRPr="006C4B99">
              <w:rPr>
                <w:rFonts w:cs="Arial"/>
                <w:color w:val="000000"/>
              </w:rPr>
              <w:t xml:space="preserve">Magnesium Sulphate 50% 20mmol in 500mL glucose 5% over 6hours </w:t>
            </w:r>
            <w:r>
              <w:rPr>
                <w:rFonts w:cs="Arial"/>
                <w:color w:val="000000"/>
              </w:rPr>
              <w:t xml:space="preserve"> </w:t>
            </w:r>
            <w:bookmarkStart w:id="0" w:name="_GoBack"/>
            <w:bookmarkEnd w:id="0"/>
            <w:r w:rsidRPr="006C4B99">
              <w:rPr>
                <w:rFonts w:cs="Arial"/>
                <w:color w:val="000000"/>
              </w:rPr>
              <w:t>(No more than 20mmol daily)</w:t>
            </w:r>
          </w:p>
        </w:tc>
      </w:tr>
    </w:tbl>
    <w:p w:rsidR="000F02AB" w:rsidRDefault="000F02AB"/>
    <w:sectPr w:rsidR="000F02AB" w:rsidSect="005005AD">
      <w:pgSz w:w="11906" w:h="16838"/>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Book">
    <w:altName w:val="Gotham Book"/>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TE2D67490t00">
    <w:panose1 w:val="00000000000000000000"/>
    <w:charset w:val="00"/>
    <w:family w:val="auto"/>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34342"/>
    <w:multiLevelType w:val="hybridMultilevel"/>
    <w:tmpl w:val="D037E5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EA4F4C"/>
    <w:multiLevelType w:val="hybridMultilevel"/>
    <w:tmpl w:val="98883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8215E2"/>
    <w:multiLevelType w:val="hybridMultilevel"/>
    <w:tmpl w:val="6F3604DA"/>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03442A8"/>
    <w:multiLevelType w:val="multilevel"/>
    <w:tmpl w:val="B218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937867"/>
    <w:multiLevelType w:val="hybridMultilevel"/>
    <w:tmpl w:val="AAD68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C74952"/>
    <w:multiLevelType w:val="hybridMultilevel"/>
    <w:tmpl w:val="1466E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C54C77"/>
    <w:multiLevelType w:val="hybridMultilevel"/>
    <w:tmpl w:val="52D66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AE1ADA"/>
    <w:multiLevelType w:val="hybridMultilevel"/>
    <w:tmpl w:val="8A3A4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0743AC1"/>
    <w:multiLevelType w:val="multilevel"/>
    <w:tmpl w:val="63C0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146CF"/>
    <w:multiLevelType w:val="hybridMultilevel"/>
    <w:tmpl w:val="61161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94E11CD"/>
    <w:multiLevelType w:val="hybridMultilevel"/>
    <w:tmpl w:val="12BE8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D216564"/>
    <w:multiLevelType w:val="hybridMultilevel"/>
    <w:tmpl w:val="045EE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417796F"/>
    <w:multiLevelType w:val="hybridMultilevel"/>
    <w:tmpl w:val="DDC8C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077A7C"/>
    <w:multiLevelType w:val="hybridMultilevel"/>
    <w:tmpl w:val="5B0C6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6"/>
  </w:num>
  <w:num w:numId="6">
    <w:abstractNumId w:val="1"/>
  </w:num>
  <w:num w:numId="7">
    <w:abstractNumId w:val="13"/>
  </w:num>
  <w:num w:numId="8">
    <w:abstractNumId w:val="5"/>
  </w:num>
  <w:num w:numId="9">
    <w:abstractNumId w:val="7"/>
  </w:num>
  <w:num w:numId="10">
    <w:abstractNumId w:val="0"/>
  </w:num>
  <w:num w:numId="11">
    <w:abstractNumId w:val="2"/>
  </w:num>
  <w:num w:numId="12">
    <w:abstractNumId w:val="12"/>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2AB"/>
    <w:rsid w:val="000034C7"/>
    <w:rsid w:val="000A20B5"/>
    <w:rsid w:val="000F02AB"/>
    <w:rsid w:val="001749F3"/>
    <w:rsid w:val="001E244A"/>
    <w:rsid w:val="00255518"/>
    <w:rsid w:val="002B10ED"/>
    <w:rsid w:val="002B623A"/>
    <w:rsid w:val="002B7B9E"/>
    <w:rsid w:val="0040636B"/>
    <w:rsid w:val="00465662"/>
    <w:rsid w:val="00470F18"/>
    <w:rsid w:val="00496E34"/>
    <w:rsid w:val="004E6123"/>
    <w:rsid w:val="005005AD"/>
    <w:rsid w:val="00634061"/>
    <w:rsid w:val="006C4B99"/>
    <w:rsid w:val="007F0601"/>
    <w:rsid w:val="00931144"/>
    <w:rsid w:val="009C50EC"/>
    <w:rsid w:val="00A30F35"/>
    <w:rsid w:val="00AD251A"/>
    <w:rsid w:val="00AF4B67"/>
    <w:rsid w:val="00B75CBC"/>
    <w:rsid w:val="00F91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0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F0601"/>
    <w:rPr>
      <w:color w:val="0000FF"/>
      <w:u w:val="single"/>
      <w:shd w:val="clear" w:color="auto" w:fill="auto"/>
    </w:rPr>
  </w:style>
  <w:style w:type="paragraph" w:styleId="ListParagraph">
    <w:name w:val="List Paragraph"/>
    <w:basedOn w:val="Normal"/>
    <w:uiPriority w:val="34"/>
    <w:qFormat/>
    <w:rsid w:val="001749F3"/>
    <w:pPr>
      <w:ind w:left="720"/>
      <w:contextualSpacing/>
    </w:pPr>
  </w:style>
  <w:style w:type="paragraph" w:customStyle="1" w:styleId="Default">
    <w:name w:val="Default"/>
    <w:rsid w:val="009C50EC"/>
    <w:pPr>
      <w:autoSpaceDE w:val="0"/>
      <w:autoSpaceDN w:val="0"/>
      <w:adjustRightInd w:val="0"/>
      <w:spacing w:after="0" w:line="240" w:lineRule="auto"/>
    </w:pPr>
    <w:rPr>
      <w:rFonts w:ascii="Gotham Book" w:hAnsi="Gotham Book" w:cs="Gotham Book"/>
      <w:color w:val="000000"/>
      <w:sz w:val="24"/>
      <w:szCs w:val="24"/>
    </w:rPr>
  </w:style>
  <w:style w:type="character" w:customStyle="1" w:styleId="A7">
    <w:name w:val="A7"/>
    <w:uiPriority w:val="99"/>
    <w:rsid w:val="009C50EC"/>
    <w:rPr>
      <w:rFonts w:cs="Gotham Book"/>
      <w:color w:val="000000"/>
      <w:sz w:val="18"/>
      <w:szCs w:val="18"/>
    </w:rPr>
  </w:style>
  <w:style w:type="character" w:customStyle="1" w:styleId="A6">
    <w:name w:val="A6"/>
    <w:uiPriority w:val="99"/>
    <w:rsid w:val="009C50EC"/>
    <w:rPr>
      <w:rFonts w:cs="Gotham Book"/>
      <w:color w:val="000000"/>
      <w:sz w:val="18"/>
      <w:szCs w:val="18"/>
    </w:rPr>
  </w:style>
  <w:style w:type="character" w:customStyle="1" w:styleId="A10">
    <w:name w:val="A10"/>
    <w:uiPriority w:val="99"/>
    <w:rsid w:val="009C50EC"/>
    <w:rPr>
      <w:rFonts w:cs="Gotham Book"/>
      <w:color w:val="000000"/>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0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F0601"/>
    <w:rPr>
      <w:color w:val="0000FF"/>
      <w:u w:val="single"/>
      <w:shd w:val="clear" w:color="auto" w:fill="auto"/>
    </w:rPr>
  </w:style>
  <w:style w:type="paragraph" w:styleId="ListParagraph">
    <w:name w:val="List Paragraph"/>
    <w:basedOn w:val="Normal"/>
    <w:uiPriority w:val="34"/>
    <w:qFormat/>
    <w:rsid w:val="001749F3"/>
    <w:pPr>
      <w:ind w:left="720"/>
      <w:contextualSpacing/>
    </w:pPr>
  </w:style>
  <w:style w:type="paragraph" w:customStyle="1" w:styleId="Default">
    <w:name w:val="Default"/>
    <w:rsid w:val="009C50EC"/>
    <w:pPr>
      <w:autoSpaceDE w:val="0"/>
      <w:autoSpaceDN w:val="0"/>
      <w:adjustRightInd w:val="0"/>
      <w:spacing w:after="0" w:line="240" w:lineRule="auto"/>
    </w:pPr>
    <w:rPr>
      <w:rFonts w:ascii="Gotham Book" w:hAnsi="Gotham Book" w:cs="Gotham Book"/>
      <w:color w:val="000000"/>
      <w:sz w:val="24"/>
      <w:szCs w:val="24"/>
    </w:rPr>
  </w:style>
  <w:style w:type="character" w:customStyle="1" w:styleId="A7">
    <w:name w:val="A7"/>
    <w:uiPriority w:val="99"/>
    <w:rsid w:val="009C50EC"/>
    <w:rPr>
      <w:rFonts w:cs="Gotham Book"/>
      <w:color w:val="000000"/>
      <w:sz w:val="18"/>
      <w:szCs w:val="18"/>
    </w:rPr>
  </w:style>
  <w:style w:type="character" w:customStyle="1" w:styleId="A6">
    <w:name w:val="A6"/>
    <w:uiPriority w:val="99"/>
    <w:rsid w:val="009C50EC"/>
    <w:rPr>
      <w:rFonts w:cs="Gotham Book"/>
      <w:color w:val="000000"/>
      <w:sz w:val="18"/>
      <w:szCs w:val="18"/>
    </w:rPr>
  </w:style>
  <w:style w:type="character" w:customStyle="1" w:styleId="A10">
    <w:name w:val="A10"/>
    <w:uiPriority w:val="99"/>
    <w:rsid w:val="009C50EC"/>
    <w:rPr>
      <w:rFonts w:cs="Gotham Book"/>
      <w:color w:val="000000"/>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55307">
      <w:bodyDiv w:val="1"/>
      <w:marLeft w:val="0"/>
      <w:marRight w:val="0"/>
      <w:marTop w:val="0"/>
      <w:marBottom w:val="0"/>
      <w:divBdr>
        <w:top w:val="none" w:sz="0" w:space="0" w:color="auto"/>
        <w:left w:val="none" w:sz="0" w:space="0" w:color="auto"/>
        <w:bottom w:val="none" w:sz="0" w:space="0" w:color="auto"/>
        <w:right w:val="none" w:sz="0" w:space="0" w:color="auto"/>
      </w:divBdr>
      <w:divsChild>
        <w:div w:id="1335957065">
          <w:marLeft w:val="0"/>
          <w:marRight w:val="0"/>
          <w:marTop w:val="0"/>
          <w:marBottom w:val="0"/>
          <w:divBdr>
            <w:top w:val="none" w:sz="0" w:space="0" w:color="auto"/>
            <w:left w:val="none" w:sz="0" w:space="0" w:color="auto"/>
            <w:bottom w:val="none" w:sz="0" w:space="0" w:color="auto"/>
            <w:right w:val="none" w:sz="0" w:space="0" w:color="auto"/>
          </w:divBdr>
          <w:divsChild>
            <w:div w:id="3653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Nottingham University Hospitals</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Claire (Stroke Service)</dc:creator>
  <cp:lastModifiedBy>Roberts Claire (Stroke Service)</cp:lastModifiedBy>
  <cp:revision>13</cp:revision>
  <cp:lastPrinted>2016-05-04T13:21:00Z</cp:lastPrinted>
  <dcterms:created xsi:type="dcterms:W3CDTF">2016-05-04T13:38:00Z</dcterms:created>
  <dcterms:modified xsi:type="dcterms:W3CDTF">2016-05-19T15:13:00Z</dcterms:modified>
</cp:coreProperties>
</file>