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246" w:rsidRPr="00F11246" w:rsidRDefault="00F11246" w:rsidP="00F11246">
      <w:pPr>
        <w:jc w:val="center"/>
        <w:rPr>
          <w:sz w:val="36"/>
          <w:szCs w:val="36"/>
        </w:rPr>
      </w:pPr>
      <w:r w:rsidRPr="00F11246">
        <w:rPr>
          <w:sz w:val="36"/>
          <w:szCs w:val="36"/>
        </w:rPr>
        <w:t>C</w:t>
      </w:r>
      <w:r w:rsidRPr="00F11246">
        <w:rPr>
          <w:sz w:val="36"/>
          <w:szCs w:val="36"/>
        </w:rPr>
        <w:t>ore Competency Theme 3: Neurological Assessment and Effects of Stroke</w:t>
      </w:r>
    </w:p>
    <w:p w:rsidR="00007D58" w:rsidRDefault="00F11246">
      <w:r>
        <w:rPr>
          <w:noProof/>
          <w:lang w:eastAsia="en-GB"/>
        </w:rPr>
        <w:drawing>
          <wp:anchor distT="0" distB="0" distL="114300" distR="114300" simplePos="0" relativeHeight="251658240" behindDoc="1" locked="0" layoutInCell="1" allowOverlap="1" wp14:anchorId="4103DFBB" wp14:editId="4CAAF2E2">
            <wp:simplePos x="0" y="0"/>
            <wp:positionH relativeFrom="column">
              <wp:posOffset>-962660</wp:posOffset>
            </wp:positionH>
            <wp:positionV relativeFrom="paragraph">
              <wp:posOffset>328295</wp:posOffset>
            </wp:positionV>
            <wp:extent cx="7524115" cy="5823585"/>
            <wp:effectExtent l="0" t="0" r="635" b="5715"/>
            <wp:wrapThrough wrapText="bothSides">
              <wp:wrapPolygon edited="0">
                <wp:start x="0" y="0"/>
                <wp:lineTo x="0" y="21551"/>
                <wp:lineTo x="21547" y="21551"/>
                <wp:lineTo x="2154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brain-diagram.jpg"/>
                    <pic:cNvPicPr/>
                  </pic:nvPicPr>
                  <pic:blipFill>
                    <a:blip r:embed="rId6">
                      <a:extLst>
                        <a:ext uri="{28A0092B-C50C-407E-A947-70E740481C1C}">
                          <a14:useLocalDpi xmlns:a14="http://schemas.microsoft.com/office/drawing/2010/main" val="0"/>
                        </a:ext>
                      </a:extLst>
                    </a:blip>
                    <a:stretch>
                      <a:fillRect/>
                    </a:stretch>
                  </pic:blipFill>
                  <pic:spPr>
                    <a:xfrm>
                      <a:off x="0" y="0"/>
                      <a:ext cx="7524115" cy="5823585"/>
                    </a:xfrm>
                    <a:prstGeom prst="rect">
                      <a:avLst/>
                    </a:prstGeom>
                  </pic:spPr>
                </pic:pic>
              </a:graphicData>
            </a:graphic>
            <wp14:sizeRelH relativeFrom="page">
              <wp14:pctWidth>0</wp14:pctWidth>
            </wp14:sizeRelH>
            <wp14:sizeRelV relativeFrom="page">
              <wp14:pctHeight>0</wp14:pctHeight>
            </wp14:sizeRelV>
          </wp:anchor>
        </w:drawing>
      </w:r>
    </w:p>
    <w:p w:rsidR="00F11246" w:rsidRDefault="00F11246">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4600135</wp:posOffset>
                </wp:positionH>
                <wp:positionV relativeFrom="paragraph">
                  <wp:posOffset>-856713</wp:posOffset>
                </wp:positionV>
                <wp:extent cx="1856936" cy="506437"/>
                <wp:effectExtent l="0" t="0" r="10160" b="27305"/>
                <wp:wrapNone/>
                <wp:docPr id="2" name="Rectangle 2"/>
                <wp:cNvGraphicFramePr/>
                <a:graphic xmlns:a="http://schemas.openxmlformats.org/drawingml/2006/main">
                  <a:graphicData uri="http://schemas.microsoft.com/office/word/2010/wordprocessingShape">
                    <wps:wsp>
                      <wps:cNvSpPr/>
                      <wps:spPr>
                        <a:xfrm>
                          <a:off x="0" y="0"/>
                          <a:ext cx="1856936" cy="50643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62.2pt;margin-top:-67.45pt;width:146.2pt;height:39.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" fillcolor="white [3212]" strokecolor="white [3212]" strokeweight="2pt"/>
            </w:pict>
          </mc:Fallback>
        </mc:AlternateContent>
      </w:r>
    </w:p>
    <w:p w:rsidR="00F11246" w:rsidRDefault="00F11246"/>
    <w:p w:rsidR="00F11246" w:rsidRDefault="00F11246">
      <w:r>
        <w:br w:type="page"/>
      </w:r>
    </w:p>
    <w:tbl>
      <w:tblPr>
        <w:tblStyle w:val="TableGrid"/>
        <w:tblW w:w="11058" w:type="dxa"/>
        <w:tblInd w:w="-885" w:type="dxa"/>
        <w:tblLayout w:type="fixed"/>
        <w:tblLook w:val="04A0" w:firstRow="1" w:lastRow="0" w:firstColumn="1" w:lastColumn="0" w:noHBand="0" w:noVBand="1"/>
      </w:tblPr>
      <w:tblGrid>
        <w:gridCol w:w="1277"/>
        <w:gridCol w:w="3704"/>
        <w:gridCol w:w="3100"/>
        <w:gridCol w:w="2977"/>
      </w:tblGrid>
      <w:tr w:rsidR="00F11246" w:rsidRPr="00C250B2" w:rsidTr="00A408E4">
        <w:tc>
          <w:tcPr>
            <w:tcW w:w="1277" w:type="dxa"/>
          </w:tcPr>
          <w:p w:rsidR="00F11246" w:rsidRPr="00C250B2" w:rsidRDefault="00F11246" w:rsidP="00A408E4">
            <w:pPr>
              <w:rPr>
                <w:sz w:val="28"/>
                <w:szCs w:val="28"/>
              </w:rPr>
            </w:pPr>
          </w:p>
        </w:tc>
        <w:tc>
          <w:tcPr>
            <w:tcW w:w="3704" w:type="dxa"/>
          </w:tcPr>
          <w:p w:rsidR="00F11246" w:rsidRPr="00C250B2" w:rsidRDefault="00F11246" w:rsidP="00A408E4">
            <w:pPr>
              <w:rPr>
                <w:sz w:val="28"/>
                <w:szCs w:val="28"/>
              </w:rPr>
            </w:pPr>
            <w:r w:rsidRPr="00C250B2">
              <w:rPr>
                <w:sz w:val="28"/>
                <w:szCs w:val="28"/>
              </w:rPr>
              <w:t>Brief description</w:t>
            </w:r>
          </w:p>
        </w:tc>
        <w:tc>
          <w:tcPr>
            <w:tcW w:w="3100" w:type="dxa"/>
          </w:tcPr>
          <w:p w:rsidR="00F11246" w:rsidRPr="00C250B2" w:rsidRDefault="00F11246" w:rsidP="00A408E4">
            <w:pPr>
              <w:rPr>
                <w:sz w:val="28"/>
                <w:szCs w:val="28"/>
              </w:rPr>
            </w:pPr>
            <w:r w:rsidRPr="00C250B2">
              <w:rPr>
                <w:sz w:val="28"/>
                <w:szCs w:val="28"/>
              </w:rPr>
              <w:t>Functions</w:t>
            </w:r>
          </w:p>
        </w:tc>
        <w:tc>
          <w:tcPr>
            <w:tcW w:w="2977" w:type="dxa"/>
          </w:tcPr>
          <w:p w:rsidR="00F11246" w:rsidRPr="00C250B2" w:rsidRDefault="00F11246" w:rsidP="00A408E4">
            <w:pPr>
              <w:rPr>
                <w:sz w:val="28"/>
                <w:szCs w:val="28"/>
              </w:rPr>
            </w:pPr>
            <w:r w:rsidRPr="00C250B2">
              <w:rPr>
                <w:sz w:val="28"/>
                <w:szCs w:val="28"/>
              </w:rPr>
              <w:t>Potential symptoms</w:t>
            </w:r>
          </w:p>
        </w:tc>
      </w:tr>
      <w:tr w:rsidR="00F11246" w:rsidRPr="00C250B2" w:rsidTr="00A408E4">
        <w:tc>
          <w:tcPr>
            <w:tcW w:w="1277" w:type="dxa"/>
          </w:tcPr>
          <w:p w:rsidR="00F11246" w:rsidRDefault="00F11246" w:rsidP="00A408E4">
            <w:pPr>
              <w:rPr>
                <w:sz w:val="36"/>
                <w:szCs w:val="36"/>
              </w:rPr>
            </w:pPr>
            <w:r>
              <w:rPr>
                <w:sz w:val="36"/>
                <w:szCs w:val="36"/>
              </w:rPr>
              <w:t>A</w:t>
            </w:r>
          </w:p>
          <w:p w:rsidR="00F11246" w:rsidRDefault="00F11246" w:rsidP="00A408E4">
            <w:pPr>
              <w:rPr>
                <w:sz w:val="36"/>
                <w:szCs w:val="36"/>
              </w:rPr>
            </w:pPr>
          </w:p>
          <w:p w:rsidR="00F11246" w:rsidRPr="00C250B2" w:rsidRDefault="00F11246" w:rsidP="00A408E4">
            <w:r w:rsidRPr="00C250B2">
              <w:t xml:space="preserve">Frontal </w:t>
            </w:r>
          </w:p>
          <w:p w:rsidR="00F11246" w:rsidRPr="004F77A7" w:rsidRDefault="00F11246" w:rsidP="00A408E4">
            <w:pPr>
              <w:rPr>
                <w:sz w:val="24"/>
                <w:szCs w:val="24"/>
              </w:rPr>
            </w:pPr>
            <w:r w:rsidRPr="00C250B2">
              <w:t>Lobe</w:t>
            </w:r>
          </w:p>
        </w:tc>
        <w:tc>
          <w:tcPr>
            <w:tcW w:w="3704" w:type="dxa"/>
          </w:tcPr>
          <w:p w:rsidR="00F11246" w:rsidRPr="00F11246" w:rsidRDefault="00F11246" w:rsidP="00F11246">
            <w:pPr>
              <w:pStyle w:val="NormalWeb"/>
              <w:rPr>
                <w:sz w:val="21"/>
                <w:szCs w:val="21"/>
              </w:rPr>
            </w:pPr>
            <w:r w:rsidRPr="00F11246">
              <w:rPr>
                <w:rFonts w:asciiTheme="minorHAnsi" w:hAnsiTheme="minorHAnsi"/>
                <w:sz w:val="21"/>
                <w:szCs w:val="21"/>
                <w:lang w:val="en-US"/>
              </w:rPr>
              <w:t>Located at the front of the brain, the frontal lobe receives information from various lobes of the brain and utilizes this information to carry out body movements.</w:t>
            </w:r>
            <w:r>
              <w:rPr>
                <w:rFonts w:asciiTheme="minorHAnsi" w:hAnsiTheme="minorHAnsi"/>
                <w:sz w:val="21"/>
                <w:szCs w:val="21"/>
                <w:lang w:val="en-US"/>
              </w:rPr>
              <w:t xml:space="preserve">                                                </w:t>
            </w:r>
            <w:bookmarkStart w:id="0" w:name="_GoBack"/>
            <w:bookmarkEnd w:id="0"/>
            <w:r w:rsidRPr="00F11246">
              <w:rPr>
                <w:rFonts w:asciiTheme="minorHAnsi" w:hAnsiTheme="minorHAnsi"/>
                <w:sz w:val="21"/>
                <w:szCs w:val="21"/>
                <w:lang w:val="en-US"/>
              </w:rPr>
              <w:t>In each hemisphere, the frontal lobe is responsible for movement (motor functions), decision making and executive control (selection and co-ordination of goal-directed behaviors).</w:t>
            </w:r>
            <w:r w:rsidRPr="00F11246">
              <w:rPr>
                <w:rStyle w:val="A6"/>
                <w:sz w:val="21"/>
                <w:szCs w:val="21"/>
              </w:rPr>
              <w:t xml:space="preserve"> </w:t>
            </w:r>
          </w:p>
        </w:tc>
        <w:tc>
          <w:tcPr>
            <w:tcW w:w="3100" w:type="dxa"/>
          </w:tcPr>
          <w:p w:rsidR="00F11246" w:rsidRPr="00F11246" w:rsidRDefault="00F11246" w:rsidP="00A408E4">
            <w:pPr>
              <w:rPr>
                <w:sz w:val="21"/>
                <w:szCs w:val="21"/>
              </w:rPr>
            </w:pPr>
            <w:r w:rsidRPr="00F11246">
              <w:rPr>
                <w:sz w:val="21"/>
                <w:szCs w:val="21"/>
              </w:rPr>
              <w:t>The left frontal lobe controls ability for language, rational and logical thinking, science and math and ability to solve problems. The right frontal lobe controls creativity, imagination, intuition, curiosity, musical and artistic ability.</w:t>
            </w:r>
          </w:p>
        </w:tc>
        <w:tc>
          <w:tcPr>
            <w:tcW w:w="2977" w:type="dxa"/>
          </w:tcPr>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Weakness or hemiparesis</w:t>
            </w:r>
          </w:p>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Apraxia of gait</w:t>
            </w:r>
          </w:p>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Urinary incontinence</w:t>
            </w:r>
          </w:p>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Aphasia</w:t>
            </w:r>
          </w:p>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Cognitive deficit</w:t>
            </w:r>
          </w:p>
          <w:p w:rsidR="00F11246" w:rsidRPr="00F11246" w:rsidRDefault="00F11246" w:rsidP="00A408E4">
            <w:pPr>
              <w:numPr>
                <w:ilvl w:val="0"/>
                <w:numId w:val="1"/>
              </w:numPr>
              <w:spacing w:before="100" w:beforeAutospacing="1" w:after="100" w:afterAutospacing="1"/>
              <w:rPr>
                <w:rFonts w:eastAsia="Times New Roman" w:cs="Times New Roman"/>
                <w:sz w:val="21"/>
                <w:szCs w:val="21"/>
                <w:lang w:eastAsia="en-GB"/>
              </w:rPr>
            </w:pPr>
            <w:r w:rsidRPr="00F11246">
              <w:rPr>
                <w:rFonts w:eastAsia="Times New Roman" w:cs="Times New Roman"/>
                <w:sz w:val="21"/>
                <w:szCs w:val="21"/>
                <w:lang w:eastAsia="en-GB"/>
              </w:rPr>
              <w:t>Behavioural and personality changes</w:t>
            </w:r>
          </w:p>
        </w:tc>
      </w:tr>
      <w:tr w:rsidR="00F11246" w:rsidRPr="00C250B2" w:rsidTr="00A408E4">
        <w:tc>
          <w:tcPr>
            <w:tcW w:w="1277" w:type="dxa"/>
          </w:tcPr>
          <w:p w:rsidR="00F11246" w:rsidRDefault="00F11246" w:rsidP="00A408E4">
            <w:pPr>
              <w:rPr>
                <w:sz w:val="36"/>
                <w:szCs w:val="36"/>
              </w:rPr>
            </w:pPr>
            <w:r>
              <w:rPr>
                <w:sz w:val="36"/>
                <w:szCs w:val="36"/>
              </w:rPr>
              <w:t>B</w:t>
            </w:r>
          </w:p>
          <w:p w:rsidR="00F11246" w:rsidRPr="00C250B2" w:rsidRDefault="00F11246" w:rsidP="00A408E4"/>
          <w:p w:rsidR="00F11246" w:rsidRPr="00C250B2" w:rsidRDefault="00F11246" w:rsidP="00A408E4">
            <w:r w:rsidRPr="00C250B2">
              <w:t xml:space="preserve">Parietal </w:t>
            </w:r>
          </w:p>
          <w:p w:rsidR="00F11246" w:rsidRPr="004F77A7" w:rsidRDefault="00F11246" w:rsidP="00A408E4">
            <w:pPr>
              <w:rPr>
                <w:sz w:val="28"/>
                <w:szCs w:val="36"/>
              </w:rPr>
            </w:pPr>
            <w:r w:rsidRPr="00C250B2">
              <w:t>Lobe</w:t>
            </w:r>
          </w:p>
        </w:tc>
        <w:tc>
          <w:tcPr>
            <w:tcW w:w="3704" w:type="dxa"/>
          </w:tcPr>
          <w:p w:rsidR="00F11246" w:rsidRPr="00F11246" w:rsidRDefault="00F11246" w:rsidP="00A408E4">
            <w:pPr>
              <w:rPr>
                <w:rFonts w:cs="Arial"/>
                <w:sz w:val="21"/>
                <w:szCs w:val="21"/>
                <w:lang w:val="en"/>
              </w:rPr>
            </w:pPr>
            <w:r w:rsidRPr="00F11246">
              <w:rPr>
                <w:sz w:val="21"/>
                <w:szCs w:val="21"/>
                <w:lang w:val="en-US"/>
              </w:rPr>
              <w:t>Located behind the frontal lobe and above the temporal lobe</w:t>
            </w:r>
            <w:r w:rsidRPr="00F11246">
              <w:rPr>
                <w:sz w:val="21"/>
                <w:szCs w:val="21"/>
                <w:lang w:val="en-US"/>
              </w:rPr>
              <w:t xml:space="preserve">, </w:t>
            </w:r>
            <w:proofErr w:type="spellStart"/>
            <w:r w:rsidRPr="00F11246">
              <w:rPr>
                <w:sz w:val="21"/>
                <w:szCs w:val="21"/>
                <w:lang w:val="en-US"/>
              </w:rPr>
              <w:t>t</w:t>
            </w:r>
            <w:r w:rsidRPr="00F11246">
              <w:rPr>
                <w:rFonts w:cs="Arial"/>
                <w:sz w:val="21"/>
                <w:szCs w:val="21"/>
                <w:lang w:val="en"/>
              </w:rPr>
              <w:t>he</w:t>
            </w:r>
            <w:proofErr w:type="spellEnd"/>
            <w:r w:rsidRPr="00F11246">
              <w:rPr>
                <w:rFonts w:cs="Arial"/>
                <w:sz w:val="21"/>
                <w:szCs w:val="21"/>
                <w:lang w:val="en"/>
              </w:rPr>
              <w:t xml:space="preserve"> parietal lobe is divided into two hemispheres. They are known as the left and right hemispheres. </w:t>
            </w:r>
          </w:p>
          <w:p w:rsidR="00F11246" w:rsidRPr="00F11246" w:rsidRDefault="00F11246" w:rsidP="00A408E4">
            <w:pPr>
              <w:rPr>
                <w:sz w:val="21"/>
                <w:szCs w:val="21"/>
              </w:rPr>
            </w:pPr>
            <w:r w:rsidRPr="00F11246">
              <w:rPr>
                <w:rFonts w:cs="Arial"/>
                <w:sz w:val="21"/>
                <w:szCs w:val="21"/>
                <w:lang w:val="en"/>
              </w:rPr>
              <w:t xml:space="preserve">The parietal lobe is known to interpret sensory information, such as letting you know the location of parts of your body and aiding in physical navigation. </w:t>
            </w:r>
          </w:p>
          <w:p w:rsidR="00F11246" w:rsidRPr="00F11246" w:rsidRDefault="00F11246" w:rsidP="00A408E4">
            <w:pPr>
              <w:rPr>
                <w:sz w:val="21"/>
                <w:szCs w:val="21"/>
              </w:rPr>
            </w:pPr>
          </w:p>
        </w:tc>
        <w:tc>
          <w:tcPr>
            <w:tcW w:w="3100" w:type="dxa"/>
          </w:tcPr>
          <w:p w:rsidR="00F11246" w:rsidRPr="00F11246" w:rsidRDefault="00F11246" w:rsidP="00A408E4">
            <w:pPr>
              <w:rPr>
                <w:sz w:val="21"/>
                <w:szCs w:val="21"/>
              </w:rPr>
            </w:pPr>
            <w:r w:rsidRPr="00F11246">
              <w:rPr>
                <w:rFonts w:cs="Arial"/>
                <w:sz w:val="21"/>
                <w:szCs w:val="21"/>
                <w:lang w:val="en"/>
              </w:rPr>
              <w:t>The left hemisphere is heavily involved in the processing of language and mathematics, while the right hemisphere has been shown to work with image detection and spatial understanding, such as the ability to read and interpret a map</w:t>
            </w:r>
          </w:p>
        </w:tc>
        <w:tc>
          <w:tcPr>
            <w:tcW w:w="2977" w:type="dxa"/>
          </w:tcPr>
          <w:p w:rsidR="00F11246" w:rsidRPr="00F11246" w:rsidRDefault="00F11246" w:rsidP="00F11246">
            <w:pPr>
              <w:pStyle w:val="ListParagraph"/>
              <w:numPr>
                <w:ilvl w:val="0"/>
                <w:numId w:val="3"/>
              </w:numPr>
              <w:rPr>
                <w:sz w:val="21"/>
                <w:szCs w:val="21"/>
              </w:rPr>
            </w:pPr>
            <w:r w:rsidRPr="00F11246">
              <w:rPr>
                <w:sz w:val="21"/>
                <w:szCs w:val="21"/>
              </w:rPr>
              <w:t>Sensation changes</w:t>
            </w:r>
          </w:p>
          <w:p w:rsidR="00F11246" w:rsidRPr="00F11246" w:rsidRDefault="00F11246" w:rsidP="00F11246">
            <w:pPr>
              <w:pStyle w:val="ListParagraph"/>
              <w:numPr>
                <w:ilvl w:val="0"/>
                <w:numId w:val="3"/>
              </w:numPr>
              <w:rPr>
                <w:sz w:val="21"/>
                <w:szCs w:val="21"/>
              </w:rPr>
            </w:pPr>
            <w:r w:rsidRPr="00F11246">
              <w:rPr>
                <w:sz w:val="21"/>
                <w:szCs w:val="21"/>
              </w:rPr>
              <w:t>Perceptual changes</w:t>
            </w:r>
          </w:p>
          <w:p w:rsidR="00F11246" w:rsidRPr="00F11246" w:rsidRDefault="00F11246" w:rsidP="00F11246">
            <w:pPr>
              <w:pStyle w:val="ListParagraph"/>
              <w:numPr>
                <w:ilvl w:val="0"/>
                <w:numId w:val="3"/>
              </w:numPr>
              <w:rPr>
                <w:sz w:val="21"/>
                <w:szCs w:val="21"/>
              </w:rPr>
            </w:pPr>
            <w:r w:rsidRPr="00F11246">
              <w:rPr>
                <w:sz w:val="21"/>
                <w:szCs w:val="21"/>
              </w:rPr>
              <w:t>Wernicke’s Aphasia</w:t>
            </w:r>
          </w:p>
          <w:p w:rsidR="00F11246" w:rsidRPr="00F11246" w:rsidRDefault="00F11246" w:rsidP="00F11246">
            <w:pPr>
              <w:pStyle w:val="ListParagraph"/>
              <w:numPr>
                <w:ilvl w:val="0"/>
                <w:numId w:val="3"/>
              </w:numPr>
              <w:rPr>
                <w:sz w:val="21"/>
                <w:szCs w:val="21"/>
              </w:rPr>
            </w:pPr>
            <w:r w:rsidRPr="00F11246">
              <w:rPr>
                <w:sz w:val="21"/>
                <w:szCs w:val="21"/>
              </w:rPr>
              <w:t>Visual loss</w:t>
            </w:r>
          </w:p>
          <w:p w:rsidR="00F11246" w:rsidRPr="00F11246" w:rsidRDefault="00F11246" w:rsidP="00A408E4">
            <w:pPr>
              <w:rPr>
                <w:sz w:val="21"/>
                <w:szCs w:val="21"/>
              </w:rPr>
            </w:pPr>
          </w:p>
        </w:tc>
      </w:tr>
      <w:tr w:rsidR="00F11246" w:rsidRPr="00C250B2" w:rsidTr="00A408E4">
        <w:tc>
          <w:tcPr>
            <w:tcW w:w="1277" w:type="dxa"/>
          </w:tcPr>
          <w:p w:rsidR="00F11246" w:rsidRDefault="00F11246" w:rsidP="00A408E4">
            <w:pPr>
              <w:rPr>
                <w:sz w:val="36"/>
                <w:szCs w:val="36"/>
              </w:rPr>
            </w:pPr>
            <w:r>
              <w:rPr>
                <w:sz w:val="36"/>
                <w:szCs w:val="36"/>
              </w:rPr>
              <w:t>C</w:t>
            </w:r>
          </w:p>
          <w:p w:rsidR="00F11246" w:rsidRPr="004F77A7" w:rsidRDefault="00F11246" w:rsidP="00A408E4">
            <w:pPr>
              <w:rPr>
                <w:sz w:val="24"/>
                <w:szCs w:val="36"/>
              </w:rPr>
            </w:pPr>
          </w:p>
          <w:p w:rsidR="00F11246" w:rsidRPr="004F77A7" w:rsidRDefault="00F11246" w:rsidP="00A408E4">
            <w:pPr>
              <w:rPr>
                <w:sz w:val="32"/>
                <w:szCs w:val="36"/>
              </w:rPr>
            </w:pPr>
            <w:r w:rsidRPr="00C250B2">
              <w:rPr>
                <w:szCs w:val="36"/>
              </w:rPr>
              <w:t>Occipital Lobe</w:t>
            </w:r>
          </w:p>
        </w:tc>
        <w:tc>
          <w:tcPr>
            <w:tcW w:w="3704" w:type="dxa"/>
          </w:tcPr>
          <w:p w:rsidR="00F11246" w:rsidRPr="00F11246" w:rsidRDefault="00F11246" w:rsidP="00A408E4">
            <w:pPr>
              <w:rPr>
                <w:sz w:val="21"/>
                <w:szCs w:val="21"/>
              </w:rPr>
            </w:pPr>
            <w:r w:rsidRPr="00F11246">
              <w:rPr>
                <w:sz w:val="21"/>
                <w:szCs w:val="21"/>
              </w:rPr>
              <w:t>An occipital stroke causes visual symptoms which can range from visual hallucinations to complete blindness. These symptoms depend on where in the occipital lobe the stroke occurred.</w:t>
            </w:r>
          </w:p>
          <w:p w:rsidR="00F11246" w:rsidRPr="00F11246" w:rsidRDefault="00F11246" w:rsidP="00A408E4">
            <w:pPr>
              <w:rPr>
                <w:sz w:val="21"/>
                <w:szCs w:val="21"/>
              </w:rPr>
            </w:pPr>
          </w:p>
        </w:tc>
        <w:tc>
          <w:tcPr>
            <w:tcW w:w="3100" w:type="dxa"/>
          </w:tcPr>
          <w:p w:rsidR="00F11246" w:rsidRPr="00F11246" w:rsidRDefault="00F11246" w:rsidP="00A408E4">
            <w:pPr>
              <w:rPr>
                <w:sz w:val="21"/>
                <w:szCs w:val="21"/>
              </w:rPr>
            </w:pPr>
            <w:r w:rsidRPr="00F11246">
              <w:rPr>
                <w:sz w:val="21"/>
                <w:szCs w:val="21"/>
                <w:lang w:val="en"/>
              </w:rPr>
              <w:t>The occipital lobe is divided into several functional visual areas. Each visual area contains a full map of the visual world.</w:t>
            </w:r>
          </w:p>
        </w:tc>
        <w:tc>
          <w:tcPr>
            <w:tcW w:w="2977" w:type="dxa"/>
          </w:tcPr>
          <w:p w:rsidR="00F11246" w:rsidRPr="00F11246" w:rsidRDefault="00F11246" w:rsidP="00A408E4">
            <w:pPr>
              <w:pStyle w:val="ListParagraph"/>
              <w:numPr>
                <w:ilvl w:val="0"/>
                <w:numId w:val="2"/>
              </w:numPr>
              <w:rPr>
                <w:sz w:val="21"/>
                <w:szCs w:val="21"/>
              </w:rPr>
            </w:pPr>
            <w:hyperlink r:id="rId7" w:history="1">
              <w:r w:rsidRPr="00F11246">
                <w:rPr>
                  <w:rStyle w:val="Hyperlink"/>
                  <w:sz w:val="21"/>
                  <w:szCs w:val="21"/>
                </w:rPr>
                <w:t>H</w:t>
              </w:r>
              <w:r w:rsidRPr="00F11246">
                <w:rPr>
                  <w:rStyle w:val="Hyperlink"/>
                  <w:color w:val="auto"/>
                  <w:sz w:val="21"/>
                  <w:szCs w:val="21"/>
                  <w:u w:val="none"/>
                </w:rPr>
                <w:t>omonymous hemianopia</w:t>
              </w:r>
            </w:hyperlink>
          </w:p>
          <w:p w:rsidR="00F11246" w:rsidRPr="006B116A" w:rsidRDefault="00F11246" w:rsidP="00A408E4">
            <w:pPr>
              <w:numPr>
                <w:ilvl w:val="0"/>
                <w:numId w:val="2"/>
              </w:numPr>
              <w:spacing w:before="100" w:beforeAutospacing="1" w:after="100" w:afterAutospacing="1"/>
              <w:rPr>
                <w:rFonts w:eastAsia="Times New Roman" w:cs="Times New Roman"/>
                <w:sz w:val="21"/>
                <w:szCs w:val="21"/>
                <w:lang w:eastAsia="en-GB"/>
              </w:rPr>
            </w:pPr>
            <w:hyperlink r:id="rId8" w:history="1">
              <w:r w:rsidRPr="00F11246">
                <w:rPr>
                  <w:rFonts w:eastAsia="Times New Roman" w:cs="Times New Roman"/>
                  <w:sz w:val="21"/>
                  <w:szCs w:val="21"/>
                  <w:lang w:eastAsia="en-GB"/>
                </w:rPr>
                <w:t>Visual Illusions</w:t>
              </w:r>
            </w:hyperlink>
          </w:p>
          <w:p w:rsidR="00F11246" w:rsidRPr="006B116A" w:rsidRDefault="00F11246" w:rsidP="00A408E4">
            <w:pPr>
              <w:numPr>
                <w:ilvl w:val="0"/>
                <w:numId w:val="2"/>
              </w:numPr>
              <w:spacing w:before="100" w:beforeAutospacing="1" w:after="100" w:afterAutospacing="1"/>
              <w:rPr>
                <w:rFonts w:eastAsia="Times New Roman" w:cs="Times New Roman"/>
                <w:sz w:val="21"/>
                <w:szCs w:val="21"/>
                <w:lang w:eastAsia="en-GB"/>
              </w:rPr>
            </w:pPr>
            <w:r w:rsidRPr="006B116A">
              <w:rPr>
                <w:rFonts w:eastAsia="Times New Roman" w:cs="Times New Roman"/>
                <w:sz w:val="21"/>
                <w:szCs w:val="21"/>
                <w:lang w:eastAsia="en-GB"/>
              </w:rPr>
              <w:t xml:space="preserve">Visual </w:t>
            </w:r>
            <w:hyperlink r:id="rId9" w:tgtFrame="_blank" w:history="1">
              <w:r w:rsidRPr="00F11246">
                <w:rPr>
                  <w:rFonts w:eastAsia="Times New Roman" w:cs="Times New Roman"/>
                  <w:sz w:val="21"/>
                  <w:szCs w:val="21"/>
                  <w:lang w:eastAsia="en-GB"/>
                </w:rPr>
                <w:t>Hallucinations</w:t>
              </w:r>
            </w:hyperlink>
          </w:p>
          <w:p w:rsidR="00F11246" w:rsidRPr="00F11246" w:rsidRDefault="00F11246" w:rsidP="00A408E4">
            <w:pPr>
              <w:numPr>
                <w:ilvl w:val="0"/>
                <w:numId w:val="2"/>
              </w:numPr>
              <w:spacing w:before="100" w:beforeAutospacing="1" w:after="100" w:afterAutospacing="1"/>
              <w:rPr>
                <w:rFonts w:ascii="Times New Roman" w:eastAsia="Times New Roman" w:hAnsi="Times New Roman" w:cs="Times New Roman"/>
                <w:sz w:val="21"/>
                <w:szCs w:val="21"/>
                <w:lang w:eastAsia="en-GB"/>
              </w:rPr>
            </w:pPr>
            <w:r w:rsidRPr="006B116A">
              <w:rPr>
                <w:rFonts w:eastAsia="Times New Roman" w:cs="Times New Roman"/>
                <w:sz w:val="21"/>
                <w:szCs w:val="21"/>
                <w:lang w:eastAsia="en-GB"/>
              </w:rPr>
              <w:t xml:space="preserve">Visual </w:t>
            </w:r>
            <w:hyperlink r:id="rId10" w:tgtFrame="_blank" w:history="1">
              <w:proofErr w:type="spellStart"/>
              <w:r w:rsidRPr="00F11246">
                <w:rPr>
                  <w:rFonts w:eastAsia="Times New Roman" w:cs="Times New Roman"/>
                  <w:sz w:val="21"/>
                  <w:szCs w:val="21"/>
                  <w:lang w:eastAsia="en-GB"/>
                </w:rPr>
                <w:t>Agnosias</w:t>
              </w:r>
              <w:proofErr w:type="spellEnd"/>
            </w:hyperlink>
          </w:p>
        </w:tc>
      </w:tr>
      <w:tr w:rsidR="00F11246" w:rsidRPr="00C250B2" w:rsidTr="00A408E4">
        <w:tc>
          <w:tcPr>
            <w:tcW w:w="1277" w:type="dxa"/>
          </w:tcPr>
          <w:p w:rsidR="00F11246" w:rsidRDefault="00F11246" w:rsidP="00A408E4">
            <w:pPr>
              <w:rPr>
                <w:sz w:val="36"/>
                <w:szCs w:val="36"/>
              </w:rPr>
            </w:pPr>
            <w:r>
              <w:rPr>
                <w:sz w:val="36"/>
                <w:szCs w:val="36"/>
              </w:rPr>
              <w:t>D</w:t>
            </w:r>
          </w:p>
          <w:p w:rsidR="00F11246" w:rsidRPr="004F77A7" w:rsidRDefault="00F11246" w:rsidP="00A408E4">
            <w:pPr>
              <w:rPr>
                <w:sz w:val="24"/>
                <w:szCs w:val="36"/>
              </w:rPr>
            </w:pPr>
          </w:p>
          <w:p w:rsidR="00F11246" w:rsidRPr="004F77A7" w:rsidRDefault="00F11246" w:rsidP="00A408E4">
            <w:pPr>
              <w:rPr>
                <w:sz w:val="28"/>
                <w:szCs w:val="36"/>
              </w:rPr>
            </w:pPr>
            <w:r w:rsidRPr="00C250B2">
              <w:rPr>
                <w:szCs w:val="36"/>
              </w:rPr>
              <w:t>Temporal Lobe</w:t>
            </w:r>
          </w:p>
        </w:tc>
        <w:tc>
          <w:tcPr>
            <w:tcW w:w="3704" w:type="dxa"/>
          </w:tcPr>
          <w:p w:rsidR="00F11246" w:rsidRPr="00F11246" w:rsidRDefault="00F11246" w:rsidP="00A408E4">
            <w:pPr>
              <w:rPr>
                <w:sz w:val="21"/>
                <w:szCs w:val="21"/>
              </w:rPr>
            </w:pPr>
            <w:r w:rsidRPr="00F11246">
              <w:rPr>
                <w:sz w:val="21"/>
                <w:szCs w:val="21"/>
                <w:lang w:val="en"/>
              </w:rPr>
              <w:t xml:space="preserve">The temporal lobe </w:t>
            </w:r>
            <w:r w:rsidRPr="00F11246">
              <w:rPr>
                <w:rFonts w:cs="Arial"/>
                <w:sz w:val="21"/>
                <w:szCs w:val="21"/>
                <w:lang w:val="en"/>
              </w:rPr>
              <w:t xml:space="preserve">is divided into two hemispheres.; it </w:t>
            </w:r>
            <w:r w:rsidRPr="00F11246">
              <w:rPr>
                <w:sz w:val="21"/>
                <w:szCs w:val="21"/>
                <w:lang w:val="en"/>
              </w:rPr>
              <w:t>is involved in processing sensory input into derived meanings for the appropriate retention of visual memories, language comprehension, and emotion association</w:t>
            </w:r>
          </w:p>
          <w:p w:rsidR="00F11246" w:rsidRPr="00F11246" w:rsidRDefault="00F11246" w:rsidP="00A408E4">
            <w:pPr>
              <w:rPr>
                <w:sz w:val="21"/>
                <w:szCs w:val="21"/>
              </w:rPr>
            </w:pPr>
            <w:r w:rsidRPr="00F11246">
              <w:rPr>
                <w:sz w:val="21"/>
                <w:szCs w:val="21"/>
              </w:rPr>
              <w:t xml:space="preserve">The left side of the </w:t>
            </w:r>
            <w:r w:rsidRPr="00F11246">
              <w:rPr>
                <w:rStyle w:val="yellowfade"/>
                <w:sz w:val="21"/>
                <w:szCs w:val="21"/>
              </w:rPr>
              <w:t>temporal</w:t>
            </w:r>
            <w:r w:rsidRPr="00F11246">
              <w:rPr>
                <w:sz w:val="21"/>
                <w:szCs w:val="21"/>
              </w:rPr>
              <w:t xml:space="preserve"> </w:t>
            </w:r>
            <w:r w:rsidRPr="00F11246">
              <w:rPr>
                <w:rStyle w:val="yellowfade"/>
                <w:sz w:val="21"/>
                <w:szCs w:val="21"/>
              </w:rPr>
              <w:t>lobe</w:t>
            </w:r>
            <w:r w:rsidRPr="00F11246">
              <w:rPr>
                <w:sz w:val="21"/>
                <w:szCs w:val="21"/>
              </w:rPr>
              <w:t xml:space="preserve"> deals with language and verbal memory. The right side of this </w:t>
            </w:r>
            <w:r w:rsidRPr="00F11246">
              <w:rPr>
                <w:rStyle w:val="yellowfade"/>
                <w:sz w:val="21"/>
                <w:szCs w:val="21"/>
              </w:rPr>
              <w:t>lobe</w:t>
            </w:r>
            <w:r w:rsidRPr="00F11246">
              <w:rPr>
                <w:sz w:val="21"/>
                <w:szCs w:val="21"/>
              </w:rPr>
              <w:t xml:space="preserve"> includes the ability to process non-verbal sounds and non-verbal memory.</w:t>
            </w:r>
          </w:p>
        </w:tc>
        <w:tc>
          <w:tcPr>
            <w:tcW w:w="3100" w:type="dxa"/>
          </w:tcPr>
          <w:p w:rsidR="00F11246" w:rsidRPr="00F11246" w:rsidRDefault="00F11246" w:rsidP="00A408E4">
            <w:pPr>
              <w:rPr>
                <w:sz w:val="21"/>
                <w:szCs w:val="21"/>
              </w:rPr>
            </w:pPr>
            <w:r w:rsidRPr="00F11246">
              <w:rPr>
                <w:rFonts w:cs="Arial"/>
                <w:sz w:val="21"/>
                <w:szCs w:val="21"/>
              </w:rPr>
              <w:t xml:space="preserve">The Temporal Lobe mainly revolves around hearing and selective listening. It receives sensory information such as sounds and speech from the ears. It is also </w:t>
            </w:r>
            <w:proofErr w:type="gramStart"/>
            <w:r w:rsidRPr="00F11246">
              <w:rPr>
                <w:rFonts w:cs="Arial"/>
                <w:sz w:val="21"/>
                <w:szCs w:val="21"/>
              </w:rPr>
              <w:t>key</w:t>
            </w:r>
            <w:proofErr w:type="gramEnd"/>
            <w:r w:rsidRPr="00F11246">
              <w:rPr>
                <w:rFonts w:cs="Arial"/>
                <w:sz w:val="21"/>
                <w:szCs w:val="21"/>
              </w:rPr>
              <w:t xml:space="preserve"> to being able to </w:t>
            </w:r>
            <w:r w:rsidRPr="00F11246">
              <w:rPr>
                <w:rStyle w:val="Emphasis"/>
                <w:rFonts w:cs="Arial"/>
                <w:sz w:val="21"/>
                <w:szCs w:val="21"/>
              </w:rPr>
              <w:t xml:space="preserve">comprehend, </w:t>
            </w:r>
            <w:r w:rsidRPr="00F11246">
              <w:rPr>
                <w:rFonts w:cs="Arial"/>
                <w:sz w:val="21"/>
                <w:szCs w:val="21"/>
              </w:rPr>
              <w:t>or understand meaningful speech.</w:t>
            </w:r>
          </w:p>
        </w:tc>
        <w:tc>
          <w:tcPr>
            <w:tcW w:w="2977" w:type="dxa"/>
          </w:tcPr>
          <w:p w:rsidR="00F11246" w:rsidRPr="00F11246" w:rsidRDefault="00F11246" w:rsidP="00F11246">
            <w:pPr>
              <w:pStyle w:val="ListParagraph"/>
              <w:numPr>
                <w:ilvl w:val="0"/>
                <w:numId w:val="4"/>
              </w:numPr>
              <w:rPr>
                <w:sz w:val="21"/>
                <w:szCs w:val="21"/>
              </w:rPr>
            </w:pPr>
            <w:r w:rsidRPr="00F11246">
              <w:rPr>
                <w:sz w:val="21"/>
                <w:szCs w:val="21"/>
              </w:rPr>
              <w:t>Word finding difficulties</w:t>
            </w:r>
          </w:p>
          <w:p w:rsidR="00F11246" w:rsidRPr="00F11246" w:rsidRDefault="00F11246" w:rsidP="00F11246">
            <w:pPr>
              <w:pStyle w:val="ListParagraph"/>
              <w:numPr>
                <w:ilvl w:val="0"/>
                <w:numId w:val="4"/>
              </w:numPr>
              <w:rPr>
                <w:sz w:val="21"/>
                <w:szCs w:val="21"/>
              </w:rPr>
            </w:pPr>
            <w:r w:rsidRPr="00F11246">
              <w:rPr>
                <w:sz w:val="21"/>
                <w:szCs w:val="21"/>
              </w:rPr>
              <w:t>Auditory agnosia</w:t>
            </w:r>
          </w:p>
          <w:p w:rsidR="00F11246" w:rsidRPr="00F11246" w:rsidRDefault="00F11246" w:rsidP="00F11246">
            <w:pPr>
              <w:pStyle w:val="ListParagraph"/>
              <w:numPr>
                <w:ilvl w:val="0"/>
                <w:numId w:val="4"/>
              </w:numPr>
              <w:rPr>
                <w:sz w:val="21"/>
                <w:szCs w:val="21"/>
              </w:rPr>
            </w:pPr>
            <w:r w:rsidRPr="00F11246">
              <w:rPr>
                <w:sz w:val="21"/>
                <w:szCs w:val="21"/>
              </w:rPr>
              <w:t>Memory, emotional, behavioural changes</w:t>
            </w:r>
          </w:p>
          <w:p w:rsidR="00F11246" w:rsidRPr="00F11246" w:rsidRDefault="00F11246" w:rsidP="00F11246">
            <w:pPr>
              <w:pStyle w:val="ListParagraph"/>
              <w:numPr>
                <w:ilvl w:val="0"/>
                <w:numId w:val="4"/>
              </w:numPr>
              <w:rPr>
                <w:sz w:val="21"/>
                <w:szCs w:val="21"/>
              </w:rPr>
            </w:pPr>
            <w:r w:rsidRPr="00F11246">
              <w:rPr>
                <w:sz w:val="21"/>
                <w:szCs w:val="21"/>
              </w:rPr>
              <w:t>Vertigo</w:t>
            </w:r>
          </w:p>
          <w:p w:rsidR="00F11246" w:rsidRPr="00F11246" w:rsidRDefault="00F11246" w:rsidP="00F11246">
            <w:pPr>
              <w:pStyle w:val="ListParagraph"/>
              <w:numPr>
                <w:ilvl w:val="0"/>
                <w:numId w:val="4"/>
              </w:numPr>
              <w:rPr>
                <w:sz w:val="21"/>
                <w:szCs w:val="21"/>
              </w:rPr>
            </w:pPr>
            <w:r w:rsidRPr="00F11246">
              <w:rPr>
                <w:sz w:val="21"/>
                <w:szCs w:val="21"/>
              </w:rPr>
              <w:t>Seizures</w:t>
            </w:r>
          </w:p>
        </w:tc>
      </w:tr>
      <w:tr w:rsidR="00F11246" w:rsidRPr="00C250B2" w:rsidTr="00A408E4">
        <w:trPr>
          <w:trHeight w:val="1830"/>
        </w:trPr>
        <w:tc>
          <w:tcPr>
            <w:tcW w:w="1277" w:type="dxa"/>
          </w:tcPr>
          <w:p w:rsidR="00F11246" w:rsidRDefault="00F11246" w:rsidP="00A408E4">
            <w:pPr>
              <w:rPr>
                <w:sz w:val="36"/>
                <w:szCs w:val="36"/>
              </w:rPr>
            </w:pPr>
            <w:r>
              <w:rPr>
                <w:sz w:val="36"/>
                <w:szCs w:val="36"/>
              </w:rPr>
              <w:t>E</w:t>
            </w:r>
          </w:p>
          <w:p w:rsidR="00F11246" w:rsidRPr="00C250B2" w:rsidRDefault="00F11246" w:rsidP="00A408E4">
            <w:pPr>
              <w:rPr>
                <w:szCs w:val="36"/>
              </w:rPr>
            </w:pPr>
          </w:p>
          <w:p w:rsidR="00F11246" w:rsidRPr="00C250B2" w:rsidRDefault="00F11246" w:rsidP="00A408E4">
            <w:pPr>
              <w:rPr>
                <w:szCs w:val="36"/>
              </w:rPr>
            </w:pPr>
            <w:r w:rsidRPr="00C250B2">
              <w:rPr>
                <w:szCs w:val="36"/>
              </w:rPr>
              <w:t>Cerebellum</w:t>
            </w:r>
          </w:p>
          <w:p w:rsidR="00F11246" w:rsidRPr="004F77A7" w:rsidRDefault="00F11246" w:rsidP="00A408E4">
            <w:pPr>
              <w:rPr>
                <w:sz w:val="28"/>
                <w:szCs w:val="36"/>
              </w:rPr>
            </w:pPr>
          </w:p>
        </w:tc>
        <w:tc>
          <w:tcPr>
            <w:tcW w:w="3704" w:type="dxa"/>
          </w:tcPr>
          <w:p w:rsidR="00F11246" w:rsidRPr="00F11246" w:rsidRDefault="00F11246" w:rsidP="00A408E4">
            <w:pPr>
              <w:rPr>
                <w:sz w:val="21"/>
                <w:szCs w:val="21"/>
              </w:rPr>
            </w:pPr>
            <w:r w:rsidRPr="00F11246">
              <w:rPr>
                <w:sz w:val="21"/>
                <w:szCs w:val="21"/>
                <w:lang w:val="en"/>
              </w:rPr>
              <w:t>The cerebellum is located in the lower part of the brain, towards the back. It plays a role in body movement, eye movement, and balance.</w:t>
            </w:r>
          </w:p>
        </w:tc>
        <w:tc>
          <w:tcPr>
            <w:tcW w:w="3100" w:type="dxa"/>
          </w:tcPr>
          <w:p w:rsidR="00F11246" w:rsidRPr="00F11246" w:rsidRDefault="00F11246" w:rsidP="00A408E4">
            <w:pPr>
              <w:autoSpaceDE w:val="0"/>
              <w:autoSpaceDN w:val="0"/>
              <w:adjustRightInd w:val="0"/>
              <w:rPr>
                <w:sz w:val="21"/>
                <w:szCs w:val="21"/>
              </w:rPr>
            </w:pPr>
            <w:r w:rsidRPr="00F11246">
              <w:rPr>
                <w:sz w:val="21"/>
                <w:szCs w:val="21"/>
                <w:lang w:val="en-US"/>
              </w:rPr>
              <w:t>The cerebellum receives information from the sensory systems, the spinal cord, and other parts of the brain and then regulates motor movements.</w:t>
            </w:r>
          </w:p>
        </w:tc>
        <w:tc>
          <w:tcPr>
            <w:tcW w:w="2977" w:type="dxa"/>
          </w:tcPr>
          <w:p w:rsidR="00F11246" w:rsidRPr="00F11246" w:rsidRDefault="00F11246" w:rsidP="00F11246">
            <w:pPr>
              <w:pStyle w:val="ListParagraph"/>
              <w:numPr>
                <w:ilvl w:val="0"/>
                <w:numId w:val="6"/>
              </w:numPr>
              <w:autoSpaceDE w:val="0"/>
              <w:autoSpaceDN w:val="0"/>
              <w:adjustRightInd w:val="0"/>
              <w:rPr>
                <w:rFonts w:cs="Times-Roman"/>
                <w:sz w:val="21"/>
                <w:szCs w:val="21"/>
              </w:rPr>
            </w:pPr>
            <w:r w:rsidRPr="00F11246">
              <w:rPr>
                <w:rFonts w:cs="Times-Roman"/>
                <w:sz w:val="21"/>
                <w:szCs w:val="21"/>
              </w:rPr>
              <w:t>Movement and sensation - ataxia</w:t>
            </w:r>
          </w:p>
          <w:p w:rsidR="00F11246" w:rsidRPr="00F11246" w:rsidRDefault="00F11246" w:rsidP="00F11246">
            <w:pPr>
              <w:pStyle w:val="ListParagraph"/>
              <w:numPr>
                <w:ilvl w:val="0"/>
                <w:numId w:val="6"/>
              </w:numPr>
              <w:autoSpaceDE w:val="0"/>
              <w:autoSpaceDN w:val="0"/>
              <w:adjustRightInd w:val="0"/>
              <w:rPr>
                <w:rFonts w:cs="Times-Roman"/>
                <w:sz w:val="21"/>
                <w:szCs w:val="21"/>
              </w:rPr>
            </w:pPr>
            <w:r w:rsidRPr="00F11246">
              <w:rPr>
                <w:rFonts w:cs="Times-Roman"/>
                <w:sz w:val="21"/>
                <w:szCs w:val="21"/>
              </w:rPr>
              <w:t>Balance</w:t>
            </w:r>
          </w:p>
          <w:p w:rsidR="00F11246" w:rsidRPr="00F11246" w:rsidRDefault="00F11246" w:rsidP="00F11246">
            <w:pPr>
              <w:pStyle w:val="ListParagraph"/>
              <w:numPr>
                <w:ilvl w:val="0"/>
                <w:numId w:val="6"/>
              </w:numPr>
              <w:rPr>
                <w:rFonts w:cs="Times-Roman"/>
                <w:sz w:val="21"/>
                <w:szCs w:val="21"/>
              </w:rPr>
            </w:pPr>
            <w:r w:rsidRPr="00F11246">
              <w:rPr>
                <w:rFonts w:cs="Times-Roman"/>
                <w:sz w:val="21"/>
                <w:szCs w:val="21"/>
              </w:rPr>
              <w:t>Speech and Swallowing</w:t>
            </w:r>
          </w:p>
          <w:p w:rsidR="00F11246" w:rsidRPr="00F11246" w:rsidRDefault="00F11246" w:rsidP="00F11246">
            <w:pPr>
              <w:pStyle w:val="ListParagraph"/>
              <w:numPr>
                <w:ilvl w:val="0"/>
                <w:numId w:val="6"/>
              </w:numPr>
              <w:rPr>
                <w:rFonts w:ascii="Times-Roman" w:hAnsi="Times-Roman" w:cs="Times-Roman"/>
                <w:sz w:val="21"/>
                <w:szCs w:val="21"/>
              </w:rPr>
            </w:pPr>
            <w:r w:rsidRPr="00F11246">
              <w:rPr>
                <w:rFonts w:cs="Times-Roman"/>
                <w:sz w:val="21"/>
                <w:szCs w:val="21"/>
              </w:rPr>
              <w:t>Vision – nystagmus</w:t>
            </w:r>
          </w:p>
        </w:tc>
      </w:tr>
      <w:tr w:rsidR="00F11246" w:rsidRPr="00C250B2" w:rsidTr="00A408E4">
        <w:tc>
          <w:tcPr>
            <w:tcW w:w="1277" w:type="dxa"/>
          </w:tcPr>
          <w:p w:rsidR="00F11246" w:rsidRDefault="00F11246" w:rsidP="00A408E4">
            <w:pPr>
              <w:rPr>
                <w:sz w:val="36"/>
                <w:szCs w:val="36"/>
              </w:rPr>
            </w:pPr>
            <w:r>
              <w:rPr>
                <w:sz w:val="36"/>
                <w:szCs w:val="36"/>
              </w:rPr>
              <w:t>F</w:t>
            </w:r>
          </w:p>
          <w:p w:rsidR="00F11246" w:rsidRPr="00C250B2" w:rsidRDefault="00F11246" w:rsidP="00A408E4">
            <w:pPr>
              <w:rPr>
                <w:szCs w:val="36"/>
              </w:rPr>
            </w:pPr>
          </w:p>
          <w:p w:rsidR="00F11246" w:rsidRPr="004F77A7" w:rsidRDefault="00F11246" w:rsidP="00A408E4">
            <w:pPr>
              <w:rPr>
                <w:sz w:val="28"/>
                <w:szCs w:val="36"/>
              </w:rPr>
            </w:pPr>
            <w:r w:rsidRPr="00C250B2">
              <w:rPr>
                <w:szCs w:val="36"/>
              </w:rPr>
              <w:t>Brainstem</w:t>
            </w:r>
          </w:p>
        </w:tc>
        <w:tc>
          <w:tcPr>
            <w:tcW w:w="3704" w:type="dxa"/>
          </w:tcPr>
          <w:p w:rsidR="00F11246" w:rsidRPr="007B55A5" w:rsidRDefault="00F11246" w:rsidP="00A408E4">
            <w:pPr>
              <w:spacing w:before="100" w:beforeAutospacing="1" w:after="100" w:afterAutospacing="1"/>
              <w:rPr>
                <w:rFonts w:eastAsia="Times New Roman" w:cs="Times New Roman"/>
                <w:sz w:val="21"/>
                <w:szCs w:val="21"/>
                <w:lang w:eastAsia="en-GB"/>
              </w:rPr>
            </w:pPr>
            <w:r w:rsidRPr="007B55A5">
              <w:rPr>
                <w:rFonts w:eastAsia="Times New Roman" w:cs="Times New Roman"/>
                <w:sz w:val="21"/>
                <w:szCs w:val="21"/>
                <w:lang w:eastAsia="en-GB"/>
              </w:rPr>
              <w:t xml:space="preserve">The brain stem controls the flow of messages between the brain and the rest of the body, and it also controls basic body functions such as breathing, swallowing, heart rate, blood pressure, consciousness, and whether one is awake or sleepy.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3468"/>
            </w:tblGrid>
            <w:tr w:rsidR="00F11246" w:rsidRPr="007B55A5" w:rsidTr="00A408E4">
              <w:trPr>
                <w:tblCellSpacing w:w="0" w:type="dxa"/>
              </w:trPr>
              <w:tc>
                <w:tcPr>
                  <w:tcW w:w="630" w:type="dxa"/>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p>
              </w:tc>
              <w:tc>
                <w:tcPr>
                  <w:tcW w:w="5000" w:type="pct"/>
                  <w:hideMark/>
                </w:tcPr>
                <w:p w:rsidR="00F11246" w:rsidRPr="00F11246" w:rsidRDefault="00F11246" w:rsidP="00A408E4">
                  <w:pPr>
                    <w:spacing w:after="0" w:line="240" w:lineRule="auto"/>
                    <w:rPr>
                      <w:rFonts w:eastAsia="Times New Roman" w:cs="Times New Roman"/>
                      <w:sz w:val="21"/>
                      <w:szCs w:val="21"/>
                      <w:lang w:eastAsia="en-GB"/>
                    </w:rPr>
                  </w:pPr>
                  <w:r w:rsidRPr="00F11246">
                    <w:rPr>
                      <w:rFonts w:eastAsia="Times New Roman" w:cs="Times New Roman"/>
                      <w:sz w:val="21"/>
                      <w:szCs w:val="21"/>
                      <w:lang w:eastAsia="en-GB"/>
                    </w:rPr>
                    <w:t>The brain stem has 3 areas</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3448"/>
                  </w:tblGrid>
                  <w:tr w:rsidR="00F11246" w:rsidRPr="007B55A5" w:rsidTr="00A408E4">
                    <w:trPr>
                      <w:tblCellSpacing w:w="0" w:type="dxa"/>
                    </w:trPr>
                    <w:tc>
                      <w:tcPr>
                        <w:tcW w:w="630" w:type="dxa"/>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p>
                    </w:tc>
                    <w:tc>
                      <w:tcPr>
                        <w:tcW w:w="5000" w:type="pct"/>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r w:rsidRPr="00F11246">
                          <w:rPr>
                            <w:rFonts w:eastAsia="Times New Roman" w:cs="Times New Roman"/>
                            <w:sz w:val="21"/>
                            <w:szCs w:val="21"/>
                            <w:lang w:eastAsia="en-GB"/>
                          </w:rPr>
                          <w:t xml:space="preserve">Midbrain </w:t>
                        </w:r>
                      </w:p>
                    </w:tc>
                  </w:tr>
                  <w:tr w:rsidR="00F11246" w:rsidRPr="007B55A5" w:rsidTr="00A408E4">
                    <w:trPr>
                      <w:tblCellSpacing w:w="0" w:type="dxa"/>
                    </w:trPr>
                    <w:tc>
                      <w:tcPr>
                        <w:tcW w:w="630" w:type="dxa"/>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p>
                    </w:tc>
                    <w:tc>
                      <w:tcPr>
                        <w:tcW w:w="5000" w:type="pct"/>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r w:rsidRPr="00F11246">
                          <w:rPr>
                            <w:rFonts w:eastAsia="Times New Roman" w:cs="Times New Roman"/>
                            <w:sz w:val="21"/>
                            <w:szCs w:val="21"/>
                            <w:lang w:eastAsia="en-GB"/>
                          </w:rPr>
                          <w:t xml:space="preserve">Pons </w:t>
                        </w:r>
                      </w:p>
                    </w:tc>
                  </w:tr>
                  <w:tr w:rsidR="00F11246" w:rsidRPr="007B55A5" w:rsidTr="00A408E4">
                    <w:trPr>
                      <w:tblCellSpacing w:w="0" w:type="dxa"/>
                    </w:trPr>
                    <w:tc>
                      <w:tcPr>
                        <w:tcW w:w="630" w:type="dxa"/>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p>
                    </w:tc>
                    <w:tc>
                      <w:tcPr>
                        <w:tcW w:w="5000" w:type="pct"/>
                        <w:hideMark/>
                      </w:tcPr>
                      <w:p w:rsidR="00F11246" w:rsidRPr="00F11246" w:rsidRDefault="00F11246" w:rsidP="00F11246">
                        <w:pPr>
                          <w:pStyle w:val="ListParagraph"/>
                          <w:numPr>
                            <w:ilvl w:val="0"/>
                            <w:numId w:val="7"/>
                          </w:numPr>
                          <w:spacing w:after="0" w:line="240" w:lineRule="auto"/>
                          <w:rPr>
                            <w:rFonts w:eastAsia="Times New Roman" w:cs="Times New Roman"/>
                            <w:sz w:val="21"/>
                            <w:szCs w:val="21"/>
                            <w:lang w:eastAsia="en-GB"/>
                          </w:rPr>
                        </w:pPr>
                        <w:r w:rsidRPr="00F11246">
                          <w:rPr>
                            <w:rFonts w:eastAsia="Times New Roman" w:cs="Times New Roman"/>
                            <w:sz w:val="21"/>
                            <w:szCs w:val="21"/>
                            <w:lang w:eastAsia="en-GB"/>
                          </w:rPr>
                          <w:t xml:space="preserve">Medulla Oblongata </w:t>
                        </w:r>
                      </w:p>
                    </w:tc>
                  </w:tr>
                </w:tbl>
                <w:p w:rsidR="00F11246" w:rsidRPr="007B55A5" w:rsidRDefault="00F11246" w:rsidP="00A408E4">
                  <w:pPr>
                    <w:spacing w:after="0" w:line="240" w:lineRule="auto"/>
                    <w:rPr>
                      <w:rFonts w:eastAsia="Times New Roman" w:cs="Times New Roman"/>
                      <w:sz w:val="21"/>
                      <w:szCs w:val="21"/>
                      <w:lang w:eastAsia="en-GB"/>
                    </w:rPr>
                  </w:pPr>
                </w:p>
              </w:tc>
            </w:tr>
          </w:tbl>
          <w:p w:rsidR="00F11246" w:rsidRPr="00F11246" w:rsidRDefault="00F11246" w:rsidP="00A408E4">
            <w:pPr>
              <w:ind w:left="150" w:right="150"/>
              <w:rPr>
                <w:sz w:val="21"/>
                <w:szCs w:val="21"/>
              </w:rPr>
            </w:pPr>
          </w:p>
        </w:tc>
        <w:tc>
          <w:tcPr>
            <w:tcW w:w="3100" w:type="dxa"/>
          </w:tcPr>
          <w:p w:rsidR="00F11246" w:rsidRPr="007B55A5" w:rsidRDefault="00F11246" w:rsidP="00A408E4">
            <w:pPr>
              <w:ind w:left="150" w:right="150"/>
              <w:rPr>
                <w:rFonts w:eastAsia="Times New Roman" w:cs="Times New Roman"/>
                <w:sz w:val="21"/>
                <w:szCs w:val="21"/>
                <w:lang w:eastAsia="en-GB"/>
              </w:rPr>
            </w:pPr>
            <w:r w:rsidRPr="00F11246">
              <w:rPr>
                <w:sz w:val="21"/>
                <w:szCs w:val="21"/>
              </w:rPr>
              <w:t xml:space="preserve">The brainstem is the region of the brain that physically and functionally connects high level brain activity with the rest of the body. It </w:t>
            </w:r>
            <w:r w:rsidRPr="007B55A5">
              <w:rPr>
                <w:rFonts w:eastAsia="Times New Roman" w:cs="Times New Roman"/>
                <w:sz w:val="21"/>
                <w:szCs w:val="21"/>
                <w:lang w:eastAsia="en-GB"/>
              </w:rPr>
              <w:t xml:space="preserve">controls the most basic functions necessary for the </w:t>
            </w:r>
            <w:r w:rsidRPr="00F11246">
              <w:rPr>
                <w:rFonts w:eastAsia="Times New Roman" w:cs="Times New Roman"/>
                <w:sz w:val="21"/>
                <w:szCs w:val="21"/>
                <w:lang w:eastAsia="en-GB"/>
              </w:rPr>
              <w:t>survival, breathing</w:t>
            </w:r>
            <w:r w:rsidRPr="007B55A5">
              <w:rPr>
                <w:rFonts w:eastAsia="Times New Roman" w:cs="Times New Roman"/>
                <w:sz w:val="21"/>
                <w:szCs w:val="21"/>
                <w:lang w:eastAsia="en-GB"/>
              </w:rPr>
              <w:t xml:space="preserve">, heartbeat, blood </w:t>
            </w:r>
            <w:r w:rsidRPr="00F11246">
              <w:rPr>
                <w:rFonts w:eastAsia="Times New Roman" w:cs="Times New Roman"/>
                <w:sz w:val="21"/>
                <w:szCs w:val="21"/>
                <w:lang w:eastAsia="en-GB"/>
              </w:rPr>
              <w:t>pressure;</w:t>
            </w:r>
            <w:r w:rsidRPr="007B55A5">
              <w:rPr>
                <w:rFonts w:eastAsia="Times New Roman" w:cs="Times New Roman"/>
                <w:sz w:val="21"/>
                <w:szCs w:val="21"/>
                <w:lang w:eastAsia="en-GB"/>
              </w:rPr>
              <w:t xml:space="preserve"> digestion and swallowing are </w:t>
            </w:r>
            <w:r w:rsidRPr="00F11246">
              <w:rPr>
                <w:rFonts w:eastAsia="Times New Roman" w:cs="Times New Roman"/>
                <w:sz w:val="21"/>
                <w:szCs w:val="21"/>
                <w:lang w:eastAsia="en-GB"/>
              </w:rPr>
              <w:t>centred</w:t>
            </w:r>
            <w:r w:rsidRPr="007B55A5">
              <w:rPr>
                <w:rFonts w:eastAsia="Times New Roman" w:cs="Times New Roman"/>
                <w:sz w:val="21"/>
                <w:szCs w:val="21"/>
                <w:lang w:eastAsia="en-GB"/>
              </w:rPr>
              <w:t xml:space="preserve"> here. </w:t>
            </w:r>
            <w:r w:rsidRPr="00F11246">
              <w:rPr>
                <w:rFonts w:eastAsia="Times New Roman" w:cs="Times New Roman"/>
                <w:sz w:val="21"/>
                <w:szCs w:val="21"/>
                <w:lang w:eastAsia="en-GB"/>
              </w:rPr>
              <w:t xml:space="preserve"> </w:t>
            </w:r>
            <w:r w:rsidRPr="007B55A5">
              <w:rPr>
                <w:rFonts w:eastAsia="Times New Roman" w:cs="Times New Roman"/>
                <w:sz w:val="21"/>
                <w:szCs w:val="21"/>
                <w:lang w:eastAsia="en-GB"/>
              </w:rPr>
              <w:t>The ability to coordinate movement, withdraw from pain, and react to danger is controlled here.</w:t>
            </w:r>
          </w:p>
          <w:p w:rsidR="00F11246" w:rsidRPr="00F11246" w:rsidRDefault="00F11246" w:rsidP="00A408E4">
            <w:pPr>
              <w:rPr>
                <w:sz w:val="21"/>
                <w:szCs w:val="21"/>
              </w:rPr>
            </w:pPr>
          </w:p>
        </w:tc>
        <w:tc>
          <w:tcPr>
            <w:tcW w:w="2977" w:type="dxa"/>
          </w:tcPr>
          <w:p w:rsidR="00F11246" w:rsidRPr="00F11246" w:rsidRDefault="00F11246" w:rsidP="00F11246">
            <w:pPr>
              <w:pStyle w:val="ListParagraph"/>
              <w:numPr>
                <w:ilvl w:val="0"/>
                <w:numId w:val="5"/>
              </w:numPr>
              <w:rPr>
                <w:sz w:val="21"/>
                <w:szCs w:val="21"/>
              </w:rPr>
            </w:pPr>
            <w:r w:rsidRPr="00F11246">
              <w:rPr>
                <w:sz w:val="21"/>
                <w:szCs w:val="21"/>
              </w:rPr>
              <w:t>Weakness</w:t>
            </w:r>
          </w:p>
          <w:p w:rsidR="00F11246" w:rsidRPr="00F11246" w:rsidRDefault="00F11246" w:rsidP="00F11246">
            <w:pPr>
              <w:pStyle w:val="ListParagraph"/>
              <w:numPr>
                <w:ilvl w:val="0"/>
                <w:numId w:val="5"/>
              </w:numPr>
              <w:rPr>
                <w:sz w:val="21"/>
                <w:szCs w:val="21"/>
              </w:rPr>
            </w:pPr>
            <w:r w:rsidRPr="00F11246">
              <w:rPr>
                <w:sz w:val="21"/>
                <w:szCs w:val="21"/>
              </w:rPr>
              <w:t>Sensory deficits</w:t>
            </w:r>
          </w:p>
          <w:p w:rsidR="00F11246" w:rsidRPr="00F11246" w:rsidRDefault="00F11246" w:rsidP="00F11246">
            <w:pPr>
              <w:pStyle w:val="ListParagraph"/>
              <w:numPr>
                <w:ilvl w:val="0"/>
                <w:numId w:val="5"/>
              </w:numPr>
              <w:rPr>
                <w:sz w:val="21"/>
                <w:szCs w:val="21"/>
              </w:rPr>
            </w:pPr>
            <w:r w:rsidRPr="00F11246">
              <w:rPr>
                <w:sz w:val="21"/>
                <w:szCs w:val="21"/>
              </w:rPr>
              <w:t>Dizziness</w:t>
            </w:r>
          </w:p>
          <w:p w:rsidR="00F11246" w:rsidRPr="00F11246" w:rsidRDefault="00F11246" w:rsidP="00F11246">
            <w:pPr>
              <w:pStyle w:val="ListParagraph"/>
              <w:numPr>
                <w:ilvl w:val="0"/>
                <w:numId w:val="5"/>
              </w:numPr>
              <w:rPr>
                <w:sz w:val="21"/>
                <w:szCs w:val="21"/>
              </w:rPr>
            </w:pPr>
            <w:r w:rsidRPr="00F11246">
              <w:rPr>
                <w:sz w:val="21"/>
                <w:szCs w:val="21"/>
              </w:rPr>
              <w:t>Double vision</w:t>
            </w:r>
          </w:p>
          <w:p w:rsidR="00F11246" w:rsidRPr="00F11246" w:rsidRDefault="00F11246" w:rsidP="00F11246">
            <w:pPr>
              <w:pStyle w:val="ListParagraph"/>
              <w:numPr>
                <w:ilvl w:val="0"/>
                <w:numId w:val="5"/>
              </w:numPr>
              <w:rPr>
                <w:sz w:val="21"/>
                <w:szCs w:val="21"/>
              </w:rPr>
            </w:pPr>
            <w:r w:rsidRPr="00F11246">
              <w:rPr>
                <w:sz w:val="21"/>
                <w:szCs w:val="21"/>
              </w:rPr>
              <w:t>Uneven pupils</w:t>
            </w:r>
          </w:p>
          <w:p w:rsidR="00F11246" w:rsidRPr="00F11246" w:rsidRDefault="00F11246" w:rsidP="00F11246">
            <w:pPr>
              <w:pStyle w:val="ListParagraph"/>
              <w:numPr>
                <w:ilvl w:val="0"/>
                <w:numId w:val="5"/>
              </w:numPr>
              <w:rPr>
                <w:sz w:val="21"/>
                <w:szCs w:val="21"/>
              </w:rPr>
            </w:pPr>
            <w:r w:rsidRPr="00F11246">
              <w:rPr>
                <w:sz w:val="21"/>
                <w:szCs w:val="21"/>
              </w:rPr>
              <w:t>Dysphagia</w:t>
            </w:r>
          </w:p>
          <w:p w:rsidR="00F11246" w:rsidRPr="00F11246" w:rsidRDefault="00F11246" w:rsidP="00F11246">
            <w:pPr>
              <w:pStyle w:val="ListParagraph"/>
              <w:numPr>
                <w:ilvl w:val="0"/>
                <w:numId w:val="5"/>
              </w:numPr>
              <w:rPr>
                <w:sz w:val="21"/>
                <w:szCs w:val="21"/>
              </w:rPr>
            </w:pPr>
            <w:r w:rsidRPr="00F11246">
              <w:rPr>
                <w:sz w:val="21"/>
                <w:szCs w:val="21"/>
              </w:rPr>
              <w:t>Tongue deviation</w:t>
            </w:r>
          </w:p>
          <w:p w:rsidR="00F11246" w:rsidRPr="00F11246" w:rsidRDefault="00F11246" w:rsidP="00F11246">
            <w:pPr>
              <w:pStyle w:val="ListParagraph"/>
              <w:numPr>
                <w:ilvl w:val="0"/>
                <w:numId w:val="5"/>
              </w:numPr>
              <w:rPr>
                <w:sz w:val="21"/>
                <w:szCs w:val="21"/>
              </w:rPr>
            </w:pPr>
            <w:r w:rsidRPr="00F11246">
              <w:rPr>
                <w:sz w:val="21"/>
                <w:szCs w:val="21"/>
              </w:rPr>
              <w:t>Locked in Syndrome</w:t>
            </w:r>
          </w:p>
        </w:tc>
      </w:tr>
    </w:tbl>
    <w:p w:rsidR="00F11246" w:rsidRDefault="00F11246"/>
    <w:sectPr w:rsidR="00F11246" w:rsidSect="00F11246">
      <w:pgSz w:w="11906" w:h="16838"/>
      <w:pgMar w:top="28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1AE5"/>
    <w:multiLevelType w:val="hybridMultilevel"/>
    <w:tmpl w:val="DF7C2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C2330C"/>
    <w:multiLevelType w:val="hybridMultilevel"/>
    <w:tmpl w:val="C58C3DD8"/>
    <w:lvl w:ilvl="0" w:tplc="0C5ECD42">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F8595B"/>
    <w:multiLevelType w:val="hybridMultilevel"/>
    <w:tmpl w:val="9F868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AB1DAD"/>
    <w:multiLevelType w:val="hybridMultilevel"/>
    <w:tmpl w:val="7D6ADFFE"/>
    <w:lvl w:ilvl="0" w:tplc="0C5ECD42">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B8C2024"/>
    <w:multiLevelType w:val="hybridMultilevel"/>
    <w:tmpl w:val="6E6A5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6B00FA0"/>
    <w:multiLevelType w:val="hybridMultilevel"/>
    <w:tmpl w:val="3D069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9E50E10"/>
    <w:multiLevelType w:val="multilevel"/>
    <w:tmpl w:val="55C4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46"/>
    <w:rsid w:val="00451C8C"/>
    <w:rsid w:val="007F55E2"/>
    <w:rsid w:val="00F112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2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46"/>
    <w:rPr>
      <w:rFonts w:ascii="Tahoma" w:hAnsi="Tahoma" w:cs="Tahoma"/>
      <w:sz w:val="16"/>
      <w:szCs w:val="16"/>
    </w:rPr>
  </w:style>
  <w:style w:type="table" w:styleId="TableGrid">
    <w:name w:val="Table Grid"/>
    <w:basedOn w:val="TableNormal"/>
    <w:uiPriority w:val="59"/>
    <w:rsid w:val="00F1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F11246"/>
    <w:rPr>
      <w:rFonts w:cs="HelveticaNeueLT Std Lt"/>
      <w:color w:val="000000"/>
      <w:sz w:val="17"/>
      <w:szCs w:val="17"/>
    </w:rPr>
  </w:style>
  <w:style w:type="character" w:styleId="Hyperlink">
    <w:name w:val="Hyperlink"/>
    <w:basedOn w:val="DefaultParagraphFont"/>
    <w:uiPriority w:val="99"/>
    <w:semiHidden/>
    <w:unhideWhenUsed/>
    <w:rsid w:val="00F11246"/>
    <w:rPr>
      <w:color w:val="0000FF"/>
      <w:u w:val="single"/>
    </w:rPr>
  </w:style>
  <w:style w:type="paragraph" w:styleId="ListParagraph">
    <w:name w:val="List Paragraph"/>
    <w:basedOn w:val="Normal"/>
    <w:uiPriority w:val="34"/>
    <w:qFormat/>
    <w:rsid w:val="00F11246"/>
    <w:pPr>
      <w:ind w:left="720"/>
      <w:contextualSpacing/>
    </w:pPr>
  </w:style>
  <w:style w:type="character" w:styleId="Emphasis">
    <w:name w:val="Emphasis"/>
    <w:basedOn w:val="DefaultParagraphFont"/>
    <w:uiPriority w:val="20"/>
    <w:qFormat/>
    <w:rsid w:val="00F11246"/>
    <w:rPr>
      <w:i/>
      <w:iCs/>
    </w:rPr>
  </w:style>
  <w:style w:type="character" w:customStyle="1" w:styleId="yellowfade">
    <w:name w:val="yellowfade"/>
    <w:basedOn w:val="DefaultParagraphFont"/>
    <w:rsid w:val="00F11246"/>
  </w:style>
  <w:style w:type="paragraph" w:styleId="NormalWeb">
    <w:name w:val="Normal (Web)"/>
    <w:basedOn w:val="Normal"/>
    <w:uiPriority w:val="99"/>
    <w:unhideWhenUsed/>
    <w:rsid w:val="00F1124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2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46"/>
    <w:rPr>
      <w:rFonts w:ascii="Tahoma" w:hAnsi="Tahoma" w:cs="Tahoma"/>
      <w:sz w:val="16"/>
      <w:szCs w:val="16"/>
    </w:rPr>
  </w:style>
  <w:style w:type="table" w:styleId="TableGrid">
    <w:name w:val="Table Grid"/>
    <w:basedOn w:val="TableNormal"/>
    <w:uiPriority w:val="59"/>
    <w:rsid w:val="00F1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F11246"/>
    <w:rPr>
      <w:rFonts w:cs="HelveticaNeueLT Std Lt"/>
      <w:color w:val="000000"/>
      <w:sz w:val="17"/>
      <w:szCs w:val="17"/>
    </w:rPr>
  </w:style>
  <w:style w:type="character" w:styleId="Hyperlink">
    <w:name w:val="Hyperlink"/>
    <w:basedOn w:val="DefaultParagraphFont"/>
    <w:uiPriority w:val="99"/>
    <w:semiHidden/>
    <w:unhideWhenUsed/>
    <w:rsid w:val="00F11246"/>
    <w:rPr>
      <w:color w:val="0000FF"/>
      <w:u w:val="single"/>
    </w:rPr>
  </w:style>
  <w:style w:type="paragraph" w:styleId="ListParagraph">
    <w:name w:val="List Paragraph"/>
    <w:basedOn w:val="Normal"/>
    <w:uiPriority w:val="34"/>
    <w:qFormat/>
    <w:rsid w:val="00F11246"/>
    <w:pPr>
      <w:ind w:left="720"/>
      <w:contextualSpacing/>
    </w:pPr>
  </w:style>
  <w:style w:type="character" w:styleId="Emphasis">
    <w:name w:val="Emphasis"/>
    <w:basedOn w:val="DefaultParagraphFont"/>
    <w:uiPriority w:val="20"/>
    <w:qFormat/>
    <w:rsid w:val="00F11246"/>
    <w:rPr>
      <w:i/>
      <w:iCs/>
    </w:rPr>
  </w:style>
  <w:style w:type="character" w:customStyle="1" w:styleId="yellowfade">
    <w:name w:val="yellowfade"/>
    <w:basedOn w:val="DefaultParagraphFont"/>
    <w:rsid w:val="00F11246"/>
  </w:style>
  <w:style w:type="paragraph" w:styleId="NormalWeb">
    <w:name w:val="Normal (Web)"/>
    <w:basedOn w:val="Normal"/>
    <w:uiPriority w:val="99"/>
    <w:unhideWhenUsed/>
    <w:rsid w:val="00F1124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ywell.com/what-is-a-visual-illusion-3146438" TargetMode="External"/><Relationship Id="rId3" Type="http://schemas.microsoft.com/office/2007/relationships/stylesWithEffects" Target="stylesWithEffects.xml"/><Relationship Id="rId7" Type="http://schemas.openxmlformats.org/officeDocument/2006/relationships/hyperlink" Target="https://www.verywell.com/loss-of-peripheral-vision-31464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roke.about.com/od/glossary/g/Agnosia.htm" TargetMode="External"/><Relationship Id="rId4" Type="http://schemas.openxmlformats.org/officeDocument/2006/relationships/settings" Target="settings.xml"/><Relationship Id="rId9" Type="http://schemas.openxmlformats.org/officeDocument/2006/relationships/hyperlink" Target="http://stroke.about.com/od/glossary/g/Hallucina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625</Words>
  <Characters>3564</Characters>
  <Application>Microsoft Office Word</Application>
  <DocSecurity>0</DocSecurity>
  <Lines>29</Lines>
  <Paragraphs>8</Paragraphs>
  <ScaleCrop>false</ScaleCrop>
  <Company>Nottingham University Hospitals</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1</cp:revision>
  <dcterms:created xsi:type="dcterms:W3CDTF">2016-04-28T10:31:00Z</dcterms:created>
  <dcterms:modified xsi:type="dcterms:W3CDTF">2016-04-28T10:39:00Z</dcterms:modified>
</cp:coreProperties>
</file>