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7C" w:rsidRPr="007C7153" w:rsidRDefault="00601497" w:rsidP="007C7153">
      <w:pPr>
        <w:jc w:val="center"/>
        <w:rPr>
          <w:b/>
        </w:rPr>
      </w:pPr>
      <w:r w:rsidRPr="00651FBA">
        <w:rPr>
          <w:b/>
          <w:noProof/>
          <w:lang w:eastAsia="en-GB"/>
        </w:rPr>
        <w:drawing>
          <wp:anchor distT="0" distB="0" distL="114300" distR="114300" simplePos="0" relativeHeight="251658240" behindDoc="1" locked="0" layoutInCell="1" allowOverlap="1" wp14:anchorId="0C0FC27E" wp14:editId="53A50D9A">
            <wp:simplePos x="0" y="0"/>
            <wp:positionH relativeFrom="column">
              <wp:posOffset>8655050</wp:posOffset>
            </wp:positionH>
            <wp:positionV relativeFrom="paragraph">
              <wp:posOffset>-410210</wp:posOffset>
            </wp:positionV>
            <wp:extent cx="812165" cy="504825"/>
            <wp:effectExtent l="0" t="0" r="6985" b="9525"/>
            <wp:wrapTight wrapText="bothSides">
              <wp:wrapPolygon edited="0">
                <wp:start x="0" y="0"/>
                <wp:lineTo x="0" y="21192"/>
                <wp:lineTo x="21279" y="21192"/>
                <wp:lineTo x="21279"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England 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BA" w:rsidRPr="007C7153">
        <w:rPr>
          <w:b/>
          <w:sz w:val="20"/>
        </w:rPr>
        <w:t>Feedback Questionnaire</w:t>
      </w:r>
    </w:p>
    <w:p w:rsidR="00651FBA" w:rsidRPr="007C7153" w:rsidRDefault="00651FBA" w:rsidP="00651FBA">
      <w:pPr>
        <w:jc w:val="center"/>
        <w:rPr>
          <w:b/>
          <w:sz w:val="20"/>
        </w:rPr>
      </w:pPr>
      <w:r w:rsidRPr="007C7153">
        <w:rPr>
          <w:b/>
          <w:sz w:val="20"/>
        </w:rPr>
        <w:t>Ahead of the Curve</w:t>
      </w:r>
      <w:r w:rsidR="00601497" w:rsidRPr="007C7153">
        <w:rPr>
          <w:b/>
          <w:sz w:val="20"/>
        </w:rPr>
        <w:t xml:space="preserve"> - </w:t>
      </w:r>
      <w:r w:rsidRPr="007C7153">
        <w:rPr>
          <w:b/>
          <w:sz w:val="20"/>
        </w:rPr>
        <w:t>Annual National Conference for Responsible Officers</w:t>
      </w:r>
      <w:r w:rsidR="00601497" w:rsidRPr="007C7153">
        <w:rPr>
          <w:b/>
          <w:sz w:val="20"/>
        </w:rPr>
        <w:t xml:space="preserve"> (4 June 2014)</w:t>
      </w:r>
    </w:p>
    <w:p w:rsidR="00651FBA" w:rsidRPr="007C7153" w:rsidRDefault="00651FBA">
      <w:pPr>
        <w:rPr>
          <w:sz w:val="20"/>
        </w:rPr>
      </w:pPr>
    </w:p>
    <w:p w:rsidR="00651FBA" w:rsidRPr="007C7153" w:rsidRDefault="00651FBA">
      <w:pPr>
        <w:rPr>
          <w:sz w:val="20"/>
        </w:rPr>
      </w:pPr>
      <w:r w:rsidRPr="007C7153">
        <w:rPr>
          <w:sz w:val="20"/>
        </w:rPr>
        <w:t>We would welcome your feedback to this important event in order that we can learn and ensure next year’s conference is successful.  Please could you tick the most appropriate response and provide any additional comments:</w:t>
      </w:r>
    </w:p>
    <w:p w:rsidR="00831337" w:rsidRDefault="00831337"/>
    <w:tbl>
      <w:tblPr>
        <w:tblStyle w:val="TableGrid"/>
        <w:tblW w:w="15026" w:type="dxa"/>
        <w:tblInd w:w="108" w:type="dxa"/>
        <w:tblLayout w:type="fixed"/>
        <w:tblLook w:val="04A0" w:firstRow="1" w:lastRow="0" w:firstColumn="1" w:lastColumn="0" w:noHBand="0" w:noVBand="1"/>
      </w:tblPr>
      <w:tblGrid>
        <w:gridCol w:w="3119"/>
        <w:gridCol w:w="3685"/>
        <w:gridCol w:w="709"/>
        <w:gridCol w:w="851"/>
        <w:gridCol w:w="708"/>
        <w:gridCol w:w="709"/>
        <w:gridCol w:w="709"/>
        <w:gridCol w:w="992"/>
        <w:gridCol w:w="3544"/>
      </w:tblGrid>
      <w:tr w:rsidR="007C7153" w:rsidRPr="00B05D86" w:rsidTr="007C7153">
        <w:tc>
          <w:tcPr>
            <w:tcW w:w="3119" w:type="dxa"/>
            <w:shd w:val="clear" w:color="auto" w:fill="F2F2F2" w:themeFill="background1" w:themeFillShade="F2"/>
          </w:tcPr>
          <w:p w:rsidR="007C7153" w:rsidRPr="00B05D86" w:rsidRDefault="007C7153">
            <w:pPr>
              <w:rPr>
                <w:rFonts w:cstheme="minorHAnsi"/>
                <w:b/>
                <w:sz w:val="20"/>
                <w:szCs w:val="20"/>
              </w:rPr>
            </w:pPr>
            <w:r w:rsidRPr="00B05D86">
              <w:rPr>
                <w:rFonts w:cstheme="minorHAnsi"/>
                <w:b/>
                <w:sz w:val="20"/>
                <w:szCs w:val="20"/>
              </w:rPr>
              <w:t>Session</w:t>
            </w:r>
          </w:p>
        </w:tc>
        <w:tc>
          <w:tcPr>
            <w:tcW w:w="3685" w:type="dxa"/>
            <w:shd w:val="clear" w:color="auto" w:fill="F2F2F2" w:themeFill="background1" w:themeFillShade="F2"/>
          </w:tcPr>
          <w:p w:rsidR="007C7153" w:rsidRPr="00B05D86" w:rsidRDefault="007C7153" w:rsidP="00CF423E">
            <w:pPr>
              <w:jc w:val="center"/>
              <w:rPr>
                <w:rFonts w:cstheme="minorHAnsi"/>
                <w:b/>
                <w:sz w:val="20"/>
                <w:szCs w:val="20"/>
              </w:rPr>
            </w:pPr>
          </w:p>
        </w:tc>
        <w:tc>
          <w:tcPr>
            <w:tcW w:w="709" w:type="dxa"/>
            <w:shd w:val="clear" w:color="auto" w:fill="F2F2F2" w:themeFill="background1" w:themeFillShade="F2"/>
          </w:tcPr>
          <w:p w:rsidR="007C7153" w:rsidRPr="00B05D86" w:rsidRDefault="007C7153" w:rsidP="00CF423E">
            <w:pPr>
              <w:jc w:val="center"/>
              <w:rPr>
                <w:rFonts w:cstheme="minorHAnsi"/>
                <w:b/>
                <w:sz w:val="20"/>
                <w:szCs w:val="20"/>
              </w:rPr>
            </w:pPr>
            <w:r w:rsidRPr="00B05D86">
              <w:rPr>
                <w:rFonts w:cstheme="minorHAnsi"/>
                <w:b/>
                <w:sz w:val="20"/>
                <w:szCs w:val="20"/>
              </w:rPr>
              <w:t>Not at all</w:t>
            </w:r>
          </w:p>
        </w:tc>
        <w:tc>
          <w:tcPr>
            <w:tcW w:w="851" w:type="dxa"/>
            <w:shd w:val="clear" w:color="auto" w:fill="F2F2F2" w:themeFill="background1" w:themeFillShade="F2"/>
          </w:tcPr>
          <w:p w:rsidR="007C7153" w:rsidRPr="00B05D86" w:rsidRDefault="007C7153" w:rsidP="00CF423E">
            <w:pPr>
              <w:jc w:val="center"/>
              <w:rPr>
                <w:rFonts w:cstheme="minorHAnsi"/>
                <w:b/>
                <w:sz w:val="20"/>
                <w:szCs w:val="20"/>
              </w:rPr>
            </w:pPr>
            <w:r w:rsidRPr="00B05D86">
              <w:rPr>
                <w:rFonts w:cstheme="minorHAnsi"/>
                <w:b/>
                <w:sz w:val="20"/>
                <w:szCs w:val="20"/>
              </w:rPr>
              <w:t>Not Really</w:t>
            </w:r>
          </w:p>
        </w:tc>
        <w:tc>
          <w:tcPr>
            <w:tcW w:w="708" w:type="dxa"/>
            <w:shd w:val="clear" w:color="auto" w:fill="F2F2F2" w:themeFill="background1" w:themeFillShade="F2"/>
          </w:tcPr>
          <w:p w:rsidR="007C7153" w:rsidRPr="00B05D86" w:rsidRDefault="007C7153" w:rsidP="00CF423E">
            <w:pPr>
              <w:jc w:val="center"/>
              <w:rPr>
                <w:rFonts w:cstheme="minorHAnsi"/>
                <w:b/>
                <w:sz w:val="20"/>
                <w:szCs w:val="20"/>
              </w:rPr>
            </w:pPr>
            <w:r w:rsidRPr="00B05D86">
              <w:rPr>
                <w:rFonts w:cstheme="minorHAnsi"/>
                <w:b/>
                <w:sz w:val="20"/>
                <w:szCs w:val="20"/>
              </w:rPr>
              <w:t>Undecided</w:t>
            </w:r>
          </w:p>
        </w:tc>
        <w:tc>
          <w:tcPr>
            <w:tcW w:w="709" w:type="dxa"/>
            <w:shd w:val="clear" w:color="auto" w:fill="F2F2F2" w:themeFill="background1" w:themeFillShade="F2"/>
          </w:tcPr>
          <w:p w:rsidR="007C7153" w:rsidRPr="00B05D86" w:rsidRDefault="007C7153" w:rsidP="00CF423E">
            <w:pPr>
              <w:jc w:val="center"/>
              <w:rPr>
                <w:rFonts w:cstheme="minorHAnsi"/>
                <w:b/>
                <w:sz w:val="20"/>
                <w:szCs w:val="20"/>
              </w:rPr>
            </w:pPr>
            <w:r w:rsidRPr="00B05D86">
              <w:rPr>
                <w:rFonts w:cstheme="minorHAnsi"/>
                <w:b/>
                <w:sz w:val="20"/>
                <w:szCs w:val="20"/>
              </w:rPr>
              <w:t>Somewhat</w:t>
            </w:r>
          </w:p>
        </w:tc>
        <w:tc>
          <w:tcPr>
            <w:tcW w:w="709" w:type="dxa"/>
            <w:shd w:val="clear" w:color="auto" w:fill="F2F2F2" w:themeFill="background1" w:themeFillShade="F2"/>
          </w:tcPr>
          <w:p w:rsidR="007C7153" w:rsidRPr="00B05D86" w:rsidRDefault="007C7153" w:rsidP="00CF423E">
            <w:pPr>
              <w:jc w:val="center"/>
              <w:rPr>
                <w:rFonts w:cstheme="minorHAnsi"/>
                <w:b/>
                <w:sz w:val="20"/>
                <w:szCs w:val="20"/>
              </w:rPr>
            </w:pPr>
            <w:r w:rsidRPr="00B05D86">
              <w:rPr>
                <w:rFonts w:cstheme="minorHAnsi"/>
                <w:b/>
                <w:sz w:val="20"/>
                <w:szCs w:val="20"/>
              </w:rPr>
              <w:t>Very much</w:t>
            </w:r>
          </w:p>
        </w:tc>
        <w:tc>
          <w:tcPr>
            <w:tcW w:w="992" w:type="dxa"/>
            <w:shd w:val="clear" w:color="auto" w:fill="F2F2F2" w:themeFill="background1" w:themeFillShade="F2"/>
          </w:tcPr>
          <w:p w:rsidR="007C7153" w:rsidRPr="00B05D86" w:rsidRDefault="007C7153" w:rsidP="00CF423E">
            <w:pPr>
              <w:jc w:val="center"/>
              <w:rPr>
                <w:rFonts w:cstheme="minorHAnsi"/>
                <w:b/>
                <w:sz w:val="20"/>
                <w:szCs w:val="20"/>
              </w:rPr>
            </w:pPr>
            <w:r>
              <w:rPr>
                <w:rFonts w:cstheme="minorHAnsi"/>
                <w:b/>
                <w:sz w:val="20"/>
                <w:szCs w:val="20"/>
              </w:rPr>
              <w:t>Did not attend</w:t>
            </w:r>
          </w:p>
        </w:tc>
        <w:tc>
          <w:tcPr>
            <w:tcW w:w="3544" w:type="dxa"/>
            <w:shd w:val="clear" w:color="auto" w:fill="F2F2F2" w:themeFill="background1" w:themeFillShade="F2"/>
          </w:tcPr>
          <w:p w:rsidR="007C7153" w:rsidRPr="00B05D86" w:rsidRDefault="00DE77B2">
            <w:pPr>
              <w:rPr>
                <w:rFonts w:cstheme="minorHAnsi"/>
                <w:b/>
                <w:sz w:val="20"/>
                <w:szCs w:val="20"/>
              </w:rPr>
            </w:pPr>
            <w:r>
              <w:rPr>
                <w:rFonts w:cstheme="minorHAnsi"/>
                <w:b/>
                <w:sz w:val="20"/>
                <w:szCs w:val="20"/>
              </w:rPr>
              <w:t xml:space="preserve">Overall Comments on </w:t>
            </w:r>
            <w:r w:rsidR="007C7153" w:rsidRPr="00B05D86">
              <w:rPr>
                <w:rFonts w:cstheme="minorHAnsi"/>
                <w:b/>
                <w:sz w:val="20"/>
                <w:szCs w:val="20"/>
              </w:rPr>
              <w:t>presentation/session</w:t>
            </w:r>
          </w:p>
        </w:tc>
      </w:tr>
      <w:tr w:rsidR="0025589D" w:rsidRPr="00B05D86" w:rsidTr="007C7153">
        <w:tc>
          <w:tcPr>
            <w:tcW w:w="3119" w:type="dxa"/>
            <w:vMerge w:val="restart"/>
          </w:tcPr>
          <w:p w:rsidR="0025589D" w:rsidRPr="00B05D86" w:rsidRDefault="0025589D">
            <w:pPr>
              <w:rPr>
                <w:rFonts w:cstheme="minorHAnsi"/>
                <w:sz w:val="20"/>
                <w:szCs w:val="20"/>
              </w:rPr>
            </w:pPr>
            <w:r w:rsidRPr="00B05D86">
              <w:rPr>
                <w:rFonts w:cstheme="minorHAnsi"/>
                <w:b/>
                <w:sz w:val="20"/>
                <w:szCs w:val="20"/>
              </w:rPr>
              <w:t>Opening Address</w:t>
            </w:r>
            <w:r w:rsidRPr="00B05D86">
              <w:rPr>
                <w:rFonts w:cstheme="minorHAnsi"/>
                <w:sz w:val="20"/>
                <w:szCs w:val="20"/>
              </w:rPr>
              <w:t>: Professor Sir Bruce Keogh</w:t>
            </w: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val="restart"/>
          </w:tcPr>
          <w:p w:rsidR="0025589D" w:rsidRPr="00B05D86" w:rsidRDefault="0025589D">
            <w:pPr>
              <w:rPr>
                <w:rFonts w:cstheme="minorHAnsi"/>
                <w:sz w:val="20"/>
                <w:szCs w:val="20"/>
              </w:rPr>
            </w:pPr>
          </w:p>
        </w:tc>
      </w:tr>
      <w:tr w:rsidR="0025589D" w:rsidRPr="00B05D86" w:rsidTr="007C7153">
        <w:tc>
          <w:tcPr>
            <w:tcW w:w="3119" w:type="dxa"/>
            <w:vMerge/>
          </w:tcPr>
          <w:p w:rsidR="0025589D" w:rsidRPr="00B05D86" w:rsidRDefault="0025589D">
            <w:pPr>
              <w:rPr>
                <w:rFonts w:cstheme="minorHAnsi"/>
                <w:sz w:val="20"/>
                <w:szCs w:val="20"/>
              </w:rPr>
            </w:pP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tcPr>
          <w:p w:rsidR="0025589D" w:rsidRPr="00B05D86" w:rsidRDefault="0025589D">
            <w:pPr>
              <w:rPr>
                <w:rFonts w:cstheme="minorHAnsi"/>
                <w:sz w:val="20"/>
                <w:szCs w:val="20"/>
              </w:rPr>
            </w:pPr>
          </w:p>
        </w:tc>
      </w:tr>
      <w:tr w:rsidR="0025589D" w:rsidRPr="00B05D86" w:rsidTr="007C7153">
        <w:tc>
          <w:tcPr>
            <w:tcW w:w="3119" w:type="dxa"/>
            <w:vMerge w:val="restart"/>
          </w:tcPr>
          <w:p w:rsidR="0025589D" w:rsidRPr="00B05D86" w:rsidRDefault="0025589D">
            <w:pPr>
              <w:rPr>
                <w:rFonts w:cstheme="minorHAnsi"/>
                <w:sz w:val="20"/>
                <w:szCs w:val="20"/>
              </w:rPr>
            </w:pPr>
            <w:r w:rsidRPr="00B05D86">
              <w:rPr>
                <w:rFonts w:cstheme="minorHAnsi"/>
                <w:b/>
                <w:sz w:val="20"/>
                <w:szCs w:val="20"/>
              </w:rPr>
              <w:t xml:space="preserve">What do Patients want from healthcare? </w:t>
            </w:r>
            <w:r w:rsidRPr="00B05D86">
              <w:rPr>
                <w:rFonts w:cstheme="minorHAnsi"/>
                <w:sz w:val="20"/>
                <w:szCs w:val="20"/>
              </w:rPr>
              <w:t>Professor David Haslam</w:t>
            </w: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val="restart"/>
          </w:tcPr>
          <w:p w:rsidR="0025589D" w:rsidRPr="00B05D86" w:rsidRDefault="0025589D">
            <w:pPr>
              <w:rPr>
                <w:rFonts w:cstheme="minorHAnsi"/>
                <w:sz w:val="20"/>
                <w:szCs w:val="20"/>
              </w:rPr>
            </w:pPr>
          </w:p>
        </w:tc>
      </w:tr>
      <w:tr w:rsidR="0025589D" w:rsidRPr="00B05D86" w:rsidTr="007C7153">
        <w:tc>
          <w:tcPr>
            <w:tcW w:w="3119" w:type="dxa"/>
            <w:vMerge/>
          </w:tcPr>
          <w:p w:rsidR="0025589D" w:rsidRPr="00B05D86" w:rsidRDefault="0025589D">
            <w:pPr>
              <w:rPr>
                <w:rFonts w:cstheme="minorHAnsi"/>
                <w:sz w:val="20"/>
                <w:szCs w:val="20"/>
              </w:rPr>
            </w:pP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tcPr>
          <w:p w:rsidR="0025589D" w:rsidRPr="00B05D86" w:rsidRDefault="0025589D">
            <w:pPr>
              <w:rPr>
                <w:rFonts w:cstheme="minorHAnsi"/>
                <w:sz w:val="20"/>
                <w:szCs w:val="20"/>
              </w:rPr>
            </w:pPr>
          </w:p>
        </w:tc>
      </w:tr>
      <w:tr w:rsidR="0025589D" w:rsidRPr="00B05D86" w:rsidTr="007C7153">
        <w:tc>
          <w:tcPr>
            <w:tcW w:w="3119" w:type="dxa"/>
            <w:vMerge w:val="restart"/>
          </w:tcPr>
          <w:p w:rsidR="0025589D" w:rsidRPr="00B05D86" w:rsidRDefault="0025589D">
            <w:pPr>
              <w:rPr>
                <w:rFonts w:cstheme="minorHAnsi"/>
                <w:sz w:val="20"/>
                <w:szCs w:val="20"/>
              </w:rPr>
            </w:pPr>
            <w:r w:rsidRPr="00B05D86">
              <w:rPr>
                <w:rFonts w:cstheme="minorHAnsi"/>
                <w:b/>
                <w:sz w:val="20"/>
                <w:szCs w:val="20"/>
              </w:rPr>
              <w:t>Improving quality and safety of care for patients</w:t>
            </w:r>
            <w:r w:rsidRPr="00B05D86">
              <w:rPr>
                <w:rFonts w:cstheme="minorHAnsi"/>
                <w:sz w:val="20"/>
                <w:szCs w:val="20"/>
              </w:rPr>
              <w:t xml:space="preserve"> – Q and A Panel</w:t>
            </w: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val="restart"/>
          </w:tcPr>
          <w:p w:rsidR="0025589D" w:rsidRPr="00B05D86" w:rsidRDefault="0025589D">
            <w:pPr>
              <w:rPr>
                <w:rFonts w:cstheme="minorHAnsi"/>
                <w:sz w:val="20"/>
                <w:szCs w:val="20"/>
              </w:rPr>
            </w:pPr>
          </w:p>
        </w:tc>
      </w:tr>
      <w:tr w:rsidR="0025589D" w:rsidRPr="00B05D86" w:rsidTr="0025589D">
        <w:tc>
          <w:tcPr>
            <w:tcW w:w="3119" w:type="dxa"/>
            <w:vMerge/>
            <w:tcBorders>
              <w:bottom w:val="single" w:sz="4" w:space="0" w:color="auto"/>
            </w:tcBorders>
          </w:tcPr>
          <w:p w:rsidR="0025589D" w:rsidRPr="00B05D86" w:rsidRDefault="0025589D">
            <w:pPr>
              <w:rPr>
                <w:rFonts w:cstheme="minorHAnsi"/>
                <w:sz w:val="20"/>
                <w:szCs w:val="20"/>
              </w:rPr>
            </w:pPr>
          </w:p>
        </w:tc>
        <w:tc>
          <w:tcPr>
            <w:tcW w:w="3685" w:type="dxa"/>
            <w:tcBorders>
              <w:bottom w:val="single" w:sz="4" w:space="0" w:color="auto"/>
            </w:tcBorders>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Borders>
              <w:bottom w:val="single" w:sz="4" w:space="0" w:color="auto"/>
            </w:tcBorders>
          </w:tcPr>
          <w:p w:rsidR="0025589D" w:rsidRPr="00B05D86" w:rsidRDefault="0025589D">
            <w:pPr>
              <w:rPr>
                <w:rFonts w:cstheme="minorHAnsi"/>
                <w:sz w:val="20"/>
                <w:szCs w:val="20"/>
              </w:rPr>
            </w:pPr>
          </w:p>
        </w:tc>
        <w:tc>
          <w:tcPr>
            <w:tcW w:w="851" w:type="dxa"/>
            <w:tcBorders>
              <w:bottom w:val="single" w:sz="4" w:space="0" w:color="auto"/>
            </w:tcBorders>
          </w:tcPr>
          <w:p w:rsidR="0025589D" w:rsidRPr="00B05D86" w:rsidRDefault="0025589D">
            <w:pPr>
              <w:rPr>
                <w:rFonts w:cstheme="minorHAnsi"/>
                <w:sz w:val="20"/>
                <w:szCs w:val="20"/>
              </w:rPr>
            </w:pPr>
          </w:p>
        </w:tc>
        <w:tc>
          <w:tcPr>
            <w:tcW w:w="708" w:type="dxa"/>
            <w:tcBorders>
              <w:bottom w:val="single" w:sz="4" w:space="0" w:color="auto"/>
            </w:tcBorders>
          </w:tcPr>
          <w:p w:rsidR="0025589D" w:rsidRPr="00B05D86" w:rsidRDefault="0025589D">
            <w:pPr>
              <w:rPr>
                <w:rFonts w:cstheme="minorHAnsi"/>
                <w:sz w:val="20"/>
                <w:szCs w:val="20"/>
              </w:rPr>
            </w:pPr>
          </w:p>
        </w:tc>
        <w:tc>
          <w:tcPr>
            <w:tcW w:w="709" w:type="dxa"/>
            <w:tcBorders>
              <w:bottom w:val="single" w:sz="4" w:space="0" w:color="auto"/>
            </w:tcBorders>
          </w:tcPr>
          <w:p w:rsidR="0025589D" w:rsidRPr="00B05D86" w:rsidRDefault="0025589D">
            <w:pPr>
              <w:rPr>
                <w:rFonts w:cstheme="minorHAnsi"/>
                <w:sz w:val="20"/>
                <w:szCs w:val="20"/>
              </w:rPr>
            </w:pPr>
          </w:p>
        </w:tc>
        <w:tc>
          <w:tcPr>
            <w:tcW w:w="709" w:type="dxa"/>
            <w:tcBorders>
              <w:bottom w:val="single" w:sz="4" w:space="0" w:color="auto"/>
            </w:tcBorders>
          </w:tcPr>
          <w:p w:rsidR="0025589D" w:rsidRPr="00B05D86" w:rsidRDefault="0025589D">
            <w:pPr>
              <w:rPr>
                <w:rFonts w:cstheme="minorHAnsi"/>
                <w:sz w:val="20"/>
                <w:szCs w:val="20"/>
              </w:rPr>
            </w:pPr>
          </w:p>
        </w:tc>
        <w:tc>
          <w:tcPr>
            <w:tcW w:w="992" w:type="dxa"/>
            <w:tcBorders>
              <w:bottom w:val="single" w:sz="4" w:space="0" w:color="auto"/>
            </w:tcBorders>
          </w:tcPr>
          <w:p w:rsidR="0025589D" w:rsidRPr="00B05D86" w:rsidRDefault="0025589D">
            <w:pPr>
              <w:rPr>
                <w:rFonts w:cstheme="minorHAnsi"/>
                <w:sz w:val="20"/>
                <w:szCs w:val="20"/>
              </w:rPr>
            </w:pPr>
          </w:p>
        </w:tc>
        <w:tc>
          <w:tcPr>
            <w:tcW w:w="3544" w:type="dxa"/>
            <w:vMerge/>
            <w:tcBorders>
              <w:bottom w:val="single" w:sz="4" w:space="0" w:color="auto"/>
            </w:tcBorders>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B05D86">
              <w:rPr>
                <w:rFonts w:cstheme="minorHAnsi"/>
                <w:b/>
                <w:sz w:val="20"/>
                <w:szCs w:val="20"/>
              </w:rPr>
              <w:t>Medical Appraisal:</w:t>
            </w:r>
            <w:r w:rsidRPr="00B05D86">
              <w:rPr>
                <w:rFonts w:cstheme="minorHAnsi"/>
                <w:sz w:val="20"/>
                <w:szCs w:val="20"/>
              </w:rPr>
              <w:t xml:space="preserve"> Dr Maurice Conlon</w:t>
            </w:r>
            <w:r w:rsidR="00365E74">
              <w:rPr>
                <w:rFonts w:cstheme="minorHAnsi"/>
                <w:sz w:val="20"/>
                <w:szCs w:val="20"/>
              </w:rPr>
              <w:t>, Dr Paul Twomey, Dr Ruth Chapman, Dr Vicky Banks</w:t>
            </w:r>
            <w:r w:rsidR="00D90013">
              <w:rPr>
                <w:rFonts w:cstheme="minorHAnsi"/>
                <w:sz w:val="20"/>
                <w:szCs w:val="20"/>
              </w:rPr>
              <w:t xml:space="preserve"> and </w:t>
            </w:r>
            <w:r w:rsidR="00365E74">
              <w:rPr>
                <w:rFonts w:cstheme="minorHAnsi"/>
                <w:sz w:val="20"/>
                <w:szCs w:val="20"/>
              </w:rPr>
              <w:t xml:space="preserve">Dr </w:t>
            </w:r>
            <w:r w:rsidR="00D90013">
              <w:rPr>
                <w:rFonts w:cstheme="minorHAnsi"/>
                <w:sz w:val="20"/>
                <w:szCs w:val="20"/>
              </w:rPr>
              <w:t>Nick Hall</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B05D86">
              <w:rPr>
                <w:rFonts w:cstheme="minorHAnsi"/>
                <w:b/>
                <w:sz w:val="20"/>
                <w:szCs w:val="20"/>
              </w:rPr>
              <w:t>Responding to Concerns:</w:t>
            </w:r>
            <w:r w:rsidRPr="00B05D86">
              <w:rPr>
                <w:rFonts w:cstheme="minorHAnsi"/>
                <w:sz w:val="20"/>
                <w:szCs w:val="20"/>
              </w:rPr>
              <w:t xml:space="preserve"> Lucy Warner</w:t>
            </w:r>
            <w:r w:rsidR="00D90013">
              <w:rPr>
                <w:rFonts w:cstheme="minorHAnsi"/>
                <w:sz w:val="20"/>
                <w:szCs w:val="20"/>
              </w:rPr>
              <w:t xml:space="preserve">, </w:t>
            </w:r>
            <w:r w:rsidR="00D90013" w:rsidRPr="00D90013">
              <w:rPr>
                <w:rFonts w:cstheme="minorHAnsi"/>
                <w:sz w:val="20"/>
                <w:szCs w:val="20"/>
              </w:rPr>
              <w:t xml:space="preserve">Dr Peter Dickson </w:t>
            </w:r>
            <w:r w:rsidR="00D90013">
              <w:rPr>
                <w:rFonts w:cstheme="minorHAnsi"/>
                <w:sz w:val="20"/>
                <w:szCs w:val="20"/>
              </w:rPr>
              <w:t>and</w:t>
            </w:r>
            <w:r w:rsidR="00D90013" w:rsidRPr="00D90013">
              <w:rPr>
                <w:rFonts w:cstheme="minorHAnsi"/>
                <w:sz w:val="20"/>
                <w:szCs w:val="20"/>
              </w:rPr>
              <w:t xml:space="preserve"> Dr </w:t>
            </w:r>
            <w:proofErr w:type="spellStart"/>
            <w:r w:rsidR="00D90013" w:rsidRPr="00D90013">
              <w:rPr>
                <w:rFonts w:cstheme="minorHAnsi"/>
                <w:sz w:val="20"/>
                <w:szCs w:val="20"/>
              </w:rPr>
              <w:t>Adedeji</w:t>
            </w:r>
            <w:proofErr w:type="spellEnd"/>
            <w:r w:rsidR="00D90013" w:rsidRPr="00D90013">
              <w:rPr>
                <w:rFonts w:cstheme="minorHAnsi"/>
                <w:sz w:val="20"/>
                <w:szCs w:val="20"/>
              </w:rPr>
              <w:t xml:space="preserve"> </w:t>
            </w:r>
            <w:proofErr w:type="spellStart"/>
            <w:r w:rsidR="00D90013" w:rsidRPr="00D90013">
              <w:rPr>
                <w:rFonts w:cstheme="minorHAnsi"/>
                <w:sz w:val="20"/>
                <w:szCs w:val="20"/>
              </w:rPr>
              <w:t>Okubadejo</w:t>
            </w:r>
            <w:proofErr w:type="spellEnd"/>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B05D86">
            <w:pPr>
              <w:rPr>
                <w:rFonts w:cstheme="minorHAnsi"/>
                <w:sz w:val="20"/>
                <w:szCs w:val="20"/>
              </w:rPr>
            </w:pPr>
            <w:r w:rsidRPr="00B05D86">
              <w:rPr>
                <w:rFonts w:cstheme="minorHAnsi"/>
                <w:b/>
                <w:sz w:val="20"/>
                <w:szCs w:val="20"/>
              </w:rPr>
              <w:t>Framework for Quality Assurance:</w:t>
            </w:r>
            <w:r w:rsidRPr="00B05D86">
              <w:rPr>
                <w:rFonts w:cstheme="minorHAnsi"/>
                <w:sz w:val="20"/>
                <w:szCs w:val="20"/>
              </w:rPr>
              <w:t xml:space="preserve"> Ros Crowder and Marjorie Rogan</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B05D86">
              <w:rPr>
                <w:rFonts w:cstheme="minorHAnsi"/>
                <w:b/>
                <w:sz w:val="20"/>
                <w:szCs w:val="20"/>
              </w:rPr>
              <w:t>Networking and Calibrating:</w:t>
            </w:r>
            <w:r w:rsidRPr="00B05D86">
              <w:rPr>
                <w:rFonts w:cstheme="minorHAnsi"/>
                <w:sz w:val="20"/>
                <w:szCs w:val="20"/>
              </w:rPr>
              <w:t xml:space="preserve"> Dr David Levy</w:t>
            </w:r>
            <w:r w:rsidR="00D90013">
              <w:rPr>
                <w:rFonts w:cstheme="minorHAnsi"/>
                <w:sz w:val="20"/>
                <w:szCs w:val="20"/>
              </w:rPr>
              <w:t xml:space="preserve">, </w:t>
            </w:r>
            <w:r w:rsidRPr="00B05D86">
              <w:rPr>
                <w:rFonts w:cstheme="minorHAnsi"/>
                <w:sz w:val="20"/>
                <w:szCs w:val="20"/>
              </w:rPr>
              <w:t>Dr James Quinn</w:t>
            </w:r>
            <w:r w:rsidR="00D90013">
              <w:rPr>
                <w:rFonts w:cstheme="minorHAnsi"/>
                <w:sz w:val="20"/>
                <w:szCs w:val="20"/>
              </w:rPr>
              <w:t xml:space="preserve"> and Dr Colin Pollock</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tcPr>
          <w:p w:rsidR="0025589D" w:rsidRPr="00B05D86" w:rsidRDefault="0025589D">
            <w:pPr>
              <w:rPr>
                <w:rFonts w:cstheme="minorHAnsi"/>
                <w:sz w:val="20"/>
                <w:szCs w:val="20"/>
              </w:rPr>
            </w:pPr>
            <w:r w:rsidRPr="00B05D86">
              <w:rPr>
                <w:rFonts w:cstheme="minorHAnsi"/>
                <w:b/>
                <w:sz w:val="20"/>
                <w:szCs w:val="20"/>
              </w:rPr>
              <w:t>Vision for the Future:</w:t>
            </w:r>
            <w:r>
              <w:rPr>
                <w:rFonts w:cstheme="minorHAnsi"/>
                <w:sz w:val="20"/>
                <w:szCs w:val="20"/>
              </w:rPr>
              <w:t xml:space="preserve"> Dr Mike Bewick</w:t>
            </w: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vMerge w:val="restart"/>
          </w:tcPr>
          <w:p w:rsidR="0025589D" w:rsidRPr="00B05D86" w:rsidRDefault="0025589D">
            <w:pPr>
              <w:rPr>
                <w:rFonts w:cstheme="minorHAnsi"/>
                <w:sz w:val="20"/>
                <w:szCs w:val="20"/>
              </w:rPr>
            </w:pPr>
          </w:p>
        </w:tc>
      </w:tr>
      <w:tr w:rsidR="0025589D" w:rsidRPr="00B05D86" w:rsidTr="007C7153">
        <w:tc>
          <w:tcPr>
            <w:tcW w:w="3119" w:type="dxa"/>
            <w:vMerge/>
            <w:tcBorders>
              <w:bottom w:val="single" w:sz="4" w:space="0" w:color="auto"/>
            </w:tcBorders>
          </w:tcPr>
          <w:p w:rsidR="0025589D" w:rsidRPr="00B05D86" w:rsidRDefault="0025589D">
            <w:pPr>
              <w:rPr>
                <w:rFonts w:cstheme="minorHAnsi"/>
                <w:sz w:val="20"/>
                <w:szCs w:val="20"/>
              </w:rPr>
            </w:pPr>
          </w:p>
        </w:tc>
        <w:tc>
          <w:tcPr>
            <w:tcW w:w="3685" w:type="dxa"/>
            <w:tcBorders>
              <w:bottom w:val="single" w:sz="4" w:space="0" w:color="auto"/>
            </w:tcBorders>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Borders>
              <w:bottom w:val="single" w:sz="4" w:space="0" w:color="auto"/>
            </w:tcBorders>
          </w:tcPr>
          <w:p w:rsidR="0025589D" w:rsidRPr="00B05D86" w:rsidRDefault="0025589D">
            <w:pPr>
              <w:rPr>
                <w:rFonts w:cstheme="minorHAnsi"/>
                <w:sz w:val="20"/>
                <w:szCs w:val="20"/>
              </w:rPr>
            </w:pPr>
          </w:p>
        </w:tc>
        <w:tc>
          <w:tcPr>
            <w:tcW w:w="851" w:type="dxa"/>
            <w:tcBorders>
              <w:bottom w:val="single" w:sz="4" w:space="0" w:color="auto"/>
            </w:tcBorders>
          </w:tcPr>
          <w:p w:rsidR="0025589D" w:rsidRPr="00B05D86" w:rsidRDefault="0025589D">
            <w:pPr>
              <w:rPr>
                <w:rFonts w:cstheme="minorHAnsi"/>
                <w:sz w:val="20"/>
                <w:szCs w:val="20"/>
              </w:rPr>
            </w:pPr>
          </w:p>
        </w:tc>
        <w:tc>
          <w:tcPr>
            <w:tcW w:w="708" w:type="dxa"/>
            <w:tcBorders>
              <w:bottom w:val="single" w:sz="4" w:space="0" w:color="auto"/>
            </w:tcBorders>
          </w:tcPr>
          <w:p w:rsidR="0025589D" w:rsidRPr="00B05D86" w:rsidRDefault="0025589D">
            <w:pPr>
              <w:rPr>
                <w:rFonts w:cstheme="minorHAnsi"/>
                <w:sz w:val="20"/>
                <w:szCs w:val="20"/>
              </w:rPr>
            </w:pPr>
          </w:p>
        </w:tc>
        <w:tc>
          <w:tcPr>
            <w:tcW w:w="709" w:type="dxa"/>
            <w:tcBorders>
              <w:bottom w:val="single" w:sz="4" w:space="0" w:color="auto"/>
            </w:tcBorders>
          </w:tcPr>
          <w:p w:rsidR="0025589D" w:rsidRPr="00B05D86" w:rsidRDefault="0025589D">
            <w:pPr>
              <w:rPr>
                <w:rFonts w:cstheme="minorHAnsi"/>
                <w:sz w:val="20"/>
                <w:szCs w:val="20"/>
              </w:rPr>
            </w:pPr>
          </w:p>
        </w:tc>
        <w:tc>
          <w:tcPr>
            <w:tcW w:w="709" w:type="dxa"/>
            <w:tcBorders>
              <w:bottom w:val="single" w:sz="4" w:space="0" w:color="auto"/>
            </w:tcBorders>
          </w:tcPr>
          <w:p w:rsidR="0025589D" w:rsidRPr="00B05D86" w:rsidRDefault="0025589D">
            <w:pPr>
              <w:rPr>
                <w:rFonts w:cstheme="minorHAnsi"/>
                <w:sz w:val="20"/>
                <w:szCs w:val="20"/>
              </w:rPr>
            </w:pPr>
          </w:p>
        </w:tc>
        <w:tc>
          <w:tcPr>
            <w:tcW w:w="992" w:type="dxa"/>
            <w:tcBorders>
              <w:bottom w:val="single" w:sz="4" w:space="0" w:color="auto"/>
            </w:tcBorders>
          </w:tcPr>
          <w:p w:rsidR="0025589D" w:rsidRPr="00B05D86" w:rsidRDefault="0025589D">
            <w:pPr>
              <w:rPr>
                <w:rFonts w:cstheme="minorHAnsi"/>
                <w:sz w:val="20"/>
                <w:szCs w:val="20"/>
              </w:rPr>
            </w:pPr>
          </w:p>
        </w:tc>
        <w:tc>
          <w:tcPr>
            <w:tcW w:w="3544" w:type="dxa"/>
            <w:vMerge/>
            <w:tcBorders>
              <w:bottom w:val="single" w:sz="4" w:space="0" w:color="auto"/>
            </w:tcBorders>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B05D86">
            <w:pPr>
              <w:pStyle w:val="Body1"/>
              <w:widowControl w:val="0"/>
              <w:jc w:val="both"/>
              <w:rPr>
                <w:rFonts w:asciiTheme="minorHAnsi" w:hAnsiTheme="minorHAnsi" w:cstheme="minorHAnsi"/>
                <w:color w:val="auto"/>
                <w:sz w:val="18"/>
                <w:szCs w:val="28"/>
              </w:rPr>
            </w:pPr>
            <w:r w:rsidRPr="00B05D86">
              <w:rPr>
                <w:rFonts w:asciiTheme="minorHAnsi" w:hAnsiTheme="minorHAnsi" w:cstheme="minorHAnsi"/>
                <w:b/>
                <w:color w:val="auto"/>
                <w:sz w:val="20"/>
              </w:rPr>
              <w:t xml:space="preserve">GMC thresholds – Case studies from the GMC: </w:t>
            </w:r>
            <w:r w:rsidRPr="00B05D86">
              <w:rPr>
                <w:rFonts w:asciiTheme="minorHAnsi" w:hAnsiTheme="minorHAnsi" w:cstheme="minorHAnsi"/>
                <w:color w:val="auto"/>
                <w:sz w:val="20"/>
              </w:rPr>
              <w:t>Iain Whittle</w:t>
            </w:r>
            <w:r w:rsidR="00D90013">
              <w:rPr>
                <w:rFonts w:asciiTheme="minorHAnsi" w:hAnsiTheme="minorHAnsi" w:cstheme="minorHAnsi"/>
                <w:color w:val="auto"/>
                <w:sz w:val="20"/>
              </w:rPr>
              <w:t xml:space="preserve"> and Tony Americano</w:t>
            </w:r>
          </w:p>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7C7153" w:rsidRPr="00B05D86" w:rsidTr="007C7153">
        <w:tc>
          <w:tcPr>
            <w:tcW w:w="3119" w:type="dxa"/>
            <w:vMerge w:val="restart"/>
            <w:shd w:val="clear" w:color="auto" w:fill="F2F2F2" w:themeFill="background1" w:themeFillShade="F2"/>
          </w:tcPr>
          <w:p w:rsidR="007C7153" w:rsidRPr="00B05D86" w:rsidRDefault="007C7153">
            <w:pPr>
              <w:rPr>
                <w:rFonts w:cstheme="minorHAnsi"/>
                <w:sz w:val="20"/>
                <w:szCs w:val="20"/>
              </w:rPr>
            </w:pPr>
            <w:r w:rsidRPr="00B05D86">
              <w:rPr>
                <w:rFonts w:cstheme="minorHAnsi"/>
                <w:b/>
                <w:sz w:val="20"/>
                <w:szCs w:val="20"/>
              </w:rPr>
              <w:t>What to do when things go wrong:</w:t>
            </w:r>
            <w:r>
              <w:rPr>
                <w:rFonts w:cstheme="minorHAnsi"/>
                <w:sz w:val="20"/>
                <w:szCs w:val="20"/>
              </w:rPr>
              <w:t xml:space="preserve"> Lucy Warner, </w:t>
            </w:r>
            <w:r w:rsidR="006718B3">
              <w:rPr>
                <w:rFonts w:cstheme="minorHAnsi"/>
                <w:sz w:val="20"/>
                <w:szCs w:val="20"/>
              </w:rPr>
              <w:t xml:space="preserve">Dr </w:t>
            </w:r>
            <w:r>
              <w:rPr>
                <w:rFonts w:cstheme="minorHAnsi"/>
                <w:sz w:val="20"/>
                <w:szCs w:val="20"/>
              </w:rPr>
              <w:t xml:space="preserve">Peter Dickson and </w:t>
            </w:r>
            <w:r w:rsidR="00D90013">
              <w:rPr>
                <w:rFonts w:cstheme="minorHAnsi"/>
                <w:sz w:val="20"/>
                <w:szCs w:val="20"/>
              </w:rPr>
              <w:t xml:space="preserve">Dr </w:t>
            </w:r>
            <w:r>
              <w:rPr>
                <w:rFonts w:cstheme="minorHAnsi"/>
                <w:sz w:val="20"/>
                <w:szCs w:val="20"/>
              </w:rPr>
              <w:t>Stephanie Bown</w:t>
            </w:r>
          </w:p>
        </w:tc>
        <w:tc>
          <w:tcPr>
            <w:tcW w:w="3685" w:type="dxa"/>
            <w:shd w:val="clear" w:color="auto" w:fill="F2F2F2" w:themeFill="background1" w:themeFillShade="F2"/>
          </w:tcPr>
          <w:p w:rsidR="007C7153" w:rsidRPr="00B05D86" w:rsidRDefault="007C7153" w:rsidP="0025589D">
            <w:pPr>
              <w:rPr>
                <w:rFonts w:cstheme="minorHAnsi"/>
                <w:sz w:val="20"/>
                <w:szCs w:val="20"/>
              </w:rPr>
            </w:pPr>
            <w:r>
              <w:rPr>
                <w:rFonts w:cstheme="minorHAnsi"/>
                <w:sz w:val="20"/>
                <w:szCs w:val="20"/>
              </w:rPr>
              <w:t xml:space="preserve">Was this session </w:t>
            </w:r>
            <w:r w:rsidR="0025589D">
              <w:rPr>
                <w:rFonts w:cstheme="minorHAnsi"/>
                <w:sz w:val="20"/>
                <w:szCs w:val="20"/>
              </w:rPr>
              <w:t>interesting and engaging</w:t>
            </w:r>
            <w:r>
              <w:rPr>
                <w:rFonts w:cstheme="minorHAnsi"/>
                <w:sz w:val="20"/>
                <w:szCs w:val="20"/>
              </w:rPr>
              <w:t>?</w:t>
            </w:r>
          </w:p>
        </w:tc>
        <w:tc>
          <w:tcPr>
            <w:tcW w:w="709" w:type="dxa"/>
            <w:shd w:val="clear" w:color="auto" w:fill="F2F2F2" w:themeFill="background1" w:themeFillShade="F2"/>
          </w:tcPr>
          <w:p w:rsidR="007C7153" w:rsidRPr="00B05D86" w:rsidRDefault="007C7153">
            <w:pPr>
              <w:rPr>
                <w:rFonts w:cstheme="minorHAnsi"/>
                <w:sz w:val="20"/>
                <w:szCs w:val="20"/>
              </w:rPr>
            </w:pPr>
          </w:p>
        </w:tc>
        <w:tc>
          <w:tcPr>
            <w:tcW w:w="851" w:type="dxa"/>
            <w:shd w:val="clear" w:color="auto" w:fill="F2F2F2" w:themeFill="background1" w:themeFillShade="F2"/>
          </w:tcPr>
          <w:p w:rsidR="007C7153" w:rsidRPr="00B05D86" w:rsidRDefault="007C7153">
            <w:pPr>
              <w:rPr>
                <w:rFonts w:cstheme="minorHAnsi"/>
                <w:sz w:val="20"/>
                <w:szCs w:val="20"/>
              </w:rPr>
            </w:pPr>
          </w:p>
        </w:tc>
        <w:tc>
          <w:tcPr>
            <w:tcW w:w="708" w:type="dxa"/>
            <w:shd w:val="clear" w:color="auto" w:fill="F2F2F2" w:themeFill="background1" w:themeFillShade="F2"/>
          </w:tcPr>
          <w:p w:rsidR="007C7153" w:rsidRPr="00B05D86" w:rsidRDefault="007C7153">
            <w:pPr>
              <w:rPr>
                <w:rFonts w:cstheme="minorHAnsi"/>
                <w:sz w:val="20"/>
                <w:szCs w:val="20"/>
              </w:rPr>
            </w:pPr>
          </w:p>
        </w:tc>
        <w:tc>
          <w:tcPr>
            <w:tcW w:w="709" w:type="dxa"/>
            <w:shd w:val="clear" w:color="auto" w:fill="F2F2F2" w:themeFill="background1" w:themeFillShade="F2"/>
          </w:tcPr>
          <w:p w:rsidR="007C7153" w:rsidRPr="00B05D86" w:rsidRDefault="007C7153">
            <w:pPr>
              <w:rPr>
                <w:rFonts w:cstheme="minorHAnsi"/>
                <w:sz w:val="20"/>
                <w:szCs w:val="20"/>
              </w:rPr>
            </w:pPr>
          </w:p>
        </w:tc>
        <w:tc>
          <w:tcPr>
            <w:tcW w:w="709" w:type="dxa"/>
            <w:shd w:val="clear" w:color="auto" w:fill="F2F2F2" w:themeFill="background1" w:themeFillShade="F2"/>
          </w:tcPr>
          <w:p w:rsidR="007C7153" w:rsidRPr="00B05D86" w:rsidRDefault="007C7153">
            <w:pPr>
              <w:rPr>
                <w:rFonts w:cstheme="minorHAnsi"/>
                <w:sz w:val="20"/>
                <w:szCs w:val="20"/>
              </w:rPr>
            </w:pPr>
          </w:p>
        </w:tc>
        <w:tc>
          <w:tcPr>
            <w:tcW w:w="992" w:type="dxa"/>
            <w:shd w:val="clear" w:color="auto" w:fill="F2F2F2" w:themeFill="background1" w:themeFillShade="F2"/>
          </w:tcPr>
          <w:p w:rsidR="007C7153" w:rsidRPr="00B05D86" w:rsidRDefault="007C7153">
            <w:pPr>
              <w:rPr>
                <w:rFonts w:cstheme="minorHAnsi"/>
                <w:sz w:val="20"/>
                <w:szCs w:val="20"/>
              </w:rPr>
            </w:pPr>
          </w:p>
        </w:tc>
        <w:tc>
          <w:tcPr>
            <w:tcW w:w="3544" w:type="dxa"/>
            <w:vMerge w:val="restart"/>
            <w:shd w:val="clear" w:color="auto" w:fill="F2F2F2" w:themeFill="background1" w:themeFillShade="F2"/>
          </w:tcPr>
          <w:p w:rsidR="007C7153" w:rsidRPr="00B05D86" w:rsidRDefault="007C7153">
            <w:pPr>
              <w:rPr>
                <w:rFonts w:cstheme="minorHAnsi"/>
                <w:sz w:val="20"/>
                <w:szCs w:val="20"/>
              </w:rPr>
            </w:pPr>
          </w:p>
        </w:tc>
      </w:tr>
      <w:tr w:rsidR="007C7153" w:rsidRPr="00B05D86" w:rsidTr="007C7153">
        <w:tc>
          <w:tcPr>
            <w:tcW w:w="3119" w:type="dxa"/>
            <w:vMerge/>
            <w:shd w:val="clear" w:color="auto" w:fill="F2F2F2" w:themeFill="background1" w:themeFillShade="F2"/>
          </w:tcPr>
          <w:p w:rsidR="007C7153" w:rsidRPr="00B05D86" w:rsidRDefault="007C7153">
            <w:pPr>
              <w:rPr>
                <w:rFonts w:cstheme="minorHAnsi"/>
                <w:sz w:val="20"/>
                <w:szCs w:val="20"/>
              </w:rPr>
            </w:pPr>
          </w:p>
        </w:tc>
        <w:tc>
          <w:tcPr>
            <w:tcW w:w="3685" w:type="dxa"/>
            <w:shd w:val="clear" w:color="auto" w:fill="F2F2F2" w:themeFill="background1" w:themeFillShade="F2"/>
          </w:tcPr>
          <w:p w:rsidR="007C7153" w:rsidRPr="00B05D86" w:rsidRDefault="007C7153" w:rsidP="0025589D">
            <w:pPr>
              <w:rPr>
                <w:rFonts w:cstheme="minorHAnsi"/>
                <w:sz w:val="20"/>
                <w:szCs w:val="20"/>
              </w:rPr>
            </w:pPr>
            <w:r>
              <w:rPr>
                <w:rFonts w:cstheme="minorHAnsi"/>
                <w:sz w:val="20"/>
                <w:szCs w:val="20"/>
              </w:rPr>
              <w:t xml:space="preserve">Was this session informative and </w:t>
            </w:r>
            <w:r w:rsidR="0025589D">
              <w:rPr>
                <w:rFonts w:cstheme="minorHAnsi"/>
                <w:sz w:val="20"/>
                <w:szCs w:val="20"/>
              </w:rPr>
              <w:t>helpful</w:t>
            </w:r>
            <w:r>
              <w:rPr>
                <w:rFonts w:cstheme="minorHAnsi"/>
                <w:sz w:val="20"/>
                <w:szCs w:val="20"/>
              </w:rPr>
              <w:t>?</w:t>
            </w:r>
          </w:p>
        </w:tc>
        <w:tc>
          <w:tcPr>
            <w:tcW w:w="709" w:type="dxa"/>
            <w:shd w:val="clear" w:color="auto" w:fill="F2F2F2" w:themeFill="background1" w:themeFillShade="F2"/>
          </w:tcPr>
          <w:p w:rsidR="007C7153" w:rsidRPr="00B05D86" w:rsidRDefault="007C7153">
            <w:pPr>
              <w:rPr>
                <w:rFonts w:cstheme="minorHAnsi"/>
                <w:sz w:val="20"/>
                <w:szCs w:val="20"/>
              </w:rPr>
            </w:pPr>
          </w:p>
        </w:tc>
        <w:tc>
          <w:tcPr>
            <w:tcW w:w="851" w:type="dxa"/>
            <w:shd w:val="clear" w:color="auto" w:fill="F2F2F2" w:themeFill="background1" w:themeFillShade="F2"/>
          </w:tcPr>
          <w:p w:rsidR="007C7153" w:rsidRPr="00B05D86" w:rsidRDefault="007C7153">
            <w:pPr>
              <w:rPr>
                <w:rFonts w:cstheme="minorHAnsi"/>
                <w:sz w:val="20"/>
                <w:szCs w:val="20"/>
              </w:rPr>
            </w:pPr>
          </w:p>
        </w:tc>
        <w:tc>
          <w:tcPr>
            <w:tcW w:w="708" w:type="dxa"/>
            <w:shd w:val="clear" w:color="auto" w:fill="F2F2F2" w:themeFill="background1" w:themeFillShade="F2"/>
          </w:tcPr>
          <w:p w:rsidR="007C7153" w:rsidRPr="00B05D86" w:rsidRDefault="007C7153">
            <w:pPr>
              <w:rPr>
                <w:rFonts w:cstheme="minorHAnsi"/>
                <w:sz w:val="20"/>
                <w:szCs w:val="20"/>
              </w:rPr>
            </w:pPr>
          </w:p>
        </w:tc>
        <w:tc>
          <w:tcPr>
            <w:tcW w:w="709" w:type="dxa"/>
            <w:shd w:val="clear" w:color="auto" w:fill="F2F2F2" w:themeFill="background1" w:themeFillShade="F2"/>
          </w:tcPr>
          <w:p w:rsidR="007C7153" w:rsidRPr="00B05D86" w:rsidRDefault="007C7153">
            <w:pPr>
              <w:rPr>
                <w:rFonts w:cstheme="minorHAnsi"/>
                <w:sz w:val="20"/>
                <w:szCs w:val="20"/>
              </w:rPr>
            </w:pPr>
          </w:p>
        </w:tc>
        <w:tc>
          <w:tcPr>
            <w:tcW w:w="709" w:type="dxa"/>
            <w:shd w:val="clear" w:color="auto" w:fill="F2F2F2" w:themeFill="background1" w:themeFillShade="F2"/>
          </w:tcPr>
          <w:p w:rsidR="007C7153" w:rsidRPr="00B05D86" w:rsidRDefault="007C7153">
            <w:pPr>
              <w:rPr>
                <w:rFonts w:cstheme="minorHAnsi"/>
                <w:sz w:val="20"/>
                <w:szCs w:val="20"/>
              </w:rPr>
            </w:pPr>
          </w:p>
        </w:tc>
        <w:tc>
          <w:tcPr>
            <w:tcW w:w="992" w:type="dxa"/>
            <w:shd w:val="clear" w:color="auto" w:fill="F2F2F2" w:themeFill="background1" w:themeFillShade="F2"/>
          </w:tcPr>
          <w:p w:rsidR="007C7153" w:rsidRPr="00B05D86" w:rsidRDefault="007C7153">
            <w:pPr>
              <w:rPr>
                <w:rFonts w:cstheme="minorHAnsi"/>
                <w:sz w:val="20"/>
                <w:szCs w:val="20"/>
              </w:rPr>
            </w:pPr>
          </w:p>
        </w:tc>
        <w:tc>
          <w:tcPr>
            <w:tcW w:w="3544" w:type="dxa"/>
            <w:vMerge/>
            <w:shd w:val="clear" w:color="auto" w:fill="F2F2F2" w:themeFill="background1" w:themeFillShade="F2"/>
          </w:tcPr>
          <w:p w:rsidR="007C7153" w:rsidRPr="00B05D86" w:rsidRDefault="007C7153">
            <w:pPr>
              <w:rPr>
                <w:rFonts w:cstheme="minorHAnsi"/>
                <w:sz w:val="20"/>
                <w:szCs w:val="20"/>
              </w:rPr>
            </w:pPr>
          </w:p>
        </w:tc>
      </w:tr>
    </w:tbl>
    <w:p w:rsidR="00D90013" w:rsidRDefault="00D90013"/>
    <w:p w:rsidR="00D90013" w:rsidRDefault="00D90013">
      <w:r>
        <w:br w:type="page"/>
      </w:r>
    </w:p>
    <w:p w:rsidR="00D90013" w:rsidRDefault="00D90013"/>
    <w:tbl>
      <w:tblPr>
        <w:tblStyle w:val="TableGrid"/>
        <w:tblW w:w="15026" w:type="dxa"/>
        <w:tblInd w:w="108" w:type="dxa"/>
        <w:tblLayout w:type="fixed"/>
        <w:tblLook w:val="04A0" w:firstRow="1" w:lastRow="0" w:firstColumn="1" w:lastColumn="0" w:noHBand="0" w:noVBand="1"/>
      </w:tblPr>
      <w:tblGrid>
        <w:gridCol w:w="3119"/>
        <w:gridCol w:w="3685"/>
        <w:gridCol w:w="709"/>
        <w:gridCol w:w="851"/>
        <w:gridCol w:w="708"/>
        <w:gridCol w:w="709"/>
        <w:gridCol w:w="709"/>
        <w:gridCol w:w="992"/>
        <w:gridCol w:w="3544"/>
      </w:tblGrid>
      <w:tr w:rsidR="0025589D" w:rsidRPr="00B05D86" w:rsidTr="007C7153">
        <w:tc>
          <w:tcPr>
            <w:tcW w:w="3119" w:type="dxa"/>
            <w:vMerge w:val="restart"/>
            <w:shd w:val="clear" w:color="auto" w:fill="F2F2F2" w:themeFill="background1" w:themeFillShade="F2"/>
          </w:tcPr>
          <w:p w:rsidR="0025589D" w:rsidRPr="00B05D86" w:rsidRDefault="0025589D">
            <w:pPr>
              <w:rPr>
                <w:rFonts w:cstheme="minorHAnsi"/>
                <w:sz w:val="20"/>
                <w:szCs w:val="20"/>
              </w:rPr>
            </w:pPr>
            <w:r w:rsidRPr="00B05D86">
              <w:rPr>
                <w:rFonts w:cstheme="minorHAnsi"/>
                <w:b/>
                <w:sz w:val="20"/>
                <w:szCs w:val="20"/>
              </w:rPr>
              <w:t>Have you got it right? How do you know?</w:t>
            </w:r>
            <w:r>
              <w:rPr>
                <w:rFonts w:cstheme="minorHAnsi"/>
                <w:sz w:val="20"/>
                <w:szCs w:val="20"/>
              </w:rPr>
              <w:t xml:space="preserve"> Ros Crowder and Joanne Smith</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B05D86">
              <w:rPr>
                <w:rFonts w:cstheme="minorHAnsi"/>
                <w:b/>
                <w:sz w:val="20"/>
                <w:szCs w:val="20"/>
              </w:rPr>
              <w:t>One size fits all?</w:t>
            </w:r>
            <w:r>
              <w:rPr>
                <w:rFonts w:cstheme="minorHAnsi"/>
                <w:sz w:val="20"/>
                <w:szCs w:val="20"/>
              </w:rPr>
              <w:t xml:space="preserve"> Sally Taber</w:t>
            </w:r>
            <w:r w:rsidR="00D90013">
              <w:rPr>
                <w:rFonts w:cstheme="minorHAnsi"/>
                <w:sz w:val="20"/>
                <w:szCs w:val="20"/>
              </w:rPr>
              <w:t>, P</w:t>
            </w:r>
            <w:r w:rsidR="00D90013" w:rsidRPr="00D90013">
              <w:rPr>
                <w:rFonts w:cstheme="minorHAnsi"/>
                <w:sz w:val="20"/>
                <w:szCs w:val="20"/>
              </w:rPr>
              <w:t xml:space="preserve">rofessor Duncan </w:t>
            </w:r>
            <w:proofErr w:type="spellStart"/>
            <w:r w:rsidR="00D90013" w:rsidRPr="00D90013">
              <w:rPr>
                <w:rFonts w:cstheme="minorHAnsi"/>
                <w:sz w:val="20"/>
                <w:szCs w:val="20"/>
              </w:rPr>
              <w:t>Empey</w:t>
            </w:r>
            <w:proofErr w:type="spellEnd"/>
            <w:r w:rsidR="00D90013">
              <w:rPr>
                <w:rFonts w:cstheme="minorHAnsi"/>
                <w:sz w:val="20"/>
                <w:szCs w:val="20"/>
              </w:rPr>
              <w:t>, D</w:t>
            </w:r>
            <w:r w:rsidR="00D90013" w:rsidRPr="00D90013">
              <w:rPr>
                <w:rFonts w:cstheme="minorHAnsi"/>
                <w:sz w:val="20"/>
                <w:szCs w:val="20"/>
              </w:rPr>
              <w:t>r Stuart Sanders</w:t>
            </w:r>
            <w:r w:rsidR="00D90013">
              <w:rPr>
                <w:rFonts w:cstheme="minorHAnsi"/>
                <w:sz w:val="20"/>
                <w:szCs w:val="20"/>
              </w:rPr>
              <w:t xml:space="preserve">, </w:t>
            </w:r>
            <w:r w:rsidR="00D90013" w:rsidRPr="00D90013">
              <w:rPr>
                <w:rFonts w:cstheme="minorHAnsi"/>
                <w:sz w:val="20"/>
                <w:szCs w:val="20"/>
              </w:rPr>
              <w:t xml:space="preserve">Dr Stephen </w:t>
            </w:r>
            <w:proofErr w:type="spellStart"/>
            <w:r w:rsidR="00D90013" w:rsidRPr="00D90013">
              <w:rPr>
                <w:rFonts w:cstheme="minorHAnsi"/>
                <w:sz w:val="20"/>
                <w:szCs w:val="20"/>
              </w:rPr>
              <w:t>Drotske</w:t>
            </w:r>
            <w:proofErr w:type="spellEnd"/>
            <w:r w:rsidR="00D90013">
              <w:rPr>
                <w:rFonts w:cstheme="minorHAnsi"/>
                <w:sz w:val="20"/>
                <w:szCs w:val="20"/>
              </w:rPr>
              <w:t xml:space="preserve"> and </w:t>
            </w:r>
            <w:r w:rsidR="00D90013" w:rsidRPr="00D90013">
              <w:rPr>
                <w:rFonts w:cstheme="minorHAnsi"/>
                <w:sz w:val="20"/>
                <w:szCs w:val="20"/>
              </w:rPr>
              <w:t xml:space="preserve">Dr Stephen </w:t>
            </w:r>
            <w:proofErr w:type="spellStart"/>
            <w:r w:rsidR="00D90013" w:rsidRPr="00D90013">
              <w:rPr>
                <w:rFonts w:cstheme="minorHAnsi"/>
                <w:sz w:val="20"/>
                <w:szCs w:val="20"/>
              </w:rPr>
              <w:t>Agoston</w:t>
            </w:r>
            <w:proofErr w:type="spellEnd"/>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pPr>
              <w:rPr>
                <w:rFonts w:cstheme="minorHAnsi"/>
                <w:sz w:val="20"/>
                <w:szCs w:val="20"/>
              </w:rPr>
            </w:pPr>
            <w:r w:rsidRPr="00CF423E">
              <w:rPr>
                <w:rFonts w:cstheme="minorHAnsi"/>
                <w:b/>
                <w:sz w:val="20"/>
                <w:szCs w:val="20"/>
              </w:rPr>
              <w:t>Getting to grips with complexity and large numbers:</w:t>
            </w:r>
            <w:r>
              <w:rPr>
                <w:rFonts w:cstheme="minorHAnsi"/>
                <w:sz w:val="20"/>
                <w:szCs w:val="20"/>
              </w:rPr>
              <w:t xml:space="preserve"> Dr Raj Patel and Dr Ian </w:t>
            </w:r>
            <w:proofErr w:type="spellStart"/>
            <w:r>
              <w:rPr>
                <w:rFonts w:cstheme="minorHAnsi"/>
                <w:sz w:val="20"/>
                <w:szCs w:val="20"/>
              </w:rPr>
              <w:t>Abbs</w:t>
            </w:r>
            <w:proofErr w:type="spellEnd"/>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pPr>
              <w:rPr>
                <w:rFonts w:cstheme="minorHAnsi"/>
                <w:sz w:val="20"/>
                <w:szCs w:val="20"/>
              </w:rPr>
            </w:pPr>
            <w:r w:rsidRPr="00CF423E">
              <w:rPr>
                <w:rFonts w:cstheme="minorHAnsi"/>
                <w:b/>
                <w:sz w:val="20"/>
                <w:szCs w:val="20"/>
              </w:rPr>
              <w:t>Revalidation of locum doctors in secondary care:</w:t>
            </w:r>
            <w:r>
              <w:rPr>
                <w:rFonts w:cstheme="minorHAnsi"/>
                <w:sz w:val="20"/>
                <w:szCs w:val="20"/>
              </w:rPr>
              <w:t xml:space="preserve"> Dr </w:t>
            </w:r>
            <w:r w:rsidR="00D90013">
              <w:rPr>
                <w:rFonts w:cstheme="minorHAnsi"/>
                <w:sz w:val="20"/>
                <w:szCs w:val="20"/>
              </w:rPr>
              <w:t xml:space="preserve">Hilton Dixon, </w:t>
            </w:r>
            <w:r>
              <w:rPr>
                <w:rFonts w:cstheme="minorHAnsi"/>
                <w:sz w:val="20"/>
                <w:szCs w:val="20"/>
              </w:rPr>
              <w:t>and Fiona Thompson</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CF423E">
              <w:rPr>
                <w:rFonts w:cstheme="minorHAnsi"/>
                <w:b/>
                <w:sz w:val="20"/>
                <w:szCs w:val="20"/>
              </w:rPr>
              <w:t>Understanding how your medical appraisal processes work:</w:t>
            </w:r>
            <w:r>
              <w:rPr>
                <w:rFonts w:cstheme="minorHAnsi"/>
                <w:sz w:val="20"/>
                <w:szCs w:val="20"/>
              </w:rPr>
              <w:t xml:space="preserve"> Dr Maurice Conlon</w:t>
            </w:r>
            <w:r w:rsidR="00D90013">
              <w:rPr>
                <w:rFonts w:cstheme="minorHAnsi"/>
                <w:sz w:val="20"/>
                <w:szCs w:val="20"/>
              </w:rPr>
              <w:t>,</w:t>
            </w:r>
            <w:r>
              <w:rPr>
                <w:rFonts w:cstheme="minorHAnsi"/>
                <w:sz w:val="20"/>
                <w:szCs w:val="20"/>
              </w:rPr>
              <w:t xml:space="preserve"> Dr Vicky Banks</w:t>
            </w:r>
            <w:r w:rsidR="00D90013">
              <w:rPr>
                <w:rFonts w:cstheme="minorHAnsi"/>
                <w:sz w:val="20"/>
                <w:szCs w:val="20"/>
              </w:rPr>
              <w:t>, Dr James Quinn, Dr Ruth Chapman, Dr Nick Hall, Dr Paul Twomey</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pPr>
              <w:rPr>
                <w:rFonts w:cstheme="minorHAnsi"/>
                <w:sz w:val="20"/>
                <w:szCs w:val="20"/>
              </w:rPr>
            </w:pPr>
            <w:r w:rsidRPr="00CF423E">
              <w:rPr>
                <w:rFonts w:cstheme="minorHAnsi"/>
                <w:b/>
                <w:sz w:val="20"/>
                <w:szCs w:val="20"/>
              </w:rPr>
              <w:t xml:space="preserve">Revalidation – a catalyst to drive integration of quality improvement systems: </w:t>
            </w:r>
            <w:r>
              <w:rPr>
                <w:rFonts w:cstheme="minorHAnsi"/>
                <w:sz w:val="20"/>
                <w:szCs w:val="20"/>
              </w:rPr>
              <w:t>Michael Wright and Helen Gosh</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shd w:val="clear" w:color="auto" w:fill="F2F2F2" w:themeFill="background1" w:themeFillShade="F2"/>
          </w:tcPr>
          <w:p w:rsidR="0025589D" w:rsidRPr="00B05D86" w:rsidRDefault="0025589D" w:rsidP="00D90013">
            <w:pPr>
              <w:rPr>
                <w:rFonts w:cstheme="minorHAnsi"/>
                <w:sz w:val="20"/>
                <w:szCs w:val="20"/>
              </w:rPr>
            </w:pPr>
            <w:r w:rsidRPr="00CF423E">
              <w:rPr>
                <w:rFonts w:cstheme="minorHAnsi"/>
                <w:b/>
                <w:sz w:val="20"/>
                <w:szCs w:val="20"/>
              </w:rPr>
              <w:t>Putting the jig-saw pieces together:</w:t>
            </w:r>
            <w:r>
              <w:rPr>
                <w:rFonts w:cstheme="minorHAnsi"/>
                <w:sz w:val="20"/>
                <w:szCs w:val="20"/>
              </w:rPr>
              <w:t xml:space="preserve"> Dr Stuart Ward, </w:t>
            </w:r>
            <w:proofErr w:type="spellStart"/>
            <w:r>
              <w:rPr>
                <w:rFonts w:cstheme="minorHAnsi"/>
                <w:sz w:val="20"/>
                <w:szCs w:val="20"/>
              </w:rPr>
              <w:t>Cath</w:t>
            </w:r>
            <w:proofErr w:type="spellEnd"/>
            <w:r>
              <w:rPr>
                <w:rFonts w:cstheme="minorHAnsi"/>
                <w:sz w:val="20"/>
                <w:szCs w:val="20"/>
              </w:rPr>
              <w:t xml:space="preserve"> Finn</w:t>
            </w:r>
            <w:r w:rsidR="00D90013">
              <w:rPr>
                <w:rFonts w:cstheme="minorHAnsi"/>
                <w:sz w:val="20"/>
                <w:szCs w:val="20"/>
              </w:rPr>
              <w:t xml:space="preserve"> and Rory Lawton</w:t>
            </w: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interesting and engaging?</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val="restart"/>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shd w:val="clear" w:color="auto" w:fill="F2F2F2" w:themeFill="background1" w:themeFillShade="F2"/>
          </w:tcPr>
          <w:p w:rsidR="0025589D" w:rsidRPr="00B05D86" w:rsidRDefault="0025589D">
            <w:pPr>
              <w:rPr>
                <w:rFonts w:cstheme="minorHAnsi"/>
                <w:sz w:val="20"/>
                <w:szCs w:val="20"/>
              </w:rPr>
            </w:pPr>
          </w:p>
        </w:tc>
        <w:tc>
          <w:tcPr>
            <w:tcW w:w="3685" w:type="dxa"/>
            <w:shd w:val="clear" w:color="auto" w:fill="F2F2F2" w:themeFill="background1" w:themeFillShade="F2"/>
          </w:tcPr>
          <w:p w:rsidR="0025589D" w:rsidRPr="00B05D86" w:rsidRDefault="0025589D" w:rsidP="00646AE5">
            <w:pPr>
              <w:rPr>
                <w:rFonts w:cstheme="minorHAnsi"/>
                <w:sz w:val="20"/>
                <w:szCs w:val="20"/>
              </w:rPr>
            </w:pPr>
            <w:r>
              <w:rPr>
                <w:rFonts w:cstheme="minorHAnsi"/>
                <w:sz w:val="20"/>
                <w:szCs w:val="20"/>
              </w:rPr>
              <w:t>Was this session informative and helpful?</w:t>
            </w:r>
          </w:p>
        </w:tc>
        <w:tc>
          <w:tcPr>
            <w:tcW w:w="709" w:type="dxa"/>
            <w:shd w:val="clear" w:color="auto" w:fill="F2F2F2" w:themeFill="background1" w:themeFillShade="F2"/>
          </w:tcPr>
          <w:p w:rsidR="0025589D" w:rsidRPr="00B05D86" w:rsidRDefault="0025589D">
            <w:pPr>
              <w:rPr>
                <w:rFonts w:cstheme="minorHAnsi"/>
                <w:sz w:val="20"/>
                <w:szCs w:val="20"/>
              </w:rPr>
            </w:pPr>
          </w:p>
        </w:tc>
        <w:tc>
          <w:tcPr>
            <w:tcW w:w="851" w:type="dxa"/>
            <w:shd w:val="clear" w:color="auto" w:fill="F2F2F2" w:themeFill="background1" w:themeFillShade="F2"/>
          </w:tcPr>
          <w:p w:rsidR="0025589D" w:rsidRPr="00B05D86" w:rsidRDefault="0025589D">
            <w:pPr>
              <w:rPr>
                <w:rFonts w:cstheme="minorHAnsi"/>
                <w:sz w:val="20"/>
                <w:szCs w:val="20"/>
              </w:rPr>
            </w:pPr>
          </w:p>
        </w:tc>
        <w:tc>
          <w:tcPr>
            <w:tcW w:w="708"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709" w:type="dxa"/>
            <w:shd w:val="clear" w:color="auto" w:fill="F2F2F2" w:themeFill="background1" w:themeFillShade="F2"/>
          </w:tcPr>
          <w:p w:rsidR="0025589D" w:rsidRPr="00B05D86" w:rsidRDefault="0025589D">
            <w:pPr>
              <w:rPr>
                <w:rFonts w:cstheme="minorHAnsi"/>
                <w:sz w:val="20"/>
                <w:szCs w:val="20"/>
              </w:rPr>
            </w:pPr>
          </w:p>
        </w:tc>
        <w:tc>
          <w:tcPr>
            <w:tcW w:w="992" w:type="dxa"/>
            <w:shd w:val="clear" w:color="auto" w:fill="F2F2F2" w:themeFill="background1" w:themeFillShade="F2"/>
          </w:tcPr>
          <w:p w:rsidR="0025589D" w:rsidRPr="00B05D86" w:rsidRDefault="0025589D">
            <w:pPr>
              <w:rPr>
                <w:rFonts w:cstheme="minorHAnsi"/>
                <w:sz w:val="20"/>
                <w:szCs w:val="20"/>
              </w:rPr>
            </w:pPr>
          </w:p>
        </w:tc>
        <w:tc>
          <w:tcPr>
            <w:tcW w:w="3544" w:type="dxa"/>
            <w:vMerge/>
            <w:shd w:val="clear" w:color="auto" w:fill="F2F2F2" w:themeFill="background1" w:themeFillShade="F2"/>
          </w:tcPr>
          <w:p w:rsidR="0025589D" w:rsidRPr="00B05D86" w:rsidRDefault="0025589D">
            <w:pPr>
              <w:rPr>
                <w:rFonts w:cstheme="minorHAnsi"/>
                <w:sz w:val="20"/>
                <w:szCs w:val="20"/>
              </w:rPr>
            </w:pPr>
          </w:p>
        </w:tc>
      </w:tr>
      <w:tr w:rsidR="0025589D" w:rsidRPr="00B05D86" w:rsidTr="007C7153">
        <w:tc>
          <w:tcPr>
            <w:tcW w:w="3119" w:type="dxa"/>
            <w:vMerge w:val="restart"/>
          </w:tcPr>
          <w:p w:rsidR="0025589D" w:rsidRPr="00B05D86" w:rsidRDefault="0025589D" w:rsidP="00D90013">
            <w:pPr>
              <w:rPr>
                <w:rFonts w:cstheme="minorHAnsi"/>
                <w:sz w:val="20"/>
                <w:szCs w:val="20"/>
              </w:rPr>
            </w:pPr>
            <w:r w:rsidRPr="00CF423E">
              <w:rPr>
                <w:rFonts w:cstheme="minorHAnsi"/>
                <w:b/>
                <w:sz w:val="20"/>
                <w:szCs w:val="20"/>
              </w:rPr>
              <w:t>Responsible for the quality of doctors in England, the view from the higher level responsible officers:</w:t>
            </w:r>
            <w:r>
              <w:rPr>
                <w:rFonts w:cstheme="minorHAnsi"/>
                <w:sz w:val="20"/>
                <w:szCs w:val="20"/>
              </w:rPr>
              <w:t xml:space="preserve"> Dr Mike Bewick, Mr Nigel Acheson, Dr Andy Mitchell, Dr D</w:t>
            </w:r>
            <w:r w:rsidR="00D90013">
              <w:rPr>
                <w:rFonts w:cstheme="minorHAnsi"/>
                <w:sz w:val="20"/>
                <w:szCs w:val="20"/>
              </w:rPr>
              <w:t>avid Levy, Dr Damien Riley and Professor</w:t>
            </w:r>
            <w:bookmarkStart w:id="0" w:name="_GoBack"/>
            <w:bookmarkEnd w:id="0"/>
            <w:r>
              <w:rPr>
                <w:rFonts w:cstheme="minorHAnsi"/>
                <w:sz w:val="20"/>
                <w:szCs w:val="20"/>
              </w:rPr>
              <w:t xml:space="preserve"> David Walker</w:t>
            </w: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interesting and engaging?</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tcPr>
          <w:p w:rsidR="0025589D" w:rsidRPr="00B05D86" w:rsidRDefault="0025589D">
            <w:pPr>
              <w:rPr>
                <w:rFonts w:cstheme="minorHAnsi"/>
                <w:sz w:val="20"/>
                <w:szCs w:val="20"/>
              </w:rPr>
            </w:pPr>
          </w:p>
        </w:tc>
      </w:tr>
      <w:tr w:rsidR="0025589D" w:rsidRPr="00B05D86" w:rsidTr="007C7153">
        <w:tc>
          <w:tcPr>
            <w:tcW w:w="3119" w:type="dxa"/>
            <w:vMerge/>
          </w:tcPr>
          <w:p w:rsidR="0025589D" w:rsidRPr="00B05D86" w:rsidRDefault="0025589D">
            <w:pPr>
              <w:rPr>
                <w:rFonts w:cstheme="minorHAnsi"/>
                <w:sz w:val="20"/>
                <w:szCs w:val="20"/>
              </w:rPr>
            </w:pPr>
          </w:p>
        </w:tc>
        <w:tc>
          <w:tcPr>
            <w:tcW w:w="3685" w:type="dxa"/>
          </w:tcPr>
          <w:p w:rsidR="0025589D" w:rsidRPr="00B05D86" w:rsidRDefault="0025589D" w:rsidP="00646AE5">
            <w:pPr>
              <w:shd w:val="clear" w:color="auto" w:fill="FFFFFF"/>
              <w:rPr>
                <w:rFonts w:cstheme="minorHAnsi"/>
                <w:sz w:val="20"/>
                <w:szCs w:val="20"/>
              </w:rPr>
            </w:pPr>
            <w:r>
              <w:rPr>
                <w:rFonts w:eastAsia="Times New Roman" w:cstheme="minorHAnsi"/>
                <w:color w:val="000000"/>
                <w:sz w:val="20"/>
                <w:szCs w:val="20"/>
                <w:lang w:val="en-US" w:eastAsia="en-GB"/>
              </w:rPr>
              <w:t>Was this session informative and helpful?</w:t>
            </w:r>
          </w:p>
        </w:tc>
        <w:tc>
          <w:tcPr>
            <w:tcW w:w="709" w:type="dxa"/>
          </w:tcPr>
          <w:p w:rsidR="0025589D" w:rsidRPr="00B05D86" w:rsidRDefault="0025589D">
            <w:pPr>
              <w:rPr>
                <w:rFonts w:cstheme="minorHAnsi"/>
                <w:sz w:val="20"/>
                <w:szCs w:val="20"/>
              </w:rPr>
            </w:pPr>
          </w:p>
        </w:tc>
        <w:tc>
          <w:tcPr>
            <w:tcW w:w="851" w:type="dxa"/>
          </w:tcPr>
          <w:p w:rsidR="0025589D" w:rsidRPr="00B05D86" w:rsidRDefault="0025589D">
            <w:pPr>
              <w:rPr>
                <w:rFonts w:cstheme="minorHAnsi"/>
                <w:sz w:val="20"/>
                <w:szCs w:val="20"/>
              </w:rPr>
            </w:pPr>
          </w:p>
        </w:tc>
        <w:tc>
          <w:tcPr>
            <w:tcW w:w="708"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709" w:type="dxa"/>
          </w:tcPr>
          <w:p w:rsidR="0025589D" w:rsidRPr="00B05D86" w:rsidRDefault="0025589D">
            <w:pPr>
              <w:rPr>
                <w:rFonts w:cstheme="minorHAnsi"/>
                <w:sz w:val="20"/>
                <w:szCs w:val="20"/>
              </w:rPr>
            </w:pPr>
          </w:p>
        </w:tc>
        <w:tc>
          <w:tcPr>
            <w:tcW w:w="992" w:type="dxa"/>
          </w:tcPr>
          <w:p w:rsidR="0025589D" w:rsidRPr="00B05D86" w:rsidRDefault="0025589D">
            <w:pPr>
              <w:rPr>
                <w:rFonts w:cstheme="minorHAnsi"/>
                <w:sz w:val="20"/>
                <w:szCs w:val="20"/>
              </w:rPr>
            </w:pPr>
          </w:p>
        </w:tc>
        <w:tc>
          <w:tcPr>
            <w:tcW w:w="3544" w:type="dxa"/>
          </w:tcPr>
          <w:p w:rsidR="0025589D" w:rsidRPr="00B05D86" w:rsidRDefault="0025589D">
            <w:pPr>
              <w:rPr>
                <w:rFonts w:cstheme="minorHAnsi"/>
                <w:sz w:val="20"/>
                <w:szCs w:val="20"/>
              </w:rPr>
            </w:pPr>
          </w:p>
        </w:tc>
      </w:tr>
    </w:tbl>
    <w:p w:rsidR="00651FBA" w:rsidRDefault="00651FBA"/>
    <w:p w:rsidR="007C7153" w:rsidRPr="007C7153" w:rsidRDefault="007C7153">
      <w:pPr>
        <w:rPr>
          <w:sz w:val="20"/>
        </w:rPr>
      </w:pPr>
      <w:r w:rsidRPr="007C7153">
        <w:rPr>
          <w:sz w:val="20"/>
        </w:rPr>
        <w:t xml:space="preserve">Please provide any additional comments about the </w:t>
      </w:r>
      <w:r w:rsidR="006144B5">
        <w:rPr>
          <w:sz w:val="20"/>
        </w:rPr>
        <w:t xml:space="preserve">overall </w:t>
      </w:r>
      <w:r w:rsidRPr="007C7153">
        <w:rPr>
          <w:sz w:val="20"/>
        </w:rPr>
        <w:t>conference, includin</w:t>
      </w:r>
      <w:r w:rsidR="006144B5">
        <w:rPr>
          <w:sz w:val="20"/>
        </w:rPr>
        <w:t xml:space="preserve">g pre-conference communications/information, registration </w:t>
      </w:r>
      <w:r w:rsidRPr="007C7153">
        <w:rPr>
          <w:sz w:val="20"/>
        </w:rPr>
        <w:t>and venue</w:t>
      </w:r>
      <w:r w:rsidR="006144B5">
        <w:rPr>
          <w:sz w:val="20"/>
        </w:rPr>
        <w:t xml:space="preserve"> and leave on your chair</w:t>
      </w:r>
    </w:p>
    <w:tbl>
      <w:tblPr>
        <w:tblStyle w:val="TableGrid"/>
        <w:tblW w:w="15026" w:type="dxa"/>
        <w:tblInd w:w="108" w:type="dxa"/>
        <w:tblLook w:val="04A0" w:firstRow="1" w:lastRow="0" w:firstColumn="1" w:lastColumn="0" w:noHBand="0" w:noVBand="1"/>
      </w:tblPr>
      <w:tblGrid>
        <w:gridCol w:w="15026"/>
      </w:tblGrid>
      <w:tr w:rsidR="006144B5" w:rsidTr="006144B5">
        <w:tc>
          <w:tcPr>
            <w:tcW w:w="15026" w:type="dxa"/>
          </w:tcPr>
          <w:p w:rsidR="006144B5" w:rsidRDefault="006144B5"/>
          <w:p w:rsidR="006144B5" w:rsidRDefault="006144B5"/>
          <w:p w:rsidR="006144B5" w:rsidRDefault="006144B5"/>
        </w:tc>
      </w:tr>
    </w:tbl>
    <w:p w:rsidR="007C7153" w:rsidRDefault="007C7153"/>
    <w:p w:rsidR="006144B5" w:rsidRDefault="006144B5"/>
    <w:p w:rsidR="007C7153" w:rsidRPr="006144B5" w:rsidRDefault="006144B5" w:rsidP="006144B5">
      <w:pPr>
        <w:tabs>
          <w:tab w:val="right" w:leader="dot" w:pos="6804"/>
          <w:tab w:val="left" w:pos="6946"/>
          <w:tab w:val="right" w:leader="dot" w:pos="14459"/>
        </w:tabs>
        <w:rPr>
          <w:sz w:val="20"/>
        </w:rPr>
      </w:pPr>
      <w:r w:rsidRPr="006144B5">
        <w:rPr>
          <w:sz w:val="20"/>
        </w:rPr>
        <w:t>Name (optional):</w:t>
      </w:r>
      <w:r w:rsidRPr="006144B5">
        <w:rPr>
          <w:sz w:val="20"/>
        </w:rPr>
        <w:tab/>
      </w:r>
      <w:r w:rsidRPr="006144B5">
        <w:rPr>
          <w:sz w:val="20"/>
        </w:rPr>
        <w:tab/>
        <w:t>Organisation:</w:t>
      </w:r>
      <w:r w:rsidRPr="006144B5">
        <w:rPr>
          <w:sz w:val="20"/>
        </w:rPr>
        <w:tab/>
      </w:r>
    </w:p>
    <w:sectPr w:rsidR="007C7153" w:rsidRPr="006144B5" w:rsidSect="006144B5">
      <w:pgSz w:w="16838" w:h="11906" w:orient="landscape"/>
      <w:pgMar w:top="993" w:right="144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0420"/>
    <w:multiLevelType w:val="hybridMultilevel"/>
    <w:tmpl w:val="E3248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BA"/>
    <w:rsid w:val="000328CF"/>
    <w:rsid w:val="0025589D"/>
    <w:rsid w:val="00365E74"/>
    <w:rsid w:val="005431BB"/>
    <w:rsid w:val="00601497"/>
    <w:rsid w:val="006144B5"/>
    <w:rsid w:val="00651FBA"/>
    <w:rsid w:val="006718B3"/>
    <w:rsid w:val="007C7153"/>
    <w:rsid w:val="00831337"/>
    <w:rsid w:val="008D667C"/>
    <w:rsid w:val="00B05D86"/>
    <w:rsid w:val="00CF423E"/>
    <w:rsid w:val="00D90013"/>
    <w:rsid w:val="00DE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1FBA"/>
    <w:rPr>
      <w:strike w:val="0"/>
      <w:dstrike w:val="0"/>
      <w:color w:val="0000FF"/>
      <w:u w:val="none"/>
      <w:effect w:val="none"/>
    </w:rPr>
  </w:style>
  <w:style w:type="paragraph" w:customStyle="1" w:styleId="Body1">
    <w:name w:val="Body 1"/>
    <w:rsid w:val="00B05D86"/>
    <w:pPr>
      <w:outlineLvl w:val="0"/>
    </w:pPr>
    <w:rPr>
      <w:rFonts w:ascii="Helvetica" w:eastAsia="Arial Unicode MS" w:hAnsi="Helvetica" w:cs="Times New Roman"/>
      <w:color w:val="000000"/>
      <w:sz w:val="24"/>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1FBA"/>
    <w:rPr>
      <w:strike w:val="0"/>
      <w:dstrike w:val="0"/>
      <w:color w:val="0000FF"/>
      <w:u w:val="none"/>
      <w:effect w:val="none"/>
    </w:rPr>
  </w:style>
  <w:style w:type="paragraph" w:customStyle="1" w:styleId="Body1">
    <w:name w:val="Body 1"/>
    <w:rsid w:val="00B05D86"/>
    <w:pPr>
      <w:outlineLvl w:val="0"/>
    </w:pPr>
    <w:rPr>
      <w:rFonts w:ascii="Helvetica" w:eastAsia="Arial Unicode MS" w:hAnsi="Helvetica"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788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66679460">
          <w:marLeft w:val="0"/>
          <w:marRight w:val="0"/>
          <w:marTop w:val="0"/>
          <w:marBottom w:val="0"/>
          <w:divBdr>
            <w:top w:val="none" w:sz="0" w:space="0" w:color="auto"/>
            <w:left w:val="none" w:sz="0" w:space="0" w:color="auto"/>
            <w:bottom w:val="none" w:sz="0" w:space="0" w:color="auto"/>
            <w:right w:val="none" w:sz="0" w:space="0" w:color="auto"/>
          </w:divBdr>
        </w:div>
      </w:divsChild>
    </w:div>
    <w:div w:id="177355207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6907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0B97-73CD-4389-A77E-6B9DB2E0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Pettit-Gardner</dc:creator>
  <cp:lastModifiedBy>Clare Pettit-Gardner</cp:lastModifiedBy>
  <cp:revision>5</cp:revision>
  <dcterms:created xsi:type="dcterms:W3CDTF">2014-05-23T14:22:00Z</dcterms:created>
  <dcterms:modified xsi:type="dcterms:W3CDTF">2014-05-28T11:56:00Z</dcterms:modified>
</cp:coreProperties>
</file>