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41" w:rsidRDefault="00C3780F" w:rsidP="009F79A9">
      <w:pPr>
        <w:pStyle w:val="Heading2"/>
        <w:numPr>
          <w:ilvl w:val="0"/>
          <w:numId w:val="0"/>
        </w:numPr>
        <w:spacing w:after="120" w:line="240" w:lineRule="auto"/>
        <w:ind w:left="578" w:hanging="578"/>
      </w:pPr>
      <w:bookmarkStart w:id="0" w:name="_Appendix_C:_Assessing"/>
      <w:bookmarkStart w:id="1" w:name="_Toc446589111"/>
      <w:bookmarkStart w:id="2" w:name="_Toc435360378"/>
      <w:bookmarkStart w:id="3" w:name="_Toc431480944"/>
      <w:bookmarkEnd w:id="0"/>
      <w:r w:rsidRPr="00D97263">
        <w:rPr>
          <w:rFonts w:cs="Arial"/>
          <w:noProof/>
          <w:sz w:val="24"/>
          <w:szCs w:val="24"/>
          <w:lang w:eastAsia="en-GB"/>
        </w:rPr>
        <w:drawing>
          <wp:anchor distT="0" distB="0" distL="114300" distR="114300" simplePos="0" relativeHeight="251659264" behindDoc="1" locked="0" layoutInCell="1" allowOverlap="1" wp14:anchorId="1F32ABD3" wp14:editId="75F6923E">
            <wp:simplePos x="0" y="0"/>
            <wp:positionH relativeFrom="page">
              <wp:posOffset>6170295</wp:posOffset>
            </wp:positionH>
            <wp:positionV relativeFrom="page">
              <wp:posOffset>162560</wp:posOffset>
            </wp:positionV>
            <wp:extent cx="1155065" cy="719455"/>
            <wp:effectExtent l="0" t="0" r="6985" b="4445"/>
            <wp:wrapTight wrapText="bothSides">
              <wp:wrapPolygon edited="0">
                <wp:start x="3919" y="0"/>
                <wp:lineTo x="3919" y="9151"/>
                <wp:lineTo x="0" y="13154"/>
                <wp:lineTo x="0" y="20018"/>
                <wp:lineTo x="5344" y="21162"/>
                <wp:lineTo x="9262" y="21162"/>
                <wp:lineTo x="21374" y="20018"/>
                <wp:lineTo x="21374" y="0"/>
                <wp:lineTo x="391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5065" cy="719455"/>
                    </a:xfrm>
                    <a:prstGeom prst="rect">
                      <a:avLst/>
                    </a:prstGeom>
                  </pic:spPr>
                </pic:pic>
              </a:graphicData>
            </a:graphic>
            <wp14:sizeRelH relativeFrom="page">
              <wp14:pctWidth>0</wp14:pctWidth>
            </wp14:sizeRelH>
            <wp14:sizeRelV relativeFrom="page">
              <wp14:pctHeight>0</wp14:pctHeight>
            </wp14:sizeRelV>
          </wp:anchor>
        </w:drawing>
      </w:r>
      <w:r w:rsidR="00307AD5">
        <w:t>Appendix C:</w:t>
      </w:r>
      <w:bookmarkEnd w:id="1"/>
      <w:r w:rsidR="00307AD5">
        <w:t xml:space="preserve"> </w:t>
      </w:r>
    </w:p>
    <w:p w:rsidR="00307AD5" w:rsidRDefault="00307AD5" w:rsidP="009F79A9">
      <w:pPr>
        <w:pStyle w:val="Heading2"/>
        <w:numPr>
          <w:ilvl w:val="0"/>
          <w:numId w:val="0"/>
        </w:numPr>
        <w:spacing w:after="120" w:line="240" w:lineRule="auto"/>
        <w:ind w:left="578" w:hanging="578"/>
      </w:pPr>
      <w:bookmarkStart w:id="4" w:name="_Toc446589112"/>
      <w:r w:rsidRPr="0059722E">
        <w:t>Assessing supporting information in context of volume of work</w:t>
      </w:r>
      <w:bookmarkEnd w:id="2"/>
      <w:bookmarkEnd w:id="4"/>
    </w:p>
    <w:tbl>
      <w:tblPr>
        <w:tblStyle w:val="TableGrid1"/>
        <w:tblW w:w="0" w:type="auto"/>
        <w:tblLook w:val="04A0" w:firstRow="1" w:lastRow="0" w:firstColumn="1" w:lastColumn="0" w:noHBand="0" w:noVBand="1"/>
      </w:tblPr>
      <w:tblGrid>
        <w:gridCol w:w="9464"/>
      </w:tblGrid>
      <w:tr w:rsidR="00307AD5" w:rsidRPr="00072745" w:rsidTr="00C3780F">
        <w:trPr>
          <w:trHeight w:val="810"/>
        </w:trPr>
        <w:tc>
          <w:tcPr>
            <w:tcW w:w="9464" w:type="dxa"/>
            <w:tcBorders>
              <w:bottom w:val="single" w:sz="4" w:space="0" w:color="auto"/>
            </w:tcBorders>
          </w:tcPr>
          <w:p w:rsidR="00072745" w:rsidRDefault="00072745" w:rsidP="00591EC2">
            <w:pPr>
              <w:rPr>
                <w:rFonts w:ascii="Arial" w:hAnsi="Arial" w:cs="Arial"/>
                <w:b/>
                <w:sz w:val="24"/>
                <w:szCs w:val="24"/>
              </w:rPr>
            </w:pPr>
          </w:p>
          <w:p w:rsidR="00072745" w:rsidRPr="002B2419" w:rsidRDefault="00307AD5" w:rsidP="002B2419">
            <w:pPr>
              <w:spacing w:line="360" w:lineRule="auto"/>
              <w:rPr>
                <w:rFonts w:ascii="Arial" w:hAnsi="Arial" w:cs="Arial"/>
                <w:b/>
                <w:color w:val="0072C6"/>
                <w:sz w:val="24"/>
                <w:szCs w:val="24"/>
              </w:rPr>
            </w:pPr>
            <w:r w:rsidRPr="002B2419">
              <w:rPr>
                <w:rFonts w:ascii="Arial" w:hAnsi="Arial" w:cs="Arial"/>
                <w:b/>
                <w:color w:val="0072C6"/>
                <w:sz w:val="24"/>
                <w:szCs w:val="24"/>
              </w:rPr>
              <w:t>Function of this appendix</w:t>
            </w:r>
          </w:p>
        </w:tc>
      </w:tr>
      <w:tr w:rsidR="00307AD5" w:rsidRPr="00072745" w:rsidTr="00C3780F">
        <w:tc>
          <w:tcPr>
            <w:tcW w:w="9464" w:type="dxa"/>
            <w:tcBorders>
              <w:bottom w:val="nil"/>
            </w:tcBorders>
          </w:tcPr>
          <w:p w:rsidR="00307AD5" w:rsidRPr="00072745" w:rsidRDefault="00307AD5" w:rsidP="00591EC2">
            <w:pPr>
              <w:rPr>
                <w:rFonts w:ascii="Arial" w:hAnsi="Arial" w:cs="Arial"/>
                <w:sz w:val="24"/>
                <w:szCs w:val="24"/>
              </w:rPr>
            </w:pPr>
            <w:r w:rsidRPr="00072745">
              <w:rPr>
                <w:rFonts w:ascii="Arial" w:hAnsi="Arial" w:cs="Arial"/>
                <w:sz w:val="24"/>
                <w:szCs w:val="24"/>
              </w:rPr>
              <w:t>This appendix sets out advice about the considerations a doctor, their appraiser and their responsible officer* may make in respect of assessing a doctor’s supporting information in the context of the volume of the doctor’s work.</w:t>
            </w:r>
          </w:p>
          <w:p w:rsidR="00307AD5" w:rsidRPr="00072745" w:rsidRDefault="00307AD5" w:rsidP="00591EC2">
            <w:pPr>
              <w:rPr>
                <w:rFonts w:ascii="Arial" w:hAnsi="Arial" w:cs="Arial"/>
                <w:sz w:val="24"/>
                <w:szCs w:val="24"/>
              </w:rPr>
            </w:pPr>
          </w:p>
          <w:p w:rsidR="00307AD5" w:rsidRPr="00072745" w:rsidRDefault="00307AD5" w:rsidP="00591EC2">
            <w:pPr>
              <w:rPr>
                <w:rFonts w:ascii="Arial" w:hAnsi="Arial" w:cs="Arial"/>
                <w:sz w:val="24"/>
                <w:szCs w:val="24"/>
              </w:rPr>
            </w:pPr>
            <w:r w:rsidRPr="00072745">
              <w:rPr>
                <w:rFonts w:ascii="Arial" w:hAnsi="Arial" w:cs="Arial"/>
                <w:sz w:val="24"/>
                <w:szCs w:val="24"/>
              </w:rPr>
              <w:t>There is a generally recognised perspective that for many roles, the greater volume of work a doctor does in the role the easier it is for them to gather sufficient supporting information to demonstrate fitness to practise, and conversely the lower their volume of work the more challenging this is.</w:t>
            </w:r>
          </w:p>
          <w:p w:rsidR="00307AD5" w:rsidRPr="00072745" w:rsidRDefault="00307AD5" w:rsidP="00591EC2">
            <w:pPr>
              <w:rPr>
                <w:rFonts w:ascii="Arial" w:hAnsi="Arial" w:cs="Arial"/>
                <w:sz w:val="24"/>
                <w:szCs w:val="24"/>
              </w:rPr>
            </w:pPr>
          </w:p>
          <w:p w:rsidR="00307AD5" w:rsidRPr="00072745" w:rsidRDefault="00307AD5" w:rsidP="00591EC2">
            <w:pPr>
              <w:rPr>
                <w:rFonts w:ascii="Arial" w:hAnsi="Arial" w:cs="Arial"/>
                <w:sz w:val="24"/>
                <w:szCs w:val="24"/>
              </w:rPr>
            </w:pPr>
            <w:r w:rsidRPr="00072745">
              <w:rPr>
                <w:rFonts w:ascii="Arial" w:hAnsi="Arial" w:cs="Arial"/>
                <w:sz w:val="24"/>
                <w:szCs w:val="24"/>
              </w:rPr>
              <w:t>It is therefore appropriate to make some degree of assessment in respect of a doctor’s volume of work in a role and whether as a result their supporting information is sufficient to permit a revalidation recommendation by the responsible officer.</w:t>
            </w:r>
          </w:p>
          <w:p w:rsidR="00307AD5" w:rsidRPr="00072745" w:rsidRDefault="00307AD5" w:rsidP="00591EC2">
            <w:pPr>
              <w:rPr>
                <w:rFonts w:ascii="Arial" w:hAnsi="Arial" w:cs="Arial"/>
                <w:sz w:val="24"/>
                <w:szCs w:val="24"/>
              </w:rPr>
            </w:pPr>
          </w:p>
          <w:p w:rsidR="00307AD5" w:rsidRPr="00072745" w:rsidRDefault="00307AD5" w:rsidP="00591EC2">
            <w:pPr>
              <w:rPr>
                <w:rFonts w:ascii="Arial" w:hAnsi="Arial" w:cs="Arial"/>
                <w:sz w:val="24"/>
                <w:szCs w:val="24"/>
              </w:rPr>
            </w:pPr>
            <w:r w:rsidRPr="00072745">
              <w:rPr>
                <w:rFonts w:ascii="Arial" w:hAnsi="Arial" w:cs="Arial"/>
                <w:sz w:val="24"/>
                <w:szCs w:val="24"/>
              </w:rPr>
              <w:t>It is not possible to define a generic minimum volume of work applicable to all roles. These matters must be considered on the basis of a spectrum of safety, and so clearly delineated universal categories are neither definable nor appropriate. For many roles an apparently low volume of work is compatible with fitness to practise in that role and will still permit the gathering of an acceptable portfolio of supporting information. Conversely in other roles an apparently greater volume of work may not be compatible with fitness to practise in that role and the gathering of sufficient information to demonstrate this.</w:t>
            </w:r>
          </w:p>
          <w:p w:rsidR="00307AD5" w:rsidRPr="00072745" w:rsidRDefault="00307AD5" w:rsidP="00591EC2">
            <w:pPr>
              <w:rPr>
                <w:rFonts w:ascii="Arial" w:hAnsi="Arial" w:cs="Arial"/>
                <w:sz w:val="24"/>
                <w:szCs w:val="24"/>
              </w:rPr>
            </w:pPr>
          </w:p>
          <w:p w:rsidR="00307AD5" w:rsidRPr="00072745" w:rsidRDefault="00307AD5" w:rsidP="00591EC2">
            <w:pPr>
              <w:rPr>
                <w:rFonts w:ascii="Arial" w:hAnsi="Arial" w:cs="Arial"/>
                <w:sz w:val="24"/>
                <w:szCs w:val="24"/>
              </w:rPr>
            </w:pPr>
            <w:r w:rsidRPr="00072745">
              <w:rPr>
                <w:rFonts w:ascii="Arial" w:hAnsi="Arial" w:cs="Arial"/>
                <w:sz w:val="24"/>
                <w:szCs w:val="24"/>
              </w:rPr>
              <w:t>The professional judgements of the doctor, their appraiser and the responsible officer are key components in each individual circumstance.</w:t>
            </w:r>
          </w:p>
          <w:p w:rsidR="00307AD5" w:rsidRPr="00072745" w:rsidRDefault="00307AD5" w:rsidP="00591EC2">
            <w:pPr>
              <w:rPr>
                <w:rFonts w:ascii="Arial" w:hAnsi="Arial" w:cs="Arial"/>
                <w:sz w:val="24"/>
                <w:szCs w:val="24"/>
              </w:rPr>
            </w:pPr>
          </w:p>
          <w:p w:rsidR="00307AD5" w:rsidRDefault="00307AD5" w:rsidP="00591EC2">
            <w:pPr>
              <w:rPr>
                <w:rFonts w:ascii="Arial" w:hAnsi="Arial" w:cs="Arial"/>
                <w:sz w:val="24"/>
                <w:szCs w:val="24"/>
              </w:rPr>
            </w:pPr>
            <w:r w:rsidRPr="00072745">
              <w:rPr>
                <w:rFonts w:ascii="Arial" w:hAnsi="Arial" w:cs="Arial"/>
                <w:sz w:val="24"/>
                <w:szCs w:val="24"/>
              </w:rPr>
              <w:t>In the interests of clarity, this appendix provides advice to a doctor, their appraiser and their responsible officer primarily on assessing whether the doctor’s volume of work permits them to gather sufficient supporting information, not whether their volume of work indicates fitness to practice or otherwise.</w:t>
            </w:r>
          </w:p>
          <w:p w:rsidR="00307AD5" w:rsidRPr="00072745" w:rsidRDefault="00307AD5" w:rsidP="00591EC2">
            <w:pPr>
              <w:rPr>
                <w:rFonts w:ascii="Arial" w:hAnsi="Arial" w:cs="Arial"/>
                <w:sz w:val="24"/>
                <w:szCs w:val="24"/>
              </w:rPr>
            </w:pPr>
          </w:p>
        </w:tc>
      </w:tr>
      <w:tr w:rsidR="00307AD5" w:rsidRPr="00072745" w:rsidTr="00C3780F">
        <w:tc>
          <w:tcPr>
            <w:tcW w:w="9464" w:type="dxa"/>
            <w:tcBorders>
              <w:top w:val="nil"/>
            </w:tcBorders>
          </w:tcPr>
          <w:p w:rsidR="00307AD5" w:rsidRDefault="00307AD5" w:rsidP="00591EC2">
            <w:pPr>
              <w:rPr>
                <w:rFonts w:ascii="Arial" w:hAnsi="Arial" w:cs="Arial"/>
                <w:b/>
                <w:sz w:val="24"/>
                <w:szCs w:val="24"/>
              </w:rPr>
            </w:pPr>
            <w:r w:rsidRPr="00072745">
              <w:rPr>
                <w:rFonts w:ascii="Arial" w:hAnsi="Arial" w:cs="Arial"/>
                <w:b/>
                <w:sz w:val="24"/>
                <w:szCs w:val="24"/>
              </w:rPr>
              <w:t>In all situations:</w:t>
            </w:r>
          </w:p>
          <w:p w:rsidR="00E43F41" w:rsidRPr="00E43F41" w:rsidRDefault="00E43F41" w:rsidP="00591EC2">
            <w:pPr>
              <w:rPr>
                <w:rFonts w:ascii="Arial" w:hAnsi="Arial" w:cs="Arial"/>
                <w:b/>
                <w:sz w:val="12"/>
                <w:szCs w:val="12"/>
              </w:rPr>
            </w:pPr>
          </w:p>
          <w:p w:rsidR="00307AD5" w:rsidRDefault="00307AD5" w:rsidP="00307AD5">
            <w:pPr>
              <w:numPr>
                <w:ilvl w:val="0"/>
                <w:numId w:val="8"/>
              </w:numPr>
              <w:contextualSpacing/>
              <w:rPr>
                <w:rFonts w:ascii="Arial" w:hAnsi="Arial" w:cs="Arial"/>
                <w:sz w:val="24"/>
                <w:szCs w:val="24"/>
              </w:rPr>
            </w:pPr>
            <w:r w:rsidRPr="00072745">
              <w:rPr>
                <w:rFonts w:ascii="Arial" w:hAnsi="Arial" w:cs="Arial"/>
                <w:sz w:val="24"/>
                <w:szCs w:val="24"/>
              </w:rPr>
              <w:t xml:space="preserve">A full suite of supporting information covering the doctor’s full scope of work is expected, including all six types of information as defined by the GMC (Box 1). </w:t>
            </w:r>
          </w:p>
          <w:p w:rsidR="00072745" w:rsidRPr="00072745" w:rsidRDefault="00072745" w:rsidP="00072745">
            <w:pPr>
              <w:ind w:left="360"/>
              <w:contextualSpacing/>
              <w:rPr>
                <w:rFonts w:ascii="Arial" w:hAnsi="Arial" w:cs="Arial"/>
                <w:sz w:val="12"/>
                <w:szCs w:val="12"/>
              </w:rPr>
            </w:pPr>
          </w:p>
          <w:p w:rsidR="00307AD5" w:rsidRDefault="00307AD5" w:rsidP="00307AD5">
            <w:pPr>
              <w:numPr>
                <w:ilvl w:val="0"/>
                <w:numId w:val="8"/>
              </w:numPr>
              <w:contextualSpacing/>
              <w:rPr>
                <w:rFonts w:ascii="Arial" w:hAnsi="Arial" w:cs="Arial"/>
                <w:sz w:val="24"/>
                <w:szCs w:val="24"/>
              </w:rPr>
            </w:pPr>
            <w:r w:rsidRPr="00072745">
              <w:rPr>
                <w:rFonts w:ascii="Arial" w:hAnsi="Arial" w:cs="Arial"/>
                <w:sz w:val="24"/>
                <w:szCs w:val="24"/>
              </w:rPr>
              <w:t xml:space="preserve">It should not be assumed that a high volume of work in a role automatically implies that the supporting information will be sufficient. </w:t>
            </w:r>
          </w:p>
          <w:p w:rsidR="00072745" w:rsidRPr="00072745" w:rsidRDefault="00072745" w:rsidP="00072745">
            <w:pPr>
              <w:contextualSpacing/>
              <w:rPr>
                <w:rFonts w:ascii="Arial" w:hAnsi="Arial" w:cs="Arial"/>
                <w:sz w:val="12"/>
                <w:szCs w:val="12"/>
              </w:rPr>
            </w:pPr>
          </w:p>
          <w:p w:rsidR="00307AD5" w:rsidRDefault="00307AD5" w:rsidP="00307AD5">
            <w:pPr>
              <w:numPr>
                <w:ilvl w:val="0"/>
                <w:numId w:val="8"/>
              </w:numPr>
              <w:contextualSpacing/>
              <w:rPr>
                <w:rFonts w:ascii="Arial" w:hAnsi="Arial" w:cs="Arial"/>
                <w:sz w:val="24"/>
                <w:szCs w:val="24"/>
              </w:rPr>
            </w:pPr>
            <w:r w:rsidRPr="00072745">
              <w:rPr>
                <w:rFonts w:ascii="Arial" w:hAnsi="Arial" w:cs="Arial"/>
                <w:sz w:val="24"/>
                <w:szCs w:val="24"/>
              </w:rPr>
              <w:t xml:space="preserve">Some crossover of supporting information between areas of scope of work might be appropriate, e.g. a patient and colleague feedback exercise in one area might be sufficient to cover another area. </w:t>
            </w:r>
          </w:p>
          <w:p w:rsidR="00072745" w:rsidRPr="00072745" w:rsidRDefault="00072745" w:rsidP="00072745">
            <w:pPr>
              <w:contextualSpacing/>
              <w:rPr>
                <w:rFonts w:ascii="Arial" w:hAnsi="Arial" w:cs="Arial"/>
                <w:sz w:val="12"/>
                <w:szCs w:val="12"/>
              </w:rPr>
            </w:pPr>
          </w:p>
          <w:p w:rsidR="00307AD5" w:rsidRDefault="00307AD5" w:rsidP="00307AD5">
            <w:pPr>
              <w:numPr>
                <w:ilvl w:val="0"/>
                <w:numId w:val="8"/>
              </w:numPr>
              <w:contextualSpacing/>
              <w:rPr>
                <w:rFonts w:ascii="Arial" w:hAnsi="Arial" w:cs="Arial"/>
                <w:sz w:val="24"/>
                <w:szCs w:val="24"/>
              </w:rPr>
            </w:pPr>
            <w:r w:rsidRPr="00072745">
              <w:rPr>
                <w:rFonts w:ascii="Arial" w:hAnsi="Arial" w:cs="Arial"/>
                <w:sz w:val="24"/>
                <w:szCs w:val="24"/>
              </w:rPr>
              <w:t>The local checklist of agreed expected information should be applied if there is one.</w:t>
            </w:r>
          </w:p>
          <w:p w:rsidR="00072745" w:rsidRPr="00072745" w:rsidRDefault="00072745" w:rsidP="00072745">
            <w:pPr>
              <w:contextualSpacing/>
              <w:rPr>
                <w:rFonts w:ascii="Arial" w:hAnsi="Arial" w:cs="Arial"/>
                <w:sz w:val="12"/>
                <w:szCs w:val="12"/>
              </w:rPr>
            </w:pPr>
          </w:p>
          <w:p w:rsidR="00307AD5" w:rsidRDefault="00307AD5" w:rsidP="00307AD5">
            <w:pPr>
              <w:pStyle w:val="ListParagraph"/>
              <w:numPr>
                <w:ilvl w:val="0"/>
                <w:numId w:val="8"/>
              </w:numPr>
              <w:rPr>
                <w:rFonts w:ascii="Arial" w:hAnsi="Arial" w:cs="Arial"/>
                <w:sz w:val="24"/>
                <w:szCs w:val="24"/>
              </w:rPr>
            </w:pPr>
            <w:r w:rsidRPr="00072745">
              <w:rPr>
                <w:rFonts w:ascii="Arial" w:hAnsi="Arial" w:cs="Arial"/>
                <w:sz w:val="24"/>
                <w:szCs w:val="24"/>
              </w:rPr>
              <w:t xml:space="preserve">The doctor must assess their supporting information as being sufficient to demonstrate fitness to practice in line with GMC requirements, College guidelines and any local requirements prior to submitting their documentation to the appraiser. </w:t>
            </w:r>
          </w:p>
          <w:p w:rsidR="00072745" w:rsidRPr="00072745" w:rsidRDefault="00072745" w:rsidP="00072745">
            <w:pPr>
              <w:rPr>
                <w:rFonts w:ascii="Arial" w:hAnsi="Arial" w:cs="Arial"/>
                <w:sz w:val="12"/>
                <w:szCs w:val="12"/>
              </w:rPr>
            </w:pPr>
          </w:p>
          <w:p w:rsidR="00307AD5" w:rsidRDefault="00307AD5" w:rsidP="00307AD5">
            <w:pPr>
              <w:numPr>
                <w:ilvl w:val="0"/>
                <w:numId w:val="8"/>
              </w:numPr>
              <w:contextualSpacing/>
              <w:rPr>
                <w:rFonts w:ascii="Arial" w:hAnsi="Arial" w:cs="Arial"/>
                <w:sz w:val="24"/>
                <w:szCs w:val="24"/>
              </w:rPr>
            </w:pPr>
            <w:r w:rsidRPr="00072745">
              <w:rPr>
                <w:rFonts w:ascii="Arial" w:hAnsi="Arial" w:cs="Arial"/>
                <w:sz w:val="24"/>
                <w:szCs w:val="24"/>
              </w:rPr>
              <w:t xml:space="preserve">It is good practice for the doctor to consider their fitness to practice in the context of </w:t>
            </w:r>
            <w:r w:rsidRPr="00072745">
              <w:rPr>
                <w:rFonts w:ascii="Arial" w:hAnsi="Arial" w:cs="Arial"/>
                <w:sz w:val="24"/>
                <w:szCs w:val="24"/>
              </w:rPr>
              <w:lastRenderedPageBreak/>
              <w:t>the volume of their work in each of their roles, and note this for discussion with their appraiser if appropriate.</w:t>
            </w:r>
          </w:p>
          <w:p w:rsidR="00072745" w:rsidRPr="00072745" w:rsidRDefault="00072745" w:rsidP="00072745">
            <w:pPr>
              <w:contextualSpacing/>
              <w:rPr>
                <w:rFonts w:ascii="Arial" w:hAnsi="Arial" w:cs="Arial"/>
                <w:sz w:val="12"/>
                <w:szCs w:val="12"/>
              </w:rPr>
            </w:pPr>
          </w:p>
          <w:p w:rsidR="00307AD5" w:rsidRDefault="00307AD5" w:rsidP="00307AD5">
            <w:pPr>
              <w:numPr>
                <w:ilvl w:val="0"/>
                <w:numId w:val="8"/>
              </w:numPr>
              <w:contextualSpacing/>
              <w:rPr>
                <w:rFonts w:ascii="Arial" w:hAnsi="Arial" w:cs="Arial"/>
                <w:sz w:val="24"/>
                <w:szCs w:val="24"/>
              </w:rPr>
            </w:pPr>
            <w:r w:rsidRPr="00072745">
              <w:rPr>
                <w:rFonts w:ascii="Arial" w:hAnsi="Arial" w:cs="Arial"/>
                <w:sz w:val="24"/>
                <w:szCs w:val="24"/>
              </w:rPr>
              <w:t>If the doctor is unable to state with confidence that their supporting information is sufficient they should seek advice from the person with clinical governance responsibility in that area of work, and/or their appraiser, prior to submitting their documentation for appraisal.</w:t>
            </w:r>
          </w:p>
          <w:p w:rsidR="00072745" w:rsidRPr="00072745" w:rsidRDefault="00072745" w:rsidP="00072745">
            <w:pPr>
              <w:contextualSpacing/>
              <w:rPr>
                <w:rFonts w:ascii="Arial" w:hAnsi="Arial" w:cs="Arial"/>
                <w:sz w:val="12"/>
                <w:szCs w:val="12"/>
              </w:rPr>
            </w:pPr>
          </w:p>
          <w:p w:rsidR="00307AD5" w:rsidRDefault="00307AD5" w:rsidP="00307AD5">
            <w:pPr>
              <w:numPr>
                <w:ilvl w:val="0"/>
                <w:numId w:val="8"/>
              </w:numPr>
              <w:contextualSpacing/>
              <w:rPr>
                <w:rFonts w:ascii="Arial" w:hAnsi="Arial" w:cs="Arial"/>
                <w:sz w:val="24"/>
                <w:szCs w:val="24"/>
              </w:rPr>
            </w:pPr>
            <w:r w:rsidRPr="00072745">
              <w:rPr>
                <w:rFonts w:ascii="Arial" w:hAnsi="Arial" w:cs="Arial"/>
                <w:sz w:val="24"/>
                <w:szCs w:val="24"/>
              </w:rPr>
              <w:t>The appraiser must make an assessment that the doctor’s supporting information appears to be sufficient before the appraisal meeting takes place, taking into account GMC requirements, College guidance and any local requirements.</w:t>
            </w:r>
          </w:p>
          <w:p w:rsidR="00072745" w:rsidRPr="00072745" w:rsidRDefault="00072745" w:rsidP="00072745">
            <w:pPr>
              <w:contextualSpacing/>
              <w:rPr>
                <w:rFonts w:ascii="Arial" w:hAnsi="Arial" w:cs="Arial"/>
                <w:sz w:val="12"/>
                <w:szCs w:val="12"/>
              </w:rPr>
            </w:pPr>
          </w:p>
          <w:p w:rsidR="00307AD5" w:rsidRDefault="00307AD5" w:rsidP="00307AD5">
            <w:pPr>
              <w:numPr>
                <w:ilvl w:val="0"/>
                <w:numId w:val="8"/>
              </w:numPr>
              <w:contextualSpacing/>
              <w:rPr>
                <w:rFonts w:ascii="Arial" w:hAnsi="Arial" w:cs="Arial"/>
                <w:sz w:val="24"/>
                <w:szCs w:val="24"/>
              </w:rPr>
            </w:pPr>
            <w:r w:rsidRPr="00072745">
              <w:rPr>
                <w:rFonts w:ascii="Arial" w:hAnsi="Arial" w:cs="Arial"/>
                <w:sz w:val="24"/>
                <w:szCs w:val="24"/>
              </w:rPr>
              <w:t xml:space="preserve">The appraiser may communicate with the doctor and if necessary with the responsible officer prior to appraisal if unable to state with confidence that the supporting information is sufficient. </w:t>
            </w:r>
          </w:p>
          <w:p w:rsidR="00072745" w:rsidRPr="00072745" w:rsidRDefault="00072745" w:rsidP="00072745">
            <w:pPr>
              <w:contextualSpacing/>
              <w:rPr>
                <w:rFonts w:ascii="Arial" w:hAnsi="Arial" w:cs="Arial"/>
                <w:sz w:val="12"/>
                <w:szCs w:val="12"/>
              </w:rPr>
            </w:pPr>
          </w:p>
          <w:p w:rsidR="00307AD5" w:rsidRDefault="00307AD5" w:rsidP="00307AD5">
            <w:pPr>
              <w:numPr>
                <w:ilvl w:val="0"/>
                <w:numId w:val="8"/>
              </w:numPr>
              <w:contextualSpacing/>
              <w:rPr>
                <w:rFonts w:ascii="Arial" w:hAnsi="Arial" w:cs="Arial"/>
                <w:sz w:val="24"/>
                <w:szCs w:val="24"/>
              </w:rPr>
            </w:pPr>
            <w:r w:rsidRPr="00072745">
              <w:rPr>
                <w:rFonts w:ascii="Arial" w:hAnsi="Arial" w:cs="Arial"/>
                <w:sz w:val="24"/>
                <w:szCs w:val="24"/>
              </w:rPr>
              <w:t>The appraisal may need to be postponed until a sufficient portfolio of supporting information is presented by the doctor.</w:t>
            </w:r>
          </w:p>
          <w:p w:rsidR="00072745" w:rsidRPr="00072745" w:rsidRDefault="00072745" w:rsidP="00072745">
            <w:pPr>
              <w:contextualSpacing/>
              <w:rPr>
                <w:rFonts w:ascii="Arial" w:hAnsi="Arial" w:cs="Arial"/>
                <w:sz w:val="12"/>
                <w:szCs w:val="12"/>
              </w:rPr>
            </w:pPr>
          </w:p>
          <w:p w:rsidR="00307AD5" w:rsidRDefault="00307AD5" w:rsidP="00307AD5">
            <w:pPr>
              <w:numPr>
                <w:ilvl w:val="0"/>
                <w:numId w:val="8"/>
              </w:numPr>
              <w:contextualSpacing/>
              <w:rPr>
                <w:rFonts w:ascii="Arial" w:hAnsi="Arial" w:cs="Arial"/>
                <w:sz w:val="24"/>
                <w:szCs w:val="24"/>
              </w:rPr>
            </w:pPr>
            <w:r w:rsidRPr="00072745">
              <w:rPr>
                <w:rFonts w:ascii="Arial" w:hAnsi="Arial" w:cs="Arial"/>
                <w:sz w:val="24"/>
                <w:szCs w:val="24"/>
              </w:rPr>
              <w:t>Factors to consider include:</w:t>
            </w:r>
          </w:p>
          <w:p w:rsidR="00072745" w:rsidRPr="00072745" w:rsidRDefault="00072745" w:rsidP="00072745">
            <w:pPr>
              <w:contextualSpacing/>
              <w:rPr>
                <w:rFonts w:ascii="Arial" w:hAnsi="Arial" w:cs="Arial"/>
                <w:sz w:val="12"/>
                <w:szCs w:val="12"/>
              </w:rPr>
            </w:pPr>
          </w:p>
          <w:p w:rsidR="00307AD5" w:rsidRPr="00072745" w:rsidRDefault="00307AD5" w:rsidP="00E43F41">
            <w:pPr>
              <w:pStyle w:val="ListParagraph"/>
              <w:numPr>
                <w:ilvl w:val="1"/>
                <w:numId w:val="27"/>
              </w:numPr>
              <w:jc w:val="both"/>
              <w:rPr>
                <w:rFonts w:ascii="Arial" w:hAnsi="Arial" w:cs="Arial"/>
                <w:sz w:val="24"/>
                <w:szCs w:val="24"/>
              </w:rPr>
            </w:pPr>
            <w:r w:rsidRPr="00072745">
              <w:rPr>
                <w:rFonts w:ascii="Arial" w:hAnsi="Arial" w:cs="Arial"/>
                <w:sz w:val="24"/>
                <w:szCs w:val="24"/>
              </w:rPr>
              <w:t>The likelihood of risk to patient safety, direct or indirect</w:t>
            </w:r>
          </w:p>
          <w:p w:rsidR="00307AD5" w:rsidRPr="00072745" w:rsidRDefault="00307AD5" w:rsidP="00E43F41">
            <w:pPr>
              <w:pStyle w:val="ListParagraph"/>
              <w:numPr>
                <w:ilvl w:val="1"/>
                <w:numId w:val="27"/>
              </w:numPr>
              <w:jc w:val="both"/>
              <w:rPr>
                <w:rFonts w:ascii="Arial" w:hAnsi="Arial" w:cs="Arial"/>
                <w:sz w:val="24"/>
                <w:szCs w:val="24"/>
              </w:rPr>
            </w:pPr>
            <w:r w:rsidRPr="00072745">
              <w:rPr>
                <w:rFonts w:ascii="Arial" w:hAnsi="Arial" w:cs="Arial"/>
                <w:sz w:val="24"/>
                <w:szCs w:val="24"/>
              </w:rPr>
              <w:t xml:space="preserve">The quality of the information presented by the doctor and the quality of their reflection on it </w:t>
            </w:r>
          </w:p>
          <w:p w:rsidR="00307AD5" w:rsidRPr="00072745" w:rsidRDefault="00307AD5" w:rsidP="00E43F41">
            <w:pPr>
              <w:pStyle w:val="ListParagraph"/>
              <w:numPr>
                <w:ilvl w:val="1"/>
                <w:numId w:val="27"/>
              </w:numPr>
              <w:jc w:val="both"/>
              <w:rPr>
                <w:rFonts w:ascii="Arial" w:hAnsi="Arial" w:cs="Arial"/>
                <w:sz w:val="24"/>
                <w:szCs w:val="24"/>
              </w:rPr>
            </w:pPr>
            <w:r w:rsidRPr="00072745">
              <w:rPr>
                <w:rFonts w:ascii="Arial" w:hAnsi="Arial" w:cs="Arial"/>
                <w:sz w:val="24"/>
                <w:szCs w:val="24"/>
              </w:rPr>
              <w:t>The potential relevance of supporting information presented in relation to other areas of work</w:t>
            </w:r>
          </w:p>
          <w:p w:rsidR="00307AD5" w:rsidRPr="00072745" w:rsidRDefault="00307AD5" w:rsidP="00E43F41">
            <w:pPr>
              <w:pStyle w:val="ListParagraph"/>
              <w:numPr>
                <w:ilvl w:val="1"/>
                <w:numId w:val="27"/>
              </w:numPr>
              <w:jc w:val="both"/>
              <w:rPr>
                <w:rFonts w:ascii="Arial" w:hAnsi="Arial" w:cs="Arial"/>
                <w:sz w:val="24"/>
                <w:szCs w:val="24"/>
              </w:rPr>
            </w:pPr>
            <w:r w:rsidRPr="00072745">
              <w:rPr>
                <w:rFonts w:ascii="Arial" w:hAnsi="Arial" w:cs="Arial"/>
                <w:sz w:val="24"/>
                <w:szCs w:val="24"/>
              </w:rPr>
              <w:t>The degree to which the doctor has successfully compensated for a low volume of work, for example by increasing their level of CPD activity</w:t>
            </w:r>
          </w:p>
          <w:p w:rsidR="00307AD5" w:rsidRPr="00072745" w:rsidRDefault="00307AD5" w:rsidP="00E43F41">
            <w:pPr>
              <w:pStyle w:val="ListParagraph"/>
              <w:numPr>
                <w:ilvl w:val="1"/>
                <w:numId w:val="27"/>
              </w:numPr>
              <w:jc w:val="both"/>
              <w:rPr>
                <w:rFonts w:ascii="Arial" w:hAnsi="Arial" w:cs="Arial"/>
                <w:sz w:val="24"/>
                <w:szCs w:val="24"/>
              </w:rPr>
            </w:pPr>
            <w:r w:rsidRPr="00072745">
              <w:rPr>
                <w:rFonts w:ascii="Arial" w:hAnsi="Arial" w:cs="Arial"/>
                <w:sz w:val="24"/>
                <w:szCs w:val="24"/>
              </w:rPr>
              <w:t>Whether the doctor’s volume of work in the area in question is in keeping with that of other doctors working in the same area</w:t>
            </w:r>
          </w:p>
          <w:p w:rsidR="00307AD5" w:rsidRPr="00072745" w:rsidRDefault="00307AD5" w:rsidP="00E43F41">
            <w:pPr>
              <w:pStyle w:val="ListParagraph"/>
              <w:numPr>
                <w:ilvl w:val="1"/>
                <w:numId w:val="27"/>
              </w:numPr>
              <w:jc w:val="both"/>
              <w:rPr>
                <w:rFonts w:ascii="Arial" w:hAnsi="Arial" w:cs="Arial"/>
                <w:sz w:val="24"/>
                <w:szCs w:val="24"/>
              </w:rPr>
            </w:pPr>
            <w:r w:rsidRPr="00072745">
              <w:rPr>
                <w:rFonts w:ascii="Arial" w:hAnsi="Arial" w:cs="Arial"/>
                <w:sz w:val="24"/>
                <w:szCs w:val="24"/>
              </w:rPr>
              <w:t>Whether, if relevant guidance on the matter exists, for example from a College, the doctor has shown that they are acting in compliance with this or explained why it is not relevant</w:t>
            </w:r>
          </w:p>
          <w:p w:rsidR="00307AD5" w:rsidRPr="00072745" w:rsidRDefault="00307AD5" w:rsidP="00E43F41">
            <w:pPr>
              <w:pStyle w:val="ListParagraph"/>
              <w:numPr>
                <w:ilvl w:val="1"/>
                <w:numId w:val="27"/>
              </w:numPr>
              <w:jc w:val="both"/>
              <w:rPr>
                <w:rFonts w:ascii="Arial" w:hAnsi="Arial" w:cs="Arial"/>
                <w:sz w:val="24"/>
                <w:szCs w:val="24"/>
              </w:rPr>
            </w:pPr>
            <w:r w:rsidRPr="00072745">
              <w:rPr>
                <w:rFonts w:ascii="Arial" w:hAnsi="Arial" w:cs="Arial"/>
                <w:sz w:val="24"/>
                <w:szCs w:val="24"/>
              </w:rPr>
              <w:t>The level of proactivity exhibited by the doctor in terms of seeking out help and advice on how to demonstrate their fitness to practise</w:t>
            </w:r>
          </w:p>
          <w:p w:rsidR="00307AD5" w:rsidRPr="00072745" w:rsidRDefault="00307AD5" w:rsidP="00E43F41">
            <w:pPr>
              <w:pStyle w:val="ListParagraph"/>
              <w:numPr>
                <w:ilvl w:val="1"/>
                <w:numId w:val="27"/>
              </w:numPr>
              <w:jc w:val="both"/>
              <w:rPr>
                <w:rFonts w:ascii="Arial" w:hAnsi="Arial" w:cs="Arial"/>
                <w:sz w:val="24"/>
                <w:szCs w:val="24"/>
              </w:rPr>
            </w:pPr>
            <w:r w:rsidRPr="00072745">
              <w:rPr>
                <w:rFonts w:ascii="Arial" w:hAnsi="Arial" w:cs="Arial"/>
                <w:sz w:val="24"/>
                <w:szCs w:val="24"/>
              </w:rPr>
              <w:t>Whether previous discussions at appraisal and elsewhere have addressed the issue, and whether the doctor has acted in accordance with the agreed approach.</w:t>
            </w:r>
          </w:p>
          <w:p w:rsidR="00307AD5" w:rsidRPr="00072745" w:rsidRDefault="00307AD5" w:rsidP="00591EC2">
            <w:pPr>
              <w:contextualSpacing/>
              <w:rPr>
                <w:rFonts w:ascii="Arial" w:hAnsi="Arial" w:cs="Arial"/>
                <w:sz w:val="24"/>
                <w:szCs w:val="24"/>
              </w:rPr>
            </w:pPr>
          </w:p>
          <w:p w:rsidR="00307AD5" w:rsidRPr="009064B4" w:rsidRDefault="00307AD5" w:rsidP="00591EC2">
            <w:pPr>
              <w:contextualSpacing/>
              <w:rPr>
                <w:rFonts w:ascii="Arial" w:hAnsi="Arial" w:cs="Arial"/>
                <w:b/>
                <w:sz w:val="24"/>
                <w:szCs w:val="24"/>
              </w:rPr>
            </w:pPr>
            <w:r w:rsidRPr="009064B4">
              <w:rPr>
                <w:rFonts w:ascii="Arial" w:hAnsi="Arial" w:cs="Arial"/>
                <w:b/>
                <w:sz w:val="24"/>
                <w:szCs w:val="24"/>
              </w:rPr>
              <w:t>Communication to the responsible officer:</w:t>
            </w:r>
          </w:p>
          <w:p w:rsidR="009064B4" w:rsidRPr="009064B4" w:rsidRDefault="009064B4" w:rsidP="00591EC2">
            <w:pPr>
              <w:contextualSpacing/>
              <w:rPr>
                <w:rFonts w:ascii="Arial" w:hAnsi="Arial" w:cs="Arial"/>
                <w:sz w:val="12"/>
                <w:szCs w:val="12"/>
              </w:rPr>
            </w:pPr>
          </w:p>
          <w:p w:rsidR="00307AD5" w:rsidRDefault="00307AD5" w:rsidP="00307AD5">
            <w:pPr>
              <w:numPr>
                <w:ilvl w:val="0"/>
                <w:numId w:val="8"/>
              </w:numPr>
              <w:contextualSpacing/>
              <w:rPr>
                <w:rFonts w:ascii="Arial" w:hAnsi="Arial" w:cs="Arial"/>
                <w:sz w:val="24"/>
                <w:szCs w:val="24"/>
              </w:rPr>
            </w:pPr>
            <w:r w:rsidRPr="00072745">
              <w:rPr>
                <w:rFonts w:ascii="Arial" w:hAnsi="Arial" w:cs="Arial"/>
                <w:sz w:val="24"/>
                <w:szCs w:val="24"/>
              </w:rPr>
              <w:t>It may be appropriate to include a comment on the impact of the doctor’s volume of work in one or more areas of their scope of work in the appraisal outputs.</w:t>
            </w:r>
          </w:p>
          <w:p w:rsidR="00E43F41" w:rsidRPr="00E43F41" w:rsidRDefault="00E43F41" w:rsidP="00E43F41">
            <w:pPr>
              <w:ind w:left="360"/>
              <w:contextualSpacing/>
              <w:rPr>
                <w:rFonts w:ascii="Arial" w:hAnsi="Arial" w:cs="Arial"/>
                <w:sz w:val="12"/>
                <w:szCs w:val="12"/>
              </w:rPr>
            </w:pPr>
          </w:p>
          <w:p w:rsidR="00072745" w:rsidRDefault="00307AD5" w:rsidP="00E43F41">
            <w:pPr>
              <w:numPr>
                <w:ilvl w:val="0"/>
                <w:numId w:val="8"/>
              </w:numPr>
              <w:contextualSpacing/>
              <w:rPr>
                <w:rFonts w:ascii="Arial" w:hAnsi="Arial" w:cs="Arial"/>
                <w:sz w:val="24"/>
                <w:szCs w:val="24"/>
              </w:rPr>
            </w:pPr>
            <w:r w:rsidRPr="00072745">
              <w:rPr>
                <w:rFonts w:ascii="Arial" w:hAnsi="Arial" w:cs="Arial"/>
                <w:sz w:val="24"/>
                <w:szCs w:val="24"/>
              </w:rPr>
              <w:t>The appraiser may on occasion find it helpful to discuss the matter with the responsible officer, prior to and/or after the appraisal meeting, before signing off the appraisal outputs.</w:t>
            </w:r>
          </w:p>
          <w:p w:rsidR="002B2419" w:rsidRPr="00E43F41" w:rsidRDefault="002B2419" w:rsidP="002B2419">
            <w:pPr>
              <w:contextualSpacing/>
              <w:rPr>
                <w:rFonts w:ascii="Arial" w:hAnsi="Arial" w:cs="Arial"/>
                <w:sz w:val="24"/>
                <w:szCs w:val="24"/>
              </w:rPr>
            </w:pPr>
          </w:p>
        </w:tc>
      </w:tr>
      <w:tr w:rsidR="00307AD5" w:rsidRPr="00072745" w:rsidTr="00C3780F">
        <w:trPr>
          <w:trHeight w:val="861"/>
        </w:trPr>
        <w:tc>
          <w:tcPr>
            <w:tcW w:w="9464" w:type="dxa"/>
          </w:tcPr>
          <w:p w:rsidR="00E43F41" w:rsidRDefault="00E43F41" w:rsidP="00591EC2">
            <w:pPr>
              <w:rPr>
                <w:rFonts w:ascii="Arial" w:hAnsi="Arial" w:cs="Arial"/>
                <w:b/>
                <w:sz w:val="24"/>
                <w:szCs w:val="24"/>
              </w:rPr>
            </w:pPr>
          </w:p>
          <w:p w:rsidR="00072745" w:rsidRPr="002B2419" w:rsidRDefault="00307AD5" w:rsidP="002B2419">
            <w:pPr>
              <w:spacing w:line="360" w:lineRule="auto"/>
              <w:rPr>
                <w:rFonts w:ascii="Arial" w:hAnsi="Arial" w:cs="Arial"/>
                <w:b/>
                <w:color w:val="0072C6"/>
                <w:sz w:val="24"/>
                <w:szCs w:val="24"/>
              </w:rPr>
            </w:pPr>
            <w:r w:rsidRPr="002B2419">
              <w:rPr>
                <w:rFonts w:ascii="Arial" w:hAnsi="Arial" w:cs="Arial"/>
                <w:b/>
                <w:color w:val="0072C6"/>
                <w:sz w:val="24"/>
                <w:szCs w:val="24"/>
              </w:rPr>
              <w:t xml:space="preserve">When a doctor’s volume of work is low </w:t>
            </w:r>
          </w:p>
        </w:tc>
      </w:tr>
      <w:tr w:rsidR="00307AD5" w:rsidRPr="00072745" w:rsidTr="00C3780F">
        <w:tc>
          <w:tcPr>
            <w:tcW w:w="9464" w:type="dxa"/>
          </w:tcPr>
          <w:p w:rsidR="00307AD5" w:rsidRPr="009064B4" w:rsidRDefault="00307AD5" w:rsidP="00591EC2">
            <w:pPr>
              <w:rPr>
                <w:rFonts w:ascii="Arial" w:hAnsi="Arial" w:cs="Arial"/>
                <w:b/>
                <w:sz w:val="24"/>
                <w:szCs w:val="24"/>
              </w:rPr>
            </w:pPr>
            <w:r w:rsidRPr="009064B4">
              <w:rPr>
                <w:rFonts w:ascii="Arial" w:hAnsi="Arial" w:cs="Arial"/>
                <w:b/>
                <w:sz w:val="24"/>
                <w:szCs w:val="24"/>
              </w:rPr>
              <w:t>Suggested approach:</w:t>
            </w:r>
          </w:p>
          <w:p w:rsidR="00E43F41" w:rsidRPr="00E43F41" w:rsidRDefault="00E43F41" w:rsidP="00591EC2">
            <w:pPr>
              <w:rPr>
                <w:rFonts w:ascii="Arial" w:hAnsi="Arial" w:cs="Arial"/>
                <w:sz w:val="12"/>
                <w:szCs w:val="12"/>
              </w:rPr>
            </w:pPr>
          </w:p>
          <w:p w:rsidR="00307AD5" w:rsidRDefault="00307AD5" w:rsidP="00307AD5">
            <w:pPr>
              <w:numPr>
                <w:ilvl w:val="0"/>
                <w:numId w:val="9"/>
              </w:numPr>
              <w:contextualSpacing/>
              <w:rPr>
                <w:rFonts w:ascii="Arial" w:hAnsi="Arial" w:cs="Arial"/>
                <w:sz w:val="24"/>
                <w:szCs w:val="24"/>
              </w:rPr>
            </w:pPr>
            <w:r w:rsidRPr="00072745">
              <w:rPr>
                <w:rFonts w:ascii="Arial" w:hAnsi="Arial" w:cs="Arial"/>
                <w:sz w:val="24"/>
                <w:szCs w:val="24"/>
              </w:rPr>
              <w:t xml:space="preserve">In many professional roles a doctor whose volume of work is low will still find it straightforward to gather a portfolio of supporting information, which the appraiser can confirm is sufficient to demonstrate fitness to practise in line with GMC </w:t>
            </w:r>
            <w:r w:rsidRPr="00072745">
              <w:rPr>
                <w:rFonts w:ascii="Arial" w:hAnsi="Arial" w:cs="Arial"/>
                <w:sz w:val="24"/>
                <w:szCs w:val="24"/>
              </w:rPr>
              <w:lastRenderedPageBreak/>
              <w:t xml:space="preserve">requirements. </w:t>
            </w:r>
          </w:p>
          <w:p w:rsidR="00E43F41" w:rsidRPr="00E43F41" w:rsidRDefault="00E43F41" w:rsidP="00E43F41">
            <w:pPr>
              <w:ind w:left="360"/>
              <w:contextualSpacing/>
              <w:rPr>
                <w:rFonts w:ascii="Arial" w:hAnsi="Arial" w:cs="Arial"/>
                <w:sz w:val="12"/>
                <w:szCs w:val="12"/>
              </w:rPr>
            </w:pPr>
          </w:p>
          <w:p w:rsidR="00307AD5" w:rsidRDefault="00307AD5" w:rsidP="00307AD5">
            <w:pPr>
              <w:numPr>
                <w:ilvl w:val="0"/>
                <w:numId w:val="9"/>
              </w:numPr>
              <w:contextualSpacing/>
              <w:rPr>
                <w:rFonts w:ascii="Arial" w:hAnsi="Arial" w:cs="Arial"/>
                <w:sz w:val="24"/>
                <w:szCs w:val="24"/>
              </w:rPr>
            </w:pPr>
            <w:r w:rsidRPr="00072745">
              <w:rPr>
                <w:rFonts w:ascii="Arial" w:hAnsi="Arial" w:cs="Arial"/>
                <w:sz w:val="24"/>
                <w:szCs w:val="24"/>
              </w:rPr>
              <w:t xml:space="preserve">However, as the volume of work diminishes a doctor and their appraiser should to start to bear the potential implications of this in mind. As the doctor’s volume of work continues to drop they may find it increasingly challenging to gather sufficient supporting evidence, perhaps particularly in respect of quality improvement activities and feedback from patients and colleagues. Increasing care will be required to ensure that their supporting information is sufficient to demonstrate fitness to practice. This may include the presentation of sufficient CPD activities to counterbalance reduced professional exposure in that area. </w:t>
            </w:r>
          </w:p>
          <w:p w:rsidR="00E43F41" w:rsidRPr="00E43F41" w:rsidRDefault="00E43F41" w:rsidP="00E43F41">
            <w:pPr>
              <w:contextualSpacing/>
              <w:rPr>
                <w:rFonts w:ascii="Arial" w:hAnsi="Arial" w:cs="Arial"/>
                <w:sz w:val="12"/>
                <w:szCs w:val="12"/>
              </w:rPr>
            </w:pPr>
          </w:p>
          <w:p w:rsidR="00307AD5" w:rsidRDefault="00307AD5" w:rsidP="00307AD5">
            <w:pPr>
              <w:numPr>
                <w:ilvl w:val="0"/>
                <w:numId w:val="9"/>
              </w:numPr>
              <w:contextualSpacing/>
              <w:rPr>
                <w:rFonts w:ascii="Arial" w:hAnsi="Arial" w:cs="Arial"/>
                <w:sz w:val="24"/>
                <w:szCs w:val="24"/>
              </w:rPr>
            </w:pPr>
            <w:r w:rsidRPr="00072745">
              <w:rPr>
                <w:rFonts w:ascii="Arial" w:hAnsi="Arial" w:cs="Arial"/>
                <w:sz w:val="24"/>
                <w:szCs w:val="24"/>
              </w:rPr>
              <w:t>The doctor should be increasingly prepared to refer to the implications of their volume of work in their appraisal submission using the factors above to frame the discussion.</w:t>
            </w:r>
          </w:p>
          <w:p w:rsidR="00E43F41" w:rsidRPr="00E43F41" w:rsidRDefault="00E43F41" w:rsidP="00E43F41">
            <w:pPr>
              <w:contextualSpacing/>
              <w:rPr>
                <w:rFonts w:ascii="Arial" w:hAnsi="Arial" w:cs="Arial"/>
                <w:sz w:val="12"/>
                <w:szCs w:val="12"/>
              </w:rPr>
            </w:pPr>
          </w:p>
          <w:p w:rsidR="00307AD5" w:rsidRDefault="00307AD5" w:rsidP="00307AD5">
            <w:pPr>
              <w:numPr>
                <w:ilvl w:val="0"/>
                <w:numId w:val="9"/>
              </w:numPr>
              <w:contextualSpacing/>
              <w:rPr>
                <w:rFonts w:ascii="Arial" w:hAnsi="Arial" w:cs="Arial"/>
                <w:sz w:val="24"/>
                <w:szCs w:val="24"/>
              </w:rPr>
            </w:pPr>
            <w:r w:rsidRPr="00072745">
              <w:rPr>
                <w:rFonts w:ascii="Arial" w:hAnsi="Arial" w:cs="Arial"/>
                <w:sz w:val="24"/>
                <w:szCs w:val="24"/>
              </w:rPr>
              <w:t>The appraiser should be increasingly ready to raise the matter on review of the doctor’s portfolio prior to the appraisal or at the appraisal meeting, whether or not the doctor has referred to it in the submission.</w:t>
            </w:r>
          </w:p>
          <w:p w:rsidR="00E43F41" w:rsidRPr="00E43F41" w:rsidRDefault="00E43F41" w:rsidP="00E43F41">
            <w:pPr>
              <w:contextualSpacing/>
              <w:rPr>
                <w:rFonts w:ascii="Arial" w:hAnsi="Arial" w:cs="Arial"/>
                <w:sz w:val="12"/>
                <w:szCs w:val="12"/>
              </w:rPr>
            </w:pPr>
          </w:p>
          <w:p w:rsidR="00307AD5" w:rsidRDefault="00307AD5" w:rsidP="00307AD5">
            <w:pPr>
              <w:numPr>
                <w:ilvl w:val="0"/>
                <w:numId w:val="9"/>
              </w:numPr>
              <w:contextualSpacing/>
              <w:rPr>
                <w:rFonts w:ascii="Arial" w:hAnsi="Arial" w:cs="Arial"/>
                <w:sz w:val="24"/>
                <w:szCs w:val="24"/>
              </w:rPr>
            </w:pPr>
            <w:r w:rsidRPr="00072745">
              <w:rPr>
                <w:rFonts w:ascii="Arial" w:hAnsi="Arial" w:cs="Arial"/>
                <w:sz w:val="24"/>
                <w:szCs w:val="24"/>
              </w:rPr>
              <w:t>Both doctor and appraiser should be increasingly proactive about discussing the matter at appraisal.</w:t>
            </w:r>
          </w:p>
          <w:p w:rsidR="00E43F41" w:rsidRPr="00E43F41" w:rsidRDefault="00E43F41" w:rsidP="00E43F41">
            <w:pPr>
              <w:contextualSpacing/>
              <w:rPr>
                <w:rFonts w:ascii="Arial" w:hAnsi="Arial" w:cs="Arial"/>
                <w:sz w:val="12"/>
                <w:szCs w:val="12"/>
              </w:rPr>
            </w:pPr>
          </w:p>
          <w:p w:rsidR="00307AD5" w:rsidRPr="00072745" w:rsidRDefault="00307AD5" w:rsidP="00307AD5">
            <w:pPr>
              <w:numPr>
                <w:ilvl w:val="0"/>
                <w:numId w:val="9"/>
              </w:numPr>
              <w:contextualSpacing/>
              <w:rPr>
                <w:rFonts w:ascii="Arial" w:hAnsi="Arial" w:cs="Arial"/>
                <w:sz w:val="24"/>
                <w:szCs w:val="24"/>
              </w:rPr>
            </w:pPr>
            <w:r w:rsidRPr="00072745">
              <w:rPr>
                <w:rFonts w:ascii="Arial" w:hAnsi="Arial" w:cs="Arial"/>
                <w:sz w:val="24"/>
                <w:szCs w:val="24"/>
              </w:rPr>
              <w:t xml:space="preserve">It will become progressively more important to refer to the possible implications of the doctor’s volume of work in the appraisal outputs, especially when the volume of work diminishes to very low levels. </w:t>
            </w:r>
          </w:p>
          <w:p w:rsidR="00307AD5" w:rsidRPr="00072745" w:rsidRDefault="00307AD5" w:rsidP="00591EC2">
            <w:pPr>
              <w:rPr>
                <w:rFonts w:ascii="Arial" w:hAnsi="Arial" w:cs="Arial"/>
                <w:sz w:val="24"/>
                <w:szCs w:val="24"/>
              </w:rPr>
            </w:pPr>
          </w:p>
          <w:p w:rsidR="00E43F41" w:rsidRPr="002B2419" w:rsidRDefault="00307AD5" w:rsidP="00591EC2">
            <w:pPr>
              <w:rPr>
                <w:rFonts w:ascii="Arial" w:hAnsi="Arial" w:cs="Arial"/>
                <w:b/>
                <w:sz w:val="24"/>
                <w:szCs w:val="24"/>
              </w:rPr>
            </w:pPr>
            <w:r w:rsidRPr="002B2419">
              <w:rPr>
                <w:rFonts w:ascii="Arial" w:hAnsi="Arial" w:cs="Arial"/>
                <w:b/>
                <w:sz w:val="24"/>
                <w:szCs w:val="24"/>
              </w:rPr>
              <w:t>Communication to the  responsible officer:</w:t>
            </w:r>
          </w:p>
          <w:p w:rsidR="00E43F41" w:rsidRPr="00E43F41" w:rsidRDefault="00E43F41" w:rsidP="00591EC2">
            <w:pPr>
              <w:rPr>
                <w:rFonts w:ascii="Arial" w:hAnsi="Arial" w:cs="Arial"/>
                <w:sz w:val="12"/>
                <w:szCs w:val="12"/>
              </w:rPr>
            </w:pPr>
          </w:p>
          <w:p w:rsidR="00307AD5" w:rsidRDefault="00307AD5" w:rsidP="00307AD5">
            <w:pPr>
              <w:pStyle w:val="ListParagraph"/>
              <w:numPr>
                <w:ilvl w:val="0"/>
                <w:numId w:val="26"/>
              </w:numPr>
              <w:rPr>
                <w:rFonts w:ascii="Arial" w:hAnsi="Arial" w:cs="Arial"/>
                <w:sz w:val="24"/>
                <w:szCs w:val="24"/>
              </w:rPr>
            </w:pPr>
            <w:r w:rsidRPr="00072745">
              <w:rPr>
                <w:rFonts w:ascii="Arial" w:hAnsi="Arial" w:cs="Arial"/>
                <w:sz w:val="24"/>
                <w:szCs w:val="24"/>
              </w:rPr>
              <w:t>Communication via the appraisal outputs will be sufficient in many cases.</w:t>
            </w:r>
          </w:p>
          <w:p w:rsidR="00E43F41" w:rsidRPr="00E43F41" w:rsidRDefault="00E43F41" w:rsidP="00E43F41">
            <w:pPr>
              <w:pStyle w:val="ListParagraph"/>
              <w:ind w:left="360"/>
              <w:rPr>
                <w:rFonts w:ascii="Arial" w:hAnsi="Arial" w:cs="Arial"/>
                <w:sz w:val="12"/>
                <w:szCs w:val="12"/>
              </w:rPr>
            </w:pPr>
          </w:p>
          <w:p w:rsidR="00307AD5" w:rsidRDefault="00307AD5" w:rsidP="00307AD5">
            <w:pPr>
              <w:pStyle w:val="ListParagraph"/>
              <w:numPr>
                <w:ilvl w:val="0"/>
                <w:numId w:val="26"/>
              </w:numPr>
              <w:rPr>
                <w:rFonts w:ascii="Arial" w:hAnsi="Arial" w:cs="Arial"/>
                <w:sz w:val="24"/>
                <w:szCs w:val="24"/>
              </w:rPr>
            </w:pPr>
            <w:r w:rsidRPr="00072745">
              <w:rPr>
                <w:rFonts w:ascii="Arial" w:hAnsi="Arial" w:cs="Arial"/>
                <w:sz w:val="24"/>
                <w:szCs w:val="24"/>
              </w:rPr>
              <w:t>The appraiser will find it increasingly appropriate to discuss the matter with the responsible officer, prior to and/or after the appraisal meeting, before signing off the appraisal outputs, especially when the volume of work diminishes to very low levels.</w:t>
            </w:r>
          </w:p>
          <w:p w:rsidR="00E43F41" w:rsidRPr="00E43F41" w:rsidRDefault="00E43F41" w:rsidP="00E43F41">
            <w:pPr>
              <w:rPr>
                <w:rFonts w:cs="Arial"/>
                <w:szCs w:val="24"/>
              </w:rPr>
            </w:pPr>
          </w:p>
        </w:tc>
      </w:tr>
    </w:tbl>
    <w:p w:rsidR="00307AD5" w:rsidRDefault="00307AD5" w:rsidP="00307AD5">
      <w:pPr>
        <w:rPr>
          <w:rFonts w:cs="Arial"/>
          <w:szCs w:val="24"/>
        </w:rPr>
      </w:pPr>
    </w:p>
    <w:p w:rsidR="00307AD5" w:rsidRDefault="00307AD5" w:rsidP="00307AD5">
      <w:pPr>
        <w:rPr>
          <w:rFonts w:cs="Arial"/>
          <w:szCs w:val="24"/>
        </w:rPr>
      </w:pPr>
      <w:r w:rsidRPr="00AC65A5">
        <w:rPr>
          <w:rFonts w:cs="Arial"/>
          <w:szCs w:val="24"/>
        </w:rPr>
        <w:t>*The term ‘responsible officer’ includes the responsible officer or other person with delegated responsibility</w:t>
      </w:r>
      <w:r>
        <w:rPr>
          <w:rFonts w:cs="Arial"/>
          <w:szCs w:val="24"/>
        </w:rPr>
        <w:t xml:space="preserve"> (this may in</w:t>
      </w:r>
      <w:r w:rsidRPr="00AC65A5">
        <w:rPr>
          <w:rFonts w:cs="Arial"/>
          <w:szCs w:val="24"/>
        </w:rPr>
        <w:t>clude a revalidation or appraisal lead, or a senior appraiser</w:t>
      </w:r>
      <w:r>
        <w:rPr>
          <w:rFonts w:cs="Arial"/>
          <w:szCs w:val="24"/>
        </w:rPr>
        <w:t>), or GMC-approved ‘suitable person’ or other appropriate GMC personnel (where the doctor’s revalidation is directly managed by the GMC)</w:t>
      </w:r>
      <w:r w:rsidRPr="00AC65A5">
        <w:rPr>
          <w:rFonts w:cs="Arial"/>
          <w:szCs w:val="24"/>
        </w:rPr>
        <w:t>.</w:t>
      </w:r>
    </w:p>
    <w:p w:rsidR="00EC20BF" w:rsidRDefault="00EC20BF" w:rsidP="00EC20BF">
      <w:pPr>
        <w:jc w:val="center"/>
        <w:rPr>
          <w:rFonts w:eastAsia="Calibri" w:cs="Arial"/>
          <w:b/>
          <w:szCs w:val="28"/>
        </w:rPr>
      </w:pPr>
    </w:p>
    <w:p w:rsidR="00802906" w:rsidRDefault="00802906" w:rsidP="00EC20BF">
      <w:pPr>
        <w:jc w:val="center"/>
        <w:rPr>
          <w:rFonts w:eastAsia="Calibri" w:cs="Arial"/>
          <w:b/>
          <w:szCs w:val="28"/>
        </w:rPr>
      </w:pPr>
    </w:p>
    <w:p w:rsidR="00802906" w:rsidRDefault="00802906" w:rsidP="00EC20BF">
      <w:pPr>
        <w:jc w:val="center"/>
        <w:rPr>
          <w:rFonts w:eastAsia="Calibri" w:cs="Arial"/>
          <w:b/>
          <w:szCs w:val="28"/>
        </w:rPr>
      </w:pPr>
    </w:p>
    <w:p w:rsidR="00C3780F" w:rsidRDefault="00C3780F" w:rsidP="00EC20BF">
      <w:pPr>
        <w:jc w:val="center"/>
        <w:rPr>
          <w:rFonts w:eastAsia="Calibri" w:cs="Arial"/>
          <w:b/>
          <w:szCs w:val="28"/>
        </w:rPr>
      </w:pPr>
    </w:p>
    <w:p w:rsidR="00C3780F" w:rsidRDefault="00C3780F" w:rsidP="00EC20BF">
      <w:pPr>
        <w:jc w:val="center"/>
        <w:rPr>
          <w:rFonts w:eastAsia="Calibri" w:cs="Arial"/>
          <w:b/>
          <w:szCs w:val="28"/>
        </w:rPr>
      </w:pPr>
    </w:p>
    <w:p w:rsidR="00C3780F" w:rsidRDefault="00C3780F" w:rsidP="00C3780F">
      <w:pPr>
        <w:rPr>
          <w:color w:val="BFBFBF" w:themeColor="background1" w:themeShade="BF"/>
          <w:sz w:val="22"/>
          <w:szCs w:val="22"/>
        </w:rPr>
      </w:pPr>
      <w:bookmarkStart w:id="5" w:name="_Toc431480945"/>
      <w:bookmarkEnd w:id="3"/>
      <w:r w:rsidRPr="00F6017B">
        <w:rPr>
          <w:color w:val="BFBFBF" w:themeColor="background1" w:themeShade="BF"/>
          <w:sz w:val="22"/>
          <w:szCs w:val="22"/>
        </w:rPr>
        <w:t>The NHS Commissioning Board (NHS CB) was established on 1 October 2012 as an executive non-departmental public body.  Since 1 April 2013, the NHS Commissioning Board has used the name NHS England for operational purposes.</w:t>
      </w:r>
    </w:p>
    <w:p w:rsidR="00C3780F" w:rsidRPr="00F6017B" w:rsidRDefault="00C3780F" w:rsidP="00C3780F">
      <w:pPr>
        <w:rPr>
          <w:sz w:val="22"/>
          <w:szCs w:val="22"/>
        </w:rPr>
      </w:pPr>
    </w:p>
    <w:p w:rsidR="00C3780F" w:rsidRPr="00F6017B" w:rsidRDefault="00C3780F" w:rsidP="00C3780F">
      <w:pPr>
        <w:rPr>
          <w:i/>
          <w:color w:val="CC0099"/>
          <w:sz w:val="22"/>
          <w:szCs w:val="22"/>
        </w:rPr>
      </w:pPr>
      <w:r w:rsidRPr="00F6017B">
        <w:rPr>
          <w:i/>
          <w:color w:val="CC0099"/>
          <w:sz w:val="22"/>
          <w:szCs w:val="22"/>
        </w:rPr>
        <w:t xml:space="preserve">This form has been extracted from, and should be used in accordance with, the NHS England Improving the Inputs to Medical Appraisal document, April 2016, Annex </w:t>
      </w:r>
      <w:r>
        <w:rPr>
          <w:i/>
          <w:color w:val="CC0099"/>
          <w:sz w:val="22"/>
          <w:szCs w:val="22"/>
        </w:rPr>
        <w:t>C</w:t>
      </w:r>
      <w:r w:rsidRPr="00F6017B">
        <w:rPr>
          <w:i/>
          <w:color w:val="CC0099"/>
          <w:sz w:val="22"/>
          <w:szCs w:val="22"/>
        </w:rPr>
        <w:t xml:space="preserve">: </w:t>
      </w:r>
      <w:r w:rsidRPr="00C3780F">
        <w:rPr>
          <w:i/>
          <w:color w:val="CC0099"/>
          <w:sz w:val="22"/>
          <w:szCs w:val="22"/>
        </w:rPr>
        <w:t>Assessing supporting information in context of volume of work</w:t>
      </w:r>
      <w:r w:rsidRPr="00F6017B">
        <w:rPr>
          <w:i/>
          <w:color w:val="CC0099"/>
          <w:sz w:val="22"/>
          <w:szCs w:val="22"/>
        </w:rPr>
        <w:t xml:space="preserve">, available here: </w:t>
      </w:r>
      <w:hyperlink r:id="rId14" w:history="1">
        <w:r w:rsidRPr="00F6017B">
          <w:rPr>
            <w:rStyle w:val="Hyperlink"/>
            <w:i/>
            <w:sz w:val="22"/>
            <w:szCs w:val="22"/>
          </w:rPr>
          <w:t>https://www.england.nhs.uk/revalidation/appraisers/improving-the-inputs-to-medical-appraisal/</w:t>
        </w:r>
      </w:hyperlink>
      <w:r w:rsidRPr="00F6017B">
        <w:rPr>
          <w:i/>
          <w:color w:val="CC0099"/>
          <w:sz w:val="22"/>
          <w:szCs w:val="22"/>
        </w:rPr>
        <w:t xml:space="preserve">  </w:t>
      </w:r>
    </w:p>
    <w:p w:rsidR="00C3780F" w:rsidRPr="00F6017B" w:rsidRDefault="00C3780F" w:rsidP="00C3780F">
      <w:pPr>
        <w:rPr>
          <w:i/>
          <w:color w:val="CC0099"/>
          <w:szCs w:val="24"/>
        </w:rPr>
      </w:pPr>
    </w:p>
    <w:p w:rsidR="00C3780F" w:rsidRPr="00F6017B" w:rsidRDefault="00C3780F" w:rsidP="00C3780F">
      <w:pPr>
        <w:jc w:val="right"/>
        <w:rPr>
          <w:i/>
          <w:szCs w:val="24"/>
        </w:rPr>
      </w:pPr>
      <w:r w:rsidRPr="00F6017B">
        <w:rPr>
          <w:i/>
          <w:szCs w:val="24"/>
        </w:rPr>
        <w:t>High quality care for all, now and for future generations.</w:t>
      </w:r>
    </w:p>
    <w:p w:rsidR="00975326" w:rsidRDefault="00975326" w:rsidP="003D30BA">
      <w:pPr>
        <w:rPr>
          <w:b/>
          <w:iCs/>
          <w:color w:val="A00054"/>
          <w:sz w:val="28"/>
          <w:szCs w:val="28"/>
        </w:rPr>
      </w:pPr>
      <w:bookmarkStart w:id="6" w:name="_GoBack"/>
      <w:bookmarkEnd w:id="6"/>
    </w:p>
    <w:bookmarkEnd w:id="5"/>
    <w:sectPr w:rsidR="00975326" w:rsidSect="00B34437">
      <w:headerReference w:type="default" r:id="rId15"/>
      <w:footerReference w:type="even" r:id="rId16"/>
      <w:footerReference w:type="default" r:id="rId17"/>
      <w:pgSz w:w="11900" w:h="16840"/>
      <w:pgMar w:top="1134" w:right="1134" w:bottom="1134" w:left="1134"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404" w:rsidRDefault="00A14404" w:rsidP="00A716D1">
      <w:r>
        <w:separator/>
      </w:r>
    </w:p>
  </w:endnote>
  <w:endnote w:type="continuationSeparator" w:id="0">
    <w:p w:rsidR="00A14404" w:rsidRDefault="00A14404"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9F" w:rsidRDefault="0056529F"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56529F" w:rsidRDefault="0056529F"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515971"/>
      <w:docPartObj>
        <w:docPartGallery w:val="Page Numbers (Bottom of Page)"/>
        <w:docPartUnique/>
      </w:docPartObj>
    </w:sdtPr>
    <w:sdtEndPr>
      <w:rPr>
        <w:noProof/>
      </w:rPr>
    </w:sdtEndPr>
    <w:sdtContent>
      <w:p w:rsidR="009B1DEF" w:rsidRDefault="009B1DEF">
        <w:pPr>
          <w:pStyle w:val="Footer"/>
          <w:jc w:val="right"/>
        </w:pPr>
        <w:r>
          <w:fldChar w:fldCharType="begin"/>
        </w:r>
        <w:r>
          <w:instrText xml:space="preserve"> PAGE   \* MERGEFORMAT </w:instrText>
        </w:r>
        <w:r>
          <w:fldChar w:fldCharType="separate"/>
        </w:r>
        <w:r w:rsidR="00A07383">
          <w:rPr>
            <w:noProof/>
          </w:rPr>
          <w:t>2</w:t>
        </w:r>
        <w:r>
          <w:rPr>
            <w:noProof/>
          </w:rPr>
          <w:fldChar w:fldCharType="end"/>
        </w:r>
      </w:p>
    </w:sdtContent>
  </w:sdt>
  <w:p w:rsidR="0056529F" w:rsidRDefault="0056529F" w:rsidP="00A71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404" w:rsidRDefault="00A14404" w:rsidP="00A716D1">
      <w:r>
        <w:separator/>
      </w:r>
    </w:p>
  </w:footnote>
  <w:footnote w:type="continuationSeparator" w:id="0">
    <w:p w:rsidR="00A14404" w:rsidRDefault="00A14404"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9F" w:rsidRDefault="0056529F">
    <w:pPr>
      <w:pStyle w:val="Header"/>
    </w:pPr>
  </w:p>
  <w:p w:rsidR="0056529F" w:rsidRDefault="0056529F" w:rsidP="00127D82">
    <w:pPr>
      <w:pStyle w:val="Header"/>
      <w:jc w:val="center"/>
    </w:pPr>
  </w:p>
  <w:sdt>
    <w:sdtPr>
      <w:alias w:val="Protective Marking"/>
      <w:tag w:val="Protective Marking"/>
      <w:id w:val="-1697465063"/>
      <w:dropDownList>
        <w:listItem w:displayText="OFFICIAL" w:value="OFFICIAL"/>
        <w:listItem w:displayText="OFFICIAL-SENSITIVE: COMMERCIAL" w:value="OFFICIAL-SENSITIVE: COMMERCIAL"/>
        <w:listItem w:displayText="OFFICIAL-SENSITIVE: PERSONAL" w:value="OFFICIAL-SENSITIVE: PERSONAL"/>
      </w:dropDownList>
    </w:sdtPr>
    <w:sdtEndPr/>
    <w:sdtContent>
      <w:p w:rsidR="0056529F" w:rsidRDefault="0056529F" w:rsidP="00127D82">
        <w:pPr>
          <w:pStyle w:val="Header"/>
          <w:jc w:val="center"/>
        </w:pPr>
        <w:r>
          <w:t>OFFICIAL</w:t>
        </w:r>
      </w:p>
    </w:sdtContent>
  </w:sdt>
  <w:p w:rsidR="0056529F" w:rsidRDefault="0056529F" w:rsidP="00127D8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D4A"/>
    <w:multiLevelType w:val="hybridMultilevel"/>
    <w:tmpl w:val="980693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95391A"/>
    <w:multiLevelType w:val="hybridMultilevel"/>
    <w:tmpl w:val="9252D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5275DF"/>
    <w:multiLevelType w:val="hybridMultilevel"/>
    <w:tmpl w:val="A1548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EA13F0F"/>
    <w:multiLevelType w:val="hybridMultilevel"/>
    <w:tmpl w:val="AD506C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FDC7F7B"/>
    <w:multiLevelType w:val="hybridMultilevel"/>
    <w:tmpl w:val="E55A4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1E5122"/>
    <w:multiLevelType w:val="hybridMultilevel"/>
    <w:tmpl w:val="B17A1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9C2112"/>
    <w:multiLevelType w:val="hybridMultilevel"/>
    <w:tmpl w:val="CE4CED46"/>
    <w:lvl w:ilvl="0" w:tplc="08090001">
      <w:start w:val="1"/>
      <w:numFmt w:val="bullet"/>
      <w:lvlText w:val=""/>
      <w:lvlJc w:val="left"/>
      <w:pPr>
        <w:ind w:left="360" w:hanging="360"/>
      </w:pPr>
      <w:rPr>
        <w:rFonts w:ascii="Symbol" w:hAnsi="Symbol" w:hint="default"/>
      </w:rPr>
    </w:lvl>
    <w:lvl w:ilvl="1" w:tplc="792E686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250E38B9"/>
    <w:multiLevelType w:val="hybridMultilevel"/>
    <w:tmpl w:val="9280D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E61FE1"/>
    <w:multiLevelType w:val="hybridMultilevel"/>
    <w:tmpl w:val="527A7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873086E"/>
    <w:multiLevelType w:val="hybridMultilevel"/>
    <w:tmpl w:val="2842E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4863C5E"/>
    <w:multiLevelType w:val="hybridMultilevel"/>
    <w:tmpl w:val="F7C855BA"/>
    <w:lvl w:ilvl="0" w:tplc="08090001">
      <w:start w:val="1"/>
      <w:numFmt w:val="bullet"/>
      <w:lvlText w:val=""/>
      <w:lvlJc w:val="left"/>
      <w:pPr>
        <w:ind w:left="360" w:hanging="360"/>
      </w:pPr>
      <w:rPr>
        <w:rFonts w:ascii="Symbol" w:hAnsi="Symbol" w:hint="default"/>
      </w:rPr>
    </w:lvl>
    <w:lvl w:ilvl="1" w:tplc="38768050">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E3A7D4C"/>
    <w:multiLevelType w:val="hybridMultilevel"/>
    <w:tmpl w:val="9CB66AB4"/>
    <w:lvl w:ilvl="0" w:tplc="8DB4CC3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F2124BA"/>
    <w:multiLevelType w:val="hybridMultilevel"/>
    <w:tmpl w:val="60D08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2600E29"/>
    <w:multiLevelType w:val="hybridMultilevel"/>
    <w:tmpl w:val="09C4E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0069DB"/>
    <w:multiLevelType w:val="hybridMultilevel"/>
    <w:tmpl w:val="6E9A9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2BD4A9D"/>
    <w:multiLevelType w:val="hybridMultilevel"/>
    <w:tmpl w:val="58C04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2C02FDE"/>
    <w:multiLevelType w:val="hybridMultilevel"/>
    <w:tmpl w:val="4FF0FE38"/>
    <w:lvl w:ilvl="0" w:tplc="08090001">
      <w:start w:val="1"/>
      <w:numFmt w:val="bullet"/>
      <w:lvlText w:val=""/>
      <w:lvlJc w:val="left"/>
      <w:pPr>
        <w:ind w:left="360" w:hanging="360"/>
      </w:pPr>
      <w:rPr>
        <w:rFonts w:ascii="Symbol" w:hAnsi="Symbol" w:hint="default"/>
      </w:rPr>
    </w:lvl>
    <w:lvl w:ilvl="1" w:tplc="47A021DE">
      <w:start w:val="1"/>
      <w:numFmt w:val="decimal"/>
      <w:lvlText w:val="%2."/>
      <w:lvlJc w:val="left"/>
      <w:pPr>
        <w:ind w:left="1185" w:hanging="465"/>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82C2FD4"/>
    <w:multiLevelType w:val="hybridMultilevel"/>
    <w:tmpl w:val="2B06FD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116F49"/>
    <w:multiLevelType w:val="hybridMultilevel"/>
    <w:tmpl w:val="2D34A6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E283914"/>
    <w:multiLevelType w:val="hybridMultilevel"/>
    <w:tmpl w:val="E8F6A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52F6730"/>
    <w:multiLevelType w:val="hybridMultilevel"/>
    <w:tmpl w:val="EF2C0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8C850D8"/>
    <w:multiLevelType w:val="hybridMultilevel"/>
    <w:tmpl w:val="CA800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8165C0"/>
    <w:multiLevelType w:val="hybridMultilevel"/>
    <w:tmpl w:val="904E9D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C8373A0"/>
    <w:multiLevelType w:val="hybridMultilevel"/>
    <w:tmpl w:val="136C6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5"/>
  </w:num>
  <w:num w:numId="7">
    <w:abstractNumId w:val="17"/>
  </w:num>
  <w:num w:numId="8">
    <w:abstractNumId w:val="6"/>
  </w:num>
  <w:num w:numId="9">
    <w:abstractNumId w:val="20"/>
  </w:num>
  <w:num w:numId="10">
    <w:abstractNumId w:val="8"/>
  </w:num>
  <w:num w:numId="11">
    <w:abstractNumId w:val="4"/>
  </w:num>
  <w:num w:numId="12">
    <w:abstractNumId w:val="11"/>
  </w:num>
  <w:num w:numId="13">
    <w:abstractNumId w:val="10"/>
  </w:num>
  <w:num w:numId="14">
    <w:abstractNumId w:val="2"/>
  </w:num>
  <w:num w:numId="15">
    <w:abstractNumId w:val="22"/>
  </w:num>
  <w:num w:numId="16">
    <w:abstractNumId w:val="1"/>
  </w:num>
  <w:num w:numId="17">
    <w:abstractNumId w:val="16"/>
  </w:num>
  <w:num w:numId="18">
    <w:abstractNumId w:val="25"/>
  </w:num>
  <w:num w:numId="19">
    <w:abstractNumId w:val="19"/>
  </w:num>
  <w:num w:numId="20">
    <w:abstractNumId w:val="23"/>
  </w:num>
  <w:num w:numId="21">
    <w:abstractNumId w:val="12"/>
  </w:num>
  <w:num w:numId="22">
    <w:abstractNumId w:val="24"/>
  </w:num>
  <w:num w:numId="23">
    <w:abstractNumId w:val="14"/>
  </w:num>
  <w:num w:numId="24">
    <w:abstractNumId w:val="15"/>
  </w:num>
  <w:num w:numId="25">
    <w:abstractNumId w:val="9"/>
  </w:num>
  <w:num w:numId="26">
    <w:abstractNumId w:val="13"/>
  </w:num>
  <w:num w:numId="2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readOnly" w:enforcement="1" w:cryptProviderType="rsaFull" w:cryptAlgorithmClass="hash" w:cryptAlgorithmType="typeAny" w:cryptAlgorithmSid="4" w:cryptSpinCount="100000" w:hash="cFcHIN2okBJMzgcDcy8diKQPYb8=" w:salt="G3btDsA83piSjIgMOlzkhw=="/>
  <w:defaultTabStop w:val="720"/>
  <w:drawingGridHorizontalSpacing w:val="357"/>
  <w:drawingGridVerticalSpacing w:val="357"/>
  <w:displayHorizontalDrawingGridEvery w:val="0"/>
  <w:displayVertic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02C1C"/>
    <w:rsid w:val="00002EE8"/>
    <w:rsid w:val="000041E6"/>
    <w:rsid w:val="000202BA"/>
    <w:rsid w:val="0002174B"/>
    <w:rsid w:val="00021A9E"/>
    <w:rsid w:val="00023944"/>
    <w:rsid w:val="00027B40"/>
    <w:rsid w:val="00031797"/>
    <w:rsid w:val="000325BD"/>
    <w:rsid w:val="00035018"/>
    <w:rsid w:val="000419B4"/>
    <w:rsid w:val="00043BBA"/>
    <w:rsid w:val="00046700"/>
    <w:rsid w:val="00050D4E"/>
    <w:rsid w:val="0005281E"/>
    <w:rsid w:val="0005305F"/>
    <w:rsid w:val="00053D96"/>
    <w:rsid w:val="00055930"/>
    <w:rsid w:val="00071CD5"/>
    <w:rsid w:val="00072745"/>
    <w:rsid w:val="00072D9C"/>
    <w:rsid w:val="0007312F"/>
    <w:rsid w:val="0007685A"/>
    <w:rsid w:val="0008524A"/>
    <w:rsid w:val="00094A51"/>
    <w:rsid w:val="000A7FC7"/>
    <w:rsid w:val="000B2872"/>
    <w:rsid w:val="000B4E6A"/>
    <w:rsid w:val="000B535E"/>
    <w:rsid w:val="000B5784"/>
    <w:rsid w:val="000B761D"/>
    <w:rsid w:val="000B7719"/>
    <w:rsid w:val="000C38C2"/>
    <w:rsid w:val="000C544F"/>
    <w:rsid w:val="000C7D1B"/>
    <w:rsid w:val="000D2759"/>
    <w:rsid w:val="000D6DA8"/>
    <w:rsid w:val="000E2BCC"/>
    <w:rsid w:val="000F3302"/>
    <w:rsid w:val="000F3C73"/>
    <w:rsid w:val="000F4B28"/>
    <w:rsid w:val="00101EB4"/>
    <w:rsid w:val="00102A99"/>
    <w:rsid w:val="00115370"/>
    <w:rsid w:val="00115C1E"/>
    <w:rsid w:val="00121184"/>
    <w:rsid w:val="001217F1"/>
    <w:rsid w:val="00127D82"/>
    <w:rsid w:val="00135006"/>
    <w:rsid w:val="00144004"/>
    <w:rsid w:val="00144783"/>
    <w:rsid w:val="00150FBE"/>
    <w:rsid w:val="00151F26"/>
    <w:rsid w:val="001526D9"/>
    <w:rsid w:val="00152FB6"/>
    <w:rsid w:val="001536E8"/>
    <w:rsid w:val="00153EE3"/>
    <w:rsid w:val="001610EE"/>
    <w:rsid w:val="00166CB7"/>
    <w:rsid w:val="0017264F"/>
    <w:rsid w:val="00174767"/>
    <w:rsid w:val="00180C71"/>
    <w:rsid w:val="0018261C"/>
    <w:rsid w:val="00187C8E"/>
    <w:rsid w:val="001924FB"/>
    <w:rsid w:val="0019639B"/>
    <w:rsid w:val="001A0110"/>
    <w:rsid w:val="001A191A"/>
    <w:rsid w:val="001A3439"/>
    <w:rsid w:val="001A4EB0"/>
    <w:rsid w:val="001B1489"/>
    <w:rsid w:val="001B46BA"/>
    <w:rsid w:val="001B62FE"/>
    <w:rsid w:val="001C1504"/>
    <w:rsid w:val="001C4D83"/>
    <w:rsid w:val="001C6DD3"/>
    <w:rsid w:val="001D3A5F"/>
    <w:rsid w:val="001D5FE2"/>
    <w:rsid w:val="001E23AD"/>
    <w:rsid w:val="001E3238"/>
    <w:rsid w:val="001E477C"/>
    <w:rsid w:val="001E767D"/>
    <w:rsid w:val="001F21EA"/>
    <w:rsid w:val="00200B13"/>
    <w:rsid w:val="00206173"/>
    <w:rsid w:val="00211279"/>
    <w:rsid w:val="00211C1A"/>
    <w:rsid w:val="00222A7E"/>
    <w:rsid w:val="00230D3B"/>
    <w:rsid w:val="00237034"/>
    <w:rsid w:val="00252508"/>
    <w:rsid w:val="0025692A"/>
    <w:rsid w:val="002658D1"/>
    <w:rsid w:val="00273102"/>
    <w:rsid w:val="00274001"/>
    <w:rsid w:val="002758E4"/>
    <w:rsid w:val="00282F10"/>
    <w:rsid w:val="00283302"/>
    <w:rsid w:val="00286C3D"/>
    <w:rsid w:val="00291D56"/>
    <w:rsid w:val="00292EFA"/>
    <w:rsid w:val="00297690"/>
    <w:rsid w:val="002A0C8D"/>
    <w:rsid w:val="002A2194"/>
    <w:rsid w:val="002A3856"/>
    <w:rsid w:val="002A5E73"/>
    <w:rsid w:val="002A621C"/>
    <w:rsid w:val="002B2419"/>
    <w:rsid w:val="002B5A00"/>
    <w:rsid w:val="002B5F00"/>
    <w:rsid w:val="002B60D1"/>
    <w:rsid w:val="002C4CF3"/>
    <w:rsid w:val="002C542F"/>
    <w:rsid w:val="002D2055"/>
    <w:rsid w:val="002D26BA"/>
    <w:rsid w:val="002D7F25"/>
    <w:rsid w:val="002E4212"/>
    <w:rsid w:val="002F2335"/>
    <w:rsid w:val="003007EA"/>
    <w:rsid w:val="003039F4"/>
    <w:rsid w:val="0030488F"/>
    <w:rsid w:val="00307AD5"/>
    <w:rsid w:val="00311613"/>
    <w:rsid w:val="00311A4E"/>
    <w:rsid w:val="00315831"/>
    <w:rsid w:val="00330FB1"/>
    <w:rsid w:val="0033126A"/>
    <w:rsid w:val="003357B2"/>
    <w:rsid w:val="00337E11"/>
    <w:rsid w:val="003446FF"/>
    <w:rsid w:val="00344C9D"/>
    <w:rsid w:val="00344F5F"/>
    <w:rsid w:val="003453D3"/>
    <w:rsid w:val="0035040C"/>
    <w:rsid w:val="00351892"/>
    <w:rsid w:val="00353692"/>
    <w:rsid w:val="0035433D"/>
    <w:rsid w:val="003578A7"/>
    <w:rsid w:val="00366D33"/>
    <w:rsid w:val="00371BF0"/>
    <w:rsid w:val="00373D9D"/>
    <w:rsid w:val="00375F4B"/>
    <w:rsid w:val="00383286"/>
    <w:rsid w:val="00384923"/>
    <w:rsid w:val="00393CAE"/>
    <w:rsid w:val="00396CF6"/>
    <w:rsid w:val="00397E3E"/>
    <w:rsid w:val="003A13D3"/>
    <w:rsid w:val="003A7B2E"/>
    <w:rsid w:val="003B2D5D"/>
    <w:rsid w:val="003B44AE"/>
    <w:rsid w:val="003B511C"/>
    <w:rsid w:val="003B628E"/>
    <w:rsid w:val="003B73D8"/>
    <w:rsid w:val="003C5C34"/>
    <w:rsid w:val="003D30BA"/>
    <w:rsid w:val="003E171C"/>
    <w:rsid w:val="003E1C1F"/>
    <w:rsid w:val="003E6B4A"/>
    <w:rsid w:val="003F3925"/>
    <w:rsid w:val="003F463B"/>
    <w:rsid w:val="003F4F0A"/>
    <w:rsid w:val="0040165A"/>
    <w:rsid w:val="00403B00"/>
    <w:rsid w:val="004046D8"/>
    <w:rsid w:val="004073EF"/>
    <w:rsid w:val="004105FF"/>
    <w:rsid w:val="0041524B"/>
    <w:rsid w:val="00420652"/>
    <w:rsid w:val="004220A3"/>
    <w:rsid w:val="00423623"/>
    <w:rsid w:val="004279A7"/>
    <w:rsid w:val="004409E2"/>
    <w:rsid w:val="00457489"/>
    <w:rsid w:val="00460D6B"/>
    <w:rsid w:val="0046174F"/>
    <w:rsid w:val="00462182"/>
    <w:rsid w:val="0046340B"/>
    <w:rsid w:val="004704A2"/>
    <w:rsid w:val="00470F27"/>
    <w:rsid w:val="004727AA"/>
    <w:rsid w:val="00472EBC"/>
    <w:rsid w:val="004758F1"/>
    <w:rsid w:val="00476943"/>
    <w:rsid w:val="00477B4E"/>
    <w:rsid w:val="004801C8"/>
    <w:rsid w:val="004841DB"/>
    <w:rsid w:val="00484457"/>
    <w:rsid w:val="004863FB"/>
    <w:rsid w:val="00487297"/>
    <w:rsid w:val="004904D9"/>
    <w:rsid w:val="00491234"/>
    <w:rsid w:val="004933CB"/>
    <w:rsid w:val="00493F31"/>
    <w:rsid w:val="00494FCF"/>
    <w:rsid w:val="004954EE"/>
    <w:rsid w:val="00497FBF"/>
    <w:rsid w:val="004A017C"/>
    <w:rsid w:val="004A2F5D"/>
    <w:rsid w:val="004B41C2"/>
    <w:rsid w:val="004B4AEF"/>
    <w:rsid w:val="004C744B"/>
    <w:rsid w:val="004C7943"/>
    <w:rsid w:val="004E2398"/>
    <w:rsid w:val="004E4DC0"/>
    <w:rsid w:val="004E6D44"/>
    <w:rsid w:val="004F6F5F"/>
    <w:rsid w:val="005045B3"/>
    <w:rsid w:val="00505254"/>
    <w:rsid w:val="0051227A"/>
    <w:rsid w:val="00515B02"/>
    <w:rsid w:val="00517F52"/>
    <w:rsid w:val="00521555"/>
    <w:rsid w:val="005246D9"/>
    <w:rsid w:val="0052649F"/>
    <w:rsid w:val="00536E80"/>
    <w:rsid w:val="00540691"/>
    <w:rsid w:val="00541FEC"/>
    <w:rsid w:val="00545CA3"/>
    <w:rsid w:val="005476B9"/>
    <w:rsid w:val="0055041C"/>
    <w:rsid w:val="00552120"/>
    <w:rsid w:val="00555B79"/>
    <w:rsid w:val="00561279"/>
    <w:rsid w:val="005629D1"/>
    <w:rsid w:val="0056529F"/>
    <w:rsid w:val="005722FD"/>
    <w:rsid w:val="00575047"/>
    <w:rsid w:val="00580BDB"/>
    <w:rsid w:val="005834AC"/>
    <w:rsid w:val="005861A7"/>
    <w:rsid w:val="005868C3"/>
    <w:rsid w:val="00591EC2"/>
    <w:rsid w:val="0059722E"/>
    <w:rsid w:val="005A4142"/>
    <w:rsid w:val="005A777D"/>
    <w:rsid w:val="005B40B1"/>
    <w:rsid w:val="005C09B2"/>
    <w:rsid w:val="005D1585"/>
    <w:rsid w:val="005D2E13"/>
    <w:rsid w:val="005D474B"/>
    <w:rsid w:val="005D6B38"/>
    <w:rsid w:val="005E371C"/>
    <w:rsid w:val="005E65DC"/>
    <w:rsid w:val="005F27A1"/>
    <w:rsid w:val="005F69EA"/>
    <w:rsid w:val="0060613A"/>
    <w:rsid w:val="00611744"/>
    <w:rsid w:val="006136C4"/>
    <w:rsid w:val="0061639A"/>
    <w:rsid w:val="00624948"/>
    <w:rsid w:val="006275C1"/>
    <w:rsid w:val="0063279C"/>
    <w:rsid w:val="00634627"/>
    <w:rsid w:val="0063480A"/>
    <w:rsid w:val="00647D1B"/>
    <w:rsid w:val="00652BC3"/>
    <w:rsid w:val="00652FDA"/>
    <w:rsid w:val="00662ED9"/>
    <w:rsid w:val="00663C5C"/>
    <w:rsid w:val="00664DB9"/>
    <w:rsid w:val="00667E6C"/>
    <w:rsid w:val="006771A1"/>
    <w:rsid w:val="00677891"/>
    <w:rsid w:val="0068289A"/>
    <w:rsid w:val="006837A5"/>
    <w:rsid w:val="00683B9E"/>
    <w:rsid w:val="00694319"/>
    <w:rsid w:val="0069518C"/>
    <w:rsid w:val="006968CB"/>
    <w:rsid w:val="006A0B73"/>
    <w:rsid w:val="006A5B20"/>
    <w:rsid w:val="006B08F0"/>
    <w:rsid w:val="006B3E1C"/>
    <w:rsid w:val="006B613F"/>
    <w:rsid w:val="006C5902"/>
    <w:rsid w:val="006C66CE"/>
    <w:rsid w:val="006D4362"/>
    <w:rsid w:val="006E2E3B"/>
    <w:rsid w:val="006E328F"/>
    <w:rsid w:val="006E4191"/>
    <w:rsid w:val="006E62F3"/>
    <w:rsid w:val="006F0007"/>
    <w:rsid w:val="006F0EDB"/>
    <w:rsid w:val="006F595D"/>
    <w:rsid w:val="006F6EE6"/>
    <w:rsid w:val="007075BE"/>
    <w:rsid w:val="0071074D"/>
    <w:rsid w:val="0071133F"/>
    <w:rsid w:val="007129FB"/>
    <w:rsid w:val="00723A46"/>
    <w:rsid w:val="00724153"/>
    <w:rsid w:val="00730CFE"/>
    <w:rsid w:val="007311D9"/>
    <w:rsid w:val="007366B0"/>
    <w:rsid w:val="00753477"/>
    <w:rsid w:val="00767BC2"/>
    <w:rsid w:val="0077080D"/>
    <w:rsid w:val="00775E32"/>
    <w:rsid w:val="0078324E"/>
    <w:rsid w:val="0078519C"/>
    <w:rsid w:val="00785EED"/>
    <w:rsid w:val="00792735"/>
    <w:rsid w:val="00795743"/>
    <w:rsid w:val="007B1295"/>
    <w:rsid w:val="007B1E38"/>
    <w:rsid w:val="007B4206"/>
    <w:rsid w:val="007C1241"/>
    <w:rsid w:val="007D1DBF"/>
    <w:rsid w:val="007D3668"/>
    <w:rsid w:val="007E08F7"/>
    <w:rsid w:val="007F1AE6"/>
    <w:rsid w:val="007F65C5"/>
    <w:rsid w:val="00802906"/>
    <w:rsid w:val="0081407E"/>
    <w:rsid w:val="00821E02"/>
    <w:rsid w:val="00830104"/>
    <w:rsid w:val="00831CA9"/>
    <w:rsid w:val="008370A9"/>
    <w:rsid w:val="00840DCB"/>
    <w:rsid w:val="00842CE0"/>
    <w:rsid w:val="00850289"/>
    <w:rsid w:val="00853B39"/>
    <w:rsid w:val="00856A5E"/>
    <w:rsid w:val="00863557"/>
    <w:rsid w:val="00864E18"/>
    <w:rsid w:val="008678D4"/>
    <w:rsid w:val="00872C14"/>
    <w:rsid w:val="008742C4"/>
    <w:rsid w:val="008767E8"/>
    <w:rsid w:val="0088040D"/>
    <w:rsid w:val="00881F6C"/>
    <w:rsid w:val="00884334"/>
    <w:rsid w:val="008915F0"/>
    <w:rsid w:val="008926AD"/>
    <w:rsid w:val="0089369A"/>
    <w:rsid w:val="00894880"/>
    <w:rsid w:val="008A0516"/>
    <w:rsid w:val="008A180A"/>
    <w:rsid w:val="008A2A82"/>
    <w:rsid w:val="008A4B40"/>
    <w:rsid w:val="008B5D94"/>
    <w:rsid w:val="008B6EB6"/>
    <w:rsid w:val="008B71E5"/>
    <w:rsid w:val="008C174F"/>
    <w:rsid w:val="008C4829"/>
    <w:rsid w:val="008C59FF"/>
    <w:rsid w:val="008D1B30"/>
    <w:rsid w:val="008D1D3C"/>
    <w:rsid w:val="008E051C"/>
    <w:rsid w:val="008E082F"/>
    <w:rsid w:val="008E43C4"/>
    <w:rsid w:val="008E574F"/>
    <w:rsid w:val="008E71E6"/>
    <w:rsid w:val="008F4BAE"/>
    <w:rsid w:val="008F6C5D"/>
    <w:rsid w:val="009003C2"/>
    <w:rsid w:val="0090040F"/>
    <w:rsid w:val="00903952"/>
    <w:rsid w:val="00904ACD"/>
    <w:rsid w:val="009064B4"/>
    <w:rsid w:val="00913D60"/>
    <w:rsid w:val="00920B78"/>
    <w:rsid w:val="00931727"/>
    <w:rsid w:val="0093627C"/>
    <w:rsid w:val="009410C9"/>
    <w:rsid w:val="00941326"/>
    <w:rsid w:val="00947CBB"/>
    <w:rsid w:val="00952517"/>
    <w:rsid w:val="009561B2"/>
    <w:rsid w:val="009563A5"/>
    <w:rsid w:val="009673F7"/>
    <w:rsid w:val="0097411F"/>
    <w:rsid w:val="00975326"/>
    <w:rsid w:val="009753EF"/>
    <w:rsid w:val="009847D7"/>
    <w:rsid w:val="00990557"/>
    <w:rsid w:val="00992297"/>
    <w:rsid w:val="00995B7D"/>
    <w:rsid w:val="00996AB8"/>
    <w:rsid w:val="009A0355"/>
    <w:rsid w:val="009A2F93"/>
    <w:rsid w:val="009A3546"/>
    <w:rsid w:val="009B1DEF"/>
    <w:rsid w:val="009B228F"/>
    <w:rsid w:val="009B5C60"/>
    <w:rsid w:val="009C3A3D"/>
    <w:rsid w:val="009C404C"/>
    <w:rsid w:val="009D0885"/>
    <w:rsid w:val="009D498D"/>
    <w:rsid w:val="009D74D9"/>
    <w:rsid w:val="009D7A81"/>
    <w:rsid w:val="009E1C27"/>
    <w:rsid w:val="009E7356"/>
    <w:rsid w:val="009F3254"/>
    <w:rsid w:val="009F4A88"/>
    <w:rsid w:val="009F52A7"/>
    <w:rsid w:val="009F573E"/>
    <w:rsid w:val="009F79A9"/>
    <w:rsid w:val="00A04D60"/>
    <w:rsid w:val="00A07383"/>
    <w:rsid w:val="00A11755"/>
    <w:rsid w:val="00A14404"/>
    <w:rsid w:val="00A2093B"/>
    <w:rsid w:val="00A2185C"/>
    <w:rsid w:val="00A23F03"/>
    <w:rsid w:val="00A23F16"/>
    <w:rsid w:val="00A26A35"/>
    <w:rsid w:val="00A32309"/>
    <w:rsid w:val="00A36EF6"/>
    <w:rsid w:val="00A40219"/>
    <w:rsid w:val="00A4111B"/>
    <w:rsid w:val="00A4250E"/>
    <w:rsid w:val="00A5078E"/>
    <w:rsid w:val="00A55267"/>
    <w:rsid w:val="00A62D9E"/>
    <w:rsid w:val="00A67C11"/>
    <w:rsid w:val="00A710B1"/>
    <w:rsid w:val="00A716D1"/>
    <w:rsid w:val="00A71B20"/>
    <w:rsid w:val="00A7750E"/>
    <w:rsid w:val="00A81B96"/>
    <w:rsid w:val="00A83ADB"/>
    <w:rsid w:val="00A87AA9"/>
    <w:rsid w:val="00AA187A"/>
    <w:rsid w:val="00AA56D0"/>
    <w:rsid w:val="00AA5709"/>
    <w:rsid w:val="00AA760E"/>
    <w:rsid w:val="00AB4D49"/>
    <w:rsid w:val="00AB549D"/>
    <w:rsid w:val="00AB664C"/>
    <w:rsid w:val="00AC189E"/>
    <w:rsid w:val="00AC53E1"/>
    <w:rsid w:val="00AC64C5"/>
    <w:rsid w:val="00AC6B6B"/>
    <w:rsid w:val="00AC6FBF"/>
    <w:rsid w:val="00AD18FA"/>
    <w:rsid w:val="00AD2496"/>
    <w:rsid w:val="00AE0B4F"/>
    <w:rsid w:val="00AE0D75"/>
    <w:rsid w:val="00AE3334"/>
    <w:rsid w:val="00AE6895"/>
    <w:rsid w:val="00AF28DE"/>
    <w:rsid w:val="00AF7022"/>
    <w:rsid w:val="00AF75A0"/>
    <w:rsid w:val="00B236D3"/>
    <w:rsid w:val="00B34437"/>
    <w:rsid w:val="00B377FB"/>
    <w:rsid w:val="00B37C5E"/>
    <w:rsid w:val="00B429DF"/>
    <w:rsid w:val="00B432BA"/>
    <w:rsid w:val="00B44E3A"/>
    <w:rsid w:val="00B51CDD"/>
    <w:rsid w:val="00B56DD0"/>
    <w:rsid w:val="00B606A3"/>
    <w:rsid w:val="00B64C7A"/>
    <w:rsid w:val="00B7046A"/>
    <w:rsid w:val="00B875DD"/>
    <w:rsid w:val="00B90EB2"/>
    <w:rsid w:val="00B9289F"/>
    <w:rsid w:val="00B937D7"/>
    <w:rsid w:val="00B95B1F"/>
    <w:rsid w:val="00B961B8"/>
    <w:rsid w:val="00B97F1E"/>
    <w:rsid w:val="00BA1EF6"/>
    <w:rsid w:val="00BB4800"/>
    <w:rsid w:val="00BB6D78"/>
    <w:rsid w:val="00BC116A"/>
    <w:rsid w:val="00BC198F"/>
    <w:rsid w:val="00BC1BFD"/>
    <w:rsid w:val="00BC34C7"/>
    <w:rsid w:val="00BD0523"/>
    <w:rsid w:val="00BD434D"/>
    <w:rsid w:val="00BE2CAC"/>
    <w:rsid w:val="00BE50B7"/>
    <w:rsid w:val="00BF20AE"/>
    <w:rsid w:val="00BF2D6B"/>
    <w:rsid w:val="00BF4DE0"/>
    <w:rsid w:val="00BF5037"/>
    <w:rsid w:val="00BF66B0"/>
    <w:rsid w:val="00BF6D4E"/>
    <w:rsid w:val="00C016F9"/>
    <w:rsid w:val="00C02662"/>
    <w:rsid w:val="00C02ADB"/>
    <w:rsid w:val="00C0665E"/>
    <w:rsid w:val="00C07B7F"/>
    <w:rsid w:val="00C126B9"/>
    <w:rsid w:val="00C16200"/>
    <w:rsid w:val="00C21F43"/>
    <w:rsid w:val="00C3011E"/>
    <w:rsid w:val="00C31BE1"/>
    <w:rsid w:val="00C345A5"/>
    <w:rsid w:val="00C3780F"/>
    <w:rsid w:val="00C431CB"/>
    <w:rsid w:val="00C47661"/>
    <w:rsid w:val="00C50234"/>
    <w:rsid w:val="00C50969"/>
    <w:rsid w:val="00C5140D"/>
    <w:rsid w:val="00C51EE0"/>
    <w:rsid w:val="00C54EB7"/>
    <w:rsid w:val="00C5633D"/>
    <w:rsid w:val="00C64116"/>
    <w:rsid w:val="00C8067B"/>
    <w:rsid w:val="00C90A4B"/>
    <w:rsid w:val="00C90C64"/>
    <w:rsid w:val="00C9471B"/>
    <w:rsid w:val="00C94F2C"/>
    <w:rsid w:val="00C953C8"/>
    <w:rsid w:val="00C96C31"/>
    <w:rsid w:val="00CA78CE"/>
    <w:rsid w:val="00CB126B"/>
    <w:rsid w:val="00CB2B91"/>
    <w:rsid w:val="00CC308D"/>
    <w:rsid w:val="00CC5B4D"/>
    <w:rsid w:val="00CD0A05"/>
    <w:rsid w:val="00CD478E"/>
    <w:rsid w:val="00CD5881"/>
    <w:rsid w:val="00CE2F07"/>
    <w:rsid w:val="00CE3904"/>
    <w:rsid w:val="00CE4A7B"/>
    <w:rsid w:val="00CE5672"/>
    <w:rsid w:val="00CE6566"/>
    <w:rsid w:val="00CF0FAF"/>
    <w:rsid w:val="00CF1D6A"/>
    <w:rsid w:val="00CF233B"/>
    <w:rsid w:val="00CF3B01"/>
    <w:rsid w:val="00D03C48"/>
    <w:rsid w:val="00D04751"/>
    <w:rsid w:val="00D04A3A"/>
    <w:rsid w:val="00D065E6"/>
    <w:rsid w:val="00D11EAB"/>
    <w:rsid w:val="00D12740"/>
    <w:rsid w:val="00D20385"/>
    <w:rsid w:val="00D234F3"/>
    <w:rsid w:val="00D318BB"/>
    <w:rsid w:val="00D336A8"/>
    <w:rsid w:val="00D42C5A"/>
    <w:rsid w:val="00D43349"/>
    <w:rsid w:val="00D438E2"/>
    <w:rsid w:val="00D473ED"/>
    <w:rsid w:val="00D50B3D"/>
    <w:rsid w:val="00D52128"/>
    <w:rsid w:val="00D61BBA"/>
    <w:rsid w:val="00D6587D"/>
    <w:rsid w:val="00D66B6C"/>
    <w:rsid w:val="00D67FA2"/>
    <w:rsid w:val="00D707F7"/>
    <w:rsid w:val="00D70D35"/>
    <w:rsid w:val="00D723C3"/>
    <w:rsid w:val="00D73CE5"/>
    <w:rsid w:val="00D76BA1"/>
    <w:rsid w:val="00D774E9"/>
    <w:rsid w:val="00D86697"/>
    <w:rsid w:val="00D86A05"/>
    <w:rsid w:val="00D870D9"/>
    <w:rsid w:val="00D94F8B"/>
    <w:rsid w:val="00D9536A"/>
    <w:rsid w:val="00D979E4"/>
    <w:rsid w:val="00DA2AB7"/>
    <w:rsid w:val="00DB115D"/>
    <w:rsid w:val="00DB5C86"/>
    <w:rsid w:val="00DB5D1A"/>
    <w:rsid w:val="00DB67E4"/>
    <w:rsid w:val="00DB6F8D"/>
    <w:rsid w:val="00DC07ED"/>
    <w:rsid w:val="00DC174C"/>
    <w:rsid w:val="00DC2BA0"/>
    <w:rsid w:val="00DC653D"/>
    <w:rsid w:val="00DC7716"/>
    <w:rsid w:val="00DD18AA"/>
    <w:rsid w:val="00DD1DC1"/>
    <w:rsid w:val="00DE703A"/>
    <w:rsid w:val="00DF59D0"/>
    <w:rsid w:val="00DF7D8F"/>
    <w:rsid w:val="00E01309"/>
    <w:rsid w:val="00E033C2"/>
    <w:rsid w:val="00E04C74"/>
    <w:rsid w:val="00E07DEF"/>
    <w:rsid w:val="00E205A8"/>
    <w:rsid w:val="00E26614"/>
    <w:rsid w:val="00E2721D"/>
    <w:rsid w:val="00E3236C"/>
    <w:rsid w:val="00E3238D"/>
    <w:rsid w:val="00E43E45"/>
    <w:rsid w:val="00E43F41"/>
    <w:rsid w:val="00E45A69"/>
    <w:rsid w:val="00E511DC"/>
    <w:rsid w:val="00E52ACB"/>
    <w:rsid w:val="00E56452"/>
    <w:rsid w:val="00E56D77"/>
    <w:rsid w:val="00E57E2D"/>
    <w:rsid w:val="00E632CC"/>
    <w:rsid w:val="00E63385"/>
    <w:rsid w:val="00E72C89"/>
    <w:rsid w:val="00E82F6D"/>
    <w:rsid w:val="00E85A27"/>
    <w:rsid w:val="00E87AF4"/>
    <w:rsid w:val="00E90681"/>
    <w:rsid w:val="00E9155B"/>
    <w:rsid w:val="00E9378C"/>
    <w:rsid w:val="00EA0283"/>
    <w:rsid w:val="00EA2E6A"/>
    <w:rsid w:val="00EB549C"/>
    <w:rsid w:val="00EB5DEF"/>
    <w:rsid w:val="00EC20BF"/>
    <w:rsid w:val="00ED27F8"/>
    <w:rsid w:val="00EE5921"/>
    <w:rsid w:val="00EF0A1A"/>
    <w:rsid w:val="00EF6C8B"/>
    <w:rsid w:val="00F01039"/>
    <w:rsid w:val="00F03DDA"/>
    <w:rsid w:val="00F119E7"/>
    <w:rsid w:val="00F11B7F"/>
    <w:rsid w:val="00F1638B"/>
    <w:rsid w:val="00F22409"/>
    <w:rsid w:val="00F26C49"/>
    <w:rsid w:val="00F270B5"/>
    <w:rsid w:val="00F30F53"/>
    <w:rsid w:val="00F40286"/>
    <w:rsid w:val="00F510B5"/>
    <w:rsid w:val="00F5158F"/>
    <w:rsid w:val="00F53515"/>
    <w:rsid w:val="00F5580C"/>
    <w:rsid w:val="00F61719"/>
    <w:rsid w:val="00F623F3"/>
    <w:rsid w:val="00F642A9"/>
    <w:rsid w:val="00F700F9"/>
    <w:rsid w:val="00F73D7A"/>
    <w:rsid w:val="00F76189"/>
    <w:rsid w:val="00F775D6"/>
    <w:rsid w:val="00F7794D"/>
    <w:rsid w:val="00F832B5"/>
    <w:rsid w:val="00F84441"/>
    <w:rsid w:val="00F959E5"/>
    <w:rsid w:val="00F97D2A"/>
    <w:rsid w:val="00F97F61"/>
    <w:rsid w:val="00FA10F5"/>
    <w:rsid w:val="00FA3F2C"/>
    <w:rsid w:val="00FA7FDE"/>
    <w:rsid w:val="00FB41BD"/>
    <w:rsid w:val="00FB587A"/>
    <w:rsid w:val="00FB62FC"/>
    <w:rsid w:val="00FD436B"/>
    <w:rsid w:val="00FD7184"/>
    <w:rsid w:val="00FE0546"/>
    <w:rsid w:val="00FE3537"/>
    <w:rsid w:val="00FE464E"/>
    <w:rsid w:val="00FE6A66"/>
    <w:rsid w:val="00FF2EE2"/>
    <w:rsid w:val="00FF315E"/>
    <w:rsid w:val="00FF395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FA3F2C"/>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9847D7"/>
    <w:pPr>
      <w:tabs>
        <w:tab w:val="left" w:pos="480"/>
        <w:tab w:val="right" w:leader="dot" w:pos="9054"/>
      </w:tabs>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A04D60"/>
    <w:pPr>
      <w:tabs>
        <w:tab w:val="left" w:pos="880"/>
        <w:tab w:val="right" w:leader="dot" w:pos="9622"/>
      </w:tabs>
      <w:spacing w:line="360" w:lineRule="auto"/>
      <w:ind w:left="238"/>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link w:val="ListParagraphChar"/>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127D82"/>
    <w:rPr>
      <w:color w:val="808080"/>
    </w:rPr>
  </w:style>
  <w:style w:type="paragraph" w:styleId="EndnoteText">
    <w:name w:val="endnote text"/>
    <w:basedOn w:val="Normal"/>
    <w:link w:val="EndnoteTextChar"/>
    <w:uiPriority w:val="99"/>
    <w:unhideWhenUsed/>
    <w:rsid w:val="006837A5"/>
    <w:rPr>
      <w:rFonts w:asciiTheme="minorHAnsi" w:eastAsiaTheme="minorHAnsi" w:hAnsiTheme="minorHAnsi" w:cstheme="minorBidi"/>
      <w:bCs w:val="0"/>
      <w:sz w:val="20"/>
      <w:szCs w:val="20"/>
    </w:rPr>
  </w:style>
  <w:style w:type="character" w:customStyle="1" w:styleId="EndnoteTextChar">
    <w:name w:val="Endnote Text Char"/>
    <w:basedOn w:val="DefaultParagraphFont"/>
    <w:link w:val="EndnoteText"/>
    <w:uiPriority w:val="99"/>
    <w:rsid w:val="006837A5"/>
    <w:rPr>
      <w:rFonts w:asciiTheme="minorHAnsi" w:eastAsiaTheme="minorHAnsi" w:hAnsiTheme="minorHAnsi" w:cstheme="minorBidi"/>
      <w:sz w:val="20"/>
      <w:szCs w:val="20"/>
      <w:lang w:eastAsia="en-US"/>
    </w:rPr>
  </w:style>
  <w:style w:type="table" w:customStyle="1" w:styleId="TableGrid1">
    <w:name w:val="Table Grid1"/>
    <w:basedOn w:val="TableNormal"/>
    <w:next w:val="TableGrid"/>
    <w:uiPriority w:val="59"/>
    <w:rsid w:val="00C301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672"/>
    <w:rPr>
      <w:sz w:val="16"/>
      <w:szCs w:val="16"/>
    </w:rPr>
  </w:style>
  <w:style w:type="paragraph" w:styleId="CommentText">
    <w:name w:val="annotation text"/>
    <w:basedOn w:val="Normal"/>
    <w:link w:val="CommentTextChar"/>
    <w:uiPriority w:val="99"/>
    <w:semiHidden/>
    <w:unhideWhenUsed/>
    <w:rsid w:val="00CE5672"/>
    <w:rPr>
      <w:sz w:val="20"/>
      <w:szCs w:val="20"/>
    </w:rPr>
  </w:style>
  <w:style w:type="character" w:customStyle="1" w:styleId="CommentTextChar">
    <w:name w:val="Comment Text Char"/>
    <w:basedOn w:val="DefaultParagraphFont"/>
    <w:link w:val="CommentText"/>
    <w:uiPriority w:val="99"/>
    <w:semiHidden/>
    <w:rsid w:val="00CE5672"/>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CE5672"/>
    <w:rPr>
      <w:b/>
    </w:rPr>
  </w:style>
  <w:style w:type="character" w:customStyle="1" w:styleId="CommentSubjectChar">
    <w:name w:val="Comment Subject Char"/>
    <w:basedOn w:val="CommentTextChar"/>
    <w:link w:val="CommentSubject"/>
    <w:uiPriority w:val="99"/>
    <w:semiHidden/>
    <w:rsid w:val="00CE5672"/>
    <w:rPr>
      <w:rFonts w:eastAsia="Times New Roman"/>
      <w:b/>
      <w:bCs/>
      <w:sz w:val="20"/>
      <w:szCs w:val="20"/>
      <w:lang w:eastAsia="en-US"/>
    </w:rPr>
  </w:style>
  <w:style w:type="paragraph" w:styleId="NoSpacing">
    <w:name w:val="No Spacing"/>
    <w:uiPriority w:val="1"/>
    <w:qFormat/>
    <w:rsid w:val="00072D9C"/>
    <w:rPr>
      <w:rFonts w:asciiTheme="minorHAnsi" w:eastAsiaTheme="minorHAnsi" w:hAnsiTheme="minorHAnsi" w:cstheme="minorBidi"/>
      <w:sz w:val="22"/>
      <w:szCs w:val="22"/>
      <w:lang w:eastAsia="en-US"/>
    </w:rPr>
  </w:style>
  <w:style w:type="paragraph" w:styleId="TOC4">
    <w:name w:val="toc 4"/>
    <w:basedOn w:val="Normal"/>
    <w:next w:val="Normal"/>
    <w:autoRedefine/>
    <w:uiPriority w:val="39"/>
    <w:unhideWhenUsed/>
    <w:rsid w:val="004279A7"/>
    <w:pPr>
      <w:spacing w:after="100" w:line="276" w:lineRule="auto"/>
      <w:ind w:left="660"/>
    </w:pPr>
    <w:rPr>
      <w:rFonts w:asciiTheme="minorHAnsi" w:eastAsiaTheme="minorEastAsia" w:hAnsiTheme="minorHAnsi" w:cstheme="minorBidi"/>
      <w:bCs w:val="0"/>
      <w:sz w:val="22"/>
      <w:szCs w:val="22"/>
      <w:lang w:eastAsia="en-GB"/>
    </w:rPr>
  </w:style>
  <w:style w:type="paragraph" w:styleId="TOC5">
    <w:name w:val="toc 5"/>
    <w:basedOn w:val="Normal"/>
    <w:next w:val="Normal"/>
    <w:autoRedefine/>
    <w:uiPriority w:val="39"/>
    <w:unhideWhenUsed/>
    <w:rsid w:val="004279A7"/>
    <w:pPr>
      <w:spacing w:after="100" w:line="276" w:lineRule="auto"/>
      <w:ind w:left="880"/>
    </w:pPr>
    <w:rPr>
      <w:rFonts w:asciiTheme="minorHAnsi" w:eastAsiaTheme="minorEastAsia" w:hAnsiTheme="minorHAnsi" w:cstheme="minorBidi"/>
      <w:bCs w:val="0"/>
      <w:sz w:val="22"/>
      <w:szCs w:val="22"/>
      <w:lang w:eastAsia="en-GB"/>
    </w:rPr>
  </w:style>
  <w:style w:type="paragraph" w:styleId="TOC6">
    <w:name w:val="toc 6"/>
    <w:basedOn w:val="Normal"/>
    <w:next w:val="Normal"/>
    <w:autoRedefine/>
    <w:uiPriority w:val="39"/>
    <w:unhideWhenUsed/>
    <w:rsid w:val="004279A7"/>
    <w:pPr>
      <w:spacing w:after="100" w:line="276" w:lineRule="auto"/>
      <w:ind w:left="1100"/>
    </w:pPr>
    <w:rPr>
      <w:rFonts w:asciiTheme="minorHAnsi" w:eastAsiaTheme="minorEastAsia" w:hAnsiTheme="minorHAnsi" w:cstheme="minorBidi"/>
      <w:bCs w:val="0"/>
      <w:sz w:val="22"/>
      <w:szCs w:val="22"/>
      <w:lang w:eastAsia="en-GB"/>
    </w:rPr>
  </w:style>
  <w:style w:type="paragraph" w:styleId="TOC7">
    <w:name w:val="toc 7"/>
    <w:basedOn w:val="Normal"/>
    <w:next w:val="Normal"/>
    <w:autoRedefine/>
    <w:uiPriority w:val="39"/>
    <w:unhideWhenUsed/>
    <w:rsid w:val="004279A7"/>
    <w:pPr>
      <w:spacing w:after="100" w:line="276" w:lineRule="auto"/>
      <w:ind w:left="1320"/>
    </w:pPr>
    <w:rPr>
      <w:rFonts w:asciiTheme="minorHAnsi" w:eastAsiaTheme="minorEastAsia" w:hAnsiTheme="minorHAnsi" w:cstheme="minorBidi"/>
      <w:bCs w:val="0"/>
      <w:sz w:val="22"/>
      <w:szCs w:val="22"/>
      <w:lang w:eastAsia="en-GB"/>
    </w:rPr>
  </w:style>
  <w:style w:type="paragraph" w:styleId="TOC8">
    <w:name w:val="toc 8"/>
    <w:basedOn w:val="Normal"/>
    <w:next w:val="Normal"/>
    <w:autoRedefine/>
    <w:uiPriority w:val="39"/>
    <w:unhideWhenUsed/>
    <w:rsid w:val="004279A7"/>
    <w:pPr>
      <w:spacing w:after="100" w:line="276" w:lineRule="auto"/>
      <w:ind w:left="1540"/>
    </w:pPr>
    <w:rPr>
      <w:rFonts w:asciiTheme="minorHAnsi" w:eastAsiaTheme="minorEastAsia" w:hAnsiTheme="minorHAnsi" w:cstheme="minorBidi"/>
      <w:bCs w:val="0"/>
      <w:sz w:val="22"/>
      <w:szCs w:val="22"/>
      <w:lang w:eastAsia="en-GB"/>
    </w:rPr>
  </w:style>
  <w:style w:type="paragraph" w:styleId="TOC9">
    <w:name w:val="toc 9"/>
    <w:basedOn w:val="Normal"/>
    <w:next w:val="Normal"/>
    <w:autoRedefine/>
    <w:uiPriority w:val="39"/>
    <w:unhideWhenUsed/>
    <w:rsid w:val="004279A7"/>
    <w:pPr>
      <w:spacing w:after="100" w:line="276" w:lineRule="auto"/>
      <w:ind w:left="1760"/>
    </w:pPr>
    <w:rPr>
      <w:rFonts w:asciiTheme="minorHAnsi" w:eastAsiaTheme="minorEastAsia" w:hAnsiTheme="minorHAnsi" w:cstheme="minorBidi"/>
      <w:bCs w:val="0"/>
      <w:sz w:val="22"/>
      <w:szCs w:val="22"/>
      <w:lang w:eastAsia="en-GB"/>
    </w:rPr>
  </w:style>
  <w:style w:type="paragraph" w:styleId="FootnoteText">
    <w:name w:val="footnote text"/>
    <w:basedOn w:val="Normal"/>
    <w:link w:val="FootnoteTextChar"/>
    <w:uiPriority w:val="99"/>
    <w:semiHidden/>
    <w:unhideWhenUsed/>
    <w:rsid w:val="00EC20BF"/>
    <w:rPr>
      <w:sz w:val="20"/>
      <w:szCs w:val="20"/>
    </w:rPr>
  </w:style>
  <w:style w:type="character" w:customStyle="1" w:styleId="FootnoteTextChar">
    <w:name w:val="Footnote Text Char"/>
    <w:basedOn w:val="DefaultParagraphFont"/>
    <w:link w:val="FootnoteText"/>
    <w:uiPriority w:val="99"/>
    <w:semiHidden/>
    <w:rsid w:val="00EC20BF"/>
    <w:rPr>
      <w:rFonts w:eastAsia="Times New Roman"/>
      <w:bCs/>
      <w:sz w:val="20"/>
      <w:szCs w:val="20"/>
      <w:lang w:eastAsia="en-US"/>
    </w:rPr>
  </w:style>
  <w:style w:type="character" w:styleId="FootnoteReference">
    <w:name w:val="footnote reference"/>
    <w:basedOn w:val="DefaultParagraphFont"/>
    <w:uiPriority w:val="99"/>
    <w:semiHidden/>
    <w:rsid w:val="00EC20BF"/>
    <w:rPr>
      <w:rFonts w:cs="Times New Roman"/>
      <w:vertAlign w:val="superscript"/>
    </w:rPr>
  </w:style>
  <w:style w:type="character" w:customStyle="1" w:styleId="ListParagraphChar">
    <w:name w:val="List Paragraph Char"/>
    <w:link w:val="ListParagraph"/>
    <w:uiPriority w:val="34"/>
    <w:locked/>
    <w:rsid w:val="00D723C3"/>
    <w:rPr>
      <w:rFonts w:eastAsia="Times New Roman"/>
      <w:bCs/>
      <w:szCs w:val="26"/>
      <w:lang w:eastAsia="en-US"/>
    </w:rPr>
  </w:style>
  <w:style w:type="paragraph" w:customStyle="1" w:styleId="eb3ece38-9c16-42fb-aa70-07d13b8e1adc">
    <w:name w:val="eb3ece38-9c16-42fb-aa70-07d13b8e1adc"/>
    <w:basedOn w:val="Normal"/>
    <w:rsid w:val="00AC189E"/>
    <w:rPr>
      <w:rFonts w:ascii="Times New Roman" w:hAnsi="Times New Roman"/>
      <w:bCs w:val="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FA3F2C"/>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9847D7"/>
    <w:pPr>
      <w:tabs>
        <w:tab w:val="left" w:pos="480"/>
        <w:tab w:val="right" w:leader="dot" w:pos="9054"/>
      </w:tabs>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A04D60"/>
    <w:pPr>
      <w:tabs>
        <w:tab w:val="left" w:pos="880"/>
        <w:tab w:val="right" w:leader="dot" w:pos="9622"/>
      </w:tabs>
      <w:spacing w:line="360" w:lineRule="auto"/>
      <w:ind w:left="238"/>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link w:val="ListParagraphChar"/>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127D82"/>
    <w:rPr>
      <w:color w:val="808080"/>
    </w:rPr>
  </w:style>
  <w:style w:type="paragraph" w:styleId="EndnoteText">
    <w:name w:val="endnote text"/>
    <w:basedOn w:val="Normal"/>
    <w:link w:val="EndnoteTextChar"/>
    <w:uiPriority w:val="99"/>
    <w:unhideWhenUsed/>
    <w:rsid w:val="006837A5"/>
    <w:rPr>
      <w:rFonts w:asciiTheme="minorHAnsi" w:eastAsiaTheme="minorHAnsi" w:hAnsiTheme="minorHAnsi" w:cstheme="minorBidi"/>
      <w:bCs w:val="0"/>
      <w:sz w:val="20"/>
      <w:szCs w:val="20"/>
    </w:rPr>
  </w:style>
  <w:style w:type="character" w:customStyle="1" w:styleId="EndnoteTextChar">
    <w:name w:val="Endnote Text Char"/>
    <w:basedOn w:val="DefaultParagraphFont"/>
    <w:link w:val="EndnoteText"/>
    <w:uiPriority w:val="99"/>
    <w:rsid w:val="006837A5"/>
    <w:rPr>
      <w:rFonts w:asciiTheme="minorHAnsi" w:eastAsiaTheme="minorHAnsi" w:hAnsiTheme="minorHAnsi" w:cstheme="minorBidi"/>
      <w:sz w:val="20"/>
      <w:szCs w:val="20"/>
      <w:lang w:eastAsia="en-US"/>
    </w:rPr>
  </w:style>
  <w:style w:type="table" w:customStyle="1" w:styleId="TableGrid1">
    <w:name w:val="Table Grid1"/>
    <w:basedOn w:val="TableNormal"/>
    <w:next w:val="TableGrid"/>
    <w:uiPriority w:val="59"/>
    <w:rsid w:val="00C301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672"/>
    <w:rPr>
      <w:sz w:val="16"/>
      <w:szCs w:val="16"/>
    </w:rPr>
  </w:style>
  <w:style w:type="paragraph" w:styleId="CommentText">
    <w:name w:val="annotation text"/>
    <w:basedOn w:val="Normal"/>
    <w:link w:val="CommentTextChar"/>
    <w:uiPriority w:val="99"/>
    <w:semiHidden/>
    <w:unhideWhenUsed/>
    <w:rsid w:val="00CE5672"/>
    <w:rPr>
      <w:sz w:val="20"/>
      <w:szCs w:val="20"/>
    </w:rPr>
  </w:style>
  <w:style w:type="character" w:customStyle="1" w:styleId="CommentTextChar">
    <w:name w:val="Comment Text Char"/>
    <w:basedOn w:val="DefaultParagraphFont"/>
    <w:link w:val="CommentText"/>
    <w:uiPriority w:val="99"/>
    <w:semiHidden/>
    <w:rsid w:val="00CE5672"/>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CE5672"/>
    <w:rPr>
      <w:b/>
    </w:rPr>
  </w:style>
  <w:style w:type="character" w:customStyle="1" w:styleId="CommentSubjectChar">
    <w:name w:val="Comment Subject Char"/>
    <w:basedOn w:val="CommentTextChar"/>
    <w:link w:val="CommentSubject"/>
    <w:uiPriority w:val="99"/>
    <w:semiHidden/>
    <w:rsid w:val="00CE5672"/>
    <w:rPr>
      <w:rFonts w:eastAsia="Times New Roman"/>
      <w:b/>
      <w:bCs/>
      <w:sz w:val="20"/>
      <w:szCs w:val="20"/>
      <w:lang w:eastAsia="en-US"/>
    </w:rPr>
  </w:style>
  <w:style w:type="paragraph" w:styleId="NoSpacing">
    <w:name w:val="No Spacing"/>
    <w:uiPriority w:val="1"/>
    <w:qFormat/>
    <w:rsid w:val="00072D9C"/>
    <w:rPr>
      <w:rFonts w:asciiTheme="minorHAnsi" w:eastAsiaTheme="minorHAnsi" w:hAnsiTheme="minorHAnsi" w:cstheme="minorBidi"/>
      <w:sz w:val="22"/>
      <w:szCs w:val="22"/>
      <w:lang w:eastAsia="en-US"/>
    </w:rPr>
  </w:style>
  <w:style w:type="paragraph" w:styleId="TOC4">
    <w:name w:val="toc 4"/>
    <w:basedOn w:val="Normal"/>
    <w:next w:val="Normal"/>
    <w:autoRedefine/>
    <w:uiPriority w:val="39"/>
    <w:unhideWhenUsed/>
    <w:rsid w:val="004279A7"/>
    <w:pPr>
      <w:spacing w:after="100" w:line="276" w:lineRule="auto"/>
      <w:ind w:left="660"/>
    </w:pPr>
    <w:rPr>
      <w:rFonts w:asciiTheme="minorHAnsi" w:eastAsiaTheme="minorEastAsia" w:hAnsiTheme="minorHAnsi" w:cstheme="minorBidi"/>
      <w:bCs w:val="0"/>
      <w:sz w:val="22"/>
      <w:szCs w:val="22"/>
      <w:lang w:eastAsia="en-GB"/>
    </w:rPr>
  </w:style>
  <w:style w:type="paragraph" w:styleId="TOC5">
    <w:name w:val="toc 5"/>
    <w:basedOn w:val="Normal"/>
    <w:next w:val="Normal"/>
    <w:autoRedefine/>
    <w:uiPriority w:val="39"/>
    <w:unhideWhenUsed/>
    <w:rsid w:val="004279A7"/>
    <w:pPr>
      <w:spacing w:after="100" w:line="276" w:lineRule="auto"/>
      <w:ind w:left="880"/>
    </w:pPr>
    <w:rPr>
      <w:rFonts w:asciiTheme="minorHAnsi" w:eastAsiaTheme="minorEastAsia" w:hAnsiTheme="minorHAnsi" w:cstheme="minorBidi"/>
      <w:bCs w:val="0"/>
      <w:sz w:val="22"/>
      <w:szCs w:val="22"/>
      <w:lang w:eastAsia="en-GB"/>
    </w:rPr>
  </w:style>
  <w:style w:type="paragraph" w:styleId="TOC6">
    <w:name w:val="toc 6"/>
    <w:basedOn w:val="Normal"/>
    <w:next w:val="Normal"/>
    <w:autoRedefine/>
    <w:uiPriority w:val="39"/>
    <w:unhideWhenUsed/>
    <w:rsid w:val="004279A7"/>
    <w:pPr>
      <w:spacing w:after="100" w:line="276" w:lineRule="auto"/>
      <w:ind w:left="1100"/>
    </w:pPr>
    <w:rPr>
      <w:rFonts w:asciiTheme="minorHAnsi" w:eastAsiaTheme="minorEastAsia" w:hAnsiTheme="minorHAnsi" w:cstheme="minorBidi"/>
      <w:bCs w:val="0"/>
      <w:sz w:val="22"/>
      <w:szCs w:val="22"/>
      <w:lang w:eastAsia="en-GB"/>
    </w:rPr>
  </w:style>
  <w:style w:type="paragraph" w:styleId="TOC7">
    <w:name w:val="toc 7"/>
    <w:basedOn w:val="Normal"/>
    <w:next w:val="Normal"/>
    <w:autoRedefine/>
    <w:uiPriority w:val="39"/>
    <w:unhideWhenUsed/>
    <w:rsid w:val="004279A7"/>
    <w:pPr>
      <w:spacing w:after="100" w:line="276" w:lineRule="auto"/>
      <w:ind w:left="1320"/>
    </w:pPr>
    <w:rPr>
      <w:rFonts w:asciiTheme="minorHAnsi" w:eastAsiaTheme="minorEastAsia" w:hAnsiTheme="minorHAnsi" w:cstheme="minorBidi"/>
      <w:bCs w:val="0"/>
      <w:sz w:val="22"/>
      <w:szCs w:val="22"/>
      <w:lang w:eastAsia="en-GB"/>
    </w:rPr>
  </w:style>
  <w:style w:type="paragraph" w:styleId="TOC8">
    <w:name w:val="toc 8"/>
    <w:basedOn w:val="Normal"/>
    <w:next w:val="Normal"/>
    <w:autoRedefine/>
    <w:uiPriority w:val="39"/>
    <w:unhideWhenUsed/>
    <w:rsid w:val="004279A7"/>
    <w:pPr>
      <w:spacing w:after="100" w:line="276" w:lineRule="auto"/>
      <w:ind w:left="1540"/>
    </w:pPr>
    <w:rPr>
      <w:rFonts w:asciiTheme="minorHAnsi" w:eastAsiaTheme="minorEastAsia" w:hAnsiTheme="minorHAnsi" w:cstheme="minorBidi"/>
      <w:bCs w:val="0"/>
      <w:sz w:val="22"/>
      <w:szCs w:val="22"/>
      <w:lang w:eastAsia="en-GB"/>
    </w:rPr>
  </w:style>
  <w:style w:type="paragraph" w:styleId="TOC9">
    <w:name w:val="toc 9"/>
    <w:basedOn w:val="Normal"/>
    <w:next w:val="Normal"/>
    <w:autoRedefine/>
    <w:uiPriority w:val="39"/>
    <w:unhideWhenUsed/>
    <w:rsid w:val="004279A7"/>
    <w:pPr>
      <w:spacing w:after="100" w:line="276" w:lineRule="auto"/>
      <w:ind w:left="1760"/>
    </w:pPr>
    <w:rPr>
      <w:rFonts w:asciiTheme="minorHAnsi" w:eastAsiaTheme="minorEastAsia" w:hAnsiTheme="minorHAnsi" w:cstheme="minorBidi"/>
      <w:bCs w:val="0"/>
      <w:sz w:val="22"/>
      <w:szCs w:val="22"/>
      <w:lang w:eastAsia="en-GB"/>
    </w:rPr>
  </w:style>
  <w:style w:type="paragraph" w:styleId="FootnoteText">
    <w:name w:val="footnote text"/>
    <w:basedOn w:val="Normal"/>
    <w:link w:val="FootnoteTextChar"/>
    <w:uiPriority w:val="99"/>
    <w:semiHidden/>
    <w:unhideWhenUsed/>
    <w:rsid w:val="00EC20BF"/>
    <w:rPr>
      <w:sz w:val="20"/>
      <w:szCs w:val="20"/>
    </w:rPr>
  </w:style>
  <w:style w:type="character" w:customStyle="1" w:styleId="FootnoteTextChar">
    <w:name w:val="Footnote Text Char"/>
    <w:basedOn w:val="DefaultParagraphFont"/>
    <w:link w:val="FootnoteText"/>
    <w:uiPriority w:val="99"/>
    <w:semiHidden/>
    <w:rsid w:val="00EC20BF"/>
    <w:rPr>
      <w:rFonts w:eastAsia="Times New Roman"/>
      <w:bCs/>
      <w:sz w:val="20"/>
      <w:szCs w:val="20"/>
      <w:lang w:eastAsia="en-US"/>
    </w:rPr>
  </w:style>
  <w:style w:type="character" w:styleId="FootnoteReference">
    <w:name w:val="footnote reference"/>
    <w:basedOn w:val="DefaultParagraphFont"/>
    <w:uiPriority w:val="99"/>
    <w:semiHidden/>
    <w:rsid w:val="00EC20BF"/>
    <w:rPr>
      <w:rFonts w:cs="Times New Roman"/>
      <w:vertAlign w:val="superscript"/>
    </w:rPr>
  </w:style>
  <w:style w:type="character" w:customStyle="1" w:styleId="ListParagraphChar">
    <w:name w:val="List Paragraph Char"/>
    <w:link w:val="ListParagraph"/>
    <w:uiPriority w:val="34"/>
    <w:locked/>
    <w:rsid w:val="00D723C3"/>
    <w:rPr>
      <w:rFonts w:eastAsia="Times New Roman"/>
      <w:bCs/>
      <w:szCs w:val="26"/>
      <w:lang w:eastAsia="en-US"/>
    </w:rPr>
  </w:style>
  <w:style w:type="paragraph" w:customStyle="1" w:styleId="eb3ece38-9c16-42fb-aa70-07d13b8e1adc">
    <w:name w:val="eb3ece38-9c16-42fb-aa70-07d13b8e1adc"/>
    <w:basedOn w:val="Normal"/>
    <w:rsid w:val="00AC189E"/>
    <w:rPr>
      <w:rFonts w:ascii="Times New Roman" w:hAnsi="Times New Roman"/>
      <w:bCs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7299">
      <w:bodyDiv w:val="1"/>
      <w:marLeft w:val="0"/>
      <w:marRight w:val="0"/>
      <w:marTop w:val="0"/>
      <w:marBottom w:val="0"/>
      <w:divBdr>
        <w:top w:val="none" w:sz="0" w:space="0" w:color="auto"/>
        <w:left w:val="none" w:sz="0" w:space="0" w:color="auto"/>
        <w:bottom w:val="none" w:sz="0" w:space="0" w:color="auto"/>
        <w:right w:val="none" w:sz="0" w:space="0" w:color="auto"/>
      </w:divBdr>
    </w:div>
    <w:div w:id="389422099">
      <w:bodyDiv w:val="1"/>
      <w:marLeft w:val="0"/>
      <w:marRight w:val="0"/>
      <w:marTop w:val="0"/>
      <w:marBottom w:val="0"/>
      <w:divBdr>
        <w:top w:val="none" w:sz="0" w:space="0" w:color="auto"/>
        <w:left w:val="none" w:sz="0" w:space="0" w:color="auto"/>
        <w:bottom w:val="none" w:sz="0" w:space="0" w:color="auto"/>
        <w:right w:val="none" w:sz="0" w:space="0" w:color="auto"/>
      </w:divBdr>
    </w:div>
    <w:div w:id="429544552">
      <w:bodyDiv w:val="1"/>
      <w:marLeft w:val="0"/>
      <w:marRight w:val="0"/>
      <w:marTop w:val="0"/>
      <w:marBottom w:val="0"/>
      <w:divBdr>
        <w:top w:val="none" w:sz="0" w:space="0" w:color="auto"/>
        <w:left w:val="none" w:sz="0" w:space="0" w:color="auto"/>
        <w:bottom w:val="none" w:sz="0" w:space="0" w:color="auto"/>
        <w:right w:val="none" w:sz="0" w:space="0" w:color="auto"/>
      </w:divBdr>
    </w:div>
    <w:div w:id="588587012">
      <w:bodyDiv w:val="1"/>
      <w:marLeft w:val="0"/>
      <w:marRight w:val="0"/>
      <w:marTop w:val="0"/>
      <w:marBottom w:val="0"/>
      <w:divBdr>
        <w:top w:val="none" w:sz="0" w:space="0" w:color="auto"/>
        <w:left w:val="none" w:sz="0" w:space="0" w:color="auto"/>
        <w:bottom w:val="none" w:sz="0" w:space="0" w:color="auto"/>
        <w:right w:val="none" w:sz="0" w:space="0" w:color="auto"/>
      </w:divBdr>
    </w:div>
    <w:div w:id="1247230997">
      <w:bodyDiv w:val="1"/>
      <w:marLeft w:val="0"/>
      <w:marRight w:val="0"/>
      <w:marTop w:val="0"/>
      <w:marBottom w:val="0"/>
      <w:divBdr>
        <w:top w:val="none" w:sz="0" w:space="0" w:color="auto"/>
        <w:left w:val="none" w:sz="0" w:space="0" w:color="auto"/>
        <w:bottom w:val="none" w:sz="0" w:space="0" w:color="auto"/>
        <w:right w:val="none" w:sz="0" w:space="0" w:color="auto"/>
      </w:divBdr>
    </w:div>
    <w:div w:id="1367876171">
      <w:bodyDiv w:val="1"/>
      <w:marLeft w:val="0"/>
      <w:marRight w:val="0"/>
      <w:marTop w:val="0"/>
      <w:marBottom w:val="0"/>
      <w:divBdr>
        <w:top w:val="none" w:sz="0" w:space="0" w:color="auto"/>
        <w:left w:val="none" w:sz="0" w:space="0" w:color="auto"/>
        <w:bottom w:val="none" w:sz="0" w:space="0" w:color="auto"/>
        <w:right w:val="none" w:sz="0" w:space="0" w:color="auto"/>
      </w:divBdr>
    </w:div>
    <w:div w:id="1443374728">
      <w:bodyDiv w:val="1"/>
      <w:marLeft w:val="0"/>
      <w:marRight w:val="0"/>
      <w:marTop w:val="0"/>
      <w:marBottom w:val="0"/>
      <w:divBdr>
        <w:top w:val="none" w:sz="0" w:space="0" w:color="auto"/>
        <w:left w:val="none" w:sz="0" w:space="0" w:color="auto"/>
        <w:bottom w:val="none" w:sz="0" w:space="0" w:color="auto"/>
        <w:right w:val="none" w:sz="0" w:space="0" w:color="auto"/>
      </w:divBdr>
    </w:div>
    <w:div w:id="1491019060">
      <w:bodyDiv w:val="1"/>
      <w:marLeft w:val="0"/>
      <w:marRight w:val="0"/>
      <w:marTop w:val="0"/>
      <w:marBottom w:val="0"/>
      <w:divBdr>
        <w:top w:val="none" w:sz="0" w:space="0" w:color="auto"/>
        <w:left w:val="none" w:sz="0" w:space="0" w:color="auto"/>
        <w:bottom w:val="none" w:sz="0" w:space="0" w:color="auto"/>
        <w:right w:val="none" w:sz="0" w:space="0" w:color="auto"/>
      </w:divBdr>
    </w:div>
    <w:div w:id="1602831675">
      <w:bodyDiv w:val="1"/>
      <w:marLeft w:val="0"/>
      <w:marRight w:val="0"/>
      <w:marTop w:val="0"/>
      <w:marBottom w:val="0"/>
      <w:divBdr>
        <w:top w:val="none" w:sz="0" w:space="0" w:color="auto"/>
        <w:left w:val="none" w:sz="0" w:space="0" w:color="auto"/>
        <w:bottom w:val="none" w:sz="0" w:space="0" w:color="auto"/>
        <w:right w:val="none" w:sz="0" w:space="0" w:color="auto"/>
      </w:divBdr>
    </w:div>
    <w:div w:id="1800486337">
      <w:bodyDiv w:val="1"/>
      <w:marLeft w:val="0"/>
      <w:marRight w:val="0"/>
      <w:marTop w:val="0"/>
      <w:marBottom w:val="0"/>
      <w:divBdr>
        <w:top w:val="none" w:sz="0" w:space="0" w:color="auto"/>
        <w:left w:val="none" w:sz="0" w:space="0" w:color="auto"/>
        <w:bottom w:val="none" w:sz="0" w:space="0" w:color="auto"/>
        <w:right w:val="none" w:sz="0" w:space="0" w:color="auto"/>
      </w:divBdr>
    </w:div>
    <w:div w:id="1887061280">
      <w:bodyDiv w:val="1"/>
      <w:marLeft w:val="0"/>
      <w:marRight w:val="0"/>
      <w:marTop w:val="0"/>
      <w:marBottom w:val="0"/>
      <w:divBdr>
        <w:top w:val="none" w:sz="0" w:space="0" w:color="auto"/>
        <w:left w:val="none" w:sz="0" w:space="0" w:color="auto"/>
        <w:bottom w:val="none" w:sz="0" w:space="0" w:color="auto"/>
        <w:right w:val="none" w:sz="0" w:space="0" w:color="auto"/>
      </w:divBdr>
    </w:div>
    <w:div w:id="1948538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ngland.nhs.uk/revalidation/appraisers/improving-the-inputs-to-medical-apprais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K57F673QWXRZ-1374-156</_dlc_DocId>
    <_dlc_DocIdUrl xmlns="cccaf3ac-2de9-44d4-aa31-54302fceb5f7">
      <Url>https://nhsengland.sharepoint.com/TeamCentre/VisionandValues/_layouts/15/DocIdRedir.aspx?ID=K57F673QWXRZ-1374-156</Url>
      <Description>K57F673QWXRZ-1374-156</Description>
    </_dlc_DocIdUrl>
    <SharedWithUsers xmlns="11cf67b4-8be8-4203-926d-b1451d6a364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3" ma:contentTypeDescription="Create a new document." ma:contentTypeScope="" ma:versionID="a344d1057794c48fd0fff89aed5dc35a">
  <xsd:schema xmlns:xsd="http://www.w3.org/2001/XMLSchema" xmlns:xs="http://www.w3.org/2001/XMLSchema" xmlns:p="http://schemas.microsoft.com/office/2006/metadata/properties" xmlns:ns2="cccaf3ac-2de9-44d4-aa31-54302fceb5f7" xmlns:ns3="11cf67b4-8be8-4203-926d-b1451d6a3644" xmlns:ns4="51367701-27c8-403e-a234-85855c5cd73e" targetNamespace="http://schemas.microsoft.com/office/2006/metadata/properties" ma:root="true" ma:fieldsID="4fe8d4dcd66a9417aaaed5e9ee538e9d" ns2:_="" ns3:_="" ns4:_="">
    <xsd:import namespace="cccaf3ac-2de9-44d4-aa31-54302fceb5f7"/>
    <xsd:import namespace="11cf67b4-8be8-4203-926d-b1451d6a3644"/>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42EE3-990B-422E-84FD-16C4B43C5649}">
  <ds:schemaRefs>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1367701-27c8-403e-a234-85855c5cd73e"/>
    <ds:schemaRef ds:uri="11cf67b4-8be8-4203-926d-b1451d6a3644"/>
    <ds:schemaRef ds:uri="cccaf3ac-2de9-44d4-aa31-54302fceb5f7"/>
    <ds:schemaRef ds:uri="http://purl.org/dc/dcmitype/"/>
    <ds:schemaRef ds:uri="http://purl.org/dc/elements/1.1/"/>
  </ds:schemaRefs>
</ds:datastoreItem>
</file>

<file path=customXml/itemProps2.xml><?xml version="1.0" encoding="utf-8"?>
<ds:datastoreItem xmlns:ds="http://schemas.openxmlformats.org/officeDocument/2006/customXml" ds:itemID="{D7AE7360-BFC9-405A-8F9F-219F7EF0EF96}">
  <ds:schemaRefs>
    <ds:schemaRef ds:uri="http://schemas.microsoft.com/sharepoint/v3/contenttype/forms"/>
  </ds:schemaRefs>
</ds:datastoreItem>
</file>

<file path=customXml/itemProps3.xml><?xml version="1.0" encoding="utf-8"?>
<ds:datastoreItem xmlns:ds="http://schemas.openxmlformats.org/officeDocument/2006/customXml" ds:itemID="{AD89D006-5D55-4BA9-9B41-2AC25429C476}">
  <ds:schemaRefs>
    <ds:schemaRef ds:uri="http://schemas.microsoft.com/sharepoint/events"/>
  </ds:schemaRefs>
</ds:datastoreItem>
</file>

<file path=customXml/itemProps4.xml><?xml version="1.0" encoding="utf-8"?>
<ds:datastoreItem xmlns:ds="http://schemas.openxmlformats.org/officeDocument/2006/customXml" ds:itemID="{10D18EF8-B174-4EFB-97B6-23DD05EE3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11cf67b4-8be8-4203-926d-b1451d6a3644"/>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256078-F8D5-4F39-B40D-5EF98315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14</TotalTime>
  <Pages>3</Pages>
  <Words>1247</Words>
  <Characters>7112</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NHS England policy template 1 - half page cover photo</vt:lpstr>
    </vt:vector>
  </TitlesOfParts>
  <Company>Smith &amp; Milton</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policy template 1 - half page cover photo</dc:title>
  <dc:creator>Sarah Hunter</dc:creator>
  <cp:lastModifiedBy>Kirk, Jenny</cp:lastModifiedBy>
  <cp:revision>6</cp:revision>
  <cp:lastPrinted>2016-04-18T11:05:00Z</cp:lastPrinted>
  <dcterms:created xsi:type="dcterms:W3CDTF">2016-05-06T11:33:00Z</dcterms:created>
  <dcterms:modified xsi:type="dcterms:W3CDTF">2016-05-20T09:43:00Z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0x010100C8D083DDF8B2CE45ABEDBAB4F90C7050</vt:lpwstr>
  </property>
  <property fmtid="{D5CDD505-2E9C-101B-9397-08002B2CF9AE}" pid="3" name="_dlc_DocIdItemGuid">
    <vt:lpwstr>5ccb9abb-d984-4fb3-98db-9c86836ba983</vt:lpwstr>
  </property>
</Properties>
</file>