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1C8" w:rsidRDefault="00FC62CF" w:rsidP="004801C8">
      <w:pPr>
        <w:pStyle w:val="Heading2"/>
        <w:numPr>
          <w:ilvl w:val="0"/>
          <w:numId w:val="0"/>
        </w:numPr>
        <w:spacing w:after="240" w:line="240" w:lineRule="auto"/>
      </w:pPr>
      <w:bookmarkStart w:id="0" w:name="_Appendix_F:_Examples_1"/>
      <w:bookmarkStart w:id="1" w:name="_Toc446589115"/>
      <w:bookmarkEnd w:id="0"/>
      <w:r w:rsidRPr="00D97263">
        <w:rPr>
          <w:rFonts w:cs="Arial"/>
          <w:noProof/>
          <w:sz w:val="24"/>
          <w:szCs w:val="24"/>
          <w:lang w:eastAsia="en-GB"/>
        </w:rPr>
        <w:drawing>
          <wp:anchor distT="0" distB="0" distL="114300" distR="114300" simplePos="0" relativeHeight="251659264" behindDoc="1" locked="0" layoutInCell="1" allowOverlap="1" wp14:anchorId="1DEC2D8D" wp14:editId="089C4DEC">
            <wp:simplePos x="0" y="0"/>
            <wp:positionH relativeFrom="page">
              <wp:posOffset>6132195</wp:posOffset>
            </wp:positionH>
            <wp:positionV relativeFrom="page">
              <wp:posOffset>200660</wp:posOffset>
            </wp:positionV>
            <wp:extent cx="1155065" cy="719455"/>
            <wp:effectExtent l="0" t="0" r="6985" b="4445"/>
            <wp:wrapTight wrapText="bothSides">
              <wp:wrapPolygon edited="0">
                <wp:start x="3919" y="0"/>
                <wp:lineTo x="3919" y="9151"/>
                <wp:lineTo x="0" y="13154"/>
                <wp:lineTo x="0" y="20018"/>
                <wp:lineTo x="5344" y="21162"/>
                <wp:lineTo x="9262" y="21162"/>
                <wp:lineTo x="21374" y="20018"/>
                <wp:lineTo x="21374" y="0"/>
                <wp:lineTo x="391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4.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55065" cy="719455"/>
                    </a:xfrm>
                    <a:prstGeom prst="rect">
                      <a:avLst/>
                    </a:prstGeom>
                  </pic:spPr>
                </pic:pic>
              </a:graphicData>
            </a:graphic>
            <wp14:sizeRelH relativeFrom="page">
              <wp14:pctWidth>0</wp14:pctWidth>
            </wp14:sizeRelH>
            <wp14:sizeRelV relativeFrom="page">
              <wp14:pctHeight>0</wp14:pctHeight>
            </wp14:sizeRelV>
          </wp:anchor>
        </w:drawing>
      </w:r>
      <w:r w:rsidR="004801C8">
        <w:t>Appendix F: Examples of good practice in areas relating to ap</w:t>
      </w:r>
      <w:bookmarkStart w:id="2" w:name="_Appendix_C:_Assessing"/>
      <w:bookmarkEnd w:id="2"/>
      <w:r w:rsidR="004801C8">
        <w:t>praisal inputs</w:t>
      </w:r>
      <w:bookmarkEnd w:id="1"/>
      <w:r w:rsidR="004801C8">
        <w:t xml:space="preserve"> </w:t>
      </w:r>
    </w:p>
    <w:p w:rsidR="004801C8" w:rsidRDefault="004801C8" w:rsidP="004801C8">
      <w:r>
        <w:t xml:space="preserve">The anonymised examples in this appendix illustrate known examples where the process or principle described in this document are already being put into action. For more details on individual examples, or to be put into contact with those involved with each example, please contact </w:t>
      </w:r>
      <w:hyperlink r:id="rId14" w:history="1">
        <w:r w:rsidRPr="00184C1B">
          <w:rPr>
            <w:rStyle w:val="Hyperlink"/>
          </w:rPr>
          <w:t>england.revalidation-pmo@nhs.net</w:t>
        </w:r>
      </w:hyperlink>
      <w:r>
        <w:t xml:space="preserve">. </w:t>
      </w:r>
    </w:p>
    <w:p w:rsidR="004801C8" w:rsidRDefault="004801C8" w:rsidP="004801C8"/>
    <w:p w:rsidR="004801C8" w:rsidRDefault="004801C8" w:rsidP="004801C8">
      <w:r>
        <w:t>As progress is made across England further examples will be identified and may be added to this list.</w:t>
      </w:r>
    </w:p>
    <w:p w:rsidR="004801C8" w:rsidRPr="0036470F" w:rsidRDefault="004801C8" w:rsidP="004801C8"/>
    <w:p w:rsidR="004801C8" w:rsidRPr="00B36FF5" w:rsidRDefault="004801C8" w:rsidP="00D42C5A">
      <w:pPr>
        <w:pStyle w:val="Heading1"/>
        <w:numPr>
          <w:ilvl w:val="0"/>
          <w:numId w:val="0"/>
        </w:numPr>
        <w:spacing w:after="120"/>
        <w:rPr>
          <w:sz w:val="28"/>
        </w:rPr>
      </w:pPr>
      <w:bookmarkStart w:id="3" w:name="_Toc446589116"/>
      <w:r w:rsidRPr="00B36FF5">
        <w:rPr>
          <w:sz w:val="28"/>
        </w:rPr>
        <w:t>Example 1</w:t>
      </w:r>
      <w:bookmarkEnd w:id="3"/>
    </w:p>
    <w:p w:rsidR="004801C8" w:rsidRDefault="004801C8" w:rsidP="00A12F9D">
      <w:pPr>
        <w:pStyle w:val="Heading3"/>
        <w:numPr>
          <w:ilvl w:val="0"/>
          <w:numId w:val="0"/>
        </w:numPr>
        <w:spacing w:line="240" w:lineRule="auto"/>
      </w:pPr>
      <w:bookmarkStart w:id="4" w:name="_Toc446589117"/>
      <w:r>
        <w:t>Synergy between clinical governance and appraisal (Section 4.1)</w:t>
      </w:r>
      <w:bookmarkEnd w:id="4"/>
    </w:p>
    <w:p w:rsidR="004801C8" w:rsidRDefault="00CF0FAF" w:rsidP="00A12F9D">
      <w:pPr>
        <w:pStyle w:val="Heading3"/>
        <w:numPr>
          <w:ilvl w:val="0"/>
          <w:numId w:val="0"/>
        </w:numPr>
        <w:spacing w:line="240" w:lineRule="auto"/>
      </w:pPr>
      <w:bookmarkStart w:id="5" w:name="_Toc446589118"/>
      <w:r>
        <w:t>Organisations</w:t>
      </w:r>
      <w:r w:rsidR="004801C8">
        <w:t xml:space="preserve"> who help their doctors gather supporting information (Section 5.1)</w:t>
      </w:r>
      <w:bookmarkEnd w:id="5"/>
    </w:p>
    <w:p w:rsidR="004801C8" w:rsidRPr="00B36FF5" w:rsidRDefault="00CF0FAF" w:rsidP="00A12F9D">
      <w:pPr>
        <w:pStyle w:val="Heading3"/>
        <w:numPr>
          <w:ilvl w:val="0"/>
          <w:numId w:val="0"/>
        </w:numPr>
        <w:spacing w:line="240" w:lineRule="auto"/>
      </w:pPr>
      <w:bookmarkStart w:id="6" w:name="_Toc446589119"/>
      <w:r>
        <w:t>Places</w:t>
      </w:r>
      <w:r w:rsidR="004801C8">
        <w:t xml:space="preserve"> where clinical governance information is fed into appraisal (Section 4.2)</w:t>
      </w:r>
      <w:bookmarkEnd w:id="6"/>
    </w:p>
    <w:p w:rsidR="004801C8" w:rsidRDefault="004801C8" w:rsidP="004801C8">
      <w:r>
        <w:t>In a NHS Foundation Trust in the north of England data is provided annually to each appraisee to assist with the appraisal process. The DATIX incident reporting system provides basic information relating to serious incidents, complaints and claims where the doctor is named. The Health Informatics department also provide information relating to activity</w:t>
      </w:r>
      <w:bookmarkStart w:id="7" w:name="_GoBack"/>
      <w:bookmarkEnd w:id="7"/>
      <w:r>
        <w:t xml:space="preserve"> data, benchmarking data (Dr Foster) and attendance at audit.</w:t>
      </w:r>
      <w:r>
        <w:br/>
        <w:t>The aim is to discuss such matters in a formative context with the output being that the issue has been considered and reflected on.</w:t>
      </w:r>
    </w:p>
    <w:p w:rsidR="004801C8" w:rsidRDefault="004801C8" w:rsidP="004801C8">
      <w:pPr>
        <w:ind w:left="720"/>
        <w:rPr>
          <w:u w:val="single"/>
        </w:rPr>
      </w:pPr>
    </w:p>
    <w:p w:rsidR="004801C8" w:rsidRPr="00B36FF5" w:rsidRDefault="004801C8" w:rsidP="00D42C5A">
      <w:pPr>
        <w:pStyle w:val="Heading1"/>
        <w:numPr>
          <w:ilvl w:val="0"/>
          <w:numId w:val="0"/>
        </w:numPr>
        <w:spacing w:after="120"/>
        <w:rPr>
          <w:sz w:val="28"/>
        </w:rPr>
      </w:pPr>
      <w:bookmarkStart w:id="8" w:name="_Toc446589120"/>
      <w:r w:rsidRPr="00B36FF5">
        <w:rPr>
          <w:sz w:val="28"/>
        </w:rPr>
        <w:t>Example 2</w:t>
      </w:r>
      <w:bookmarkEnd w:id="8"/>
    </w:p>
    <w:p w:rsidR="004801C8" w:rsidRDefault="004801C8" w:rsidP="00A12F9D">
      <w:pPr>
        <w:pStyle w:val="Heading3"/>
        <w:numPr>
          <w:ilvl w:val="0"/>
          <w:numId w:val="0"/>
        </w:numPr>
        <w:spacing w:line="240" w:lineRule="auto"/>
      </w:pPr>
      <w:bookmarkStart w:id="9" w:name="_Toc446589121"/>
      <w:r>
        <w:t>Synergy between clinical governance and appraisal (Section 4.1)</w:t>
      </w:r>
      <w:bookmarkEnd w:id="9"/>
    </w:p>
    <w:p w:rsidR="004801C8" w:rsidRDefault="00CF0FAF" w:rsidP="00A12F9D">
      <w:pPr>
        <w:pStyle w:val="Heading3"/>
        <w:numPr>
          <w:ilvl w:val="0"/>
          <w:numId w:val="0"/>
        </w:numPr>
        <w:spacing w:line="240" w:lineRule="auto"/>
      </w:pPr>
      <w:bookmarkStart w:id="10" w:name="_Toc446589122"/>
      <w:r>
        <w:t>Organisations</w:t>
      </w:r>
      <w:r w:rsidR="004801C8">
        <w:t xml:space="preserve"> who help their doctors gather supporting information (Section 5.1)</w:t>
      </w:r>
      <w:bookmarkEnd w:id="10"/>
    </w:p>
    <w:p w:rsidR="004801C8" w:rsidRPr="00B36FF5" w:rsidRDefault="00CF0FAF" w:rsidP="00A12F9D">
      <w:pPr>
        <w:pStyle w:val="Heading3"/>
        <w:numPr>
          <w:ilvl w:val="0"/>
          <w:numId w:val="0"/>
        </w:numPr>
        <w:spacing w:line="240" w:lineRule="auto"/>
      </w:pPr>
      <w:bookmarkStart w:id="11" w:name="_Toc446589123"/>
      <w:r>
        <w:t>Places</w:t>
      </w:r>
      <w:r w:rsidR="004801C8">
        <w:t xml:space="preserve"> where clinical governance information is fed into appraisal (Section 4.2)</w:t>
      </w:r>
      <w:bookmarkEnd w:id="11"/>
    </w:p>
    <w:p w:rsidR="004801C8" w:rsidRDefault="004801C8" w:rsidP="004801C8">
      <w:r w:rsidRPr="0035433D">
        <w:t xml:space="preserve">A large FT in the North West has developed a mechanism for sharing all of a doctor’s SUI’s SIRI’s and Complaints with them three months before their appraisal, for them to reflect on at their appraisal rather than having to record these themselves. </w:t>
      </w:r>
      <w:r>
        <w:t>In addition</w:t>
      </w:r>
      <w:r w:rsidRPr="0035433D">
        <w:t xml:space="preserve"> if a doctor is recommended any support following a concern e</w:t>
      </w:r>
      <w:r>
        <w:t>.</w:t>
      </w:r>
      <w:r w:rsidRPr="0035433D">
        <w:t>g</w:t>
      </w:r>
      <w:r>
        <w:t>. coaching details or</w:t>
      </w:r>
      <w:r w:rsidRPr="0035433D">
        <w:t xml:space="preserve"> any communication about this</w:t>
      </w:r>
      <w:r>
        <w:t xml:space="preserve"> such as a </w:t>
      </w:r>
      <w:r w:rsidRPr="0035433D">
        <w:t xml:space="preserve">letter from </w:t>
      </w:r>
      <w:r>
        <w:t>the medical director</w:t>
      </w:r>
      <w:r w:rsidRPr="0035433D">
        <w:t xml:space="preserve"> to</w:t>
      </w:r>
      <w:r>
        <w:t xml:space="preserve"> the </w:t>
      </w:r>
      <w:r w:rsidRPr="0035433D">
        <w:t>doctor</w:t>
      </w:r>
      <w:r>
        <w:t>, this</w:t>
      </w:r>
      <w:r w:rsidRPr="0035433D">
        <w:t xml:space="preserve"> is automatically uploaded on the doctor’s appraisal folder so they can reflect on it at appraisal.  </w:t>
      </w:r>
    </w:p>
    <w:p w:rsidR="004801C8" w:rsidRDefault="004801C8" w:rsidP="004801C8">
      <w:pPr>
        <w:rPr>
          <w:color w:val="CC0066"/>
          <w:u w:val="single"/>
        </w:rPr>
      </w:pPr>
    </w:p>
    <w:p w:rsidR="004801C8" w:rsidRDefault="004801C8" w:rsidP="004801C8">
      <w:r w:rsidRPr="0035433D">
        <w:t xml:space="preserve">The </w:t>
      </w:r>
      <w:r>
        <w:t>medical director</w:t>
      </w:r>
      <w:r w:rsidRPr="0035433D">
        <w:t xml:space="preserve"> says: We find that this is an effective way of being confident that our doctors include these important events in their appraisal. </w:t>
      </w:r>
    </w:p>
    <w:p w:rsidR="004801C8" w:rsidRPr="0035433D" w:rsidRDefault="004801C8" w:rsidP="00D42C5A"/>
    <w:p w:rsidR="004801C8" w:rsidRPr="00B36FF5" w:rsidRDefault="004801C8" w:rsidP="00D42C5A">
      <w:pPr>
        <w:pStyle w:val="Heading1"/>
        <w:numPr>
          <w:ilvl w:val="0"/>
          <w:numId w:val="0"/>
        </w:numPr>
        <w:spacing w:after="120"/>
        <w:rPr>
          <w:sz w:val="28"/>
        </w:rPr>
      </w:pPr>
      <w:bookmarkStart w:id="12" w:name="_Toc446589124"/>
      <w:r w:rsidRPr="00B36FF5">
        <w:rPr>
          <w:sz w:val="28"/>
        </w:rPr>
        <w:t>Example 3</w:t>
      </w:r>
      <w:bookmarkEnd w:id="12"/>
    </w:p>
    <w:p w:rsidR="004801C8" w:rsidRPr="003F3925" w:rsidRDefault="004801C8" w:rsidP="00A12F9D">
      <w:pPr>
        <w:pStyle w:val="Heading3"/>
        <w:numPr>
          <w:ilvl w:val="0"/>
          <w:numId w:val="0"/>
        </w:numPr>
        <w:spacing w:line="240" w:lineRule="auto"/>
      </w:pPr>
      <w:bookmarkStart w:id="13" w:name="_Toc446589125"/>
      <w:r>
        <w:t xml:space="preserve">Designated bodies </w:t>
      </w:r>
      <w:r w:rsidRPr="002044DB">
        <w:t>where there is a clear process for assessing appraisal inputs and resolving the matter when there is uncertainty about whether these are sufficient</w:t>
      </w:r>
      <w:r>
        <w:t xml:space="preserve"> (Section 4.4)</w:t>
      </w:r>
      <w:bookmarkEnd w:id="13"/>
    </w:p>
    <w:p w:rsidR="004801C8" w:rsidRDefault="004801C8" w:rsidP="004801C8">
      <w:r>
        <w:t>One secondary care provider arranges for the appraisal lead to screen all appraisal submissions before the appraisals proceed</w:t>
      </w:r>
      <w:r w:rsidR="00CF0FAF">
        <w:t>.</w:t>
      </w:r>
    </w:p>
    <w:p w:rsidR="004801C8" w:rsidRDefault="004801C8" w:rsidP="004801C8"/>
    <w:p w:rsidR="004801C8" w:rsidRPr="00B36FF5" w:rsidRDefault="004801C8" w:rsidP="00D42C5A">
      <w:pPr>
        <w:pStyle w:val="Heading1"/>
        <w:numPr>
          <w:ilvl w:val="0"/>
          <w:numId w:val="0"/>
        </w:numPr>
        <w:spacing w:after="120"/>
        <w:rPr>
          <w:sz w:val="28"/>
        </w:rPr>
      </w:pPr>
      <w:bookmarkStart w:id="14" w:name="_Toc446589126"/>
      <w:r w:rsidRPr="00B36FF5">
        <w:rPr>
          <w:sz w:val="28"/>
        </w:rPr>
        <w:t>Example 4</w:t>
      </w:r>
      <w:bookmarkEnd w:id="14"/>
    </w:p>
    <w:p w:rsidR="004801C8" w:rsidRDefault="004801C8" w:rsidP="00A12F9D">
      <w:pPr>
        <w:pStyle w:val="Heading3"/>
        <w:numPr>
          <w:ilvl w:val="0"/>
          <w:numId w:val="0"/>
        </w:numPr>
        <w:spacing w:line="240" w:lineRule="auto"/>
      </w:pPr>
      <w:bookmarkStart w:id="15" w:name="_Toc446589127"/>
      <w:r w:rsidRPr="002044DB">
        <w:t>Places where the local responsible officer and doctors have agreed to participate in local quality initiatives, the outputs from which are suitable for the doctors to use at appraisal</w:t>
      </w:r>
      <w:r>
        <w:t xml:space="preserve"> (Section 5.6)</w:t>
      </w:r>
      <w:bookmarkEnd w:id="15"/>
    </w:p>
    <w:p w:rsidR="004801C8" w:rsidRPr="00046700" w:rsidRDefault="004801C8" w:rsidP="004801C8">
      <w:r>
        <w:lastRenderedPageBreak/>
        <w:t>In London, an initiative between cancer leads and the local appraisal teams has led to general practitioners being invited to complete a review template following a diagnosis of cancer in one of their patients. They can then reflect on the matter at their appraisal for their own professional development and share insights gleaned with the initiative to improve cancer diagnosis within the local system.</w:t>
      </w:r>
      <w:r w:rsidRPr="00046700">
        <w:t xml:space="preserve"> </w:t>
      </w:r>
    </w:p>
    <w:p w:rsidR="004801C8" w:rsidRPr="00B83D6D" w:rsidRDefault="004801C8" w:rsidP="004801C8"/>
    <w:p w:rsidR="004801C8" w:rsidRPr="00B36FF5" w:rsidRDefault="004801C8" w:rsidP="00D42C5A">
      <w:pPr>
        <w:pStyle w:val="Heading1"/>
        <w:numPr>
          <w:ilvl w:val="0"/>
          <w:numId w:val="0"/>
        </w:numPr>
        <w:spacing w:after="120"/>
        <w:rPr>
          <w:sz w:val="28"/>
        </w:rPr>
      </w:pPr>
      <w:bookmarkStart w:id="16" w:name="_Toc446589128"/>
      <w:r w:rsidRPr="00B36FF5">
        <w:rPr>
          <w:sz w:val="28"/>
        </w:rPr>
        <w:t>Example 5</w:t>
      </w:r>
      <w:bookmarkEnd w:id="16"/>
    </w:p>
    <w:p w:rsidR="004801C8" w:rsidRDefault="004801C8" w:rsidP="004801C8">
      <w:pPr>
        <w:pStyle w:val="Heading3"/>
        <w:numPr>
          <w:ilvl w:val="0"/>
          <w:numId w:val="0"/>
        </w:numPr>
      </w:pPr>
      <w:bookmarkStart w:id="17" w:name="_Toc446589129"/>
      <w:r>
        <w:t>Networking in action between responsible officers (Section 4.2)</w:t>
      </w:r>
      <w:bookmarkEnd w:id="17"/>
    </w:p>
    <w:p w:rsidR="004801C8" w:rsidRDefault="004801C8" w:rsidP="004801C8">
      <w:r>
        <w:t>In addition to the established responsible officer network meetings, several responsible officers in the north of England participate in a ‘buddying’ arrangement whereby the responsible officers work in pairs to provide advice and calibration to each other.</w:t>
      </w:r>
    </w:p>
    <w:p w:rsidR="004801C8" w:rsidRDefault="004801C8" w:rsidP="004801C8">
      <w:pPr>
        <w:pStyle w:val="Heading1"/>
        <w:numPr>
          <w:ilvl w:val="0"/>
          <w:numId w:val="0"/>
        </w:numPr>
      </w:pPr>
    </w:p>
    <w:p w:rsidR="004801C8" w:rsidRPr="00B36FF5" w:rsidRDefault="004801C8" w:rsidP="00D42C5A">
      <w:pPr>
        <w:pStyle w:val="Heading1"/>
        <w:numPr>
          <w:ilvl w:val="0"/>
          <w:numId w:val="0"/>
        </w:numPr>
        <w:spacing w:after="120"/>
        <w:rPr>
          <w:sz w:val="28"/>
        </w:rPr>
      </w:pPr>
      <w:bookmarkStart w:id="18" w:name="_Toc446589130"/>
      <w:r w:rsidRPr="00B36FF5">
        <w:rPr>
          <w:sz w:val="28"/>
        </w:rPr>
        <w:t>Example 6</w:t>
      </w:r>
      <w:bookmarkEnd w:id="18"/>
    </w:p>
    <w:p w:rsidR="004801C8" w:rsidRDefault="004801C8" w:rsidP="004801C8">
      <w:pPr>
        <w:pStyle w:val="Heading3"/>
        <w:numPr>
          <w:ilvl w:val="0"/>
          <w:numId w:val="0"/>
        </w:numPr>
      </w:pPr>
      <w:bookmarkStart w:id="19" w:name="_Toc446589131"/>
      <w:r>
        <w:t>Networking in action between responsible officers (Section 4.2)</w:t>
      </w:r>
      <w:bookmarkEnd w:id="19"/>
    </w:p>
    <w:p w:rsidR="004801C8" w:rsidRDefault="004801C8" w:rsidP="004801C8">
      <w:r>
        <w:t>Also in the north of England, and also in addition to the established responsible officer network meetings, a group of six responsible officers meet regularly to liaise on common issues.</w:t>
      </w:r>
    </w:p>
    <w:p w:rsidR="004801C8" w:rsidRDefault="004801C8" w:rsidP="004801C8">
      <w:pPr>
        <w:ind w:firstLine="720"/>
        <w:rPr>
          <w:color w:val="CC0066"/>
          <w:u w:val="single"/>
        </w:rPr>
      </w:pPr>
    </w:p>
    <w:p w:rsidR="004801C8" w:rsidRPr="00B36FF5" w:rsidRDefault="004801C8" w:rsidP="00D42C5A">
      <w:pPr>
        <w:pStyle w:val="Heading1"/>
        <w:numPr>
          <w:ilvl w:val="0"/>
          <w:numId w:val="0"/>
        </w:numPr>
        <w:spacing w:after="120"/>
        <w:rPr>
          <w:sz w:val="28"/>
        </w:rPr>
      </w:pPr>
      <w:bookmarkStart w:id="20" w:name="_Toc446589132"/>
      <w:r w:rsidRPr="00B36FF5">
        <w:rPr>
          <w:sz w:val="28"/>
        </w:rPr>
        <w:t>Example 7</w:t>
      </w:r>
      <w:bookmarkEnd w:id="20"/>
    </w:p>
    <w:p w:rsidR="00A12F9D" w:rsidRPr="00A12F9D" w:rsidRDefault="004801C8" w:rsidP="00A12F9D">
      <w:pPr>
        <w:pStyle w:val="Heading3"/>
        <w:numPr>
          <w:ilvl w:val="0"/>
          <w:numId w:val="0"/>
        </w:numPr>
        <w:spacing w:line="240" w:lineRule="auto"/>
      </w:pPr>
      <w:bookmarkStart w:id="21" w:name="_Toc446589133"/>
      <w:r w:rsidRPr="00A12F9D">
        <w:t>Places where clinical governance information is shared from places where the doctor is working into their medical appraisal (Section 5.2)</w:t>
      </w:r>
      <w:bookmarkEnd w:id="21"/>
    </w:p>
    <w:p w:rsidR="004801C8" w:rsidRPr="00A12F9D" w:rsidRDefault="00CF0FAF" w:rsidP="00A12F9D">
      <w:pPr>
        <w:pStyle w:val="Heading3"/>
        <w:numPr>
          <w:ilvl w:val="0"/>
          <w:numId w:val="0"/>
        </w:numPr>
        <w:spacing w:line="240" w:lineRule="auto"/>
      </w:pPr>
      <w:bookmarkStart w:id="22" w:name="_Toc446589134"/>
      <w:r w:rsidRPr="00A12F9D">
        <w:t>Organisations which</w:t>
      </w:r>
      <w:r w:rsidR="004801C8" w:rsidRPr="00A12F9D">
        <w:t xml:space="preserve"> support peripatetic doctors in accruing supporting information for their appraisal (Section 4.2)</w:t>
      </w:r>
      <w:bookmarkEnd w:id="22"/>
    </w:p>
    <w:p w:rsidR="004801C8" w:rsidRDefault="004801C8" w:rsidP="004801C8">
      <w:r>
        <w:t>In a moderate-sized General Practice in the Midlands all doctors have an annual in-house review with the practice clinical governance  lead, the outputs of which are presented to the doctor in a format which they can then present for reflection at their medical appraisal. This helps them discuss their practice objectives and their personal objectives together with their appraiser, and provided assurance to their NHS England responsible officer that they are being effectively supervised and supported by their practice.</w:t>
      </w:r>
    </w:p>
    <w:p w:rsidR="004801C8" w:rsidRDefault="004801C8" w:rsidP="004801C8"/>
    <w:p w:rsidR="004801C8" w:rsidRDefault="004801C8" w:rsidP="004801C8">
      <w:r>
        <w:t>In the same practice, temporary doctors are encouraged to participate in the significant events processes even if they</w:t>
      </w:r>
      <w:r w:rsidRPr="00C11C6F">
        <w:t xml:space="preserve"> </w:t>
      </w:r>
      <w:r>
        <w:t xml:space="preserve">have moved on by the time the event comes to light. This is facilitated by a template notification form to the doctor, informing them of the event and requesting input from them according to the risk stratification of the event. This template can be included by the doctor for reflection at appraisal. </w:t>
      </w:r>
    </w:p>
    <w:p w:rsidR="004801C8" w:rsidRDefault="004801C8" w:rsidP="004801C8">
      <w:r>
        <w:t>In this way the practice improves its inputs to significant event reviews, and integrates the temporary doctor more effectively within the team. Equally the temporary doctor feels included in the team activities in a supportive and measured manner, and accrues information for reflection at appraisal from their day to day work.</w:t>
      </w:r>
    </w:p>
    <w:p w:rsidR="00A12F9D" w:rsidRDefault="00A12F9D" w:rsidP="00FC62CF">
      <w:pPr>
        <w:rPr>
          <w:color w:val="BFBFBF" w:themeColor="background1" w:themeShade="BF"/>
          <w:sz w:val="22"/>
          <w:szCs w:val="22"/>
        </w:rPr>
      </w:pPr>
    </w:p>
    <w:p w:rsidR="00FC62CF" w:rsidRPr="00F6017B" w:rsidRDefault="00FC62CF" w:rsidP="00FC62CF">
      <w:pPr>
        <w:rPr>
          <w:color w:val="BFBFBF" w:themeColor="background1" w:themeShade="BF"/>
          <w:sz w:val="22"/>
          <w:szCs w:val="22"/>
        </w:rPr>
      </w:pPr>
      <w:r w:rsidRPr="00F6017B">
        <w:rPr>
          <w:color w:val="BFBFBF" w:themeColor="background1" w:themeShade="BF"/>
          <w:sz w:val="22"/>
          <w:szCs w:val="22"/>
        </w:rPr>
        <w:t>The NHS Commissioning Board (NHS CB) was established on 1 October 2012 as an executive non-departmental public body.  Since 1 April 2013, the NHS Commissioning Board has used the name NHS England for operational purposes.</w:t>
      </w:r>
    </w:p>
    <w:p w:rsidR="00FC62CF" w:rsidRPr="00F6017B" w:rsidRDefault="00FC62CF" w:rsidP="00FC62CF">
      <w:pPr>
        <w:rPr>
          <w:sz w:val="22"/>
          <w:szCs w:val="22"/>
        </w:rPr>
      </w:pPr>
    </w:p>
    <w:p w:rsidR="00FC62CF" w:rsidRPr="00F6017B" w:rsidRDefault="00FC62CF" w:rsidP="00FC62CF">
      <w:pPr>
        <w:rPr>
          <w:i/>
          <w:color w:val="CC0099"/>
          <w:sz w:val="22"/>
          <w:szCs w:val="22"/>
        </w:rPr>
      </w:pPr>
      <w:r w:rsidRPr="00F6017B">
        <w:rPr>
          <w:i/>
          <w:color w:val="CC0099"/>
          <w:sz w:val="22"/>
          <w:szCs w:val="22"/>
        </w:rPr>
        <w:t xml:space="preserve">This form has been extracted from, and should be used in accordance with, the NHS England Improving the Inputs to Medical Appraisal document, April 2016, Annex </w:t>
      </w:r>
      <w:r w:rsidRPr="00FC62CF">
        <w:rPr>
          <w:i/>
          <w:color w:val="CC0099"/>
          <w:sz w:val="22"/>
          <w:szCs w:val="22"/>
        </w:rPr>
        <w:t>F: Examples of good practice in areas relating to appraisal inputs</w:t>
      </w:r>
      <w:r w:rsidRPr="00F6017B">
        <w:rPr>
          <w:i/>
          <w:color w:val="CC0099"/>
          <w:sz w:val="22"/>
          <w:szCs w:val="22"/>
        </w:rPr>
        <w:t xml:space="preserve">, available here: </w:t>
      </w:r>
      <w:hyperlink r:id="rId15" w:history="1">
        <w:r w:rsidRPr="00F6017B">
          <w:rPr>
            <w:rStyle w:val="Hyperlink"/>
            <w:i/>
            <w:sz w:val="22"/>
            <w:szCs w:val="22"/>
          </w:rPr>
          <w:t>https://www.england.nhs.uk/revalidation/appraisers/improving-the-inputs-to-medical-appraisal/</w:t>
        </w:r>
      </w:hyperlink>
      <w:r w:rsidRPr="00F6017B">
        <w:rPr>
          <w:i/>
          <w:color w:val="CC0099"/>
          <w:sz w:val="22"/>
          <w:szCs w:val="22"/>
        </w:rPr>
        <w:t xml:space="preserve">  </w:t>
      </w:r>
    </w:p>
    <w:p w:rsidR="00A12F9D" w:rsidRDefault="00A12F9D" w:rsidP="00A12F9D">
      <w:pPr>
        <w:jc w:val="right"/>
        <w:rPr>
          <w:i/>
          <w:szCs w:val="24"/>
        </w:rPr>
      </w:pPr>
    </w:p>
    <w:p w:rsidR="00FC62CF" w:rsidRPr="00B36FF5" w:rsidRDefault="00FC62CF" w:rsidP="00A12F9D">
      <w:pPr>
        <w:jc w:val="right"/>
      </w:pPr>
      <w:proofErr w:type="gramStart"/>
      <w:r w:rsidRPr="00F6017B">
        <w:rPr>
          <w:i/>
          <w:szCs w:val="24"/>
        </w:rPr>
        <w:t>High quality care for all, now and for future generations.</w:t>
      </w:r>
      <w:proofErr w:type="gramEnd"/>
    </w:p>
    <w:sectPr w:rsidR="00FC62CF" w:rsidRPr="00B36FF5" w:rsidSect="00B34437">
      <w:headerReference w:type="default" r:id="rId16"/>
      <w:footerReference w:type="even" r:id="rId17"/>
      <w:footerReference w:type="default" r:id="rId18"/>
      <w:pgSz w:w="11900" w:h="16840"/>
      <w:pgMar w:top="1134" w:right="1134" w:bottom="1134" w:left="1134" w:header="0" w:footer="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404" w:rsidRDefault="00A14404" w:rsidP="00A716D1">
      <w:r>
        <w:separator/>
      </w:r>
    </w:p>
  </w:endnote>
  <w:endnote w:type="continuationSeparator" w:id="0">
    <w:p w:rsidR="00A14404" w:rsidRDefault="00A14404" w:rsidP="00A7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GSMinchoE">
    <w:altName w:val="MS PMincho"/>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29F" w:rsidRDefault="0056529F" w:rsidP="00A716D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56529F" w:rsidRDefault="0056529F" w:rsidP="00A716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3515971"/>
      <w:docPartObj>
        <w:docPartGallery w:val="Page Numbers (Bottom of Page)"/>
        <w:docPartUnique/>
      </w:docPartObj>
    </w:sdtPr>
    <w:sdtEndPr>
      <w:rPr>
        <w:noProof/>
      </w:rPr>
    </w:sdtEndPr>
    <w:sdtContent>
      <w:p w:rsidR="009B1DEF" w:rsidRDefault="009B1DEF">
        <w:pPr>
          <w:pStyle w:val="Footer"/>
          <w:jc w:val="right"/>
        </w:pPr>
        <w:r>
          <w:fldChar w:fldCharType="begin"/>
        </w:r>
        <w:r>
          <w:instrText xml:space="preserve"> PAGE   \* MERGEFORMAT </w:instrText>
        </w:r>
        <w:r>
          <w:fldChar w:fldCharType="separate"/>
        </w:r>
        <w:r w:rsidR="00A72754">
          <w:rPr>
            <w:noProof/>
          </w:rPr>
          <w:t>2</w:t>
        </w:r>
        <w:r>
          <w:rPr>
            <w:noProof/>
          </w:rPr>
          <w:fldChar w:fldCharType="end"/>
        </w:r>
      </w:p>
    </w:sdtContent>
  </w:sdt>
  <w:p w:rsidR="0056529F" w:rsidRDefault="0056529F" w:rsidP="00A716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404" w:rsidRDefault="00A14404" w:rsidP="00A716D1">
      <w:r>
        <w:separator/>
      </w:r>
    </w:p>
  </w:footnote>
  <w:footnote w:type="continuationSeparator" w:id="0">
    <w:p w:rsidR="00A14404" w:rsidRDefault="00A14404" w:rsidP="00A71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29F" w:rsidRDefault="0056529F">
    <w:pPr>
      <w:pStyle w:val="Header"/>
    </w:pPr>
  </w:p>
  <w:p w:rsidR="0056529F" w:rsidRDefault="0056529F" w:rsidP="00127D82">
    <w:pPr>
      <w:pStyle w:val="Header"/>
      <w:jc w:val="center"/>
    </w:pPr>
  </w:p>
  <w:sdt>
    <w:sdtPr>
      <w:alias w:val="Protective Marking"/>
      <w:tag w:val="Protective Marking"/>
      <w:id w:val="-1697465063"/>
      <w:dropDownList>
        <w:listItem w:displayText="OFFICIAL" w:value="OFFICIAL"/>
        <w:listItem w:displayText="OFFICIAL-SENSITIVE: COMMERCIAL" w:value="OFFICIAL-SENSITIVE: COMMERCIAL"/>
        <w:listItem w:displayText="OFFICIAL-SENSITIVE: PERSONAL" w:value="OFFICIAL-SENSITIVE: PERSONAL"/>
      </w:dropDownList>
    </w:sdtPr>
    <w:sdtEndPr/>
    <w:sdtContent>
      <w:p w:rsidR="0056529F" w:rsidRDefault="0056529F" w:rsidP="00127D82">
        <w:pPr>
          <w:pStyle w:val="Header"/>
          <w:jc w:val="center"/>
        </w:pPr>
        <w:r>
          <w:t>OFFICIAL</w:t>
        </w:r>
      </w:p>
    </w:sdtContent>
  </w:sdt>
  <w:p w:rsidR="0056529F" w:rsidRDefault="0056529F" w:rsidP="00127D8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1D4A"/>
    <w:multiLevelType w:val="hybridMultilevel"/>
    <w:tmpl w:val="980693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295391A"/>
    <w:multiLevelType w:val="hybridMultilevel"/>
    <w:tmpl w:val="9252DC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F5275DF"/>
    <w:multiLevelType w:val="hybridMultilevel"/>
    <w:tmpl w:val="A1548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EA13F0F"/>
    <w:multiLevelType w:val="hybridMultilevel"/>
    <w:tmpl w:val="AD506C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FDC7F7B"/>
    <w:multiLevelType w:val="hybridMultilevel"/>
    <w:tmpl w:val="E55A46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01E5122"/>
    <w:multiLevelType w:val="hybridMultilevel"/>
    <w:tmpl w:val="B17A1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19C2112"/>
    <w:multiLevelType w:val="hybridMultilevel"/>
    <w:tmpl w:val="CE4CED46"/>
    <w:lvl w:ilvl="0" w:tplc="08090001">
      <w:start w:val="1"/>
      <w:numFmt w:val="bullet"/>
      <w:lvlText w:val=""/>
      <w:lvlJc w:val="left"/>
      <w:pPr>
        <w:ind w:left="360" w:hanging="360"/>
      </w:pPr>
      <w:rPr>
        <w:rFonts w:ascii="Symbol" w:hAnsi="Symbol" w:hint="default"/>
      </w:rPr>
    </w:lvl>
    <w:lvl w:ilvl="1" w:tplc="792E6868">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44E0BD9"/>
    <w:multiLevelType w:val="multilevel"/>
    <w:tmpl w:val="E4B0BBC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nsid w:val="250E38B9"/>
    <w:multiLevelType w:val="hybridMultilevel"/>
    <w:tmpl w:val="9280DB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5E61FE1"/>
    <w:multiLevelType w:val="hybridMultilevel"/>
    <w:tmpl w:val="527A7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873086E"/>
    <w:multiLevelType w:val="hybridMultilevel"/>
    <w:tmpl w:val="2842E0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4863C5E"/>
    <w:multiLevelType w:val="hybridMultilevel"/>
    <w:tmpl w:val="F7C855BA"/>
    <w:lvl w:ilvl="0" w:tplc="08090001">
      <w:start w:val="1"/>
      <w:numFmt w:val="bullet"/>
      <w:lvlText w:val=""/>
      <w:lvlJc w:val="left"/>
      <w:pPr>
        <w:ind w:left="360" w:hanging="360"/>
      </w:pPr>
      <w:rPr>
        <w:rFonts w:ascii="Symbol" w:hAnsi="Symbol" w:hint="default"/>
      </w:rPr>
    </w:lvl>
    <w:lvl w:ilvl="1" w:tplc="38768050">
      <w:numFmt w:val="bullet"/>
      <w:lvlText w:val="•"/>
      <w:lvlJc w:val="left"/>
      <w:pPr>
        <w:ind w:left="1440" w:hanging="72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E3A7D4C"/>
    <w:multiLevelType w:val="hybridMultilevel"/>
    <w:tmpl w:val="9CB66AB4"/>
    <w:lvl w:ilvl="0" w:tplc="8DB4CC3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F2124BA"/>
    <w:multiLevelType w:val="hybridMultilevel"/>
    <w:tmpl w:val="60D08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2600E29"/>
    <w:multiLevelType w:val="hybridMultilevel"/>
    <w:tmpl w:val="09C4E2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20069DB"/>
    <w:multiLevelType w:val="hybridMultilevel"/>
    <w:tmpl w:val="6E9A99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2BD4A9D"/>
    <w:multiLevelType w:val="hybridMultilevel"/>
    <w:tmpl w:val="58C04E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2C02FDE"/>
    <w:multiLevelType w:val="hybridMultilevel"/>
    <w:tmpl w:val="4FF0FE38"/>
    <w:lvl w:ilvl="0" w:tplc="08090001">
      <w:start w:val="1"/>
      <w:numFmt w:val="bullet"/>
      <w:lvlText w:val=""/>
      <w:lvlJc w:val="left"/>
      <w:pPr>
        <w:ind w:left="360" w:hanging="360"/>
      </w:pPr>
      <w:rPr>
        <w:rFonts w:ascii="Symbol" w:hAnsi="Symbol" w:hint="default"/>
      </w:rPr>
    </w:lvl>
    <w:lvl w:ilvl="1" w:tplc="47A021DE">
      <w:start w:val="1"/>
      <w:numFmt w:val="decimal"/>
      <w:lvlText w:val="%2."/>
      <w:lvlJc w:val="left"/>
      <w:pPr>
        <w:ind w:left="1185" w:hanging="465"/>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682C2FD4"/>
    <w:multiLevelType w:val="hybridMultilevel"/>
    <w:tmpl w:val="2B06FD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A116F49"/>
    <w:multiLevelType w:val="hybridMultilevel"/>
    <w:tmpl w:val="2D34A6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6E283914"/>
    <w:multiLevelType w:val="hybridMultilevel"/>
    <w:tmpl w:val="E8F6A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52F6730"/>
    <w:multiLevelType w:val="hybridMultilevel"/>
    <w:tmpl w:val="EF2C0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8C850D8"/>
    <w:multiLevelType w:val="hybridMultilevel"/>
    <w:tmpl w:val="CA800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B8165C0"/>
    <w:multiLevelType w:val="hybridMultilevel"/>
    <w:tmpl w:val="904E9D7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7C8373A0"/>
    <w:multiLevelType w:val="hybridMultilevel"/>
    <w:tmpl w:val="136C6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8"/>
  </w:num>
  <w:num w:numId="6">
    <w:abstractNumId w:val="5"/>
  </w:num>
  <w:num w:numId="7">
    <w:abstractNumId w:val="17"/>
  </w:num>
  <w:num w:numId="8">
    <w:abstractNumId w:val="6"/>
  </w:num>
  <w:num w:numId="9">
    <w:abstractNumId w:val="20"/>
  </w:num>
  <w:num w:numId="10">
    <w:abstractNumId w:val="8"/>
  </w:num>
  <w:num w:numId="11">
    <w:abstractNumId w:val="4"/>
  </w:num>
  <w:num w:numId="12">
    <w:abstractNumId w:val="11"/>
  </w:num>
  <w:num w:numId="13">
    <w:abstractNumId w:val="10"/>
  </w:num>
  <w:num w:numId="14">
    <w:abstractNumId w:val="2"/>
  </w:num>
  <w:num w:numId="15">
    <w:abstractNumId w:val="22"/>
  </w:num>
  <w:num w:numId="16">
    <w:abstractNumId w:val="1"/>
  </w:num>
  <w:num w:numId="17">
    <w:abstractNumId w:val="16"/>
  </w:num>
  <w:num w:numId="18">
    <w:abstractNumId w:val="25"/>
  </w:num>
  <w:num w:numId="19">
    <w:abstractNumId w:val="19"/>
  </w:num>
  <w:num w:numId="20">
    <w:abstractNumId w:val="23"/>
  </w:num>
  <w:num w:numId="21">
    <w:abstractNumId w:val="12"/>
  </w:num>
  <w:num w:numId="22">
    <w:abstractNumId w:val="24"/>
  </w:num>
  <w:num w:numId="23">
    <w:abstractNumId w:val="14"/>
  </w:num>
  <w:num w:numId="24">
    <w:abstractNumId w:val="15"/>
  </w:num>
  <w:num w:numId="25">
    <w:abstractNumId w:val="9"/>
  </w:num>
  <w:num w:numId="26">
    <w:abstractNumId w:val="13"/>
  </w:num>
  <w:num w:numId="27">
    <w:abstractNumId w:val="3"/>
  </w:num>
  <w:num w:numId="28">
    <w:abstractNumId w:val="7"/>
  </w:num>
  <w:num w:numId="29">
    <w:abstractNumId w:val="7"/>
  </w:num>
  <w:num w:numId="30">
    <w:abstractNumId w:val="7"/>
  </w:num>
  <w:num w:numId="31">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cumentProtection w:edit="readOnly" w:enforcement="1" w:cryptProviderType="rsaFull" w:cryptAlgorithmClass="hash" w:cryptAlgorithmType="typeAny" w:cryptAlgorithmSid="4" w:cryptSpinCount="100000" w:hash="kT2pVMjzvQC9rwXUnY58RjO4cTQ=" w:salt="EM98oHFW1LC+xw1rkdQhLg=="/>
  <w:defaultTabStop w:val="720"/>
  <w:drawingGridHorizontalSpacing w:val="357"/>
  <w:drawingGridVerticalSpacing w:val="357"/>
  <w:displayHorizontalDrawingGridEvery w:val="0"/>
  <w:displayVerticalDrawingGridEvery w:val="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Outlines" w:val="0"/>
    <w:docVar w:name="ShowStaticGuides" w:val="1"/>
  </w:docVars>
  <w:rsids>
    <w:rsidRoot w:val="005D6B38"/>
    <w:rsid w:val="00002C1C"/>
    <w:rsid w:val="00002EE8"/>
    <w:rsid w:val="000041E6"/>
    <w:rsid w:val="000202BA"/>
    <w:rsid w:val="0002174B"/>
    <w:rsid w:val="00021A9E"/>
    <w:rsid w:val="00023944"/>
    <w:rsid w:val="00027B40"/>
    <w:rsid w:val="00031797"/>
    <w:rsid w:val="000325BD"/>
    <w:rsid w:val="00035018"/>
    <w:rsid w:val="000419B4"/>
    <w:rsid w:val="00043BBA"/>
    <w:rsid w:val="00046700"/>
    <w:rsid w:val="00050D4E"/>
    <w:rsid w:val="0005281E"/>
    <w:rsid w:val="0005305F"/>
    <w:rsid w:val="00053D96"/>
    <w:rsid w:val="00055930"/>
    <w:rsid w:val="00071CD5"/>
    <w:rsid w:val="00072745"/>
    <w:rsid w:val="00072D9C"/>
    <w:rsid w:val="0007312F"/>
    <w:rsid w:val="0007685A"/>
    <w:rsid w:val="0008524A"/>
    <w:rsid w:val="00094A51"/>
    <w:rsid w:val="000A7FC7"/>
    <w:rsid w:val="000B2872"/>
    <w:rsid w:val="000B4E6A"/>
    <w:rsid w:val="000B535E"/>
    <w:rsid w:val="000B5784"/>
    <w:rsid w:val="000B761D"/>
    <w:rsid w:val="000B7719"/>
    <w:rsid w:val="000C38C2"/>
    <w:rsid w:val="000C544F"/>
    <w:rsid w:val="000C7D1B"/>
    <w:rsid w:val="000D2759"/>
    <w:rsid w:val="000D6DA8"/>
    <w:rsid w:val="000E2BCC"/>
    <w:rsid w:val="000F3302"/>
    <w:rsid w:val="000F3C73"/>
    <w:rsid w:val="000F4B28"/>
    <w:rsid w:val="00101EB4"/>
    <w:rsid w:val="00102A99"/>
    <w:rsid w:val="00115370"/>
    <w:rsid w:val="00115C1E"/>
    <w:rsid w:val="00121184"/>
    <w:rsid w:val="001217F1"/>
    <w:rsid w:val="00127D82"/>
    <w:rsid w:val="00132AD2"/>
    <w:rsid w:val="00135006"/>
    <w:rsid w:val="00144004"/>
    <w:rsid w:val="00144783"/>
    <w:rsid w:val="00150FBE"/>
    <w:rsid w:val="00151F26"/>
    <w:rsid w:val="001526D9"/>
    <w:rsid w:val="00152FB6"/>
    <w:rsid w:val="001536E8"/>
    <w:rsid w:val="00153EE3"/>
    <w:rsid w:val="001610EE"/>
    <w:rsid w:val="00166CB7"/>
    <w:rsid w:val="0017264F"/>
    <w:rsid w:val="00174767"/>
    <w:rsid w:val="00180C71"/>
    <w:rsid w:val="0018261C"/>
    <w:rsid w:val="00187C8E"/>
    <w:rsid w:val="001924FB"/>
    <w:rsid w:val="0019639B"/>
    <w:rsid w:val="001A0110"/>
    <w:rsid w:val="001A191A"/>
    <w:rsid w:val="001A3439"/>
    <w:rsid w:val="001A4EB0"/>
    <w:rsid w:val="001B1489"/>
    <w:rsid w:val="001B46BA"/>
    <w:rsid w:val="001B62FE"/>
    <w:rsid w:val="001C1504"/>
    <w:rsid w:val="001C4D83"/>
    <w:rsid w:val="001C6DD3"/>
    <w:rsid w:val="001D3A5F"/>
    <w:rsid w:val="001D5FE2"/>
    <w:rsid w:val="001E23AD"/>
    <w:rsid w:val="001E3238"/>
    <w:rsid w:val="001E477C"/>
    <w:rsid w:val="001E767D"/>
    <w:rsid w:val="001F21EA"/>
    <w:rsid w:val="00200B13"/>
    <w:rsid w:val="00206173"/>
    <w:rsid w:val="00211279"/>
    <w:rsid w:val="00211C1A"/>
    <w:rsid w:val="00222A7E"/>
    <w:rsid w:val="00230D3B"/>
    <w:rsid w:val="00237034"/>
    <w:rsid w:val="00252508"/>
    <w:rsid w:val="0025692A"/>
    <w:rsid w:val="002658D1"/>
    <w:rsid w:val="00273102"/>
    <w:rsid w:val="00274001"/>
    <w:rsid w:val="002758E4"/>
    <w:rsid w:val="00282F10"/>
    <w:rsid w:val="00283302"/>
    <w:rsid w:val="00286C3D"/>
    <w:rsid w:val="00291D56"/>
    <w:rsid w:val="00292EFA"/>
    <w:rsid w:val="00297690"/>
    <w:rsid w:val="002A0C8D"/>
    <w:rsid w:val="002A2194"/>
    <w:rsid w:val="002A3856"/>
    <w:rsid w:val="002A5E73"/>
    <w:rsid w:val="002A621C"/>
    <w:rsid w:val="002B2419"/>
    <w:rsid w:val="002B5A00"/>
    <w:rsid w:val="002B5F00"/>
    <w:rsid w:val="002B60D1"/>
    <w:rsid w:val="002C4CF3"/>
    <w:rsid w:val="002C542F"/>
    <w:rsid w:val="002D2055"/>
    <w:rsid w:val="002D26BA"/>
    <w:rsid w:val="002D7F25"/>
    <w:rsid w:val="002E4212"/>
    <w:rsid w:val="002F2335"/>
    <w:rsid w:val="003007EA"/>
    <w:rsid w:val="003039F4"/>
    <w:rsid w:val="0030488F"/>
    <w:rsid w:val="00307AD5"/>
    <w:rsid w:val="00311613"/>
    <w:rsid w:val="00311A4E"/>
    <w:rsid w:val="00315831"/>
    <w:rsid w:val="00330FB1"/>
    <w:rsid w:val="0033126A"/>
    <w:rsid w:val="003357B2"/>
    <w:rsid w:val="00337E11"/>
    <w:rsid w:val="003446FF"/>
    <w:rsid w:val="00344C9D"/>
    <w:rsid w:val="00344F5F"/>
    <w:rsid w:val="003453D3"/>
    <w:rsid w:val="0035040C"/>
    <w:rsid w:val="00351892"/>
    <w:rsid w:val="00353692"/>
    <w:rsid w:val="0035433D"/>
    <w:rsid w:val="003578A7"/>
    <w:rsid w:val="00366D33"/>
    <w:rsid w:val="00371BF0"/>
    <w:rsid w:val="00373D9D"/>
    <w:rsid w:val="00375F4B"/>
    <w:rsid w:val="00383286"/>
    <w:rsid w:val="00384923"/>
    <w:rsid w:val="00393CAE"/>
    <w:rsid w:val="00396CF6"/>
    <w:rsid w:val="00397E3E"/>
    <w:rsid w:val="003A13D3"/>
    <w:rsid w:val="003A7B2E"/>
    <w:rsid w:val="003B2D5D"/>
    <w:rsid w:val="003B44AE"/>
    <w:rsid w:val="003B511C"/>
    <w:rsid w:val="003B628E"/>
    <w:rsid w:val="003B73D8"/>
    <w:rsid w:val="003C5C34"/>
    <w:rsid w:val="003E171C"/>
    <w:rsid w:val="003E1C1F"/>
    <w:rsid w:val="003E6B4A"/>
    <w:rsid w:val="003F3925"/>
    <w:rsid w:val="003F463B"/>
    <w:rsid w:val="003F4F0A"/>
    <w:rsid w:val="0040165A"/>
    <w:rsid w:val="00403B00"/>
    <w:rsid w:val="004046D8"/>
    <w:rsid w:val="004073EF"/>
    <w:rsid w:val="004105FF"/>
    <w:rsid w:val="0041524B"/>
    <w:rsid w:val="00420652"/>
    <w:rsid w:val="004220A3"/>
    <w:rsid w:val="00423623"/>
    <w:rsid w:val="004279A7"/>
    <w:rsid w:val="004409E2"/>
    <w:rsid w:val="00457489"/>
    <w:rsid w:val="00460D6B"/>
    <w:rsid w:val="0046174F"/>
    <w:rsid w:val="00462182"/>
    <w:rsid w:val="0046340B"/>
    <w:rsid w:val="004704A2"/>
    <w:rsid w:val="00470F27"/>
    <w:rsid w:val="004727AA"/>
    <w:rsid w:val="00472EBC"/>
    <w:rsid w:val="004758F1"/>
    <w:rsid w:val="00476943"/>
    <w:rsid w:val="00477B4E"/>
    <w:rsid w:val="004801C8"/>
    <w:rsid w:val="004841DB"/>
    <w:rsid w:val="00484457"/>
    <w:rsid w:val="004863FB"/>
    <w:rsid w:val="00487297"/>
    <w:rsid w:val="004904D9"/>
    <w:rsid w:val="00491234"/>
    <w:rsid w:val="004933CB"/>
    <w:rsid w:val="00493F31"/>
    <w:rsid w:val="00494FCF"/>
    <w:rsid w:val="004954EE"/>
    <w:rsid w:val="00497FBF"/>
    <w:rsid w:val="004A017C"/>
    <w:rsid w:val="004A2F5D"/>
    <w:rsid w:val="004B41C2"/>
    <w:rsid w:val="004B4AEF"/>
    <w:rsid w:val="004C744B"/>
    <w:rsid w:val="004C7943"/>
    <w:rsid w:val="004E2398"/>
    <w:rsid w:val="004E4DC0"/>
    <w:rsid w:val="004E6D44"/>
    <w:rsid w:val="004F6F5F"/>
    <w:rsid w:val="005045B3"/>
    <w:rsid w:val="00505254"/>
    <w:rsid w:val="0051227A"/>
    <w:rsid w:val="00515B02"/>
    <w:rsid w:val="00517F52"/>
    <w:rsid w:val="00521555"/>
    <w:rsid w:val="005246D9"/>
    <w:rsid w:val="0052649F"/>
    <w:rsid w:val="00536E80"/>
    <w:rsid w:val="00540691"/>
    <w:rsid w:val="00541FEC"/>
    <w:rsid w:val="00545CA3"/>
    <w:rsid w:val="005476B9"/>
    <w:rsid w:val="0055041C"/>
    <w:rsid w:val="00552120"/>
    <w:rsid w:val="00555B79"/>
    <w:rsid w:val="00561279"/>
    <w:rsid w:val="005629D1"/>
    <w:rsid w:val="0056529F"/>
    <w:rsid w:val="005722FD"/>
    <w:rsid w:val="00575047"/>
    <w:rsid w:val="00580BDB"/>
    <w:rsid w:val="005834AC"/>
    <w:rsid w:val="005861A7"/>
    <w:rsid w:val="005868C3"/>
    <w:rsid w:val="00591EC2"/>
    <w:rsid w:val="0059722E"/>
    <w:rsid w:val="005A4142"/>
    <w:rsid w:val="005A777D"/>
    <w:rsid w:val="005B40B1"/>
    <w:rsid w:val="005C09B2"/>
    <w:rsid w:val="005D1585"/>
    <w:rsid w:val="005D2E13"/>
    <w:rsid w:val="005D474B"/>
    <w:rsid w:val="005D6B38"/>
    <w:rsid w:val="005E371C"/>
    <w:rsid w:val="005E65DC"/>
    <w:rsid w:val="005F27A1"/>
    <w:rsid w:val="005F69EA"/>
    <w:rsid w:val="0060613A"/>
    <w:rsid w:val="00611744"/>
    <w:rsid w:val="006136C4"/>
    <w:rsid w:val="0061639A"/>
    <w:rsid w:val="00624948"/>
    <w:rsid w:val="006275C1"/>
    <w:rsid w:val="0063279C"/>
    <w:rsid w:val="00634627"/>
    <w:rsid w:val="0063480A"/>
    <w:rsid w:val="00647D1B"/>
    <w:rsid w:val="00652BC3"/>
    <w:rsid w:val="00652FDA"/>
    <w:rsid w:val="00662ED9"/>
    <w:rsid w:val="00663C5C"/>
    <w:rsid w:val="00664DB9"/>
    <w:rsid w:val="00667E6C"/>
    <w:rsid w:val="006771A1"/>
    <w:rsid w:val="00677891"/>
    <w:rsid w:val="0068289A"/>
    <w:rsid w:val="006837A5"/>
    <w:rsid w:val="00683B9E"/>
    <w:rsid w:val="00694319"/>
    <w:rsid w:val="0069518C"/>
    <w:rsid w:val="006968CB"/>
    <w:rsid w:val="006A0B73"/>
    <w:rsid w:val="006A104C"/>
    <w:rsid w:val="006A5B20"/>
    <w:rsid w:val="006B08F0"/>
    <w:rsid w:val="006B3E1C"/>
    <w:rsid w:val="006B613F"/>
    <w:rsid w:val="006C5902"/>
    <w:rsid w:val="006C66CE"/>
    <w:rsid w:val="006D4362"/>
    <w:rsid w:val="006E2E3B"/>
    <w:rsid w:val="006E328F"/>
    <w:rsid w:val="006E4191"/>
    <w:rsid w:val="006E62F3"/>
    <w:rsid w:val="006F0007"/>
    <w:rsid w:val="006F0EDB"/>
    <w:rsid w:val="006F595D"/>
    <w:rsid w:val="006F6EE6"/>
    <w:rsid w:val="007075BE"/>
    <w:rsid w:val="0071074D"/>
    <w:rsid w:val="0071133F"/>
    <w:rsid w:val="007129FB"/>
    <w:rsid w:val="00723A46"/>
    <w:rsid w:val="00724153"/>
    <w:rsid w:val="00730CFE"/>
    <w:rsid w:val="007311D9"/>
    <w:rsid w:val="007366B0"/>
    <w:rsid w:val="00753477"/>
    <w:rsid w:val="00767BC2"/>
    <w:rsid w:val="0077080D"/>
    <w:rsid w:val="00775E32"/>
    <w:rsid w:val="0078324E"/>
    <w:rsid w:val="0078519C"/>
    <w:rsid w:val="00785EED"/>
    <w:rsid w:val="00792735"/>
    <w:rsid w:val="00795743"/>
    <w:rsid w:val="007B1295"/>
    <w:rsid w:val="007B1E38"/>
    <w:rsid w:val="007B4206"/>
    <w:rsid w:val="007C1241"/>
    <w:rsid w:val="007D1DBF"/>
    <w:rsid w:val="007D3668"/>
    <w:rsid w:val="007E08F7"/>
    <w:rsid w:val="007F1AE6"/>
    <w:rsid w:val="007F65C5"/>
    <w:rsid w:val="0081407E"/>
    <w:rsid w:val="00821E02"/>
    <w:rsid w:val="00830104"/>
    <w:rsid w:val="00831CA9"/>
    <w:rsid w:val="008370A9"/>
    <w:rsid w:val="00840DCB"/>
    <w:rsid w:val="00842CE0"/>
    <w:rsid w:val="00850289"/>
    <w:rsid w:val="00853B39"/>
    <w:rsid w:val="00856A5E"/>
    <w:rsid w:val="00863557"/>
    <w:rsid w:val="00864E18"/>
    <w:rsid w:val="008678D4"/>
    <w:rsid w:val="00872C14"/>
    <w:rsid w:val="008742C4"/>
    <w:rsid w:val="008767E8"/>
    <w:rsid w:val="0088040D"/>
    <w:rsid w:val="00881F6C"/>
    <w:rsid w:val="00884334"/>
    <w:rsid w:val="008915F0"/>
    <w:rsid w:val="008926AD"/>
    <w:rsid w:val="0089369A"/>
    <w:rsid w:val="00894880"/>
    <w:rsid w:val="008A0516"/>
    <w:rsid w:val="008A180A"/>
    <w:rsid w:val="008A2A82"/>
    <w:rsid w:val="008A4B40"/>
    <w:rsid w:val="008B5D94"/>
    <w:rsid w:val="008B6EB6"/>
    <w:rsid w:val="008B71E5"/>
    <w:rsid w:val="008C174F"/>
    <w:rsid w:val="008C4829"/>
    <w:rsid w:val="008C59FF"/>
    <w:rsid w:val="008D1B30"/>
    <w:rsid w:val="008D1D3C"/>
    <w:rsid w:val="008E051C"/>
    <w:rsid w:val="008E082F"/>
    <w:rsid w:val="008E43C4"/>
    <w:rsid w:val="008E574F"/>
    <w:rsid w:val="008E71E6"/>
    <w:rsid w:val="008F0F3F"/>
    <w:rsid w:val="008F4BAE"/>
    <w:rsid w:val="008F6C5D"/>
    <w:rsid w:val="009003C2"/>
    <w:rsid w:val="0090040F"/>
    <w:rsid w:val="00903952"/>
    <w:rsid w:val="00904ACD"/>
    <w:rsid w:val="009064B4"/>
    <w:rsid w:val="00913D60"/>
    <w:rsid w:val="00920B78"/>
    <w:rsid w:val="00931727"/>
    <w:rsid w:val="0093627C"/>
    <w:rsid w:val="009410C9"/>
    <w:rsid w:val="00941326"/>
    <w:rsid w:val="00947CBB"/>
    <w:rsid w:val="00952517"/>
    <w:rsid w:val="009561B2"/>
    <w:rsid w:val="009563A5"/>
    <w:rsid w:val="009673F7"/>
    <w:rsid w:val="0097411F"/>
    <w:rsid w:val="00975326"/>
    <w:rsid w:val="009753EF"/>
    <w:rsid w:val="009847D7"/>
    <w:rsid w:val="00990557"/>
    <w:rsid w:val="00992297"/>
    <w:rsid w:val="00995B7D"/>
    <w:rsid w:val="00996AB8"/>
    <w:rsid w:val="009A0355"/>
    <w:rsid w:val="009A2F93"/>
    <w:rsid w:val="009A3546"/>
    <w:rsid w:val="009B1DEF"/>
    <w:rsid w:val="009B228F"/>
    <w:rsid w:val="009B5C60"/>
    <w:rsid w:val="009C3A3D"/>
    <w:rsid w:val="009C404C"/>
    <w:rsid w:val="009D0885"/>
    <w:rsid w:val="009D498D"/>
    <w:rsid w:val="009D74D9"/>
    <w:rsid w:val="009D7A81"/>
    <w:rsid w:val="009E1C27"/>
    <w:rsid w:val="009E7356"/>
    <w:rsid w:val="009F3254"/>
    <w:rsid w:val="009F4A88"/>
    <w:rsid w:val="009F52A7"/>
    <w:rsid w:val="009F573E"/>
    <w:rsid w:val="009F79A9"/>
    <w:rsid w:val="00A04D60"/>
    <w:rsid w:val="00A11755"/>
    <w:rsid w:val="00A12F9D"/>
    <w:rsid w:val="00A14404"/>
    <w:rsid w:val="00A2093B"/>
    <w:rsid w:val="00A2185C"/>
    <w:rsid w:val="00A23F03"/>
    <w:rsid w:val="00A23F16"/>
    <w:rsid w:val="00A26A35"/>
    <w:rsid w:val="00A32309"/>
    <w:rsid w:val="00A36EF6"/>
    <w:rsid w:val="00A40219"/>
    <w:rsid w:val="00A4111B"/>
    <w:rsid w:val="00A4250E"/>
    <w:rsid w:val="00A5078E"/>
    <w:rsid w:val="00A55267"/>
    <w:rsid w:val="00A62D9E"/>
    <w:rsid w:val="00A67C11"/>
    <w:rsid w:val="00A710B1"/>
    <w:rsid w:val="00A716D1"/>
    <w:rsid w:val="00A71B20"/>
    <w:rsid w:val="00A72754"/>
    <w:rsid w:val="00A7750E"/>
    <w:rsid w:val="00A81B96"/>
    <w:rsid w:val="00A83ADB"/>
    <w:rsid w:val="00A87AA9"/>
    <w:rsid w:val="00AA187A"/>
    <w:rsid w:val="00AA56D0"/>
    <w:rsid w:val="00AA5709"/>
    <w:rsid w:val="00AA760E"/>
    <w:rsid w:val="00AB4D49"/>
    <w:rsid w:val="00AB549D"/>
    <w:rsid w:val="00AB664C"/>
    <w:rsid w:val="00AC189E"/>
    <w:rsid w:val="00AC53E1"/>
    <w:rsid w:val="00AC64C5"/>
    <w:rsid w:val="00AC6B6B"/>
    <w:rsid w:val="00AC6FBF"/>
    <w:rsid w:val="00AD18FA"/>
    <w:rsid w:val="00AD2496"/>
    <w:rsid w:val="00AE0B4F"/>
    <w:rsid w:val="00AE0D75"/>
    <w:rsid w:val="00AE3334"/>
    <w:rsid w:val="00AE6895"/>
    <w:rsid w:val="00AF28DE"/>
    <w:rsid w:val="00AF7022"/>
    <w:rsid w:val="00AF75A0"/>
    <w:rsid w:val="00B236D3"/>
    <w:rsid w:val="00B34437"/>
    <w:rsid w:val="00B377FB"/>
    <w:rsid w:val="00B37C5E"/>
    <w:rsid w:val="00B429DF"/>
    <w:rsid w:val="00B432BA"/>
    <w:rsid w:val="00B44E3A"/>
    <w:rsid w:val="00B51CDD"/>
    <w:rsid w:val="00B56DD0"/>
    <w:rsid w:val="00B606A3"/>
    <w:rsid w:val="00B64C7A"/>
    <w:rsid w:val="00B7046A"/>
    <w:rsid w:val="00B875DD"/>
    <w:rsid w:val="00B90EB2"/>
    <w:rsid w:val="00B9289F"/>
    <w:rsid w:val="00B937D7"/>
    <w:rsid w:val="00B95B1F"/>
    <w:rsid w:val="00B961B8"/>
    <w:rsid w:val="00B97F1E"/>
    <w:rsid w:val="00BA1EF6"/>
    <w:rsid w:val="00BB4800"/>
    <w:rsid w:val="00BB6D78"/>
    <w:rsid w:val="00BC116A"/>
    <w:rsid w:val="00BC198F"/>
    <w:rsid w:val="00BC1BFD"/>
    <w:rsid w:val="00BC34C7"/>
    <w:rsid w:val="00BD0523"/>
    <w:rsid w:val="00BD434D"/>
    <w:rsid w:val="00BE2CAC"/>
    <w:rsid w:val="00BE50B7"/>
    <w:rsid w:val="00BF20AE"/>
    <w:rsid w:val="00BF2D6B"/>
    <w:rsid w:val="00BF4DE0"/>
    <w:rsid w:val="00BF5037"/>
    <w:rsid w:val="00BF66B0"/>
    <w:rsid w:val="00BF6D4E"/>
    <w:rsid w:val="00C016F9"/>
    <w:rsid w:val="00C02662"/>
    <w:rsid w:val="00C02ADB"/>
    <w:rsid w:val="00C0665E"/>
    <w:rsid w:val="00C07B7F"/>
    <w:rsid w:val="00C126B9"/>
    <w:rsid w:val="00C16200"/>
    <w:rsid w:val="00C21F43"/>
    <w:rsid w:val="00C3011E"/>
    <w:rsid w:val="00C31BE1"/>
    <w:rsid w:val="00C345A5"/>
    <w:rsid w:val="00C431CB"/>
    <w:rsid w:val="00C47661"/>
    <w:rsid w:val="00C50234"/>
    <w:rsid w:val="00C50969"/>
    <w:rsid w:val="00C5140D"/>
    <w:rsid w:val="00C51EE0"/>
    <w:rsid w:val="00C54EB7"/>
    <w:rsid w:val="00C5633D"/>
    <w:rsid w:val="00C64116"/>
    <w:rsid w:val="00C8067B"/>
    <w:rsid w:val="00C90A4B"/>
    <w:rsid w:val="00C90C64"/>
    <w:rsid w:val="00C9471B"/>
    <w:rsid w:val="00C94F2C"/>
    <w:rsid w:val="00C953C8"/>
    <w:rsid w:val="00C96C31"/>
    <w:rsid w:val="00CA78CE"/>
    <w:rsid w:val="00CB126B"/>
    <w:rsid w:val="00CB2B91"/>
    <w:rsid w:val="00CC308D"/>
    <w:rsid w:val="00CC5B4D"/>
    <w:rsid w:val="00CD0A05"/>
    <w:rsid w:val="00CD478E"/>
    <w:rsid w:val="00CD5881"/>
    <w:rsid w:val="00CE2F07"/>
    <w:rsid w:val="00CE3904"/>
    <w:rsid w:val="00CE4A7B"/>
    <w:rsid w:val="00CE5672"/>
    <w:rsid w:val="00CE6566"/>
    <w:rsid w:val="00CF0FAF"/>
    <w:rsid w:val="00CF1D6A"/>
    <w:rsid w:val="00CF233B"/>
    <w:rsid w:val="00CF3B01"/>
    <w:rsid w:val="00D03C48"/>
    <w:rsid w:val="00D04751"/>
    <w:rsid w:val="00D04A3A"/>
    <w:rsid w:val="00D065E6"/>
    <w:rsid w:val="00D11EAB"/>
    <w:rsid w:val="00D12740"/>
    <w:rsid w:val="00D20385"/>
    <w:rsid w:val="00D234F3"/>
    <w:rsid w:val="00D318BB"/>
    <w:rsid w:val="00D336A8"/>
    <w:rsid w:val="00D42C5A"/>
    <w:rsid w:val="00D43349"/>
    <w:rsid w:val="00D438E2"/>
    <w:rsid w:val="00D473ED"/>
    <w:rsid w:val="00D50B3D"/>
    <w:rsid w:val="00D52128"/>
    <w:rsid w:val="00D61BBA"/>
    <w:rsid w:val="00D6587D"/>
    <w:rsid w:val="00D66B6C"/>
    <w:rsid w:val="00D67FA2"/>
    <w:rsid w:val="00D707F7"/>
    <w:rsid w:val="00D70D35"/>
    <w:rsid w:val="00D723C3"/>
    <w:rsid w:val="00D73CE5"/>
    <w:rsid w:val="00D76BA1"/>
    <w:rsid w:val="00D774E9"/>
    <w:rsid w:val="00D86697"/>
    <w:rsid w:val="00D86A05"/>
    <w:rsid w:val="00D870D9"/>
    <w:rsid w:val="00D94F8B"/>
    <w:rsid w:val="00D9536A"/>
    <w:rsid w:val="00D979E4"/>
    <w:rsid w:val="00DA2AB7"/>
    <w:rsid w:val="00DB115D"/>
    <w:rsid w:val="00DB5C86"/>
    <w:rsid w:val="00DB5D1A"/>
    <w:rsid w:val="00DB67E4"/>
    <w:rsid w:val="00DB6F8D"/>
    <w:rsid w:val="00DC07ED"/>
    <w:rsid w:val="00DC174C"/>
    <w:rsid w:val="00DC2BA0"/>
    <w:rsid w:val="00DC653D"/>
    <w:rsid w:val="00DC7716"/>
    <w:rsid w:val="00DD18AA"/>
    <w:rsid w:val="00DD1DC1"/>
    <w:rsid w:val="00DE703A"/>
    <w:rsid w:val="00DF59D0"/>
    <w:rsid w:val="00DF7D8F"/>
    <w:rsid w:val="00E01309"/>
    <w:rsid w:val="00E033C2"/>
    <w:rsid w:val="00E04C74"/>
    <w:rsid w:val="00E07DEF"/>
    <w:rsid w:val="00E205A8"/>
    <w:rsid w:val="00E26614"/>
    <w:rsid w:val="00E26D0C"/>
    <w:rsid w:val="00E2721D"/>
    <w:rsid w:val="00E3236C"/>
    <w:rsid w:val="00E3238D"/>
    <w:rsid w:val="00E43E45"/>
    <w:rsid w:val="00E43F41"/>
    <w:rsid w:val="00E45A69"/>
    <w:rsid w:val="00E511DC"/>
    <w:rsid w:val="00E52ACB"/>
    <w:rsid w:val="00E56452"/>
    <w:rsid w:val="00E56D77"/>
    <w:rsid w:val="00E57E2D"/>
    <w:rsid w:val="00E632CC"/>
    <w:rsid w:val="00E63385"/>
    <w:rsid w:val="00E72C89"/>
    <w:rsid w:val="00E82F6D"/>
    <w:rsid w:val="00E85A27"/>
    <w:rsid w:val="00E87AF4"/>
    <w:rsid w:val="00E90681"/>
    <w:rsid w:val="00E9155B"/>
    <w:rsid w:val="00E9378C"/>
    <w:rsid w:val="00EA0283"/>
    <w:rsid w:val="00EA2E6A"/>
    <w:rsid w:val="00EB549C"/>
    <w:rsid w:val="00EB5DEF"/>
    <w:rsid w:val="00EC20BF"/>
    <w:rsid w:val="00ED27F8"/>
    <w:rsid w:val="00EE5921"/>
    <w:rsid w:val="00EF0A1A"/>
    <w:rsid w:val="00EF6C8B"/>
    <w:rsid w:val="00F01039"/>
    <w:rsid w:val="00F03DDA"/>
    <w:rsid w:val="00F119E7"/>
    <w:rsid w:val="00F11B7F"/>
    <w:rsid w:val="00F1638B"/>
    <w:rsid w:val="00F22409"/>
    <w:rsid w:val="00F26C49"/>
    <w:rsid w:val="00F270B5"/>
    <w:rsid w:val="00F30F53"/>
    <w:rsid w:val="00F40286"/>
    <w:rsid w:val="00F510B5"/>
    <w:rsid w:val="00F5158F"/>
    <w:rsid w:val="00F53515"/>
    <w:rsid w:val="00F5580C"/>
    <w:rsid w:val="00F61719"/>
    <w:rsid w:val="00F623F3"/>
    <w:rsid w:val="00F642A9"/>
    <w:rsid w:val="00F700F9"/>
    <w:rsid w:val="00F73D7A"/>
    <w:rsid w:val="00F76189"/>
    <w:rsid w:val="00F775D6"/>
    <w:rsid w:val="00F7794D"/>
    <w:rsid w:val="00F832B5"/>
    <w:rsid w:val="00F84441"/>
    <w:rsid w:val="00F959E5"/>
    <w:rsid w:val="00F97D2A"/>
    <w:rsid w:val="00F97F61"/>
    <w:rsid w:val="00FA10F5"/>
    <w:rsid w:val="00FA3F2C"/>
    <w:rsid w:val="00FA7FDE"/>
    <w:rsid w:val="00FB41BD"/>
    <w:rsid w:val="00FB587A"/>
    <w:rsid w:val="00FB62FC"/>
    <w:rsid w:val="00FC62CF"/>
    <w:rsid w:val="00FD436B"/>
    <w:rsid w:val="00FD7184"/>
    <w:rsid w:val="00FE0546"/>
    <w:rsid w:val="00FE3537"/>
    <w:rsid w:val="00FE464E"/>
    <w:rsid w:val="00FE6A66"/>
    <w:rsid w:val="00FF2EE2"/>
    <w:rsid w:val="00FF315E"/>
    <w:rsid w:val="00FF395A"/>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FA3F2C"/>
    <w:rPr>
      <w:rFonts w:eastAsia="Times New Roman"/>
      <w:bCs/>
      <w:szCs w:val="26"/>
      <w:lang w:eastAsia="en-US"/>
    </w:rPr>
  </w:style>
  <w:style w:type="paragraph" w:styleId="Heading1">
    <w:name w:val="heading 1"/>
    <w:basedOn w:val="Normal"/>
    <w:next w:val="Normal"/>
    <w:link w:val="Heading1Char"/>
    <w:uiPriority w:val="9"/>
    <w:qFormat/>
    <w:rsid w:val="00A716D1"/>
    <w:pPr>
      <w:numPr>
        <w:numId w:val="2"/>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A716D1"/>
    <w:pPr>
      <w:numPr>
        <w:ilvl w:val="1"/>
        <w:numId w:val="2"/>
      </w:num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A716D1"/>
    <w:pPr>
      <w:numPr>
        <w:ilvl w:val="2"/>
        <w:numId w:val="2"/>
      </w:numPr>
      <w:spacing w:line="360" w:lineRule="auto"/>
      <w:outlineLvl w:val="2"/>
    </w:pPr>
    <w:rPr>
      <w:b/>
    </w:rPr>
  </w:style>
  <w:style w:type="paragraph" w:styleId="Heading4">
    <w:name w:val="heading 4"/>
    <w:basedOn w:val="Normal"/>
    <w:next w:val="Normal"/>
    <w:link w:val="Heading4Char"/>
    <w:uiPriority w:val="9"/>
    <w:unhideWhenUsed/>
    <w:qFormat/>
    <w:rsid w:val="00E52ACB"/>
    <w:pPr>
      <w:keepNext/>
      <w:keepLines/>
      <w:numPr>
        <w:ilvl w:val="3"/>
        <w:numId w:val="2"/>
      </w:numPr>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
    <w:unhideWhenUsed/>
    <w:qFormat/>
    <w:rsid w:val="00E52ACB"/>
    <w:pPr>
      <w:keepNext/>
      <w:keepLines/>
      <w:numPr>
        <w:ilvl w:val="4"/>
        <w:numId w:val="2"/>
      </w:numPr>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
    <w:semiHidden/>
    <w:unhideWhenUsed/>
    <w:qFormat/>
    <w:rsid w:val="00E52ACB"/>
    <w:pPr>
      <w:keepNext/>
      <w:keepLines/>
      <w:numPr>
        <w:ilvl w:val="5"/>
        <w:numId w:val="2"/>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9847D7"/>
    <w:pPr>
      <w:tabs>
        <w:tab w:val="left" w:pos="480"/>
        <w:tab w:val="right" w:leader="dot" w:pos="9054"/>
      </w:tabs>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themeColor="text2"/>
      <w:sz w:val="80"/>
      <w:szCs w:val="80"/>
    </w:rPr>
  </w:style>
  <w:style w:type="character" w:customStyle="1" w:styleId="TitleChar">
    <w:name w:val="Title Char"/>
    <w:basedOn w:val="DefaultParagraphFont"/>
    <w:link w:val="Title"/>
    <w:uiPriority w:val="10"/>
    <w:rsid w:val="00E72C89"/>
    <w:rPr>
      <w:rFonts w:eastAsia="Times New Roman"/>
      <w:b/>
      <w:bCs/>
      <w:color w:val="0072C6" w:themeColor="text2"/>
      <w:sz w:val="80"/>
      <w:szCs w:val="80"/>
      <w:lang w:eastAsia="en-US"/>
    </w:rPr>
  </w:style>
  <w:style w:type="character" w:customStyle="1" w:styleId="Heading1Char">
    <w:name w:val="Heading 1 Char"/>
    <w:link w:val="Heading1"/>
    <w:uiPriority w:val="9"/>
    <w:rsid w:val="00A716D1"/>
    <w:rPr>
      <w:rFonts w:eastAsia="Times New Roman" w:cs="Arial"/>
      <w:b/>
      <w:bCs/>
      <w:color w:val="0072C6"/>
      <w:kern w:val="32"/>
      <w:sz w:val="32"/>
      <w:szCs w:val="32"/>
      <w:lang w:eastAsia="en-US"/>
    </w:rPr>
  </w:style>
  <w:style w:type="character" w:customStyle="1" w:styleId="Heading4Char">
    <w:name w:val="Heading 4 Char"/>
    <w:basedOn w:val="DefaultParagraphFont"/>
    <w:link w:val="Heading4"/>
    <w:uiPriority w:val="9"/>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
    <w:rsid w:val="00A716D1"/>
    <w:rPr>
      <w:rFonts w:eastAsia="Times New Roman"/>
      <w:b/>
      <w:bCs/>
      <w:iCs/>
      <w:color w:val="A00054"/>
      <w:sz w:val="28"/>
      <w:szCs w:val="28"/>
      <w:lang w:eastAsia="en-US"/>
    </w:rPr>
  </w:style>
  <w:style w:type="character" w:customStyle="1" w:styleId="Heading5Char">
    <w:name w:val="Heading 5 Char"/>
    <w:basedOn w:val="DefaultParagraphFont"/>
    <w:link w:val="Heading5"/>
    <w:uiPriority w:val="9"/>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
    <w:rsid w:val="00A716D1"/>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A04D60"/>
    <w:pPr>
      <w:tabs>
        <w:tab w:val="left" w:pos="880"/>
        <w:tab w:val="right" w:leader="dot" w:pos="9622"/>
      </w:tabs>
      <w:spacing w:line="360" w:lineRule="auto"/>
      <w:ind w:left="238"/>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link w:val="ListParagraphChar"/>
    <w:uiPriority w:val="34"/>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paragraph" w:customStyle="1" w:styleId="Default">
    <w:name w:val="Default"/>
    <w:rsid w:val="006F0007"/>
    <w:pPr>
      <w:autoSpaceDE w:val="0"/>
      <w:autoSpaceDN w:val="0"/>
      <w:adjustRightInd w:val="0"/>
    </w:pPr>
    <w:rPr>
      <w:rFonts w:cs="Arial"/>
      <w:color w:val="000000"/>
    </w:rPr>
  </w:style>
  <w:style w:type="paragraph" w:customStyle="1" w:styleId="DHSecondaryHeadingOne">
    <w:name w:val="DH Secondary Heading One"/>
    <w:basedOn w:val="Normal"/>
    <w:link w:val="DHSecondaryHeadingOneChar"/>
    <w:rsid w:val="00C90A4B"/>
    <w:pPr>
      <w:spacing w:line="360" w:lineRule="exact"/>
    </w:pPr>
    <w:rPr>
      <w:bCs w:val="0"/>
      <w:color w:val="009966"/>
      <w:sz w:val="28"/>
      <w:szCs w:val="20"/>
    </w:rPr>
  </w:style>
  <w:style w:type="character" w:customStyle="1" w:styleId="DHSecondaryHeadingOneChar">
    <w:name w:val="DH Secondary Heading One Char"/>
    <w:link w:val="DHSecondaryHeadingOne"/>
    <w:rsid w:val="00C90A4B"/>
    <w:rPr>
      <w:rFonts w:eastAsia="Times New Roman"/>
      <w:color w:val="009966"/>
      <w:sz w:val="28"/>
      <w:szCs w:val="20"/>
      <w:lang w:eastAsia="en-US"/>
    </w:rPr>
  </w:style>
  <w:style w:type="character" w:styleId="PlaceholderText">
    <w:name w:val="Placeholder Text"/>
    <w:basedOn w:val="DefaultParagraphFont"/>
    <w:uiPriority w:val="99"/>
    <w:unhideWhenUsed/>
    <w:rsid w:val="00127D82"/>
    <w:rPr>
      <w:color w:val="808080"/>
    </w:rPr>
  </w:style>
  <w:style w:type="paragraph" w:styleId="EndnoteText">
    <w:name w:val="endnote text"/>
    <w:basedOn w:val="Normal"/>
    <w:link w:val="EndnoteTextChar"/>
    <w:uiPriority w:val="99"/>
    <w:unhideWhenUsed/>
    <w:rsid w:val="006837A5"/>
    <w:rPr>
      <w:rFonts w:asciiTheme="minorHAnsi" w:eastAsiaTheme="minorHAnsi" w:hAnsiTheme="minorHAnsi" w:cstheme="minorBidi"/>
      <w:bCs w:val="0"/>
      <w:sz w:val="20"/>
      <w:szCs w:val="20"/>
    </w:rPr>
  </w:style>
  <w:style w:type="character" w:customStyle="1" w:styleId="EndnoteTextChar">
    <w:name w:val="Endnote Text Char"/>
    <w:basedOn w:val="DefaultParagraphFont"/>
    <w:link w:val="EndnoteText"/>
    <w:uiPriority w:val="99"/>
    <w:rsid w:val="006837A5"/>
    <w:rPr>
      <w:rFonts w:asciiTheme="minorHAnsi" w:eastAsiaTheme="minorHAnsi" w:hAnsiTheme="minorHAnsi" w:cstheme="minorBidi"/>
      <w:sz w:val="20"/>
      <w:szCs w:val="20"/>
      <w:lang w:eastAsia="en-US"/>
    </w:rPr>
  </w:style>
  <w:style w:type="table" w:customStyle="1" w:styleId="TableGrid1">
    <w:name w:val="Table Grid1"/>
    <w:basedOn w:val="TableNormal"/>
    <w:next w:val="TableGrid"/>
    <w:uiPriority w:val="59"/>
    <w:rsid w:val="00C3011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672"/>
    <w:rPr>
      <w:sz w:val="16"/>
      <w:szCs w:val="16"/>
    </w:rPr>
  </w:style>
  <w:style w:type="paragraph" w:styleId="CommentText">
    <w:name w:val="annotation text"/>
    <w:basedOn w:val="Normal"/>
    <w:link w:val="CommentTextChar"/>
    <w:uiPriority w:val="99"/>
    <w:semiHidden/>
    <w:unhideWhenUsed/>
    <w:rsid w:val="00CE5672"/>
    <w:rPr>
      <w:sz w:val="20"/>
      <w:szCs w:val="20"/>
    </w:rPr>
  </w:style>
  <w:style w:type="character" w:customStyle="1" w:styleId="CommentTextChar">
    <w:name w:val="Comment Text Char"/>
    <w:basedOn w:val="DefaultParagraphFont"/>
    <w:link w:val="CommentText"/>
    <w:uiPriority w:val="99"/>
    <w:semiHidden/>
    <w:rsid w:val="00CE5672"/>
    <w:rPr>
      <w:rFonts w:eastAsia="Times New Roman"/>
      <w:bCs/>
      <w:sz w:val="20"/>
      <w:szCs w:val="20"/>
      <w:lang w:eastAsia="en-US"/>
    </w:rPr>
  </w:style>
  <w:style w:type="paragraph" w:styleId="CommentSubject">
    <w:name w:val="annotation subject"/>
    <w:basedOn w:val="CommentText"/>
    <w:next w:val="CommentText"/>
    <w:link w:val="CommentSubjectChar"/>
    <w:uiPriority w:val="99"/>
    <w:semiHidden/>
    <w:unhideWhenUsed/>
    <w:rsid w:val="00CE5672"/>
    <w:rPr>
      <w:b/>
    </w:rPr>
  </w:style>
  <w:style w:type="character" w:customStyle="1" w:styleId="CommentSubjectChar">
    <w:name w:val="Comment Subject Char"/>
    <w:basedOn w:val="CommentTextChar"/>
    <w:link w:val="CommentSubject"/>
    <w:uiPriority w:val="99"/>
    <w:semiHidden/>
    <w:rsid w:val="00CE5672"/>
    <w:rPr>
      <w:rFonts w:eastAsia="Times New Roman"/>
      <w:b/>
      <w:bCs/>
      <w:sz w:val="20"/>
      <w:szCs w:val="20"/>
      <w:lang w:eastAsia="en-US"/>
    </w:rPr>
  </w:style>
  <w:style w:type="paragraph" w:styleId="NoSpacing">
    <w:name w:val="No Spacing"/>
    <w:uiPriority w:val="1"/>
    <w:qFormat/>
    <w:rsid w:val="00072D9C"/>
    <w:rPr>
      <w:rFonts w:asciiTheme="minorHAnsi" w:eastAsiaTheme="minorHAnsi" w:hAnsiTheme="minorHAnsi" w:cstheme="minorBidi"/>
      <w:sz w:val="22"/>
      <w:szCs w:val="22"/>
      <w:lang w:eastAsia="en-US"/>
    </w:rPr>
  </w:style>
  <w:style w:type="paragraph" w:styleId="TOC4">
    <w:name w:val="toc 4"/>
    <w:basedOn w:val="Normal"/>
    <w:next w:val="Normal"/>
    <w:autoRedefine/>
    <w:uiPriority w:val="39"/>
    <w:unhideWhenUsed/>
    <w:rsid w:val="004279A7"/>
    <w:pPr>
      <w:spacing w:after="100" w:line="276" w:lineRule="auto"/>
      <w:ind w:left="660"/>
    </w:pPr>
    <w:rPr>
      <w:rFonts w:asciiTheme="minorHAnsi" w:eastAsiaTheme="minorEastAsia" w:hAnsiTheme="minorHAnsi" w:cstheme="minorBidi"/>
      <w:bCs w:val="0"/>
      <w:sz w:val="22"/>
      <w:szCs w:val="22"/>
      <w:lang w:eastAsia="en-GB"/>
    </w:rPr>
  </w:style>
  <w:style w:type="paragraph" w:styleId="TOC5">
    <w:name w:val="toc 5"/>
    <w:basedOn w:val="Normal"/>
    <w:next w:val="Normal"/>
    <w:autoRedefine/>
    <w:uiPriority w:val="39"/>
    <w:unhideWhenUsed/>
    <w:rsid w:val="004279A7"/>
    <w:pPr>
      <w:spacing w:after="100" w:line="276" w:lineRule="auto"/>
      <w:ind w:left="880"/>
    </w:pPr>
    <w:rPr>
      <w:rFonts w:asciiTheme="minorHAnsi" w:eastAsiaTheme="minorEastAsia" w:hAnsiTheme="minorHAnsi" w:cstheme="minorBidi"/>
      <w:bCs w:val="0"/>
      <w:sz w:val="22"/>
      <w:szCs w:val="22"/>
      <w:lang w:eastAsia="en-GB"/>
    </w:rPr>
  </w:style>
  <w:style w:type="paragraph" w:styleId="TOC6">
    <w:name w:val="toc 6"/>
    <w:basedOn w:val="Normal"/>
    <w:next w:val="Normal"/>
    <w:autoRedefine/>
    <w:uiPriority w:val="39"/>
    <w:unhideWhenUsed/>
    <w:rsid w:val="004279A7"/>
    <w:pPr>
      <w:spacing w:after="100" w:line="276" w:lineRule="auto"/>
      <w:ind w:left="1100"/>
    </w:pPr>
    <w:rPr>
      <w:rFonts w:asciiTheme="minorHAnsi" w:eastAsiaTheme="minorEastAsia" w:hAnsiTheme="minorHAnsi" w:cstheme="minorBidi"/>
      <w:bCs w:val="0"/>
      <w:sz w:val="22"/>
      <w:szCs w:val="22"/>
      <w:lang w:eastAsia="en-GB"/>
    </w:rPr>
  </w:style>
  <w:style w:type="paragraph" w:styleId="TOC7">
    <w:name w:val="toc 7"/>
    <w:basedOn w:val="Normal"/>
    <w:next w:val="Normal"/>
    <w:autoRedefine/>
    <w:uiPriority w:val="39"/>
    <w:unhideWhenUsed/>
    <w:rsid w:val="004279A7"/>
    <w:pPr>
      <w:spacing w:after="100" w:line="276" w:lineRule="auto"/>
      <w:ind w:left="1320"/>
    </w:pPr>
    <w:rPr>
      <w:rFonts w:asciiTheme="minorHAnsi" w:eastAsiaTheme="minorEastAsia" w:hAnsiTheme="minorHAnsi" w:cstheme="minorBidi"/>
      <w:bCs w:val="0"/>
      <w:sz w:val="22"/>
      <w:szCs w:val="22"/>
      <w:lang w:eastAsia="en-GB"/>
    </w:rPr>
  </w:style>
  <w:style w:type="paragraph" w:styleId="TOC8">
    <w:name w:val="toc 8"/>
    <w:basedOn w:val="Normal"/>
    <w:next w:val="Normal"/>
    <w:autoRedefine/>
    <w:uiPriority w:val="39"/>
    <w:unhideWhenUsed/>
    <w:rsid w:val="004279A7"/>
    <w:pPr>
      <w:spacing w:after="100" w:line="276" w:lineRule="auto"/>
      <w:ind w:left="1540"/>
    </w:pPr>
    <w:rPr>
      <w:rFonts w:asciiTheme="minorHAnsi" w:eastAsiaTheme="minorEastAsia" w:hAnsiTheme="minorHAnsi" w:cstheme="minorBidi"/>
      <w:bCs w:val="0"/>
      <w:sz w:val="22"/>
      <w:szCs w:val="22"/>
      <w:lang w:eastAsia="en-GB"/>
    </w:rPr>
  </w:style>
  <w:style w:type="paragraph" w:styleId="TOC9">
    <w:name w:val="toc 9"/>
    <w:basedOn w:val="Normal"/>
    <w:next w:val="Normal"/>
    <w:autoRedefine/>
    <w:uiPriority w:val="39"/>
    <w:unhideWhenUsed/>
    <w:rsid w:val="004279A7"/>
    <w:pPr>
      <w:spacing w:after="100" w:line="276" w:lineRule="auto"/>
      <w:ind w:left="1760"/>
    </w:pPr>
    <w:rPr>
      <w:rFonts w:asciiTheme="minorHAnsi" w:eastAsiaTheme="minorEastAsia" w:hAnsiTheme="minorHAnsi" w:cstheme="minorBidi"/>
      <w:bCs w:val="0"/>
      <w:sz w:val="22"/>
      <w:szCs w:val="22"/>
      <w:lang w:eastAsia="en-GB"/>
    </w:rPr>
  </w:style>
  <w:style w:type="paragraph" w:styleId="FootnoteText">
    <w:name w:val="footnote text"/>
    <w:basedOn w:val="Normal"/>
    <w:link w:val="FootnoteTextChar"/>
    <w:uiPriority w:val="99"/>
    <w:semiHidden/>
    <w:unhideWhenUsed/>
    <w:rsid w:val="00EC20BF"/>
    <w:rPr>
      <w:sz w:val="20"/>
      <w:szCs w:val="20"/>
    </w:rPr>
  </w:style>
  <w:style w:type="character" w:customStyle="1" w:styleId="FootnoteTextChar">
    <w:name w:val="Footnote Text Char"/>
    <w:basedOn w:val="DefaultParagraphFont"/>
    <w:link w:val="FootnoteText"/>
    <w:uiPriority w:val="99"/>
    <w:semiHidden/>
    <w:rsid w:val="00EC20BF"/>
    <w:rPr>
      <w:rFonts w:eastAsia="Times New Roman"/>
      <w:bCs/>
      <w:sz w:val="20"/>
      <w:szCs w:val="20"/>
      <w:lang w:eastAsia="en-US"/>
    </w:rPr>
  </w:style>
  <w:style w:type="character" w:styleId="FootnoteReference">
    <w:name w:val="footnote reference"/>
    <w:basedOn w:val="DefaultParagraphFont"/>
    <w:uiPriority w:val="99"/>
    <w:semiHidden/>
    <w:rsid w:val="00EC20BF"/>
    <w:rPr>
      <w:rFonts w:cs="Times New Roman"/>
      <w:vertAlign w:val="superscript"/>
    </w:rPr>
  </w:style>
  <w:style w:type="character" w:customStyle="1" w:styleId="ListParagraphChar">
    <w:name w:val="List Paragraph Char"/>
    <w:link w:val="ListParagraph"/>
    <w:uiPriority w:val="34"/>
    <w:locked/>
    <w:rsid w:val="00D723C3"/>
    <w:rPr>
      <w:rFonts w:eastAsia="Times New Roman"/>
      <w:bCs/>
      <w:szCs w:val="26"/>
      <w:lang w:eastAsia="en-US"/>
    </w:rPr>
  </w:style>
  <w:style w:type="paragraph" w:customStyle="1" w:styleId="eb3ece38-9c16-42fb-aa70-07d13b8e1adc">
    <w:name w:val="eb3ece38-9c16-42fb-aa70-07d13b8e1adc"/>
    <w:basedOn w:val="Normal"/>
    <w:rsid w:val="00AC189E"/>
    <w:rPr>
      <w:rFonts w:ascii="Times New Roman" w:hAnsi="Times New Roman"/>
      <w:bCs w:val="0"/>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FA3F2C"/>
    <w:rPr>
      <w:rFonts w:eastAsia="Times New Roman"/>
      <w:bCs/>
      <w:szCs w:val="26"/>
      <w:lang w:eastAsia="en-US"/>
    </w:rPr>
  </w:style>
  <w:style w:type="paragraph" w:styleId="Heading1">
    <w:name w:val="heading 1"/>
    <w:basedOn w:val="Normal"/>
    <w:next w:val="Normal"/>
    <w:link w:val="Heading1Char"/>
    <w:uiPriority w:val="9"/>
    <w:qFormat/>
    <w:rsid w:val="00A716D1"/>
    <w:pPr>
      <w:numPr>
        <w:numId w:val="2"/>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A716D1"/>
    <w:pPr>
      <w:numPr>
        <w:ilvl w:val="1"/>
        <w:numId w:val="2"/>
      </w:num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A716D1"/>
    <w:pPr>
      <w:numPr>
        <w:ilvl w:val="2"/>
        <w:numId w:val="2"/>
      </w:numPr>
      <w:spacing w:line="360" w:lineRule="auto"/>
      <w:outlineLvl w:val="2"/>
    </w:pPr>
    <w:rPr>
      <w:b/>
    </w:rPr>
  </w:style>
  <w:style w:type="paragraph" w:styleId="Heading4">
    <w:name w:val="heading 4"/>
    <w:basedOn w:val="Normal"/>
    <w:next w:val="Normal"/>
    <w:link w:val="Heading4Char"/>
    <w:uiPriority w:val="9"/>
    <w:unhideWhenUsed/>
    <w:qFormat/>
    <w:rsid w:val="00E52ACB"/>
    <w:pPr>
      <w:keepNext/>
      <w:keepLines/>
      <w:numPr>
        <w:ilvl w:val="3"/>
        <w:numId w:val="2"/>
      </w:numPr>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
    <w:unhideWhenUsed/>
    <w:qFormat/>
    <w:rsid w:val="00E52ACB"/>
    <w:pPr>
      <w:keepNext/>
      <w:keepLines/>
      <w:numPr>
        <w:ilvl w:val="4"/>
        <w:numId w:val="2"/>
      </w:numPr>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
    <w:semiHidden/>
    <w:unhideWhenUsed/>
    <w:qFormat/>
    <w:rsid w:val="00E52ACB"/>
    <w:pPr>
      <w:keepNext/>
      <w:keepLines/>
      <w:numPr>
        <w:ilvl w:val="5"/>
        <w:numId w:val="2"/>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9847D7"/>
    <w:pPr>
      <w:tabs>
        <w:tab w:val="left" w:pos="480"/>
        <w:tab w:val="right" w:leader="dot" w:pos="9054"/>
      </w:tabs>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themeColor="text2"/>
      <w:sz w:val="80"/>
      <w:szCs w:val="80"/>
    </w:rPr>
  </w:style>
  <w:style w:type="character" w:customStyle="1" w:styleId="TitleChar">
    <w:name w:val="Title Char"/>
    <w:basedOn w:val="DefaultParagraphFont"/>
    <w:link w:val="Title"/>
    <w:uiPriority w:val="10"/>
    <w:rsid w:val="00E72C89"/>
    <w:rPr>
      <w:rFonts w:eastAsia="Times New Roman"/>
      <w:b/>
      <w:bCs/>
      <w:color w:val="0072C6" w:themeColor="text2"/>
      <w:sz w:val="80"/>
      <w:szCs w:val="80"/>
      <w:lang w:eastAsia="en-US"/>
    </w:rPr>
  </w:style>
  <w:style w:type="character" w:customStyle="1" w:styleId="Heading1Char">
    <w:name w:val="Heading 1 Char"/>
    <w:link w:val="Heading1"/>
    <w:uiPriority w:val="9"/>
    <w:rsid w:val="00A716D1"/>
    <w:rPr>
      <w:rFonts w:eastAsia="Times New Roman" w:cs="Arial"/>
      <w:b/>
      <w:bCs/>
      <w:color w:val="0072C6"/>
      <w:kern w:val="32"/>
      <w:sz w:val="32"/>
      <w:szCs w:val="32"/>
      <w:lang w:eastAsia="en-US"/>
    </w:rPr>
  </w:style>
  <w:style w:type="character" w:customStyle="1" w:styleId="Heading4Char">
    <w:name w:val="Heading 4 Char"/>
    <w:basedOn w:val="DefaultParagraphFont"/>
    <w:link w:val="Heading4"/>
    <w:uiPriority w:val="9"/>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
    <w:rsid w:val="00A716D1"/>
    <w:rPr>
      <w:rFonts w:eastAsia="Times New Roman"/>
      <w:b/>
      <w:bCs/>
      <w:iCs/>
      <w:color w:val="A00054"/>
      <w:sz w:val="28"/>
      <w:szCs w:val="28"/>
      <w:lang w:eastAsia="en-US"/>
    </w:rPr>
  </w:style>
  <w:style w:type="character" w:customStyle="1" w:styleId="Heading5Char">
    <w:name w:val="Heading 5 Char"/>
    <w:basedOn w:val="DefaultParagraphFont"/>
    <w:link w:val="Heading5"/>
    <w:uiPriority w:val="9"/>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
    <w:rsid w:val="00A716D1"/>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A04D60"/>
    <w:pPr>
      <w:tabs>
        <w:tab w:val="left" w:pos="880"/>
        <w:tab w:val="right" w:leader="dot" w:pos="9622"/>
      </w:tabs>
      <w:spacing w:line="360" w:lineRule="auto"/>
      <w:ind w:left="238"/>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link w:val="ListParagraphChar"/>
    <w:uiPriority w:val="34"/>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paragraph" w:customStyle="1" w:styleId="Default">
    <w:name w:val="Default"/>
    <w:rsid w:val="006F0007"/>
    <w:pPr>
      <w:autoSpaceDE w:val="0"/>
      <w:autoSpaceDN w:val="0"/>
      <w:adjustRightInd w:val="0"/>
    </w:pPr>
    <w:rPr>
      <w:rFonts w:cs="Arial"/>
      <w:color w:val="000000"/>
    </w:rPr>
  </w:style>
  <w:style w:type="paragraph" w:customStyle="1" w:styleId="DHSecondaryHeadingOne">
    <w:name w:val="DH Secondary Heading One"/>
    <w:basedOn w:val="Normal"/>
    <w:link w:val="DHSecondaryHeadingOneChar"/>
    <w:rsid w:val="00C90A4B"/>
    <w:pPr>
      <w:spacing w:line="360" w:lineRule="exact"/>
    </w:pPr>
    <w:rPr>
      <w:bCs w:val="0"/>
      <w:color w:val="009966"/>
      <w:sz w:val="28"/>
      <w:szCs w:val="20"/>
    </w:rPr>
  </w:style>
  <w:style w:type="character" w:customStyle="1" w:styleId="DHSecondaryHeadingOneChar">
    <w:name w:val="DH Secondary Heading One Char"/>
    <w:link w:val="DHSecondaryHeadingOne"/>
    <w:rsid w:val="00C90A4B"/>
    <w:rPr>
      <w:rFonts w:eastAsia="Times New Roman"/>
      <w:color w:val="009966"/>
      <w:sz w:val="28"/>
      <w:szCs w:val="20"/>
      <w:lang w:eastAsia="en-US"/>
    </w:rPr>
  </w:style>
  <w:style w:type="character" w:styleId="PlaceholderText">
    <w:name w:val="Placeholder Text"/>
    <w:basedOn w:val="DefaultParagraphFont"/>
    <w:uiPriority w:val="99"/>
    <w:unhideWhenUsed/>
    <w:rsid w:val="00127D82"/>
    <w:rPr>
      <w:color w:val="808080"/>
    </w:rPr>
  </w:style>
  <w:style w:type="paragraph" w:styleId="EndnoteText">
    <w:name w:val="endnote text"/>
    <w:basedOn w:val="Normal"/>
    <w:link w:val="EndnoteTextChar"/>
    <w:uiPriority w:val="99"/>
    <w:unhideWhenUsed/>
    <w:rsid w:val="006837A5"/>
    <w:rPr>
      <w:rFonts w:asciiTheme="minorHAnsi" w:eastAsiaTheme="minorHAnsi" w:hAnsiTheme="minorHAnsi" w:cstheme="minorBidi"/>
      <w:bCs w:val="0"/>
      <w:sz w:val="20"/>
      <w:szCs w:val="20"/>
    </w:rPr>
  </w:style>
  <w:style w:type="character" w:customStyle="1" w:styleId="EndnoteTextChar">
    <w:name w:val="Endnote Text Char"/>
    <w:basedOn w:val="DefaultParagraphFont"/>
    <w:link w:val="EndnoteText"/>
    <w:uiPriority w:val="99"/>
    <w:rsid w:val="006837A5"/>
    <w:rPr>
      <w:rFonts w:asciiTheme="minorHAnsi" w:eastAsiaTheme="minorHAnsi" w:hAnsiTheme="minorHAnsi" w:cstheme="minorBidi"/>
      <w:sz w:val="20"/>
      <w:szCs w:val="20"/>
      <w:lang w:eastAsia="en-US"/>
    </w:rPr>
  </w:style>
  <w:style w:type="table" w:customStyle="1" w:styleId="TableGrid1">
    <w:name w:val="Table Grid1"/>
    <w:basedOn w:val="TableNormal"/>
    <w:next w:val="TableGrid"/>
    <w:uiPriority w:val="59"/>
    <w:rsid w:val="00C3011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672"/>
    <w:rPr>
      <w:sz w:val="16"/>
      <w:szCs w:val="16"/>
    </w:rPr>
  </w:style>
  <w:style w:type="paragraph" w:styleId="CommentText">
    <w:name w:val="annotation text"/>
    <w:basedOn w:val="Normal"/>
    <w:link w:val="CommentTextChar"/>
    <w:uiPriority w:val="99"/>
    <w:semiHidden/>
    <w:unhideWhenUsed/>
    <w:rsid w:val="00CE5672"/>
    <w:rPr>
      <w:sz w:val="20"/>
      <w:szCs w:val="20"/>
    </w:rPr>
  </w:style>
  <w:style w:type="character" w:customStyle="1" w:styleId="CommentTextChar">
    <w:name w:val="Comment Text Char"/>
    <w:basedOn w:val="DefaultParagraphFont"/>
    <w:link w:val="CommentText"/>
    <w:uiPriority w:val="99"/>
    <w:semiHidden/>
    <w:rsid w:val="00CE5672"/>
    <w:rPr>
      <w:rFonts w:eastAsia="Times New Roman"/>
      <w:bCs/>
      <w:sz w:val="20"/>
      <w:szCs w:val="20"/>
      <w:lang w:eastAsia="en-US"/>
    </w:rPr>
  </w:style>
  <w:style w:type="paragraph" w:styleId="CommentSubject">
    <w:name w:val="annotation subject"/>
    <w:basedOn w:val="CommentText"/>
    <w:next w:val="CommentText"/>
    <w:link w:val="CommentSubjectChar"/>
    <w:uiPriority w:val="99"/>
    <w:semiHidden/>
    <w:unhideWhenUsed/>
    <w:rsid w:val="00CE5672"/>
    <w:rPr>
      <w:b/>
    </w:rPr>
  </w:style>
  <w:style w:type="character" w:customStyle="1" w:styleId="CommentSubjectChar">
    <w:name w:val="Comment Subject Char"/>
    <w:basedOn w:val="CommentTextChar"/>
    <w:link w:val="CommentSubject"/>
    <w:uiPriority w:val="99"/>
    <w:semiHidden/>
    <w:rsid w:val="00CE5672"/>
    <w:rPr>
      <w:rFonts w:eastAsia="Times New Roman"/>
      <w:b/>
      <w:bCs/>
      <w:sz w:val="20"/>
      <w:szCs w:val="20"/>
      <w:lang w:eastAsia="en-US"/>
    </w:rPr>
  </w:style>
  <w:style w:type="paragraph" w:styleId="NoSpacing">
    <w:name w:val="No Spacing"/>
    <w:uiPriority w:val="1"/>
    <w:qFormat/>
    <w:rsid w:val="00072D9C"/>
    <w:rPr>
      <w:rFonts w:asciiTheme="minorHAnsi" w:eastAsiaTheme="minorHAnsi" w:hAnsiTheme="minorHAnsi" w:cstheme="minorBidi"/>
      <w:sz w:val="22"/>
      <w:szCs w:val="22"/>
      <w:lang w:eastAsia="en-US"/>
    </w:rPr>
  </w:style>
  <w:style w:type="paragraph" w:styleId="TOC4">
    <w:name w:val="toc 4"/>
    <w:basedOn w:val="Normal"/>
    <w:next w:val="Normal"/>
    <w:autoRedefine/>
    <w:uiPriority w:val="39"/>
    <w:unhideWhenUsed/>
    <w:rsid w:val="004279A7"/>
    <w:pPr>
      <w:spacing w:after="100" w:line="276" w:lineRule="auto"/>
      <w:ind w:left="660"/>
    </w:pPr>
    <w:rPr>
      <w:rFonts w:asciiTheme="minorHAnsi" w:eastAsiaTheme="minorEastAsia" w:hAnsiTheme="minorHAnsi" w:cstheme="minorBidi"/>
      <w:bCs w:val="0"/>
      <w:sz w:val="22"/>
      <w:szCs w:val="22"/>
      <w:lang w:eastAsia="en-GB"/>
    </w:rPr>
  </w:style>
  <w:style w:type="paragraph" w:styleId="TOC5">
    <w:name w:val="toc 5"/>
    <w:basedOn w:val="Normal"/>
    <w:next w:val="Normal"/>
    <w:autoRedefine/>
    <w:uiPriority w:val="39"/>
    <w:unhideWhenUsed/>
    <w:rsid w:val="004279A7"/>
    <w:pPr>
      <w:spacing w:after="100" w:line="276" w:lineRule="auto"/>
      <w:ind w:left="880"/>
    </w:pPr>
    <w:rPr>
      <w:rFonts w:asciiTheme="minorHAnsi" w:eastAsiaTheme="minorEastAsia" w:hAnsiTheme="minorHAnsi" w:cstheme="minorBidi"/>
      <w:bCs w:val="0"/>
      <w:sz w:val="22"/>
      <w:szCs w:val="22"/>
      <w:lang w:eastAsia="en-GB"/>
    </w:rPr>
  </w:style>
  <w:style w:type="paragraph" w:styleId="TOC6">
    <w:name w:val="toc 6"/>
    <w:basedOn w:val="Normal"/>
    <w:next w:val="Normal"/>
    <w:autoRedefine/>
    <w:uiPriority w:val="39"/>
    <w:unhideWhenUsed/>
    <w:rsid w:val="004279A7"/>
    <w:pPr>
      <w:spacing w:after="100" w:line="276" w:lineRule="auto"/>
      <w:ind w:left="1100"/>
    </w:pPr>
    <w:rPr>
      <w:rFonts w:asciiTheme="minorHAnsi" w:eastAsiaTheme="minorEastAsia" w:hAnsiTheme="minorHAnsi" w:cstheme="minorBidi"/>
      <w:bCs w:val="0"/>
      <w:sz w:val="22"/>
      <w:szCs w:val="22"/>
      <w:lang w:eastAsia="en-GB"/>
    </w:rPr>
  </w:style>
  <w:style w:type="paragraph" w:styleId="TOC7">
    <w:name w:val="toc 7"/>
    <w:basedOn w:val="Normal"/>
    <w:next w:val="Normal"/>
    <w:autoRedefine/>
    <w:uiPriority w:val="39"/>
    <w:unhideWhenUsed/>
    <w:rsid w:val="004279A7"/>
    <w:pPr>
      <w:spacing w:after="100" w:line="276" w:lineRule="auto"/>
      <w:ind w:left="1320"/>
    </w:pPr>
    <w:rPr>
      <w:rFonts w:asciiTheme="minorHAnsi" w:eastAsiaTheme="minorEastAsia" w:hAnsiTheme="minorHAnsi" w:cstheme="minorBidi"/>
      <w:bCs w:val="0"/>
      <w:sz w:val="22"/>
      <w:szCs w:val="22"/>
      <w:lang w:eastAsia="en-GB"/>
    </w:rPr>
  </w:style>
  <w:style w:type="paragraph" w:styleId="TOC8">
    <w:name w:val="toc 8"/>
    <w:basedOn w:val="Normal"/>
    <w:next w:val="Normal"/>
    <w:autoRedefine/>
    <w:uiPriority w:val="39"/>
    <w:unhideWhenUsed/>
    <w:rsid w:val="004279A7"/>
    <w:pPr>
      <w:spacing w:after="100" w:line="276" w:lineRule="auto"/>
      <w:ind w:left="1540"/>
    </w:pPr>
    <w:rPr>
      <w:rFonts w:asciiTheme="minorHAnsi" w:eastAsiaTheme="minorEastAsia" w:hAnsiTheme="minorHAnsi" w:cstheme="minorBidi"/>
      <w:bCs w:val="0"/>
      <w:sz w:val="22"/>
      <w:szCs w:val="22"/>
      <w:lang w:eastAsia="en-GB"/>
    </w:rPr>
  </w:style>
  <w:style w:type="paragraph" w:styleId="TOC9">
    <w:name w:val="toc 9"/>
    <w:basedOn w:val="Normal"/>
    <w:next w:val="Normal"/>
    <w:autoRedefine/>
    <w:uiPriority w:val="39"/>
    <w:unhideWhenUsed/>
    <w:rsid w:val="004279A7"/>
    <w:pPr>
      <w:spacing w:after="100" w:line="276" w:lineRule="auto"/>
      <w:ind w:left="1760"/>
    </w:pPr>
    <w:rPr>
      <w:rFonts w:asciiTheme="minorHAnsi" w:eastAsiaTheme="minorEastAsia" w:hAnsiTheme="minorHAnsi" w:cstheme="minorBidi"/>
      <w:bCs w:val="0"/>
      <w:sz w:val="22"/>
      <w:szCs w:val="22"/>
      <w:lang w:eastAsia="en-GB"/>
    </w:rPr>
  </w:style>
  <w:style w:type="paragraph" w:styleId="FootnoteText">
    <w:name w:val="footnote text"/>
    <w:basedOn w:val="Normal"/>
    <w:link w:val="FootnoteTextChar"/>
    <w:uiPriority w:val="99"/>
    <w:semiHidden/>
    <w:unhideWhenUsed/>
    <w:rsid w:val="00EC20BF"/>
    <w:rPr>
      <w:sz w:val="20"/>
      <w:szCs w:val="20"/>
    </w:rPr>
  </w:style>
  <w:style w:type="character" w:customStyle="1" w:styleId="FootnoteTextChar">
    <w:name w:val="Footnote Text Char"/>
    <w:basedOn w:val="DefaultParagraphFont"/>
    <w:link w:val="FootnoteText"/>
    <w:uiPriority w:val="99"/>
    <w:semiHidden/>
    <w:rsid w:val="00EC20BF"/>
    <w:rPr>
      <w:rFonts w:eastAsia="Times New Roman"/>
      <w:bCs/>
      <w:sz w:val="20"/>
      <w:szCs w:val="20"/>
      <w:lang w:eastAsia="en-US"/>
    </w:rPr>
  </w:style>
  <w:style w:type="character" w:styleId="FootnoteReference">
    <w:name w:val="footnote reference"/>
    <w:basedOn w:val="DefaultParagraphFont"/>
    <w:uiPriority w:val="99"/>
    <w:semiHidden/>
    <w:rsid w:val="00EC20BF"/>
    <w:rPr>
      <w:rFonts w:cs="Times New Roman"/>
      <w:vertAlign w:val="superscript"/>
    </w:rPr>
  </w:style>
  <w:style w:type="character" w:customStyle="1" w:styleId="ListParagraphChar">
    <w:name w:val="List Paragraph Char"/>
    <w:link w:val="ListParagraph"/>
    <w:uiPriority w:val="34"/>
    <w:locked/>
    <w:rsid w:val="00D723C3"/>
    <w:rPr>
      <w:rFonts w:eastAsia="Times New Roman"/>
      <w:bCs/>
      <w:szCs w:val="26"/>
      <w:lang w:eastAsia="en-US"/>
    </w:rPr>
  </w:style>
  <w:style w:type="paragraph" w:customStyle="1" w:styleId="eb3ece38-9c16-42fb-aa70-07d13b8e1adc">
    <w:name w:val="eb3ece38-9c16-42fb-aa70-07d13b8e1adc"/>
    <w:basedOn w:val="Normal"/>
    <w:rsid w:val="00AC189E"/>
    <w:rPr>
      <w:rFonts w:ascii="Times New Roman" w:hAnsi="Times New Roman"/>
      <w:bCs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67299">
      <w:bodyDiv w:val="1"/>
      <w:marLeft w:val="0"/>
      <w:marRight w:val="0"/>
      <w:marTop w:val="0"/>
      <w:marBottom w:val="0"/>
      <w:divBdr>
        <w:top w:val="none" w:sz="0" w:space="0" w:color="auto"/>
        <w:left w:val="none" w:sz="0" w:space="0" w:color="auto"/>
        <w:bottom w:val="none" w:sz="0" w:space="0" w:color="auto"/>
        <w:right w:val="none" w:sz="0" w:space="0" w:color="auto"/>
      </w:divBdr>
    </w:div>
    <w:div w:id="389422099">
      <w:bodyDiv w:val="1"/>
      <w:marLeft w:val="0"/>
      <w:marRight w:val="0"/>
      <w:marTop w:val="0"/>
      <w:marBottom w:val="0"/>
      <w:divBdr>
        <w:top w:val="none" w:sz="0" w:space="0" w:color="auto"/>
        <w:left w:val="none" w:sz="0" w:space="0" w:color="auto"/>
        <w:bottom w:val="none" w:sz="0" w:space="0" w:color="auto"/>
        <w:right w:val="none" w:sz="0" w:space="0" w:color="auto"/>
      </w:divBdr>
    </w:div>
    <w:div w:id="429544552">
      <w:bodyDiv w:val="1"/>
      <w:marLeft w:val="0"/>
      <w:marRight w:val="0"/>
      <w:marTop w:val="0"/>
      <w:marBottom w:val="0"/>
      <w:divBdr>
        <w:top w:val="none" w:sz="0" w:space="0" w:color="auto"/>
        <w:left w:val="none" w:sz="0" w:space="0" w:color="auto"/>
        <w:bottom w:val="none" w:sz="0" w:space="0" w:color="auto"/>
        <w:right w:val="none" w:sz="0" w:space="0" w:color="auto"/>
      </w:divBdr>
    </w:div>
    <w:div w:id="588587012">
      <w:bodyDiv w:val="1"/>
      <w:marLeft w:val="0"/>
      <w:marRight w:val="0"/>
      <w:marTop w:val="0"/>
      <w:marBottom w:val="0"/>
      <w:divBdr>
        <w:top w:val="none" w:sz="0" w:space="0" w:color="auto"/>
        <w:left w:val="none" w:sz="0" w:space="0" w:color="auto"/>
        <w:bottom w:val="none" w:sz="0" w:space="0" w:color="auto"/>
        <w:right w:val="none" w:sz="0" w:space="0" w:color="auto"/>
      </w:divBdr>
    </w:div>
    <w:div w:id="1247230997">
      <w:bodyDiv w:val="1"/>
      <w:marLeft w:val="0"/>
      <w:marRight w:val="0"/>
      <w:marTop w:val="0"/>
      <w:marBottom w:val="0"/>
      <w:divBdr>
        <w:top w:val="none" w:sz="0" w:space="0" w:color="auto"/>
        <w:left w:val="none" w:sz="0" w:space="0" w:color="auto"/>
        <w:bottom w:val="none" w:sz="0" w:space="0" w:color="auto"/>
        <w:right w:val="none" w:sz="0" w:space="0" w:color="auto"/>
      </w:divBdr>
    </w:div>
    <w:div w:id="1367876171">
      <w:bodyDiv w:val="1"/>
      <w:marLeft w:val="0"/>
      <w:marRight w:val="0"/>
      <w:marTop w:val="0"/>
      <w:marBottom w:val="0"/>
      <w:divBdr>
        <w:top w:val="none" w:sz="0" w:space="0" w:color="auto"/>
        <w:left w:val="none" w:sz="0" w:space="0" w:color="auto"/>
        <w:bottom w:val="none" w:sz="0" w:space="0" w:color="auto"/>
        <w:right w:val="none" w:sz="0" w:space="0" w:color="auto"/>
      </w:divBdr>
    </w:div>
    <w:div w:id="1443374728">
      <w:bodyDiv w:val="1"/>
      <w:marLeft w:val="0"/>
      <w:marRight w:val="0"/>
      <w:marTop w:val="0"/>
      <w:marBottom w:val="0"/>
      <w:divBdr>
        <w:top w:val="none" w:sz="0" w:space="0" w:color="auto"/>
        <w:left w:val="none" w:sz="0" w:space="0" w:color="auto"/>
        <w:bottom w:val="none" w:sz="0" w:space="0" w:color="auto"/>
        <w:right w:val="none" w:sz="0" w:space="0" w:color="auto"/>
      </w:divBdr>
    </w:div>
    <w:div w:id="1491019060">
      <w:bodyDiv w:val="1"/>
      <w:marLeft w:val="0"/>
      <w:marRight w:val="0"/>
      <w:marTop w:val="0"/>
      <w:marBottom w:val="0"/>
      <w:divBdr>
        <w:top w:val="none" w:sz="0" w:space="0" w:color="auto"/>
        <w:left w:val="none" w:sz="0" w:space="0" w:color="auto"/>
        <w:bottom w:val="none" w:sz="0" w:space="0" w:color="auto"/>
        <w:right w:val="none" w:sz="0" w:space="0" w:color="auto"/>
      </w:divBdr>
    </w:div>
    <w:div w:id="1602831675">
      <w:bodyDiv w:val="1"/>
      <w:marLeft w:val="0"/>
      <w:marRight w:val="0"/>
      <w:marTop w:val="0"/>
      <w:marBottom w:val="0"/>
      <w:divBdr>
        <w:top w:val="none" w:sz="0" w:space="0" w:color="auto"/>
        <w:left w:val="none" w:sz="0" w:space="0" w:color="auto"/>
        <w:bottom w:val="none" w:sz="0" w:space="0" w:color="auto"/>
        <w:right w:val="none" w:sz="0" w:space="0" w:color="auto"/>
      </w:divBdr>
    </w:div>
    <w:div w:id="1800486337">
      <w:bodyDiv w:val="1"/>
      <w:marLeft w:val="0"/>
      <w:marRight w:val="0"/>
      <w:marTop w:val="0"/>
      <w:marBottom w:val="0"/>
      <w:divBdr>
        <w:top w:val="none" w:sz="0" w:space="0" w:color="auto"/>
        <w:left w:val="none" w:sz="0" w:space="0" w:color="auto"/>
        <w:bottom w:val="none" w:sz="0" w:space="0" w:color="auto"/>
        <w:right w:val="none" w:sz="0" w:space="0" w:color="auto"/>
      </w:divBdr>
    </w:div>
    <w:div w:id="1887061280">
      <w:bodyDiv w:val="1"/>
      <w:marLeft w:val="0"/>
      <w:marRight w:val="0"/>
      <w:marTop w:val="0"/>
      <w:marBottom w:val="0"/>
      <w:divBdr>
        <w:top w:val="none" w:sz="0" w:space="0" w:color="auto"/>
        <w:left w:val="none" w:sz="0" w:space="0" w:color="auto"/>
        <w:bottom w:val="none" w:sz="0" w:space="0" w:color="auto"/>
        <w:right w:val="none" w:sz="0" w:space="0" w:color="auto"/>
      </w:divBdr>
    </w:div>
    <w:div w:id="19485382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england.nhs.uk/revalidation/appraisers/improving-the-inputs-to-medical-appraisal/"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ngland.revalidation-pmo@nhs.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nter7\APPDATA\LOCAL\TEMP\wzb5cb\NHS%20England%20Word%20Templates\NHS%20England%20Report%20Template14.dot" TargetMode="External"/></Relationships>
</file>

<file path=word/theme/theme1.xml><?xml version="1.0" encoding="utf-8"?>
<a:theme xmlns:a="http://schemas.openxmlformats.org/drawingml/2006/main" name="NHS England Theme">
  <a:themeElements>
    <a:clrScheme name="NHS England colours">
      <a:dk1>
        <a:sysClr val="windowText" lastClr="000000"/>
      </a:dk1>
      <a:lt1>
        <a:sysClr val="window" lastClr="FFFFFF"/>
      </a:lt1>
      <a:dk2>
        <a:srgbClr val="0072C6"/>
      </a:dk2>
      <a:lt2>
        <a:srgbClr val="FFFFFF"/>
      </a:lt2>
      <a:accent1>
        <a:srgbClr val="0072C6"/>
      </a:accent1>
      <a:accent2>
        <a:srgbClr val="A00054"/>
      </a:accent2>
      <a:accent3>
        <a:srgbClr val="00ADC6"/>
      </a:accent3>
      <a:accent4>
        <a:srgbClr val="0091C9"/>
      </a:accent4>
      <a:accent5>
        <a:srgbClr val="003893"/>
      </a:accent5>
      <a:accent6>
        <a:srgbClr val="000000"/>
      </a:accent6>
      <a:hlink>
        <a:srgbClr val="0072C6"/>
      </a:hlink>
      <a:folHlink>
        <a:srgbClr val="0072C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ccaf3ac-2de9-44d4-aa31-54302fceb5f7">K57F673QWXRZ-1374-156</_dlc_DocId>
    <_dlc_DocIdUrl xmlns="cccaf3ac-2de9-44d4-aa31-54302fceb5f7">
      <Url>https://nhsengland.sharepoint.com/TeamCentre/VisionandValues/_layouts/15/DocIdRedir.aspx?ID=K57F673QWXRZ-1374-156</Url>
      <Description>K57F673QWXRZ-1374-156</Description>
    </_dlc_DocIdUrl>
    <SharedWithUsers xmlns="11cf67b4-8be8-4203-926d-b1451d6a3644">
      <UserInfo>
        <DisplayName/>
        <AccountId xsi:nil="true"/>
        <AccountType/>
      </UserInfo>
    </SharedWithUser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8D083DDF8B2CE45ABEDBAB4F90C7050" ma:contentTypeVersion="3" ma:contentTypeDescription="Create a new document." ma:contentTypeScope="" ma:versionID="a344d1057794c48fd0fff89aed5dc35a">
  <xsd:schema xmlns:xsd="http://www.w3.org/2001/XMLSchema" xmlns:xs="http://www.w3.org/2001/XMLSchema" xmlns:p="http://schemas.microsoft.com/office/2006/metadata/properties" xmlns:ns2="cccaf3ac-2de9-44d4-aa31-54302fceb5f7" xmlns:ns3="11cf67b4-8be8-4203-926d-b1451d6a3644" xmlns:ns4="51367701-27c8-403e-a234-85855c5cd73e" targetNamespace="http://schemas.microsoft.com/office/2006/metadata/properties" ma:root="true" ma:fieldsID="4fe8d4dcd66a9417aaaed5e9ee538e9d" ns2:_="" ns3:_="" ns4:_="">
    <xsd:import namespace="cccaf3ac-2de9-44d4-aa31-54302fceb5f7"/>
    <xsd:import namespace="11cf67b4-8be8-4203-926d-b1451d6a3644"/>
    <xsd:import namespace="51367701-27c8-403e-a234-85855c5cd73e"/>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ingHintHash"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cf67b4-8be8-4203-926d-b1451d6a364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367701-27c8-403e-a234-85855c5cd73e"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42EE3-990B-422E-84FD-16C4B43C5649}">
  <ds:schemaRefs>
    <ds:schemaRef ds:uri="11cf67b4-8be8-4203-926d-b1451d6a3644"/>
    <ds:schemaRef ds:uri="http://purl.org/dc/dcmitype/"/>
    <ds:schemaRef ds:uri="http://schemas.microsoft.com/office/2006/documentManagement/types"/>
    <ds:schemaRef ds:uri="http://schemas.openxmlformats.org/package/2006/metadata/core-properties"/>
    <ds:schemaRef ds:uri="cccaf3ac-2de9-44d4-aa31-54302fceb5f7"/>
    <ds:schemaRef ds:uri="http://purl.org/dc/elements/1.1/"/>
    <ds:schemaRef ds:uri="http://purl.org/dc/terms/"/>
    <ds:schemaRef ds:uri="http://schemas.microsoft.com/office/infopath/2007/PartnerControls"/>
    <ds:schemaRef ds:uri="http://schemas.microsoft.com/office/2006/metadata/properties"/>
    <ds:schemaRef ds:uri="51367701-27c8-403e-a234-85855c5cd73e"/>
    <ds:schemaRef ds:uri="http://www.w3.org/XML/1998/namespace"/>
  </ds:schemaRefs>
</ds:datastoreItem>
</file>

<file path=customXml/itemProps2.xml><?xml version="1.0" encoding="utf-8"?>
<ds:datastoreItem xmlns:ds="http://schemas.openxmlformats.org/officeDocument/2006/customXml" ds:itemID="{AD89D006-5D55-4BA9-9B41-2AC25429C476}">
  <ds:schemaRefs>
    <ds:schemaRef ds:uri="http://schemas.microsoft.com/sharepoint/events"/>
  </ds:schemaRefs>
</ds:datastoreItem>
</file>

<file path=customXml/itemProps3.xml><?xml version="1.0" encoding="utf-8"?>
<ds:datastoreItem xmlns:ds="http://schemas.openxmlformats.org/officeDocument/2006/customXml" ds:itemID="{10D18EF8-B174-4EFB-97B6-23DD05EE3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f3ac-2de9-44d4-aa31-54302fceb5f7"/>
    <ds:schemaRef ds:uri="11cf67b4-8be8-4203-926d-b1451d6a3644"/>
    <ds:schemaRef ds:uri="51367701-27c8-403e-a234-85855c5cd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AE7360-BFC9-405A-8F9F-219F7EF0EF96}">
  <ds:schemaRefs>
    <ds:schemaRef ds:uri="http://schemas.microsoft.com/sharepoint/v3/contenttype/forms"/>
  </ds:schemaRefs>
</ds:datastoreItem>
</file>

<file path=customXml/itemProps5.xml><?xml version="1.0" encoding="utf-8"?>
<ds:datastoreItem xmlns:ds="http://schemas.openxmlformats.org/officeDocument/2006/customXml" ds:itemID="{D3DC1520-FEDC-4D08-B2F3-29677E9F1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NHS England Report Template14</Template>
  <TotalTime>42</TotalTime>
  <Pages>2</Pages>
  <Words>906</Words>
  <Characters>5166</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NHS England policy template 1 - half page cover photo</vt:lpstr>
    </vt:vector>
  </TitlesOfParts>
  <Company>Smith &amp; Milton</Company>
  <LinksUpToDate>false</LinksUpToDate>
  <CharactersWithSpaces>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policy template 1 - half page cover photo</dc:title>
  <dc:creator>Sarah Hunter</dc:creator>
  <cp:lastModifiedBy>Kirk, Jenny</cp:lastModifiedBy>
  <cp:revision>6</cp:revision>
  <cp:lastPrinted>2016-04-18T11:05:00Z</cp:lastPrinted>
  <dcterms:created xsi:type="dcterms:W3CDTF">2016-05-06T11:44:00Z</dcterms:created>
  <dcterms:modified xsi:type="dcterms:W3CDTF">2016-05-20T09:46:00Z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0x010100C8D083DDF8B2CE45ABEDBAB4F90C7050</vt:lpwstr>
  </property>
  <property fmtid="{D5CDD505-2E9C-101B-9397-08002B2CF9AE}" pid="3" name="_dlc_DocIdItemGuid">
    <vt:lpwstr>5ccb9abb-d984-4fb3-98db-9c86836ba983</vt:lpwstr>
  </property>
</Properties>
</file>