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3461794"/>
        <w:docPartObj>
          <w:docPartGallery w:val="Cover Pages"/>
          <w:docPartUnique/>
        </w:docPartObj>
      </w:sdtPr>
      <w:sdtContent>
        <w:p w14:paraId="617F22D2" w14:textId="57193A24" w:rsidR="00411921" w:rsidRDefault="00411921">
          <w:r>
            <w:rPr>
              <w:noProof/>
            </w:rPr>
            <mc:AlternateContent>
              <mc:Choice Requires="wpg">
                <w:drawing>
                  <wp:anchor distT="0" distB="0" distL="114300" distR="114300" simplePos="0" relativeHeight="251658241" behindDoc="0" locked="0" layoutInCell="1" allowOverlap="1" wp14:anchorId="6567B74A" wp14:editId="56EF8C6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277C9AF"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367BA77" w14:textId="7DD8502A" w:rsidR="00411921" w:rsidRDefault="00791335">
          <w:r>
            <w:rPr>
              <w:noProof/>
            </w:rPr>
            <mc:AlternateContent>
              <mc:Choice Requires="wps">
                <w:drawing>
                  <wp:anchor distT="0" distB="0" distL="114300" distR="114300" simplePos="0" relativeHeight="251658240" behindDoc="0" locked="0" layoutInCell="1" allowOverlap="1" wp14:anchorId="2B067E7C" wp14:editId="59427004">
                    <wp:simplePos x="0" y="0"/>
                    <wp:positionH relativeFrom="page">
                      <wp:posOffset>-279400</wp:posOffset>
                    </wp:positionH>
                    <wp:positionV relativeFrom="page">
                      <wp:posOffset>3206750</wp:posOffset>
                    </wp:positionV>
                    <wp:extent cx="77470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7470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322F5" w14:textId="77777777" w:rsidR="008E7932" w:rsidRDefault="00000000">
                                <w:pPr>
                                  <w:jc w:val="right"/>
                                </w:pPr>
                                <w:sdt>
                                  <w:sdtPr>
                                    <w:rPr>
                                      <w:rFonts w:ascii="Calibri" w:eastAsia="Calibri" w:hAnsi="Calibri" w:cs="Times New Roman"/>
                                      <w:b/>
                                      <w:bCs/>
                                      <w:color w:val="4472C4" w:themeColor="accent5"/>
                                      <w:sz w:val="44"/>
                                      <w:szCs w:val="44"/>
                                      <w:u w:val="singl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EA75E4">
                                      <w:rPr>
                                        <w:rFonts w:ascii="Calibri" w:eastAsia="Calibri" w:hAnsi="Calibri" w:cs="Times New Roman"/>
                                        <w:b/>
                                        <w:bCs/>
                                        <w:color w:val="4472C4" w:themeColor="accent5"/>
                                        <w:sz w:val="44"/>
                                        <w:szCs w:val="44"/>
                                        <w:u w:val="single"/>
                                      </w:rPr>
                                      <w:t xml:space="preserve">Folkestone, Hythe and Rural PCN Hub Pilot </w:t>
                                    </w:r>
                                    <w:r w:rsidR="00EA75E4">
                                      <w:rPr>
                                        <w:rFonts w:ascii="Calibri" w:eastAsia="Calibri" w:hAnsi="Calibri" w:cs="Times New Roman"/>
                                        <w:b/>
                                        <w:bCs/>
                                        <w:color w:val="4472C4" w:themeColor="accent5"/>
                                        <w:sz w:val="44"/>
                                        <w:szCs w:val="44"/>
                                        <w:u w:val="single"/>
                                      </w:rPr>
                                      <w:br/>
                                      <w:t>Information Governance</w:t>
                                    </w:r>
                                  </w:sdtContent>
                                </w:sdt>
                                <w:r w:rsidR="004503F0" w:rsidRPr="004503F0">
                                  <w:t xml:space="preserve"> </w:t>
                                </w:r>
                              </w:p>
                              <w:p w14:paraId="48EAC46A" w14:textId="2657556E" w:rsidR="00411921" w:rsidRPr="00B61B26" w:rsidRDefault="0078762E">
                                <w:pPr>
                                  <w:jc w:val="right"/>
                                  <w:rPr>
                                    <w:color w:val="5B9BD5" w:themeColor="accent1"/>
                                    <w:sz w:val="36"/>
                                    <w:szCs w:val="36"/>
                                  </w:rPr>
                                </w:pPr>
                                <w:r w:rsidRPr="00B61B26">
                                  <w:rPr>
                                    <w:rFonts w:ascii="Calibri" w:eastAsia="Calibri" w:hAnsi="Calibri" w:cs="Times New Roman"/>
                                    <w:b/>
                                    <w:bCs/>
                                    <w:color w:val="4472C4" w:themeColor="accent5"/>
                                    <w:sz w:val="36"/>
                                    <w:szCs w:val="36"/>
                                    <w:u w:val="single"/>
                                  </w:rPr>
                                  <w:t>K</w:t>
                                </w:r>
                                <w:r w:rsidR="004503F0" w:rsidRPr="00B61B26">
                                  <w:rPr>
                                    <w:rFonts w:ascii="Calibri" w:eastAsia="Calibri" w:hAnsi="Calibri" w:cs="Times New Roman"/>
                                    <w:b/>
                                    <w:bCs/>
                                    <w:color w:val="4472C4" w:themeColor="accent5"/>
                                    <w:sz w:val="36"/>
                                    <w:szCs w:val="36"/>
                                    <w:u w:val="single"/>
                                  </w:rPr>
                                  <w:t>ey document to support PCN adoption of hub models</w:t>
                                </w:r>
                              </w:p>
                              <w:p w14:paraId="717E02DA" w14:textId="46F3B93C" w:rsidR="00411921" w:rsidRDefault="00411921">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2B067E7C" id="_x0000_t202" coordsize="21600,21600" o:spt="202" path="m,l,21600r21600,l21600,xe">
                    <v:stroke joinstyle="miter"/>
                    <v:path gradientshapeok="t" o:connecttype="rect"/>
                  </v:shapetype>
                  <v:shape id="Text Box 154" o:spid="_x0000_s1026" type="#_x0000_t202" style="position:absolute;margin-left:-22pt;margin-top:252.5pt;width:610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" filled="f" stroked="f" strokeweight=".5pt">
                    <v:textbox inset="126pt,0,54pt,0">
                      <w:txbxContent>
                        <w:p w14:paraId="26C322F5" w14:textId="77777777" w:rsidR="008E7932" w:rsidRDefault="00000000">
                          <w:pPr>
                            <w:jc w:val="right"/>
                          </w:pPr>
                          <w:sdt>
                            <w:sdtPr>
                              <w:rPr>
                                <w:rFonts w:ascii="Calibri" w:eastAsia="Calibri" w:hAnsi="Calibri" w:cs="Times New Roman"/>
                                <w:b/>
                                <w:bCs/>
                                <w:color w:val="4472C4" w:themeColor="accent5"/>
                                <w:sz w:val="44"/>
                                <w:szCs w:val="44"/>
                                <w:u w:val="singl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EA75E4">
                                <w:rPr>
                                  <w:rFonts w:ascii="Calibri" w:eastAsia="Calibri" w:hAnsi="Calibri" w:cs="Times New Roman"/>
                                  <w:b/>
                                  <w:bCs/>
                                  <w:color w:val="4472C4" w:themeColor="accent5"/>
                                  <w:sz w:val="44"/>
                                  <w:szCs w:val="44"/>
                                  <w:u w:val="single"/>
                                </w:rPr>
                                <w:t xml:space="preserve">Folkestone, Hythe and Rural PCN Hub Pilot </w:t>
                              </w:r>
                              <w:r w:rsidR="00EA75E4">
                                <w:rPr>
                                  <w:rFonts w:ascii="Calibri" w:eastAsia="Calibri" w:hAnsi="Calibri" w:cs="Times New Roman"/>
                                  <w:b/>
                                  <w:bCs/>
                                  <w:color w:val="4472C4" w:themeColor="accent5"/>
                                  <w:sz w:val="44"/>
                                  <w:szCs w:val="44"/>
                                  <w:u w:val="single"/>
                                </w:rPr>
                                <w:br/>
                                <w:t>Information Governance</w:t>
                              </w:r>
                            </w:sdtContent>
                          </w:sdt>
                          <w:r w:rsidR="004503F0" w:rsidRPr="004503F0">
                            <w:t xml:space="preserve"> </w:t>
                          </w:r>
                        </w:p>
                        <w:p w14:paraId="48EAC46A" w14:textId="2657556E" w:rsidR="00411921" w:rsidRPr="00B61B26" w:rsidRDefault="0078762E">
                          <w:pPr>
                            <w:jc w:val="right"/>
                            <w:rPr>
                              <w:color w:val="5B9BD5" w:themeColor="accent1"/>
                              <w:sz w:val="36"/>
                              <w:szCs w:val="36"/>
                            </w:rPr>
                          </w:pPr>
                          <w:r w:rsidRPr="00B61B26">
                            <w:rPr>
                              <w:rFonts w:ascii="Calibri" w:eastAsia="Calibri" w:hAnsi="Calibri" w:cs="Times New Roman"/>
                              <w:b/>
                              <w:bCs/>
                              <w:color w:val="4472C4" w:themeColor="accent5"/>
                              <w:sz w:val="36"/>
                              <w:szCs w:val="36"/>
                              <w:u w:val="single"/>
                            </w:rPr>
                            <w:t>K</w:t>
                          </w:r>
                          <w:r w:rsidR="004503F0" w:rsidRPr="00B61B26">
                            <w:rPr>
                              <w:rFonts w:ascii="Calibri" w:eastAsia="Calibri" w:hAnsi="Calibri" w:cs="Times New Roman"/>
                              <w:b/>
                              <w:bCs/>
                              <w:color w:val="4472C4" w:themeColor="accent5"/>
                              <w:sz w:val="36"/>
                              <w:szCs w:val="36"/>
                              <w:u w:val="single"/>
                            </w:rPr>
                            <w:t>ey document to support PCN adoption of hub models</w:t>
                          </w:r>
                        </w:p>
                        <w:p w14:paraId="717E02DA" w14:textId="46F3B93C" w:rsidR="00411921" w:rsidRDefault="00411921">
                          <w:pPr>
                            <w:jc w:val="right"/>
                            <w:rPr>
                              <w:smallCaps/>
                              <w:color w:val="404040" w:themeColor="text1" w:themeTint="BF"/>
                              <w:sz w:val="36"/>
                              <w:szCs w:val="36"/>
                            </w:rPr>
                          </w:pPr>
                        </w:p>
                      </w:txbxContent>
                    </v:textbox>
                    <w10:wrap type="square" anchorx="page" anchory="page"/>
                  </v:shape>
                </w:pict>
              </mc:Fallback>
            </mc:AlternateContent>
          </w:r>
          <w:r w:rsidR="00411921">
            <w:br w:type="page"/>
          </w:r>
        </w:p>
      </w:sdtContent>
    </w:sdt>
    <w:p w14:paraId="3BD97376" w14:textId="0E9475B5" w:rsidR="003C6DD2" w:rsidRPr="00BA65B6" w:rsidRDefault="008922C3" w:rsidP="00BA65B6">
      <w:pPr>
        <w:ind w:left="-1134" w:right="-794"/>
        <w:rPr>
          <w:rFonts w:ascii="Arial" w:hAnsi="Arial" w:cs="Arial"/>
          <w:sz w:val="20"/>
          <w:szCs w:val="20"/>
        </w:rPr>
      </w:pPr>
      <w:r w:rsidRPr="00BA65B6">
        <w:rPr>
          <w:rFonts w:ascii="Arial" w:hAnsi="Arial" w:cs="Arial"/>
          <w:sz w:val="20"/>
          <w:szCs w:val="20"/>
        </w:rPr>
        <w:lastRenderedPageBreak/>
        <w:t>A detailed DPIA has been worked up to</w:t>
      </w:r>
      <w:r w:rsidR="00AC3CE0" w:rsidRPr="00AC3CE0">
        <w:t xml:space="preserve"> </w:t>
      </w:r>
      <w:r w:rsidR="00AC3CE0" w:rsidRPr="00AC3CE0">
        <w:rPr>
          <w:rFonts w:ascii="Arial" w:hAnsi="Arial" w:cs="Arial"/>
          <w:sz w:val="20"/>
          <w:szCs w:val="20"/>
        </w:rPr>
        <w:t>assess and manage risks</w:t>
      </w:r>
      <w:r w:rsidR="00724503">
        <w:rPr>
          <w:rFonts w:ascii="Arial" w:hAnsi="Arial" w:cs="Arial"/>
          <w:sz w:val="20"/>
          <w:szCs w:val="20"/>
        </w:rPr>
        <w:t xml:space="preserve"> of t</w:t>
      </w:r>
      <w:r w:rsidRPr="00BA65B6">
        <w:rPr>
          <w:rFonts w:ascii="Arial" w:hAnsi="Arial" w:cs="Arial"/>
          <w:sz w:val="20"/>
          <w:szCs w:val="20"/>
        </w:rPr>
        <w:t xml:space="preserve">he </w:t>
      </w:r>
      <w:r w:rsidR="003C6DD2" w:rsidRPr="00BA65B6">
        <w:rPr>
          <w:rFonts w:ascii="Arial" w:hAnsi="Arial" w:cs="Arial"/>
          <w:sz w:val="20"/>
          <w:szCs w:val="20"/>
        </w:rPr>
        <w:t xml:space="preserve">Folkestone Hythe and Rural PCN (FHR PCN) </w:t>
      </w:r>
      <w:r w:rsidRPr="00BA65B6">
        <w:rPr>
          <w:rFonts w:ascii="Arial" w:hAnsi="Arial" w:cs="Arial"/>
          <w:sz w:val="20"/>
          <w:szCs w:val="20"/>
        </w:rPr>
        <w:t xml:space="preserve">hub model which is available for download. This has identified supporting IG documents any adopting PCN would need to have in place </w:t>
      </w:r>
      <w:r w:rsidR="003C6DD2" w:rsidRPr="00BA65B6">
        <w:rPr>
          <w:rFonts w:ascii="Arial" w:hAnsi="Arial" w:cs="Arial"/>
          <w:sz w:val="20"/>
          <w:szCs w:val="20"/>
        </w:rPr>
        <w:t xml:space="preserve">if they wish to work in this way </w:t>
      </w:r>
      <w:r w:rsidRPr="00BA65B6">
        <w:rPr>
          <w:rFonts w:ascii="Arial" w:hAnsi="Arial" w:cs="Arial"/>
          <w:sz w:val="20"/>
          <w:szCs w:val="20"/>
        </w:rPr>
        <w:t xml:space="preserve">and </w:t>
      </w:r>
      <w:r w:rsidR="003C6DD2" w:rsidRPr="00BA65B6">
        <w:rPr>
          <w:rFonts w:ascii="Arial" w:hAnsi="Arial" w:cs="Arial"/>
          <w:sz w:val="20"/>
          <w:szCs w:val="20"/>
        </w:rPr>
        <w:t>below you will find a list of documents, the purpose of the documents, things to consider and access to resources</w:t>
      </w:r>
      <w:r w:rsidRPr="00BA65B6">
        <w:rPr>
          <w:rFonts w:ascii="Arial" w:hAnsi="Arial" w:cs="Arial"/>
          <w:sz w:val="20"/>
          <w:szCs w:val="20"/>
        </w:rPr>
        <w:t>.</w:t>
      </w:r>
      <w:r w:rsidR="003C6DD2" w:rsidRPr="00BA65B6">
        <w:rPr>
          <w:rFonts w:ascii="Arial" w:hAnsi="Arial" w:cs="Arial"/>
          <w:sz w:val="20"/>
          <w:szCs w:val="20"/>
        </w:rPr>
        <w:t xml:space="preserve">  </w:t>
      </w:r>
    </w:p>
    <w:p w14:paraId="0E6639C2" w14:textId="40C96795" w:rsidR="003C6DD2" w:rsidRPr="00BA65B6" w:rsidRDefault="003C6DD2" w:rsidP="00BA65B6">
      <w:pPr>
        <w:ind w:left="-1134" w:right="-794"/>
        <w:rPr>
          <w:rFonts w:ascii="Arial" w:hAnsi="Arial" w:cs="Arial"/>
          <w:sz w:val="20"/>
          <w:szCs w:val="20"/>
        </w:rPr>
      </w:pPr>
      <w:r w:rsidRPr="00BA65B6">
        <w:rPr>
          <w:rFonts w:ascii="Arial" w:hAnsi="Arial" w:cs="Arial"/>
          <w:b/>
          <w:sz w:val="20"/>
          <w:szCs w:val="20"/>
        </w:rPr>
        <w:t>Note:</w:t>
      </w:r>
      <w:r w:rsidRPr="00BA65B6">
        <w:rPr>
          <w:rFonts w:ascii="Arial" w:hAnsi="Arial" w:cs="Arial"/>
          <w:sz w:val="20"/>
          <w:szCs w:val="20"/>
        </w:rPr>
        <w:t xml:space="preserve"> </w:t>
      </w:r>
      <w:r w:rsidR="0063244A">
        <w:rPr>
          <w:rFonts w:ascii="Arial" w:hAnsi="Arial" w:cs="Arial"/>
          <w:sz w:val="20"/>
          <w:szCs w:val="20"/>
        </w:rPr>
        <w:t>T</w:t>
      </w:r>
      <w:r w:rsidRPr="00BA65B6">
        <w:rPr>
          <w:rFonts w:ascii="Arial" w:hAnsi="Arial" w:cs="Arial"/>
          <w:sz w:val="20"/>
          <w:szCs w:val="20"/>
        </w:rPr>
        <w:t>he completed IG</w:t>
      </w:r>
      <w:r w:rsidR="00835F4B">
        <w:rPr>
          <w:rFonts w:ascii="Arial" w:hAnsi="Arial" w:cs="Arial"/>
          <w:sz w:val="20"/>
          <w:szCs w:val="20"/>
        </w:rPr>
        <w:t xml:space="preserve"> for FHR PCN</w:t>
      </w:r>
      <w:r w:rsidRPr="00BA65B6">
        <w:rPr>
          <w:rFonts w:ascii="Arial" w:hAnsi="Arial" w:cs="Arial"/>
          <w:sz w:val="20"/>
          <w:szCs w:val="20"/>
        </w:rPr>
        <w:t xml:space="preserve"> has specifically been tailored to a lead practice model implementing this PCN hub; and whilst there is little </w:t>
      </w:r>
      <w:r w:rsidR="00174DE1">
        <w:rPr>
          <w:rFonts w:ascii="Arial" w:hAnsi="Arial" w:cs="Arial"/>
          <w:sz w:val="20"/>
          <w:szCs w:val="20"/>
        </w:rPr>
        <w:t>variation</w:t>
      </w:r>
      <w:r w:rsidR="00174DE1" w:rsidRPr="00BA65B6">
        <w:rPr>
          <w:rFonts w:ascii="Arial" w:hAnsi="Arial" w:cs="Arial"/>
          <w:sz w:val="20"/>
          <w:szCs w:val="20"/>
        </w:rPr>
        <w:t xml:space="preserve"> </w:t>
      </w:r>
      <w:r w:rsidRPr="00BA65B6">
        <w:rPr>
          <w:rFonts w:ascii="Arial" w:hAnsi="Arial" w:cs="Arial"/>
          <w:sz w:val="20"/>
          <w:szCs w:val="20"/>
        </w:rPr>
        <w:t>in the operational element of the project, differences are in the nuances of the supporting documentation to the DPIA</w:t>
      </w:r>
      <w:r w:rsidR="00FE6DBE">
        <w:rPr>
          <w:rFonts w:ascii="Arial" w:hAnsi="Arial" w:cs="Arial"/>
          <w:sz w:val="20"/>
          <w:szCs w:val="20"/>
        </w:rPr>
        <w:t xml:space="preserve"> </w:t>
      </w:r>
      <w:r w:rsidR="00FE6DBE" w:rsidRPr="00FE6DBE">
        <w:rPr>
          <w:rFonts w:ascii="Arial" w:hAnsi="Arial" w:cs="Arial"/>
          <w:sz w:val="20"/>
          <w:szCs w:val="20"/>
        </w:rPr>
        <w:t>to ensure you are happy it suits your local needs and agreements</w:t>
      </w:r>
      <w:r w:rsidR="005A08C2">
        <w:rPr>
          <w:rFonts w:ascii="Arial" w:hAnsi="Arial" w:cs="Arial"/>
          <w:sz w:val="20"/>
          <w:szCs w:val="20"/>
        </w:rPr>
        <w:t>.</w:t>
      </w:r>
      <w:r w:rsidRPr="00BA65B6">
        <w:rPr>
          <w:rFonts w:ascii="Arial" w:hAnsi="Arial" w:cs="Arial"/>
          <w:sz w:val="20"/>
          <w:szCs w:val="20"/>
        </w:rPr>
        <w:t xml:space="preserve"> </w:t>
      </w:r>
    </w:p>
    <w:p w14:paraId="02C291A9" w14:textId="0FD4FB69" w:rsidR="003C6DD2" w:rsidRPr="00BA65B6" w:rsidRDefault="003C6DD2" w:rsidP="00BA65B6">
      <w:pPr>
        <w:ind w:left="-1134" w:right="-794"/>
        <w:rPr>
          <w:rFonts w:ascii="Arial" w:hAnsi="Arial" w:cs="Arial"/>
          <w:sz w:val="20"/>
          <w:szCs w:val="20"/>
        </w:rPr>
      </w:pPr>
      <w:r w:rsidRPr="00BA65B6">
        <w:rPr>
          <w:rFonts w:ascii="Arial" w:hAnsi="Arial" w:cs="Arial"/>
          <w:sz w:val="20"/>
          <w:szCs w:val="20"/>
        </w:rPr>
        <w:t xml:space="preserve">Some of the documentation may be available upon request. You may also contact the pilot project team via </w:t>
      </w:r>
      <w:hyperlink r:id="rId10" w:history="1">
        <w:r w:rsidRPr="00BA65B6">
          <w:rPr>
            <w:rStyle w:val="Hyperlink"/>
            <w:rFonts w:ascii="Arial" w:hAnsi="Arial" w:cs="Arial"/>
            <w:sz w:val="20"/>
            <w:szCs w:val="20"/>
          </w:rPr>
          <w:t>england.seprimarycaretransformationteam@nhs.net</w:t>
        </w:r>
      </w:hyperlink>
      <w:r w:rsidRPr="00BA65B6">
        <w:rPr>
          <w:rFonts w:ascii="Arial" w:hAnsi="Arial" w:cs="Arial"/>
          <w:sz w:val="20"/>
          <w:szCs w:val="20"/>
        </w:rPr>
        <w:t xml:space="preserve"> </w:t>
      </w:r>
    </w:p>
    <w:tbl>
      <w:tblPr>
        <w:tblStyle w:val="TableGrid"/>
        <w:tblW w:w="11340" w:type="dxa"/>
        <w:tblInd w:w="-1139" w:type="dxa"/>
        <w:tblLook w:val="04A0" w:firstRow="1" w:lastRow="0" w:firstColumn="1" w:lastColumn="0" w:noHBand="0" w:noVBand="1"/>
      </w:tblPr>
      <w:tblGrid>
        <w:gridCol w:w="1177"/>
        <w:gridCol w:w="3076"/>
        <w:gridCol w:w="2551"/>
        <w:gridCol w:w="4536"/>
      </w:tblGrid>
      <w:tr w:rsidR="008922C3" w:rsidRPr="003C6DD2" w14:paraId="39AF4A55" w14:textId="77777777" w:rsidTr="00BA65B6">
        <w:tc>
          <w:tcPr>
            <w:tcW w:w="1177" w:type="dxa"/>
            <w:shd w:val="clear" w:color="auto" w:fill="9CC2E5" w:themeFill="accent1" w:themeFillTint="99"/>
          </w:tcPr>
          <w:p w14:paraId="67F526A2"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Supporting document</w:t>
            </w:r>
          </w:p>
        </w:tc>
        <w:tc>
          <w:tcPr>
            <w:tcW w:w="3076" w:type="dxa"/>
            <w:shd w:val="clear" w:color="auto" w:fill="9CC2E5" w:themeFill="accent1" w:themeFillTint="99"/>
          </w:tcPr>
          <w:p w14:paraId="42D7F97B"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Purpose</w:t>
            </w:r>
          </w:p>
        </w:tc>
        <w:tc>
          <w:tcPr>
            <w:tcW w:w="2551" w:type="dxa"/>
            <w:shd w:val="clear" w:color="auto" w:fill="9CC2E5" w:themeFill="accent1" w:themeFillTint="99"/>
          </w:tcPr>
          <w:p w14:paraId="728ABB59"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Additional comments</w:t>
            </w:r>
          </w:p>
        </w:tc>
        <w:tc>
          <w:tcPr>
            <w:tcW w:w="4536" w:type="dxa"/>
            <w:shd w:val="clear" w:color="auto" w:fill="9CC2E5" w:themeFill="accent1" w:themeFillTint="99"/>
          </w:tcPr>
          <w:p w14:paraId="4F42331A"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Template (links)</w:t>
            </w:r>
          </w:p>
        </w:tc>
      </w:tr>
      <w:tr w:rsidR="008922C3" w:rsidRPr="003C6DD2" w14:paraId="7E4FF75C" w14:textId="77777777" w:rsidTr="00BA65B6">
        <w:trPr>
          <w:trHeight w:val="3156"/>
        </w:trPr>
        <w:tc>
          <w:tcPr>
            <w:tcW w:w="1177" w:type="dxa"/>
          </w:tcPr>
          <w:p w14:paraId="14C36936"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A Joint Controller’s Data Sharing Agreement</w:t>
            </w:r>
          </w:p>
        </w:tc>
        <w:tc>
          <w:tcPr>
            <w:tcW w:w="3076" w:type="dxa"/>
          </w:tcPr>
          <w:p w14:paraId="27A7F74A" w14:textId="3A5725BA"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To set out the rights and responsibilities of each contributing data controller (GP practice members of the PCN). In a lead practice model, this could include a clause on how all risks are equally </w:t>
            </w:r>
            <w:r w:rsidR="00712115" w:rsidRPr="003C6DD2">
              <w:rPr>
                <w:rFonts w:ascii="Arial" w:hAnsi="Arial" w:cs="Arial"/>
                <w:sz w:val="18"/>
                <w:szCs w:val="18"/>
              </w:rPr>
              <w:t>distributed</w:t>
            </w:r>
            <w:r w:rsidRPr="003C6DD2">
              <w:rPr>
                <w:rFonts w:ascii="Arial" w:hAnsi="Arial" w:cs="Arial"/>
                <w:sz w:val="18"/>
                <w:szCs w:val="18"/>
              </w:rPr>
              <w:t xml:space="preserve"> amongst all members of the PCN, to minimise extra risks/additional burden to the lead practice.</w:t>
            </w:r>
          </w:p>
        </w:tc>
        <w:tc>
          <w:tcPr>
            <w:tcW w:w="2551" w:type="dxa"/>
          </w:tcPr>
          <w:p w14:paraId="71C68DF9"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As a functioning (funded) PCN, PCNs should already have a JCA or a DSA (terminology vary but usually mean the same thing) governing the flow of data for their typical PCN work. This may be reviewed and adapted to suit the standing up of the PCN hub model.</w:t>
            </w:r>
          </w:p>
          <w:p w14:paraId="69417D38" w14:textId="77777777" w:rsidR="008922C3" w:rsidRPr="003C6DD2" w:rsidRDefault="008922C3" w:rsidP="008922C3">
            <w:pPr>
              <w:spacing w:after="160" w:line="259" w:lineRule="auto"/>
              <w:rPr>
                <w:rFonts w:ascii="Arial" w:hAnsi="Arial" w:cs="Arial"/>
                <w:sz w:val="18"/>
                <w:szCs w:val="18"/>
              </w:rPr>
            </w:pPr>
          </w:p>
          <w:p w14:paraId="106DBF9D"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Alternatively, a new document may be worked up. </w:t>
            </w:r>
          </w:p>
        </w:tc>
        <w:tc>
          <w:tcPr>
            <w:tcW w:w="4536" w:type="dxa"/>
          </w:tcPr>
          <w:p w14:paraId="5D5C9D96" w14:textId="77777777" w:rsidR="0081574B" w:rsidRPr="003C6DD2" w:rsidRDefault="0081574B" w:rsidP="000B20C4">
            <w:pPr>
              <w:spacing w:after="160" w:line="259" w:lineRule="auto"/>
              <w:rPr>
                <w:rFonts w:ascii="Arial" w:hAnsi="Arial" w:cs="Arial"/>
                <w:sz w:val="18"/>
                <w:szCs w:val="18"/>
              </w:rPr>
            </w:pPr>
            <w:r w:rsidRPr="003C6DD2">
              <w:rPr>
                <w:rFonts w:ascii="Arial" w:hAnsi="Arial" w:cs="Arial"/>
                <w:sz w:val="18"/>
                <w:szCs w:val="18"/>
              </w:rPr>
              <w:t xml:space="preserve">You may adapt the NHS England’s Data Sharing Agreement template available here: </w:t>
            </w:r>
            <w:hyperlink r:id="rId11" w:history="1">
              <w:r w:rsidRPr="003C6DD2">
                <w:rPr>
                  <w:rStyle w:val="Hyperlink"/>
                  <w:rFonts w:ascii="Arial" w:hAnsi="Arial" w:cs="Arial"/>
                  <w:sz w:val="18"/>
                  <w:szCs w:val="18"/>
                </w:rPr>
                <w:t>https://transform.england.nhs.uk/information-governance/guidance/data-sharing-agreement-template/</w:t>
              </w:r>
            </w:hyperlink>
            <w:r w:rsidRPr="003C6DD2">
              <w:rPr>
                <w:rFonts w:ascii="Arial" w:hAnsi="Arial" w:cs="Arial"/>
                <w:sz w:val="18"/>
                <w:szCs w:val="18"/>
              </w:rPr>
              <w:t xml:space="preserve"> </w:t>
            </w:r>
          </w:p>
          <w:p w14:paraId="45165C22" w14:textId="5A7F44C8" w:rsidR="008922C3" w:rsidRPr="003C6DD2" w:rsidRDefault="0081574B" w:rsidP="000B20C4">
            <w:pPr>
              <w:spacing w:after="160" w:line="259" w:lineRule="auto"/>
              <w:rPr>
                <w:rFonts w:ascii="Arial" w:hAnsi="Arial" w:cs="Arial"/>
                <w:sz w:val="18"/>
                <w:szCs w:val="18"/>
              </w:rPr>
            </w:pPr>
            <w:r w:rsidRPr="003C6DD2">
              <w:rPr>
                <w:rFonts w:ascii="Arial" w:hAnsi="Arial" w:cs="Arial"/>
                <w:sz w:val="18"/>
                <w:szCs w:val="18"/>
              </w:rPr>
              <w:t xml:space="preserve">Also, </w:t>
            </w:r>
            <w:r w:rsidR="000B20C4" w:rsidRPr="003C6DD2">
              <w:rPr>
                <w:rFonts w:ascii="Arial" w:hAnsi="Arial" w:cs="Arial"/>
                <w:sz w:val="18"/>
                <w:szCs w:val="18"/>
              </w:rPr>
              <w:t xml:space="preserve">what should be in a </w:t>
            </w:r>
            <w:r w:rsidR="008922C3" w:rsidRPr="003C6DD2">
              <w:rPr>
                <w:rFonts w:ascii="Arial" w:hAnsi="Arial" w:cs="Arial"/>
                <w:sz w:val="18"/>
                <w:szCs w:val="18"/>
              </w:rPr>
              <w:t xml:space="preserve">JCA template is available on the ICO website here:  </w:t>
            </w:r>
            <w:hyperlink r:id="rId12" w:history="1">
              <w:r w:rsidR="004B4693">
                <w:rPr>
                  <w:rStyle w:val="Hyperlink"/>
                  <w:rFonts w:ascii="Arial" w:hAnsi="Arial" w:cs="Arial"/>
                  <w:sz w:val="18"/>
                  <w:szCs w:val="18"/>
                </w:rPr>
                <w:t xml:space="preserve">https://ico.org.uk/for-organisations/uk-gdpr-guidance-and-resources/data-sharing/data-sharing-a-code-of-practice/data-sharing-agreements/ </w:t>
              </w:r>
            </w:hyperlink>
            <w:r w:rsidRPr="003C6DD2">
              <w:rPr>
                <w:rFonts w:ascii="Arial" w:hAnsi="Arial" w:cs="Arial"/>
                <w:sz w:val="18"/>
                <w:szCs w:val="18"/>
              </w:rPr>
              <w:t xml:space="preserve"> </w:t>
            </w:r>
          </w:p>
          <w:p w14:paraId="05D959A0" w14:textId="7758FEEF" w:rsidR="0081574B" w:rsidRPr="003C6DD2" w:rsidRDefault="0081574B" w:rsidP="0081574B">
            <w:pPr>
              <w:spacing w:after="160" w:line="259" w:lineRule="auto"/>
              <w:rPr>
                <w:rFonts w:ascii="Arial" w:hAnsi="Arial" w:cs="Arial"/>
                <w:sz w:val="18"/>
                <w:szCs w:val="18"/>
              </w:rPr>
            </w:pPr>
            <w:r w:rsidRPr="003C6DD2">
              <w:rPr>
                <w:rFonts w:ascii="Arial" w:hAnsi="Arial" w:cs="Arial"/>
                <w:sz w:val="18"/>
                <w:szCs w:val="18"/>
              </w:rPr>
              <w:t>Alternatively, the FHR PCN JCA is available upon request (subject to acknowledgement that it has</w:t>
            </w:r>
            <w:r w:rsidR="00182F69">
              <w:rPr>
                <w:rFonts w:ascii="Arial" w:hAnsi="Arial" w:cs="Arial"/>
                <w:sz w:val="18"/>
                <w:szCs w:val="18"/>
              </w:rPr>
              <w:t xml:space="preserve"> </w:t>
            </w:r>
            <w:r w:rsidR="00182F69">
              <w:rPr>
                <w:rFonts w:ascii="Arial" w:hAnsi="Arial" w:cs="Arial"/>
                <w:sz w:val="18"/>
                <w:szCs w:val="18"/>
              </w:rPr>
              <w:t>been drafted specifically for</w:t>
            </w:r>
            <w:r w:rsidRPr="003C6DD2">
              <w:rPr>
                <w:rFonts w:ascii="Arial" w:hAnsi="Arial" w:cs="Arial"/>
                <w:sz w:val="18"/>
                <w:szCs w:val="18"/>
              </w:rPr>
              <w:t xml:space="preserve"> them, and must not be adopted verbatim without review)</w:t>
            </w:r>
          </w:p>
        </w:tc>
      </w:tr>
      <w:tr w:rsidR="008922C3" w:rsidRPr="003C6DD2" w14:paraId="378492BA" w14:textId="77777777" w:rsidTr="009112F9">
        <w:trPr>
          <w:trHeight w:val="2396"/>
        </w:trPr>
        <w:tc>
          <w:tcPr>
            <w:tcW w:w="1177" w:type="dxa"/>
          </w:tcPr>
          <w:p w14:paraId="5CD17304"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Privacy notice</w:t>
            </w:r>
          </w:p>
        </w:tc>
        <w:tc>
          <w:tcPr>
            <w:tcW w:w="3076" w:type="dxa"/>
          </w:tcPr>
          <w:p w14:paraId="6A363E30"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For a lead practice model: </w:t>
            </w:r>
          </w:p>
          <w:p w14:paraId="3DFC9A32"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Member GP Practices to update their privacy notice with the data flow to the PCN’s clinical system. </w:t>
            </w:r>
          </w:p>
          <w:p w14:paraId="0218419D" w14:textId="4B1E2F12" w:rsidR="008922C3" w:rsidRPr="003C6DD2" w:rsidRDefault="008922C3" w:rsidP="00C75C68">
            <w:pPr>
              <w:spacing w:after="160" w:line="259" w:lineRule="auto"/>
              <w:rPr>
                <w:rFonts w:ascii="Arial" w:hAnsi="Arial" w:cs="Arial"/>
                <w:sz w:val="18"/>
                <w:szCs w:val="18"/>
              </w:rPr>
            </w:pPr>
            <w:r w:rsidRPr="003C6DD2">
              <w:rPr>
                <w:rFonts w:ascii="Arial" w:hAnsi="Arial" w:cs="Arial"/>
                <w:sz w:val="18"/>
                <w:szCs w:val="18"/>
              </w:rPr>
              <w:t>A flat structure:</w:t>
            </w:r>
            <w:r w:rsidR="00C75C68">
              <w:rPr>
                <w:rFonts w:ascii="Arial" w:hAnsi="Arial" w:cs="Arial"/>
                <w:sz w:val="18"/>
                <w:szCs w:val="18"/>
              </w:rPr>
              <w:t xml:space="preserve"> </w:t>
            </w:r>
            <w:r w:rsidRPr="003C6DD2">
              <w:rPr>
                <w:rFonts w:ascii="Arial" w:hAnsi="Arial" w:cs="Arial"/>
                <w:sz w:val="18"/>
                <w:szCs w:val="18"/>
              </w:rPr>
              <w:t>Where the PCN is a separate legal entity, it should have its own patients’ facing privacy notice which should detail the PCN hub work.</w:t>
            </w:r>
          </w:p>
        </w:tc>
        <w:tc>
          <w:tcPr>
            <w:tcW w:w="2551" w:type="dxa"/>
          </w:tcPr>
          <w:p w14:paraId="7799D21D" w14:textId="76FDD5CD"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Where PNs are already in place either at GP practice level or a in a flat structure model, this should be reviewed and updated with the PCN hub wo</w:t>
            </w:r>
            <w:r w:rsidRPr="003C6DD2">
              <w:rPr>
                <w:rFonts w:ascii="Arial" w:hAnsi="Arial" w:cs="Arial"/>
                <w:sz w:val="18"/>
                <w:szCs w:val="18"/>
              </w:rPr>
              <w:t>rk</w:t>
            </w:r>
            <w:r w:rsidRPr="003C6DD2">
              <w:rPr>
                <w:rFonts w:ascii="Arial" w:hAnsi="Arial" w:cs="Arial"/>
                <w:sz w:val="18"/>
                <w:szCs w:val="18"/>
              </w:rPr>
              <w:t>.</w:t>
            </w:r>
          </w:p>
        </w:tc>
        <w:tc>
          <w:tcPr>
            <w:tcW w:w="4536" w:type="dxa"/>
          </w:tcPr>
          <w:p w14:paraId="631E9793" w14:textId="77777777" w:rsidR="008922C3" w:rsidRPr="003C6DD2" w:rsidRDefault="005329CA" w:rsidP="008922C3">
            <w:pPr>
              <w:spacing w:after="160" w:line="259" w:lineRule="auto"/>
              <w:rPr>
                <w:rFonts w:ascii="Arial" w:hAnsi="Arial" w:cs="Arial"/>
                <w:sz w:val="18"/>
                <w:szCs w:val="18"/>
              </w:rPr>
            </w:pPr>
            <w:r w:rsidRPr="003C6DD2">
              <w:rPr>
                <w:rFonts w:ascii="Arial" w:hAnsi="Arial" w:cs="Arial"/>
                <w:sz w:val="18"/>
                <w:szCs w:val="18"/>
              </w:rPr>
              <w:t>W</w:t>
            </w:r>
            <w:r w:rsidR="008922C3" w:rsidRPr="003C6DD2">
              <w:rPr>
                <w:rFonts w:ascii="Arial" w:hAnsi="Arial" w:cs="Arial"/>
                <w:sz w:val="18"/>
                <w:szCs w:val="18"/>
              </w:rPr>
              <w:t xml:space="preserve">here the GP Practice or the PCN legal entity does not have a PN, they can find a generic template to start off on the ICO website here: </w:t>
            </w:r>
            <w:hyperlink r:id="rId13" w:history="1">
              <w:r w:rsidR="0081574B" w:rsidRPr="003C6DD2">
                <w:rPr>
                  <w:rStyle w:val="Hyperlink"/>
                  <w:rFonts w:ascii="Arial" w:hAnsi="Arial" w:cs="Arial"/>
                  <w:sz w:val="18"/>
                  <w:szCs w:val="18"/>
                </w:rPr>
                <w:t>https://ico.org.uk/for-organisations/sme-web-hub/make-your-own-privacy-notice/</w:t>
              </w:r>
            </w:hyperlink>
            <w:r w:rsidR="0081574B" w:rsidRPr="003C6DD2">
              <w:rPr>
                <w:rFonts w:ascii="Arial" w:hAnsi="Arial" w:cs="Arial"/>
                <w:sz w:val="18"/>
                <w:szCs w:val="18"/>
              </w:rPr>
              <w:t xml:space="preserve"> </w:t>
            </w:r>
          </w:p>
          <w:p w14:paraId="27A9C8AE" w14:textId="77777777" w:rsidR="005329CA" w:rsidRPr="003C6DD2" w:rsidRDefault="005329CA" w:rsidP="008922C3">
            <w:pPr>
              <w:spacing w:after="160" w:line="259" w:lineRule="auto"/>
              <w:rPr>
                <w:rFonts w:ascii="Arial" w:hAnsi="Arial" w:cs="Arial"/>
                <w:sz w:val="18"/>
                <w:szCs w:val="18"/>
              </w:rPr>
            </w:pPr>
            <w:r w:rsidRPr="003C6DD2">
              <w:rPr>
                <w:rFonts w:ascii="Arial" w:hAnsi="Arial" w:cs="Arial"/>
                <w:sz w:val="18"/>
                <w:szCs w:val="18"/>
              </w:rPr>
              <w:t>An excerpt of the specific section on the PCN hub work for FHR PCN member practices is available upon request (however this will more likely than not be out of context for others to adopt).</w:t>
            </w:r>
          </w:p>
        </w:tc>
      </w:tr>
      <w:tr w:rsidR="008922C3" w:rsidRPr="003C6DD2" w14:paraId="63AB2898" w14:textId="77777777" w:rsidTr="00BA65B6">
        <w:tc>
          <w:tcPr>
            <w:tcW w:w="1177" w:type="dxa"/>
          </w:tcPr>
          <w:p w14:paraId="73FDC967"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Record of processing activities (ROPA) (and the Information register asset)</w:t>
            </w:r>
          </w:p>
        </w:tc>
        <w:tc>
          <w:tcPr>
            <w:tcW w:w="3076" w:type="dxa"/>
          </w:tcPr>
          <w:p w14:paraId="6A245A78"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To record the flow of data from the GP practices to the PCN clinical system and vice versa.</w:t>
            </w:r>
          </w:p>
          <w:p w14:paraId="0FAF96B9"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The information asset register to include all assets holding data at PCN level. </w:t>
            </w:r>
          </w:p>
        </w:tc>
        <w:tc>
          <w:tcPr>
            <w:tcW w:w="2551" w:type="dxa"/>
          </w:tcPr>
          <w:p w14:paraId="5E35E49D"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Similar to the privacy notice, in a lead practice model, individual practices should update their ROPA with the data flow to the PCN; and in a flat structure, a PCN specific ROPA should be worked up.</w:t>
            </w:r>
          </w:p>
        </w:tc>
        <w:tc>
          <w:tcPr>
            <w:tcW w:w="4536" w:type="dxa"/>
          </w:tcPr>
          <w:p w14:paraId="549037B8" w14:textId="77777777" w:rsidR="008922C3" w:rsidRPr="003C6DD2" w:rsidRDefault="008922C3" w:rsidP="005329CA">
            <w:pPr>
              <w:spacing w:after="160" w:line="259" w:lineRule="auto"/>
              <w:rPr>
                <w:rFonts w:ascii="Arial" w:hAnsi="Arial" w:cs="Arial"/>
                <w:sz w:val="18"/>
                <w:szCs w:val="18"/>
              </w:rPr>
            </w:pPr>
            <w:r w:rsidRPr="003C6DD2">
              <w:rPr>
                <w:rFonts w:ascii="Arial" w:hAnsi="Arial" w:cs="Arial"/>
                <w:sz w:val="18"/>
                <w:szCs w:val="18"/>
              </w:rPr>
              <w:t xml:space="preserve">All GP Practices as data controllers must have a ROPA, however, where one is required, </w:t>
            </w:r>
            <w:r w:rsidR="005329CA" w:rsidRPr="003C6DD2">
              <w:rPr>
                <w:rFonts w:ascii="Arial" w:hAnsi="Arial" w:cs="Arial"/>
                <w:sz w:val="18"/>
                <w:szCs w:val="18"/>
              </w:rPr>
              <w:t>a</w:t>
            </w:r>
            <w:r w:rsidRPr="003C6DD2">
              <w:rPr>
                <w:rFonts w:ascii="Arial" w:hAnsi="Arial" w:cs="Arial"/>
                <w:sz w:val="18"/>
                <w:szCs w:val="18"/>
              </w:rPr>
              <w:t xml:space="preserve"> template is available on the ICO website here: </w:t>
            </w:r>
            <w:hyperlink r:id="rId14" w:history="1">
              <w:r w:rsidR="004C1110" w:rsidRPr="003C6DD2">
                <w:rPr>
                  <w:rStyle w:val="Hyperlink"/>
                  <w:rFonts w:ascii="Arial" w:hAnsi="Arial" w:cs="Arial"/>
                  <w:sz w:val="18"/>
                  <w:szCs w:val="18"/>
                </w:rPr>
                <w:t>gdpr-documentation-controller-template.xlsx (live.com)</w:t>
              </w:r>
            </w:hyperlink>
          </w:p>
          <w:p w14:paraId="3BB68222" w14:textId="04291D38" w:rsidR="005329CA" w:rsidRPr="003C6DD2" w:rsidRDefault="005329CA" w:rsidP="005329CA">
            <w:pPr>
              <w:spacing w:after="160" w:line="259" w:lineRule="auto"/>
              <w:rPr>
                <w:rFonts w:ascii="Arial" w:hAnsi="Arial" w:cs="Arial"/>
                <w:sz w:val="18"/>
                <w:szCs w:val="18"/>
              </w:rPr>
            </w:pPr>
            <w:r w:rsidRPr="003C6DD2">
              <w:rPr>
                <w:rFonts w:ascii="Arial" w:hAnsi="Arial" w:cs="Arial"/>
                <w:sz w:val="18"/>
                <w:szCs w:val="18"/>
              </w:rPr>
              <w:t>Or the FHR version is available upon request (</w:t>
            </w:r>
            <w:r w:rsidR="00C228D6">
              <w:rPr>
                <w:rFonts w:ascii="Arial" w:hAnsi="Arial" w:cs="Arial"/>
                <w:sz w:val="18"/>
                <w:szCs w:val="18"/>
              </w:rPr>
              <w:t xml:space="preserve">this document </w:t>
            </w:r>
            <w:r w:rsidR="00322660" w:rsidRPr="00322660">
              <w:rPr>
                <w:rFonts w:ascii="Arial" w:hAnsi="Arial" w:cs="Arial"/>
                <w:sz w:val="18"/>
                <w:szCs w:val="18"/>
              </w:rPr>
              <w:t>must not be adopted verbatim without review</w:t>
            </w:r>
            <w:r w:rsidR="007518A9">
              <w:rPr>
                <w:rFonts w:ascii="Arial" w:hAnsi="Arial" w:cs="Arial"/>
                <w:sz w:val="18"/>
                <w:szCs w:val="18"/>
              </w:rPr>
              <w:t xml:space="preserve"> </w:t>
            </w:r>
            <w:r w:rsidR="007F4043">
              <w:rPr>
                <w:rFonts w:ascii="Arial" w:hAnsi="Arial" w:cs="Arial"/>
                <w:sz w:val="18"/>
                <w:szCs w:val="18"/>
              </w:rPr>
              <w:t xml:space="preserve">as it would have to be </w:t>
            </w:r>
            <w:r w:rsidRPr="003C6DD2">
              <w:rPr>
                <w:rFonts w:ascii="Arial" w:hAnsi="Arial" w:cs="Arial"/>
                <w:sz w:val="18"/>
                <w:szCs w:val="18"/>
              </w:rPr>
              <w:t>personalised</w:t>
            </w:r>
            <w:r w:rsidR="007F4043">
              <w:rPr>
                <w:rFonts w:ascii="Arial" w:hAnsi="Arial" w:cs="Arial"/>
                <w:sz w:val="18"/>
                <w:szCs w:val="18"/>
              </w:rPr>
              <w:t xml:space="preserve"> to specific model approach looking to build)</w:t>
            </w:r>
            <w:r w:rsidRPr="003C6DD2">
              <w:rPr>
                <w:rFonts w:ascii="Arial" w:hAnsi="Arial" w:cs="Arial"/>
                <w:sz w:val="18"/>
                <w:szCs w:val="18"/>
              </w:rPr>
              <w:t>.</w:t>
            </w:r>
          </w:p>
        </w:tc>
      </w:tr>
      <w:tr w:rsidR="008922C3" w:rsidRPr="003C6DD2" w14:paraId="3F438A34" w14:textId="77777777" w:rsidTr="00BA65B6">
        <w:tc>
          <w:tcPr>
            <w:tcW w:w="1177" w:type="dxa"/>
          </w:tcPr>
          <w:p w14:paraId="38412BAE"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Information security (IS) risk assessment </w:t>
            </w:r>
          </w:p>
        </w:tc>
        <w:tc>
          <w:tcPr>
            <w:tcW w:w="3076" w:type="dxa"/>
          </w:tcPr>
          <w:p w14:paraId="37359198"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This must be completed on the system to be used to process patients’ data to check their security and resilience. </w:t>
            </w:r>
          </w:p>
        </w:tc>
        <w:tc>
          <w:tcPr>
            <w:tcW w:w="2551" w:type="dxa"/>
          </w:tcPr>
          <w:p w14:paraId="1D1F56D4" w14:textId="7777777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FHR has completed theirs for EMIS. </w:t>
            </w:r>
          </w:p>
        </w:tc>
        <w:tc>
          <w:tcPr>
            <w:tcW w:w="4536" w:type="dxa"/>
          </w:tcPr>
          <w:p w14:paraId="5652B7FD" w14:textId="252049D7" w:rsidR="008922C3" w:rsidRPr="003C6DD2" w:rsidRDefault="008922C3" w:rsidP="008922C3">
            <w:pPr>
              <w:spacing w:after="160" w:line="259" w:lineRule="auto"/>
              <w:rPr>
                <w:rFonts w:ascii="Arial" w:hAnsi="Arial" w:cs="Arial"/>
                <w:sz w:val="18"/>
                <w:szCs w:val="18"/>
              </w:rPr>
            </w:pPr>
            <w:r w:rsidRPr="003C6DD2">
              <w:rPr>
                <w:rFonts w:ascii="Arial" w:hAnsi="Arial" w:cs="Arial"/>
                <w:sz w:val="18"/>
                <w:szCs w:val="18"/>
              </w:rPr>
              <w:t xml:space="preserve">All certifications for EMIS </w:t>
            </w:r>
            <w:r w:rsidR="002F2309">
              <w:rPr>
                <w:rFonts w:ascii="Arial" w:hAnsi="Arial" w:cs="Arial"/>
                <w:sz w:val="18"/>
                <w:szCs w:val="18"/>
              </w:rPr>
              <w:t>are</w:t>
            </w:r>
            <w:r w:rsidRPr="003C6DD2">
              <w:rPr>
                <w:rFonts w:ascii="Arial" w:hAnsi="Arial" w:cs="Arial"/>
                <w:sz w:val="18"/>
                <w:szCs w:val="18"/>
              </w:rPr>
              <w:t xml:space="preserve"> listed below, however this does not stop any PCN from completing their own IS risk assessment. </w:t>
            </w:r>
          </w:p>
          <w:p w14:paraId="43FA9ECA" w14:textId="77777777" w:rsidR="002B4C2C" w:rsidRDefault="008922C3" w:rsidP="002B4C2C">
            <w:pPr>
              <w:spacing w:after="160" w:line="259" w:lineRule="auto"/>
              <w:rPr>
                <w:rFonts w:ascii="Arial" w:hAnsi="Arial" w:cs="Arial"/>
                <w:sz w:val="18"/>
                <w:szCs w:val="18"/>
              </w:rPr>
            </w:pPr>
            <w:r w:rsidRPr="003C6DD2">
              <w:rPr>
                <w:rFonts w:ascii="Arial" w:hAnsi="Arial" w:cs="Arial"/>
                <w:sz w:val="18"/>
                <w:szCs w:val="18"/>
              </w:rPr>
              <w:t xml:space="preserve">Their information security framework has been risk assessed and they have the following subsisting certifications:  </w:t>
            </w:r>
          </w:p>
          <w:p w14:paraId="1B94FC53" w14:textId="77777777" w:rsidR="002B4C2C" w:rsidRPr="002B4C2C" w:rsidRDefault="001B7127" w:rsidP="002B4C2C">
            <w:pPr>
              <w:pStyle w:val="NoSpacing"/>
              <w:numPr>
                <w:ilvl w:val="0"/>
                <w:numId w:val="3"/>
              </w:numPr>
              <w:rPr>
                <w:rFonts w:ascii="Arial" w:hAnsi="Arial" w:cs="Arial"/>
                <w:sz w:val="18"/>
                <w:szCs w:val="18"/>
              </w:rPr>
            </w:pPr>
            <w:r w:rsidRPr="002B4C2C">
              <w:rPr>
                <w:rFonts w:ascii="Arial" w:hAnsi="Arial" w:cs="Arial"/>
                <w:sz w:val="18"/>
                <w:szCs w:val="18"/>
              </w:rPr>
              <w:t xml:space="preserve">Cyber Essentials Plus </w:t>
            </w:r>
          </w:p>
          <w:p w14:paraId="54DD3C4D" w14:textId="77777777" w:rsidR="002B4C2C" w:rsidRPr="002B4C2C" w:rsidRDefault="001B7127" w:rsidP="002B4C2C">
            <w:pPr>
              <w:pStyle w:val="NoSpacing"/>
              <w:numPr>
                <w:ilvl w:val="0"/>
                <w:numId w:val="3"/>
              </w:numPr>
              <w:rPr>
                <w:rFonts w:ascii="Arial" w:hAnsi="Arial" w:cs="Arial"/>
                <w:sz w:val="18"/>
                <w:szCs w:val="18"/>
              </w:rPr>
            </w:pPr>
            <w:r w:rsidRPr="002B4C2C">
              <w:rPr>
                <w:rFonts w:ascii="Arial" w:hAnsi="Arial" w:cs="Arial"/>
                <w:sz w:val="18"/>
                <w:szCs w:val="18"/>
              </w:rPr>
              <w:t xml:space="preserve">ISO 27001:2013 </w:t>
            </w:r>
          </w:p>
          <w:p w14:paraId="7062BFE9" w14:textId="77777777" w:rsidR="002B4C2C" w:rsidRPr="002B4C2C" w:rsidRDefault="001B7127" w:rsidP="002B4C2C">
            <w:pPr>
              <w:pStyle w:val="NoSpacing"/>
              <w:numPr>
                <w:ilvl w:val="0"/>
                <w:numId w:val="3"/>
              </w:numPr>
              <w:rPr>
                <w:rFonts w:ascii="Arial" w:hAnsi="Arial" w:cs="Arial"/>
                <w:sz w:val="18"/>
                <w:szCs w:val="18"/>
              </w:rPr>
            </w:pPr>
            <w:r w:rsidRPr="002B4C2C">
              <w:rPr>
                <w:rFonts w:ascii="Arial" w:hAnsi="Arial" w:cs="Arial"/>
                <w:sz w:val="18"/>
                <w:szCs w:val="18"/>
              </w:rPr>
              <w:t>ISO 22301:2019</w:t>
            </w:r>
          </w:p>
          <w:p w14:paraId="6027AF51" w14:textId="77777777" w:rsidR="002B4C2C" w:rsidRDefault="001B7127" w:rsidP="002B4C2C">
            <w:pPr>
              <w:pStyle w:val="NoSpacing"/>
              <w:numPr>
                <w:ilvl w:val="0"/>
                <w:numId w:val="3"/>
              </w:numPr>
              <w:rPr>
                <w:rFonts w:ascii="Arial" w:hAnsi="Arial" w:cs="Arial"/>
                <w:sz w:val="18"/>
                <w:szCs w:val="18"/>
              </w:rPr>
            </w:pPr>
            <w:r w:rsidRPr="002B4C2C">
              <w:rPr>
                <w:rFonts w:ascii="Arial" w:hAnsi="Arial" w:cs="Arial"/>
                <w:sz w:val="18"/>
                <w:szCs w:val="18"/>
              </w:rPr>
              <w:t>ISO 9001:2015</w:t>
            </w:r>
          </w:p>
          <w:p w14:paraId="23423DA4" w14:textId="49A87F47" w:rsidR="001B7127" w:rsidRPr="002B4C2C" w:rsidRDefault="001B7127" w:rsidP="002B4C2C">
            <w:pPr>
              <w:pStyle w:val="NoSpacing"/>
              <w:numPr>
                <w:ilvl w:val="0"/>
                <w:numId w:val="3"/>
              </w:numPr>
              <w:rPr>
                <w:rFonts w:ascii="Arial" w:hAnsi="Arial" w:cs="Arial"/>
                <w:sz w:val="18"/>
                <w:szCs w:val="18"/>
              </w:rPr>
            </w:pPr>
            <w:r w:rsidRPr="002B4C2C">
              <w:rPr>
                <w:rFonts w:ascii="Arial" w:hAnsi="Arial" w:cs="Arial"/>
                <w:sz w:val="18"/>
                <w:szCs w:val="18"/>
              </w:rPr>
              <w:t>ISO 20000:2018</w:t>
            </w:r>
          </w:p>
        </w:tc>
      </w:tr>
    </w:tbl>
    <w:p w14:paraId="449CB2A4" w14:textId="1D89181D" w:rsidR="008922C3" w:rsidRPr="008922C3" w:rsidRDefault="008922C3" w:rsidP="003C6DD2"/>
    <w:sectPr w:rsidR="008922C3" w:rsidRPr="008922C3" w:rsidSect="00411921">
      <w:pgSz w:w="11906" w:h="16838"/>
      <w:pgMar w:top="1080" w:right="1440" w:bottom="108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832A3"/>
    <w:multiLevelType w:val="hybridMultilevel"/>
    <w:tmpl w:val="A604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30513"/>
    <w:multiLevelType w:val="hybridMultilevel"/>
    <w:tmpl w:val="D146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A572F"/>
    <w:multiLevelType w:val="hybridMultilevel"/>
    <w:tmpl w:val="0C5E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549280">
    <w:abstractNumId w:val="2"/>
  </w:num>
  <w:num w:numId="2" w16cid:durableId="1841122650">
    <w:abstractNumId w:val="1"/>
  </w:num>
  <w:num w:numId="3" w16cid:durableId="85946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78"/>
    <w:rsid w:val="00021A14"/>
    <w:rsid w:val="00086221"/>
    <w:rsid w:val="000A5104"/>
    <w:rsid w:val="000B20C4"/>
    <w:rsid w:val="000F020D"/>
    <w:rsid w:val="00174DE1"/>
    <w:rsid w:val="00182F69"/>
    <w:rsid w:val="001A2C7F"/>
    <w:rsid w:val="001A7881"/>
    <w:rsid w:val="001B23CD"/>
    <w:rsid w:val="001B7127"/>
    <w:rsid w:val="00242844"/>
    <w:rsid w:val="00291F67"/>
    <w:rsid w:val="00297E8A"/>
    <w:rsid w:val="002B4C2C"/>
    <w:rsid w:val="002F2309"/>
    <w:rsid w:val="00322660"/>
    <w:rsid w:val="00325E2C"/>
    <w:rsid w:val="003357D6"/>
    <w:rsid w:val="003C4E3A"/>
    <w:rsid w:val="003C6DD2"/>
    <w:rsid w:val="00411921"/>
    <w:rsid w:val="004503F0"/>
    <w:rsid w:val="00472A30"/>
    <w:rsid w:val="004B4693"/>
    <w:rsid w:val="004C1110"/>
    <w:rsid w:val="004E1EF1"/>
    <w:rsid w:val="004F3EEB"/>
    <w:rsid w:val="0052100A"/>
    <w:rsid w:val="005329CA"/>
    <w:rsid w:val="005950C3"/>
    <w:rsid w:val="005A08C2"/>
    <w:rsid w:val="005D1E8F"/>
    <w:rsid w:val="00627A78"/>
    <w:rsid w:val="0063244A"/>
    <w:rsid w:val="006A4DC8"/>
    <w:rsid w:val="00712115"/>
    <w:rsid w:val="00724503"/>
    <w:rsid w:val="00747402"/>
    <w:rsid w:val="007518A9"/>
    <w:rsid w:val="0078762E"/>
    <w:rsid w:val="00791335"/>
    <w:rsid w:val="007A54C3"/>
    <w:rsid w:val="007F4043"/>
    <w:rsid w:val="0081574B"/>
    <w:rsid w:val="00835F4B"/>
    <w:rsid w:val="00862160"/>
    <w:rsid w:val="008922C3"/>
    <w:rsid w:val="008C5AFC"/>
    <w:rsid w:val="008E0DEF"/>
    <w:rsid w:val="008E7932"/>
    <w:rsid w:val="008F2D92"/>
    <w:rsid w:val="008F78AF"/>
    <w:rsid w:val="009112F9"/>
    <w:rsid w:val="0092027E"/>
    <w:rsid w:val="009327C4"/>
    <w:rsid w:val="00A16878"/>
    <w:rsid w:val="00A238C0"/>
    <w:rsid w:val="00A638D5"/>
    <w:rsid w:val="00AC3CE0"/>
    <w:rsid w:val="00B14A2A"/>
    <w:rsid w:val="00B61B26"/>
    <w:rsid w:val="00BA65B6"/>
    <w:rsid w:val="00BD4FAD"/>
    <w:rsid w:val="00C228D6"/>
    <w:rsid w:val="00C2550C"/>
    <w:rsid w:val="00C43290"/>
    <w:rsid w:val="00C75C68"/>
    <w:rsid w:val="00D10774"/>
    <w:rsid w:val="00D25402"/>
    <w:rsid w:val="00DF12AD"/>
    <w:rsid w:val="00E30405"/>
    <w:rsid w:val="00E326D3"/>
    <w:rsid w:val="00E51926"/>
    <w:rsid w:val="00E8221F"/>
    <w:rsid w:val="00EA75E4"/>
    <w:rsid w:val="00ED2896"/>
    <w:rsid w:val="00F57DB3"/>
    <w:rsid w:val="00F62127"/>
    <w:rsid w:val="00F87B4F"/>
    <w:rsid w:val="00FE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1"/>
  <w15:chartTrackingRefBased/>
  <w15:docId w15:val="{F891BD96-9C46-4AC4-B723-E8D976E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127"/>
    <w:pPr>
      <w:ind w:left="720"/>
      <w:contextualSpacing/>
    </w:pPr>
  </w:style>
  <w:style w:type="character" w:styleId="Hyperlink">
    <w:name w:val="Hyperlink"/>
    <w:basedOn w:val="DefaultParagraphFont"/>
    <w:uiPriority w:val="99"/>
    <w:unhideWhenUsed/>
    <w:rsid w:val="008922C3"/>
    <w:rPr>
      <w:color w:val="0563C1" w:themeColor="hyperlink"/>
      <w:u w:val="single"/>
    </w:rPr>
  </w:style>
  <w:style w:type="character" w:styleId="UnresolvedMention">
    <w:name w:val="Unresolved Mention"/>
    <w:basedOn w:val="DefaultParagraphFont"/>
    <w:uiPriority w:val="99"/>
    <w:semiHidden/>
    <w:unhideWhenUsed/>
    <w:rsid w:val="003C6DD2"/>
    <w:rPr>
      <w:color w:val="605E5C"/>
      <w:shd w:val="clear" w:color="auto" w:fill="E1DFDD"/>
    </w:rPr>
  </w:style>
  <w:style w:type="paragraph" w:styleId="NoSpacing">
    <w:name w:val="No Spacing"/>
    <w:link w:val="NoSpacingChar"/>
    <w:uiPriority w:val="1"/>
    <w:qFormat/>
    <w:rsid w:val="003C6DD2"/>
    <w:pPr>
      <w:spacing w:after="0" w:line="240" w:lineRule="auto"/>
    </w:pPr>
  </w:style>
  <w:style w:type="character" w:customStyle="1" w:styleId="NoSpacingChar">
    <w:name w:val="No Spacing Char"/>
    <w:basedOn w:val="DefaultParagraphFont"/>
    <w:link w:val="NoSpacing"/>
    <w:uiPriority w:val="1"/>
    <w:rsid w:val="00411921"/>
  </w:style>
  <w:style w:type="character" w:styleId="CommentReference">
    <w:name w:val="annotation reference"/>
    <w:basedOn w:val="DefaultParagraphFont"/>
    <w:uiPriority w:val="99"/>
    <w:semiHidden/>
    <w:unhideWhenUsed/>
    <w:rsid w:val="008C5AFC"/>
    <w:rPr>
      <w:sz w:val="16"/>
      <w:szCs w:val="16"/>
    </w:rPr>
  </w:style>
  <w:style w:type="paragraph" w:styleId="CommentText">
    <w:name w:val="annotation text"/>
    <w:basedOn w:val="Normal"/>
    <w:link w:val="CommentTextChar"/>
    <w:uiPriority w:val="99"/>
    <w:unhideWhenUsed/>
    <w:rsid w:val="008C5AFC"/>
    <w:pPr>
      <w:spacing w:line="240" w:lineRule="auto"/>
    </w:pPr>
    <w:rPr>
      <w:sz w:val="20"/>
      <w:szCs w:val="20"/>
    </w:rPr>
  </w:style>
  <w:style w:type="character" w:customStyle="1" w:styleId="CommentTextChar">
    <w:name w:val="Comment Text Char"/>
    <w:basedOn w:val="DefaultParagraphFont"/>
    <w:link w:val="CommentText"/>
    <w:uiPriority w:val="99"/>
    <w:rsid w:val="008C5AFC"/>
    <w:rPr>
      <w:sz w:val="20"/>
      <w:szCs w:val="20"/>
    </w:rPr>
  </w:style>
  <w:style w:type="paragraph" w:styleId="CommentSubject">
    <w:name w:val="annotation subject"/>
    <w:basedOn w:val="CommentText"/>
    <w:next w:val="CommentText"/>
    <w:link w:val="CommentSubjectChar"/>
    <w:uiPriority w:val="99"/>
    <w:semiHidden/>
    <w:unhideWhenUsed/>
    <w:rsid w:val="008C5AFC"/>
    <w:rPr>
      <w:b/>
      <w:bCs/>
    </w:rPr>
  </w:style>
  <w:style w:type="character" w:customStyle="1" w:styleId="CommentSubjectChar">
    <w:name w:val="Comment Subject Char"/>
    <w:basedOn w:val="CommentTextChar"/>
    <w:link w:val="CommentSubject"/>
    <w:uiPriority w:val="99"/>
    <w:semiHidden/>
    <w:rsid w:val="008C5AFC"/>
    <w:rPr>
      <w:b/>
      <w:bCs/>
      <w:sz w:val="20"/>
      <w:szCs w:val="20"/>
    </w:rPr>
  </w:style>
  <w:style w:type="paragraph" w:styleId="Revision">
    <w:name w:val="Revision"/>
    <w:hidden/>
    <w:uiPriority w:val="99"/>
    <w:semiHidden/>
    <w:rsid w:val="00182F69"/>
    <w:pPr>
      <w:spacing w:after="0" w:line="240" w:lineRule="auto"/>
    </w:pPr>
  </w:style>
  <w:style w:type="character" w:styleId="FollowedHyperlink">
    <w:name w:val="FollowedHyperlink"/>
    <w:basedOn w:val="DefaultParagraphFont"/>
    <w:uiPriority w:val="99"/>
    <w:semiHidden/>
    <w:unhideWhenUsed/>
    <w:rsid w:val="00712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sme-web-hub/make-your-own-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uk-gdpr-guidance-and-resources/data-sharing/data-sharing-a-code-of-practice/data-sharing-agre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england.nhs.uk/information-governance/guidance/data-sharing-agreement-templ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gland.seprimarycaretransformationteam@nhs.ne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view.officeapps.live.com/op/view.aspx?src=https%3A%2F%2Fico.org.uk%2Fmedia%2Ffor-organisations%2Fdocuments%2F2172937%2Fgdpr-documentation-controller-template.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05B3F7B970041B3C723C2A71C3BFD" ma:contentTypeVersion="13" ma:contentTypeDescription="Create a new document." ma:contentTypeScope="" ma:versionID="0a41a4c0bca19355efa6cea925fa5927">
  <xsd:schema xmlns:xsd="http://www.w3.org/2001/XMLSchema" xmlns:xs="http://www.w3.org/2001/XMLSchema" xmlns:p="http://schemas.microsoft.com/office/2006/metadata/properties" xmlns:ns2="6ec8f2ca-2113-4873-8b05-bd1910387505" xmlns:ns3="a48940b5-7551-4ca5-9e6c-5c7d2b22c67e" targetNamespace="http://schemas.microsoft.com/office/2006/metadata/properties" ma:root="true" ma:fieldsID="8959892b173c4f0561e743dbde547819" ns2:_="" ns3:_="">
    <xsd:import namespace="6ec8f2ca-2113-4873-8b05-bd1910387505"/>
    <xsd:import namespace="a48940b5-7551-4ca5-9e6c-5c7d2b22c6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f2ca-2113-4873-8b05-bd1910387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940b5-7551-4ca5-9e6c-5c7d2b22c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b3cc68-5f0e-441e-911a-23b7f69e0ef3}" ma:internalName="TaxCatchAll" ma:showField="CatchAllData" ma:web="a48940b5-7551-4ca5-9e6c-5c7d2b22c6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8940b5-7551-4ca5-9e6c-5c7d2b22c67e" xsi:nil="true"/>
    <lcf76f155ced4ddcb4097134ff3c332f xmlns="6ec8f2ca-2113-4873-8b05-bd19103875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A9B10-EEF8-496E-8A2A-0E8421684BCB}"/>
</file>

<file path=customXml/itemProps2.xml><?xml version="1.0" encoding="utf-8"?>
<ds:datastoreItem xmlns:ds="http://schemas.openxmlformats.org/officeDocument/2006/customXml" ds:itemID="{F5B89858-4A57-4B12-A721-A45CEDD5D12F}">
  <ds:schemaRefs>
    <ds:schemaRef ds:uri="http://schemas.microsoft.com/office/2006/metadata/properties"/>
    <ds:schemaRef ds:uri="http://schemas.microsoft.com/office/infopath/2007/PartnerControls"/>
    <ds:schemaRef ds:uri="http://schemas.microsoft.com/sharepoint/v3"/>
    <ds:schemaRef ds:uri="cccaf3ac-2de9-44d4-aa31-54302fceb5f7"/>
    <ds:schemaRef ds:uri="b70b28f2-98b2-4b9e-8119-077a513ef2d6"/>
  </ds:schemaRefs>
</ds:datastoreItem>
</file>

<file path=customXml/itemProps3.xml><?xml version="1.0" encoding="utf-8"?>
<ds:datastoreItem xmlns:ds="http://schemas.openxmlformats.org/officeDocument/2006/customXml" ds:itemID="{F1E83EB0-85BC-442D-B4C1-26DCA4DAF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5030</CharactersWithSpaces>
  <SharedDoc>false</SharedDoc>
  <HLinks>
    <vt:vector size="30" baseType="variant">
      <vt:variant>
        <vt:i4>7471162</vt:i4>
      </vt:variant>
      <vt:variant>
        <vt:i4>12</vt:i4>
      </vt:variant>
      <vt:variant>
        <vt:i4>0</vt:i4>
      </vt:variant>
      <vt:variant>
        <vt:i4>5</vt:i4>
      </vt:variant>
      <vt:variant>
        <vt:lpwstr>https://view.officeapps.live.com/op/view.aspx?src=https%3A%2F%2Fico.org.uk%2Fmedia%2Ffor-organisations%2Fdocuments%2F2172937%2Fgdpr-documentation-controller-template.xlsx&amp;wdOrigin=BROWSELINK</vt:lpwstr>
      </vt:variant>
      <vt:variant>
        <vt:lpwstr/>
      </vt:variant>
      <vt:variant>
        <vt:i4>7012449</vt:i4>
      </vt:variant>
      <vt:variant>
        <vt:i4>9</vt:i4>
      </vt:variant>
      <vt:variant>
        <vt:i4>0</vt:i4>
      </vt:variant>
      <vt:variant>
        <vt:i4>5</vt:i4>
      </vt:variant>
      <vt:variant>
        <vt:lpwstr>https://ico.org.uk/for-organisations/sme-web-hub/make-your-own-privacy-notice/</vt:lpwstr>
      </vt:variant>
      <vt:variant>
        <vt:lpwstr/>
      </vt:variant>
      <vt:variant>
        <vt:i4>655434</vt:i4>
      </vt:variant>
      <vt:variant>
        <vt:i4>6</vt:i4>
      </vt:variant>
      <vt:variant>
        <vt:i4>0</vt:i4>
      </vt:variant>
      <vt:variant>
        <vt:i4>5</vt:i4>
      </vt:variant>
      <vt:variant>
        <vt:lpwstr>https://ico.org.uk/for-organisations/uk-gdpr-guidance-and-resources/data-sharing/data-sharing-a-code-of-practice/data-sharing-agreements/</vt:lpwstr>
      </vt:variant>
      <vt:variant>
        <vt:lpwstr/>
      </vt:variant>
      <vt:variant>
        <vt:i4>5111816</vt:i4>
      </vt:variant>
      <vt:variant>
        <vt:i4>3</vt:i4>
      </vt:variant>
      <vt:variant>
        <vt:i4>0</vt:i4>
      </vt:variant>
      <vt:variant>
        <vt:i4>5</vt:i4>
      </vt:variant>
      <vt:variant>
        <vt:lpwstr>https://transform.england.nhs.uk/information-governance/guidance/data-sharing-agreement-template/</vt:lpwstr>
      </vt:variant>
      <vt:variant>
        <vt:lpwstr/>
      </vt:variant>
      <vt:variant>
        <vt:i4>7471128</vt:i4>
      </vt:variant>
      <vt:variant>
        <vt:i4>0</vt:i4>
      </vt:variant>
      <vt:variant>
        <vt:i4>0</vt:i4>
      </vt:variant>
      <vt:variant>
        <vt:i4>5</vt:i4>
      </vt:variant>
      <vt:variant>
        <vt:lpwstr>mailto:england.seprimarycaretransformationteam@nhs.net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Folkestone, Hythe and Rural PCN Hub Pilot 
Information Governance</dc:title>
  <dc:subject/>
  <dc:creator>AINA, Latifa (CANTERBURY MEDICAL PRACTICE)</dc:creator>
  <cp:keywords/>
  <dc:description/>
  <cp:lastModifiedBy>Adriana Jimenez</cp:lastModifiedBy>
  <cp:revision>3</cp:revision>
  <dcterms:created xsi:type="dcterms:W3CDTF">2023-07-28T14:59:00Z</dcterms:created>
  <dcterms:modified xsi:type="dcterms:W3CDTF">2023-07-28T14:59:00Z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0x0101003E105B3F7B970041B3C723C2A71C3BFD</vt:lpwstr>
  </property>
  <property fmtid="{D5CDD505-2E9C-101B-9397-08002B2CF9AE}" pid="3" name="MediaServiceImageTags">
    <vt:lpwstr/>
  </property>
</Properties>
</file>