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B0BE" w14:textId="203114DB" w:rsidR="008326A1" w:rsidRPr="00B51EE2" w:rsidRDefault="00B51EE2" w:rsidP="00E85962">
      <w:pPr>
        <w:rPr>
          <w:rFonts w:ascii="Arial" w:hAnsi="Arial" w:cs="Arial"/>
          <w:color w:val="1F497D" w:themeColor="text2"/>
          <w:sz w:val="40"/>
          <w:szCs w:val="40"/>
        </w:rPr>
      </w:pPr>
      <w:proofErr w:type="gramStart"/>
      <w:r w:rsidRPr="00B51EE2">
        <w:rPr>
          <w:rFonts w:ascii="Arial" w:hAnsi="Arial" w:cs="Arial"/>
          <w:color w:val="1F497D" w:themeColor="text2"/>
          <w:sz w:val="40"/>
          <w:szCs w:val="40"/>
        </w:rPr>
        <w:t>South West</w:t>
      </w:r>
      <w:proofErr w:type="gramEnd"/>
      <w:r w:rsidRPr="00B51EE2">
        <w:rPr>
          <w:rFonts w:ascii="Arial" w:hAnsi="Arial" w:cs="Arial"/>
          <w:color w:val="1F497D" w:themeColor="text2"/>
          <w:sz w:val="40"/>
          <w:szCs w:val="40"/>
        </w:rPr>
        <w:t xml:space="preserve"> Regional Serious Violence and Contextualised Safeguarding Information Governance Framework (</w:t>
      </w:r>
      <w:r w:rsidR="00473054">
        <w:rPr>
          <w:rFonts w:ascii="Arial" w:hAnsi="Arial" w:cs="Arial"/>
          <w:color w:val="1F497D" w:themeColor="text2"/>
          <w:sz w:val="40"/>
          <w:szCs w:val="40"/>
        </w:rPr>
        <w:t xml:space="preserve">FINAL </w:t>
      </w:r>
      <w:r w:rsidRPr="00B51EE2">
        <w:rPr>
          <w:rFonts w:ascii="Arial" w:hAnsi="Arial" w:cs="Arial"/>
          <w:color w:val="1F497D" w:themeColor="text2"/>
          <w:sz w:val="40"/>
          <w:szCs w:val="40"/>
        </w:rPr>
        <w:t>v</w:t>
      </w:r>
      <w:r w:rsidR="00473054">
        <w:rPr>
          <w:rFonts w:ascii="Arial" w:hAnsi="Arial" w:cs="Arial"/>
          <w:color w:val="1F497D" w:themeColor="text2"/>
          <w:sz w:val="40"/>
          <w:szCs w:val="40"/>
        </w:rPr>
        <w:t>1</w:t>
      </w:r>
      <w:r w:rsidRPr="00B51EE2">
        <w:rPr>
          <w:rFonts w:ascii="Arial" w:hAnsi="Arial" w:cs="Arial"/>
          <w:color w:val="1F497D" w:themeColor="text2"/>
          <w:sz w:val="40"/>
          <w:szCs w:val="40"/>
        </w:rPr>
        <w:t>.</w:t>
      </w:r>
      <w:r w:rsidR="00473054">
        <w:rPr>
          <w:rFonts w:ascii="Arial" w:hAnsi="Arial" w:cs="Arial"/>
          <w:color w:val="1F497D" w:themeColor="text2"/>
          <w:sz w:val="40"/>
          <w:szCs w:val="40"/>
        </w:rPr>
        <w:t>0</w:t>
      </w:r>
      <w:r w:rsidRPr="00B51EE2">
        <w:rPr>
          <w:rFonts w:ascii="Arial" w:hAnsi="Arial" w:cs="Arial"/>
          <w:color w:val="1F497D" w:themeColor="text2"/>
          <w:sz w:val="40"/>
          <w:szCs w:val="40"/>
        </w:rPr>
        <w:t>)</w:t>
      </w:r>
    </w:p>
    <w:p w14:paraId="7C455CDC" w14:textId="77777777" w:rsidR="008326A1" w:rsidRDefault="008326A1" w:rsidP="00222DBE">
      <w:pPr>
        <w:jc w:val="both"/>
        <w:rPr>
          <w:rFonts w:ascii="Arial" w:hAnsi="Arial" w:cs="Arial"/>
          <w:sz w:val="40"/>
          <w:szCs w:val="40"/>
        </w:rPr>
      </w:pPr>
    </w:p>
    <w:p w14:paraId="0C085D3C" w14:textId="77777777" w:rsidR="008326A1" w:rsidRDefault="008326A1" w:rsidP="00222DBE">
      <w:pPr>
        <w:jc w:val="both"/>
        <w:rPr>
          <w:rFonts w:ascii="Arial" w:hAnsi="Arial" w:cs="Arial"/>
          <w:sz w:val="40"/>
          <w:szCs w:val="40"/>
        </w:rPr>
      </w:pPr>
    </w:p>
    <w:p w14:paraId="37ED7D45" w14:textId="77777777" w:rsidR="008326A1" w:rsidRDefault="008326A1" w:rsidP="00222DBE">
      <w:pPr>
        <w:jc w:val="both"/>
        <w:rPr>
          <w:rFonts w:ascii="Arial" w:hAnsi="Arial" w:cs="Arial"/>
          <w:sz w:val="40"/>
          <w:szCs w:val="40"/>
        </w:rPr>
      </w:pPr>
    </w:p>
    <w:p w14:paraId="2CEB9BEE" w14:textId="77777777" w:rsidR="008326A1" w:rsidRDefault="008326A1" w:rsidP="00222DBE">
      <w:pPr>
        <w:jc w:val="both"/>
        <w:rPr>
          <w:rFonts w:ascii="Arial" w:hAnsi="Arial" w:cs="Arial"/>
          <w:sz w:val="40"/>
          <w:szCs w:val="40"/>
        </w:rPr>
      </w:pPr>
    </w:p>
    <w:p w14:paraId="65C9C776" w14:textId="77777777" w:rsidR="008326A1" w:rsidRDefault="008326A1" w:rsidP="00222DBE">
      <w:pPr>
        <w:jc w:val="both"/>
        <w:rPr>
          <w:rFonts w:ascii="Arial" w:hAnsi="Arial" w:cs="Arial"/>
          <w:sz w:val="40"/>
          <w:szCs w:val="40"/>
        </w:rPr>
      </w:pPr>
    </w:p>
    <w:p w14:paraId="08F5D715" w14:textId="77777777" w:rsidR="008326A1" w:rsidRDefault="008326A1" w:rsidP="00222DBE">
      <w:pPr>
        <w:jc w:val="both"/>
        <w:rPr>
          <w:rFonts w:ascii="Arial" w:hAnsi="Arial" w:cs="Arial"/>
          <w:sz w:val="40"/>
          <w:szCs w:val="40"/>
        </w:rPr>
      </w:pPr>
    </w:p>
    <w:p w14:paraId="5A48F29B" w14:textId="77777777" w:rsidR="00137AE0" w:rsidRPr="008326A1" w:rsidRDefault="00137AE0" w:rsidP="00222DBE">
      <w:pPr>
        <w:jc w:val="both"/>
        <w:rPr>
          <w:rFonts w:ascii="Arial" w:hAnsi="Arial" w:cs="Arial"/>
          <w:sz w:val="40"/>
          <w:szCs w:val="40"/>
        </w:rPr>
      </w:pPr>
      <w:r w:rsidRPr="008326A1">
        <w:rPr>
          <w:rFonts w:ascii="Arial" w:hAnsi="Arial" w:cs="Arial"/>
          <w:sz w:val="40"/>
          <w:szCs w:val="40"/>
        </w:rPr>
        <w:br w:type="page"/>
      </w:r>
    </w:p>
    <w:sdt>
      <w:sdtPr>
        <w:rPr>
          <w:rFonts w:asciiTheme="minorHAnsi" w:eastAsiaTheme="minorHAnsi" w:hAnsiTheme="minorHAnsi" w:cstheme="minorBidi"/>
          <w:color w:val="auto"/>
          <w:sz w:val="22"/>
          <w:szCs w:val="22"/>
        </w:rPr>
        <w:id w:val="1461152306"/>
        <w:docPartObj>
          <w:docPartGallery w:val="Table of Contents"/>
          <w:docPartUnique/>
        </w:docPartObj>
      </w:sdtPr>
      <w:sdtEndPr>
        <w:rPr>
          <w:b/>
          <w:bCs/>
          <w:noProof/>
        </w:rPr>
      </w:sdtEndPr>
      <w:sdtContent>
        <w:p w14:paraId="3B900411" w14:textId="77777777" w:rsidR="00137AE0" w:rsidRDefault="00137AE0" w:rsidP="00222DBE">
          <w:pPr>
            <w:pStyle w:val="TOCHeading"/>
            <w:jc w:val="both"/>
          </w:pPr>
          <w:r>
            <w:t>Contents</w:t>
          </w:r>
        </w:p>
        <w:p w14:paraId="5D782AFA" w14:textId="2EBD495A" w:rsidR="005E401E" w:rsidRDefault="00137AE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8401629" w:history="1">
            <w:r w:rsidR="005E401E" w:rsidRPr="00E1079A">
              <w:rPr>
                <w:rStyle w:val="Hyperlink"/>
                <w:rFonts w:ascii="Arial" w:hAnsi="Arial" w:cs="Arial"/>
                <w:noProof/>
              </w:rPr>
              <w:t>1.</w:t>
            </w:r>
            <w:r w:rsidR="005E401E">
              <w:rPr>
                <w:rFonts w:eastAsiaTheme="minorEastAsia"/>
                <w:noProof/>
                <w:lang w:eastAsia="en-GB"/>
              </w:rPr>
              <w:tab/>
            </w:r>
            <w:r w:rsidR="005E401E" w:rsidRPr="00E1079A">
              <w:rPr>
                <w:rStyle w:val="Hyperlink"/>
                <w:rFonts w:ascii="Arial" w:hAnsi="Arial" w:cs="Arial"/>
                <w:noProof/>
              </w:rPr>
              <w:t>Introduction and context</w:t>
            </w:r>
            <w:r w:rsidR="005E401E">
              <w:rPr>
                <w:noProof/>
                <w:webHidden/>
              </w:rPr>
              <w:tab/>
            </w:r>
            <w:r w:rsidR="005E401E">
              <w:rPr>
                <w:noProof/>
                <w:webHidden/>
              </w:rPr>
              <w:fldChar w:fldCharType="begin"/>
            </w:r>
            <w:r w:rsidR="005E401E">
              <w:rPr>
                <w:noProof/>
                <w:webHidden/>
              </w:rPr>
              <w:instrText xml:space="preserve"> PAGEREF _Toc78401629 \h </w:instrText>
            </w:r>
            <w:r w:rsidR="005E401E">
              <w:rPr>
                <w:noProof/>
                <w:webHidden/>
              </w:rPr>
            </w:r>
            <w:r w:rsidR="005E401E">
              <w:rPr>
                <w:noProof/>
                <w:webHidden/>
              </w:rPr>
              <w:fldChar w:fldCharType="separate"/>
            </w:r>
            <w:r w:rsidR="005E401E">
              <w:rPr>
                <w:noProof/>
                <w:webHidden/>
              </w:rPr>
              <w:t>3</w:t>
            </w:r>
            <w:r w:rsidR="005E401E">
              <w:rPr>
                <w:noProof/>
                <w:webHidden/>
              </w:rPr>
              <w:fldChar w:fldCharType="end"/>
            </w:r>
          </w:hyperlink>
        </w:p>
        <w:p w14:paraId="6615A8FC" w14:textId="69657374" w:rsidR="005E401E" w:rsidRDefault="005E401E">
          <w:pPr>
            <w:pStyle w:val="TOC1"/>
            <w:tabs>
              <w:tab w:val="left" w:pos="440"/>
              <w:tab w:val="right" w:leader="dot" w:pos="9016"/>
            </w:tabs>
            <w:rPr>
              <w:rFonts w:eastAsiaTheme="minorEastAsia"/>
              <w:noProof/>
              <w:lang w:eastAsia="en-GB"/>
            </w:rPr>
          </w:pPr>
          <w:hyperlink w:anchor="_Toc78401630" w:history="1">
            <w:r w:rsidRPr="00E1079A">
              <w:rPr>
                <w:rStyle w:val="Hyperlink"/>
                <w:rFonts w:ascii="Arial" w:hAnsi="Arial" w:cs="Arial"/>
                <w:bCs/>
                <w:noProof/>
              </w:rPr>
              <w:t>2.</w:t>
            </w:r>
            <w:r>
              <w:rPr>
                <w:rFonts w:eastAsiaTheme="minorEastAsia"/>
                <w:noProof/>
                <w:lang w:eastAsia="en-GB"/>
              </w:rPr>
              <w:tab/>
            </w:r>
            <w:r w:rsidRPr="00E1079A">
              <w:rPr>
                <w:rStyle w:val="Hyperlink"/>
                <w:rFonts w:ascii="Arial" w:hAnsi="Arial" w:cs="Arial"/>
                <w:noProof/>
              </w:rPr>
              <w:t>Aims of the framework</w:t>
            </w:r>
            <w:r>
              <w:rPr>
                <w:noProof/>
                <w:webHidden/>
              </w:rPr>
              <w:tab/>
            </w:r>
            <w:r>
              <w:rPr>
                <w:noProof/>
                <w:webHidden/>
              </w:rPr>
              <w:fldChar w:fldCharType="begin"/>
            </w:r>
            <w:r>
              <w:rPr>
                <w:noProof/>
                <w:webHidden/>
              </w:rPr>
              <w:instrText xml:space="preserve"> PAGEREF _Toc78401630 \h </w:instrText>
            </w:r>
            <w:r>
              <w:rPr>
                <w:noProof/>
                <w:webHidden/>
              </w:rPr>
            </w:r>
            <w:r>
              <w:rPr>
                <w:noProof/>
                <w:webHidden/>
              </w:rPr>
              <w:fldChar w:fldCharType="separate"/>
            </w:r>
            <w:r>
              <w:rPr>
                <w:noProof/>
                <w:webHidden/>
              </w:rPr>
              <w:t>5</w:t>
            </w:r>
            <w:r>
              <w:rPr>
                <w:noProof/>
                <w:webHidden/>
              </w:rPr>
              <w:fldChar w:fldCharType="end"/>
            </w:r>
          </w:hyperlink>
        </w:p>
        <w:p w14:paraId="6800C886" w14:textId="44D0F822" w:rsidR="005E401E" w:rsidRDefault="005E401E">
          <w:pPr>
            <w:pStyle w:val="TOC1"/>
            <w:tabs>
              <w:tab w:val="left" w:pos="440"/>
              <w:tab w:val="right" w:leader="dot" w:pos="9016"/>
            </w:tabs>
            <w:rPr>
              <w:rFonts w:eastAsiaTheme="minorEastAsia"/>
              <w:noProof/>
              <w:lang w:eastAsia="en-GB"/>
            </w:rPr>
          </w:pPr>
          <w:hyperlink w:anchor="_Toc78401631" w:history="1">
            <w:r w:rsidRPr="00E1079A">
              <w:rPr>
                <w:rStyle w:val="Hyperlink"/>
                <w:rFonts w:ascii="Arial" w:eastAsia="Times New Roman" w:hAnsi="Arial" w:cs="Arial"/>
                <w:noProof/>
                <w:lang w:eastAsia="en-GB"/>
              </w:rPr>
              <w:t>3.</w:t>
            </w:r>
            <w:r>
              <w:rPr>
                <w:rFonts w:eastAsiaTheme="minorEastAsia"/>
                <w:noProof/>
                <w:lang w:eastAsia="en-GB"/>
              </w:rPr>
              <w:tab/>
            </w:r>
            <w:r w:rsidRPr="00E1079A">
              <w:rPr>
                <w:rStyle w:val="Hyperlink"/>
                <w:rFonts w:ascii="Arial" w:eastAsia="Times New Roman" w:hAnsi="Arial" w:cs="Arial"/>
                <w:noProof/>
                <w:lang w:eastAsia="en-GB"/>
              </w:rPr>
              <w:t>How the framework will work in practice:</w:t>
            </w:r>
            <w:r>
              <w:rPr>
                <w:noProof/>
                <w:webHidden/>
              </w:rPr>
              <w:tab/>
            </w:r>
            <w:r>
              <w:rPr>
                <w:noProof/>
                <w:webHidden/>
              </w:rPr>
              <w:fldChar w:fldCharType="begin"/>
            </w:r>
            <w:r>
              <w:rPr>
                <w:noProof/>
                <w:webHidden/>
              </w:rPr>
              <w:instrText xml:space="preserve"> PAGEREF _Toc78401631 \h </w:instrText>
            </w:r>
            <w:r>
              <w:rPr>
                <w:noProof/>
                <w:webHidden/>
              </w:rPr>
            </w:r>
            <w:r>
              <w:rPr>
                <w:noProof/>
                <w:webHidden/>
              </w:rPr>
              <w:fldChar w:fldCharType="separate"/>
            </w:r>
            <w:r>
              <w:rPr>
                <w:noProof/>
                <w:webHidden/>
              </w:rPr>
              <w:t>5</w:t>
            </w:r>
            <w:r>
              <w:rPr>
                <w:noProof/>
                <w:webHidden/>
              </w:rPr>
              <w:fldChar w:fldCharType="end"/>
            </w:r>
          </w:hyperlink>
        </w:p>
        <w:p w14:paraId="0119BBFD" w14:textId="134380DD" w:rsidR="005E401E" w:rsidRDefault="005E401E">
          <w:pPr>
            <w:pStyle w:val="TOC1"/>
            <w:tabs>
              <w:tab w:val="left" w:pos="440"/>
              <w:tab w:val="right" w:leader="dot" w:pos="9016"/>
            </w:tabs>
            <w:rPr>
              <w:rFonts w:eastAsiaTheme="minorEastAsia"/>
              <w:noProof/>
              <w:lang w:eastAsia="en-GB"/>
            </w:rPr>
          </w:pPr>
          <w:hyperlink w:anchor="_Toc78401632" w:history="1">
            <w:r w:rsidRPr="00E1079A">
              <w:rPr>
                <w:rStyle w:val="Hyperlink"/>
                <w:rFonts w:ascii="Arial" w:hAnsi="Arial" w:cs="Arial"/>
                <w:noProof/>
              </w:rPr>
              <w:t>4.</w:t>
            </w:r>
            <w:r>
              <w:rPr>
                <w:rFonts w:eastAsiaTheme="minorEastAsia"/>
                <w:noProof/>
                <w:lang w:eastAsia="en-GB"/>
              </w:rPr>
              <w:tab/>
            </w:r>
            <w:r w:rsidRPr="00E1079A">
              <w:rPr>
                <w:rStyle w:val="Hyperlink"/>
                <w:rFonts w:ascii="Arial" w:hAnsi="Arial" w:cs="Arial"/>
                <w:noProof/>
              </w:rPr>
              <w:t>Principles for sharing data</w:t>
            </w:r>
            <w:r>
              <w:rPr>
                <w:noProof/>
                <w:webHidden/>
              </w:rPr>
              <w:tab/>
            </w:r>
            <w:r>
              <w:rPr>
                <w:noProof/>
                <w:webHidden/>
              </w:rPr>
              <w:fldChar w:fldCharType="begin"/>
            </w:r>
            <w:r>
              <w:rPr>
                <w:noProof/>
                <w:webHidden/>
              </w:rPr>
              <w:instrText xml:space="preserve"> PAGEREF _Toc78401632 \h </w:instrText>
            </w:r>
            <w:r>
              <w:rPr>
                <w:noProof/>
                <w:webHidden/>
              </w:rPr>
            </w:r>
            <w:r>
              <w:rPr>
                <w:noProof/>
                <w:webHidden/>
              </w:rPr>
              <w:fldChar w:fldCharType="separate"/>
            </w:r>
            <w:r>
              <w:rPr>
                <w:noProof/>
                <w:webHidden/>
              </w:rPr>
              <w:t>6</w:t>
            </w:r>
            <w:r>
              <w:rPr>
                <w:noProof/>
                <w:webHidden/>
              </w:rPr>
              <w:fldChar w:fldCharType="end"/>
            </w:r>
          </w:hyperlink>
        </w:p>
        <w:p w14:paraId="534D7D53" w14:textId="411E0D31" w:rsidR="005E401E" w:rsidRDefault="005E401E">
          <w:pPr>
            <w:pStyle w:val="TOC2"/>
            <w:rPr>
              <w:rFonts w:eastAsiaTheme="minorEastAsia"/>
              <w:noProof/>
              <w:lang w:eastAsia="en-GB"/>
            </w:rPr>
          </w:pPr>
          <w:hyperlink w:anchor="_Toc78401633" w:history="1">
            <w:r w:rsidRPr="00E1079A">
              <w:rPr>
                <w:rStyle w:val="Hyperlink"/>
                <w:rFonts w:ascii="Arial" w:hAnsi="Arial" w:cs="Arial"/>
                <w:noProof/>
              </w:rPr>
              <w:t>5.</w:t>
            </w:r>
            <w:r>
              <w:rPr>
                <w:rFonts w:eastAsiaTheme="minorEastAsia"/>
                <w:noProof/>
                <w:lang w:eastAsia="en-GB"/>
              </w:rPr>
              <w:tab/>
            </w:r>
            <w:r w:rsidRPr="00E1079A">
              <w:rPr>
                <w:rStyle w:val="Hyperlink"/>
                <w:rFonts w:ascii="Arial" w:hAnsi="Arial" w:cs="Arial"/>
                <w:noProof/>
              </w:rPr>
              <w:t>Principles for safeguarding:</w:t>
            </w:r>
            <w:r>
              <w:rPr>
                <w:noProof/>
                <w:webHidden/>
              </w:rPr>
              <w:tab/>
            </w:r>
            <w:r>
              <w:rPr>
                <w:noProof/>
                <w:webHidden/>
              </w:rPr>
              <w:fldChar w:fldCharType="begin"/>
            </w:r>
            <w:r>
              <w:rPr>
                <w:noProof/>
                <w:webHidden/>
              </w:rPr>
              <w:instrText xml:space="preserve"> PAGEREF _Toc78401633 \h </w:instrText>
            </w:r>
            <w:r>
              <w:rPr>
                <w:noProof/>
                <w:webHidden/>
              </w:rPr>
            </w:r>
            <w:r>
              <w:rPr>
                <w:noProof/>
                <w:webHidden/>
              </w:rPr>
              <w:fldChar w:fldCharType="separate"/>
            </w:r>
            <w:r>
              <w:rPr>
                <w:noProof/>
                <w:webHidden/>
              </w:rPr>
              <w:t>7</w:t>
            </w:r>
            <w:r>
              <w:rPr>
                <w:noProof/>
                <w:webHidden/>
              </w:rPr>
              <w:fldChar w:fldCharType="end"/>
            </w:r>
          </w:hyperlink>
        </w:p>
        <w:p w14:paraId="5ECDBDA1" w14:textId="1F716575" w:rsidR="005E401E" w:rsidRDefault="005E401E">
          <w:pPr>
            <w:pStyle w:val="TOC1"/>
            <w:tabs>
              <w:tab w:val="left" w:pos="440"/>
              <w:tab w:val="right" w:leader="dot" w:pos="9016"/>
            </w:tabs>
            <w:rPr>
              <w:rFonts w:eastAsiaTheme="minorEastAsia"/>
              <w:noProof/>
              <w:lang w:eastAsia="en-GB"/>
            </w:rPr>
          </w:pPr>
          <w:hyperlink w:anchor="_Toc78401634" w:history="1">
            <w:r w:rsidRPr="00E1079A">
              <w:rPr>
                <w:rStyle w:val="Hyperlink"/>
                <w:rFonts w:ascii="Arial" w:hAnsi="Arial" w:cs="Arial"/>
                <w:noProof/>
              </w:rPr>
              <w:t>6.</w:t>
            </w:r>
            <w:r>
              <w:rPr>
                <w:rFonts w:eastAsiaTheme="minorEastAsia"/>
                <w:noProof/>
                <w:lang w:eastAsia="en-GB"/>
              </w:rPr>
              <w:tab/>
            </w:r>
            <w:r w:rsidRPr="00E1079A">
              <w:rPr>
                <w:rStyle w:val="Hyperlink"/>
                <w:rFonts w:ascii="Arial" w:hAnsi="Arial" w:cs="Arial"/>
                <w:noProof/>
              </w:rPr>
              <w:t>Principles for purposes other than safeguarding:</w:t>
            </w:r>
            <w:r>
              <w:rPr>
                <w:noProof/>
                <w:webHidden/>
              </w:rPr>
              <w:tab/>
            </w:r>
            <w:r>
              <w:rPr>
                <w:noProof/>
                <w:webHidden/>
              </w:rPr>
              <w:fldChar w:fldCharType="begin"/>
            </w:r>
            <w:r>
              <w:rPr>
                <w:noProof/>
                <w:webHidden/>
              </w:rPr>
              <w:instrText xml:space="preserve"> PAGEREF _Toc78401634 \h </w:instrText>
            </w:r>
            <w:r>
              <w:rPr>
                <w:noProof/>
                <w:webHidden/>
              </w:rPr>
            </w:r>
            <w:r>
              <w:rPr>
                <w:noProof/>
                <w:webHidden/>
              </w:rPr>
              <w:fldChar w:fldCharType="separate"/>
            </w:r>
            <w:r>
              <w:rPr>
                <w:noProof/>
                <w:webHidden/>
              </w:rPr>
              <w:t>8</w:t>
            </w:r>
            <w:r>
              <w:rPr>
                <w:noProof/>
                <w:webHidden/>
              </w:rPr>
              <w:fldChar w:fldCharType="end"/>
            </w:r>
          </w:hyperlink>
        </w:p>
        <w:p w14:paraId="15F0C50C" w14:textId="785E1ED7" w:rsidR="005E401E" w:rsidRDefault="005E401E">
          <w:pPr>
            <w:pStyle w:val="TOC1"/>
            <w:tabs>
              <w:tab w:val="left" w:pos="440"/>
              <w:tab w:val="right" w:leader="dot" w:pos="9016"/>
            </w:tabs>
            <w:rPr>
              <w:rFonts w:eastAsiaTheme="minorEastAsia"/>
              <w:noProof/>
              <w:lang w:eastAsia="en-GB"/>
            </w:rPr>
          </w:pPr>
          <w:hyperlink w:anchor="_Toc78401635" w:history="1">
            <w:r w:rsidRPr="00E1079A">
              <w:rPr>
                <w:rStyle w:val="Hyperlink"/>
                <w:rFonts w:ascii="Arial" w:eastAsia="Times New Roman" w:hAnsi="Arial" w:cs="Arial"/>
                <w:noProof/>
                <w:lang w:eastAsia="en-GB"/>
              </w:rPr>
              <w:t>7.</w:t>
            </w:r>
            <w:r>
              <w:rPr>
                <w:rFonts w:eastAsiaTheme="minorEastAsia"/>
                <w:noProof/>
                <w:lang w:eastAsia="en-GB"/>
              </w:rPr>
              <w:tab/>
            </w:r>
            <w:r w:rsidRPr="00E1079A">
              <w:rPr>
                <w:rStyle w:val="Hyperlink"/>
                <w:rFonts w:ascii="Arial" w:eastAsia="Times New Roman" w:hAnsi="Arial" w:cs="Arial"/>
                <w:noProof/>
                <w:lang w:eastAsia="en-GB"/>
              </w:rPr>
              <w:t>Process for establishing initiative specific data sharing arrangements</w:t>
            </w:r>
            <w:r>
              <w:rPr>
                <w:noProof/>
                <w:webHidden/>
              </w:rPr>
              <w:tab/>
            </w:r>
            <w:r>
              <w:rPr>
                <w:noProof/>
                <w:webHidden/>
              </w:rPr>
              <w:fldChar w:fldCharType="begin"/>
            </w:r>
            <w:r>
              <w:rPr>
                <w:noProof/>
                <w:webHidden/>
              </w:rPr>
              <w:instrText xml:space="preserve"> PAGEREF _Toc78401635 \h </w:instrText>
            </w:r>
            <w:r>
              <w:rPr>
                <w:noProof/>
                <w:webHidden/>
              </w:rPr>
            </w:r>
            <w:r>
              <w:rPr>
                <w:noProof/>
                <w:webHidden/>
              </w:rPr>
              <w:fldChar w:fldCharType="separate"/>
            </w:r>
            <w:r>
              <w:rPr>
                <w:noProof/>
                <w:webHidden/>
              </w:rPr>
              <w:t>10</w:t>
            </w:r>
            <w:r>
              <w:rPr>
                <w:noProof/>
                <w:webHidden/>
              </w:rPr>
              <w:fldChar w:fldCharType="end"/>
            </w:r>
          </w:hyperlink>
        </w:p>
        <w:p w14:paraId="50C424FD" w14:textId="0B87086E" w:rsidR="005E401E" w:rsidRDefault="005E401E">
          <w:pPr>
            <w:pStyle w:val="TOC1"/>
            <w:tabs>
              <w:tab w:val="left" w:pos="440"/>
              <w:tab w:val="right" w:leader="dot" w:pos="9016"/>
            </w:tabs>
            <w:rPr>
              <w:rFonts w:eastAsiaTheme="minorEastAsia"/>
              <w:noProof/>
              <w:lang w:eastAsia="en-GB"/>
            </w:rPr>
          </w:pPr>
          <w:hyperlink w:anchor="_Toc78401636" w:history="1">
            <w:r w:rsidRPr="00E1079A">
              <w:rPr>
                <w:rStyle w:val="Hyperlink"/>
                <w:rFonts w:ascii="Arial" w:hAnsi="Arial" w:cs="Arial"/>
                <w:noProof/>
              </w:rPr>
              <w:t>8.</w:t>
            </w:r>
            <w:r>
              <w:rPr>
                <w:rFonts w:eastAsiaTheme="minorEastAsia"/>
                <w:noProof/>
                <w:lang w:eastAsia="en-GB"/>
              </w:rPr>
              <w:tab/>
            </w:r>
            <w:r w:rsidRPr="00E1079A">
              <w:rPr>
                <w:rStyle w:val="Hyperlink"/>
                <w:rFonts w:ascii="Arial" w:hAnsi="Arial" w:cs="Arial"/>
                <w:noProof/>
              </w:rPr>
              <w:t>Organisational commitments</w:t>
            </w:r>
            <w:r>
              <w:rPr>
                <w:noProof/>
                <w:webHidden/>
              </w:rPr>
              <w:tab/>
            </w:r>
            <w:r>
              <w:rPr>
                <w:noProof/>
                <w:webHidden/>
              </w:rPr>
              <w:fldChar w:fldCharType="begin"/>
            </w:r>
            <w:r>
              <w:rPr>
                <w:noProof/>
                <w:webHidden/>
              </w:rPr>
              <w:instrText xml:space="preserve"> PAGEREF _Toc78401636 \h </w:instrText>
            </w:r>
            <w:r>
              <w:rPr>
                <w:noProof/>
                <w:webHidden/>
              </w:rPr>
            </w:r>
            <w:r>
              <w:rPr>
                <w:noProof/>
                <w:webHidden/>
              </w:rPr>
              <w:fldChar w:fldCharType="separate"/>
            </w:r>
            <w:r>
              <w:rPr>
                <w:noProof/>
                <w:webHidden/>
              </w:rPr>
              <w:t>12</w:t>
            </w:r>
            <w:r>
              <w:rPr>
                <w:noProof/>
                <w:webHidden/>
              </w:rPr>
              <w:fldChar w:fldCharType="end"/>
            </w:r>
          </w:hyperlink>
        </w:p>
        <w:p w14:paraId="0FCBF0A1" w14:textId="5CA06CB9" w:rsidR="005E401E" w:rsidRDefault="005E401E">
          <w:pPr>
            <w:pStyle w:val="TOC1"/>
            <w:tabs>
              <w:tab w:val="left" w:pos="440"/>
              <w:tab w:val="right" w:leader="dot" w:pos="9016"/>
            </w:tabs>
            <w:rPr>
              <w:rFonts w:eastAsiaTheme="minorEastAsia"/>
              <w:noProof/>
              <w:lang w:eastAsia="en-GB"/>
            </w:rPr>
          </w:pPr>
          <w:hyperlink w:anchor="_Toc78401637" w:history="1">
            <w:r w:rsidRPr="00E1079A">
              <w:rPr>
                <w:rStyle w:val="Hyperlink"/>
                <w:rFonts w:ascii="Arial" w:hAnsi="Arial" w:cs="Arial"/>
                <w:noProof/>
              </w:rPr>
              <w:t>9.</w:t>
            </w:r>
            <w:r>
              <w:rPr>
                <w:rFonts w:eastAsiaTheme="minorEastAsia"/>
                <w:noProof/>
                <w:lang w:eastAsia="en-GB"/>
              </w:rPr>
              <w:tab/>
            </w:r>
            <w:r w:rsidRPr="00E1079A">
              <w:rPr>
                <w:rStyle w:val="Hyperlink"/>
                <w:rFonts w:ascii="Arial" w:hAnsi="Arial" w:cs="Arial"/>
                <w:noProof/>
              </w:rPr>
              <w:t>Sharing partner assurances</w:t>
            </w:r>
            <w:r>
              <w:rPr>
                <w:noProof/>
                <w:webHidden/>
              </w:rPr>
              <w:tab/>
            </w:r>
            <w:r>
              <w:rPr>
                <w:noProof/>
                <w:webHidden/>
              </w:rPr>
              <w:fldChar w:fldCharType="begin"/>
            </w:r>
            <w:r>
              <w:rPr>
                <w:noProof/>
                <w:webHidden/>
              </w:rPr>
              <w:instrText xml:space="preserve"> PAGEREF _Toc78401637 \h </w:instrText>
            </w:r>
            <w:r>
              <w:rPr>
                <w:noProof/>
                <w:webHidden/>
              </w:rPr>
            </w:r>
            <w:r>
              <w:rPr>
                <w:noProof/>
                <w:webHidden/>
              </w:rPr>
              <w:fldChar w:fldCharType="separate"/>
            </w:r>
            <w:r>
              <w:rPr>
                <w:noProof/>
                <w:webHidden/>
              </w:rPr>
              <w:t>12</w:t>
            </w:r>
            <w:r>
              <w:rPr>
                <w:noProof/>
                <w:webHidden/>
              </w:rPr>
              <w:fldChar w:fldCharType="end"/>
            </w:r>
          </w:hyperlink>
        </w:p>
        <w:p w14:paraId="1DDB077D" w14:textId="2B763873" w:rsidR="005E401E" w:rsidRDefault="005E401E">
          <w:pPr>
            <w:pStyle w:val="TOC1"/>
            <w:tabs>
              <w:tab w:val="right" w:leader="dot" w:pos="9016"/>
            </w:tabs>
            <w:rPr>
              <w:rFonts w:eastAsiaTheme="minorEastAsia"/>
              <w:noProof/>
              <w:lang w:eastAsia="en-GB"/>
            </w:rPr>
          </w:pPr>
          <w:hyperlink w:anchor="_Toc78401638" w:history="1">
            <w:r w:rsidRPr="00E1079A">
              <w:rPr>
                <w:rStyle w:val="Hyperlink"/>
                <w:rFonts w:ascii="Arial" w:hAnsi="Arial" w:cs="Arial"/>
                <w:noProof/>
              </w:rPr>
              <w:t>Appendix 1.  Tools to support sharing initiatives</w:t>
            </w:r>
            <w:r>
              <w:rPr>
                <w:noProof/>
                <w:webHidden/>
              </w:rPr>
              <w:tab/>
            </w:r>
            <w:r>
              <w:rPr>
                <w:noProof/>
                <w:webHidden/>
              </w:rPr>
              <w:fldChar w:fldCharType="begin"/>
            </w:r>
            <w:r>
              <w:rPr>
                <w:noProof/>
                <w:webHidden/>
              </w:rPr>
              <w:instrText xml:space="preserve"> PAGEREF _Toc78401638 \h </w:instrText>
            </w:r>
            <w:r>
              <w:rPr>
                <w:noProof/>
                <w:webHidden/>
              </w:rPr>
            </w:r>
            <w:r>
              <w:rPr>
                <w:noProof/>
                <w:webHidden/>
              </w:rPr>
              <w:fldChar w:fldCharType="separate"/>
            </w:r>
            <w:r>
              <w:rPr>
                <w:noProof/>
                <w:webHidden/>
              </w:rPr>
              <w:t>13</w:t>
            </w:r>
            <w:r>
              <w:rPr>
                <w:noProof/>
                <w:webHidden/>
              </w:rPr>
              <w:fldChar w:fldCharType="end"/>
            </w:r>
          </w:hyperlink>
        </w:p>
        <w:p w14:paraId="76BB0652" w14:textId="74E39A4F" w:rsidR="005E401E" w:rsidRDefault="005E401E">
          <w:pPr>
            <w:pStyle w:val="TOC1"/>
            <w:tabs>
              <w:tab w:val="right" w:leader="dot" w:pos="9016"/>
            </w:tabs>
            <w:rPr>
              <w:rFonts w:eastAsiaTheme="minorEastAsia"/>
              <w:noProof/>
              <w:lang w:eastAsia="en-GB"/>
            </w:rPr>
          </w:pPr>
          <w:hyperlink w:anchor="_Toc78401639" w:history="1">
            <w:r w:rsidRPr="00E1079A">
              <w:rPr>
                <w:rStyle w:val="Hyperlink"/>
                <w:rFonts w:ascii="Arial" w:hAnsi="Arial" w:cs="Arial"/>
                <w:noProof/>
              </w:rPr>
              <w:t>Appendix 2.  Reference materials: the components of data sharing.</w:t>
            </w:r>
            <w:r>
              <w:rPr>
                <w:noProof/>
                <w:webHidden/>
              </w:rPr>
              <w:tab/>
            </w:r>
            <w:r>
              <w:rPr>
                <w:noProof/>
                <w:webHidden/>
              </w:rPr>
              <w:fldChar w:fldCharType="begin"/>
            </w:r>
            <w:r>
              <w:rPr>
                <w:noProof/>
                <w:webHidden/>
              </w:rPr>
              <w:instrText xml:space="preserve"> PAGEREF _Toc78401639 \h </w:instrText>
            </w:r>
            <w:r>
              <w:rPr>
                <w:noProof/>
                <w:webHidden/>
              </w:rPr>
            </w:r>
            <w:r>
              <w:rPr>
                <w:noProof/>
                <w:webHidden/>
              </w:rPr>
              <w:fldChar w:fldCharType="separate"/>
            </w:r>
            <w:r>
              <w:rPr>
                <w:noProof/>
                <w:webHidden/>
              </w:rPr>
              <w:t>15</w:t>
            </w:r>
            <w:r>
              <w:rPr>
                <w:noProof/>
                <w:webHidden/>
              </w:rPr>
              <w:fldChar w:fldCharType="end"/>
            </w:r>
          </w:hyperlink>
        </w:p>
        <w:p w14:paraId="7FEE75AA" w14:textId="65E15B7B" w:rsidR="005E401E" w:rsidRDefault="005E401E">
          <w:pPr>
            <w:pStyle w:val="TOC1"/>
            <w:tabs>
              <w:tab w:val="right" w:leader="dot" w:pos="9016"/>
            </w:tabs>
            <w:rPr>
              <w:rFonts w:eastAsiaTheme="minorEastAsia"/>
              <w:noProof/>
              <w:lang w:eastAsia="en-GB"/>
            </w:rPr>
          </w:pPr>
          <w:hyperlink w:anchor="_Toc78401640" w:history="1">
            <w:r w:rsidRPr="00E1079A">
              <w:rPr>
                <w:rStyle w:val="Hyperlink"/>
                <w:rFonts w:ascii="Arial" w:hAnsi="Arial" w:cs="Arial"/>
                <w:noProof/>
              </w:rPr>
              <w:t>Appendix 3.  Reference materials: Legal gateways supporting data sharing</w:t>
            </w:r>
            <w:r>
              <w:rPr>
                <w:noProof/>
                <w:webHidden/>
              </w:rPr>
              <w:tab/>
            </w:r>
            <w:r>
              <w:rPr>
                <w:noProof/>
                <w:webHidden/>
              </w:rPr>
              <w:fldChar w:fldCharType="begin"/>
            </w:r>
            <w:r>
              <w:rPr>
                <w:noProof/>
                <w:webHidden/>
              </w:rPr>
              <w:instrText xml:space="preserve"> PAGEREF _Toc78401640 \h </w:instrText>
            </w:r>
            <w:r>
              <w:rPr>
                <w:noProof/>
                <w:webHidden/>
              </w:rPr>
            </w:r>
            <w:r>
              <w:rPr>
                <w:noProof/>
                <w:webHidden/>
              </w:rPr>
              <w:fldChar w:fldCharType="separate"/>
            </w:r>
            <w:r>
              <w:rPr>
                <w:noProof/>
                <w:webHidden/>
              </w:rPr>
              <w:t>18</w:t>
            </w:r>
            <w:r>
              <w:rPr>
                <w:noProof/>
                <w:webHidden/>
              </w:rPr>
              <w:fldChar w:fldCharType="end"/>
            </w:r>
          </w:hyperlink>
        </w:p>
        <w:p w14:paraId="7A2500F3" w14:textId="7C66916B" w:rsidR="005E401E" w:rsidRDefault="005E401E">
          <w:pPr>
            <w:pStyle w:val="TOC1"/>
            <w:tabs>
              <w:tab w:val="right" w:leader="dot" w:pos="9016"/>
            </w:tabs>
            <w:rPr>
              <w:rFonts w:eastAsiaTheme="minorEastAsia"/>
              <w:noProof/>
              <w:lang w:eastAsia="en-GB"/>
            </w:rPr>
          </w:pPr>
          <w:hyperlink w:anchor="_Toc78401641" w:history="1">
            <w:r w:rsidRPr="00E1079A">
              <w:rPr>
                <w:rStyle w:val="Hyperlink"/>
                <w:rFonts w:ascii="Arial" w:hAnsi="Arial" w:cs="Arial"/>
                <w:noProof/>
              </w:rPr>
              <w:t>Appendix 4. Application of UK GDPR Article 6 and 9 processing conditions to uses of data for purposes related to reducing serious violence and safeguarding concerns</w:t>
            </w:r>
            <w:r>
              <w:rPr>
                <w:noProof/>
                <w:webHidden/>
              </w:rPr>
              <w:tab/>
            </w:r>
            <w:r>
              <w:rPr>
                <w:noProof/>
                <w:webHidden/>
              </w:rPr>
              <w:fldChar w:fldCharType="begin"/>
            </w:r>
            <w:r>
              <w:rPr>
                <w:noProof/>
                <w:webHidden/>
              </w:rPr>
              <w:instrText xml:space="preserve"> PAGEREF _Toc78401641 \h </w:instrText>
            </w:r>
            <w:r>
              <w:rPr>
                <w:noProof/>
                <w:webHidden/>
              </w:rPr>
            </w:r>
            <w:r>
              <w:rPr>
                <w:noProof/>
                <w:webHidden/>
              </w:rPr>
              <w:fldChar w:fldCharType="separate"/>
            </w:r>
            <w:r>
              <w:rPr>
                <w:noProof/>
                <w:webHidden/>
              </w:rPr>
              <w:t>26</w:t>
            </w:r>
            <w:r>
              <w:rPr>
                <w:noProof/>
                <w:webHidden/>
              </w:rPr>
              <w:fldChar w:fldCharType="end"/>
            </w:r>
          </w:hyperlink>
        </w:p>
        <w:p w14:paraId="78A276C4" w14:textId="0D66CEB2" w:rsidR="005E401E" w:rsidRDefault="005E401E">
          <w:pPr>
            <w:pStyle w:val="TOC1"/>
            <w:tabs>
              <w:tab w:val="right" w:leader="dot" w:pos="9016"/>
            </w:tabs>
            <w:rPr>
              <w:rFonts w:eastAsiaTheme="minorEastAsia"/>
              <w:noProof/>
              <w:lang w:eastAsia="en-GB"/>
            </w:rPr>
          </w:pPr>
          <w:hyperlink w:anchor="_Toc78401642" w:history="1">
            <w:r w:rsidRPr="00E1079A">
              <w:rPr>
                <w:rStyle w:val="Hyperlink"/>
                <w:rFonts w:ascii="Arial" w:hAnsi="Arial" w:cs="Arial"/>
                <w:noProof/>
              </w:rPr>
              <w:t>Appendix 5. Qualifying Standard (Example)</w:t>
            </w:r>
            <w:r>
              <w:rPr>
                <w:noProof/>
                <w:webHidden/>
              </w:rPr>
              <w:tab/>
            </w:r>
            <w:r>
              <w:rPr>
                <w:noProof/>
                <w:webHidden/>
              </w:rPr>
              <w:fldChar w:fldCharType="begin"/>
            </w:r>
            <w:r>
              <w:rPr>
                <w:noProof/>
                <w:webHidden/>
              </w:rPr>
              <w:instrText xml:space="preserve"> PAGEREF _Toc78401642 \h </w:instrText>
            </w:r>
            <w:r>
              <w:rPr>
                <w:noProof/>
                <w:webHidden/>
              </w:rPr>
            </w:r>
            <w:r>
              <w:rPr>
                <w:noProof/>
                <w:webHidden/>
              </w:rPr>
              <w:fldChar w:fldCharType="separate"/>
            </w:r>
            <w:r>
              <w:rPr>
                <w:noProof/>
                <w:webHidden/>
              </w:rPr>
              <w:t>29</w:t>
            </w:r>
            <w:r>
              <w:rPr>
                <w:noProof/>
                <w:webHidden/>
              </w:rPr>
              <w:fldChar w:fldCharType="end"/>
            </w:r>
          </w:hyperlink>
        </w:p>
        <w:p w14:paraId="0BB32D39" w14:textId="3A2698FD" w:rsidR="005E401E" w:rsidRDefault="005E401E">
          <w:pPr>
            <w:pStyle w:val="TOC1"/>
            <w:tabs>
              <w:tab w:val="right" w:leader="dot" w:pos="9016"/>
            </w:tabs>
            <w:rPr>
              <w:rFonts w:eastAsiaTheme="minorEastAsia"/>
              <w:noProof/>
              <w:lang w:eastAsia="en-GB"/>
            </w:rPr>
          </w:pPr>
          <w:hyperlink w:anchor="_Toc78401643" w:history="1">
            <w:r w:rsidRPr="00E1079A">
              <w:rPr>
                <w:rStyle w:val="Hyperlink"/>
                <w:rFonts w:ascii="Arial" w:hAnsi="Arial" w:cs="Arial"/>
                <w:noProof/>
              </w:rPr>
              <w:t>Appendix 6. Signature of agreement to framework</w:t>
            </w:r>
            <w:r>
              <w:rPr>
                <w:noProof/>
                <w:webHidden/>
              </w:rPr>
              <w:tab/>
            </w:r>
            <w:r>
              <w:rPr>
                <w:noProof/>
                <w:webHidden/>
              </w:rPr>
              <w:fldChar w:fldCharType="begin"/>
            </w:r>
            <w:r>
              <w:rPr>
                <w:noProof/>
                <w:webHidden/>
              </w:rPr>
              <w:instrText xml:space="preserve"> PAGEREF _Toc78401643 \h </w:instrText>
            </w:r>
            <w:r>
              <w:rPr>
                <w:noProof/>
                <w:webHidden/>
              </w:rPr>
            </w:r>
            <w:r>
              <w:rPr>
                <w:noProof/>
                <w:webHidden/>
              </w:rPr>
              <w:fldChar w:fldCharType="separate"/>
            </w:r>
            <w:r>
              <w:rPr>
                <w:noProof/>
                <w:webHidden/>
              </w:rPr>
              <w:t>30</w:t>
            </w:r>
            <w:r>
              <w:rPr>
                <w:noProof/>
                <w:webHidden/>
              </w:rPr>
              <w:fldChar w:fldCharType="end"/>
            </w:r>
          </w:hyperlink>
        </w:p>
        <w:p w14:paraId="3F53244F" w14:textId="73DAAC76" w:rsidR="00137AE0" w:rsidRDefault="00137AE0" w:rsidP="00222DBE">
          <w:pPr>
            <w:jc w:val="both"/>
          </w:pPr>
          <w:r>
            <w:rPr>
              <w:b/>
              <w:bCs/>
              <w:noProof/>
            </w:rPr>
            <w:fldChar w:fldCharType="end"/>
          </w:r>
        </w:p>
      </w:sdtContent>
    </w:sdt>
    <w:p w14:paraId="73A4CA3B" w14:textId="77777777" w:rsidR="00137AE0" w:rsidRDefault="00137AE0" w:rsidP="005E401E">
      <w:pPr>
        <w:jc w:val="center"/>
      </w:pPr>
    </w:p>
    <w:p w14:paraId="13EF29FB" w14:textId="77777777" w:rsidR="00137AE0" w:rsidRDefault="00137AE0" w:rsidP="00222DBE">
      <w:pPr>
        <w:jc w:val="both"/>
      </w:pPr>
    </w:p>
    <w:p w14:paraId="592A2F10" w14:textId="77777777" w:rsidR="00137AE0" w:rsidRDefault="00137AE0" w:rsidP="00222DBE">
      <w:pPr>
        <w:pStyle w:val="Heading1"/>
        <w:jc w:val="both"/>
        <w:rPr>
          <w:rFonts w:ascii="Arial" w:hAnsi="Arial" w:cs="Arial"/>
          <w:sz w:val="28"/>
          <w:szCs w:val="28"/>
        </w:rPr>
      </w:pPr>
    </w:p>
    <w:p w14:paraId="425C7172" w14:textId="77777777" w:rsidR="00DC3BA3" w:rsidRDefault="00DC3BA3" w:rsidP="00222DBE">
      <w:pPr>
        <w:jc w:val="both"/>
      </w:pPr>
    </w:p>
    <w:p w14:paraId="6F790D2F" w14:textId="77777777" w:rsidR="00DC3BA3" w:rsidRPr="00DC3BA3" w:rsidRDefault="00DC3BA3" w:rsidP="00222DBE">
      <w:pPr>
        <w:jc w:val="both"/>
      </w:pPr>
    </w:p>
    <w:p w14:paraId="6538C300" w14:textId="77777777" w:rsidR="006A3C52" w:rsidRDefault="006A3C52">
      <w:pPr>
        <w:rPr>
          <w:rFonts w:ascii="Arial" w:eastAsiaTheme="majorEastAsia" w:hAnsi="Arial" w:cs="Arial"/>
          <w:color w:val="365F91" w:themeColor="accent1" w:themeShade="BF"/>
          <w:sz w:val="28"/>
          <w:szCs w:val="28"/>
        </w:rPr>
      </w:pPr>
      <w:r>
        <w:rPr>
          <w:rFonts w:ascii="Arial" w:hAnsi="Arial" w:cs="Arial"/>
          <w:sz w:val="28"/>
          <w:szCs w:val="28"/>
        </w:rPr>
        <w:br w:type="page"/>
      </w:r>
    </w:p>
    <w:p w14:paraId="11FBBE10" w14:textId="4BFA87CE" w:rsidR="00106A17" w:rsidRPr="00F53E83" w:rsidRDefault="00106A17" w:rsidP="00222DBE">
      <w:pPr>
        <w:pStyle w:val="Heading1"/>
        <w:numPr>
          <w:ilvl w:val="0"/>
          <w:numId w:val="37"/>
        </w:numPr>
        <w:jc w:val="both"/>
        <w:rPr>
          <w:rFonts w:ascii="Arial" w:hAnsi="Arial" w:cs="Arial"/>
          <w:sz w:val="28"/>
          <w:szCs w:val="28"/>
        </w:rPr>
      </w:pPr>
      <w:bookmarkStart w:id="0" w:name="_Toc78401629"/>
      <w:r w:rsidRPr="00F53E83">
        <w:rPr>
          <w:rFonts w:ascii="Arial" w:hAnsi="Arial" w:cs="Arial"/>
          <w:sz w:val="28"/>
          <w:szCs w:val="28"/>
        </w:rPr>
        <w:lastRenderedPageBreak/>
        <w:t xml:space="preserve">Introduction and </w:t>
      </w:r>
      <w:r w:rsidR="00F53E83">
        <w:rPr>
          <w:rFonts w:ascii="Arial" w:hAnsi="Arial" w:cs="Arial"/>
          <w:sz w:val="28"/>
          <w:szCs w:val="28"/>
        </w:rPr>
        <w:t>context</w:t>
      </w:r>
      <w:bookmarkEnd w:id="0"/>
    </w:p>
    <w:p w14:paraId="01B71434" w14:textId="77777777" w:rsidR="009C3E32" w:rsidRDefault="009C3E32" w:rsidP="00222DBE">
      <w:pPr>
        <w:jc w:val="both"/>
        <w:rPr>
          <w:rFonts w:ascii="Arial" w:hAnsi="Arial" w:cs="Arial"/>
          <w:sz w:val="24"/>
          <w:szCs w:val="24"/>
        </w:rPr>
      </w:pPr>
    </w:p>
    <w:p w14:paraId="678EBEB1" w14:textId="77777777" w:rsidR="00F53E83" w:rsidRPr="00F53E83" w:rsidRDefault="00F53E83" w:rsidP="00222DBE">
      <w:pPr>
        <w:jc w:val="both"/>
        <w:rPr>
          <w:rFonts w:ascii="Arial" w:hAnsi="Arial" w:cs="Arial"/>
          <w:sz w:val="28"/>
          <w:szCs w:val="28"/>
        </w:rPr>
      </w:pPr>
      <w:r>
        <w:rPr>
          <w:rFonts w:ascii="Arial" w:hAnsi="Arial" w:cs="Arial"/>
          <w:sz w:val="28"/>
          <w:szCs w:val="28"/>
        </w:rPr>
        <w:t>“</w:t>
      </w:r>
      <w:r w:rsidRPr="00F53E83">
        <w:rPr>
          <w:rFonts w:ascii="Arial" w:hAnsi="Arial" w:cs="Arial"/>
          <w:sz w:val="28"/>
          <w:szCs w:val="28"/>
        </w:rPr>
        <w:t>Violence is preventable, not inevitable</w:t>
      </w:r>
      <w:r w:rsidR="00641EC5">
        <w:rPr>
          <w:rFonts w:ascii="Arial" w:hAnsi="Arial" w:cs="Arial"/>
          <w:sz w:val="28"/>
          <w:szCs w:val="28"/>
        </w:rPr>
        <w:t>”</w:t>
      </w:r>
      <w:r w:rsidR="00641EC5">
        <w:rPr>
          <w:rStyle w:val="FootnoteReference"/>
          <w:rFonts w:ascii="Arial" w:hAnsi="Arial" w:cs="Arial"/>
          <w:sz w:val="28"/>
          <w:szCs w:val="28"/>
        </w:rPr>
        <w:footnoteReference w:id="1"/>
      </w:r>
    </w:p>
    <w:p w14:paraId="6A368828" w14:textId="19C4CED4" w:rsidR="009C3E32" w:rsidRDefault="009C3E32" w:rsidP="00222DBE">
      <w:pPr>
        <w:jc w:val="both"/>
        <w:rPr>
          <w:rFonts w:ascii="Arial" w:hAnsi="Arial" w:cs="Arial"/>
          <w:sz w:val="24"/>
          <w:szCs w:val="24"/>
        </w:rPr>
      </w:pPr>
      <w:r w:rsidRPr="009C3E32">
        <w:rPr>
          <w:rFonts w:ascii="Arial" w:hAnsi="Arial" w:cs="Arial"/>
          <w:sz w:val="24"/>
          <w:szCs w:val="24"/>
        </w:rPr>
        <w:t xml:space="preserve">In April 2018 the Government published its </w:t>
      </w:r>
      <w:hyperlink r:id="rId8" w:history="1">
        <w:r w:rsidRPr="009C3E32">
          <w:rPr>
            <w:rStyle w:val="Hyperlink"/>
            <w:rFonts w:ascii="Arial" w:hAnsi="Arial" w:cs="Arial"/>
            <w:sz w:val="24"/>
            <w:szCs w:val="24"/>
          </w:rPr>
          <w:t>Serious Violence Strategy</w:t>
        </w:r>
      </w:hyperlink>
      <w:r w:rsidRPr="009C3E32">
        <w:rPr>
          <w:rFonts w:ascii="Arial" w:hAnsi="Arial" w:cs="Arial"/>
          <w:sz w:val="24"/>
          <w:szCs w:val="24"/>
        </w:rPr>
        <w:t xml:space="preserve"> in response to increases in knife crime, gun crime and homicide across England. The strategy represent</w:t>
      </w:r>
      <w:r>
        <w:rPr>
          <w:rFonts w:ascii="Arial" w:hAnsi="Arial" w:cs="Arial"/>
          <w:sz w:val="24"/>
          <w:szCs w:val="24"/>
        </w:rPr>
        <w:t>ed</w:t>
      </w:r>
      <w:r w:rsidRPr="009C3E32">
        <w:rPr>
          <w:rFonts w:ascii="Arial" w:hAnsi="Arial" w:cs="Arial"/>
          <w:sz w:val="24"/>
          <w:szCs w:val="24"/>
        </w:rPr>
        <w:t xml:space="preserve"> a step change in how to think and respond to serious violence, establishing a new balance between prevention and law enforcement. It declared a call to action to partners from across different sectors to come together and adopt a whole system multi-agency approach to tackling and preventing serious violence at a local level, often referred to as a ‘public health approach’.</w:t>
      </w:r>
    </w:p>
    <w:p w14:paraId="5105E32A" w14:textId="4B0F9310" w:rsidR="00C93308" w:rsidRDefault="00C93308" w:rsidP="00C93308">
      <w:pPr>
        <w:jc w:val="both"/>
        <w:rPr>
          <w:rFonts w:ascii="Arial" w:hAnsi="Arial" w:cs="Arial"/>
          <w:sz w:val="24"/>
          <w:szCs w:val="24"/>
        </w:rPr>
      </w:pPr>
      <w:r w:rsidRPr="00C93308">
        <w:rPr>
          <w:rFonts w:ascii="Arial" w:hAnsi="Arial" w:cs="Arial"/>
          <w:sz w:val="24"/>
          <w:szCs w:val="24"/>
        </w:rPr>
        <w:t>The</w:t>
      </w:r>
      <w:r>
        <w:rPr>
          <w:rFonts w:ascii="Arial" w:hAnsi="Arial" w:cs="Arial"/>
          <w:sz w:val="24"/>
          <w:szCs w:val="24"/>
        </w:rPr>
        <w:t>n,</w:t>
      </w:r>
      <w:r w:rsidRPr="00C93308">
        <w:rPr>
          <w:rFonts w:ascii="Arial" w:hAnsi="Arial" w:cs="Arial"/>
          <w:sz w:val="24"/>
          <w:szCs w:val="24"/>
        </w:rPr>
        <w:t xml:space="preserve"> in December 2019</w:t>
      </w:r>
      <w:r>
        <w:rPr>
          <w:rFonts w:ascii="Arial" w:hAnsi="Arial" w:cs="Arial"/>
          <w:sz w:val="24"/>
          <w:szCs w:val="24"/>
        </w:rPr>
        <w:t>, the government announced</w:t>
      </w:r>
      <w:r w:rsidRPr="00C93308">
        <w:rPr>
          <w:rFonts w:ascii="Arial" w:hAnsi="Arial" w:cs="Arial"/>
          <w:sz w:val="24"/>
          <w:szCs w:val="24"/>
        </w:rPr>
        <w:t xml:space="preserve"> that it woul</w:t>
      </w:r>
      <w:r>
        <w:rPr>
          <w:rFonts w:ascii="Arial" w:hAnsi="Arial" w:cs="Arial"/>
          <w:sz w:val="24"/>
          <w:szCs w:val="24"/>
        </w:rPr>
        <w:t>d</w:t>
      </w:r>
      <w:r w:rsidRPr="00C93308">
        <w:rPr>
          <w:rFonts w:ascii="Arial" w:hAnsi="Arial" w:cs="Arial"/>
          <w:sz w:val="24"/>
          <w:szCs w:val="24"/>
        </w:rPr>
        <w:t xml:space="preserve"> bring forward legislation to create a new Serious Violence Duty. This is expected to come into effect between 2022 and 2023 and will require responsible authorities to work together to prevent </w:t>
      </w:r>
      <w:r>
        <w:rPr>
          <w:rFonts w:ascii="Arial" w:hAnsi="Arial" w:cs="Arial"/>
          <w:sz w:val="24"/>
          <w:szCs w:val="24"/>
        </w:rPr>
        <w:t>serious violence</w:t>
      </w:r>
      <w:r w:rsidRPr="00C93308">
        <w:rPr>
          <w:rFonts w:ascii="Arial" w:hAnsi="Arial" w:cs="Arial"/>
          <w:sz w:val="24"/>
          <w:szCs w:val="24"/>
        </w:rPr>
        <w:t xml:space="preserve"> and create the conditions for information sharing between organisations to take effective coordinated action in their local areas.</w:t>
      </w:r>
    </w:p>
    <w:p w14:paraId="2E3F64AC" w14:textId="77777777" w:rsidR="00C93308" w:rsidRDefault="00C93308" w:rsidP="00222DBE">
      <w:pPr>
        <w:jc w:val="both"/>
        <w:rPr>
          <w:rFonts w:ascii="Arial" w:hAnsi="Arial" w:cs="Arial"/>
          <w:sz w:val="24"/>
          <w:szCs w:val="24"/>
        </w:rPr>
      </w:pPr>
    </w:p>
    <w:p w14:paraId="4912610A" w14:textId="77777777" w:rsidR="00F53E83" w:rsidRPr="00F53E83" w:rsidRDefault="00F53E83" w:rsidP="00222DBE">
      <w:pPr>
        <w:jc w:val="both"/>
        <w:rPr>
          <w:rFonts w:ascii="Arial" w:hAnsi="Arial" w:cs="Arial"/>
          <w:sz w:val="24"/>
          <w:szCs w:val="24"/>
        </w:rPr>
      </w:pPr>
      <w:r w:rsidRPr="00F53E83">
        <w:rPr>
          <w:rFonts w:ascii="Arial" w:hAnsi="Arial" w:cs="Arial"/>
          <w:sz w:val="24"/>
          <w:szCs w:val="24"/>
        </w:rPr>
        <w:t xml:space="preserve">To tackle violence the root causes of violence must be addressed; only focussing on enforcement is not enough. Violence of all sorts is strongly associated with social determinants and is a result of the interaction of </w:t>
      </w:r>
      <w:r w:rsidR="00641EC5" w:rsidRPr="00F53E83">
        <w:rPr>
          <w:rFonts w:ascii="Arial" w:hAnsi="Arial" w:cs="Arial"/>
          <w:sz w:val="24"/>
          <w:szCs w:val="24"/>
        </w:rPr>
        <w:t>several</w:t>
      </w:r>
      <w:r w:rsidRPr="00F53E83">
        <w:rPr>
          <w:rFonts w:ascii="Arial" w:hAnsi="Arial" w:cs="Arial"/>
          <w:sz w:val="24"/>
          <w:szCs w:val="24"/>
        </w:rPr>
        <w:t xml:space="preserve"> risk factors which span the individual, family, </w:t>
      </w:r>
      <w:proofErr w:type="gramStart"/>
      <w:r w:rsidRPr="00F53E83">
        <w:rPr>
          <w:rFonts w:ascii="Arial" w:hAnsi="Arial" w:cs="Arial"/>
          <w:sz w:val="24"/>
          <w:szCs w:val="24"/>
        </w:rPr>
        <w:t>community</w:t>
      </w:r>
      <w:proofErr w:type="gramEnd"/>
      <w:r w:rsidRPr="00F53E83">
        <w:rPr>
          <w:rFonts w:ascii="Arial" w:hAnsi="Arial" w:cs="Arial"/>
          <w:sz w:val="24"/>
          <w:szCs w:val="24"/>
        </w:rPr>
        <w:t xml:space="preserve"> and society. </w:t>
      </w:r>
    </w:p>
    <w:p w14:paraId="612195CC" w14:textId="77777777" w:rsidR="00F53E83" w:rsidRDefault="00F53E83" w:rsidP="00222DBE">
      <w:pPr>
        <w:jc w:val="both"/>
        <w:rPr>
          <w:rFonts w:ascii="Arial" w:hAnsi="Arial" w:cs="Arial"/>
          <w:sz w:val="24"/>
          <w:szCs w:val="24"/>
        </w:rPr>
      </w:pPr>
      <w:r w:rsidRPr="00F53E83">
        <w:rPr>
          <w:rFonts w:ascii="Arial" w:hAnsi="Arial" w:cs="Arial"/>
          <w:sz w:val="24"/>
          <w:szCs w:val="24"/>
        </w:rPr>
        <w:t>No issue relating to violence has a single cause or a single solution; to have an impact on the various context and underlying risk factors that contribute to violence, different partners from across the system must work collaboratively and adopt a whole systems approach.</w:t>
      </w:r>
      <w:r w:rsidR="00641EC5">
        <w:rPr>
          <w:rStyle w:val="FootnoteReference"/>
          <w:rFonts w:ascii="Arial" w:hAnsi="Arial" w:cs="Arial"/>
          <w:sz w:val="24"/>
          <w:szCs w:val="24"/>
        </w:rPr>
        <w:footnoteReference w:id="2"/>
      </w:r>
    </w:p>
    <w:p w14:paraId="607C92CB" w14:textId="77777777" w:rsidR="00F53E83" w:rsidRPr="00F53E83" w:rsidRDefault="00641EC5" w:rsidP="00222DBE">
      <w:pPr>
        <w:jc w:val="both"/>
        <w:rPr>
          <w:rFonts w:ascii="Arial" w:hAnsi="Arial" w:cs="Arial"/>
          <w:sz w:val="24"/>
          <w:szCs w:val="24"/>
        </w:rPr>
      </w:pPr>
      <w:r>
        <w:rPr>
          <w:rFonts w:ascii="Arial" w:hAnsi="Arial" w:cs="Arial"/>
          <w:sz w:val="24"/>
          <w:szCs w:val="24"/>
        </w:rPr>
        <w:t xml:space="preserve">The </w:t>
      </w:r>
      <w:hyperlink r:id="rId9" w:history="1">
        <w:r w:rsidRPr="00641EC5">
          <w:rPr>
            <w:rStyle w:val="Hyperlink"/>
            <w:rFonts w:ascii="Arial" w:hAnsi="Arial" w:cs="Arial"/>
            <w:sz w:val="24"/>
            <w:szCs w:val="24"/>
          </w:rPr>
          <w:t>Prime Minister’s virtual summit on Hidden Harms</w:t>
        </w:r>
      </w:hyperlink>
      <w:r>
        <w:rPr>
          <w:rFonts w:ascii="Arial" w:hAnsi="Arial" w:cs="Arial"/>
          <w:sz w:val="24"/>
          <w:szCs w:val="24"/>
        </w:rPr>
        <w:t xml:space="preserve"> (June 2020) highlighted that a</w:t>
      </w:r>
      <w:r w:rsidR="00F53E83" w:rsidRPr="00F53E83">
        <w:rPr>
          <w:rFonts w:ascii="Arial" w:hAnsi="Arial" w:cs="Arial"/>
          <w:sz w:val="24"/>
          <w:szCs w:val="24"/>
        </w:rPr>
        <w:t xml:space="preserve">ll communities and every aspect of children’s and adult services have been </w:t>
      </w:r>
      <w:r w:rsidRPr="00F53E83">
        <w:rPr>
          <w:rFonts w:ascii="Arial" w:hAnsi="Arial" w:cs="Arial"/>
          <w:sz w:val="24"/>
          <w:szCs w:val="24"/>
        </w:rPr>
        <w:t>affected</w:t>
      </w:r>
      <w:r w:rsidR="00F53E83" w:rsidRPr="00F53E83">
        <w:rPr>
          <w:rFonts w:ascii="Arial" w:hAnsi="Arial" w:cs="Arial"/>
          <w:sz w:val="24"/>
          <w:szCs w:val="24"/>
        </w:rPr>
        <w:t xml:space="preserve"> by Covid-19, however experiences have varied, and for some this period will have been exceedingly difficult and traumatic. </w:t>
      </w:r>
    </w:p>
    <w:p w14:paraId="26184DDD" w14:textId="77777777" w:rsidR="00F53E83" w:rsidRPr="00F53E83" w:rsidRDefault="00F53E83" w:rsidP="00222DBE">
      <w:pPr>
        <w:jc w:val="both"/>
        <w:rPr>
          <w:rFonts w:ascii="Arial" w:hAnsi="Arial" w:cs="Arial"/>
          <w:sz w:val="24"/>
          <w:szCs w:val="24"/>
        </w:rPr>
      </w:pPr>
      <w:r w:rsidRPr="00F53E83">
        <w:rPr>
          <w:rFonts w:ascii="Arial" w:hAnsi="Arial" w:cs="Arial"/>
          <w:sz w:val="24"/>
          <w:szCs w:val="24"/>
        </w:rPr>
        <w:t xml:space="preserve">National, regional and local systems are concerned about the increase to ‘hidden </w:t>
      </w:r>
      <w:proofErr w:type="gramStart"/>
      <w:r w:rsidR="00641EC5" w:rsidRPr="00F53E83">
        <w:rPr>
          <w:rFonts w:ascii="Arial" w:hAnsi="Arial" w:cs="Arial"/>
          <w:sz w:val="24"/>
          <w:szCs w:val="24"/>
        </w:rPr>
        <w:t>harm</w:t>
      </w:r>
      <w:r w:rsidR="00641EC5">
        <w:rPr>
          <w:rFonts w:ascii="Arial" w:hAnsi="Arial" w:cs="Arial"/>
          <w:sz w:val="24"/>
          <w:szCs w:val="24"/>
        </w:rPr>
        <w:t>s’</w:t>
      </w:r>
      <w:proofErr w:type="gramEnd"/>
      <w:r w:rsidRPr="00F53E83">
        <w:rPr>
          <w:rFonts w:ascii="Arial" w:hAnsi="Arial" w:cs="Arial"/>
          <w:sz w:val="24"/>
          <w:szCs w:val="24"/>
        </w:rPr>
        <w:t>.</w:t>
      </w:r>
      <w:r w:rsidR="00641EC5">
        <w:rPr>
          <w:rFonts w:ascii="Arial" w:hAnsi="Arial" w:cs="Arial"/>
          <w:sz w:val="24"/>
          <w:szCs w:val="24"/>
        </w:rPr>
        <w:t xml:space="preserve"> C</w:t>
      </w:r>
      <w:r w:rsidRPr="00F53E83">
        <w:rPr>
          <w:rFonts w:ascii="Arial" w:hAnsi="Arial" w:cs="Arial"/>
          <w:sz w:val="24"/>
          <w:szCs w:val="24"/>
        </w:rPr>
        <w:t xml:space="preserve">rimes such as child abuse, child sexual exploitation, domestic abuse (including “honour”-based abuse), sexual violence and modern slavery, typically take place behind closed doors, hidden away from view. </w:t>
      </w:r>
    </w:p>
    <w:p w14:paraId="0D6FE224" w14:textId="61B9843C" w:rsidR="00F53E83" w:rsidRPr="00F53E83" w:rsidRDefault="00946126" w:rsidP="00222DBE">
      <w:pPr>
        <w:jc w:val="both"/>
        <w:rPr>
          <w:rFonts w:ascii="Arial" w:hAnsi="Arial" w:cs="Arial"/>
          <w:sz w:val="24"/>
          <w:szCs w:val="24"/>
        </w:rPr>
      </w:pPr>
      <w:hyperlink r:id="rId10" w:history="1">
        <w:r w:rsidR="00F53E83" w:rsidRPr="00F53E83">
          <w:rPr>
            <w:rStyle w:val="Hyperlink"/>
            <w:rFonts w:ascii="Arial" w:hAnsi="Arial" w:cs="Arial"/>
            <w:sz w:val="24"/>
            <w:szCs w:val="24"/>
          </w:rPr>
          <w:t>Building a country that works for all children post covid-19</w:t>
        </w:r>
      </w:hyperlink>
      <w:r w:rsidR="00F53E83" w:rsidRPr="00F53E83">
        <w:rPr>
          <w:rFonts w:ascii="Arial" w:hAnsi="Arial" w:cs="Arial"/>
          <w:sz w:val="24"/>
          <w:szCs w:val="24"/>
        </w:rPr>
        <w:t xml:space="preserve"> (July 2020), highlights the vulnerabilities of specific cohorts, including children with additional health needs and </w:t>
      </w:r>
      <w:r w:rsidR="00F53E83" w:rsidRPr="00F53E83">
        <w:rPr>
          <w:rFonts w:ascii="Arial" w:hAnsi="Arial" w:cs="Arial"/>
          <w:sz w:val="24"/>
          <w:szCs w:val="24"/>
        </w:rPr>
        <w:lastRenderedPageBreak/>
        <w:t>disabilities, care leavers, young carers, families in conflict with the law and families with no recourse to public funds</w:t>
      </w:r>
      <w:r w:rsidR="007466EB">
        <w:rPr>
          <w:rFonts w:ascii="Arial" w:hAnsi="Arial" w:cs="Arial"/>
          <w:sz w:val="24"/>
          <w:szCs w:val="24"/>
        </w:rPr>
        <w:t>, which</w:t>
      </w:r>
      <w:r w:rsidR="00F53E83" w:rsidRPr="00F53E83">
        <w:rPr>
          <w:rFonts w:ascii="Arial" w:hAnsi="Arial" w:cs="Arial"/>
          <w:sz w:val="24"/>
          <w:szCs w:val="24"/>
        </w:rPr>
        <w:t xml:space="preserve"> have been heightened during this period. </w:t>
      </w:r>
    </w:p>
    <w:p w14:paraId="1843442A" w14:textId="02D70B23" w:rsidR="00B02E4A" w:rsidRDefault="00B02E4A" w:rsidP="006A3C52">
      <w:pPr>
        <w:pStyle w:val="NoSpacing"/>
        <w:rPr>
          <w:rFonts w:ascii="Arial" w:hAnsi="Arial" w:cs="Arial"/>
          <w:b/>
          <w:bCs/>
          <w:sz w:val="24"/>
          <w:szCs w:val="24"/>
        </w:rPr>
      </w:pPr>
      <w:r w:rsidRPr="006A3C52">
        <w:rPr>
          <w:rFonts w:ascii="Arial" w:hAnsi="Arial" w:cs="Arial"/>
          <w:b/>
          <w:bCs/>
          <w:sz w:val="24"/>
          <w:szCs w:val="24"/>
        </w:rPr>
        <w:t>South West region</w:t>
      </w:r>
      <w:r w:rsidR="00E12C84" w:rsidRPr="006A3C52">
        <w:rPr>
          <w:rFonts w:ascii="Arial" w:hAnsi="Arial" w:cs="Arial"/>
          <w:b/>
          <w:bCs/>
          <w:sz w:val="24"/>
          <w:szCs w:val="24"/>
        </w:rPr>
        <w:t>al</w:t>
      </w:r>
      <w:r w:rsidRPr="006A3C52">
        <w:rPr>
          <w:rFonts w:ascii="Arial" w:hAnsi="Arial" w:cs="Arial"/>
          <w:b/>
          <w:bCs/>
          <w:sz w:val="24"/>
          <w:szCs w:val="24"/>
        </w:rPr>
        <w:t xml:space="preserve"> response</w:t>
      </w:r>
    </w:p>
    <w:p w14:paraId="0ED2E727" w14:textId="77777777" w:rsidR="006A3C52" w:rsidRPr="006A3C52" w:rsidRDefault="006A3C52" w:rsidP="006A3C52">
      <w:pPr>
        <w:pStyle w:val="NoSpacing"/>
        <w:rPr>
          <w:rFonts w:ascii="Arial" w:hAnsi="Arial" w:cs="Arial"/>
          <w:b/>
          <w:bCs/>
          <w:sz w:val="24"/>
          <w:szCs w:val="24"/>
        </w:rPr>
      </w:pPr>
    </w:p>
    <w:p w14:paraId="59C5EF15" w14:textId="05E0AF99" w:rsidR="004A3008" w:rsidRDefault="00B02E4A" w:rsidP="00222DBE">
      <w:pPr>
        <w:jc w:val="both"/>
        <w:rPr>
          <w:rFonts w:ascii="Arial" w:hAnsi="Arial" w:cs="Arial"/>
          <w:sz w:val="24"/>
          <w:szCs w:val="24"/>
        </w:rPr>
      </w:pPr>
      <w:r>
        <w:rPr>
          <w:rFonts w:ascii="Arial" w:hAnsi="Arial" w:cs="Arial"/>
          <w:sz w:val="24"/>
          <w:szCs w:val="24"/>
        </w:rPr>
        <w:t xml:space="preserve">Following further discussion in region with our Public Health England Population </w:t>
      </w:r>
      <w:r w:rsidR="008B4479">
        <w:rPr>
          <w:rFonts w:ascii="Arial" w:hAnsi="Arial" w:cs="Arial"/>
          <w:sz w:val="24"/>
          <w:szCs w:val="24"/>
        </w:rPr>
        <w:t>Health &amp; Wellbeing</w:t>
      </w:r>
      <w:r w:rsidR="00A60451">
        <w:rPr>
          <w:rFonts w:ascii="Arial" w:hAnsi="Arial" w:cs="Arial"/>
          <w:sz w:val="24"/>
          <w:szCs w:val="24"/>
        </w:rPr>
        <w:t xml:space="preserve"> </w:t>
      </w:r>
      <w:r w:rsidR="004A3008">
        <w:rPr>
          <w:rFonts w:ascii="Arial" w:hAnsi="Arial" w:cs="Arial"/>
          <w:sz w:val="24"/>
          <w:szCs w:val="24"/>
        </w:rPr>
        <w:t>team</w:t>
      </w:r>
      <w:r w:rsidR="008B4479">
        <w:rPr>
          <w:rFonts w:ascii="Arial" w:hAnsi="Arial" w:cs="Arial"/>
          <w:sz w:val="24"/>
          <w:szCs w:val="24"/>
        </w:rPr>
        <w:t xml:space="preserve"> </w:t>
      </w:r>
      <w:r w:rsidR="00106A17" w:rsidRPr="00F53E83">
        <w:rPr>
          <w:rFonts w:ascii="Arial" w:hAnsi="Arial" w:cs="Arial"/>
          <w:sz w:val="24"/>
          <w:szCs w:val="24"/>
        </w:rPr>
        <w:t xml:space="preserve">a vision was agreed.  </w:t>
      </w:r>
      <w:r w:rsidR="00A60451">
        <w:rPr>
          <w:rFonts w:ascii="Arial" w:hAnsi="Arial" w:cs="Arial"/>
          <w:sz w:val="24"/>
          <w:szCs w:val="24"/>
        </w:rPr>
        <w:t>We</w:t>
      </w:r>
      <w:r w:rsidR="00106A17" w:rsidRPr="00F53E83">
        <w:rPr>
          <w:rFonts w:ascii="Arial" w:hAnsi="Arial" w:cs="Arial"/>
          <w:sz w:val="24"/>
          <w:szCs w:val="24"/>
        </w:rPr>
        <w:t xml:space="preserve"> set out that there will be clear and consistent information governance arrangements</w:t>
      </w:r>
      <w:r w:rsidR="00A60451">
        <w:rPr>
          <w:rFonts w:ascii="Arial" w:hAnsi="Arial" w:cs="Arial"/>
          <w:sz w:val="24"/>
          <w:szCs w:val="24"/>
        </w:rPr>
        <w:t xml:space="preserve"> in the management and future development of an effective system to prevent violence and</w:t>
      </w:r>
      <w:r w:rsidR="00106A17" w:rsidRPr="00F53E83">
        <w:rPr>
          <w:rFonts w:ascii="Arial" w:hAnsi="Arial" w:cs="Arial"/>
          <w:sz w:val="24"/>
          <w:szCs w:val="24"/>
        </w:rPr>
        <w:t xml:space="preserve"> </w:t>
      </w:r>
      <w:r w:rsidR="003C354A">
        <w:rPr>
          <w:rFonts w:ascii="Arial" w:hAnsi="Arial" w:cs="Arial"/>
          <w:sz w:val="24"/>
          <w:szCs w:val="24"/>
        </w:rPr>
        <w:t xml:space="preserve">to safeguard those at risk of harm and abuse </w:t>
      </w:r>
      <w:r w:rsidR="00106A17" w:rsidRPr="00F53E83">
        <w:rPr>
          <w:rFonts w:ascii="Arial" w:hAnsi="Arial" w:cs="Arial"/>
          <w:sz w:val="24"/>
          <w:szCs w:val="24"/>
        </w:rPr>
        <w:t xml:space="preserve">across the </w:t>
      </w:r>
      <w:r w:rsidR="001236B0" w:rsidRPr="00F53E83">
        <w:rPr>
          <w:rFonts w:ascii="Arial" w:hAnsi="Arial" w:cs="Arial"/>
          <w:sz w:val="24"/>
          <w:szCs w:val="24"/>
        </w:rPr>
        <w:t>South West region</w:t>
      </w:r>
      <w:r w:rsidR="00106A17" w:rsidRPr="00F53E83">
        <w:rPr>
          <w:rFonts w:ascii="Arial" w:hAnsi="Arial" w:cs="Arial"/>
          <w:sz w:val="24"/>
          <w:szCs w:val="24"/>
        </w:rPr>
        <w:t xml:space="preserve">. </w:t>
      </w:r>
      <w:r w:rsidR="004A3008" w:rsidRPr="004A3008">
        <w:rPr>
          <w:rFonts w:ascii="Arial" w:hAnsi="Arial" w:cs="Arial"/>
          <w:sz w:val="24"/>
          <w:szCs w:val="24"/>
        </w:rPr>
        <w:t xml:space="preserve">it is anticipated that data shared will not include any personal identifiers with few exceptions as described in section 3 below. </w:t>
      </w:r>
      <w:r w:rsidR="00106A17" w:rsidRPr="00F53E83">
        <w:rPr>
          <w:rFonts w:ascii="Arial" w:hAnsi="Arial" w:cs="Arial"/>
          <w:sz w:val="24"/>
          <w:szCs w:val="24"/>
        </w:rPr>
        <w:t xml:space="preserve"> </w:t>
      </w:r>
    </w:p>
    <w:p w14:paraId="377F48AC" w14:textId="613512F0" w:rsidR="00E46B5D" w:rsidRPr="00680333" w:rsidRDefault="00106A17" w:rsidP="00222DBE">
      <w:pPr>
        <w:jc w:val="both"/>
        <w:rPr>
          <w:rFonts w:ascii="Arial" w:hAnsi="Arial" w:cs="Arial"/>
          <w:sz w:val="24"/>
          <w:szCs w:val="24"/>
        </w:rPr>
      </w:pPr>
      <w:r w:rsidRPr="00F53E83">
        <w:rPr>
          <w:rFonts w:ascii="Arial" w:hAnsi="Arial" w:cs="Arial"/>
          <w:sz w:val="24"/>
          <w:szCs w:val="24"/>
        </w:rPr>
        <w:t xml:space="preserve">Common understanding of </w:t>
      </w:r>
      <w:r w:rsidR="008B4479">
        <w:rPr>
          <w:rFonts w:ascii="Arial" w:hAnsi="Arial" w:cs="Arial"/>
          <w:sz w:val="24"/>
          <w:szCs w:val="24"/>
        </w:rPr>
        <w:t xml:space="preserve">information governance (IG) </w:t>
      </w:r>
      <w:r w:rsidRPr="00F53E83">
        <w:rPr>
          <w:rFonts w:ascii="Arial" w:hAnsi="Arial" w:cs="Arial"/>
          <w:sz w:val="24"/>
          <w:szCs w:val="24"/>
        </w:rPr>
        <w:t xml:space="preserve">principles will be established across all organisations and underpinned by a </w:t>
      </w:r>
      <w:r w:rsidR="00F53E83" w:rsidRPr="00F53E83">
        <w:rPr>
          <w:rFonts w:ascii="Arial" w:hAnsi="Arial" w:cs="Arial"/>
          <w:sz w:val="24"/>
          <w:szCs w:val="24"/>
        </w:rPr>
        <w:t>high-level</w:t>
      </w:r>
      <w:r w:rsidRPr="00F53E83">
        <w:rPr>
          <w:rFonts w:ascii="Arial" w:hAnsi="Arial" w:cs="Arial"/>
          <w:sz w:val="24"/>
          <w:szCs w:val="24"/>
        </w:rPr>
        <w:t xml:space="preserve"> agreement across the </w:t>
      </w:r>
      <w:r w:rsidR="001236B0" w:rsidRPr="00F53E83">
        <w:rPr>
          <w:rFonts w:ascii="Arial" w:hAnsi="Arial" w:cs="Arial"/>
          <w:sz w:val="24"/>
          <w:szCs w:val="24"/>
        </w:rPr>
        <w:t>South West region</w:t>
      </w:r>
      <w:r w:rsidRPr="00F53E83">
        <w:rPr>
          <w:rFonts w:ascii="Arial" w:hAnsi="Arial" w:cs="Arial"/>
          <w:sz w:val="24"/>
          <w:szCs w:val="24"/>
        </w:rPr>
        <w:t xml:space="preserve">.  This is that agreement.  </w:t>
      </w:r>
      <w:r w:rsidRPr="006D475A">
        <w:rPr>
          <w:rFonts w:ascii="Arial" w:hAnsi="Arial" w:cs="Arial"/>
          <w:sz w:val="24"/>
          <w:szCs w:val="24"/>
        </w:rPr>
        <w:t xml:space="preserve">There </w:t>
      </w:r>
      <w:r w:rsidR="005F06CD" w:rsidRPr="006D475A">
        <w:rPr>
          <w:rFonts w:ascii="Arial" w:hAnsi="Arial" w:cs="Arial"/>
          <w:sz w:val="24"/>
          <w:szCs w:val="24"/>
        </w:rPr>
        <w:t>may be a need</w:t>
      </w:r>
      <w:r w:rsidRPr="006D475A">
        <w:rPr>
          <w:rFonts w:ascii="Arial" w:hAnsi="Arial" w:cs="Arial"/>
          <w:sz w:val="24"/>
          <w:szCs w:val="24"/>
        </w:rPr>
        <w:t xml:space="preserve"> </w:t>
      </w:r>
      <w:r w:rsidR="005F06CD" w:rsidRPr="006D475A">
        <w:rPr>
          <w:rFonts w:ascii="Arial" w:hAnsi="Arial" w:cs="Arial"/>
          <w:sz w:val="24"/>
          <w:szCs w:val="24"/>
        </w:rPr>
        <w:t>to form</w:t>
      </w:r>
      <w:r w:rsidRPr="006D475A">
        <w:rPr>
          <w:rFonts w:ascii="Arial" w:hAnsi="Arial" w:cs="Arial"/>
          <w:sz w:val="24"/>
          <w:szCs w:val="24"/>
        </w:rPr>
        <w:t xml:space="preserve"> a </w:t>
      </w:r>
      <w:r w:rsidR="00F53E83" w:rsidRPr="006D475A">
        <w:rPr>
          <w:rFonts w:ascii="Arial" w:hAnsi="Arial" w:cs="Arial"/>
          <w:sz w:val="24"/>
          <w:szCs w:val="24"/>
        </w:rPr>
        <w:t>high-level</w:t>
      </w:r>
      <w:r w:rsidRPr="006D475A">
        <w:rPr>
          <w:rFonts w:ascii="Arial" w:hAnsi="Arial" w:cs="Arial"/>
          <w:sz w:val="24"/>
          <w:szCs w:val="24"/>
        </w:rPr>
        <w:t xml:space="preserve"> advisory panel to facilitate cross organisational data sharing to improve the quality and efficiency of </w:t>
      </w:r>
      <w:r w:rsidR="00F33182" w:rsidRPr="006D475A">
        <w:rPr>
          <w:rFonts w:ascii="Arial" w:hAnsi="Arial" w:cs="Arial"/>
          <w:sz w:val="24"/>
          <w:szCs w:val="24"/>
        </w:rPr>
        <w:t xml:space="preserve">partnership data, including </w:t>
      </w:r>
      <w:r w:rsidRPr="006D475A">
        <w:rPr>
          <w:rFonts w:ascii="Arial" w:hAnsi="Arial" w:cs="Arial"/>
          <w:sz w:val="24"/>
          <w:szCs w:val="24"/>
        </w:rPr>
        <w:t>health and care services</w:t>
      </w:r>
      <w:r w:rsidR="005F06CD" w:rsidRPr="006D475A">
        <w:rPr>
          <w:rFonts w:ascii="Arial" w:hAnsi="Arial" w:cs="Arial"/>
          <w:sz w:val="24"/>
          <w:szCs w:val="24"/>
        </w:rPr>
        <w:t xml:space="preserve"> across the South West region</w:t>
      </w:r>
      <w:r w:rsidRPr="006D475A">
        <w:rPr>
          <w:rFonts w:ascii="Arial" w:hAnsi="Arial" w:cs="Arial"/>
          <w:sz w:val="24"/>
          <w:szCs w:val="24"/>
        </w:rPr>
        <w:t>.</w:t>
      </w:r>
      <w:r w:rsidRPr="00680333">
        <w:rPr>
          <w:rFonts w:ascii="Arial" w:hAnsi="Arial" w:cs="Arial"/>
          <w:sz w:val="24"/>
          <w:szCs w:val="24"/>
        </w:rPr>
        <w:t xml:space="preserve">  </w:t>
      </w:r>
    </w:p>
    <w:p w14:paraId="2913C807" w14:textId="6B110B7B" w:rsidR="00E25FAF" w:rsidRPr="00E46B5D" w:rsidRDefault="00E46B5D" w:rsidP="00222DBE">
      <w:pPr>
        <w:jc w:val="both"/>
        <w:rPr>
          <w:rFonts w:ascii="Arial" w:hAnsi="Arial" w:cs="Arial"/>
          <w:sz w:val="24"/>
          <w:szCs w:val="24"/>
        </w:rPr>
      </w:pPr>
      <w:proofErr w:type="gramStart"/>
      <w:r w:rsidRPr="00680333">
        <w:rPr>
          <w:rFonts w:ascii="Arial" w:hAnsi="Arial" w:cs="Arial"/>
          <w:sz w:val="24"/>
          <w:szCs w:val="24"/>
        </w:rPr>
        <w:t>In order to</w:t>
      </w:r>
      <w:proofErr w:type="gramEnd"/>
      <w:r w:rsidRPr="00680333">
        <w:rPr>
          <w:rFonts w:ascii="Arial" w:hAnsi="Arial" w:cs="Arial"/>
          <w:sz w:val="24"/>
          <w:szCs w:val="24"/>
        </w:rPr>
        <w:t xml:space="preserve"> tackle serious violence in all its forms, we need to understand what good policing, health and social care looks and feels like to victims, survivors, perpetrators and offenders. This view needs to be based upon evidence rather than anecdote.</w:t>
      </w:r>
      <w:r w:rsidRPr="00E46B5D">
        <w:rPr>
          <w:rFonts w:ascii="Arial" w:hAnsi="Arial" w:cs="Arial"/>
          <w:sz w:val="24"/>
          <w:szCs w:val="24"/>
        </w:rPr>
        <w:t xml:space="preserve"> </w:t>
      </w:r>
    </w:p>
    <w:p w14:paraId="76ED6A57" w14:textId="77777777" w:rsidR="00106A17" w:rsidRPr="00F53E83" w:rsidRDefault="00106A17" w:rsidP="00222DBE">
      <w:pPr>
        <w:jc w:val="both"/>
        <w:rPr>
          <w:rFonts w:ascii="Arial" w:hAnsi="Arial" w:cs="Arial"/>
          <w:sz w:val="24"/>
          <w:szCs w:val="24"/>
        </w:rPr>
      </w:pPr>
      <w:r w:rsidRPr="00F53E83">
        <w:rPr>
          <w:rFonts w:ascii="Arial" w:hAnsi="Arial" w:cs="Arial"/>
          <w:sz w:val="24"/>
          <w:szCs w:val="24"/>
        </w:rPr>
        <w:t>There will also be a resource containing exemplar material to support these activities.  The practical tools and guidance associated with this agreement will be the start of that resource.</w:t>
      </w:r>
    </w:p>
    <w:p w14:paraId="0D15757C" w14:textId="70CDC003" w:rsidR="00106A17" w:rsidRPr="00F53E83" w:rsidRDefault="00106A17" w:rsidP="00222DBE">
      <w:pPr>
        <w:jc w:val="both"/>
        <w:rPr>
          <w:rFonts w:ascii="Arial" w:hAnsi="Arial" w:cs="Arial"/>
          <w:sz w:val="24"/>
          <w:szCs w:val="24"/>
        </w:rPr>
      </w:pPr>
      <w:r w:rsidRPr="00F53E83">
        <w:rPr>
          <w:rFonts w:ascii="Arial" w:hAnsi="Arial" w:cs="Arial"/>
          <w:sz w:val="24"/>
          <w:szCs w:val="24"/>
        </w:rPr>
        <w:t>The issues this agreement seek</w:t>
      </w:r>
      <w:r w:rsidR="00C93308">
        <w:rPr>
          <w:rFonts w:ascii="Arial" w:hAnsi="Arial" w:cs="Arial"/>
          <w:sz w:val="24"/>
          <w:szCs w:val="24"/>
        </w:rPr>
        <w:t>s</w:t>
      </w:r>
      <w:r w:rsidRPr="00F53E83">
        <w:rPr>
          <w:rFonts w:ascii="Arial" w:hAnsi="Arial" w:cs="Arial"/>
          <w:sz w:val="24"/>
          <w:szCs w:val="24"/>
        </w:rPr>
        <w:t xml:space="preserve"> to address are:</w:t>
      </w:r>
    </w:p>
    <w:p w14:paraId="0B48BC7D" w14:textId="77777777" w:rsidR="00106A17" w:rsidRPr="00F53E83" w:rsidRDefault="00106A17" w:rsidP="00222DBE">
      <w:pPr>
        <w:pStyle w:val="ListParagraph"/>
        <w:numPr>
          <w:ilvl w:val="0"/>
          <w:numId w:val="2"/>
        </w:numPr>
        <w:jc w:val="both"/>
        <w:rPr>
          <w:rFonts w:ascii="Arial" w:hAnsi="Arial" w:cs="Arial"/>
          <w:sz w:val="24"/>
          <w:szCs w:val="24"/>
        </w:rPr>
      </w:pPr>
      <w:r w:rsidRPr="00F53E83">
        <w:rPr>
          <w:rFonts w:ascii="Arial" w:hAnsi="Arial" w:cs="Arial"/>
          <w:sz w:val="24"/>
          <w:szCs w:val="24"/>
        </w:rPr>
        <w:t xml:space="preserve">Processes for gathering </w:t>
      </w:r>
      <w:r w:rsidR="008B4479">
        <w:rPr>
          <w:rFonts w:ascii="Arial" w:hAnsi="Arial" w:cs="Arial"/>
          <w:sz w:val="24"/>
          <w:szCs w:val="24"/>
        </w:rPr>
        <w:t xml:space="preserve">IG </w:t>
      </w:r>
      <w:r w:rsidRPr="00F53E83">
        <w:rPr>
          <w:rFonts w:ascii="Arial" w:hAnsi="Arial" w:cs="Arial"/>
          <w:sz w:val="24"/>
          <w:szCs w:val="24"/>
        </w:rPr>
        <w:t xml:space="preserve">advice </w:t>
      </w:r>
      <w:r w:rsidR="00BC4B86">
        <w:rPr>
          <w:rFonts w:ascii="Arial" w:hAnsi="Arial" w:cs="Arial"/>
          <w:sz w:val="24"/>
          <w:szCs w:val="24"/>
        </w:rPr>
        <w:t>can be</w:t>
      </w:r>
      <w:r w:rsidR="00BC4B86" w:rsidRPr="00F53E83">
        <w:rPr>
          <w:rFonts w:ascii="Arial" w:hAnsi="Arial" w:cs="Arial"/>
          <w:sz w:val="24"/>
          <w:szCs w:val="24"/>
        </w:rPr>
        <w:t xml:space="preserve"> </w:t>
      </w:r>
      <w:r w:rsidRPr="00F53E83">
        <w:rPr>
          <w:rFonts w:ascii="Arial" w:hAnsi="Arial" w:cs="Arial"/>
          <w:sz w:val="24"/>
          <w:szCs w:val="24"/>
        </w:rPr>
        <w:t>complicated and</w:t>
      </w:r>
      <w:r w:rsidR="00D80DB2">
        <w:rPr>
          <w:rFonts w:ascii="Arial" w:hAnsi="Arial" w:cs="Arial"/>
          <w:sz w:val="24"/>
          <w:szCs w:val="24"/>
        </w:rPr>
        <w:t xml:space="preserve"> often</w:t>
      </w:r>
      <w:r w:rsidRPr="00F53E83">
        <w:rPr>
          <w:rFonts w:ascii="Arial" w:hAnsi="Arial" w:cs="Arial"/>
          <w:sz w:val="24"/>
          <w:szCs w:val="24"/>
        </w:rPr>
        <w:t xml:space="preserve"> different answers are given by different organisations</w:t>
      </w:r>
      <w:r w:rsidR="007E38DD">
        <w:rPr>
          <w:rFonts w:ascii="Arial" w:hAnsi="Arial" w:cs="Arial"/>
          <w:sz w:val="24"/>
          <w:szCs w:val="24"/>
        </w:rPr>
        <w:t>.</w:t>
      </w:r>
      <w:r w:rsidRPr="00F53E83">
        <w:rPr>
          <w:rFonts w:ascii="Arial" w:hAnsi="Arial" w:cs="Arial"/>
          <w:sz w:val="24"/>
          <w:szCs w:val="24"/>
        </w:rPr>
        <w:t xml:space="preserve">  </w:t>
      </w:r>
    </w:p>
    <w:p w14:paraId="0073C1DC" w14:textId="77777777" w:rsidR="00106A17" w:rsidRPr="00F53E83" w:rsidRDefault="00106A17" w:rsidP="00222DBE">
      <w:pPr>
        <w:pStyle w:val="ListParagraph"/>
        <w:numPr>
          <w:ilvl w:val="0"/>
          <w:numId w:val="2"/>
        </w:numPr>
        <w:jc w:val="both"/>
        <w:rPr>
          <w:rFonts w:ascii="Arial" w:hAnsi="Arial" w:cs="Arial"/>
          <w:sz w:val="24"/>
          <w:szCs w:val="24"/>
        </w:rPr>
      </w:pPr>
      <w:r w:rsidRPr="00F53E83">
        <w:rPr>
          <w:rFonts w:ascii="Arial" w:hAnsi="Arial" w:cs="Arial"/>
          <w:sz w:val="24"/>
          <w:szCs w:val="24"/>
        </w:rPr>
        <w:t xml:space="preserve">Requests to share data </w:t>
      </w:r>
      <w:r w:rsidR="00672F25">
        <w:rPr>
          <w:rFonts w:ascii="Arial" w:hAnsi="Arial" w:cs="Arial"/>
          <w:sz w:val="24"/>
          <w:szCs w:val="24"/>
        </w:rPr>
        <w:t>are</w:t>
      </w:r>
      <w:r w:rsidR="00672F25" w:rsidRPr="00F53E83">
        <w:rPr>
          <w:rFonts w:ascii="Arial" w:hAnsi="Arial" w:cs="Arial"/>
          <w:sz w:val="24"/>
          <w:szCs w:val="24"/>
        </w:rPr>
        <w:t xml:space="preserve"> </w:t>
      </w:r>
      <w:r w:rsidRPr="00F53E83">
        <w:rPr>
          <w:rFonts w:ascii="Arial" w:hAnsi="Arial" w:cs="Arial"/>
          <w:sz w:val="24"/>
          <w:szCs w:val="24"/>
        </w:rPr>
        <w:t>not enacted, despite there being a justification</w:t>
      </w:r>
      <w:r w:rsidR="007E38DD">
        <w:rPr>
          <w:rFonts w:ascii="Arial" w:hAnsi="Arial" w:cs="Arial"/>
          <w:sz w:val="24"/>
          <w:szCs w:val="24"/>
        </w:rPr>
        <w:t>.</w:t>
      </w:r>
    </w:p>
    <w:p w14:paraId="73E0BC1B" w14:textId="07F268B8" w:rsidR="00106A17" w:rsidRPr="00F53E83" w:rsidRDefault="00106A17" w:rsidP="00222DBE">
      <w:pPr>
        <w:pStyle w:val="ListParagraph"/>
        <w:numPr>
          <w:ilvl w:val="0"/>
          <w:numId w:val="2"/>
        </w:numPr>
        <w:jc w:val="both"/>
        <w:rPr>
          <w:rFonts w:ascii="Arial" w:hAnsi="Arial" w:cs="Arial"/>
          <w:sz w:val="24"/>
          <w:szCs w:val="24"/>
        </w:rPr>
      </w:pPr>
      <w:r w:rsidRPr="00F53E83">
        <w:rPr>
          <w:rFonts w:ascii="Arial" w:hAnsi="Arial" w:cs="Arial"/>
          <w:sz w:val="24"/>
          <w:szCs w:val="24"/>
        </w:rPr>
        <w:t xml:space="preserve">Late </w:t>
      </w:r>
      <w:r w:rsidR="00837A4B">
        <w:rPr>
          <w:rFonts w:ascii="Arial" w:hAnsi="Arial" w:cs="Arial"/>
          <w:sz w:val="24"/>
          <w:szCs w:val="24"/>
        </w:rPr>
        <w:t>consideration</w:t>
      </w:r>
      <w:r w:rsidR="00837A4B" w:rsidRPr="00F53E83">
        <w:rPr>
          <w:rFonts w:ascii="Arial" w:hAnsi="Arial" w:cs="Arial"/>
          <w:sz w:val="24"/>
          <w:szCs w:val="24"/>
        </w:rPr>
        <w:t xml:space="preserve"> </w:t>
      </w:r>
      <w:r w:rsidRPr="00F53E83">
        <w:rPr>
          <w:rFonts w:ascii="Arial" w:hAnsi="Arial" w:cs="Arial"/>
          <w:sz w:val="24"/>
          <w:szCs w:val="24"/>
        </w:rPr>
        <w:t xml:space="preserve">of </w:t>
      </w:r>
      <w:r w:rsidR="008B4479">
        <w:rPr>
          <w:rFonts w:ascii="Arial" w:hAnsi="Arial" w:cs="Arial"/>
          <w:sz w:val="24"/>
          <w:szCs w:val="24"/>
        </w:rPr>
        <w:t xml:space="preserve">IG </w:t>
      </w:r>
      <w:r w:rsidRPr="00F53E83">
        <w:rPr>
          <w:rFonts w:ascii="Arial" w:hAnsi="Arial" w:cs="Arial"/>
          <w:sz w:val="24"/>
          <w:szCs w:val="24"/>
        </w:rPr>
        <w:t>advice</w:t>
      </w:r>
      <w:r w:rsidR="007E38DD">
        <w:rPr>
          <w:rFonts w:ascii="Arial" w:hAnsi="Arial" w:cs="Arial"/>
          <w:sz w:val="24"/>
          <w:szCs w:val="24"/>
        </w:rPr>
        <w:t>.</w:t>
      </w:r>
    </w:p>
    <w:p w14:paraId="0F9D57F1" w14:textId="77777777" w:rsidR="00106A17" w:rsidRPr="00F53E83" w:rsidRDefault="00106A17" w:rsidP="00222DBE">
      <w:pPr>
        <w:pStyle w:val="ListParagraph"/>
        <w:numPr>
          <w:ilvl w:val="0"/>
          <w:numId w:val="2"/>
        </w:numPr>
        <w:jc w:val="both"/>
        <w:rPr>
          <w:rFonts w:ascii="Arial" w:hAnsi="Arial" w:cs="Arial"/>
          <w:sz w:val="24"/>
          <w:szCs w:val="24"/>
        </w:rPr>
      </w:pPr>
      <w:r w:rsidRPr="00F53E83">
        <w:rPr>
          <w:rFonts w:ascii="Arial" w:hAnsi="Arial" w:cs="Arial"/>
          <w:sz w:val="24"/>
          <w:szCs w:val="24"/>
        </w:rPr>
        <w:t>Complexity of the data and approvals landscape</w:t>
      </w:r>
      <w:r w:rsidR="007E38DD">
        <w:rPr>
          <w:rFonts w:ascii="Arial" w:hAnsi="Arial" w:cs="Arial"/>
          <w:sz w:val="24"/>
          <w:szCs w:val="24"/>
        </w:rPr>
        <w:t>.</w:t>
      </w:r>
    </w:p>
    <w:p w14:paraId="2243686F" w14:textId="77777777" w:rsidR="00106A17" w:rsidRPr="00F53E83" w:rsidRDefault="00D80DB2" w:rsidP="00222DBE">
      <w:pPr>
        <w:pStyle w:val="ListParagraph"/>
        <w:numPr>
          <w:ilvl w:val="0"/>
          <w:numId w:val="2"/>
        </w:numPr>
        <w:jc w:val="both"/>
        <w:rPr>
          <w:rFonts w:ascii="Arial" w:hAnsi="Arial" w:cs="Arial"/>
          <w:sz w:val="24"/>
          <w:szCs w:val="24"/>
        </w:rPr>
      </w:pPr>
      <w:r>
        <w:rPr>
          <w:rFonts w:ascii="Arial" w:hAnsi="Arial" w:cs="Arial"/>
          <w:sz w:val="24"/>
          <w:szCs w:val="24"/>
        </w:rPr>
        <w:t>W</w:t>
      </w:r>
      <w:r w:rsidR="00106A17" w:rsidRPr="00F53E83">
        <w:rPr>
          <w:rFonts w:ascii="Arial" w:hAnsi="Arial" w:cs="Arial"/>
          <w:sz w:val="24"/>
          <w:szCs w:val="24"/>
        </w:rPr>
        <w:t xml:space="preserve">here to initiate a data </w:t>
      </w:r>
      <w:r w:rsidR="00B40734" w:rsidRPr="00F53E83">
        <w:rPr>
          <w:rFonts w:ascii="Arial" w:hAnsi="Arial" w:cs="Arial"/>
          <w:sz w:val="24"/>
          <w:szCs w:val="24"/>
        </w:rPr>
        <w:t>sharing arrangement</w:t>
      </w:r>
      <w:r w:rsidR="007E38DD">
        <w:rPr>
          <w:rFonts w:ascii="Arial" w:hAnsi="Arial" w:cs="Arial"/>
          <w:sz w:val="24"/>
          <w:szCs w:val="24"/>
        </w:rPr>
        <w:t>.</w:t>
      </w:r>
    </w:p>
    <w:p w14:paraId="0F0A206D" w14:textId="0E28CB52" w:rsidR="00106A17" w:rsidRDefault="00110827" w:rsidP="00222DBE">
      <w:pPr>
        <w:pStyle w:val="ListParagraph"/>
        <w:numPr>
          <w:ilvl w:val="0"/>
          <w:numId w:val="2"/>
        </w:numPr>
        <w:jc w:val="both"/>
        <w:rPr>
          <w:rFonts w:ascii="Arial" w:hAnsi="Arial" w:cs="Arial"/>
          <w:sz w:val="24"/>
          <w:szCs w:val="24"/>
        </w:rPr>
      </w:pPr>
      <w:r>
        <w:rPr>
          <w:rFonts w:ascii="Arial" w:hAnsi="Arial" w:cs="Arial"/>
          <w:sz w:val="24"/>
          <w:szCs w:val="24"/>
        </w:rPr>
        <w:t>Balancing low risk ap</w:t>
      </w:r>
      <w:r w:rsidR="006E5270">
        <w:rPr>
          <w:rFonts w:ascii="Arial" w:hAnsi="Arial" w:cs="Arial"/>
          <w:sz w:val="24"/>
          <w:szCs w:val="24"/>
        </w:rPr>
        <w:t>p</w:t>
      </w:r>
      <w:r>
        <w:rPr>
          <w:rFonts w:ascii="Arial" w:hAnsi="Arial" w:cs="Arial"/>
          <w:sz w:val="24"/>
          <w:szCs w:val="24"/>
        </w:rPr>
        <w:t>etite/ being risk averse with finding creative solutions</w:t>
      </w:r>
      <w:r w:rsidR="007E38DD">
        <w:rPr>
          <w:rFonts w:ascii="Arial" w:hAnsi="Arial" w:cs="Arial"/>
          <w:sz w:val="24"/>
          <w:szCs w:val="24"/>
        </w:rPr>
        <w:t>.</w:t>
      </w:r>
    </w:p>
    <w:p w14:paraId="128AAE9F" w14:textId="77777777" w:rsidR="00106A17" w:rsidRPr="00F53E83" w:rsidRDefault="00106A17" w:rsidP="00222DBE">
      <w:pPr>
        <w:pStyle w:val="ListParagraph"/>
        <w:ind w:left="0"/>
        <w:jc w:val="both"/>
        <w:rPr>
          <w:rFonts w:ascii="Arial" w:hAnsi="Arial" w:cs="Arial"/>
          <w:sz w:val="24"/>
          <w:szCs w:val="24"/>
        </w:rPr>
      </w:pPr>
    </w:p>
    <w:p w14:paraId="6D59C600" w14:textId="5D7473A8" w:rsidR="00106A17" w:rsidRPr="00F53E83" w:rsidRDefault="00AB52EF" w:rsidP="00222DBE">
      <w:pPr>
        <w:pStyle w:val="ListParagraph"/>
        <w:ind w:left="0"/>
        <w:jc w:val="both"/>
        <w:rPr>
          <w:rFonts w:ascii="Arial" w:hAnsi="Arial" w:cs="Arial"/>
          <w:sz w:val="24"/>
          <w:szCs w:val="24"/>
        </w:rPr>
      </w:pPr>
      <w:r>
        <w:rPr>
          <w:rFonts w:ascii="Arial" w:hAnsi="Arial" w:cs="Arial"/>
          <w:sz w:val="24"/>
          <w:szCs w:val="24"/>
        </w:rPr>
        <w:t xml:space="preserve">For initiatives involving multiple agencies, the </w:t>
      </w:r>
      <w:r w:rsidR="00837D95" w:rsidRPr="00F53E83">
        <w:rPr>
          <w:rFonts w:ascii="Arial" w:hAnsi="Arial" w:cs="Arial"/>
          <w:sz w:val="24"/>
          <w:szCs w:val="24"/>
        </w:rPr>
        <w:t>above issues</w:t>
      </w:r>
      <w:r>
        <w:rPr>
          <w:rFonts w:ascii="Arial" w:hAnsi="Arial" w:cs="Arial"/>
          <w:sz w:val="24"/>
          <w:szCs w:val="24"/>
        </w:rPr>
        <w:t xml:space="preserve"> may need to</w:t>
      </w:r>
      <w:r w:rsidR="00837D95" w:rsidRPr="00F53E83">
        <w:rPr>
          <w:rFonts w:ascii="Arial" w:hAnsi="Arial" w:cs="Arial"/>
          <w:sz w:val="24"/>
          <w:szCs w:val="24"/>
        </w:rPr>
        <w:t xml:space="preserve"> be addressed</w:t>
      </w:r>
      <w:r w:rsidR="00837D95" w:rsidRPr="00F53E83" w:rsidDel="00837D95">
        <w:rPr>
          <w:rFonts w:ascii="Arial" w:hAnsi="Arial" w:cs="Arial"/>
          <w:sz w:val="24"/>
          <w:szCs w:val="24"/>
        </w:rPr>
        <w:t xml:space="preserve"> </w:t>
      </w:r>
      <w:r w:rsidR="00837D95" w:rsidRPr="00F53E83">
        <w:rPr>
          <w:rFonts w:ascii="Arial" w:hAnsi="Arial" w:cs="Arial"/>
          <w:sz w:val="24"/>
          <w:szCs w:val="24"/>
        </w:rPr>
        <w:t>b</w:t>
      </w:r>
      <w:r w:rsidR="00106A17" w:rsidRPr="00F53E83">
        <w:rPr>
          <w:rFonts w:ascii="Arial" w:hAnsi="Arial" w:cs="Arial"/>
          <w:sz w:val="24"/>
          <w:szCs w:val="24"/>
        </w:rPr>
        <w:t>y bringing together</w:t>
      </w:r>
      <w:r>
        <w:rPr>
          <w:rFonts w:ascii="Arial" w:hAnsi="Arial" w:cs="Arial"/>
          <w:sz w:val="24"/>
          <w:szCs w:val="24"/>
        </w:rPr>
        <w:t xml:space="preserve"> information governance professionals from</w:t>
      </w:r>
      <w:r w:rsidR="00106A17" w:rsidRPr="00F53E83">
        <w:rPr>
          <w:rFonts w:ascii="Arial" w:hAnsi="Arial" w:cs="Arial"/>
          <w:sz w:val="24"/>
          <w:szCs w:val="24"/>
        </w:rPr>
        <w:t xml:space="preserve"> partners in </w:t>
      </w:r>
      <w:r>
        <w:rPr>
          <w:rFonts w:ascii="Arial" w:hAnsi="Arial" w:cs="Arial"/>
          <w:sz w:val="24"/>
          <w:szCs w:val="24"/>
        </w:rPr>
        <w:t>an</w:t>
      </w:r>
      <w:r w:rsidR="00106A17" w:rsidRPr="00F53E83">
        <w:rPr>
          <w:rFonts w:ascii="Arial" w:hAnsi="Arial" w:cs="Arial"/>
          <w:sz w:val="24"/>
          <w:szCs w:val="24"/>
        </w:rPr>
        <w:t xml:space="preserve"> </w:t>
      </w:r>
      <w:r w:rsidR="008B4479">
        <w:rPr>
          <w:rFonts w:ascii="Arial" w:hAnsi="Arial" w:cs="Arial"/>
          <w:sz w:val="24"/>
          <w:szCs w:val="24"/>
        </w:rPr>
        <w:t xml:space="preserve">Information Governance </w:t>
      </w:r>
      <w:r w:rsidR="0019734B" w:rsidRPr="00F53E83">
        <w:rPr>
          <w:rFonts w:ascii="Arial" w:hAnsi="Arial" w:cs="Arial"/>
          <w:sz w:val="24"/>
          <w:szCs w:val="24"/>
        </w:rPr>
        <w:t>Advisory Panel</w:t>
      </w:r>
      <w:r w:rsidR="00106A17" w:rsidRPr="00F53E83">
        <w:rPr>
          <w:rFonts w:ascii="Arial" w:hAnsi="Arial" w:cs="Arial"/>
          <w:sz w:val="24"/>
          <w:szCs w:val="24"/>
        </w:rPr>
        <w:t xml:space="preserve"> </w:t>
      </w:r>
      <w:r w:rsidR="00DB7CA7">
        <w:rPr>
          <w:rFonts w:ascii="Arial" w:hAnsi="Arial" w:cs="Arial"/>
          <w:sz w:val="24"/>
          <w:szCs w:val="24"/>
        </w:rPr>
        <w:t xml:space="preserve">(or equivalent) </w:t>
      </w:r>
      <w:r w:rsidR="00106A17" w:rsidRPr="00F53E83">
        <w:rPr>
          <w:rFonts w:ascii="Arial" w:hAnsi="Arial" w:cs="Arial"/>
          <w:sz w:val="24"/>
          <w:szCs w:val="24"/>
        </w:rPr>
        <w:t xml:space="preserve">and establishing common understanding and application of </w:t>
      </w:r>
      <w:r w:rsidR="008B4479">
        <w:rPr>
          <w:rFonts w:ascii="Arial" w:hAnsi="Arial" w:cs="Arial"/>
          <w:sz w:val="24"/>
          <w:szCs w:val="24"/>
        </w:rPr>
        <w:t xml:space="preserve">IG </w:t>
      </w:r>
      <w:r w:rsidR="00106A17" w:rsidRPr="00F53E83">
        <w:rPr>
          <w:rFonts w:ascii="Arial" w:hAnsi="Arial" w:cs="Arial"/>
          <w:sz w:val="24"/>
          <w:szCs w:val="24"/>
        </w:rPr>
        <w:t xml:space="preserve">principles through this </w:t>
      </w:r>
      <w:r w:rsidR="008B4479" w:rsidRPr="00F53E83">
        <w:rPr>
          <w:rFonts w:ascii="Arial" w:hAnsi="Arial" w:cs="Arial"/>
          <w:sz w:val="24"/>
          <w:szCs w:val="24"/>
        </w:rPr>
        <w:t>agreement but</w:t>
      </w:r>
      <w:r w:rsidR="00890130" w:rsidRPr="00F53E83">
        <w:rPr>
          <w:rFonts w:ascii="Arial" w:hAnsi="Arial" w:cs="Arial"/>
          <w:sz w:val="24"/>
          <w:szCs w:val="24"/>
        </w:rPr>
        <w:t xml:space="preserve"> being </w:t>
      </w:r>
      <w:r w:rsidR="00106A17" w:rsidRPr="00F53E83">
        <w:rPr>
          <w:rFonts w:ascii="Arial" w:hAnsi="Arial" w:cs="Arial"/>
          <w:sz w:val="24"/>
          <w:szCs w:val="24"/>
        </w:rPr>
        <w:t>flexible enough to take account of varying organisational contexts.  It w</w:t>
      </w:r>
      <w:r w:rsidR="00DB7CA7">
        <w:rPr>
          <w:rFonts w:ascii="Arial" w:hAnsi="Arial" w:cs="Arial"/>
          <w:sz w:val="24"/>
          <w:szCs w:val="24"/>
        </w:rPr>
        <w:t>ould then</w:t>
      </w:r>
      <w:r w:rsidR="00106A17" w:rsidRPr="00F53E83">
        <w:rPr>
          <w:rFonts w:ascii="Arial" w:hAnsi="Arial" w:cs="Arial"/>
          <w:sz w:val="24"/>
          <w:szCs w:val="24"/>
        </w:rPr>
        <w:t xml:space="preserve"> be the remit of </w:t>
      </w:r>
      <w:r w:rsidR="00DB7CA7">
        <w:rPr>
          <w:rFonts w:ascii="Arial" w:hAnsi="Arial" w:cs="Arial"/>
          <w:sz w:val="24"/>
          <w:szCs w:val="24"/>
        </w:rPr>
        <w:t>the</w:t>
      </w:r>
      <w:r w:rsidR="00106A17" w:rsidRPr="00F53E83">
        <w:rPr>
          <w:rFonts w:ascii="Arial" w:hAnsi="Arial" w:cs="Arial"/>
          <w:sz w:val="24"/>
          <w:szCs w:val="24"/>
        </w:rPr>
        <w:t xml:space="preserve"> </w:t>
      </w:r>
      <w:r w:rsidR="008B4479">
        <w:rPr>
          <w:rFonts w:ascii="Arial" w:hAnsi="Arial" w:cs="Arial"/>
          <w:sz w:val="24"/>
          <w:szCs w:val="24"/>
        </w:rPr>
        <w:t xml:space="preserve">Information Governance </w:t>
      </w:r>
      <w:r w:rsidR="0019734B" w:rsidRPr="00F53E83">
        <w:rPr>
          <w:rFonts w:ascii="Arial" w:hAnsi="Arial" w:cs="Arial"/>
          <w:sz w:val="24"/>
          <w:szCs w:val="24"/>
        </w:rPr>
        <w:t>Advisory Panel</w:t>
      </w:r>
      <w:r w:rsidR="00106A17" w:rsidRPr="00F53E83">
        <w:rPr>
          <w:rFonts w:ascii="Arial" w:hAnsi="Arial" w:cs="Arial"/>
          <w:sz w:val="24"/>
          <w:szCs w:val="24"/>
        </w:rPr>
        <w:t xml:space="preserve"> to assess and report on progress and achievement.</w:t>
      </w:r>
    </w:p>
    <w:p w14:paraId="280DEFB4" w14:textId="77777777" w:rsidR="00106A17" w:rsidRPr="00F53E83" w:rsidRDefault="00106A17" w:rsidP="00222DBE">
      <w:pPr>
        <w:pStyle w:val="ListParagraph"/>
        <w:ind w:left="0"/>
        <w:jc w:val="both"/>
        <w:rPr>
          <w:rFonts w:ascii="Arial" w:hAnsi="Arial" w:cs="Arial"/>
          <w:sz w:val="24"/>
          <w:szCs w:val="24"/>
        </w:rPr>
      </w:pPr>
    </w:p>
    <w:p w14:paraId="39B1900D" w14:textId="77777777" w:rsidR="00106A17" w:rsidRPr="00F33182" w:rsidRDefault="00106A17" w:rsidP="00222DBE">
      <w:pPr>
        <w:pStyle w:val="Heading1"/>
        <w:numPr>
          <w:ilvl w:val="0"/>
          <w:numId w:val="37"/>
        </w:numPr>
        <w:jc w:val="both"/>
        <w:rPr>
          <w:rFonts w:ascii="Arial" w:hAnsi="Arial" w:cs="Arial"/>
          <w:bCs/>
          <w:i/>
          <w:iCs/>
          <w:sz w:val="28"/>
          <w:szCs w:val="28"/>
        </w:rPr>
      </w:pPr>
      <w:bookmarkStart w:id="1" w:name="_Toc78401630"/>
      <w:r w:rsidRPr="00F33182">
        <w:rPr>
          <w:rFonts w:ascii="Arial" w:hAnsi="Arial" w:cs="Arial"/>
          <w:sz w:val="28"/>
          <w:szCs w:val="28"/>
        </w:rPr>
        <w:t>Aims of the</w:t>
      </w:r>
      <w:r w:rsidR="00D80DB2">
        <w:rPr>
          <w:rFonts w:ascii="Arial" w:hAnsi="Arial" w:cs="Arial"/>
          <w:sz w:val="28"/>
          <w:szCs w:val="28"/>
        </w:rPr>
        <w:t xml:space="preserve"> framework</w:t>
      </w:r>
      <w:bookmarkEnd w:id="1"/>
    </w:p>
    <w:p w14:paraId="6BF01D62" w14:textId="77777777" w:rsidR="00106A17" w:rsidRPr="00F53E83" w:rsidRDefault="00106A17" w:rsidP="00222DBE">
      <w:pPr>
        <w:jc w:val="both"/>
        <w:rPr>
          <w:rFonts w:ascii="Arial" w:hAnsi="Arial" w:cs="Arial"/>
          <w:bCs/>
          <w:iCs/>
          <w:sz w:val="24"/>
          <w:szCs w:val="24"/>
        </w:rPr>
      </w:pPr>
      <w:r w:rsidRPr="00F53E83">
        <w:rPr>
          <w:rFonts w:ascii="Arial" w:hAnsi="Arial" w:cs="Arial"/>
          <w:bCs/>
          <w:iCs/>
          <w:sz w:val="24"/>
          <w:szCs w:val="24"/>
        </w:rPr>
        <w:t xml:space="preserve">To provide the mechanism for establishing effective data sharing to support service led initiatives within the </w:t>
      </w:r>
      <w:r w:rsidR="001236B0" w:rsidRPr="00F53E83">
        <w:rPr>
          <w:rFonts w:ascii="Arial" w:hAnsi="Arial" w:cs="Arial"/>
          <w:bCs/>
          <w:iCs/>
          <w:sz w:val="24"/>
          <w:szCs w:val="24"/>
        </w:rPr>
        <w:t>South West region</w:t>
      </w:r>
      <w:r w:rsidRPr="00F53E83">
        <w:rPr>
          <w:rFonts w:ascii="Arial" w:hAnsi="Arial" w:cs="Arial"/>
          <w:bCs/>
          <w:iCs/>
          <w:sz w:val="24"/>
          <w:szCs w:val="24"/>
        </w:rPr>
        <w:t xml:space="preserve"> and to be used, where beneficial, for any other data sharing across wider public services that include </w:t>
      </w:r>
      <w:r w:rsidR="006F2413">
        <w:rPr>
          <w:rFonts w:ascii="Arial" w:hAnsi="Arial" w:cs="Arial"/>
          <w:bCs/>
          <w:iCs/>
          <w:sz w:val="24"/>
          <w:szCs w:val="24"/>
        </w:rPr>
        <w:t>relevant</w:t>
      </w:r>
      <w:r w:rsidRPr="00F53E83">
        <w:rPr>
          <w:rFonts w:ascii="Arial" w:hAnsi="Arial" w:cs="Arial"/>
          <w:bCs/>
          <w:iCs/>
          <w:sz w:val="24"/>
          <w:szCs w:val="24"/>
        </w:rPr>
        <w:t xml:space="preserve"> data. </w:t>
      </w:r>
    </w:p>
    <w:p w14:paraId="75A4308F" w14:textId="12BE092B" w:rsidR="00106A17" w:rsidRPr="00F53E83" w:rsidRDefault="00BB6960" w:rsidP="00222DBE">
      <w:pPr>
        <w:jc w:val="both"/>
        <w:rPr>
          <w:rFonts w:ascii="Arial" w:hAnsi="Arial" w:cs="Arial"/>
          <w:sz w:val="24"/>
          <w:szCs w:val="24"/>
        </w:rPr>
      </w:pPr>
      <w:r w:rsidRPr="00F53E83">
        <w:rPr>
          <w:rFonts w:ascii="Arial" w:hAnsi="Arial" w:cs="Arial"/>
          <w:bCs/>
          <w:iCs/>
          <w:sz w:val="24"/>
          <w:szCs w:val="24"/>
        </w:rPr>
        <w:t>To s</w:t>
      </w:r>
      <w:r w:rsidR="00106A17" w:rsidRPr="00F53E83">
        <w:rPr>
          <w:rFonts w:ascii="Arial" w:hAnsi="Arial" w:cs="Arial"/>
          <w:bCs/>
          <w:iCs/>
          <w:sz w:val="24"/>
          <w:szCs w:val="24"/>
        </w:rPr>
        <w:t xml:space="preserve">implify the establishment of data sharing arrangements across the </w:t>
      </w:r>
      <w:r w:rsidR="001236B0" w:rsidRPr="00F53E83">
        <w:rPr>
          <w:rFonts w:ascii="Arial" w:hAnsi="Arial" w:cs="Arial"/>
          <w:bCs/>
          <w:iCs/>
          <w:sz w:val="24"/>
          <w:szCs w:val="24"/>
        </w:rPr>
        <w:t>South West region</w:t>
      </w:r>
      <w:r w:rsidR="00106A17" w:rsidRPr="00F53E83">
        <w:rPr>
          <w:rFonts w:ascii="Arial" w:hAnsi="Arial" w:cs="Arial"/>
          <w:bCs/>
          <w:iCs/>
          <w:sz w:val="24"/>
          <w:szCs w:val="24"/>
        </w:rPr>
        <w:t>, by providing a common, consistent approach and template documentation</w:t>
      </w:r>
      <w:r w:rsidR="00E46B5D">
        <w:rPr>
          <w:rFonts w:ascii="Arial" w:hAnsi="Arial" w:cs="Arial"/>
          <w:bCs/>
          <w:iCs/>
          <w:sz w:val="24"/>
          <w:szCs w:val="24"/>
        </w:rPr>
        <w:t xml:space="preserve"> </w:t>
      </w:r>
      <w:r w:rsidR="00E46B5D" w:rsidRPr="00680333">
        <w:rPr>
          <w:rFonts w:ascii="Arial" w:hAnsi="Arial" w:cs="Arial"/>
          <w:bCs/>
          <w:iCs/>
          <w:sz w:val="24"/>
          <w:szCs w:val="24"/>
        </w:rPr>
        <w:t>to ensure relevant services work together to share data and knowledge and allow them to target interventions to prevent and tackle violence.</w:t>
      </w:r>
      <w:r w:rsidR="00E46B5D">
        <w:rPr>
          <w:rFonts w:ascii="Arial" w:hAnsi="Arial" w:cs="Arial"/>
          <w:bCs/>
          <w:iCs/>
          <w:sz w:val="24"/>
          <w:szCs w:val="24"/>
        </w:rPr>
        <w:t xml:space="preserve"> </w:t>
      </w:r>
      <w:r w:rsidR="00106A17" w:rsidRPr="00F53E83">
        <w:rPr>
          <w:rFonts w:ascii="Arial" w:hAnsi="Arial" w:cs="Arial"/>
          <w:bCs/>
          <w:iCs/>
          <w:sz w:val="24"/>
          <w:szCs w:val="24"/>
        </w:rPr>
        <w:t xml:space="preserve"> Sharing initiatives established via this approach may engage organisations beyond the core </w:t>
      </w:r>
      <w:proofErr w:type="gramStart"/>
      <w:r w:rsidR="001236B0" w:rsidRPr="00F53E83">
        <w:rPr>
          <w:rFonts w:ascii="Arial" w:hAnsi="Arial" w:cs="Arial"/>
          <w:bCs/>
          <w:iCs/>
          <w:sz w:val="24"/>
          <w:szCs w:val="24"/>
        </w:rPr>
        <w:t>South West</w:t>
      </w:r>
      <w:proofErr w:type="gramEnd"/>
      <w:r w:rsidR="001236B0" w:rsidRPr="00F53E83">
        <w:rPr>
          <w:rFonts w:ascii="Arial" w:hAnsi="Arial" w:cs="Arial"/>
          <w:bCs/>
          <w:iCs/>
          <w:sz w:val="24"/>
          <w:szCs w:val="24"/>
        </w:rPr>
        <w:t xml:space="preserve"> region</w:t>
      </w:r>
      <w:r w:rsidR="00106A17" w:rsidRPr="00F53E83">
        <w:rPr>
          <w:rFonts w:ascii="Arial" w:hAnsi="Arial" w:cs="Arial"/>
          <w:bCs/>
          <w:iCs/>
          <w:sz w:val="24"/>
          <w:szCs w:val="24"/>
        </w:rPr>
        <w:t xml:space="preserve"> partners, such as universities and </w:t>
      </w:r>
      <w:r w:rsidR="00A60451">
        <w:rPr>
          <w:rFonts w:ascii="Arial" w:hAnsi="Arial" w:cs="Arial"/>
          <w:bCs/>
          <w:iCs/>
          <w:sz w:val="24"/>
          <w:szCs w:val="24"/>
        </w:rPr>
        <w:t>other</w:t>
      </w:r>
      <w:r w:rsidR="00106A17" w:rsidRPr="00F53E83">
        <w:rPr>
          <w:rFonts w:ascii="Arial" w:hAnsi="Arial" w:cs="Arial"/>
          <w:bCs/>
          <w:iCs/>
          <w:sz w:val="24"/>
          <w:szCs w:val="24"/>
        </w:rPr>
        <w:t xml:space="preserve"> partners where this is assessed as necessary and agreed</w:t>
      </w:r>
      <w:r w:rsidR="004528FB">
        <w:rPr>
          <w:rFonts w:ascii="Arial" w:hAnsi="Arial" w:cs="Arial"/>
          <w:bCs/>
          <w:iCs/>
          <w:sz w:val="24"/>
          <w:szCs w:val="24"/>
        </w:rPr>
        <w:t xml:space="preserve"> by those entering into the initiatives</w:t>
      </w:r>
      <w:r w:rsidR="00106A17" w:rsidRPr="00F53E83">
        <w:rPr>
          <w:rFonts w:ascii="Arial" w:hAnsi="Arial" w:cs="Arial"/>
          <w:bCs/>
          <w:iCs/>
          <w:sz w:val="24"/>
          <w:szCs w:val="24"/>
        </w:rPr>
        <w:t xml:space="preserve">.  </w:t>
      </w:r>
    </w:p>
    <w:p w14:paraId="36E7D6CF" w14:textId="57B46DF9" w:rsidR="009F6855" w:rsidRPr="00F33182" w:rsidRDefault="009F6855" w:rsidP="00222DBE">
      <w:pPr>
        <w:pStyle w:val="Heading1"/>
        <w:numPr>
          <w:ilvl w:val="0"/>
          <w:numId w:val="37"/>
        </w:numPr>
        <w:jc w:val="both"/>
        <w:rPr>
          <w:rFonts w:ascii="Arial" w:eastAsia="Times New Roman" w:hAnsi="Arial" w:cs="Arial"/>
          <w:sz w:val="28"/>
          <w:szCs w:val="28"/>
          <w:lang w:eastAsia="en-GB"/>
        </w:rPr>
      </w:pPr>
      <w:bookmarkStart w:id="2" w:name="_Toc78401631"/>
      <w:r w:rsidRPr="00F33182">
        <w:rPr>
          <w:rFonts w:ascii="Arial" w:eastAsia="Times New Roman" w:hAnsi="Arial" w:cs="Arial"/>
          <w:sz w:val="28"/>
          <w:szCs w:val="28"/>
          <w:lang w:eastAsia="en-GB"/>
        </w:rPr>
        <w:t xml:space="preserve">How the </w:t>
      </w:r>
      <w:r w:rsidR="00B5127C">
        <w:rPr>
          <w:rFonts w:ascii="Arial" w:eastAsia="Times New Roman" w:hAnsi="Arial" w:cs="Arial"/>
          <w:sz w:val="28"/>
          <w:szCs w:val="28"/>
          <w:lang w:eastAsia="en-GB"/>
        </w:rPr>
        <w:t>framework</w:t>
      </w:r>
      <w:r w:rsidR="00B5127C" w:rsidRPr="00F33182">
        <w:rPr>
          <w:rFonts w:ascii="Arial" w:eastAsia="Times New Roman" w:hAnsi="Arial" w:cs="Arial"/>
          <w:sz w:val="28"/>
          <w:szCs w:val="28"/>
          <w:lang w:eastAsia="en-GB"/>
        </w:rPr>
        <w:t xml:space="preserve"> </w:t>
      </w:r>
      <w:r w:rsidRPr="00F33182">
        <w:rPr>
          <w:rFonts w:ascii="Arial" w:eastAsia="Times New Roman" w:hAnsi="Arial" w:cs="Arial"/>
          <w:sz w:val="28"/>
          <w:szCs w:val="28"/>
          <w:lang w:eastAsia="en-GB"/>
        </w:rPr>
        <w:t>will work in practice:</w:t>
      </w:r>
      <w:bookmarkEnd w:id="2"/>
    </w:p>
    <w:p w14:paraId="77289C96" w14:textId="77777777" w:rsidR="009F6855" w:rsidRPr="00F53E83" w:rsidRDefault="009F6855" w:rsidP="00222DBE">
      <w:p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 xml:space="preserve">This </w:t>
      </w:r>
      <w:r w:rsidR="00D80DB2">
        <w:rPr>
          <w:rFonts w:ascii="Arial" w:eastAsia="Times New Roman" w:hAnsi="Arial" w:cs="Arial"/>
          <w:color w:val="333333"/>
          <w:sz w:val="24"/>
          <w:szCs w:val="24"/>
          <w:lang w:eastAsia="en-GB"/>
        </w:rPr>
        <w:t>framework</w:t>
      </w:r>
      <w:r w:rsidRPr="00F53E83">
        <w:rPr>
          <w:rFonts w:ascii="Arial" w:eastAsia="Times New Roman" w:hAnsi="Arial" w:cs="Arial"/>
          <w:color w:val="333333"/>
          <w:sz w:val="24"/>
          <w:szCs w:val="24"/>
          <w:lang w:eastAsia="en-GB"/>
        </w:rPr>
        <w:t xml:space="preserve"> sets out an approach to support the sharing of data across two sharing paths:</w:t>
      </w:r>
    </w:p>
    <w:p w14:paraId="6C0C1B14" w14:textId="636E191A" w:rsidR="009F6855" w:rsidRPr="00F53E83" w:rsidRDefault="009F6855" w:rsidP="00222DBE">
      <w:pPr>
        <w:pStyle w:val="ListParagraph"/>
        <w:numPr>
          <w:ilvl w:val="0"/>
          <w:numId w:val="3"/>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 xml:space="preserve">Sharing </w:t>
      </w:r>
      <w:r w:rsidR="00D80DB2">
        <w:rPr>
          <w:rFonts w:ascii="Arial" w:eastAsia="Times New Roman" w:hAnsi="Arial" w:cs="Arial"/>
          <w:color w:val="333333"/>
          <w:sz w:val="24"/>
          <w:szCs w:val="24"/>
          <w:lang w:eastAsia="en-GB"/>
        </w:rPr>
        <w:t xml:space="preserve">to safeguard </w:t>
      </w:r>
      <w:r w:rsidR="006A3C52" w:rsidRPr="006A3C52">
        <w:rPr>
          <w:rFonts w:ascii="Arial" w:eastAsia="Times New Roman" w:hAnsi="Arial" w:cs="Arial"/>
          <w:color w:val="333333"/>
          <w:sz w:val="24"/>
          <w:szCs w:val="24"/>
          <w:lang w:eastAsia="en-GB"/>
        </w:rPr>
        <w:t>those at risk of harm or abuse</w:t>
      </w:r>
      <w:r w:rsidRPr="00F53E83">
        <w:rPr>
          <w:rFonts w:ascii="Arial" w:eastAsia="Times New Roman" w:hAnsi="Arial" w:cs="Arial"/>
          <w:color w:val="333333"/>
          <w:sz w:val="24"/>
          <w:szCs w:val="24"/>
          <w:lang w:eastAsia="en-GB"/>
        </w:rPr>
        <w:t xml:space="preserve"> </w:t>
      </w:r>
      <w:proofErr w:type="gramStart"/>
      <w:r w:rsidRPr="00F53E83">
        <w:rPr>
          <w:rFonts w:ascii="Arial" w:eastAsia="Times New Roman" w:hAnsi="Arial" w:cs="Arial"/>
          <w:color w:val="333333"/>
          <w:sz w:val="24"/>
          <w:szCs w:val="24"/>
          <w:lang w:eastAsia="en-GB"/>
        </w:rPr>
        <w:t>and;</w:t>
      </w:r>
      <w:proofErr w:type="gramEnd"/>
    </w:p>
    <w:p w14:paraId="2777C062" w14:textId="77777777" w:rsidR="009F6855" w:rsidRPr="00F53E83" w:rsidRDefault="009F6855" w:rsidP="00222DBE">
      <w:pPr>
        <w:pStyle w:val="ListParagraph"/>
        <w:numPr>
          <w:ilvl w:val="0"/>
          <w:numId w:val="3"/>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 xml:space="preserve">Sharing for the current </w:t>
      </w:r>
      <w:bookmarkStart w:id="3" w:name="_Hlk63768203"/>
      <w:r w:rsidRPr="00F53E83">
        <w:rPr>
          <w:rFonts w:ascii="Arial" w:eastAsia="Times New Roman" w:hAnsi="Arial" w:cs="Arial"/>
          <w:color w:val="333333"/>
          <w:sz w:val="24"/>
          <w:szCs w:val="24"/>
          <w:lang w:eastAsia="en-GB"/>
        </w:rPr>
        <w:t xml:space="preserve">management and future development of an </w:t>
      </w:r>
      <w:r w:rsidR="00680333" w:rsidRPr="00F53E83">
        <w:rPr>
          <w:rFonts w:ascii="Arial" w:eastAsia="Times New Roman" w:hAnsi="Arial" w:cs="Arial"/>
          <w:color w:val="333333"/>
          <w:sz w:val="24"/>
          <w:szCs w:val="24"/>
          <w:lang w:eastAsia="en-GB"/>
        </w:rPr>
        <w:t xml:space="preserve">effective </w:t>
      </w:r>
      <w:r w:rsidR="00680333">
        <w:rPr>
          <w:rFonts w:ascii="Arial" w:eastAsia="Times New Roman" w:hAnsi="Arial" w:cs="Arial"/>
          <w:color w:val="333333"/>
          <w:sz w:val="24"/>
          <w:szCs w:val="24"/>
          <w:lang w:eastAsia="en-GB"/>
        </w:rPr>
        <w:t>system</w:t>
      </w:r>
      <w:r w:rsidR="00D52DEF">
        <w:rPr>
          <w:rFonts w:ascii="Arial" w:eastAsia="Times New Roman" w:hAnsi="Arial" w:cs="Arial"/>
          <w:color w:val="333333"/>
          <w:sz w:val="24"/>
          <w:szCs w:val="24"/>
          <w:lang w:eastAsia="en-GB"/>
        </w:rPr>
        <w:t xml:space="preserve"> to prevent violence</w:t>
      </w:r>
      <w:bookmarkEnd w:id="3"/>
      <w:r w:rsidRPr="00F53E83">
        <w:rPr>
          <w:rFonts w:ascii="Arial" w:eastAsia="Times New Roman" w:hAnsi="Arial" w:cs="Arial"/>
          <w:color w:val="333333"/>
          <w:sz w:val="24"/>
          <w:szCs w:val="24"/>
          <w:lang w:eastAsia="en-GB"/>
        </w:rPr>
        <w:t xml:space="preserve">, described as ‘purposes other than </w:t>
      </w:r>
      <w:r w:rsidR="00564210">
        <w:rPr>
          <w:rFonts w:ascii="Arial" w:eastAsia="Times New Roman" w:hAnsi="Arial" w:cs="Arial"/>
          <w:color w:val="333333"/>
          <w:sz w:val="24"/>
          <w:szCs w:val="24"/>
          <w:lang w:eastAsia="en-GB"/>
        </w:rPr>
        <w:t>safeguarding</w:t>
      </w:r>
      <w:r w:rsidRPr="00F53E83">
        <w:rPr>
          <w:rFonts w:ascii="Arial" w:eastAsia="Times New Roman" w:hAnsi="Arial" w:cs="Arial"/>
          <w:color w:val="333333"/>
          <w:sz w:val="24"/>
          <w:szCs w:val="24"/>
          <w:lang w:eastAsia="en-GB"/>
        </w:rPr>
        <w:t>’.</w:t>
      </w:r>
    </w:p>
    <w:p w14:paraId="381C3BA8" w14:textId="77777777" w:rsidR="009F6855" w:rsidRDefault="009F6855" w:rsidP="00222DBE">
      <w:pPr>
        <w:spacing w:before="100" w:beforeAutospacing="1" w:after="100" w:afterAutospacing="1" w:line="270" w:lineRule="atLeast"/>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 xml:space="preserve">These paths are described in more detail in sections </w:t>
      </w:r>
      <w:r w:rsidR="00BC0529" w:rsidRPr="00F33182">
        <w:rPr>
          <w:rFonts w:ascii="Arial" w:eastAsia="Times New Roman" w:hAnsi="Arial" w:cs="Arial"/>
          <w:color w:val="333333"/>
          <w:sz w:val="24"/>
          <w:szCs w:val="24"/>
          <w:lang w:eastAsia="en-GB"/>
        </w:rPr>
        <w:t>5 &amp; 6.</w:t>
      </w:r>
      <w:r w:rsidRPr="00F33182">
        <w:rPr>
          <w:rFonts w:ascii="Arial" w:eastAsia="Times New Roman" w:hAnsi="Arial" w:cs="Arial"/>
          <w:color w:val="333333"/>
          <w:sz w:val="24"/>
          <w:szCs w:val="24"/>
          <w:lang w:eastAsia="en-GB"/>
        </w:rPr>
        <w:t xml:space="preserve">  </w:t>
      </w:r>
    </w:p>
    <w:p w14:paraId="2E295D85" w14:textId="2E29C021" w:rsidR="000D0FF8" w:rsidRPr="00D74419" w:rsidRDefault="000D0FF8" w:rsidP="00222DBE">
      <w:pPr>
        <w:jc w:val="both"/>
        <w:rPr>
          <w:rFonts w:ascii="Arial" w:hAnsi="Arial" w:cs="Arial"/>
          <w:sz w:val="24"/>
          <w:szCs w:val="24"/>
        </w:rPr>
      </w:pPr>
      <w:r w:rsidRPr="00D74419">
        <w:rPr>
          <w:rFonts w:ascii="Arial" w:hAnsi="Arial" w:cs="Arial"/>
          <w:sz w:val="24"/>
          <w:szCs w:val="24"/>
        </w:rPr>
        <w:t xml:space="preserve">At a strategic level, (national or regional) we do not expect that individual personal data will be routinely shared through the South West collaborative as, so far as practicable, local partnerships should have arrangements in place, which set out clearly the processes and the principles for sharing information and data internally. </w:t>
      </w:r>
      <w:r w:rsidR="00D74419">
        <w:rPr>
          <w:rFonts w:ascii="Arial" w:hAnsi="Arial" w:cs="Arial"/>
          <w:sz w:val="24"/>
          <w:szCs w:val="24"/>
        </w:rPr>
        <w:t xml:space="preserve">Local </w:t>
      </w:r>
      <w:r w:rsidRPr="00D74419">
        <w:rPr>
          <w:rFonts w:ascii="Arial" w:hAnsi="Arial" w:cs="Arial"/>
          <w:sz w:val="24"/>
          <w:szCs w:val="24"/>
        </w:rPr>
        <w:t>processes will outline how personal data can be shared through existing information gateways (</w:t>
      </w:r>
      <w:r w:rsidR="00D74419">
        <w:rPr>
          <w:rFonts w:ascii="Arial" w:hAnsi="Arial" w:cs="Arial"/>
          <w:sz w:val="24"/>
          <w:szCs w:val="24"/>
        </w:rPr>
        <w:t xml:space="preserve">for example, </w:t>
      </w:r>
      <w:hyperlink r:id="rId11" w:history="1">
        <w:r w:rsidR="00D74419" w:rsidRPr="00DE415E">
          <w:rPr>
            <w:rStyle w:val="Hyperlink"/>
            <w:rFonts w:ascii="Arial" w:hAnsi="Arial" w:cs="Arial"/>
            <w:sz w:val="24"/>
            <w:szCs w:val="24"/>
          </w:rPr>
          <w:t>multi-agency risk assessment conferences</w:t>
        </w:r>
      </w:hyperlink>
      <w:r w:rsidR="00D74419">
        <w:rPr>
          <w:rFonts w:ascii="Arial" w:hAnsi="Arial" w:cs="Arial"/>
          <w:sz w:val="24"/>
          <w:szCs w:val="24"/>
        </w:rPr>
        <w:t xml:space="preserve"> (MARAC)</w:t>
      </w:r>
      <w:r w:rsidR="00DE415E">
        <w:rPr>
          <w:rFonts w:ascii="Arial" w:hAnsi="Arial" w:cs="Arial"/>
          <w:sz w:val="24"/>
          <w:szCs w:val="24"/>
        </w:rPr>
        <w:t xml:space="preserve">, </w:t>
      </w:r>
      <w:hyperlink r:id="rId12" w:history="1">
        <w:r w:rsidR="00DE415E" w:rsidRPr="00DE415E">
          <w:rPr>
            <w:rStyle w:val="Hyperlink"/>
            <w:rFonts w:ascii="Arial" w:hAnsi="Arial" w:cs="Arial"/>
            <w:sz w:val="24"/>
            <w:szCs w:val="24"/>
          </w:rPr>
          <w:t>multi-agency public protection arrangements</w:t>
        </w:r>
      </w:hyperlink>
      <w:r w:rsidR="00DE415E">
        <w:rPr>
          <w:rFonts w:ascii="Arial" w:hAnsi="Arial" w:cs="Arial"/>
          <w:sz w:val="24"/>
          <w:szCs w:val="24"/>
        </w:rPr>
        <w:t xml:space="preserve"> (MAPPA)</w:t>
      </w:r>
      <w:r w:rsidR="00D74419">
        <w:rPr>
          <w:rFonts w:ascii="Arial" w:hAnsi="Arial" w:cs="Arial"/>
          <w:sz w:val="24"/>
          <w:szCs w:val="24"/>
        </w:rPr>
        <w:t xml:space="preserve"> </w:t>
      </w:r>
      <w:r w:rsidRPr="00D74419">
        <w:rPr>
          <w:rFonts w:ascii="Arial" w:hAnsi="Arial" w:cs="Arial"/>
          <w:sz w:val="24"/>
          <w:szCs w:val="24"/>
        </w:rPr>
        <w:t xml:space="preserve">and </w:t>
      </w:r>
      <w:r w:rsidR="00D74419">
        <w:rPr>
          <w:rFonts w:ascii="Arial" w:hAnsi="Arial" w:cs="Arial"/>
          <w:sz w:val="24"/>
          <w:szCs w:val="24"/>
        </w:rPr>
        <w:t>multi-agency safeguarding hubs (</w:t>
      </w:r>
      <w:r w:rsidRPr="00D74419">
        <w:rPr>
          <w:rFonts w:ascii="Arial" w:hAnsi="Arial" w:cs="Arial"/>
          <w:sz w:val="24"/>
          <w:szCs w:val="24"/>
        </w:rPr>
        <w:t>MASH</w:t>
      </w:r>
      <w:r w:rsidR="00D74419">
        <w:rPr>
          <w:rFonts w:ascii="Arial" w:hAnsi="Arial" w:cs="Arial"/>
          <w:sz w:val="24"/>
          <w:szCs w:val="24"/>
        </w:rPr>
        <w:t>)</w:t>
      </w:r>
      <w:r w:rsidRPr="00D74419">
        <w:rPr>
          <w:rFonts w:ascii="Arial" w:hAnsi="Arial" w:cs="Arial"/>
          <w:sz w:val="24"/>
          <w:szCs w:val="24"/>
        </w:rPr>
        <w:t xml:space="preserve"> arrangements)</w:t>
      </w:r>
      <w:r w:rsidR="00222DBE">
        <w:rPr>
          <w:rStyle w:val="FootnoteReference"/>
          <w:rFonts w:ascii="Arial" w:hAnsi="Arial" w:cs="Arial"/>
          <w:sz w:val="24"/>
          <w:szCs w:val="24"/>
        </w:rPr>
        <w:footnoteReference w:id="3"/>
      </w:r>
      <w:r w:rsidRPr="00D74419">
        <w:rPr>
          <w:rFonts w:ascii="Arial" w:hAnsi="Arial" w:cs="Arial"/>
          <w:sz w:val="24"/>
          <w:szCs w:val="24"/>
        </w:rPr>
        <w:t xml:space="preserve">. However, there may be instances where information pertaining to individuals (including personal data) needs to be shared, </w:t>
      </w:r>
      <w:r w:rsidR="00D74419">
        <w:rPr>
          <w:rFonts w:ascii="Arial" w:hAnsi="Arial" w:cs="Arial"/>
          <w:sz w:val="24"/>
          <w:szCs w:val="24"/>
        </w:rPr>
        <w:t xml:space="preserve">a </w:t>
      </w:r>
      <w:r w:rsidR="00781409">
        <w:rPr>
          <w:rFonts w:ascii="Arial" w:hAnsi="Arial" w:cs="Arial"/>
          <w:sz w:val="24"/>
          <w:szCs w:val="24"/>
        </w:rPr>
        <w:t>possible</w:t>
      </w:r>
      <w:r w:rsidR="00D74419">
        <w:rPr>
          <w:rFonts w:ascii="Arial" w:hAnsi="Arial" w:cs="Arial"/>
          <w:sz w:val="24"/>
          <w:szCs w:val="24"/>
        </w:rPr>
        <w:t xml:space="preserve"> </w:t>
      </w:r>
      <w:r w:rsidRPr="00D74419">
        <w:rPr>
          <w:rFonts w:ascii="Arial" w:hAnsi="Arial" w:cs="Arial"/>
          <w:sz w:val="24"/>
          <w:szCs w:val="24"/>
        </w:rPr>
        <w:t>example if the police wish to discuss within or across boundaries a local gang</w:t>
      </w:r>
      <w:r w:rsidR="00D74419">
        <w:rPr>
          <w:rFonts w:ascii="Arial" w:hAnsi="Arial" w:cs="Arial"/>
          <w:sz w:val="24"/>
          <w:szCs w:val="24"/>
        </w:rPr>
        <w:t xml:space="preserve"> and/or individuals’</w:t>
      </w:r>
      <w:r w:rsidRPr="00D74419">
        <w:rPr>
          <w:rFonts w:ascii="Arial" w:hAnsi="Arial" w:cs="Arial"/>
          <w:sz w:val="24"/>
          <w:szCs w:val="24"/>
        </w:rPr>
        <w:t xml:space="preserve"> patterns of behaviour that would be difficult to assess without partnership collaboration. </w:t>
      </w:r>
    </w:p>
    <w:p w14:paraId="03F587B8" w14:textId="77777777" w:rsidR="009F6855" w:rsidRPr="00F33182" w:rsidRDefault="009F6855" w:rsidP="00222DBE">
      <w:pPr>
        <w:spacing w:before="100" w:beforeAutospacing="1" w:after="100" w:afterAutospacing="1" w:line="270" w:lineRule="atLeast"/>
        <w:jc w:val="both"/>
        <w:rPr>
          <w:rFonts w:ascii="Arial" w:eastAsia="Times New Roman" w:hAnsi="Arial" w:cs="Arial"/>
          <w:b/>
          <w:color w:val="333333"/>
          <w:sz w:val="24"/>
          <w:szCs w:val="24"/>
          <w:lang w:eastAsia="en-GB"/>
        </w:rPr>
      </w:pPr>
      <w:r w:rsidRPr="00F33182">
        <w:rPr>
          <w:rFonts w:ascii="Arial" w:eastAsia="Times New Roman" w:hAnsi="Arial" w:cs="Arial"/>
          <w:b/>
          <w:color w:val="333333"/>
          <w:sz w:val="24"/>
          <w:szCs w:val="24"/>
          <w:lang w:eastAsia="en-GB"/>
        </w:rPr>
        <w:lastRenderedPageBreak/>
        <w:t xml:space="preserve">Signing this agreement does not itself enable data sharing to be conducted.  The requirements of the two paths above </w:t>
      </w:r>
      <w:r w:rsidR="00F33182" w:rsidRPr="00F33182">
        <w:rPr>
          <w:rFonts w:ascii="Arial" w:eastAsia="Times New Roman" w:hAnsi="Arial" w:cs="Arial"/>
          <w:b/>
          <w:color w:val="333333"/>
          <w:sz w:val="24"/>
          <w:szCs w:val="24"/>
          <w:lang w:eastAsia="en-GB"/>
        </w:rPr>
        <w:t>must</w:t>
      </w:r>
      <w:r w:rsidRPr="00F33182">
        <w:rPr>
          <w:rFonts w:ascii="Arial" w:eastAsia="Times New Roman" w:hAnsi="Arial" w:cs="Arial"/>
          <w:b/>
          <w:color w:val="333333"/>
          <w:sz w:val="24"/>
          <w:szCs w:val="24"/>
          <w:lang w:eastAsia="en-GB"/>
        </w:rPr>
        <w:t xml:space="preserve"> be followed</w:t>
      </w:r>
      <w:r w:rsidR="00890130" w:rsidRPr="00F33182">
        <w:rPr>
          <w:rFonts w:ascii="Arial" w:eastAsia="Times New Roman" w:hAnsi="Arial" w:cs="Arial"/>
          <w:b/>
          <w:color w:val="333333"/>
          <w:sz w:val="24"/>
          <w:szCs w:val="24"/>
          <w:lang w:eastAsia="en-GB"/>
        </w:rPr>
        <w:t xml:space="preserve"> to establish operational data sharing</w:t>
      </w:r>
      <w:r w:rsidRPr="00F33182">
        <w:rPr>
          <w:rFonts w:ascii="Arial" w:eastAsia="Times New Roman" w:hAnsi="Arial" w:cs="Arial"/>
          <w:b/>
          <w:color w:val="333333"/>
          <w:sz w:val="24"/>
          <w:szCs w:val="24"/>
          <w:lang w:eastAsia="en-GB"/>
        </w:rPr>
        <w:t>.</w:t>
      </w:r>
    </w:p>
    <w:p w14:paraId="7D644D7F" w14:textId="77777777" w:rsidR="009F6855" w:rsidRPr="00F33182" w:rsidRDefault="009F6855" w:rsidP="00222DBE">
      <w:pPr>
        <w:spacing w:before="100" w:beforeAutospacing="1" w:after="100" w:afterAutospacing="1" w:line="270" w:lineRule="atLeast"/>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The appendices to this agreement identif</w:t>
      </w:r>
      <w:r w:rsidR="00FA1CA2" w:rsidRPr="00F33182">
        <w:rPr>
          <w:rFonts w:ascii="Arial" w:eastAsia="Times New Roman" w:hAnsi="Arial" w:cs="Arial"/>
          <w:color w:val="333333"/>
          <w:sz w:val="24"/>
          <w:szCs w:val="24"/>
          <w:lang w:eastAsia="en-GB"/>
        </w:rPr>
        <w:t>y</w:t>
      </w:r>
      <w:r w:rsidRPr="00F33182">
        <w:rPr>
          <w:rFonts w:ascii="Arial" w:eastAsia="Times New Roman" w:hAnsi="Arial" w:cs="Arial"/>
          <w:color w:val="333333"/>
          <w:sz w:val="24"/>
          <w:szCs w:val="24"/>
          <w:lang w:eastAsia="en-GB"/>
        </w:rPr>
        <w:t xml:space="preserve"> the core legal powers and lawful bases for the sharing of data, so programmes, projects and other activities can assess and use these as required for the basis for their operational data sharing.  </w:t>
      </w:r>
      <w:r w:rsidR="00890130" w:rsidRPr="00F33182">
        <w:rPr>
          <w:rFonts w:ascii="Arial" w:eastAsia="Times New Roman" w:hAnsi="Arial" w:cs="Arial"/>
          <w:b/>
          <w:color w:val="333333"/>
          <w:sz w:val="24"/>
          <w:szCs w:val="24"/>
          <w:lang w:eastAsia="en-GB"/>
        </w:rPr>
        <w:t>The appendices and support materials can be updated and developed without the need for partners to re-sign this agreement.</w:t>
      </w:r>
    </w:p>
    <w:p w14:paraId="0BFDEF0F" w14:textId="25530573" w:rsidR="009F6855" w:rsidRPr="00F33182" w:rsidRDefault="009F6855" w:rsidP="00222DBE">
      <w:pPr>
        <w:spacing w:before="100" w:beforeAutospacing="1" w:after="100" w:afterAutospacing="1" w:line="270" w:lineRule="atLeast"/>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 xml:space="preserve">The intent of this approach is to support initiatives in setting out data sharing arrangements.  Where organisations do not require that support, </w:t>
      </w:r>
      <w:proofErr w:type="gramStart"/>
      <w:r w:rsidRPr="00F33182">
        <w:rPr>
          <w:rFonts w:ascii="Arial" w:eastAsia="Times New Roman" w:hAnsi="Arial" w:cs="Arial"/>
          <w:color w:val="333333"/>
          <w:sz w:val="24"/>
          <w:szCs w:val="24"/>
          <w:lang w:eastAsia="en-GB"/>
        </w:rPr>
        <w:t>i.e.</w:t>
      </w:r>
      <w:proofErr w:type="gramEnd"/>
      <w:r w:rsidRPr="00F33182">
        <w:rPr>
          <w:rFonts w:ascii="Arial" w:eastAsia="Times New Roman" w:hAnsi="Arial" w:cs="Arial"/>
          <w:color w:val="333333"/>
          <w:sz w:val="24"/>
          <w:szCs w:val="24"/>
          <w:lang w:eastAsia="en-GB"/>
        </w:rPr>
        <w:t xml:space="preserve"> they have their own template documentation, accessible expertise and are not encountering any difficulties in establishing arrangements, then this agreement is not mandatory.</w:t>
      </w:r>
    </w:p>
    <w:p w14:paraId="27C8D7E9" w14:textId="77777777" w:rsidR="009F6855" w:rsidRPr="00F33182" w:rsidRDefault="009F6855" w:rsidP="00222DBE">
      <w:pPr>
        <w:spacing w:before="100" w:beforeAutospacing="1" w:after="100" w:afterAutospacing="1" w:line="270" w:lineRule="atLeast"/>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The agreement will maintain and publish details of:</w:t>
      </w:r>
    </w:p>
    <w:p w14:paraId="5F0FC7BB" w14:textId="0EA129A2" w:rsidR="009F6855" w:rsidRPr="00F33182" w:rsidRDefault="009F6855" w:rsidP="00222DBE">
      <w:pPr>
        <w:pStyle w:val="ListParagraph"/>
        <w:numPr>
          <w:ilvl w:val="0"/>
          <w:numId w:val="4"/>
        </w:numPr>
        <w:spacing w:before="100" w:beforeAutospacing="1" w:after="100" w:afterAutospacing="1" w:line="270" w:lineRule="atLeast"/>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Organisations invited to sign the agreement and those that have signed, noting their organisational status (</w:t>
      </w:r>
      <w:proofErr w:type="gramStart"/>
      <w:r w:rsidRPr="00F33182">
        <w:rPr>
          <w:rFonts w:ascii="Arial" w:eastAsia="Times New Roman" w:hAnsi="Arial" w:cs="Arial"/>
          <w:color w:val="333333"/>
          <w:sz w:val="24"/>
          <w:szCs w:val="24"/>
          <w:lang w:eastAsia="en-GB"/>
        </w:rPr>
        <w:t>i.e.</w:t>
      </w:r>
      <w:proofErr w:type="gramEnd"/>
      <w:r w:rsidRPr="00F33182">
        <w:rPr>
          <w:rFonts w:ascii="Arial" w:eastAsia="Times New Roman" w:hAnsi="Arial" w:cs="Arial"/>
          <w:color w:val="333333"/>
          <w:sz w:val="24"/>
          <w:szCs w:val="24"/>
          <w:lang w:eastAsia="en-GB"/>
        </w:rPr>
        <w:t xml:space="preserve"> public body, private organisation,</w:t>
      </w:r>
      <w:r w:rsidR="004528FB">
        <w:rPr>
          <w:rFonts w:ascii="Arial" w:eastAsia="Times New Roman" w:hAnsi="Arial" w:cs="Arial"/>
          <w:color w:val="333333"/>
          <w:sz w:val="24"/>
          <w:szCs w:val="24"/>
          <w:lang w:eastAsia="en-GB"/>
        </w:rPr>
        <w:t xml:space="preserve"> voluntary sector</w:t>
      </w:r>
      <w:r w:rsidRPr="00F33182">
        <w:rPr>
          <w:rFonts w:ascii="Arial" w:eastAsia="Times New Roman" w:hAnsi="Arial" w:cs="Arial"/>
          <w:color w:val="333333"/>
          <w:sz w:val="24"/>
          <w:szCs w:val="24"/>
          <w:lang w:eastAsia="en-GB"/>
        </w:rPr>
        <w:t xml:space="preserve"> and educational establishment)</w:t>
      </w:r>
      <w:r w:rsidR="001236B0" w:rsidRPr="00F33182">
        <w:rPr>
          <w:rFonts w:ascii="Arial" w:eastAsia="Times New Roman" w:hAnsi="Arial" w:cs="Arial"/>
          <w:color w:val="333333"/>
          <w:sz w:val="24"/>
          <w:szCs w:val="24"/>
          <w:lang w:eastAsia="en-GB"/>
        </w:rPr>
        <w:t xml:space="preserve"> and whether they are a</w:t>
      </w:r>
      <w:r w:rsidRPr="00F33182">
        <w:rPr>
          <w:rFonts w:ascii="Arial" w:eastAsia="Times New Roman" w:hAnsi="Arial" w:cs="Arial"/>
          <w:color w:val="333333"/>
          <w:sz w:val="24"/>
          <w:szCs w:val="24"/>
          <w:lang w:eastAsia="en-GB"/>
        </w:rPr>
        <w:t xml:space="preserve"> </w:t>
      </w:r>
      <w:r w:rsidR="001236B0" w:rsidRPr="00F33182">
        <w:rPr>
          <w:rFonts w:ascii="Arial" w:eastAsia="Times New Roman" w:hAnsi="Arial" w:cs="Arial"/>
          <w:color w:val="333333"/>
          <w:sz w:val="24"/>
          <w:szCs w:val="24"/>
          <w:lang w:eastAsia="en-GB"/>
        </w:rPr>
        <w:t>South West region</w:t>
      </w:r>
      <w:r w:rsidRPr="00F33182">
        <w:rPr>
          <w:rFonts w:ascii="Arial" w:eastAsia="Times New Roman" w:hAnsi="Arial" w:cs="Arial"/>
          <w:color w:val="333333"/>
          <w:sz w:val="24"/>
          <w:szCs w:val="24"/>
          <w:lang w:eastAsia="en-GB"/>
        </w:rPr>
        <w:t xml:space="preserve"> partner or an associated organisation.</w:t>
      </w:r>
    </w:p>
    <w:p w14:paraId="7B6E32B6" w14:textId="77777777" w:rsidR="00601C5E" w:rsidRPr="00F33182" w:rsidRDefault="009F6855" w:rsidP="00222DBE">
      <w:pPr>
        <w:pStyle w:val="ListParagraph"/>
        <w:numPr>
          <w:ilvl w:val="0"/>
          <w:numId w:val="4"/>
        </w:numPr>
        <w:jc w:val="both"/>
        <w:rPr>
          <w:rFonts w:ascii="Arial" w:eastAsia="Times New Roman" w:hAnsi="Arial" w:cs="Arial"/>
          <w:color w:val="333333"/>
          <w:sz w:val="24"/>
          <w:szCs w:val="24"/>
          <w:lang w:eastAsia="en-GB"/>
        </w:rPr>
      </w:pPr>
      <w:r w:rsidRPr="00F33182">
        <w:rPr>
          <w:rFonts w:ascii="Arial" w:eastAsia="Times New Roman" w:hAnsi="Arial" w:cs="Arial"/>
          <w:color w:val="333333"/>
          <w:sz w:val="24"/>
          <w:szCs w:val="24"/>
          <w:lang w:eastAsia="en-GB"/>
        </w:rPr>
        <w:t>The sharing initiatives utilising the agreement to provide their data sharing arrangements and links (where possible) to their operational documentation.</w:t>
      </w:r>
    </w:p>
    <w:p w14:paraId="4D9C71E4" w14:textId="77777777" w:rsidR="00B97E7B" w:rsidRPr="00F53E83" w:rsidRDefault="00B97E7B" w:rsidP="00222DBE">
      <w:pPr>
        <w:pStyle w:val="ListParagraph"/>
        <w:ind w:left="502"/>
        <w:jc w:val="both"/>
        <w:rPr>
          <w:rFonts w:ascii="Arial" w:hAnsi="Arial" w:cs="Arial"/>
          <w:b/>
          <w:sz w:val="24"/>
          <w:szCs w:val="24"/>
        </w:rPr>
      </w:pPr>
    </w:p>
    <w:p w14:paraId="05CA28C0" w14:textId="77777777" w:rsidR="009F6855" w:rsidRPr="00F33182" w:rsidRDefault="009F6855" w:rsidP="00222DBE">
      <w:pPr>
        <w:pStyle w:val="Heading1"/>
        <w:numPr>
          <w:ilvl w:val="0"/>
          <w:numId w:val="37"/>
        </w:numPr>
        <w:jc w:val="both"/>
        <w:rPr>
          <w:rFonts w:ascii="Arial" w:hAnsi="Arial" w:cs="Arial"/>
          <w:sz w:val="28"/>
          <w:szCs w:val="28"/>
        </w:rPr>
      </w:pPr>
      <w:bookmarkStart w:id="4" w:name="_Toc78401632"/>
      <w:r w:rsidRPr="00F33182">
        <w:rPr>
          <w:rFonts w:ascii="Arial" w:hAnsi="Arial" w:cs="Arial"/>
          <w:sz w:val="28"/>
          <w:szCs w:val="28"/>
        </w:rPr>
        <w:t>Principles for sharing data</w:t>
      </w:r>
      <w:bookmarkEnd w:id="4"/>
    </w:p>
    <w:p w14:paraId="3789F6F6" w14:textId="77777777" w:rsidR="00CB14E2" w:rsidRPr="006A3C52" w:rsidRDefault="00CB14E2" w:rsidP="00222DBE">
      <w:pPr>
        <w:jc w:val="both"/>
        <w:rPr>
          <w:rFonts w:ascii="Arial" w:eastAsia="Times New Roman" w:hAnsi="Arial" w:cs="Arial"/>
          <w:b/>
          <w:bCs/>
          <w:color w:val="333333"/>
          <w:sz w:val="24"/>
          <w:szCs w:val="24"/>
          <w:lang w:eastAsia="en-GB"/>
        </w:rPr>
      </w:pPr>
      <w:r w:rsidRPr="006A3C52">
        <w:rPr>
          <w:rFonts w:ascii="Arial" w:eastAsia="Times New Roman" w:hAnsi="Arial" w:cs="Arial"/>
          <w:b/>
          <w:bCs/>
          <w:color w:val="333333"/>
          <w:sz w:val="24"/>
          <w:szCs w:val="24"/>
          <w:lang w:eastAsia="en-GB"/>
        </w:rPr>
        <w:t>Core principles:</w:t>
      </w:r>
    </w:p>
    <w:p w14:paraId="42D41176" w14:textId="77777777" w:rsidR="00CB14E2" w:rsidRPr="00F53E83" w:rsidRDefault="00CB14E2" w:rsidP="00222DBE">
      <w:pPr>
        <w:pStyle w:val="ListParagraph"/>
        <w:numPr>
          <w:ilvl w:val="0"/>
          <w:numId w:val="7"/>
        </w:numPr>
        <w:jc w:val="both"/>
        <w:rPr>
          <w:rFonts w:ascii="Arial" w:hAnsi="Arial" w:cs="Arial"/>
          <w:sz w:val="24"/>
          <w:szCs w:val="24"/>
        </w:rPr>
      </w:pPr>
      <w:r w:rsidRPr="00F53E83">
        <w:rPr>
          <w:rFonts w:ascii="Arial" w:hAnsi="Arial" w:cs="Arial"/>
          <w:sz w:val="24"/>
          <w:szCs w:val="24"/>
        </w:rPr>
        <w:t xml:space="preserve">The </w:t>
      </w:r>
      <w:r w:rsidR="005A2097">
        <w:rPr>
          <w:rFonts w:ascii="Arial" w:hAnsi="Arial" w:cs="Arial"/>
          <w:sz w:val="24"/>
          <w:szCs w:val="24"/>
        </w:rPr>
        <w:t>framework</w:t>
      </w:r>
      <w:r w:rsidRPr="00F53E83">
        <w:rPr>
          <w:rFonts w:ascii="Arial" w:hAnsi="Arial" w:cs="Arial"/>
          <w:sz w:val="24"/>
          <w:szCs w:val="24"/>
        </w:rPr>
        <w:t xml:space="preserve"> establishes the common bases and approach to sharing data for both </w:t>
      </w:r>
      <w:r w:rsidR="005A2097">
        <w:rPr>
          <w:rFonts w:ascii="Arial" w:hAnsi="Arial" w:cs="Arial"/>
          <w:sz w:val="24"/>
          <w:szCs w:val="24"/>
        </w:rPr>
        <w:t>the safeguarding of vulnerable individuals</w:t>
      </w:r>
      <w:r w:rsidRPr="00F53E83">
        <w:rPr>
          <w:rFonts w:ascii="Arial" w:hAnsi="Arial" w:cs="Arial"/>
          <w:sz w:val="24"/>
          <w:szCs w:val="24"/>
        </w:rPr>
        <w:t xml:space="preserve"> and</w:t>
      </w:r>
      <w:r w:rsidR="005A2097">
        <w:rPr>
          <w:rFonts w:ascii="Arial" w:hAnsi="Arial" w:cs="Arial"/>
          <w:sz w:val="24"/>
          <w:szCs w:val="24"/>
        </w:rPr>
        <w:t xml:space="preserve"> other</w:t>
      </w:r>
      <w:r w:rsidRPr="00F53E83">
        <w:rPr>
          <w:rFonts w:ascii="Arial" w:hAnsi="Arial" w:cs="Arial"/>
          <w:sz w:val="24"/>
          <w:szCs w:val="24"/>
        </w:rPr>
        <w:t xml:space="preserve"> purposes.  </w:t>
      </w:r>
    </w:p>
    <w:p w14:paraId="5CAEAA64" w14:textId="77777777" w:rsidR="00CB14E2" w:rsidRPr="00F53E83" w:rsidRDefault="00CB14E2" w:rsidP="00222DBE">
      <w:pPr>
        <w:pStyle w:val="ListParagraph"/>
        <w:jc w:val="both"/>
        <w:rPr>
          <w:rFonts w:ascii="Arial" w:hAnsi="Arial" w:cs="Arial"/>
          <w:sz w:val="24"/>
          <w:szCs w:val="24"/>
        </w:rPr>
      </w:pPr>
    </w:p>
    <w:p w14:paraId="33CBA5F4" w14:textId="77777777" w:rsidR="00CB14E2" w:rsidRPr="00F53E83" w:rsidRDefault="00CB14E2" w:rsidP="00222DBE">
      <w:pPr>
        <w:pStyle w:val="ListParagraph"/>
        <w:numPr>
          <w:ilvl w:val="0"/>
          <w:numId w:val="7"/>
        </w:numPr>
        <w:jc w:val="both"/>
        <w:rPr>
          <w:rFonts w:ascii="Arial" w:hAnsi="Arial" w:cs="Arial"/>
          <w:sz w:val="24"/>
          <w:szCs w:val="24"/>
        </w:rPr>
      </w:pPr>
      <w:r w:rsidRPr="00F53E83">
        <w:rPr>
          <w:rFonts w:ascii="Arial" w:hAnsi="Arial" w:cs="Arial"/>
          <w:sz w:val="24"/>
          <w:szCs w:val="24"/>
        </w:rPr>
        <w:t xml:space="preserve">Sharing initiatives using the </w:t>
      </w:r>
      <w:r w:rsidR="00800CD9">
        <w:rPr>
          <w:rFonts w:ascii="Arial" w:hAnsi="Arial" w:cs="Arial"/>
          <w:sz w:val="24"/>
          <w:szCs w:val="24"/>
        </w:rPr>
        <w:t>framework</w:t>
      </w:r>
      <w:r w:rsidR="00800CD9" w:rsidRPr="00F53E83">
        <w:rPr>
          <w:rFonts w:ascii="Arial" w:hAnsi="Arial" w:cs="Arial"/>
          <w:sz w:val="24"/>
          <w:szCs w:val="24"/>
        </w:rPr>
        <w:t xml:space="preserve"> </w:t>
      </w:r>
      <w:r w:rsidRPr="00F53E83">
        <w:rPr>
          <w:rFonts w:ascii="Arial" w:hAnsi="Arial" w:cs="Arial"/>
          <w:sz w:val="24"/>
          <w:szCs w:val="24"/>
        </w:rPr>
        <w:t>will build the specific detail required to reach agreement, using the approach</w:t>
      </w:r>
      <w:r w:rsidR="00890130" w:rsidRPr="00F53E83">
        <w:rPr>
          <w:rFonts w:ascii="Arial" w:hAnsi="Arial" w:cs="Arial"/>
          <w:sz w:val="24"/>
          <w:szCs w:val="24"/>
        </w:rPr>
        <w:t>,</w:t>
      </w:r>
      <w:r w:rsidRPr="00F53E83">
        <w:rPr>
          <w:rFonts w:ascii="Arial" w:hAnsi="Arial" w:cs="Arial"/>
          <w:sz w:val="24"/>
          <w:szCs w:val="24"/>
        </w:rPr>
        <w:t xml:space="preserve"> </w:t>
      </w:r>
      <w:proofErr w:type="gramStart"/>
      <w:r w:rsidRPr="00F53E83">
        <w:rPr>
          <w:rFonts w:ascii="Arial" w:hAnsi="Arial" w:cs="Arial"/>
          <w:sz w:val="24"/>
          <w:szCs w:val="24"/>
        </w:rPr>
        <w:t>tools</w:t>
      </w:r>
      <w:proofErr w:type="gramEnd"/>
      <w:r w:rsidR="00890130" w:rsidRPr="00F53E83">
        <w:rPr>
          <w:rFonts w:ascii="Arial" w:hAnsi="Arial" w:cs="Arial"/>
          <w:sz w:val="24"/>
          <w:szCs w:val="24"/>
        </w:rPr>
        <w:t xml:space="preserve"> and reference material</w:t>
      </w:r>
      <w:r w:rsidRPr="00F53E83">
        <w:rPr>
          <w:rFonts w:ascii="Arial" w:hAnsi="Arial" w:cs="Arial"/>
          <w:sz w:val="24"/>
          <w:szCs w:val="24"/>
        </w:rPr>
        <w:t xml:space="preserve"> in the</w:t>
      </w:r>
      <w:r w:rsidR="00800CD9">
        <w:rPr>
          <w:rFonts w:ascii="Arial" w:hAnsi="Arial" w:cs="Arial"/>
          <w:sz w:val="24"/>
          <w:szCs w:val="24"/>
        </w:rPr>
        <w:t xml:space="preserve"> framework</w:t>
      </w:r>
      <w:r w:rsidRPr="00F53E83">
        <w:rPr>
          <w:rFonts w:ascii="Arial" w:hAnsi="Arial" w:cs="Arial"/>
          <w:sz w:val="24"/>
          <w:szCs w:val="24"/>
        </w:rPr>
        <w:t xml:space="preserve"> as required.</w:t>
      </w:r>
    </w:p>
    <w:p w14:paraId="26AA6380" w14:textId="77777777" w:rsidR="00CB14E2" w:rsidRPr="00F53E83" w:rsidRDefault="00CB14E2" w:rsidP="00222DBE">
      <w:pPr>
        <w:pStyle w:val="ListParagraph"/>
        <w:jc w:val="both"/>
        <w:rPr>
          <w:rFonts w:ascii="Arial" w:hAnsi="Arial" w:cs="Arial"/>
          <w:sz w:val="24"/>
          <w:szCs w:val="24"/>
        </w:rPr>
      </w:pPr>
    </w:p>
    <w:p w14:paraId="71B7E184" w14:textId="77D3347E" w:rsidR="00CB14E2" w:rsidRPr="00F53E83" w:rsidRDefault="00CB14E2" w:rsidP="00222DBE">
      <w:pPr>
        <w:pStyle w:val="ListParagraph"/>
        <w:numPr>
          <w:ilvl w:val="0"/>
          <w:numId w:val="7"/>
        </w:numPr>
        <w:jc w:val="both"/>
        <w:rPr>
          <w:rFonts w:ascii="Arial" w:hAnsi="Arial" w:cs="Arial"/>
          <w:sz w:val="24"/>
          <w:szCs w:val="24"/>
        </w:rPr>
      </w:pPr>
      <w:r w:rsidRPr="00F53E83">
        <w:rPr>
          <w:rFonts w:ascii="Arial" w:hAnsi="Arial" w:cs="Arial"/>
          <w:sz w:val="24"/>
          <w:szCs w:val="24"/>
        </w:rPr>
        <w:t>Data sharing initiatives will be service led</w:t>
      </w:r>
      <w:r w:rsidR="004528FB">
        <w:rPr>
          <w:rFonts w:ascii="Arial" w:hAnsi="Arial" w:cs="Arial"/>
          <w:sz w:val="24"/>
          <w:szCs w:val="24"/>
        </w:rPr>
        <w:t xml:space="preserve"> and </w:t>
      </w:r>
      <w:r w:rsidR="004528FB" w:rsidRPr="004528FB">
        <w:rPr>
          <w:rFonts w:ascii="Arial" w:hAnsi="Arial" w:cs="Arial"/>
          <w:sz w:val="24"/>
          <w:szCs w:val="24"/>
        </w:rPr>
        <w:t>driven by assessment of population need and potential to benefit</w:t>
      </w:r>
      <w:r w:rsidRPr="00F53E83">
        <w:rPr>
          <w:rFonts w:ascii="Arial" w:hAnsi="Arial" w:cs="Arial"/>
          <w:sz w:val="24"/>
          <w:szCs w:val="24"/>
        </w:rPr>
        <w:t>.</w:t>
      </w:r>
    </w:p>
    <w:p w14:paraId="365371C0" w14:textId="77777777" w:rsidR="00CB14E2" w:rsidRPr="00F53E83" w:rsidRDefault="00CB14E2" w:rsidP="00222DBE">
      <w:pPr>
        <w:pStyle w:val="ListParagraph"/>
        <w:jc w:val="both"/>
        <w:rPr>
          <w:rFonts w:ascii="Arial" w:hAnsi="Arial" w:cs="Arial"/>
          <w:sz w:val="24"/>
          <w:szCs w:val="24"/>
        </w:rPr>
      </w:pPr>
    </w:p>
    <w:p w14:paraId="1D4C0C07" w14:textId="374C73B4" w:rsidR="00077361" w:rsidRPr="00077361" w:rsidRDefault="00CB14E2" w:rsidP="00077361">
      <w:pPr>
        <w:pStyle w:val="ListParagraph"/>
        <w:numPr>
          <w:ilvl w:val="0"/>
          <w:numId w:val="7"/>
        </w:numPr>
        <w:jc w:val="both"/>
        <w:rPr>
          <w:rFonts w:ascii="Arial" w:hAnsi="Arial" w:cs="Arial"/>
          <w:sz w:val="24"/>
          <w:szCs w:val="24"/>
        </w:rPr>
      </w:pPr>
      <w:r w:rsidRPr="00680333">
        <w:rPr>
          <w:rFonts w:ascii="Arial" w:hAnsi="Arial" w:cs="Arial"/>
          <w:sz w:val="24"/>
          <w:szCs w:val="24"/>
        </w:rPr>
        <w:t xml:space="preserve">The </w:t>
      </w:r>
      <w:r w:rsidR="001236B0" w:rsidRPr="00680333">
        <w:rPr>
          <w:rFonts w:ascii="Arial" w:hAnsi="Arial" w:cs="Arial"/>
          <w:sz w:val="24"/>
          <w:szCs w:val="24"/>
        </w:rPr>
        <w:t>South West collaboration</w:t>
      </w:r>
      <w:r w:rsidRPr="00680333">
        <w:rPr>
          <w:rFonts w:ascii="Arial" w:hAnsi="Arial" w:cs="Arial"/>
          <w:sz w:val="24"/>
          <w:szCs w:val="24"/>
        </w:rPr>
        <w:t xml:space="preserve"> is not a legal entity</w:t>
      </w:r>
      <w:r w:rsidR="009C62BF" w:rsidRPr="00680333">
        <w:rPr>
          <w:rFonts w:ascii="Arial" w:hAnsi="Arial" w:cs="Arial"/>
          <w:sz w:val="24"/>
          <w:szCs w:val="24"/>
        </w:rPr>
        <w:t xml:space="preserve"> and therefore has no legal powers related to control of data</w:t>
      </w:r>
      <w:r w:rsidRPr="00680333">
        <w:rPr>
          <w:rFonts w:ascii="Arial" w:hAnsi="Arial" w:cs="Arial"/>
          <w:sz w:val="24"/>
          <w:szCs w:val="24"/>
        </w:rPr>
        <w:t xml:space="preserve">.  </w:t>
      </w:r>
      <w:r w:rsidR="00D73AE5" w:rsidRPr="00680333">
        <w:rPr>
          <w:rFonts w:ascii="Arial" w:hAnsi="Arial" w:cs="Arial"/>
          <w:sz w:val="24"/>
          <w:szCs w:val="24"/>
        </w:rPr>
        <w:t>However, t</w:t>
      </w:r>
      <w:r w:rsidRPr="00680333">
        <w:rPr>
          <w:rFonts w:ascii="Arial" w:hAnsi="Arial" w:cs="Arial"/>
          <w:sz w:val="24"/>
          <w:szCs w:val="24"/>
        </w:rPr>
        <w:t xml:space="preserve">he </w:t>
      </w:r>
      <w:proofErr w:type="gramStart"/>
      <w:r w:rsidR="001236B0" w:rsidRPr="00680333">
        <w:rPr>
          <w:rFonts w:ascii="Arial" w:hAnsi="Arial" w:cs="Arial"/>
          <w:sz w:val="24"/>
          <w:szCs w:val="24"/>
        </w:rPr>
        <w:t>South West</w:t>
      </w:r>
      <w:proofErr w:type="gramEnd"/>
      <w:r w:rsidR="001236B0" w:rsidRPr="00680333">
        <w:rPr>
          <w:rFonts w:ascii="Arial" w:hAnsi="Arial" w:cs="Arial"/>
          <w:sz w:val="24"/>
          <w:szCs w:val="24"/>
        </w:rPr>
        <w:t xml:space="preserve"> collaboration</w:t>
      </w:r>
      <w:r w:rsidRPr="00680333">
        <w:rPr>
          <w:rFonts w:ascii="Arial" w:hAnsi="Arial" w:cs="Arial"/>
          <w:sz w:val="24"/>
          <w:szCs w:val="24"/>
        </w:rPr>
        <w:t xml:space="preserve"> has a responsibility to foster collaboration and communication</w:t>
      </w:r>
      <w:r w:rsidR="00D73AE5" w:rsidRPr="00680333">
        <w:rPr>
          <w:rFonts w:ascii="Arial" w:hAnsi="Arial" w:cs="Arial"/>
          <w:sz w:val="24"/>
          <w:szCs w:val="24"/>
        </w:rPr>
        <w:t xml:space="preserve"> between data controllers</w:t>
      </w:r>
      <w:r w:rsidR="00890130" w:rsidRPr="00680333">
        <w:rPr>
          <w:rFonts w:ascii="Arial" w:hAnsi="Arial" w:cs="Arial"/>
          <w:sz w:val="24"/>
          <w:szCs w:val="24"/>
        </w:rPr>
        <w:t>.</w:t>
      </w:r>
    </w:p>
    <w:p w14:paraId="36517F99" w14:textId="77777777" w:rsidR="00CB14E2" w:rsidRPr="00F53E83" w:rsidRDefault="00CB14E2" w:rsidP="00222DBE">
      <w:pPr>
        <w:pStyle w:val="ListParagraph"/>
        <w:jc w:val="both"/>
        <w:rPr>
          <w:rFonts w:ascii="Arial" w:hAnsi="Arial" w:cs="Arial"/>
          <w:sz w:val="24"/>
          <w:szCs w:val="24"/>
        </w:rPr>
      </w:pPr>
    </w:p>
    <w:p w14:paraId="6F98F0DD" w14:textId="77777777" w:rsidR="00CB14E2" w:rsidRPr="00F53E83" w:rsidRDefault="00CB14E2" w:rsidP="00222DBE">
      <w:pPr>
        <w:pStyle w:val="ListParagraph"/>
        <w:numPr>
          <w:ilvl w:val="0"/>
          <w:numId w:val="7"/>
        </w:numPr>
        <w:jc w:val="both"/>
        <w:rPr>
          <w:rFonts w:ascii="Arial" w:hAnsi="Arial" w:cs="Arial"/>
          <w:i/>
          <w:sz w:val="24"/>
          <w:szCs w:val="24"/>
        </w:rPr>
      </w:pPr>
      <w:r w:rsidRPr="00F53E83">
        <w:rPr>
          <w:rFonts w:ascii="Arial" w:hAnsi="Arial" w:cs="Arial"/>
          <w:sz w:val="24"/>
          <w:szCs w:val="24"/>
        </w:rPr>
        <w:t xml:space="preserve">Where a sharing initiative supported by the </w:t>
      </w:r>
      <w:r w:rsidR="0058538B">
        <w:rPr>
          <w:rFonts w:ascii="Arial" w:hAnsi="Arial" w:cs="Arial"/>
          <w:sz w:val="24"/>
          <w:szCs w:val="24"/>
        </w:rPr>
        <w:t>framework</w:t>
      </w:r>
      <w:r w:rsidRPr="00F53E83">
        <w:rPr>
          <w:rFonts w:ascii="Arial" w:hAnsi="Arial" w:cs="Arial"/>
          <w:sz w:val="24"/>
          <w:szCs w:val="24"/>
        </w:rPr>
        <w:t xml:space="preserve"> approach identifies organisations as joint controllers, specific arrangement documents will be </w:t>
      </w:r>
      <w:r w:rsidRPr="00F53E83">
        <w:rPr>
          <w:rFonts w:ascii="Arial" w:hAnsi="Arial" w:cs="Arial"/>
          <w:sz w:val="24"/>
          <w:szCs w:val="24"/>
        </w:rPr>
        <w:lastRenderedPageBreak/>
        <w:t>established identifying how responsibilities are allocated.  This will be based on an appropriate allocation for the initiative, not necessarily an equal split.</w:t>
      </w:r>
    </w:p>
    <w:p w14:paraId="595D37C8" w14:textId="77777777" w:rsidR="00CB14E2" w:rsidRPr="00F53E83" w:rsidRDefault="00CB14E2" w:rsidP="00222DBE">
      <w:pPr>
        <w:pStyle w:val="ListParagraph"/>
        <w:jc w:val="both"/>
        <w:rPr>
          <w:rFonts w:ascii="Arial" w:hAnsi="Arial" w:cs="Arial"/>
          <w:sz w:val="24"/>
          <w:szCs w:val="24"/>
        </w:rPr>
      </w:pPr>
    </w:p>
    <w:p w14:paraId="6831EA44" w14:textId="0AFF9EBB" w:rsidR="00CB14E2" w:rsidRPr="00077361" w:rsidRDefault="00CB14E2" w:rsidP="00222DBE">
      <w:pPr>
        <w:pStyle w:val="ListParagraph"/>
        <w:numPr>
          <w:ilvl w:val="0"/>
          <w:numId w:val="7"/>
        </w:numPr>
        <w:jc w:val="both"/>
        <w:rPr>
          <w:rFonts w:ascii="Arial" w:hAnsi="Arial" w:cs="Arial"/>
          <w:i/>
          <w:sz w:val="24"/>
          <w:szCs w:val="24"/>
        </w:rPr>
      </w:pPr>
      <w:r w:rsidRPr="00F53E83">
        <w:rPr>
          <w:rFonts w:ascii="Arial" w:hAnsi="Arial" w:cs="Arial"/>
          <w:sz w:val="24"/>
          <w:szCs w:val="24"/>
        </w:rPr>
        <w:t xml:space="preserve">Where an initiative is managed by joint controllers, whilst any of the joint controllers can receive a request from an individual in relation to their data protection rights, the ‘serious harm test’ related to an access request must be undertaken by the ‘appropriate professional’ in each contributing organisation in relation to the data that organisation has contributed (ref Data Protection Act 2018, Schedule 3, section 2).  In the same manner determination of response to any request to erase, rectify, </w:t>
      </w:r>
      <w:proofErr w:type="gramStart"/>
      <w:r w:rsidRPr="00F53E83">
        <w:rPr>
          <w:rFonts w:ascii="Arial" w:hAnsi="Arial" w:cs="Arial"/>
          <w:sz w:val="24"/>
          <w:szCs w:val="24"/>
        </w:rPr>
        <w:t>restrict</w:t>
      </w:r>
      <w:proofErr w:type="gramEnd"/>
      <w:r w:rsidRPr="00F53E83">
        <w:rPr>
          <w:rFonts w:ascii="Arial" w:hAnsi="Arial" w:cs="Arial"/>
          <w:sz w:val="24"/>
          <w:szCs w:val="24"/>
        </w:rPr>
        <w:t xml:space="preserve"> or object to the use of data </w:t>
      </w:r>
      <w:r w:rsidR="009C62BF" w:rsidRPr="00F53E83">
        <w:rPr>
          <w:rFonts w:ascii="Arial" w:hAnsi="Arial" w:cs="Arial"/>
          <w:sz w:val="24"/>
          <w:szCs w:val="24"/>
        </w:rPr>
        <w:t>that has come from an individual organisational source must be considered by that organisation.</w:t>
      </w:r>
    </w:p>
    <w:p w14:paraId="3EE805A3" w14:textId="77777777" w:rsidR="00077361" w:rsidRPr="00077361" w:rsidRDefault="00077361" w:rsidP="00077361">
      <w:pPr>
        <w:pStyle w:val="ListParagraph"/>
        <w:rPr>
          <w:rFonts w:ascii="Arial" w:hAnsi="Arial" w:cs="Arial"/>
          <w:i/>
          <w:sz w:val="24"/>
          <w:szCs w:val="24"/>
        </w:rPr>
      </w:pPr>
    </w:p>
    <w:p w14:paraId="58C23B2E" w14:textId="77777777" w:rsidR="00077361" w:rsidRPr="00F53E83" w:rsidRDefault="00077361" w:rsidP="00077361">
      <w:pPr>
        <w:pStyle w:val="ListParagraph"/>
        <w:numPr>
          <w:ilvl w:val="0"/>
          <w:numId w:val="7"/>
        </w:numPr>
        <w:jc w:val="both"/>
        <w:rPr>
          <w:rFonts w:ascii="Arial" w:hAnsi="Arial" w:cs="Arial"/>
          <w:sz w:val="24"/>
          <w:szCs w:val="24"/>
        </w:rPr>
      </w:pPr>
      <w:r w:rsidRPr="00F53E83">
        <w:rPr>
          <w:rFonts w:ascii="Arial" w:hAnsi="Arial" w:cs="Arial"/>
          <w:sz w:val="24"/>
          <w:szCs w:val="24"/>
        </w:rPr>
        <w:t>The common law duty of confidentiality is met when:</w:t>
      </w:r>
    </w:p>
    <w:p w14:paraId="2E65386A" w14:textId="77777777" w:rsidR="00077361" w:rsidRPr="00F53E83" w:rsidRDefault="00077361" w:rsidP="00077361">
      <w:pPr>
        <w:pStyle w:val="ListParagraph"/>
        <w:jc w:val="both"/>
        <w:rPr>
          <w:rFonts w:ascii="Arial" w:hAnsi="Arial" w:cs="Arial"/>
          <w:sz w:val="24"/>
          <w:szCs w:val="24"/>
        </w:rPr>
      </w:pPr>
    </w:p>
    <w:p w14:paraId="7C321924" w14:textId="77777777" w:rsidR="00077361" w:rsidRPr="00F53E83" w:rsidRDefault="00077361" w:rsidP="00077361">
      <w:pPr>
        <w:pStyle w:val="ListParagraph"/>
        <w:numPr>
          <w:ilvl w:val="0"/>
          <w:numId w:val="12"/>
        </w:numPr>
        <w:jc w:val="both"/>
        <w:rPr>
          <w:rFonts w:ascii="Arial" w:hAnsi="Arial" w:cs="Arial"/>
          <w:sz w:val="24"/>
          <w:szCs w:val="24"/>
        </w:rPr>
      </w:pPr>
      <w:r w:rsidRPr="00F53E83">
        <w:rPr>
          <w:rFonts w:ascii="Arial" w:hAnsi="Arial" w:cs="Arial"/>
          <w:sz w:val="24"/>
          <w:szCs w:val="24"/>
        </w:rPr>
        <w:t xml:space="preserve">Organisations sharing data are reasonably sure that people have an expectation that their data will be shared. </w:t>
      </w:r>
    </w:p>
    <w:p w14:paraId="28FB63BB" w14:textId="77777777" w:rsidR="00077361" w:rsidRPr="00F53E83" w:rsidRDefault="00077361" w:rsidP="00077361">
      <w:pPr>
        <w:pStyle w:val="ListParagraph"/>
        <w:jc w:val="both"/>
        <w:rPr>
          <w:rFonts w:ascii="Arial" w:hAnsi="Arial" w:cs="Arial"/>
          <w:sz w:val="24"/>
          <w:szCs w:val="24"/>
        </w:rPr>
      </w:pPr>
    </w:p>
    <w:p w14:paraId="0B791359" w14:textId="302AEC37" w:rsidR="00077361" w:rsidRDefault="00077361" w:rsidP="00077361">
      <w:pPr>
        <w:pStyle w:val="ListParagraph"/>
        <w:numPr>
          <w:ilvl w:val="0"/>
          <w:numId w:val="12"/>
        </w:numPr>
        <w:jc w:val="both"/>
        <w:rPr>
          <w:rFonts w:ascii="Arial" w:hAnsi="Arial" w:cs="Arial"/>
          <w:sz w:val="24"/>
          <w:szCs w:val="24"/>
        </w:rPr>
      </w:pPr>
      <w:r w:rsidRPr="00F53E83">
        <w:rPr>
          <w:rFonts w:ascii="Arial" w:hAnsi="Arial" w:cs="Arial"/>
          <w:sz w:val="24"/>
          <w:szCs w:val="24"/>
        </w:rPr>
        <w:t xml:space="preserve">Data shared for a specific initiative has been ‘minimised’ to that which is deemed by </w:t>
      </w:r>
      <w:r>
        <w:rPr>
          <w:rFonts w:ascii="Arial" w:hAnsi="Arial" w:cs="Arial"/>
          <w:sz w:val="24"/>
          <w:szCs w:val="24"/>
        </w:rPr>
        <w:t>an appropriate professional (</w:t>
      </w:r>
      <w:proofErr w:type="gramStart"/>
      <w:r>
        <w:rPr>
          <w:rFonts w:ascii="Arial" w:hAnsi="Arial" w:cs="Arial"/>
          <w:sz w:val="24"/>
          <w:szCs w:val="24"/>
        </w:rPr>
        <w:t>i.e.</w:t>
      </w:r>
      <w:proofErr w:type="gramEnd"/>
      <w:r>
        <w:rPr>
          <w:rFonts w:ascii="Arial" w:hAnsi="Arial" w:cs="Arial"/>
          <w:sz w:val="24"/>
          <w:szCs w:val="24"/>
        </w:rPr>
        <w:t xml:space="preserve"> </w:t>
      </w:r>
      <w:r w:rsidRPr="00F53E83">
        <w:rPr>
          <w:rFonts w:ascii="Arial" w:hAnsi="Arial" w:cs="Arial"/>
          <w:sz w:val="24"/>
          <w:szCs w:val="24"/>
        </w:rPr>
        <w:t>health and care</w:t>
      </w:r>
      <w:r>
        <w:rPr>
          <w:rFonts w:ascii="Arial" w:hAnsi="Arial" w:cs="Arial"/>
          <w:sz w:val="24"/>
          <w:szCs w:val="24"/>
        </w:rPr>
        <w:t>, Police or safeguarding</w:t>
      </w:r>
      <w:r w:rsidRPr="00F53E83">
        <w:rPr>
          <w:rFonts w:ascii="Arial" w:hAnsi="Arial" w:cs="Arial"/>
          <w:sz w:val="24"/>
          <w:szCs w:val="24"/>
        </w:rPr>
        <w:t xml:space="preserve"> staff</w:t>
      </w:r>
      <w:r>
        <w:rPr>
          <w:rFonts w:ascii="Arial" w:hAnsi="Arial" w:cs="Arial"/>
          <w:sz w:val="24"/>
          <w:szCs w:val="24"/>
        </w:rPr>
        <w:t>)</w:t>
      </w:r>
      <w:r w:rsidRPr="00F53E83">
        <w:rPr>
          <w:rFonts w:ascii="Arial" w:hAnsi="Arial" w:cs="Arial"/>
          <w:sz w:val="24"/>
          <w:szCs w:val="24"/>
        </w:rPr>
        <w:t xml:space="preserve"> as necessary.</w:t>
      </w:r>
    </w:p>
    <w:p w14:paraId="4DB98C35" w14:textId="77777777" w:rsidR="00CA79D3" w:rsidRPr="00CA79D3" w:rsidRDefault="00CA79D3" w:rsidP="00CA79D3">
      <w:pPr>
        <w:pStyle w:val="ListParagraph"/>
        <w:rPr>
          <w:rFonts w:ascii="Arial" w:hAnsi="Arial" w:cs="Arial"/>
          <w:sz w:val="24"/>
          <w:szCs w:val="24"/>
        </w:rPr>
      </w:pPr>
    </w:p>
    <w:p w14:paraId="79B4CD5F" w14:textId="66C2F045" w:rsidR="00CA79D3" w:rsidRPr="00CA79D3" w:rsidRDefault="00CA79D3" w:rsidP="00CA79D3">
      <w:pPr>
        <w:pStyle w:val="ListParagraph"/>
        <w:numPr>
          <w:ilvl w:val="0"/>
          <w:numId w:val="40"/>
        </w:numPr>
        <w:tabs>
          <w:tab w:val="clear" w:pos="1080"/>
          <w:tab w:val="num" w:pos="1560"/>
        </w:tabs>
        <w:ind w:left="709"/>
        <w:jc w:val="both"/>
        <w:rPr>
          <w:rFonts w:ascii="Arial" w:hAnsi="Arial" w:cs="Arial"/>
          <w:sz w:val="24"/>
          <w:szCs w:val="24"/>
        </w:rPr>
      </w:pPr>
      <w:r>
        <w:rPr>
          <w:rFonts w:ascii="Arial" w:hAnsi="Arial" w:cs="Arial"/>
          <w:sz w:val="24"/>
          <w:szCs w:val="24"/>
        </w:rPr>
        <w:t>Any new initiatives will employ a</w:t>
      </w:r>
      <w:r w:rsidRPr="00F53E83">
        <w:rPr>
          <w:rFonts w:ascii="Arial" w:hAnsi="Arial" w:cs="Arial"/>
          <w:sz w:val="24"/>
          <w:szCs w:val="24"/>
        </w:rPr>
        <w:t xml:space="preserve">nonymisation or pseudonymisation </w:t>
      </w:r>
      <w:r>
        <w:rPr>
          <w:rFonts w:ascii="Arial" w:hAnsi="Arial" w:cs="Arial"/>
          <w:sz w:val="24"/>
          <w:szCs w:val="24"/>
        </w:rPr>
        <w:t>of data as e</w:t>
      </w:r>
      <w:r w:rsidRPr="00F53E83">
        <w:rPr>
          <w:rFonts w:ascii="Arial" w:hAnsi="Arial" w:cs="Arial"/>
          <w:sz w:val="24"/>
          <w:szCs w:val="24"/>
        </w:rPr>
        <w:t>arly as possible</w:t>
      </w:r>
      <w:r>
        <w:rPr>
          <w:rFonts w:ascii="Arial" w:hAnsi="Arial" w:cs="Arial"/>
          <w:sz w:val="24"/>
          <w:szCs w:val="24"/>
        </w:rPr>
        <w:t xml:space="preserve"> to ensure they comply with the principle of </w:t>
      </w:r>
      <w:proofErr w:type="spellStart"/>
      <w:r w:rsidR="00930B12">
        <w:rPr>
          <w:rFonts w:ascii="Arial" w:hAnsi="Arial" w:cs="Arial"/>
          <w:sz w:val="24"/>
          <w:szCs w:val="24"/>
        </w:rPr>
        <w:t>‘data</w:t>
      </w:r>
      <w:proofErr w:type="spellEnd"/>
      <w:r>
        <w:rPr>
          <w:rFonts w:ascii="Arial" w:hAnsi="Arial" w:cs="Arial"/>
          <w:sz w:val="24"/>
          <w:szCs w:val="24"/>
        </w:rPr>
        <w:t xml:space="preserve"> minimisation’ under </w:t>
      </w:r>
      <w:r w:rsidRPr="00CA79D3">
        <w:rPr>
          <w:rFonts w:ascii="Arial" w:hAnsi="Arial" w:cs="Arial"/>
          <w:sz w:val="24"/>
          <w:szCs w:val="24"/>
        </w:rPr>
        <w:t>Article 5(1)(c)</w:t>
      </w:r>
      <w:r>
        <w:rPr>
          <w:rFonts w:ascii="Arial" w:hAnsi="Arial" w:cs="Arial"/>
          <w:sz w:val="24"/>
          <w:szCs w:val="24"/>
        </w:rPr>
        <w:t xml:space="preserve"> of UK GDPR.</w:t>
      </w:r>
    </w:p>
    <w:p w14:paraId="5DF52125" w14:textId="77777777" w:rsidR="009F6855" w:rsidRPr="00F53E83" w:rsidRDefault="009F6855" w:rsidP="00222DBE">
      <w:pPr>
        <w:jc w:val="both"/>
        <w:rPr>
          <w:rFonts w:ascii="Arial" w:hAnsi="Arial" w:cs="Arial"/>
          <w:sz w:val="24"/>
          <w:szCs w:val="24"/>
        </w:rPr>
      </w:pPr>
      <w:r w:rsidRPr="00F53E83">
        <w:rPr>
          <w:rFonts w:ascii="Arial" w:hAnsi="Arial" w:cs="Arial"/>
          <w:sz w:val="24"/>
          <w:szCs w:val="24"/>
        </w:rPr>
        <w:t>The next two sections set out the principles that organisations signing this agreement will follow in any operational data sharing established under the remit of this agreement.</w:t>
      </w:r>
    </w:p>
    <w:p w14:paraId="20057E9B" w14:textId="77777777" w:rsidR="009F6855" w:rsidRPr="006A3C52" w:rsidRDefault="009F6855" w:rsidP="00222DBE">
      <w:pPr>
        <w:pStyle w:val="Heading2"/>
        <w:numPr>
          <w:ilvl w:val="0"/>
          <w:numId w:val="37"/>
        </w:numPr>
        <w:jc w:val="both"/>
        <w:rPr>
          <w:rFonts w:ascii="Arial" w:hAnsi="Arial" w:cs="Arial"/>
          <w:sz w:val="28"/>
          <w:szCs w:val="28"/>
        </w:rPr>
      </w:pPr>
      <w:bookmarkStart w:id="5" w:name="_Toc78401633"/>
      <w:r w:rsidRPr="006A3C52">
        <w:rPr>
          <w:rFonts w:ascii="Arial" w:hAnsi="Arial" w:cs="Arial"/>
          <w:sz w:val="28"/>
          <w:szCs w:val="28"/>
        </w:rPr>
        <w:t xml:space="preserve">Principles for </w:t>
      </w:r>
      <w:r w:rsidR="00D52DEF" w:rsidRPr="006A3C52">
        <w:rPr>
          <w:rFonts w:ascii="Arial" w:hAnsi="Arial" w:cs="Arial"/>
          <w:sz w:val="28"/>
          <w:szCs w:val="28"/>
        </w:rPr>
        <w:t>safeguarding</w:t>
      </w:r>
      <w:r w:rsidRPr="006A3C52">
        <w:rPr>
          <w:rFonts w:ascii="Arial" w:hAnsi="Arial" w:cs="Arial"/>
          <w:sz w:val="28"/>
          <w:szCs w:val="28"/>
        </w:rPr>
        <w:t>:</w:t>
      </w:r>
      <w:bookmarkEnd w:id="5"/>
    </w:p>
    <w:p w14:paraId="034E3A14" w14:textId="137B25DB" w:rsidR="0095115F" w:rsidRDefault="009F6855" w:rsidP="00222DBE">
      <w:pPr>
        <w:pStyle w:val="ListParagraph"/>
        <w:numPr>
          <w:ilvl w:val="0"/>
          <w:numId w:val="7"/>
        </w:numPr>
        <w:jc w:val="both"/>
        <w:rPr>
          <w:rFonts w:ascii="Arial" w:hAnsi="Arial" w:cs="Arial"/>
          <w:sz w:val="24"/>
          <w:szCs w:val="24"/>
        </w:rPr>
      </w:pPr>
      <w:r w:rsidRPr="00F81389">
        <w:rPr>
          <w:rFonts w:ascii="Arial" w:hAnsi="Arial" w:cs="Arial"/>
          <w:sz w:val="24"/>
          <w:szCs w:val="24"/>
        </w:rPr>
        <w:t>Where provision of statutory service</w:t>
      </w:r>
      <w:r w:rsidR="0095115F" w:rsidRPr="00F81389">
        <w:rPr>
          <w:rFonts w:ascii="Arial" w:hAnsi="Arial" w:cs="Arial"/>
          <w:sz w:val="24"/>
          <w:szCs w:val="24"/>
        </w:rPr>
        <w:t xml:space="preserve">s </w:t>
      </w:r>
      <w:r w:rsidR="00DC3BA3" w:rsidRPr="00F81389">
        <w:rPr>
          <w:rFonts w:ascii="Arial" w:hAnsi="Arial" w:cs="Arial"/>
          <w:sz w:val="24"/>
          <w:szCs w:val="24"/>
        </w:rPr>
        <w:t>requires</w:t>
      </w:r>
      <w:r w:rsidRPr="00F81389">
        <w:rPr>
          <w:rFonts w:ascii="Arial" w:hAnsi="Arial" w:cs="Arial"/>
          <w:sz w:val="24"/>
          <w:szCs w:val="24"/>
        </w:rPr>
        <w:t xml:space="preserve"> organisations to work together to </w:t>
      </w:r>
      <w:r w:rsidR="00136561" w:rsidRPr="00F81389">
        <w:rPr>
          <w:rFonts w:ascii="Arial" w:hAnsi="Arial" w:cs="Arial"/>
          <w:sz w:val="24"/>
          <w:szCs w:val="24"/>
        </w:rPr>
        <w:t>safeguard</w:t>
      </w:r>
      <w:r w:rsidRPr="00F81389">
        <w:rPr>
          <w:rFonts w:ascii="Arial" w:hAnsi="Arial" w:cs="Arial"/>
          <w:sz w:val="24"/>
          <w:szCs w:val="24"/>
        </w:rPr>
        <w:t xml:space="preserve"> an individual</w:t>
      </w:r>
      <w:r w:rsidR="00890130" w:rsidRPr="00F81389">
        <w:rPr>
          <w:rFonts w:ascii="Arial" w:hAnsi="Arial" w:cs="Arial"/>
          <w:sz w:val="24"/>
          <w:szCs w:val="24"/>
        </w:rPr>
        <w:t xml:space="preserve"> then use of personal data</w:t>
      </w:r>
      <w:r w:rsidRPr="00F81389">
        <w:rPr>
          <w:rFonts w:ascii="Arial" w:hAnsi="Arial" w:cs="Arial"/>
          <w:sz w:val="24"/>
          <w:szCs w:val="24"/>
        </w:rPr>
        <w:t xml:space="preserve"> will be on the basis </w:t>
      </w:r>
      <w:r w:rsidR="00737125">
        <w:rPr>
          <w:rFonts w:ascii="Arial" w:hAnsi="Arial" w:cs="Arial"/>
          <w:sz w:val="24"/>
          <w:szCs w:val="24"/>
        </w:rPr>
        <w:t xml:space="preserve">that </w:t>
      </w:r>
      <w:r w:rsidR="00737125" w:rsidRPr="00737125">
        <w:rPr>
          <w:rFonts w:ascii="Arial" w:hAnsi="Arial" w:cs="Arial"/>
          <w:i/>
          <w:iCs/>
          <w:sz w:val="24"/>
          <w:szCs w:val="24"/>
        </w:rPr>
        <w:t>‘processing is necessary for the performance of a task carried out in the public interest or in the exercise of official authority vested in the controller’</w:t>
      </w:r>
      <w:r w:rsidR="00B556B4" w:rsidRPr="00F53E83">
        <w:rPr>
          <w:rStyle w:val="FootnoteReference"/>
          <w:rFonts w:ascii="Arial" w:hAnsi="Arial" w:cs="Arial"/>
          <w:sz w:val="24"/>
          <w:szCs w:val="24"/>
        </w:rPr>
        <w:footnoteReference w:id="4"/>
      </w:r>
      <w:r w:rsidR="00B556B4" w:rsidRPr="00F81389">
        <w:rPr>
          <w:rFonts w:ascii="Arial" w:hAnsi="Arial" w:cs="Arial"/>
          <w:sz w:val="24"/>
          <w:szCs w:val="24"/>
        </w:rPr>
        <w:t xml:space="preserve"> </w:t>
      </w:r>
      <w:r w:rsidRPr="00F81389">
        <w:rPr>
          <w:rFonts w:ascii="Arial" w:hAnsi="Arial" w:cs="Arial"/>
          <w:sz w:val="24"/>
          <w:szCs w:val="24"/>
        </w:rPr>
        <w:t>as the basis for processing and not on the consent of the individual.</w:t>
      </w:r>
      <w:r w:rsidR="0095115F" w:rsidRPr="00F81389">
        <w:rPr>
          <w:rFonts w:ascii="Arial" w:hAnsi="Arial" w:cs="Arial"/>
          <w:sz w:val="24"/>
          <w:szCs w:val="24"/>
        </w:rPr>
        <w:t xml:space="preserve">  ‘Discretionary’ services, where the individual may benefit from the service but does not ‘need’ the service, </w:t>
      </w:r>
      <w:r w:rsidR="0095115F" w:rsidRPr="00F81389">
        <w:rPr>
          <w:rFonts w:ascii="Arial" w:hAnsi="Arial" w:cs="Arial"/>
          <w:i/>
          <w:sz w:val="24"/>
          <w:szCs w:val="24"/>
        </w:rPr>
        <w:t>may</w:t>
      </w:r>
      <w:r w:rsidR="0095115F" w:rsidRPr="00F81389">
        <w:rPr>
          <w:rFonts w:ascii="Arial" w:hAnsi="Arial" w:cs="Arial"/>
          <w:sz w:val="24"/>
          <w:szCs w:val="24"/>
        </w:rPr>
        <w:t xml:space="preserve"> require consent to share data.</w:t>
      </w:r>
    </w:p>
    <w:p w14:paraId="0E163115" w14:textId="77777777" w:rsidR="00F81389" w:rsidRPr="00F81389" w:rsidRDefault="00F81389" w:rsidP="00F81389">
      <w:pPr>
        <w:pStyle w:val="ListParagraph"/>
        <w:jc w:val="both"/>
        <w:rPr>
          <w:rFonts w:ascii="Arial" w:hAnsi="Arial" w:cs="Arial"/>
          <w:sz w:val="24"/>
          <w:szCs w:val="24"/>
        </w:rPr>
      </w:pPr>
    </w:p>
    <w:p w14:paraId="6B16D3A6" w14:textId="5785EE63" w:rsidR="009F6855" w:rsidRPr="00F53E83" w:rsidRDefault="009F6855" w:rsidP="00222DBE">
      <w:pPr>
        <w:pStyle w:val="ListParagraph"/>
        <w:numPr>
          <w:ilvl w:val="0"/>
          <w:numId w:val="7"/>
        </w:numPr>
        <w:jc w:val="both"/>
        <w:rPr>
          <w:rFonts w:ascii="Arial" w:hAnsi="Arial" w:cs="Arial"/>
          <w:i/>
          <w:sz w:val="24"/>
          <w:szCs w:val="24"/>
        </w:rPr>
      </w:pPr>
      <w:r w:rsidRPr="00F53E83">
        <w:rPr>
          <w:rFonts w:ascii="Arial" w:hAnsi="Arial" w:cs="Arial"/>
          <w:sz w:val="24"/>
          <w:szCs w:val="24"/>
        </w:rPr>
        <w:lastRenderedPageBreak/>
        <w:t>Organisations agreeing to share data are responsible for ensuring they are covered by the appropriate statutory bases on which any operational sharing is established and agreed</w:t>
      </w:r>
      <w:r w:rsidR="00421330">
        <w:rPr>
          <w:rFonts w:ascii="Arial" w:hAnsi="Arial" w:cs="Arial"/>
          <w:sz w:val="24"/>
          <w:szCs w:val="24"/>
        </w:rPr>
        <w:t xml:space="preserve"> (see appendix 3)</w:t>
      </w:r>
      <w:r w:rsidRPr="00F53E83">
        <w:rPr>
          <w:rFonts w:ascii="Arial" w:hAnsi="Arial" w:cs="Arial"/>
          <w:sz w:val="24"/>
          <w:szCs w:val="24"/>
        </w:rPr>
        <w:t>.</w:t>
      </w:r>
    </w:p>
    <w:p w14:paraId="65C284F6" w14:textId="77777777" w:rsidR="009F6855" w:rsidRPr="00F53E83" w:rsidRDefault="009F6855" w:rsidP="00222DBE">
      <w:pPr>
        <w:pStyle w:val="ListParagraph"/>
        <w:jc w:val="both"/>
        <w:rPr>
          <w:rFonts w:ascii="Arial" w:hAnsi="Arial" w:cs="Arial"/>
          <w:i/>
          <w:sz w:val="24"/>
          <w:szCs w:val="24"/>
        </w:rPr>
      </w:pPr>
    </w:p>
    <w:p w14:paraId="7273B34C" w14:textId="5F038B83" w:rsidR="009F6855" w:rsidRPr="00F53E83" w:rsidRDefault="009F6855" w:rsidP="00222DBE">
      <w:pPr>
        <w:pStyle w:val="ListParagraph"/>
        <w:numPr>
          <w:ilvl w:val="0"/>
          <w:numId w:val="7"/>
        </w:numPr>
        <w:jc w:val="both"/>
        <w:rPr>
          <w:rFonts w:ascii="Arial" w:hAnsi="Arial" w:cs="Arial"/>
          <w:sz w:val="24"/>
          <w:szCs w:val="24"/>
        </w:rPr>
      </w:pPr>
      <w:r w:rsidRPr="00F53E83">
        <w:rPr>
          <w:rFonts w:ascii="Arial" w:hAnsi="Arial" w:cs="Arial"/>
          <w:sz w:val="24"/>
          <w:szCs w:val="24"/>
        </w:rPr>
        <w:t xml:space="preserve">For sharing initiatives supporting the </w:t>
      </w:r>
      <w:r w:rsidR="00421330">
        <w:rPr>
          <w:rFonts w:ascii="Arial" w:hAnsi="Arial" w:cs="Arial"/>
          <w:sz w:val="24"/>
          <w:szCs w:val="24"/>
        </w:rPr>
        <w:t>safeguarding of</w:t>
      </w:r>
      <w:r w:rsidRPr="00F53E83">
        <w:rPr>
          <w:rFonts w:ascii="Arial" w:hAnsi="Arial" w:cs="Arial"/>
          <w:sz w:val="24"/>
          <w:szCs w:val="24"/>
        </w:rPr>
        <w:t xml:space="preserve"> individuals, the </w:t>
      </w:r>
      <w:r w:rsidR="00D658FC">
        <w:rPr>
          <w:rFonts w:ascii="Arial" w:hAnsi="Arial" w:cs="Arial"/>
          <w:sz w:val="24"/>
          <w:szCs w:val="24"/>
        </w:rPr>
        <w:t>legal</w:t>
      </w:r>
      <w:r w:rsidR="00D658FC" w:rsidRPr="00F53E83">
        <w:rPr>
          <w:rFonts w:ascii="Arial" w:hAnsi="Arial" w:cs="Arial"/>
          <w:sz w:val="24"/>
          <w:szCs w:val="24"/>
        </w:rPr>
        <w:t xml:space="preserve"> </w:t>
      </w:r>
      <w:r w:rsidRPr="00F53E83">
        <w:rPr>
          <w:rFonts w:ascii="Arial" w:hAnsi="Arial" w:cs="Arial"/>
          <w:sz w:val="24"/>
          <w:szCs w:val="24"/>
        </w:rPr>
        <w:t xml:space="preserve">basis for </w:t>
      </w:r>
      <w:r w:rsidR="00D658FC">
        <w:rPr>
          <w:rFonts w:ascii="Arial" w:hAnsi="Arial" w:cs="Arial"/>
          <w:sz w:val="24"/>
          <w:szCs w:val="24"/>
        </w:rPr>
        <w:t>use/</w:t>
      </w:r>
      <w:r w:rsidRPr="00F53E83">
        <w:rPr>
          <w:rFonts w:ascii="Arial" w:hAnsi="Arial" w:cs="Arial"/>
          <w:sz w:val="24"/>
          <w:szCs w:val="24"/>
        </w:rPr>
        <w:t>sharing</w:t>
      </w:r>
      <w:r w:rsidR="00436B10">
        <w:rPr>
          <w:rFonts w:ascii="Arial" w:hAnsi="Arial" w:cs="Arial"/>
          <w:sz w:val="24"/>
          <w:szCs w:val="24"/>
        </w:rPr>
        <w:t xml:space="preserve"> by care organisations</w:t>
      </w:r>
      <w:r w:rsidRPr="00F53E83">
        <w:rPr>
          <w:rFonts w:ascii="Arial" w:hAnsi="Arial" w:cs="Arial"/>
          <w:sz w:val="24"/>
          <w:szCs w:val="24"/>
        </w:rPr>
        <w:t xml:space="preserve"> is</w:t>
      </w:r>
      <w:r w:rsidR="00436B10">
        <w:rPr>
          <w:rFonts w:ascii="Arial" w:hAnsi="Arial" w:cs="Arial"/>
          <w:sz w:val="24"/>
          <w:szCs w:val="24"/>
        </w:rPr>
        <w:t xml:space="preserve"> primarily</w:t>
      </w:r>
      <w:r w:rsidRPr="00F53E83">
        <w:rPr>
          <w:rFonts w:ascii="Arial" w:hAnsi="Arial" w:cs="Arial"/>
          <w:sz w:val="24"/>
          <w:szCs w:val="24"/>
        </w:rPr>
        <w:t>:</w:t>
      </w:r>
    </w:p>
    <w:p w14:paraId="5BB253F5" w14:textId="77777777" w:rsidR="009F6855" w:rsidRPr="00F53E83" w:rsidRDefault="009F6855" w:rsidP="00222DBE">
      <w:pPr>
        <w:pStyle w:val="ListParagraph"/>
        <w:jc w:val="both"/>
        <w:rPr>
          <w:rFonts w:ascii="Arial" w:hAnsi="Arial" w:cs="Arial"/>
          <w:sz w:val="24"/>
          <w:szCs w:val="24"/>
        </w:rPr>
      </w:pPr>
    </w:p>
    <w:p w14:paraId="634BC6D4" w14:textId="2336E004" w:rsidR="009F6855" w:rsidRPr="00F53E83" w:rsidRDefault="00D658FC" w:rsidP="00222DBE">
      <w:pPr>
        <w:pStyle w:val="ListParagraph"/>
        <w:numPr>
          <w:ilvl w:val="0"/>
          <w:numId w:val="11"/>
        </w:numPr>
        <w:ind w:left="1080"/>
        <w:jc w:val="both"/>
        <w:rPr>
          <w:rFonts w:ascii="Arial" w:hAnsi="Arial" w:cs="Arial"/>
          <w:sz w:val="24"/>
          <w:szCs w:val="24"/>
        </w:rPr>
      </w:pPr>
      <w:r>
        <w:rPr>
          <w:rFonts w:ascii="Arial" w:hAnsi="Arial" w:cs="Arial"/>
          <w:sz w:val="24"/>
          <w:szCs w:val="24"/>
        </w:rPr>
        <w:t xml:space="preserve">UK GDPR </w:t>
      </w:r>
      <w:r w:rsidR="009F6855" w:rsidRPr="00F53E83">
        <w:rPr>
          <w:rFonts w:ascii="Arial" w:hAnsi="Arial" w:cs="Arial"/>
          <w:sz w:val="24"/>
          <w:szCs w:val="24"/>
        </w:rPr>
        <w:t>Article 6(1)e – ‘necessary for the performance of a task carried out in the public interest or in the exercise of official authority’</w:t>
      </w:r>
      <w:r w:rsidR="00B556B4">
        <w:rPr>
          <w:rStyle w:val="FootnoteReference"/>
          <w:rFonts w:ascii="Arial" w:hAnsi="Arial" w:cs="Arial"/>
          <w:sz w:val="24"/>
          <w:szCs w:val="24"/>
        </w:rPr>
        <w:footnoteReference w:id="5"/>
      </w:r>
      <w:r w:rsidR="009F6855" w:rsidRPr="00F53E83">
        <w:rPr>
          <w:rFonts w:ascii="Arial" w:hAnsi="Arial" w:cs="Arial"/>
          <w:sz w:val="24"/>
          <w:szCs w:val="24"/>
        </w:rPr>
        <w:t>.</w:t>
      </w:r>
    </w:p>
    <w:p w14:paraId="6D179146" w14:textId="77777777" w:rsidR="009F6855" w:rsidRPr="00F53E83" w:rsidRDefault="009F6855" w:rsidP="00222DBE">
      <w:pPr>
        <w:pStyle w:val="ListParagraph"/>
        <w:ind w:left="1440"/>
        <w:jc w:val="both"/>
        <w:rPr>
          <w:rFonts w:ascii="Arial" w:hAnsi="Arial" w:cs="Arial"/>
          <w:sz w:val="24"/>
          <w:szCs w:val="24"/>
        </w:rPr>
      </w:pPr>
    </w:p>
    <w:p w14:paraId="6C647748" w14:textId="77777777" w:rsidR="00413DAE" w:rsidRDefault="00D658FC" w:rsidP="00413DAE">
      <w:pPr>
        <w:pStyle w:val="ListParagraph"/>
        <w:numPr>
          <w:ilvl w:val="0"/>
          <w:numId w:val="11"/>
        </w:numPr>
        <w:ind w:left="1080"/>
        <w:jc w:val="both"/>
        <w:rPr>
          <w:rFonts w:ascii="Arial" w:hAnsi="Arial" w:cs="Arial"/>
          <w:sz w:val="24"/>
          <w:szCs w:val="24"/>
        </w:rPr>
      </w:pPr>
      <w:r w:rsidRPr="00413DAE">
        <w:rPr>
          <w:rFonts w:ascii="Arial" w:hAnsi="Arial" w:cs="Arial"/>
          <w:sz w:val="24"/>
          <w:szCs w:val="24"/>
        </w:rPr>
        <w:t xml:space="preserve">UK GDPR </w:t>
      </w:r>
      <w:r w:rsidR="00421330" w:rsidRPr="00413DAE">
        <w:rPr>
          <w:rFonts w:ascii="Arial" w:hAnsi="Arial" w:cs="Arial"/>
          <w:sz w:val="24"/>
          <w:szCs w:val="24"/>
        </w:rPr>
        <w:t>Article 9(2)b – that the processing is necessary for the purposes of carrying out the obligations of the controller or data subject in the</w:t>
      </w:r>
      <w:r w:rsidR="00564210" w:rsidRPr="00413DAE">
        <w:rPr>
          <w:rFonts w:ascii="Arial" w:hAnsi="Arial" w:cs="Arial"/>
          <w:sz w:val="24"/>
          <w:szCs w:val="24"/>
        </w:rPr>
        <w:t xml:space="preserve"> field of social protection law;</w:t>
      </w:r>
      <w:r w:rsidR="00421330" w:rsidRPr="00413DAE">
        <w:rPr>
          <w:rFonts w:ascii="Arial" w:hAnsi="Arial" w:cs="Arial"/>
          <w:sz w:val="24"/>
          <w:szCs w:val="24"/>
        </w:rPr>
        <w:t xml:space="preserve"> the provisions of the Children Acts 1989 and 2004, and the Care Act 2014 are relevant</w:t>
      </w:r>
      <w:r w:rsidR="00F17745" w:rsidRPr="00413DAE">
        <w:rPr>
          <w:rFonts w:ascii="Arial" w:hAnsi="Arial" w:cs="Arial"/>
          <w:sz w:val="24"/>
          <w:szCs w:val="24"/>
        </w:rPr>
        <w:t>, or</w:t>
      </w:r>
    </w:p>
    <w:p w14:paraId="6540F7A5" w14:textId="77777777" w:rsidR="00413DAE" w:rsidRPr="00413DAE" w:rsidRDefault="00413DAE" w:rsidP="00413DAE">
      <w:pPr>
        <w:pStyle w:val="ListParagraph"/>
        <w:rPr>
          <w:rFonts w:ascii="Arial" w:hAnsi="Arial" w:cs="Arial"/>
          <w:sz w:val="24"/>
          <w:szCs w:val="24"/>
        </w:rPr>
      </w:pPr>
    </w:p>
    <w:p w14:paraId="1BA88A6E" w14:textId="28D77306" w:rsidR="00EE2462" w:rsidRPr="00413DAE" w:rsidRDefault="00EE2462" w:rsidP="00413DAE">
      <w:pPr>
        <w:pStyle w:val="ListParagraph"/>
        <w:numPr>
          <w:ilvl w:val="0"/>
          <w:numId w:val="11"/>
        </w:numPr>
        <w:ind w:left="1080"/>
        <w:jc w:val="both"/>
        <w:rPr>
          <w:rFonts w:ascii="Arial" w:hAnsi="Arial" w:cs="Arial"/>
          <w:sz w:val="24"/>
          <w:szCs w:val="24"/>
        </w:rPr>
      </w:pPr>
      <w:r w:rsidRPr="00413DAE">
        <w:rPr>
          <w:rFonts w:ascii="Arial" w:hAnsi="Arial" w:cs="Arial"/>
          <w:sz w:val="24"/>
          <w:szCs w:val="24"/>
        </w:rPr>
        <w:t>UK GDPR Article 9(2)c – that the “</w:t>
      </w:r>
      <w:r w:rsidRPr="00413DAE">
        <w:rPr>
          <w:rFonts w:ascii="Arial" w:hAnsi="Arial" w:cs="Arial"/>
          <w:sz w:val="24"/>
          <w:szCs w:val="24"/>
        </w:rPr>
        <w:t>processing is necessary to protect the vital interests of the data subject or of another natural person where the data subject is physically or legally incapable of giving consent</w:t>
      </w:r>
      <w:r w:rsidRPr="00413DAE">
        <w:rPr>
          <w:rFonts w:ascii="Arial" w:hAnsi="Arial" w:cs="Arial"/>
          <w:sz w:val="24"/>
          <w:szCs w:val="24"/>
        </w:rPr>
        <w:t>”, or</w:t>
      </w:r>
    </w:p>
    <w:p w14:paraId="04D3C21D" w14:textId="77777777" w:rsidR="00B5127C" w:rsidRPr="00F17745" w:rsidRDefault="00B5127C" w:rsidP="00F17745">
      <w:pPr>
        <w:pStyle w:val="ListParagraph"/>
        <w:rPr>
          <w:rFonts w:ascii="Arial" w:hAnsi="Arial" w:cs="Arial"/>
          <w:sz w:val="24"/>
          <w:szCs w:val="24"/>
          <w:highlight w:val="yellow"/>
        </w:rPr>
      </w:pPr>
    </w:p>
    <w:p w14:paraId="115BABA0" w14:textId="346E9BE0" w:rsidR="00B5127C" w:rsidRPr="00413DAE" w:rsidRDefault="00B5127C" w:rsidP="00222DBE">
      <w:pPr>
        <w:pStyle w:val="ListParagraph"/>
        <w:numPr>
          <w:ilvl w:val="0"/>
          <w:numId w:val="11"/>
        </w:numPr>
        <w:ind w:left="1080"/>
        <w:jc w:val="both"/>
        <w:rPr>
          <w:rFonts w:ascii="Arial" w:hAnsi="Arial" w:cs="Arial"/>
          <w:sz w:val="24"/>
          <w:szCs w:val="24"/>
        </w:rPr>
      </w:pPr>
      <w:r w:rsidRPr="00413DAE">
        <w:rPr>
          <w:rFonts w:ascii="Arial" w:hAnsi="Arial" w:cs="Arial"/>
          <w:sz w:val="24"/>
          <w:szCs w:val="24"/>
        </w:rPr>
        <w:t>UK GDPR Article 9(2)h – that the “processing is necessary for the purposes of … the provision of health or social care or treatment or the management of health or social care systems and services on the basis of domestic law or pursuant to contract with a health professional</w:t>
      </w:r>
      <w:r w:rsidR="00F17745" w:rsidRPr="00413DAE">
        <w:rPr>
          <w:rFonts w:ascii="Arial" w:hAnsi="Arial" w:cs="Arial"/>
          <w:sz w:val="24"/>
          <w:szCs w:val="24"/>
        </w:rPr>
        <w:t>…”</w:t>
      </w:r>
    </w:p>
    <w:p w14:paraId="530450BA" w14:textId="77777777" w:rsidR="00EE2462" w:rsidRPr="00EE2462" w:rsidRDefault="00EE2462" w:rsidP="00EE2462">
      <w:pPr>
        <w:pStyle w:val="ListParagraph"/>
        <w:rPr>
          <w:rFonts w:ascii="Arial" w:hAnsi="Arial" w:cs="Arial"/>
          <w:sz w:val="24"/>
          <w:szCs w:val="24"/>
          <w:highlight w:val="yellow"/>
        </w:rPr>
      </w:pPr>
    </w:p>
    <w:p w14:paraId="125E9EF1" w14:textId="2E688B61" w:rsidR="00EE2462" w:rsidRPr="00077361" w:rsidRDefault="00EE2462" w:rsidP="00EE2462">
      <w:pPr>
        <w:ind w:left="720"/>
        <w:jc w:val="both"/>
        <w:rPr>
          <w:rFonts w:ascii="Arial" w:hAnsi="Arial" w:cs="Arial"/>
          <w:sz w:val="24"/>
          <w:szCs w:val="24"/>
        </w:rPr>
      </w:pPr>
      <w:r w:rsidRPr="00077361">
        <w:rPr>
          <w:rFonts w:ascii="Arial" w:hAnsi="Arial" w:cs="Arial"/>
          <w:sz w:val="24"/>
          <w:szCs w:val="24"/>
        </w:rPr>
        <w:t xml:space="preserve">Appendix </w:t>
      </w:r>
      <w:r w:rsidR="003C485C" w:rsidRPr="00077361">
        <w:rPr>
          <w:rFonts w:ascii="Arial" w:hAnsi="Arial" w:cs="Arial"/>
          <w:sz w:val="24"/>
          <w:szCs w:val="24"/>
        </w:rPr>
        <w:t>4</w:t>
      </w:r>
      <w:r w:rsidRPr="00077361">
        <w:rPr>
          <w:rFonts w:ascii="Arial" w:hAnsi="Arial" w:cs="Arial"/>
          <w:sz w:val="24"/>
          <w:szCs w:val="24"/>
        </w:rPr>
        <w:t xml:space="preserve"> provides</w:t>
      </w:r>
      <w:r w:rsidR="003C485C" w:rsidRPr="00077361">
        <w:rPr>
          <w:rFonts w:ascii="Arial" w:hAnsi="Arial" w:cs="Arial"/>
          <w:sz w:val="24"/>
          <w:szCs w:val="24"/>
        </w:rPr>
        <w:t xml:space="preserve"> general</w:t>
      </w:r>
      <w:r w:rsidRPr="00077361">
        <w:rPr>
          <w:rFonts w:ascii="Arial" w:hAnsi="Arial" w:cs="Arial"/>
          <w:sz w:val="24"/>
          <w:szCs w:val="24"/>
        </w:rPr>
        <w:t xml:space="preserve"> guidance on the likely UK GDPR conditions in respect of different uses of data. However,</w:t>
      </w:r>
      <w:r w:rsidR="003C485C" w:rsidRPr="00077361">
        <w:rPr>
          <w:rFonts w:ascii="Arial" w:hAnsi="Arial" w:cs="Arial"/>
          <w:sz w:val="24"/>
          <w:szCs w:val="24"/>
        </w:rPr>
        <w:t xml:space="preserve"> this must be assessed on a case-by-case basis in consultation with information governance subject matter expert</w:t>
      </w:r>
      <w:r w:rsidR="00077361" w:rsidRPr="00077361">
        <w:rPr>
          <w:rFonts w:ascii="Arial" w:hAnsi="Arial" w:cs="Arial"/>
          <w:sz w:val="24"/>
          <w:szCs w:val="24"/>
        </w:rPr>
        <w:t>s</w:t>
      </w:r>
      <w:r w:rsidR="003C485C" w:rsidRPr="00077361">
        <w:rPr>
          <w:rFonts w:ascii="Arial" w:hAnsi="Arial" w:cs="Arial"/>
          <w:sz w:val="24"/>
          <w:szCs w:val="24"/>
        </w:rPr>
        <w:t xml:space="preserve"> as there may be nuances that would cause uses to deviate from the ‘likely’ bases.</w:t>
      </w:r>
    </w:p>
    <w:p w14:paraId="28EF3B73" w14:textId="77777777" w:rsidR="009F6855" w:rsidRPr="00F53E83" w:rsidRDefault="009F6855" w:rsidP="00222DBE">
      <w:pPr>
        <w:pStyle w:val="ListParagraph"/>
        <w:jc w:val="both"/>
        <w:rPr>
          <w:rFonts w:ascii="Arial" w:hAnsi="Arial" w:cs="Arial"/>
          <w:sz w:val="24"/>
          <w:szCs w:val="24"/>
        </w:rPr>
      </w:pPr>
    </w:p>
    <w:p w14:paraId="51E34175" w14:textId="72A9DABA" w:rsidR="00DE415E" w:rsidRPr="00077361" w:rsidRDefault="00737125" w:rsidP="00077361">
      <w:pPr>
        <w:pStyle w:val="ListParagraph"/>
        <w:jc w:val="both"/>
        <w:rPr>
          <w:rFonts w:ascii="Arial" w:hAnsi="Arial" w:cs="Arial"/>
          <w:sz w:val="24"/>
          <w:szCs w:val="24"/>
        </w:rPr>
      </w:pPr>
      <w:r w:rsidRPr="00737125">
        <w:rPr>
          <w:rFonts w:ascii="Arial" w:hAnsi="Arial" w:cs="Arial"/>
          <w:sz w:val="24"/>
          <w:szCs w:val="24"/>
        </w:rPr>
        <w:t>The data collected by the Police is processed for law enforcement purposes under Part 3 and an additional lawful basis needed to be identified to share under Part 2</w:t>
      </w:r>
      <w:r>
        <w:rPr>
          <w:rStyle w:val="FootnoteReference"/>
          <w:rFonts w:ascii="Arial" w:hAnsi="Arial" w:cs="Arial"/>
          <w:sz w:val="24"/>
          <w:szCs w:val="24"/>
        </w:rPr>
        <w:footnoteReference w:id="6"/>
      </w:r>
      <w:r w:rsidR="00077361">
        <w:rPr>
          <w:rFonts w:ascii="Arial" w:hAnsi="Arial" w:cs="Arial"/>
          <w:sz w:val="24"/>
          <w:szCs w:val="24"/>
        </w:rPr>
        <w:t>.</w:t>
      </w:r>
    </w:p>
    <w:p w14:paraId="6DE05329" w14:textId="77777777" w:rsidR="00DE415E" w:rsidRPr="007E017E" w:rsidRDefault="00DE415E" w:rsidP="00DE415E">
      <w:pPr>
        <w:pStyle w:val="ListParagraph"/>
        <w:ind w:left="1080"/>
        <w:jc w:val="both"/>
        <w:rPr>
          <w:rFonts w:ascii="Arial" w:hAnsi="Arial" w:cs="Arial"/>
          <w:sz w:val="24"/>
          <w:szCs w:val="24"/>
        </w:rPr>
      </w:pPr>
    </w:p>
    <w:p w14:paraId="01A02897" w14:textId="77777777" w:rsidR="009F6855" w:rsidRPr="007E017E" w:rsidRDefault="009F6855" w:rsidP="00222DBE">
      <w:pPr>
        <w:pStyle w:val="Heading1"/>
        <w:numPr>
          <w:ilvl w:val="0"/>
          <w:numId w:val="37"/>
        </w:numPr>
        <w:jc w:val="both"/>
        <w:rPr>
          <w:rFonts w:ascii="Arial" w:hAnsi="Arial" w:cs="Arial"/>
          <w:sz w:val="28"/>
          <w:szCs w:val="28"/>
        </w:rPr>
      </w:pPr>
      <w:r w:rsidRPr="007E017E">
        <w:t xml:space="preserve"> </w:t>
      </w:r>
      <w:bookmarkStart w:id="6" w:name="_Toc78401634"/>
      <w:r w:rsidRPr="007E017E">
        <w:rPr>
          <w:rFonts w:ascii="Arial" w:hAnsi="Arial" w:cs="Arial"/>
          <w:sz w:val="28"/>
          <w:szCs w:val="28"/>
        </w:rPr>
        <w:t xml:space="preserve">Principles for purposes other than </w:t>
      </w:r>
      <w:r w:rsidR="00D52DEF">
        <w:rPr>
          <w:rFonts w:ascii="Arial" w:hAnsi="Arial" w:cs="Arial"/>
          <w:sz w:val="28"/>
          <w:szCs w:val="28"/>
        </w:rPr>
        <w:t>safeguarding</w:t>
      </w:r>
      <w:r w:rsidR="007E017E" w:rsidRPr="007E017E">
        <w:rPr>
          <w:rFonts w:ascii="Arial" w:hAnsi="Arial" w:cs="Arial"/>
          <w:sz w:val="28"/>
          <w:szCs w:val="28"/>
        </w:rPr>
        <w:t>:</w:t>
      </w:r>
      <w:bookmarkEnd w:id="6"/>
      <w:r w:rsidR="007E017E" w:rsidRPr="007E017E">
        <w:rPr>
          <w:rFonts w:ascii="Arial" w:hAnsi="Arial" w:cs="Arial"/>
          <w:sz w:val="28"/>
          <w:szCs w:val="28"/>
        </w:rPr>
        <w:t xml:space="preserve"> </w:t>
      </w:r>
    </w:p>
    <w:p w14:paraId="7841C7F3" w14:textId="77777777" w:rsidR="007E017E" w:rsidRPr="007E017E" w:rsidRDefault="007E017E" w:rsidP="00222DBE">
      <w:pPr>
        <w:jc w:val="both"/>
      </w:pPr>
    </w:p>
    <w:p w14:paraId="0EA09DBB" w14:textId="38CECEE1" w:rsidR="009F6855" w:rsidRPr="00F53E83" w:rsidRDefault="000956C1" w:rsidP="00222DBE">
      <w:pPr>
        <w:pStyle w:val="ListParagraph"/>
        <w:numPr>
          <w:ilvl w:val="0"/>
          <w:numId w:val="9"/>
        </w:numPr>
        <w:jc w:val="both"/>
        <w:rPr>
          <w:rFonts w:ascii="Arial" w:hAnsi="Arial" w:cs="Arial"/>
          <w:sz w:val="24"/>
          <w:szCs w:val="24"/>
        </w:rPr>
      </w:pPr>
      <w:r>
        <w:rPr>
          <w:rFonts w:ascii="Arial" w:hAnsi="Arial" w:cs="Arial"/>
          <w:sz w:val="24"/>
          <w:szCs w:val="24"/>
        </w:rPr>
        <w:lastRenderedPageBreak/>
        <w:t>Service providers</w:t>
      </w:r>
      <w:r w:rsidR="009F6855" w:rsidRPr="00F53E83">
        <w:rPr>
          <w:rFonts w:ascii="Arial" w:hAnsi="Arial" w:cs="Arial"/>
          <w:sz w:val="24"/>
          <w:szCs w:val="24"/>
        </w:rPr>
        <w:t xml:space="preserve"> can only use the data they hold in relation to managing and developing their own services.  They can, by agreement, link with other providers to do this on a wider basis.</w:t>
      </w:r>
      <w:r w:rsidR="00917DF6" w:rsidRPr="00F53E83">
        <w:rPr>
          <w:rFonts w:ascii="Arial" w:hAnsi="Arial" w:cs="Arial"/>
          <w:sz w:val="24"/>
          <w:szCs w:val="24"/>
        </w:rPr>
        <w:t xml:space="preserve">  They can also, by agreement, provide data to commissioning organisations to support the functions of those organisations.</w:t>
      </w:r>
    </w:p>
    <w:p w14:paraId="42CFD5E4" w14:textId="77777777" w:rsidR="009F6855" w:rsidRPr="00F53E83" w:rsidRDefault="009F6855" w:rsidP="00222DBE">
      <w:pPr>
        <w:pStyle w:val="ListParagraph"/>
        <w:ind w:left="1080"/>
        <w:jc w:val="both"/>
        <w:rPr>
          <w:rFonts w:ascii="Arial" w:hAnsi="Arial" w:cs="Arial"/>
          <w:sz w:val="24"/>
          <w:szCs w:val="24"/>
        </w:rPr>
      </w:pPr>
    </w:p>
    <w:p w14:paraId="3A4D6631" w14:textId="77777777" w:rsidR="009F6855" w:rsidRPr="00F53E83" w:rsidRDefault="009F6855" w:rsidP="00222DBE">
      <w:pPr>
        <w:pStyle w:val="ListParagraph"/>
        <w:numPr>
          <w:ilvl w:val="0"/>
          <w:numId w:val="9"/>
        </w:numPr>
        <w:jc w:val="both"/>
        <w:rPr>
          <w:rFonts w:ascii="Arial" w:hAnsi="Arial" w:cs="Arial"/>
          <w:sz w:val="24"/>
          <w:szCs w:val="24"/>
        </w:rPr>
      </w:pPr>
      <w:r w:rsidRPr="00F53E83">
        <w:rPr>
          <w:rFonts w:ascii="Arial" w:hAnsi="Arial" w:cs="Arial"/>
          <w:sz w:val="24"/>
          <w:szCs w:val="24"/>
        </w:rPr>
        <w:t>Commissioning organisations can only use data related to the population that they cover.</w:t>
      </w:r>
    </w:p>
    <w:p w14:paraId="465641E3" w14:textId="77777777" w:rsidR="009F6855" w:rsidRPr="00F53E83" w:rsidRDefault="009F6855" w:rsidP="00222DBE">
      <w:pPr>
        <w:pStyle w:val="ListParagraph"/>
        <w:jc w:val="both"/>
        <w:rPr>
          <w:rFonts w:ascii="Arial" w:hAnsi="Arial" w:cs="Arial"/>
          <w:sz w:val="24"/>
          <w:szCs w:val="24"/>
        </w:rPr>
      </w:pPr>
    </w:p>
    <w:p w14:paraId="762A845E" w14:textId="77777777" w:rsidR="009F6855" w:rsidRPr="00F53E83" w:rsidRDefault="009F6855" w:rsidP="00222DBE">
      <w:pPr>
        <w:pStyle w:val="ListParagraph"/>
        <w:numPr>
          <w:ilvl w:val="0"/>
          <w:numId w:val="9"/>
        </w:numPr>
        <w:jc w:val="both"/>
        <w:rPr>
          <w:rFonts w:ascii="Arial" w:hAnsi="Arial" w:cs="Arial"/>
          <w:sz w:val="24"/>
          <w:szCs w:val="24"/>
        </w:rPr>
      </w:pPr>
      <w:r w:rsidRPr="00F53E83">
        <w:rPr>
          <w:rFonts w:ascii="Arial" w:hAnsi="Arial" w:cs="Arial"/>
          <w:sz w:val="24"/>
          <w:szCs w:val="24"/>
        </w:rPr>
        <w:t>Commissioning organisations can link their legal powers together across a wider geography (</w:t>
      </w:r>
      <w:proofErr w:type="gramStart"/>
      <w:r w:rsidRPr="00F53E83">
        <w:rPr>
          <w:rFonts w:ascii="Arial" w:hAnsi="Arial" w:cs="Arial"/>
          <w:sz w:val="24"/>
          <w:szCs w:val="24"/>
        </w:rPr>
        <w:t>i.e.</w:t>
      </w:r>
      <w:proofErr w:type="gramEnd"/>
      <w:r w:rsidRPr="00F53E83">
        <w:rPr>
          <w:rFonts w:ascii="Arial" w:hAnsi="Arial" w:cs="Arial"/>
          <w:sz w:val="24"/>
          <w:szCs w:val="24"/>
        </w:rPr>
        <w:t xml:space="preserve"> </w:t>
      </w:r>
      <w:r w:rsidR="001236B0" w:rsidRPr="00F53E83">
        <w:rPr>
          <w:rFonts w:ascii="Arial" w:hAnsi="Arial" w:cs="Arial"/>
          <w:sz w:val="24"/>
          <w:szCs w:val="24"/>
        </w:rPr>
        <w:t>South West region</w:t>
      </w:r>
      <w:r w:rsidR="000E7F83" w:rsidRPr="00F53E83">
        <w:rPr>
          <w:rFonts w:ascii="Arial" w:hAnsi="Arial" w:cs="Arial"/>
          <w:sz w:val="24"/>
          <w:szCs w:val="24"/>
        </w:rPr>
        <w:t xml:space="preserve"> or </w:t>
      </w:r>
      <w:r w:rsidRPr="00F53E83">
        <w:rPr>
          <w:rFonts w:ascii="Arial" w:hAnsi="Arial" w:cs="Arial"/>
          <w:sz w:val="24"/>
          <w:szCs w:val="24"/>
        </w:rPr>
        <w:t>I</w:t>
      </w:r>
      <w:r w:rsidR="000E7F83" w:rsidRPr="00F53E83">
        <w:rPr>
          <w:rFonts w:ascii="Arial" w:hAnsi="Arial" w:cs="Arial"/>
          <w:sz w:val="24"/>
          <w:szCs w:val="24"/>
        </w:rPr>
        <w:t xml:space="preserve">ntegrated </w:t>
      </w:r>
      <w:r w:rsidRPr="00F53E83">
        <w:rPr>
          <w:rFonts w:ascii="Arial" w:hAnsi="Arial" w:cs="Arial"/>
          <w:sz w:val="24"/>
          <w:szCs w:val="24"/>
        </w:rPr>
        <w:t>C</w:t>
      </w:r>
      <w:r w:rsidR="000E7F83" w:rsidRPr="00F53E83">
        <w:rPr>
          <w:rFonts w:ascii="Arial" w:hAnsi="Arial" w:cs="Arial"/>
          <w:sz w:val="24"/>
          <w:szCs w:val="24"/>
        </w:rPr>
        <w:t xml:space="preserve">are </w:t>
      </w:r>
      <w:r w:rsidRPr="00F53E83">
        <w:rPr>
          <w:rFonts w:ascii="Arial" w:hAnsi="Arial" w:cs="Arial"/>
          <w:sz w:val="24"/>
          <w:szCs w:val="24"/>
        </w:rPr>
        <w:t>S</w:t>
      </w:r>
      <w:r w:rsidR="000E7F83" w:rsidRPr="00F53E83">
        <w:rPr>
          <w:rFonts w:ascii="Arial" w:hAnsi="Arial" w:cs="Arial"/>
          <w:sz w:val="24"/>
          <w:szCs w:val="24"/>
        </w:rPr>
        <w:t>ystem</w:t>
      </w:r>
      <w:r w:rsidRPr="00F53E83">
        <w:rPr>
          <w:rFonts w:ascii="Arial" w:hAnsi="Arial" w:cs="Arial"/>
          <w:sz w:val="24"/>
          <w:szCs w:val="24"/>
        </w:rPr>
        <w:t>) by establishing joint controller arrangements over combinations of data they wish to use.</w:t>
      </w:r>
    </w:p>
    <w:p w14:paraId="5825015C" w14:textId="77777777" w:rsidR="009F6855" w:rsidRPr="00F53E83" w:rsidRDefault="009F6855" w:rsidP="00222DBE">
      <w:pPr>
        <w:pStyle w:val="ListParagraph"/>
        <w:jc w:val="both"/>
        <w:rPr>
          <w:rFonts w:ascii="Arial" w:hAnsi="Arial" w:cs="Arial"/>
          <w:sz w:val="24"/>
          <w:szCs w:val="24"/>
        </w:rPr>
      </w:pPr>
    </w:p>
    <w:p w14:paraId="12987098" w14:textId="77777777" w:rsidR="00930B12" w:rsidRDefault="009F6855" w:rsidP="00930B12">
      <w:pPr>
        <w:pStyle w:val="ListParagraph"/>
        <w:numPr>
          <w:ilvl w:val="0"/>
          <w:numId w:val="9"/>
        </w:numPr>
        <w:jc w:val="both"/>
        <w:rPr>
          <w:rFonts w:ascii="Arial" w:hAnsi="Arial" w:cs="Arial"/>
          <w:sz w:val="24"/>
          <w:szCs w:val="24"/>
        </w:rPr>
      </w:pPr>
      <w:r w:rsidRPr="00F53E83">
        <w:rPr>
          <w:rFonts w:ascii="Arial" w:hAnsi="Arial" w:cs="Arial"/>
          <w:sz w:val="24"/>
          <w:szCs w:val="24"/>
        </w:rPr>
        <w:t>Providers can undertake data processing on datasets for commissioners by means of data processing agreements.</w:t>
      </w:r>
    </w:p>
    <w:p w14:paraId="7D2445AA" w14:textId="77777777" w:rsidR="00930B12" w:rsidRPr="00930B12" w:rsidRDefault="00930B12" w:rsidP="00930B12">
      <w:pPr>
        <w:pStyle w:val="ListParagraph"/>
        <w:rPr>
          <w:rFonts w:ascii="Arial" w:hAnsi="Arial" w:cs="Arial"/>
          <w:sz w:val="24"/>
          <w:szCs w:val="24"/>
        </w:rPr>
      </w:pPr>
    </w:p>
    <w:p w14:paraId="21AB90EB" w14:textId="71277AA1" w:rsidR="007E017E" w:rsidRPr="00930B12" w:rsidRDefault="009F6855" w:rsidP="00930B12">
      <w:pPr>
        <w:pStyle w:val="ListParagraph"/>
        <w:numPr>
          <w:ilvl w:val="0"/>
          <w:numId w:val="9"/>
        </w:numPr>
        <w:jc w:val="both"/>
        <w:rPr>
          <w:rFonts w:ascii="Arial" w:hAnsi="Arial" w:cs="Arial"/>
          <w:sz w:val="24"/>
          <w:szCs w:val="24"/>
        </w:rPr>
      </w:pPr>
      <w:r w:rsidRPr="00930B12">
        <w:rPr>
          <w:rFonts w:ascii="Arial" w:hAnsi="Arial" w:cs="Arial"/>
          <w:sz w:val="24"/>
          <w:szCs w:val="24"/>
        </w:rPr>
        <w:t>Local authorities shall be seen as having both commissioner and provider functions in relation to the above statements.</w:t>
      </w:r>
    </w:p>
    <w:p w14:paraId="620C8FC9" w14:textId="77777777" w:rsidR="00F152D2" w:rsidRPr="00930B12" w:rsidRDefault="00F152D2" w:rsidP="00930B12">
      <w:pPr>
        <w:pStyle w:val="ListParagraph"/>
        <w:rPr>
          <w:rFonts w:ascii="Arial" w:hAnsi="Arial" w:cs="Arial"/>
          <w:sz w:val="24"/>
          <w:szCs w:val="24"/>
        </w:rPr>
      </w:pPr>
    </w:p>
    <w:p w14:paraId="5167BEB7" w14:textId="70DF0C71" w:rsidR="00F152D2" w:rsidRPr="00F152D2" w:rsidRDefault="00F152D2" w:rsidP="00F152D2">
      <w:pPr>
        <w:pStyle w:val="ListParagraph"/>
        <w:numPr>
          <w:ilvl w:val="0"/>
          <w:numId w:val="9"/>
        </w:numPr>
        <w:rPr>
          <w:rFonts w:ascii="Arial" w:hAnsi="Arial" w:cs="Arial"/>
          <w:sz w:val="24"/>
          <w:szCs w:val="24"/>
        </w:rPr>
      </w:pPr>
      <w:r w:rsidRPr="00F152D2">
        <w:rPr>
          <w:rFonts w:ascii="Arial" w:hAnsi="Arial" w:cs="Arial"/>
          <w:sz w:val="24"/>
          <w:szCs w:val="24"/>
        </w:rPr>
        <w:t xml:space="preserve">There will be an expectation that for any sharing other than for safeguarding this will be fully anonymised or de-personalised. Any potential sharing opportunity that includes Personal data will be assessed on a case-by-case basis. </w:t>
      </w:r>
    </w:p>
    <w:p w14:paraId="763172C3" w14:textId="77777777" w:rsidR="00F152D2" w:rsidRPr="007E017E" w:rsidRDefault="00F152D2" w:rsidP="00F152D2">
      <w:pPr>
        <w:pStyle w:val="ListParagraph"/>
        <w:ind w:left="1080"/>
        <w:jc w:val="both"/>
        <w:rPr>
          <w:rFonts w:ascii="Arial" w:hAnsi="Arial" w:cs="Arial"/>
          <w:sz w:val="24"/>
          <w:szCs w:val="24"/>
        </w:rPr>
      </w:pPr>
    </w:p>
    <w:p w14:paraId="4DE35419" w14:textId="77777777" w:rsidR="007E017E" w:rsidRDefault="007E017E" w:rsidP="00222DBE">
      <w:pPr>
        <w:pStyle w:val="ListParagraph"/>
        <w:ind w:left="0"/>
        <w:jc w:val="both"/>
        <w:rPr>
          <w:rFonts w:ascii="Arial" w:hAnsi="Arial" w:cs="Arial"/>
          <w:b/>
          <w:sz w:val="24"/>
          <w:szCs w:val="24"/>
        </w:rPr>
      </w:pPr>
    </w:p>
    <w:p w14:paraId="251E1CEC" w14:textId="77777777" w:rsidR="007E017E" w:rsidRPr="00F53E83" w:rsidRDefault="007E017E" w:rsidP="00222DBE">
      <w:pPr>
        <w:pStyle w:val="ListParagraph"/>
        <w:ind w:left="0"/>
        <w:jc w:val="both"/>
        <w:rPr>
          <w:rFonts w:ascii="Arial" w:hAnsi="Arial" w:cs="Arial"/>
          <w:b/>
          <w:sz w:val="24"/>
          <w:szCs w:val="24"/>
        </w:rPr>
      </w:pPr>
    </w:p>
    <w:p w14:paraId="0F485B69" w14:textId="77777777" w:rsidR="009F6855" w:rsidRPr="00F53E83" w:rsidRDefault="009F6855" w:rsidP="00222DBE">
      <w:pPr>
        <w:pStyle w:val="ListParagraph"/>
        <w:ind w:left="0"/>
        <w:jc w:val="both"/>
        <w:rPr>
          <w:rFonts w:ascii="Arial" w:hAnsi="Arial" w:cs="Arial"/>
          <w:b/>
          <w:sz w:val="24"/>
          <w:szCs w:val="24"/>
        </w:rPr>
      </w:pPr>
      <w:r w:rsidRPr="006A3C52">
        <w:rPr>
          <w:rFonts w:ascii="Arial" w:hAnsi="Arial" w:cs="Arial"/>
          <w:b/>
          <w:bCs/>
          <w:sz w:val="24"/>
          <w:szCs w:val="24"/>
        </w:rPr>
        <w:t>G</w:t>
      </w:r>
      <w:r w:rsidR="000E7F83" w:rsidRPr="006A3C52">
        <w:rPr>
          <w:rFonts w:ascii="Arial" w:hAnsi="Arial" w:cs="Arial"/>
          <w:b/>
          <w:bCs/>
          <w:sz w:val="24"/>
          <w:szCs w:val="24"/>
        </w:rPr>
        <w:t xml:space="preserve">eneral </w:t>
      </w:r>
      <w:r w:rsidRPr="006A3C52">
        <w:rPr>
          <w:rFonts w:ascii="Arial" w:hAnsi="Arial" w:cs="Arial"/>
          <w:b/>
          <w:bCs/>
          <w:sz w:val="24"/>
          <w:szCs w:val="24"/>
        </w:rPr>
        <w:t>D</w:t>
      </w:r>
      <w:r w:rsidR="000E7F83" w:rsidRPr="006A3C52">
        <w:rPr>
          <w:rFonts w:ascii="Arial" w:hAnsi="Arial" w:cs="Arial"/>
          <w:b/>
          <w:bCs/>
          <w:sz w:val="24"/>
          <w:szCs w:val="24"/>
        </w:rPr>
        <w:t xml:space="preserve">ata </w:t>
      </w:r>
      <w:r w:rsidRPr="006A3C52">
        <w:rPr>
          <w:rFonts w:ascii="Arial" w:hAnsi="Arial" w:cs="Arial"/>
          <w:b/>
          <w:bCs/>
          <w:sz w:val="24"/>
          <w:szCs w:val="24"/>
        </w:rPr>
        <w:t>P</w:t>
      </w:r>
      <w:r w:rsidR="000E7F83" w:rsidRPr="006A3C52">
        <w:rPr>
          <w:rFonts w:ascii="Arial" w:hAnsi="Arial" w:cs="Arial"/>
          <w:b/>
          <w:bCs/>
          <w:sz w:val="24"/>
          <w:szCs w:val="24"/>
        </w:rPr>
        <w:t xml:space="preserve">rotection </w:t>
      </w:r>
      <w:r w:rsidRPr="006A3C52">
        <w:rPr>
          <w:rFonts w:ascii="Arial" w:hAnsi="Arial" w:cs="Arial"/>
          <w:b/>
          <w:bCs/>
          <w:sz w:val="24"/>
          <w:szCs w:val="24"/>
        </w:rPr>
        <w:t>R</w:t>
      </w:r>
      <w:r w:rsidR="000E7F83" w:rsidRPr="006A3C52">
        <w:rPr>
          <w:rFonts w:ascii="Arial" w:hAnsi="Arial" w:cs="Arial"/>
          <w:b/>
          <w:bCs/>
          <w:sz w:val="24"/>
          <w:szCs w:val="24"/>
        </w:rPr>
        <w:t>egulation -</w:t>
      </w:r>
      <w:r w:rsidRPr="006A3C52">
        <w:rPr>
          <w:rFonts w:ascii="Arial" w:hAnsi="Arial" w:cs="Arial"/>
          <w:b/>
          <w:bCs/>
          <w:sz w:val="24"/>
          <w:szCs w:val="24"/>
        </w:rPr>
        <w:t xml:space="preserve"> justifications and common law of confidentiality applied to core ‘non </w:t>
      </w:r>
      <w:r w:rsidR="00D52DEF" w:rsidRPr="006A3C52">
        <w:rPr>
          <w:rFonts w:ascii="Arial" w:hAnsi="Arial" w:cs="Arial"/>
          <w:b/>
          <w:bCs/>
          <w:sz w:val="24"/>
          <w:szCs w:val="24"/>
        </w:rPr>
        <w:t>safeguarding</w:t>
      </w:r>
      <w:r w:rsidRPr="006A3C52">
        <w:rPr>
          <w:rFonts w:ascii="Arial" w:hAnsi="Arial" w:cs="Arial"/>
          <w:b/>
          <w:bCs/>
          <w:sz w:val="24"/>
          <w:szCs w:val="24"/>
        </w:rPr>
        <w:t xml:space="preserve"> purposes’</w:t>
      </w:r>
      <w:r w:rsidRPr="00F53E83">
        <w:rPr>
          <w:rFonts w:ascii="Arial" w:hAnsi="Arial" w:cs="Arial"/>
          <w:b/>
          <w:sz w:val="24"/>
          <w:szCs w:val="24"/>
        </w:rPr>
        <w:t xml:space="preserve"> (NB this list is a non-exhaustive list of examples)</w:t>
      </w:r>
    </w:p>
    <w:tbl>
      <w:tblPr>
        <w:tblStyle w:val="TableGrid"/>
        <w:tblW w:w="0" w:type="auto"/>
        <w:tblLook w:val="04A0" w:firstRow="1" w:lastRow="0" w:firstColumn="1" w:lastColumn="0" w:noHBand="0" w:noVBand="1"/>
      </w:tblPr>
      <w:tblGrid>
        <w:gridCol w:w="2255"/>
        <w:gridCol w:w="2251"/>
        <w:gridCol w:w="2241"/>
        <w:gridCol w:w="2269"/>
      </w:tblGrid>
      <w:tr w:rsidR="009F6855" w:rsidRPr="00F53E83" w14:paraId="59E27B29" w14:textId="77777777" w:rsidTr="001A60C1">
        <w:tc>
          <w:tcPr>
            <w:tcW w:w="2310" w:type="dxa"/>
          </w:tcPr>
          <w:p w14:paraId="65E77E2B"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 xml:space="preserve">Purposes </w:t>
            </w:r>
          </w:p>
        </w:tc>
        <w:tc>
          <w:tcPr>
            <w:tcW w:w="2310" w:type="dxa"/>
          </w:tcPr>
          <w:p w14:paraId="7CE02C35"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GDPR Article 6</w:t>
            </w:r>
          </w:p>
        </w:tc>
        <w:tc>
          <w:tcPr>
            <w:tcW w:w="2311" w:type="dxa"/>
          </w:tcPr>
          <w:p w14:paraId="3F0CDF5F"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GDPR Article 9</w:t>
            </w:r>
          </w:p>
        </w:tc>
        <w:tc>
          <w:tcPr>
            <w:tcW w:w="2311" w:type="dxa"/>
          </w:tcPr>
          <w:p w14:paraId="6BE20B90"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Common law of confidentiality</w:t>
            </w:r>
          </w:p>
        </w:tc>
      </w:tr>
      <w:tr w:rsidR="009F6855" w:rsidRPr="00F53E83" w14:paraId="2DD743C0" w14:textId="77777777" w:rsidTr="001A60C1">
        <w:tc>
          <w:tcPr>
            <w:tcW w:w="2310" w:type="dxa"/>
          </w:tcPr>
          <w:p w14:paraId="609BCACE"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 xml:space="preserve">Risk stratification </w:t>
            </w:r>
            <w:r w:rsidR="007E017E" w:rsidRPr="00F53E83">
              <w:rPr>
                <w:rFonts w:ascii="Arial" w:hAnsi="Arial" w:cs="Arial"/>
                <w:b/>
                <w:sz w:val="24"/>
                <w:szCs w:val="24"/>
              </w:rPr>
              <w:t>for service</w:t>
            </w:r>
            <w:r w:rsidRPr="00F53E83">
              <w:rPr>
                <w:rFonts w:ascii="Arial" w:hAnsi="Arial" w:cs="Arial"/>
                <w:b/>
                <w:sz w:val="24"/>
                <w:szCs w:val="24"/>
              </w:rPr>
              <w:t xml:space="preserve"> planning</w:t>
            </w:r>
          </w:p>
          <w:p w14:paraId="53C024CA" w14:textId="77777777" w:rsidR="009F6855" w:rsidRPr="00F53E83" w:rsidRDefault="009F6855" w:rsidP="00222DBE">
            <w:pPr>
              <w:jc w:val="both"/>
              <w:rPr>
                <w:rFonts w:ascii="Arial" w:hAnsi="Arial" w:cs="Arial"/>
                <w:b/>
                <w:sz w:val="24"/>
                <w:szCs w:val="24"/>
              </w:rPr>
            </w:pPr>
          </w:p>
        </w:tc>
        <w:tc>
          <w:tcPr>
            <w:tcW w:w="2310" w:type="dxa"/>
            <w:vMerge w:val="restart"/>
          </w:tcPr>
          <w:p w14:paraId="0D503F10" w14:textId="77777777" w:rsidR="009F6855" w:rsidRPr="00F53E83" w:rsidRDefault="00C533B2" w:rsidP="00222DBE">
            <w:pPr>
              <w:jc w:val="both"/>
              <w:rPr>
                <w:rFonts w:ascii="Arial" w:hAnsi="Arial" w:cs="Arial"/>
                <w:sz w:val="24"/>
                <w:szCs w:val="24"/>
              </w:rPr>
            </w:pPr>
            <w:r w:rsidRPr="00F53E83">
              <w:rPr>
                <w:rFonts w:ascii="Arial" w:hAnsi="Arial" w:cs="Arial"/>
                <w:sz w:val="24"/>
                <w:szCs w:val="24"/>
              </w:rPr>
              <w:t>Necessary</w:t>
            </w:r>
            <w:r w:rsidR="009F6855" w:rsidRPr="00F53E83">
              <w:rPr>
                <w:rFonts w:ascii="Arial" w:hAnsi="Arial" w:cs="Arial"/>
                <w:sz w:val="24"/>
                <w:szCs w:val="24"/>
              </w:rPr>
              <w:t xml:space="preserve"> for the performance of a task carried out in the public interest or in the exercise of official authority.</w:t>
            </w:r>
          </w:p>
        </w:tc>
        <w:tc>
          <w:tcPr>
            <w:tcW w:w="2311" w:type="dxa"/>
            <w:vMerge w:val="restart"/>
          </w:tcPr>
          <w:p w14:paraId="5A900EF2" w14:textId="31FBD506" w:rsidR="009F6855" w:rsidRPr="00F53E83" w:rsidRDefault="00B92401" w:rsidP="00222DBE">
            <w:pPr>
              <w:jc w:val="both"/>
              <w:rPr>
                <w:rFonts w:ascii="Arial" w:hAnsi="Arial" w:cs="Arial"/>
                <w:sz w:val="24"/>
                <w:szCs w:val="24"/>
              </w:rPr>
            </w:pPr>
            <w:r>
              <w:rPr>
                <w:rFonts w:ascii="Arial" w:hAnsi="Arial" w:cs="Arial"/>
                <w:sz w:val="24"/>
                <w:szCs w:val="24"/>
              </w:rPr>
              <w:t>M</w:t>
            </w:r>
            <w:r w:rsidR="009F6855" w:rsidRPr="00F53E83">
              <w:rPr>
                <w:rFonts w:ascii="Arial" w:hAnsi="Arial" w:cs="Arial"/>
                <w:sz w:val="24"/>
                <w:szCs w:val="24"/>
              </w:rPr>
              <w:t xml:space="preserve">anagement of health or social care systems and </w:t>
            </w:r>
            <w:r w:rsidR="007E017E" w:rsidRPr="00F53E83">
              <w:rPr>
                <w:rFonts w:ascii="Arial" w:hAnsi="Arial" w:cs="Arial"/>
                <w:sz w:val="24"/>
                <w:szCs w:val="24"/>
              </w:rPr>
              <w:t xml:space="preserve">services </w:t>
            </w:r>
            <w:proofErr w:type="gramStart"/>
            <w:r w:rsidR="007E017E" w:rsidRPr="00F53E83">
              <w:rPr>
                <w:rFonts w:ascii="Arial" w:hAnsi="Arial" w:cs="Arial"/>
                <w:sz w:val="24"/>
                <w:szCs w:val="24"/>
              </w:rPr>
              <w:t>on</w:t>
            </w:r>
            <w:r w:rsidR="009F6855" w:rsidRPr="00F53E83">
              <w:rPr>
                <w:rFonts w:ascii="Arial" w:hAnsi="Arial" w:cs="Arial"/>
                <w:sz w:val="24"/>
                <w:szCs w:val="24"/>
              </w:rPr>
              <w:t xml:space="preserve"> the basis of</w:t>
            </w:r>
            <w:proofErr w:type="gramEnd"/>
            <w:r w:rsidR="009F6855" w:rsidRPr="00F53E83">
              <w:rPr>
                <w:rFonts w:ascii="Arial" w:hAnsi="Arial" w:cs="Arial"/>
                <w:sz w:val="24"/>
                <w:szCs w:val="24"/>
              </w:rPr>
              <w:t xml:space="preserve"> member state law</w:t>
            </w:r>
          </w:p>
        </w:tc>
        <w:tc>
          <w:tcPr>
            <w:tcW w:w="2311" w:type="dxa"/>
            <w:vMerge w:val="restart"/>
          </w:tcPr>
          <w:p w14:paraId="639A345A" w14:textId="77777777" w:rsidR="009F6855" w:rsidRPr="00F53E83" w:rsidRDefault="009F6855" w:rsidP="00222DBE">
            <w:pPr>
              <w:jc w:val="both"/>
              <w:rPr>
                <w:rFonts w:ascii="Arial" w:hAnsi="Arial" w:cs="Arial"/>
                <w:sz w:val="24"/>
                <w:szCs w:val="24"/>
              </w:rPr>
            </w:pPr>
            <w:r w:rsidRPr="00F53E83">
              <w:rPr>
                <w:rFonts w:ascii="Arial" w:hAnsi="Arial" w:cs="Arial"/>
                <w:sz w:val="24"/>
                <w:szCs w:val="24"/>
              </w:rPr>
              <w:t xml:space="preserve">Requires linkage between data sources, via pseudonymised data either at source or via controlled environment where data processing is automated and not </w:t>
            </w:r>
            <w:r w:rsidRPr="00F53E83">
              <w:rPr>
                <w:rFonts w:ascii="Arial" w:hAnsi="Arial" w:cs="Arial"/>
                <w:sz w:val="24"/>
                <w:szCs w:val="24"/>
              </w:rPr>
              <w:lastRenderedPageBreak/>
              <w:t>conducted manually by users.</w:t>
            </w:r>
          </w:p>
        </w:tc>
      </w:tr>
      <w:tr w:rsidR="009F6855" w:rsidRPr="00F53E83" w14:paraId="3D8C62A0" w14:textId="77777777" w:rsidTr="001A60C1">
        <w:tc>
          <w:tcPr>
            <w:tcW w:w="2310" w:type="dxa"/>
          </w:tcPr>
          <w:p w14:paraId="364EFB89"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Managing finances, quality &amp; outcomes</w:t>
            </w:r>
          </w:p>
          <w:p w14:paraId="0F1487FF" w14:textId="77777777" w:rsidR="009F6855" w:rsidRPr="00F53E83" w:rsidRDefault="009F6855" w:rsidP="00222DBE">
            <w:pPr>
              <w:jc w:val="both"/>
              <w:rPr>
                <w:rFonts w:ascii="Arial" w:hAnsi="Arial" w:cs="Arial"/>
                <w:b/>
                <w:sz w:val="24"/>
                <w:szCs w:val="24"/>
              </w:rPr>
            </w:pPr>
          </w:p>
        </w:tc>
        <w:tc>
          <w:tcPr>
            <w:tcW w:w="2310" w:type="dxa"/>
            <w:vMerge/>
          </w:tcPr>
          <w:p w14:paraId="21B1F138" w14:textId="77777777" w:rsidR="009F6855" w:rsidRPr="00F53E83" w:rsidRDefault="009F6855" w:rsidP="00222DBE">
            <w:pPr>
              <w:jc w:val="both"/>
              <w:rPr>
                <w:rFonts w:ascii="Arial" w:hAnsi="Arial" w:cs="Arial"/>
                <w:sz w:val="24"/>
                <w:szCs w:val="24"/>
              </w:rPr>
            </w:pPr>
          </w:p>
        </w:tc>
        <w:tc>
          <w:tcPr>
            <w:tcW w:w="2311" w:type="dxa"/>
            <w:vMerge/>
          </w:tcPr>
          <w:p w14:paraId="427FB1EF" w14:textId="77777777" w:rsidR="009F6855" w:rsidRPr="00F53E83" w:rsidRDefault="009F6855" w:rsidP="00222DBE">
            <w:pPr>
              <w:jc w:val="both"/>
              <w:rPr>
                <w:rFonts w:ascii="Arial" w:hAnsi="Arial" w:cs="Arial"/>
                <w:sz w:val="24"/>
                <w:szCs w:val="24"/>
              </w:rPr>
            </w:pPr>
          </w:p>
        </w:tc>
        <w:tc>
          <w:tcPr>
            <w:tcW w:w="2311" w:type="dxa"/>
            <w:vMerge/>
          </w:tcPr>
          <w:p w14:paraId="37D9E754" w14:textId="77777777" w:rsidR="009F6855" w:rsidRPr="00F53E83" w:rsidRDefault="009F6855" w:rsidP="00222DBE">
            <w:pPr>
              <w:jc w:val="both"/>
              <w:rPr>
                <w:rFonts w:ascii="Arial" w:hAnsi="Arial" w:cs="Arial"/>
                <w:sz w:val="24"/>
                <w:szCs w:val="24"/>
              </w:rPr>
            </w:pPr>
          </w:p>
        </w:tc>
      </w:tr>
      <w:tr w:rsidR="009F6855" w:rsidRPr="00F53E83" w14:paraId="579ED84C" w14:textId="77777777" w:rsidTr="001A60C1">
        <w:tc>
          <w:tcPr>
            <w:tcW w:w="2310" w:type="dxa"/>
          </w:tcPr>
          <w:p w14:paraId="4DB0572F"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 xml:space="preserve">Planning, </w:t>
            </w:r>
            <w:proofErr w:type="gramStart"/>
            <w:r w:rsidRPr="00F53E83">
              <w:rPr>
                <w:rFonts w:ascii="Arial" w:hAnsi="Arial" w:cs="Arial"/>
                <w:b/>
                <w:sz w:val="24"/>
                <w:szCs w:val="24"/>
              </w:rPr>
              <w:t>implementing</w:t>
            </w:r>
            <w:proofErr w:type="gramEnd"/>
            <w:r w:rsidRPr="00F53E83">
              <w:rPr>
                <w:rFonts w:ascii="Arial" w:hAnsi="Arial" w:cs="Arial"/>
                <w:b/>
                <w:sz w:val="24"/>
                <w:szCs w:val="24"/>
              </w:rPr>
              <w:t xml:space="preserve"> and evaluating </w:t>
            </w:r>
            <w:r w:rsidRPr="00F53E83">
              <w:rPr>
                <w:rFonts w:ascii="Arial" w:hAnsi="Arial" w:cs="Arial"/>
                <w:b/>
                <w:sz w:val="24"/>
                <w:szCs w:val="24"/>
              </w:rPr>
              <w:lastRenderedPageBreak/>
              <w:t>population health strategy</w:t>
            </w:r>
          </w:p>
          <w:p w14:paraId="010D95B9" w14:textId="77777777" w:rsidR="009F6855" w:rsidRPr="00F53E83" w:rsidRDefault="009F6855" w:rsidP="00222DBE">
            <w:pPr>
              <w:jc w:val="both"/>
              <w:rPr>
                <w:rFonts w:ascii="Arial" w:hAnsi="Arial" w:cs="Arial"/>
                <w:b/>
                <w:sz w:val="24"/>
                <w:szCs w:val="24"/>
              </w:rPr>
            </w:pPr>
          </w:p>
        </w:tc>
        <w:tc>
          <w:tcPr>
            <w:tcW w:w="2310" w:type="dxa"/>
            <w:vMerge/>
          </w:tcPr>
          <w:p w14:paraId="0135800D" w14:textId="77777777" w:rsidR="009F6855" w:rsidRPr="00F53E83" w:rsidRDefault="009F6855" w:rsidP="00222DBE">
            <w:pPr>
              <w:jc w:val="both"/>
              <w:rPr>
                <w:rFonts w:ascii="Arial" w:hAnsi="Arial" w:cs="Arial"/>
                <w:sz w:val="24"/>
                <w:szCs w:val="24"/>
              </w:rPr>
            </w:pPr>
          </w:p>
        </w:tc>
        <w:tc>
          <w:tcPr>
            <w:tcW w:w="2311" w:type="dxa"/>
            <w:vMerge/>
          </w:tcPr>
          <w:p w14:paraId="7C7E1BC8" w14:textId="77777777" w:rsidR="009F6855" w:rsidRPr="00F53E83" w:rsidRDefault="009F6855" w:rsidP="00222DBE">
            <w:pPr>
              <w:jc w:val="both"/>
              <w:rPr>
                <w:rFonts w:ascii="Arial" w:hAnsi="Arial" w:cs="Arial"/>
                <w:sz w:val="24"/>
                <w:szCs w:val="24"/>
              </w:rPr>
            </w:pPr>
          </w:p>
        </w:tc>
        <w:tc>
          <w:tcPr>
            <w:tcW w:w="2311" w:type="dxa"/>
            <w:vMerge/>
          </w:tcPr>
          <w:p w14:paraId="0CFCC1AE" w14:textId="77777777" w:rsidR="009F6855" w:rsidRPr="00F53E83" w:rsidRDefault="009F6855" w:rsidP="00222DBE">
            <w:pPr>
              <w:jc w:val="both"/>
              <w:rPr>
                <w:rFonts w:ascii="Arial" w:hAnsi="Arial" w:cs="Arial"/>
                <w:sz w:val="24"/>
                <w:szCs w:val="24"/>
              </w:rPr>
            </w:pPr>
          </w:p>
        </w:tc>
      </w:tr>
      <w:tr w:rsidR="009F6855" w:rsidRPr="00F53E83" w14:paraId="08F33E47" w14:textId="77777777" w:rsidTr="001A60C1">
        <w:tc>
          <w:tcPr>
            <w:tcW w:w="2310" w:type="dxa"/>
          </w:tcPr>
          <w:p w14:paraId="03DCBC45" w14:textId="77777777" w:rsidR="009F6855" w:rsidRPr="00F53E83" w:rsidRDefault="009F6855" w:rsidP="00222DBE">
            <w:pPr>
              <w:jc w:val="both"/>
              <w:rPr>
                <w:rFonts w:ascii="Arial" w:hAnsi="Arial" w:cs="Arial"/>
                <w:b/>
                <w:sz w:val="24"/>
                <w:szCs w:val="24"/>
              </w:rPr>
            </w:pPr>
            <w:r w:rsidRPr="00F53E83">
              <w:rPr>
                <w:rFonts w:ascii="Arial" w:hAnsi="Arial" w:cs="Arial"/>
                <w:b/>
                <w:sz w:val="24"/>
                <w:szCs w:val="24"/>
              </w:rPr>
              <w:t>Undertaking research</w:t>
            </w:r>
          </w:p>
        </w:tc>
        <w:tc>
          <w:tcPr>
            <w:tcW w:w="2310" w:type="dxa"/>
          </w:tcPr>
          <w:p w14:paraId="462F62AE" w14:textId="77777777" w:rsidR="009F6855" w:rsidRPr="00F53E83" w:rsidRDefault="00C533B2" w:rsidP="00222DBE">
            <w:pPr>
              <w:jc w:val="both"/>
              <w:rPr>
                <w:rFonts w:ascii="Arial" w:hAnsi="Arial" w:cs="Arial"/>
                <w:b/>
                <w:sz w:val="24"/>
                <w:szCs w:val="24"/>
              </w:rPr>
            </w:pPr>
            <w:r w:rsidRPr="00F53E83">
              <w:rPr>
                <w:rFonts w:ascii="Arial" w:hAnsi="Arial" w:cs="Arial"/>
                <w:sz w:val="24"/>
                <w:szCs w:val="24"/>
              </w:rPr>
              <w:t>Necessary</w:t>
            </w:r>
            <w:r w:rsidR="009F6855" w:rsidRPr="00F53E83">
              <w:rPr>
                <w:rFonts w:ascii="Arial" w:hAnsi="Arial" w:cs="Arial"/>
                <w:sz w:val="24"/>
                <w:szCs w:val="24"/>
              </w:rPr>
              <w:t xml:space="preserve"> for the performance of a task carried out in the public interest or in the exercise of official authority. </w:t>
            </w:r>
            <w:r w:rsidR="009F6855" w:rsidRPr="00F53E83">
              <w:rPr>
                <w:rFonts w:ascii="Arial" w:hAnsi="Arial" w:cs="Arial"/>
                <w:b/>
                <w:sz w:val="24"/>
                <w:szCs w:val="24"/>
              </w:rPr>
              <w:t>(Public Authority)</w:t>
            </w:r>
          </w:p>
          <w:p w14:paraId="22E98F38" w14:textId="77777777" w:rsidR="009F6855" w:rsidRPr="00F53E83" w:rsidRDefault="009F6855" w:rsidP="00222DBE">
            <w:pPr>
              <w:jc w:val="both"/>
              <w:rPr>
                <w:rFonts w:ascii="Arial" w:hAnsi="Arial" w:cs="Arial"/>
                <w:b/>
                <w:sz w:val="24"/>
                <w:szCs w:val="24"/>
              </w:rPr>
            </w:pPr>
          </w:p>
          <w:p w14:paraId="7528214C" w14:textId="77777777" w:rsidR="009F6855" w:rsidRPr="00F53E83" w:rsidRDefault="009F6855" w:rsidP="00222DBE">
            <w:pPr>
              <w:jc w:val="both"/>
              <w:rPr>
                <w:rFonts w:ascii="Arial" w:hAnsi="Arial" w:cs="Arial"/>
                <w:b/>
                <w:sz w:val="24"/>
                <w:szCs w:val="24"/>
              </w:rPr>
            </w:pPr>
            <w:r w:rsidRPr="00F53E83">
              <w:rPr>
                <w:rFonts w:ascii="Arial" w:hAnsi="Arial" w:cs="Arial"/>
                <w:sz w:val="24"/>
                <w:szCs w:val="24"/>
              </w:rPr>
              <w:t xml:space="preserve">Legitimate interests </w:t>
            </w:r>
            <w:r w:rsidRPr="00F53E83">
              <w:rPr>
                <w:rFonts w:ascii="Arial" w:hAnsi="Arial" w:cs="Arial"/>
                <w:b/>
                <w:sz w:val="24"/>
                <w:szCs w:val="24"/>
              </w:rPr>
              <w:t>(Private organisation)</w:t>
            </w:r>
          </w:p>
        </w:tc>
        <w:tc>
          <w:tcPr>
            <w:tcW w:w="2311" w:type="dxa"/>
          </w:tcPr>
          <w:p w14:paraId="1F92452A" w14:textId="77777777" w:rsidR="009F6855" w:rsidRPr="00F53E83" w:rsidRDefault="009F6855" w:rsidP="00222DBE">
            <w:pPr>
              <w:jc w:val="both"/>
              <w:rPr>
                <w:rFonts w:ascii="Arial" w:hAnsi="Arial" w:cs="Arial"/>
                <w:sz w:val="24"/>
                <w:szCs w:val="24"/>
              </w:rPr>
            </w:pPr>
            <w:r w:rsidRPr="00F53E83">
              <w:rPr>
                <w:rFonts w:ascii="Arial" w:hAnsi="Arial" w:cs="Arial"/>
                <w:sz w:val="24"/>
                <w:szCs w:val="24"/>
              </w:rPr>
              <w:t xml:space="preserve">necessary for … scientific research purposes or statistical purposes in accordance with </w:t>
            </w:r>
            <w:r w:rsidR="000E7F83" w:rsidRPr="00F53E83">
              <w:rPr>
                <w:rFonts w:ascii="Arial" w:hAnsi="Arial" w:cs="Arial"/>
                <w:sz w:val="24"/>
                <w:szCs w:val="24"/>
              </w:rPr>
              <w:t>A</w:t>
            </w:r>
            <w:r w:rsidRPr="00F53E83">
              <w:rPr>
                <w:rFonts w:ascii="Arial" w:hAnsi="Arial" w:cs="Arial"/>
                <w:sz w:val="24"/>
                <w:szCs w:val="24"/>
              </w:rPr>
              <w:t>rticle 89 (1) based on member state law (see legal gateways) which shall be proportionate to the aim pursued, respect the essence of the right to data protection and provide for suitable and specific measures to safeguard the rights and interests of the data subject.</w:t>
            </w:r>
          </w:p>
        </w:tc>
        <w:tc>
          <w:tcPr>
            <w:tcW w:w="2311" w:type="dxa"/>
          </w:tcPr>
          <w:p w14:paraId="49742D1B" w14:textId="77777777" w:rsidR="009F6855" w:rsidRPr="00F53E83" w:rsidRDefault="009F6855" w:rsidP="00222DBE">
            <w:pPr>
              <w:jc w:val="both"/>
              <w:rPr>
                <w:rFonts w:ascii="Arial" w:hAnsi="Arial" w:cs="Arial"/>
                <w:sz w:val="24"/>
                <w:szCs w:val="24"/>
              </w:rPr>
            </w:pPr>
            <w:r w:rsidRPr="00F53E83">
              <w:rPr>
                <w:rFonts w:ascii="Arial" w:hAnsi="Arial" w:cs="Arial"/>
                <w:sz w:val="24"/>
                <w:szCs w:val="24"/>
              </w:rPr>
              <w:t>Requires linkage between data sources, via pseudonymised data either at source or via controlled environment where data processing is automated and not conducted manually by users.</w:t>
            </w:r>
          </w:p>
        </w:tc>
      </w:tr>
    </w:tbl>
    <w:p w14:paraId="76A8D89F" w14:textId="77777777" w:rsidR="009F6855" w:rsidRPr="00F53E83" w:rsidRDefault="009F6855" w:rsidP="00222DBE">
      <w:pPr>
        <w:pStyle w:val="ListParagraph"/>
        <w:ind w:left="360"/>
        <w:jc w:val="both"/>
        <w:rPr>
          <w:rFonts w:ascii="Arial" w:hAnsi="Arial" w:cs="Arial"/>
          <w:sz w:val="24"/>
          <w:szCs w:val="24"/>
        </w:rPr>
      </w:pPr>
    </w:p>
    <w:p w14:paraId="468B39C2" w14:textId="5409F2BB" w:rsidR="009F6855" w:rsidRPr="00F53E83" w:rsidRDefault="009F6855" w:rsidP="00222DBE">
      <w:pPr>
        <w:pStyle w:val="ListParagraph"/>
        <w:numPr>
          <w:ilvl w:val="0"/>
          <w:numId w:val="6"/>
        </w:numPr>
        <w:jc w:val="both"/>
        <w:rPr>
          <w:rFonts w:ascii="Arial" w:hAnsi="Arial" w:cs="Arial"/>
          <w:sz w:val="24"/>
          <w:szCs w:val="24"/>
        </w:rPr>
      </w:pPr>
      <w:r w:rsidRPr="00F53E83">
        <w:rPr>
          <w:rFonts w:ascii="Arial" w:hAnsi="Arial" w:cs="Arial"/>
          <w:sz w:val="24"/>
          <w:szCs w:val="24"/>
        </w:rPr>
        <w:t xml:space="preserve">National data opt out: All sharing initiatives under this approach will consider and where applicable link to the National Data </w:t>
      </w:r>
      <w:proofErr w:type="spellStart"/>
      <w:r w:rsidRPr="00F53E83">
        <w:rPr>
          <w:rFonts w:ascii="Arial" w:hAnsi="Arial" w:cs="Arial"/>
          <w:sz w:val="24"/>
          <w:szCs w:val="24"/>
        </w:rPr>
        <w:t>Opt</w:t>
      </w:r>
      <w:proofErr w:type="spellEnd"/>
      <w:r w:rsidRPr="00F53E83">
        <w:rPr>
          <w:rFonts w:ascii="Arial" w:hAnsi="Arial" w:cs="Arial"/>
          <w:sz w:val="24"/>
          <w:szCs w:val="24"/>
        </w:rPr>
        <w:t xml:space="preserve"> </w:t>
      </w:r>
      <w:r w:rsidR="00F17745">
        <w:rPr>
          <w:rFonts w:ascii="Arial" w:hAnsi="Arial" w:cs="Arial"/>
          <w:sz w:val="24"/>
          <w:szCs w:val="24"/>
        </w:rPr>
        <w:t>O</w:t>
      </w:r>
      <w:r w:rsidRPr="00F53E83">
        <w:rPr>
          <w:rFonts w:ascii="Arial" w:hAnsi="Arial" w:cs="Arial"/>
          <w:sz w:val="24"/>
          <w:szCs w:val="24"/>
        </w:rPr>
        <w:t>ut (NDO</w:t>
      </w:r>
      <w:r w:rsidR="00F17745">
        <w:rPr>
          <w:rFonts w:ascii="Arial" w:hAnsi="Arial" w:cs="Arial"/>
          <w:sz w:val="24"/>
          <w:szCs w:val="24"/>
        </w:rPr>
        <w:t>O</w:t>
      </w:r>
      <w:r w:rsidRPr="00F53E83">
        <w:rPr>
          <w:rFonts w:ascii="Arial" w:hAnsi="Arial" w:cs="Arial"/>
          <w:sz w:val="24"/>
          <w:szCs w:val="24"/>
        </w:rPr>
        <w:t>)</w:t>
      </w:r>
      <w:r w:rsidR="00CD5373">
        <w:rPr>
          <w:rFonts w:ascii="Arial" w:hAnsi="Arial" w:cs="Arial"/>
          <w:sz w:val="24"/>
          <w:szCs w:val="24"/>
        </w:rPr>
        <w:t xml:space="preserve"> where it involves the use of health or care data</w:t>
      </w:r>
      <w:r w:rsidRPr="00F53E83">
        <w:rPr>
          <w:rFonts w:ascii="Arial" w:hAnsi="Arial" w:cs="Arial"/>
          <w:sz w:val="24"/>
          <w:szCs w:val="24"/>
        </w:rPr>
        <w:t>.  The application of the NDO</w:t>
      </w:r>
      <w:r w:rsidR="00F17745">
        <w:rPr>
          <w:rFonts w:ascii="Arial" w:hAnsi="Arial" w:cs="Arial"/>
          <w:sz w:val="24"/>
          <w:szCs w:val="24"/>
        </w:rPr>
        <w:t>O</w:t>
      </w:r>
      <w:r w:rsidRPr="00F53E83">
        <w:rPr>
          <w:rFonts w:ascii="Arial" w:hAnsi="Arial" w:cs="Arial"/>
          <w:sz w:val="24"/>
          <w:szCs w:val="24"/>
        </w:rPr>
        <w:t xml:space="preserve"> will be considered both at the organisational level before data is shared and in any shared analytics/intelligence platform.  </w:t>
      </w:r>
      <w:r w:rsidR="007E017E" w:rsidRPr="00F53E83">
        <w:rPr>
          <w:rFonts w:ascii="Arial" w:hAnsi="Arial" w:cs="Arial"/>
          <w:sz w:val="24"/>
          <w:szCs w:val="24"/>
        </w:rPr>
        <w:t>Its</w:t>
      </w:r>
      <w:r w:rsidRPr="00F53E83">
        <w:rPr>
          <w:rFonts w:ascii="Arial" w:hAnsi="Arial" w:cs="Arial"/>
          <w:sz w:val="24"/>
          <w:szCs w:val="24"/>
        </w:rPr>
        <w:t xml:space="preserve"> application will be confirmed in the DPIA for a specific initiative.</w:t>
      </w:r>
    </w:p>
    <w:p w14:paraId="663393D4" w14:textId="77777777" w:rsidR="0095115F" w:rsidRPr="00F53E83" w:rsidRDefault="0095115F" w:rsidP="00222DBE">
      <w:pPr>
        <w:pStyle w:val="ListParagraph"/>
        <w:ind w:left="0"/>
        <w:jc w:val="both"/>
        <w:rPr>
          <w:rFonts w:ascii="Arial" w:hAnsi="Arial" w:cs="Arial"/>
          <w:sz w:val="24"/>
          <w:szCs w:val="24"/>
        </w:rPr>
      </w:pPr>
    </w:p>
    <w:p w14:paraId="63BB0960" w14:textId="77777777" w:rsidR="0095115F" w:rsidRPr="007E017E" w:rsidRDefault="0095115F" w:rsidP="00222DBE">
      <w:pPr>
        <w:pStyle w:val="Heading1"/>
        <w:numPr>
          <w:ilvl w:val="0"/>
          <w:numId w:val="37"/>
        </w:numPr>
        <w:jc w:val="both"/>
        <w:rPr>
          <w:rFonts w:ascii="Arial" w:eastAsia="Times New Roman" w:hAnsi="Arial" w:cs="Arial"/>
          <w:sz w:val="28"/>
          <w:szCs w:val="28"/>
          <w:lang w:eastAsia="en-GB"/>
        </w:rPr>
      </w:pPr>
      <w:bookmarkStart w:id="7" w:name="_Toc78401635"/>
      <w:r w:rsidRPr="007E017E">
        <w:rPr>
          <w:rFonts w:ascii="Arial" w:eastAsia="Times New Roman" w:hAnsi="Arial" w:cs="Arial"/>
          <w:sz w:val="28"/>
          <w:szCs w:val="28"/>
          <w:lang w:eastAsia="en-GB"/>
        </w:rPr>
        <w:t>Process for establishing initiative specific data sharing arrangements</w:t>
      </w:r>
      <w:bookmarkEnd w:id="7"/>
    </w:p>
    <w:p w14:paraId="19638E28" w14:textId="77777777" w:rsidR="00222DBE" w:rsidRDefault="00222DBE" w:rsidP="00222DBE">
      <w:pPr>
        <w:spacing w:after="0" w:line="240" w:lineRule="auto"/>
        <w:jc w:val="both"/>
        <w:rPr>
          <w:rFonts w:ascii="Arial" w:eastAsia="Times New Roman" w:hAnsi="Arial" w:cs="Arial"/>
          <w:color w:val="333333"/>
          <w:sz w:val="24"/>
          <w:szCs w:val="24"/>
          <w:lang w:eastAsia="en-GB"/>
        </w:rPr>
      </w:pPr>
    </w:p>
    <w:p w14:paraId="1B5145B0" w14:textId="77777777" w:rsidR="0050305E" w:rsidRPr="00F53E83" w:rsidRDefault="0050305E" w:rsidP="00222DBE">
      <w:pPr>
        <w:spacing w:after="0" w:line="240" w:lineRule="auto"/>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Each data sharing initiative (or an existing initiative at the point of review) within the scope of, or requiring the support of this agreement will:</w:t>
      </w:r>
    </w:p>
    <w:p w14:paraId="17EB2A69"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Set out the service led uses and purposes for data sharing</w:t>
      </w:r>
      <w:r w:rsidR="00FD23ED" w:rsidRPr="00F53E83">
        <w:rPr>
          <w:rFonts w:ascii="Arial" w:eastAsia="Times New Roman" w:hAnsi="Arial" w:cs="Arial"/>
          <w:color w:val="333333"/>
          <w:sz w:val="24"/>
          <w:szCs w:val="24"/>
          <w:lang w:eastAsia="en-GB"/>
        </w:rPr>
        <w:t>.</w:t>
      </w:r>
    </w:p>
    <w:p w14:paraId="33C6BDD6" w14:textId="70E35405" w:rsidR="0050305E" w:rsidRPr="00F53E83" w:rsidRDefault="00B92401"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Demonstrate how it will consider</w:t>
      </w:r>
      <w:r w:rsidR="0050305E" w:rsidRPr="00F53E83">
        <w:rPr>
          <w:rFonts w:ascii="Arial" w:eastAsia="Times New Roman" w:hAnsi="Arial" w:cs="Arial"/>
          <w:color w:val="333333"/>
          <w:sz w:val="24"/>
          <w:szCs w:val="24"/>
          <w:lang w:eastAsia="en-GB"/>
        </w:rPr>
        <w:t xml:space="preserve"> engagement with stakeholders and </w:t>
      </w:r>
      <w:r w:rsidR="00D24BDA">
        <w:rPr>
          <w:rFonts w:ascii="Arial" w:eastAsia="Times New Roman" w:hAnsi="Arial" w:cs="Arial"/>
          <w:color w:val="333333"/>
          <w:sz w:val="24"/>
          <w:szCs w:val="24"/>
          <w:lang w:eastAsia="en-GB"/>
        </w:rPr>
        <w:t xml:space="preserve">inclusively </w:t>
      </w:r>
      <w:r w:rsidR="0050305E" w:rsidRPr="00F53E83">
        <w:rPr>
          <w:rFonts w:ascii="Arial" w:eastAsia="Times New Roman" w:hAnsi="Arial" w:cs="Arial"/>
          <w:color w:val="333333"/>
          <w:sz w:val="24"/>
          <w:szCs w:val="24"/>
          <w:lang w:eastAsia="en-GB"/>
        </w:rPr>
        <w:t>undertake any</w:t>
      </w:r>
      <w:r w:rsidR="00D24BDA">
        <w:rPr>
          <w:rFonts w:ascii="Arial" w:eastAsia="Times New Roman" w:hAnsi="Arial" w:cs="Arial"/>
          <w:color w:val="333333"/>
          <w:sz w:val="24"/>
          <w:szCs w:val="24"/>
          <w:lang w:eastAsia="en-GB"/>
        </w:rPr>
        <w:t xml:space="preserve"> engagement</w:t>
      </w:r>
      <w:r w:rsidR="0050305E" w:rsidRPr="00F53E83">
        <w:rPr>
          <w:rFonts w:ascii="Arial" w:eastAsia="Times New Roman" w:hAnsi="Arial" w:cs="Arial"/>
          <w:color w:val="333333"/>
          <w:sz w:val="24"/>
          <w:szCs w:val="24"/>
          <w:lang w:eastAsia="en-GB"/>
        </w:rPr>
        <w:t xml:space="preserve"> identified as necessary.  This to include the public, both from the perspective of concerns around the use of their personal data and the benefits/impacts and justifications for undertaking the initiative in general.</w:t>
      </w:r>
    </w:p>
    <w:p w14:paraId="6A6D7D5A"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lastRenderedPageBreak/>
        <w:t>Set out the best approach to enable the data sharing, based on the principles</w:t>
      </w:r>
      <w:r w:rsidR="00FD23ED" w:rsidRPr="00F53E83">
        <w:rPr>
          <w:rFonts w:ascii="Arial" w:eastAsia="Times New Roman" w:hAnsi="Arial" w:cs="Arial"/>
          <w:color w:val="333333"/>
          <w:sz w:val="24"/>
          <w:szCs w:val="24"/>
          <w:lang w:eastAsia="en-GB"/>
        </w:rPr>
        <w:t>,</w:t>
      </w:r>
      <w:r w:rsidRPr="00F53E83">
        <w:rPr>
          <w:rFonts w:ascii="Arial" w:eastAsia="Times New Roman" w:hAnsi="Arial" w:cs="Arial"/>
          <w:color w:val="333333"/>
          <w:sz w:val="24"/>
          <w:szCs w:val="24"/>
          <w:lang w:eastAsia="en-GB"/>
        </w:rPr>
        <w:t xml:space="preserve"> processes</w:t>
      </w:r>
      <w:r w:rsidR="00FD23ED" w:rsidRPr="00F53E83">
        <w:rPr>
          <w:rFonts w:ascii="Arial" w:eastAsia="Times New Roman" w:hAnsi="Arial" w:cs="Arial"/>
          <w:color w:val="333333"/>
          <w:sz w:val="24"/>
          <w:szCs w:val="24"/>
          <w:lang w:eastAsia="en-GB"/>
        </w:rPr>
        <w:t xml:space="preserve"> and reference materials</w:t>
      </w:r>
      <w:r w:rsidRPr="00F53E83">
        <w:rPr>
          <w:rFonts w:ascii="Arial" w:eastAsia="Times New Roman" w:hAnsi="Arial" w:cs="Arial"/>
          <w:color w:val="333333"/>
          <w:sz w:val="24"/>
          <w:szCs w:val="24"/>
          <w:lang w:eastAsia="en-GB"/>
        </w:rPr>
        <w:t xml:space="preserve"> in this agreement. </w:t>
      </w:r>
    </w:p>
    <w:p w14:paraId="056ED1E5"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From the identified purposes for sharing, detail the relevant legal gateways and lawful basis, drawing on the detail and approach set out in this agreement and applying them as relevant to the sharing initiative.</w:t>
      </w:r>
    </w:p>
    <w:p w14:paraId="0776FCC3"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Confirm the status of the organisations involved (</w:t>
      </w:r>
      <w:proofErr w:type="gramStart"/>
      <w:r w:rsidRPr="00F53E83">
        <w:rPr>
          <w:rFonts w:ascii="Arial" w:eastAsia="Times New Roman" w:hAnsi="Arial" w:cs="Arial"/>
          <w:color w:val="333333"/>
          <w:sz w:val="24"/>
          <w:szCs w:val="24"/>
          <w:lang w:eastAsia="en-GB"/>
        </w:rPr>
        <w:t>i.e.</w:t>
      </w:r>
      <w:proofErr w:type="gramEnd"/>
      <w:r w:rsidRPr="00F53E83">
        <w:rPr>
          <w:rFonts w:ascii="Arial" w:eastAsia="Times New Roman" w:hAnsi="Arial" w:cs="Arial"/>
          <w:color w:val="333333"/>
          <w:sz w:val="24"/>
          <w:szCs w:val="24"/>
          <w:lang w:eastAsia="en-GB"/>
        </w:rPr>
        <w:t xml:space="preserve"> controller, processor etc) and where required</w:t>
      </w:r>
      <w:r w:rsidR="00ED7A46" w:rsidRPr="00F53E83">
        <w:rPr>
          <w:rFonts w:ascii="Arial" w:eastAsia="Times New Roman" w:hAnsi="Arial" w:cs="Arial"/>
          <w:color w:val="333333"/>
          <w:sz w:val="24"/>
          <w:szCs w:val="24"/>
          <w:lang w:eastAsia="en-GB"/>
        </w:rPr>
        <w:t>,</w:t>
      </w:r>
      <w:r w:rsidRPr="00F53E83">
        <w:rPr>
          <w:rFonts w:ascii="Arial" w:eastAsia="Times New Roman" w:hAnsi="Arial" w:cs="Arial"/>
          <w:color w:val="333333"/>
          <w:sz w:val="24"/>
          <w:szCs w:val="24"/>
          <w:lang w:eastAsia="en-GB"/>
        </w:rPr>
        <w:t xml:space="preserve"> establish joint controller arrangements.</w:t>
      </w:r>
    </w:p>
    <w:p w14:paraId="7ACB6BA6" w14:textId="114FCB03"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Identify the data types/items, the method of exchange, the risks and agreed mitigation controls, including pseudonymisation</w:t>
      </w:r>
      <w:r w:rsidR="00ED7A46" w:rsidRPr="00F53E83">
        <w:rPr>
          <w:rFonts w:ascii="Arial" w:eastAsia="Times New Roman" w:hAnsi="Arial" w:cs="Arial"/>
          <w:color w:val="333333"/>
          <w:sz w:val="24"/>
          <w:szCs w:val="24"/>
          <w:lang w:eastAsia="en-GB"/>
        </w:rPr>
        <w:t xml:space="preserve"> and encryption</w:t>
      </w:r>
      <w:r w:rsidRPr="00F53E83">
        <w:rPr>
          <w:rFonts w:ascii="Arial" w:eastAsia="Times New Roman" w:hAnsi="Arial" w:cs="Arial"/>
          <w:color w:val="333333"/>
          <w:sz w:val="24"/>
          <w:szCs w:val="24"/>
          <w:lang w:eastAsia="en-GB"/>
        </w:rPr>
        <w:t xml:space="preserve"> of data</w:t>
      </w:r>
      <w:r w:rsidR="00B556B4">
        <w:rPr>
          <w:rFonts w:ascii="Arial" w:eastAsia="Times New Roman" w:hAnsi="Arial" w:cs="Arial"/>
          <w:color w:val="333333"/>
          <w:sz w:val="24"/>
          <w:szCs w:val="24"/>
          <w:lang w:eastAsia="en-GB"/>
        </w:rPr>
        <w:t xml:space="preserve"> as required by DPIA.</w:t>
      </w:r>
      <w:r w:rsidRPr="00F53E83">
        <w:rPr>
          <w:rFonts w:ascii="Arial" w:eastAsia="Times New Roman" w:hAnsi="Arial" w:cs="Arial"/>
          <w:color w:val="333333"/>
          <w:sz w:val="24"/>
          <w:szCs w:val="24"/>
          <w:lang w:eastAsia="en-GB"/>
        </w:rPr>
        <w:t xml:space="preserve"> </w:t>
      </w:r>
    </w:p>
    <w:p w14:paraId="68EDC2F4" w14:textId="5C1B2C31"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 xml:space="preserve">Conduct a data protection impact assessment (DPIA) that is compliant with ICO guidance on conducting DPIAs.  A template form is available but use of </w:t>
      </w:r>
      <w:r w:rsidR="000956C1">
        <w:rPr>
          <w:rFonts w:ascii="Arial" w:eastAsia="Times New Roman" w:hAnsi="Arial" w:cs="Arial"/>
          <w:color w:val="333333"/>
          <w:sz w:val="24"/>
          <w:szCs w:val="24"/>
          <w:lang w:eastAsia="en-GB"/>
        </w:rPr>
        <w:t>this form</w:t>
      </w:r>
      <w:r w:rsidRPr="00F53E83">
        <w:rPr>
          <w:rFonts w:ascii="Arial" w:eastAsia="Times New Roman" w:hAnsi="Arial" w:cs="Arial"/>
          <w:color w:val="333333"/>
          <w:sz w:val="24"/>
          <w:szCs w:val="24"/>
          <w:lang w:eastAsia="en-GB"/>
        </w:rPr>
        <w:t xml:space="preserve"> is not mandatory. </w:t>
      </w:r>
    </w:p>
    <w:p w14:paraId="045CEA07"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Where agreed between the parties, in line with ICO guidance an operational data sharing agreement can be established.</w:t>
      </w:r>
    </w:p>
    <w:p w14:paraId="7B8ACAC8" w14:textId="77777777" w:rsidR="0050305E" w:rsidRPr="00F53E83" w:rsidRDefault="0050305E" w:rsidP="00222DBE">
      <w:pPr>
        <w:pStyle w:val="ListParagraph"/>
        <w:numPr>
          <w:ilvl w:val="0"/>
          <w:numId w:val="16"/>
        </w:numPr>
        <w:spacing w:before="100" w:beforeAutospacing="1" w:after="100" w:afterAutospacing="1" w:line="270" w:lineRule="atLeast"/>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 xml:space="preserve">Each controller involved in an initiative will need to maintain ‘records of processing activities’ in line with data protection legislation, which may include data flow maps, access control matrices and associated documents.  </w:t>
      </w:r>
      <w:r w:rsidRPr="00F53E83">
        <w:rPr>
          <w:rFonts w:ascii="Arial" w:eastAsia="Times New Roman" w:hAnsi="Arial" w:cs="Arial"/>
          <w:b/>
          <w:color w:val="333333"/>
          <w:sz w:val="24"/>
          <w:szCs w:val="24"/>
          <w:lang w:eastAsia="en-GB"/>
        </w:rPr>
        <w:t>Where possible the initiative will develop these once and share</w:t>
      </w:r>
      <w:r w:rsidRPr="00F53E83">
        <w:rPr>
          <w:rFonts w:ascii="Arial" w:eastAsia="Times New Roman" w:hAnsi="Arial" w:cs="Arial"/>
          <w:color w:val="333333"/>
          <w:sz w:val="24"/>
          <w:szCs w:val="24"/>
          <w:lang w:eastAsia="en-GB"/>
        </w:rPr>
        <w:t xml:space="preserve">.  </w:t>
      </w:r>
    </w:p>
    <w:p w14:paraId="16925C5C" w14:textId="77777777" w:rsidR="0050305E" w:rsidRPr="00F53E83" w:rsidRDefault="0050305E" w:rsidP="00222DBE">
      <w:pPr>
        <w:pStyle w:val="ListParagraph"/>
        <w:spacing w:before="100" w:beforeAutospacing="1" w:after="100" w:afterAutospacing="1" w:line="270" w:lineRule="atLeast"/>
        <w:jc w:val="both"/>
        <w:rPr>
          <w:rFonts w:ascii="Arial" w:eastAsia="Times New Roman" w:hAnsi="Arial" w:cs="Arial"/>
          <w:color w:val="333333"/>
          <w:sz w:val="24"/>
          <w:szCs w:val="24"/>
          <w:lang w:eastAsia="en-GB"/>
        </w:rPr>
      </w:pPr>
    </w:p>
    <w:p w14:paraId="07EDF916" w14:textId="77777777" w:rsidR="0050305E" w:rsidRPr="00F53E83" w:rsidRDefault="0050305E" w:rsidP="00222DBE">
      <w:pPr>
        <w:pStyle w:val="ListParagraph"/>
        <w:ind w:left="0"/>
        <w:jc w:val="both"/>
        <w:rPr>
          <w:rFonts w:ascii="Arial" w:eastAsia="Times New Roman" w:hAnsi="Arial" w:cs="Arial"/>
          <w:color w:val="333333"/>
          <w:sz w:val="24"/>
          <w:szCs w:val="24"/>
          <w:lang w:eastAsia="en-GB"/>
        </w:rPr>
      </w:pPr>
      <w:r w:rsidRPr="00F53E83">
        <w:rPr>
          <w:rFonts w:ascii="Arial" w:eastAsia="Times New Roman" w:hAnsi="Arial" w:cs="Arial"/>
          <w:color w:val="333333"/>
          <w:sz w:val="24"/>
          <w:szCs w:val="24"/>
          <w:lang w:eastAsia="en-GB"/>
        </w:rPr>
        <w:t>The aim of the practical implementation of the agreement (and associated templates) is to ensure all initiatives supported have clear and consistent documentation on sharing, minimising any duplication and utilising any related documentation that the initiative needs on an operational basis (</w:t>
      </w:r>
      <w:proofErr w:type="gramStart"/>
      <w:r w:rsidRPr="00F53E83">
        <w:rPr>
          <w:rFonts w:ascii="Arial" w:eastAsia="Times New Roman" w:hAnsi="Arial" w:cs="Arial"/>
          <w:color w:val="333333"/>
          <w:sz w:val="24"/>
          <w:szCs w:val="24"/>
          <w:lang w:eastAsia="en-GB"/>
        </w:rPr>
        <w:t>i.e.</w:t>
      </w:r>
      <w:proofErr w:type="gramEnd"/>
      <w:r w:rsidRPr="00F53E83">
        <w:rPr>
          <w:rFonts w:ascii="Arial" w:eastAsia="Times New Roman" w:hAnsi="Arial" w:cs="Arial"/>
          <w:color w:val="333333"/>
          <w:sz w:val="24"/>
          <w:szCs w:val="24"/>
          <w:lang w:eastAsia="en-GB"/>
        </w:rPr>
        <w:t xml:space="preserve"> a shared care record will have a role based access matrix as part of project documentation).</w:t>
      </w:r>
    </w:p>
    <w:p w14:paraId="4F79754B" w14:textId="77777777" w:rsidR="001331C5" w:rsidRPr="006A3C52" w:rsidRDefault="001331C5" w:rsidP="00222DBE">
      <w:pPr>
        <w:jc w:val="both"/>
        <w:rPr>
          <w:rFonts w:ascii="Arial" w:eastAsia="Times New Roman" w:hAnsi="Arial" w:cs="Arial"/>
          <w:b/>
          <w:bCs/>
          <w:color w:val="333333"/>
          <w:sz w:val="24"/>
          <w:szCs w:val="24"/>
          <w:lang w:eastAsia="en-GB"/>
        </w:rPr>
      </w:pPr>
      <w:r w:rsidRPr="006A3C52">
        <w:rPr>
          <w:rFonts w:ascii="Arial" w:eastAsia="Times New Roman" w:hAnsi="Arial" w:cs="Arial"/>
          <w:b/>
          <w:bCs/>
          <w:color w:val="333333"/>
          <w:sz w:val="24"/>
          <w:szCs w:val="24"/>
          <w:lang w:eastAsia="en-GB"/>
        </w:rPr>
        <w:t>Step through process:</w:t>
      </w:r>
    </w:p>
    <w:p w14:paraId="01958FD9" w14:textId="197B2EB1"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Identify stakeholders involved &amp; service led drivers for the data sharing</w:t>
      </w:r>
    </w:p>
    <w:p w14:paraId="61BC23E3"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Identify lead for DPIA</w:t>
      </w:r>
    </w:p>
    <w:p w14:paraId="09B9B42E"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Conduct DPIA, involving consultation with stakeholders and public as required</w:t>
      </w:r>
    </w:p>
    <w:p w14:paraId="3441F931"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 xml:space="preserve">Where potential joint controllers identified, </w:t>
      </w:r>
      <w:proofErr w:type="gramStart"/>
      <w:r w:rsidRPr="00F53E83">
        <w:rPr>
          <w:rFonts w:ascii="Arial" w:hAnsi="Arial" w:cs="Arial"/>
          <w:sz w:val="24"/>
          <w:szCs w:val="24"/>
        </w:rPr>
        <w:t>assess</w:t>
      </w:r>
      <w:proofErr w:type="gramEnd"/>
      <w:r w:rsidRPr="00F53E83">
        <w:rPr>
          <w:rFonts w:ascii="Arial" w:hAnsi="Arial" w:cs="Arial"/>
          <w:sz w:val="24"/>
          <w:szCs w:val="24"/>
        </w:rPr>
        <w:t xml:space="preserve"> and where required set out joint controller arrangement </w:t>
      </w:r>
    </w:p>
    <w:p w14:paraId="62019448" w14:textId="3E2C8A8A"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The DPIA will go to the</w:t>
      </w:r>
      <w:r w:rsidR="001315C3">
        <w:rPr>
          <w:rFonts w:ascii="Arial" w:hAnsi="Arial" w:cs="Arial"/>
          <w:sz w:val="24"/>
          <w:szCs w:val="24"/>
        </w:rPr>
        <w:t xml:space="preserve"> IG leads of each affected Controller (which may form an Information Governance Advisory Panel)</w:t>
      </w:r>
      <w:r w:rsidR="0019734B" w:rsidRPr="00F53E83">
        <w:rPr>
          <w:rFonts w:ascii="Arial" w:hAnsi="Arial" w:cs="Arial"/>
          <w:sz w:val="24"/>
          <w:szCs w:val="24"/>
        </w:rPr>
        <w:t xml:space="preserve"> </w:t>
      </w:r>
      <w:r w:rsidRPr="00F53E83">
        <w:rPr>
          <w:rFonts w:ascii="Arial" w:hAnsi="Arial" w:cs="Arial"/>
          <w:sz w:val="24"/>
          <w:szCs w:val="24"/>
        </w:rPr>
        <w:t>on the following basis:</w:t>
      </w:r>
    </w:p>
    <w:p w14:paraId="71A272EF" w14:textId="77777777" w:rsidR="001331C5" w:rsidRPr="00F53E83" w:rsidRDefault="001331C5" w:rsidP="00222DBE">
      <w:pPr>
        <w:pStyle w:val="ListParagraph"/>
        <w:numPr>
          <w:ilvl w:val="1"/>
          <w:numId w:val="23"/>
        </w:numPr>
        <w:jc w:val="both"/>
        <w:rPr>
          <w:rFonts w:ascii="Arial" w:hAnsi="Arial" w:cs="Arial"/>
          <w:sz w:val="24"/>
          <w:szCs w:val="24"/>
        </w:rPr>
      </w:pPr>
      <w:r w:rsidRPr="00F53E83">
        <w:rPr>
          <w:rFonts w:ascii="Arial" w:hAnsi="Arial" w:cs="Arial"/>
          <w:sz w:val="24"/>
          <w:szCs w:val="24"/>
        </w:rPr>
        <w:t>Initial awareness</w:t>
      </w:r>
    </w:p>
    <w:p w14:paraId="0020206E" w14:textId="77777777" w:rsidR="001331C5" w:rsidRPr="00F53E83" w:rsidRDefault="001331C5" w:rsidP="00222DBE">
      <w:pPr>
        <w:pStyle w:val="ListParagraph"/>
        <w:numPr>
          <w:ilvl w:val="1"/>
          <w:numId w:val="23"/>
        </w:numPr>
        <w:jc w:val="both"/>
        <w:rPr>
          <w:rFonts w:ascii="Arial" w:hAnsi="Arial" w:cs="Arial"/>
          <w:sz w:val="24"/>
          <w:szCs w:val="24"/>
        </w:rPr>
      </w:pPr>
      <w:r w:rsidRPr="00F53E83">
        <w:rPr>
          <w:rFonts w:ascii="Arial" w:hAnsi="Arial" w:cs="Arial"/>
          <w:sz w:val="24"/>
          <w:szCs w:val="24"/>
        </w:rPr>
        <w:t>For advice on any specific issues/risks identified where a wider selection of views and analysis will help resolve issues</w:t>
      </w:r>
    </w:p>
    <w:p w14:paraId="6B88DB20" w14:textId="7DF7857B" w:rsidR="001331C5" w:rsidRPr="00F53E83" w:rsidRDefault="001331C5" w:rsidP="00222DBE">
      <w:pPr>
        <w:pStyle w:val="ListParagraph"/>
        <w:numPr>
          <w:ilvl w:val="1"/>
          <w:numId w:val="23"/>
        </w:numPr>
        <w:jc w:val="both"/>
        <w:rPr>
          <w:rFonts w:ascii="Arial" w:hAnsi="Arial" w:cs="Arial"/>
          <w:sz w:val="24"/>
          <w:szCs w:val="24"/>
        </w:rPr>
      </w:pPr>
      <w:r w:rsidRPr="00F53E83">
        <w:rPr>
          <w:rFonts w:ascii="Arial" w:hAnsi="Arial" w:cs="Arial"/>
          <w:sz w:val="24"/>
          <w:szCs w:val="24"/>
        </w:rPr>
        <w:t>Confirmation of agreement to DPIA by relevant partners (</w:t>
      </w:r>
      <w:r w:rsidR="001315C3">
        <w:rPr>
          <w:rFonts w:ascii="Arial" w:hAnsi="Arial" w:cs="Arial"/>
          <w:sz w:val="24"/>
          <w:szCs w:val="24"/>
        </w:rPr>
        <w:t>an</w:t>
      </w:r>
      <w:r w:rsidRPr="00F53E83">
        <w:rPr>
          <w:rFonts w:ascii="Arial" w:hAnsi="Arial" w:cs="Arial"/>
          <w:sz w:val="24"/>
          <w:szCs w:val="24"/>
        </w:rPr>
        <w:t xml:space="preserve"> </w:t>
      </w:r>
      <w:r w:rsidR="008B4479">
        <w:rPr>
          <w:rFonts w:ascii="Arial" w:hAnsi="Arial" w:cs="Arial"/>
          <w:sz w:val="24"/>
          <w:szCs w:val="24"/>
        </w:rPr>
        <w:t>I</w:t>
      </w:r>
      <w:r w:rsidR="007E017E">
        <w:rPr>
          <w:rFonts w:ascii="Arial" w:hAnsi="Arial" w:cs="Arial"/>
          <w:sz w:val="24"/>
          <w:szCs w:val="24"/>
        </w:rPr>
        <w:t xml:space="preserve">nformation Governance </w:t>
      </w:r>
      <w:r w:rsidRPr="00F53E83">
        <w:rPr>
          <w:rFonts w:ascii="Arial" w:hAnsi="Arial" w:cs="Arial"/>
          <w:sz w:val="24"/>
          <w:szCs w:val="24"/>
        </w:rPr>
        <w:t>Advisory Panel</w:t>
      </w:r>
      <w:r w:rsidR="001315C3">
        <w:rPr>
          <w:rFonts w:ascii="Arial" w:hAnsi="Arial" w:cs="Arial"/>
          <w:sz w:val="24"/>
          <w:szCs w:val="24"/>
        </w:rPr>
        <w:t xml:space="preserve"> would</w:t>
      </w:r>
      <w:r w:rsidRPr="00F53E83">
        <w:rPr>
          <w:rFonts w:ascii="Arial" w:hAnsi="Arial" w:cs="Arial"/>
          <w:sz w:val="24"/>
          <w:szCs w:val="24"/>
        </w:rPr>
        <w:t xml:space="preserve"> not</w:t>
      </w:r>
      <w:r w:rsidR="001315C3">
        <w:rPr>
          <w:rFonts w:ascii="Arial" w:hAnsi="Arial" w:cs="Arial"/>
          <w:sz w:val="24"/>
          <w:szCs w:val="24"/>
        </w:rPr>
        <w:t xml:space="preserve"> be</w:t>
      </w:r>
      <w:r w:rsidRPr="00F53E83">
        <w:rPr>
          <w:rFonts w:ascii="Arial" w:hAnsi="Arial" w:cs="Arial"/>
          <w:sz w:val="24"/>
          <w:szCs w:val="24"/>
        </w:rPr>
        <w:t xml:space="preserve"> an ‘approving body’)</w:t>
      </w:r>
    </w:p>
    <w:p w14:paraId="7C4B392F"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Report on risk mitigation in DPIA (</w:t>
      </w:r>
      <w:proofErr w:type="gramStart"/>
      <w:r w:rsidR="0019734B" w:rsidRPr="00F53E83">
        <w:rPr>
          <w:rFonts w:ascii="Arial" w:hAnsi="Arial" w:cs="Arial"/>
          <w:sz w:val="24"/>
          <w:szCs w:val="24"/>
        </w:rPr>
        <w:t>i.e.</w:t>
      </w:r>
      <w:proofErr w:type="gramEnd"/>
      <w:r w:rsidR="0019734B" w:rsidRPr="00F53E83">
        <w:rPr>
          <w:rFonts w:ascii="Arial" w:hAnsi="Arial" w:cs="Arial"/>
          <w:sz w:val="24"/>
          <w:szCs w:val="24"/>
        </w:rPr>
        <w:t xml:space="preserve"> </w:t>
      </w:r>
      <w:r w:rsidRPr="00F53E83">
        <w:rPr>
          <w:rFonts w:ascii="Arial" w:hAnsi="Arial" w:cs="Arial"/>
          <w:sz w:val="24"/>
          <w:szCs w:val="24"/>
        </w:rPr>
        <w:t>what’s in place, what’s being established)</w:t>
      </w:r>
    </w:p>
    <w:p w14:paraId="6CDDB123"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All stakeholders to review and approve DPIA via internal organisational process</w:t>
      </w:r>
    </w:p>
    <w:p w14:paraId="0FE18FAB" w14:textId="77777777" w:rsidR="001331C5" w:rsidRPr="00F53E83" w:rsidRDefault="001331C5" w:rsidP="00222DBE">
      <w:pPr>
        <w:pStyle w:val="ListParagraph"/>
        <w:numPr>
          <w:ilvl w:val="0"/>
          <w:numId w:val="23"/>
        </w:numPr>
        <w:jc w:val="both"/>
        <w:rPr>
          <w:rFonts w:ascii="Arial" w:hAnsi="Arial" w:cs="Arial"/>
          <w:sz w:val="24"/>
          <w:szCs w:val="24"/>
        </w:rPr>
      </w:pPr>
      <w:r w:rsidRPr="00F53E83">
        <w:rPr>
          <w:rFonts w:ascii="Arial" w:hAnsi="Arial" w:cs="Arial"/>
          <w:sz w:val="24"/>
          <w:szCs w:val="24"/>
        </w:rPr>
        <w:t xml:space="preserve">Sharing initiated either by agreement to Operational DSA (as required) or by enablement of service/provision of data </w:t>
      </w:r>
    </w:p>
    <w:p w14:paraId="575075CA" w14:textId="77777777" w:rsidR="0050305E" w:rsidRPr="00F53E83" w:rsidRDefault="0050305E" w:rsidP="00222DBE">
      <w:pPr>
        <w:pStyle w:val="ListParagraph"/>
        <w:ind w:left="0"/>
        <w:jc w:val="both"/>
        <w:rPr>
          <w:rFonts w:ascii="Arial" w:hAnsi="Arial" w:cs="Arial"/>
          <w:sz w:val="24"/>
          <w:szCs w:val="24"/>
        </w:rPr>
      </w:pPr>
    </w:p>
    <w:p w14:paraId="44C3A338" w14:textId="77777777" w:rsidR="009F6855" w:rsidRPr="007E017E" w:rsidRDefault="0050305E" w:rsidP="00222DBE">
      <w:pPr>
        <w:pStyle w:val="Heading1"/>
        <w:numPr>
          <w:ilvl w:val="0"/>
          <w:numId w:val="37"/>
        </w:numPr>
        <w:jc w:val="both"/>
        <w:rPr>
          <w:rFonts w:ascii="Arial" w:hAnsi="Arial" w:cs="Arial"/>
          <w:sz w:val="28"/>
          <w:szCs w:val="28"/>
        </w:rPr>
      </w:pPr>
      <w:bookmarkStart w:id="8" w:name="_Toc78401636"/>
      <w:r w:rsidRPr="007E017E">
        <w:rPr>
          <w:rFonts w:ascii="Arial" w:hAnsi="Arial" w:cs="Arial"/>
          <w:sz w:val="28"/>
          <w:szCs w:val="28"/>
        </w:rPr>
        <w:lastRenderedPageBreak/>
        <w:t>Organisational commitments</w:t>
      </w:r>
      <w:bookmarkEnd w:id="8"/>
    </w:p>
    <w:p w14:paraId="20597735" w14:textId="77777777" w:rsidR="0050305E" w:rsidRPr="00F53E83" w:rsidRDefault="0050305E" w:rsidP="00222DBE">
      <w:pPr>
        <w:jc w:val="both"/>
        <w:rPr>
          <w:rFonts w:ascii="Arial" w:hAnsi="Arial" w:cs="Arial"/>
          <w:sz w:val="24"/>
          <w:szCs w:val="24"/>
        </w:rPr>
      </w:pPr>
      <w:r w:rsidRPr="00F53E83">
        <w:rPr>
          <w:rFonts w:ascii="Arial" w:hAnsi="Arial" w:cs="Arial"/>
          <w:sz w:val="24"/>
          <w:szCs w:val="24"/>
        </w:rPr>
        <w:t xml:space="preserve">All parties signing the </w:t>
      </w:r>
      <w:r w:rsidR="007A6934" w:rsidRPr="00F53E83">
        <w:rPr>
          <w:rFonts w:ascii="Arial" w:hAnsi="Arial" w:cs="Arial"/>
          <w:sz w:val="24"/>
          <w:szCs w:val="24"/>
        </w:rPr>
        <w:t xml:space="preserve">South West Regional Serious Violence and Contextualised Safeguarding </w:t>
      </w:r>
      <w:r w:rsidR="00C46BD8">
        <w:rPr>
          <w:rFonts w:ascii="Arial" w:hAnsi="Arial" w:cs="Arial"/>
          <w:sz w:val="24"/>
          <w:szCs w:val="24"/>
        </w:rPr>
        <w:t>IG framework</w:t>
      </w:r>
      <w:r w:rsidRPr="00F53E83">
        <w:rPr>
          <w:rFonts w:ascii="Arial" w:hAnsi="Arial" w:cs="Arial"/>
          <w:sz w:val="24"/>
          <w:szCs w:val="24"/>
        </w:rPr>
        <w:t xml:space="preserve"> commit to:</w:t>
      </w:r>
    </w:p>
    <w:p w14:paraId="233EFA42" w14:textId="77777777" w:rsidR="0050305E" w:rsidRPr="00F53E83" w:rsidRDefault="0050305E" w:rsidP="00222DBE">
      <w:pPr>
        <w:pStyle w:val="ListParagraph"/>
        <w:numPr>
          <w:ilvl w:val="0"/>
          <w:numId w:val="17"/>
        </w:numPr>
        <w:jc w:val="both"/>
        <w:rPr>
          <w:rFonts w:ascii="Arial" w:hAnsi="Arial" w:cs="Arial"/>
          <w:sz w:val="24"/>
          <w:szCs w:val="24"/>
        </w:rPr>
      </w:pPr>
      <w:r w:rsidRPr="00F53E83">
        <w:rPr>
          <w:rFonts w:ascii="Arial" w:hAnsi="Arial" w:cs="Arial"/>
          <w:sz w:val="24"/>
          <w:szCs w:val="24"/>
        </w:rPr>
        <w:t xml:space="preserve">Share relevant data for specific sharing initiatives, with any other relevant agency involved in the sharing initiative, where the process for establishing specific sharing arrangements has been conducted and the detail of the sharing has been agreed by all relevant parties. Any agreement established will not prevent any party withdrawing their participation </w:t>
      </w:r>
      <w:r w:rsidR="001331C5" w:rsidRPr="00F53E83">
        <w:rPr>
          <w:rFonts w:ascii="Arial" w:hAnsi="Arial" w:cs="Arial"/>
          <w:sz w:val="24"/>
          <w:szCs w:val="24"/>
        </w:rPr>
        <w:t>from</w:t>
      </w:r>
      <w:r w:rsidRPr="00F53E83">
        <w:rPr>
          <w:rFonts w:ascii="Arial" w:hAnsi="Arial" w:cs="Arial"/>
          <w:sz w:val="24"/>
          <w:szCs w:val="24"/>
        </w:rPr>
        <w:t xml:space="preserve"> a sharing initiative.  </w:t>
      </w:r>
    </w:p>
    <w:p w14:paraId="7E42B2FD" w14:textId="06CD6678" w:rsidR="0050305E" w:rsidRPr="009516E0" w:rsidRDefault="0050305E" w:rsidP="009516E0">
      <w:pPr>
        <w:pStyle w:val="ListParagraph"/>
        <w:numPr>
          <w:ilvl w:val="0"/>
          <w:numId w:val="17"/>
        </w:numPr>
        <w:jc w:val="both"/>
        <w:rPr>
          <w:rFonts w:ascii="Arial" w:hAnsi="Arial" w:cs="Arial"/>
          <w:sz w:val="24"/>
          <w:szCs w:val="24"/>
        </w:rPr>
      </w:pPr>
      <w:r w:rsidRPr="00F53E83">
        <w:rPr>
          <w:rFonts w:ascii="Arial" w:hAnsi="Arial" w:cs="Arial"/>
          <w:sz w:val="24"/>
          <w:szCs w:val="24"/>
        </w:rPr>
        <w:t xml:space="preserve">Where they participate in a sharing initiative, to inform data subjects about the sharing of data related to the </w:t>
      </w:r>
      <w:r w:rsidR="00C46BD8">
        <w:rPr>
          <w:rFonts w:ascii="Arial" w:hAnsi="Arial" w:cs="Arial"/>
          <w:sz w:val="24"/>
          <w:szCs w:val="24"/>
        </w:rPr>
        <w:t>safeguarding of individuals</w:t>
      </w:r>
      <w:r w:rsidRPr="00F53E83">
        <w:rPr>
          <w:rFonts w:ascii="Arial" w:hAnsi="Arial" w:cs="Arial"/>
          <w:sz w:val="24"/>
          <w:szCs w:val="24"/>
        </w:rPr>
        <w:t xml:space="preserve"> and the use of data for purposes other than </w:t>
      </w:r>
      <w:r w:rsidR="00C46BD8">
        <w:rPr>
          <w:rFonts w:ascii="Arial" w:hAnsi="Arial" w:cs="Arial"/>
          <w:sz w:val="24"/>
          <w:szCs w:val="24"/>
        </w:rPr>
        <w:t>safeguarding</w:t>
      </w:r>
      <w:r w:rsidRPr="00F53E83">
        <w:rPr>
          <w:rFonts w:ascii="Arial" w:hAnsi="Arial" w:cs="Arial"/>
          <w:sz w:val="24"/>
          <w:szCs w:val="24"/>
        </w:rPr>
        <w:t xml:space="preserve">, noting that sharing is not restricted by organisational and geographical boundaries and that relevant information will be shared where necessary.  </w:t>
      </w:r>
    </w:p>
    <w:p w14:paraId="5FD99A08" w14:textId="77777777" w:rsidR="001331C5" w:rsidRPr="00F53E83" w:rsidRDefault="0050305E" w:rsidP="00222DBE">
      <w:pPr>
        <w:pStyle w:val="ListParagraph"/>
        <w:numPr>
          <w:ilvl w:val="0"/>
          <w:numId w:val="17"/>
        </w:numPr>
        <w:jc w:val="both"/>
        <w:rPr>
          <w:rFonts w:ascii="Arial" w:hAnsi="Arial" w:cs="Arial"/>
          <w:i/>
          <w:sz w:val="24"/>
          <w:szCs w:val="24"/>
        </w:rPr>
      </w:pPr>
      <w:r w:rsidRPr="00F53E83">
        <w:rPr>
          <w:rFonts w:ascii="Arial" w:hAnsi="Arial" w:cs="Arial"/>
          <w:sz w:val="24"/>
          <w:szCs w:val="24"/>
        </w:rPr>
        <w:t>Where data is shared via a shared system, then the relevant partners will maintain ‘records of processing’ in line with data protection legislation, including identifying which data is shared and how any access control will be implemented.</w:t>
      </w:r>
    </w:p>
    <w:p w14:paraId="1C5C8130" w14:textId="6CC041D1" w:rsidR="009516E0" w:rsidRPr="006D475A" w:rsidRDefault="009516E0" w:rsidP="009516E0">
      <w:pPr>
        <w:pStyle w:val="Heading1"/>
        <w:numPr>
          <w:ilvl w:val="0"/>
          <w:numId w:val="37"/>
        </w:numPr>
        <w:jc w:val="both"/>
        <w:rPr>
          <w:rFonts w:ascii="Arial" w:hAnsi="Arial" w:cs="Arial"/>
          <w:sz w:val="28"/>
          <w:szCs w:val="28"/>
        </w:rPr>
      </w:pPr>
      <w:bookmarkStart w:id="9" w:name="_Toc78401637"/>
      <w:r w:rsidRPr="006D475A">
        <w:rPr>
          <w:rFonts w:ascii="Arial" w:hAnsi="Arial" w:cs="Arial"/>
          <w:sz w:val="28"/>
          <w:szCs w:val="28"/>
        </w:rPr>
        <w:t>Sharing partner assurances</w:t>
      </w:r>
      <w:bookmarkEnd w:id="9"/>
    </w:p>
    <w:p w14:paraId="4B1D6536" w14:textId="6EB9CFBF" w:rsidR="001315C3" w:rsidRPr="006D475A" w:rsidRDefault="009516E0" w:rsidP="009516E0">
      <w:pPr>
        <w:ind w:left="360"/>
        <w:jc w:val="both"/>
        <w:rPr>
          <w:rFonts w:ascii="Arial" w:hAnsi="Arial" w:cs="Arial"/>
          <w:sz w:val="24"/>
          <w:szCs w:val="24"/>
        </w:rPr>
      </w:pPr>
      <w:r w:rsidRPr="006D475A">
        <w:rPr>
          <w:rFonts w:ascii="Arial" w:hAnsi="Arial" w:cs="Arial"/>
          <w:sz w:val="24"/>
          <w:szCs w:val="24"/>
        </w:rPr>
        <w:t>Through the</w:t>
      </w:r>
      <w:r w:rsidR="006F06DB" w:rsidRPr="006D475A">
        <w:rPr>
          <w:rFonts w:ascii="Arial" w:hAnsi="Arial" w:cs="Arial"/>
          <w:sz w:val="24"/>
          <w:szCs w:val="24"/>
        </w:rPr>
        <w:t xml:space="preserve"> completion of a</w:t>
      </w:r>
      <w:r w:rsidRPr="006D475A">
        <w:rPr>
          <w:rFonts w:ascii="Arial" w:hAnsi="Arial" w:cs="Arial"/>
          <w:sz w:val="24"/>
          <w:szCs w:val="24"/>
        </w:rPr>
        <w:t xml:space="preserve"> DPIA</w:t>
      </w:r>
      <w:r w:rsidR="006F06DB" w:rsidRPr="006D475A">
        <w:rPr>
          <w:rFonts w:ascii="Arial" w:hAnsi="Arial" w:cs="Arial"/>
          <w:sz w:val="24"/>
          <w:szCs w:val="24"/>
        </w:rPr>
        <w:t xml:space="preserve"> for any new use of data</w:t>
      </w:r>
      <w:r w:rsidRPr="006D475A">
        <w:rPr>
          <w:rFonts w:ascii="Arial" w:hAnsi="Arial" w:cs="Arial"/>
          <w:sz w:val="24"/>
          <w:szCs w:val="24"/>
        </w:rPr>
        <w:t>, it should be considered whether</w:t>
      </w:r>
      <w:r w:rsidR="006F06DB" w:rsidRPr="006D475A">
        <w:rPr>
          <w:rFonts w:ascii="Arial" w:hAnsi="Arial" w:cs="Arial"/>
          <w:sz w:val="24"/>
          <w:szCs w:val="24"/>
        </w:rPr>
        <w:t xml:space="preserve"> sharing partners must meet standards</w:t>
      </w:r>
      <w:r w:rsidRPr="006D475A">
        <w:rPr>
          <w:rFonts w:ascii="Arial" w:hAnsi="Arial" w:cs="Arial"/>
          <w:sz w:val="24"/>
          <w:szCs w:val="24"/>
        </w:rPr>
        <w:t xml:space="preserve"> </w:t>
      </w:r>
      <w:r w:rsidR="006F06DB" w:rsidRPr="006D475A">
        <w:rPr>
          <w:rFonts w:ascii="Arial" w:hAnsi="Arial" w:cs="Arial"/>
          <w:sz w:val="24"/>
          <w:szCs w:val="24"/>
        </w:rPr>
        <w:t xml:space="preserve">that qualifies them to partake in a data sharing initiative. An example of a required qualifying standard is provided in Appendix </w:t>
      </w:r>
      <w:r w:rsidR="003C485C">
        <w:rPr>
          <w:rFonts w:ascii="Arial" w:hAnsi="Arial" w:cs="Arial"/>
          <w:sz w:val="24"/>
          <w:szCs w:val="24"/>
        </w:rPr>
        <w:t>5</w:t>
      </w:r>
      <w:r w:rsidR="006F06DB" w:rsidRPr="006D475A">
        <w:rPr>
          <w:rFonts w:ascii="Arial" w:hAnsi="Arial" w:cs="Arial"/>
          <w:sz w:val="24"/>
          <w:szCs w:val="24"/>
        </w:rPr>
        <w:t>.</w:t>
      </w:r>
      <w:r w:rsidR="001315C3" w:rsidRPr="006D475A">
        <w:rPr>
          <w:rFonts w:ascii="Arial" w:hAnsi="Arial" w:cs="Arial"/>
          <w:sz w:val="24"/>
          <w:szCs w:val="24"/>
        </w:rPr>
        <w:t xml:space="preserve"> </w:t>
      </w:r>
    </w:p>
    <w:p w14:paraId="0A3B110C" w14:textId="2EA26B64" w:rsidR="00B97E7B" w:rsidRPr="001315C3" w:rsidRDefault="001315C3" w:rsidP="001315C3">
      <w:pPr>
        <w:ind w:left="360"/>
        <w:jc w:val="both"/>
        <w:rPr>
          <w:rFonts w:ascii="Arial" w:hAnsi="Arial" w:cs="Arial"/>
          <w:sz w:val="24"/>
          <w:szCs w:val="24"/>
        </w:rPr>
      </w:pPr>
      <w:r w:rsidRPr="006D475A">
        <w:rPr>
          <w:rFonts w:ascii="Arial" w:hAnsi="Arial" w:cs="Arial"/>
          <w:b/>
          <w:bCs/>
          <w:i/>
          <w:iCs/>
          <w:sz w:val="24"/>
          <w:szCs w:val="24"/>
        </w:rPr>
        <w:t>Sign up to this framework does not indicate that an organisation meets any qualifying standard</w:t>
      </w:r>
      <w:r w:rsidRPr="006D475A">
        <w:rPr>
          <w:rFonts w:ascii="Arial" w:hAnsi="Arial" w:cs="Arial"/>
          <w:sz w:val="24"/>
          <w:szCs w:val="24"/>
        </w:rPr>
        <w:t>.</w:t>
      </w:r>
    </w:p>
    <w:p w14:paraId="266E21C4" w14:textId="77777777" w:rsidR="006D475A" w:rsidRDefault="006D475A">
      <w:pPr>
        <w:rPr>
          <w:rFonts w:ascii="Arial" w:eastAsiaTheme="majorEastAsia" w:hAnsi="Arial" w:cs="Arial"/>
          <w:color w:val="365F91" w:themeColor="accent1" w:themeShade="BF"/>
          <w:sz w:val="28"/>
          <w:szCs w:val="28"/>
        </w:rPr>
      </w:pPr>
      <w:r>
        <w:rPr>
          <w:rFonts w:ascii="Arial" w:hAnsi="Arial" w:cs="Arial"/>
          <w:sz w:val="28"/>
          <w:szCs w:val="28"/>
        </w:rPr>
        <w:br w:type="page"/>
      </w:r>
    </w:p>
    <w:p w14:paraId="1709ACD7" w14:textId="44D12465" w:rsidR="00170AE2" w:rsidRPr="007E017E" w:rsidRDefault="00170AE2" w:rsidP="00222DBE">
      <w:pPr>
        <w:pStyle w:val="Heading1"/>
        <w:jc w:val="both"/>
        <w:rPr>
          <w:rFonts w:ascii="Arial" w:hAnsi="Arial" w:cs="Arial"/>
          <w:sz w:val="28"/>
          <w:szCs w:val="28"/>
        </w:rPr>
      </w:pPr>
      <w:bookmarkStart w:id="10" w:name="_Toc78401638"/>
      <w:r w:rsidRPr="007E017E">
        <w:rPr>
          <w:rFonts w:ascii="Arial" w:hAnsi="Arial" w:cs="Arial"/>
          <w:sz w:val="28"/>
          <w:szCs w:val="28"/>
        </w:rPr>
        <w:lastRenderedPageBreak/>
        <w:t>Appendix 1.  Tools to support sharing initiatives</w:t>
      </w:r>
      <w:bookmarkEnd w:id="10"/>
    </w:p>
    <w:p w14:paraId="1D3AC930" w14:textId="77777777" w:rsidR="00466260" w:rsidRDefault="00466260" w:rsidP="00466260">
      <w:pPr>
        <w:pStyle w:val="NoSpacing"/>
        <w:rPr>
          <w:rFonts w:ascii="Arial" w:hAnsi="Arial" w:cs="Arial"/>
          <w:b/>
          <w:bCs/>
          <w:sz w:val="24"/>
          <w:szCs w:val="24"/>
        </w:rPr>
      </w:pPr>
    </w:p>
    <w:p w14:paraId="32B13EE6" w14:textId="10D6D875" w:rsidR="00170AE2" w:rsidRPr="00466260" w:rsidRDefault="00170AE2" w:rsidP="00466260">
      <w:pPr>
        <w:pStyle w:val="NoSpacing"/>
        <w:rPr>
          <w:rFonts w:ascii="Arial" w:hAnsi="Arial" w:cs="Arial"/>
          <w:b/>
          <w:bCs/>
          <w:sz w:val="24"/>
          <w:szCs w:val="24"/>
        </w:rPr>
      </w:pPr>
      <w:r w:rsidRPr="00466260">
        <w:rPr>
          <w:rFonts w:ascii="Arial" w:hAnsi="Arial" w:cs="Arial"/>
          <w:b/>
          <w:bCs/>
          <w:sz w:val="24"/>
          <w:szCs w:val="24"/>
        </w:rPr>
        <w:t>Data Protection Impact Assessment</w:t>
      </w:r>
      <w:r w:rsidR="00264D8C" w:rsidRPr="00466260">
        <w:rPr>
          <w:rFonts w:ascii="Arial" w:hAnsi="Arial" w:cs="Arial"/>
          <w:b/>
          <w:bCs/>
          <w:sz w:val="24"/>
          <w:szCs w:val="24"/>
        </w:rPr>
        <w:t xml:space="preserve"> (DPIA)</w:t>
      </w:r>
      <w:r w:rsidRPr="00466260">
        <w:rPr>
          <w:rFonts w:ascii="Arial" w:hAnsi="Arial" w:cs="Arial"/>
          <w:b/>
          <w:bCs/>
          <w:sz w:val="24"/>
          <w:szCs w:val="24"/>
        </w:rPr>
        <w:t xml:space="preserve"> template:</w:t>
      </w:r>
    </w:p>
    <w:p w14:paraId="54C6CBC7" w14:textId="77777777" w:rsidR="00170AE2" w:rsidRPr="00F53E83" w:rsidRDefault="00170AE2" w:rsidP="00222DBE">
      <w:pPr>
        <w:jc w:val="both"/>
        <w:rPr>
          <w:rFonts w:ascii="Arial" w:hAnsi="Arial" w:cs="Arial"/>
          <w:sz w:val="24"/>
          <w:szCs w:val="24"/>
        </w:rPr>
      </w:pPr>
      <w:r w:rsidRPr="00F53E83">
        <w:rPr>
          <w:rFonts w:ascii="Arial" w:hAnsi="Arial" w:cs="Arial"/>
          <w:sz w:val="24"/>
          <w:szCs w:val="24"/>
        </w:rPr>
        <w:t>Use of this template is not mandatory, provided the sharing initiative completes a DPIA that is compliant with the ICO guidance on completing DPIAs.</w:t>
      </w:r>
    </w:p>
    <w:p w14:paraId="69848368"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 xml:space="preserve">Describe the nature, scope, context and purposes of the </w:t>
      </w:r>
      <w:proofErr w:type="gramStart"/>
      <w:r w:rsidRPr="00F53E83">
        <w:rPr>
          <w:rFonts w:ascii="Arial" w:eastAsia="Times New Roman" w:hAnsi="Arial" w:cs="Arial"/>
          <w:color w:val="000000"/>
          <w:sz w:val="24"/>
          <w:szCs w:val="24"/>
          <w:lang w:val="en" w:eastAsia="en-GB"/>
        </w:rPr>
        <w:t>processing;</w:t>
      </w:r>
      <w:proofErr w:type="gramEnd"/>
    </w:p>
    <w:p w14:paraId="1BB21F20"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 xml:space="preserve">Assess necessity, proportionality and compliance </w:t>
      </w:r>
      <w:proofErr w:type="gramStart"/>
      <w:r w:rsidRPr="00F53E83">
        <w:rPr>
          <w:rFonts w:ascii="Arial" w:eastAsia="Times New Roman" w:hAnsi="Arial" w:cs="Arial"/>
          <w:color w:val="000000"/>
          <w:sz w:val="24"/>
          <w:szCs w:val="24"/>
          <w:lang w:val="en" w:eastAsia="en-GB"/>
        </w:rPr>
        <w:t>measures;</w:t>
      </w:r>
      <w:proofErr w:type="gramEnd"/>
    </w:p>
    <w:p w14:paraId="1B60C926"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Consider and undertake any stakeholder and public consultation</w:t>
      </w:r>
    </w:p>
    <w:p w14:paraId="6B1164F5"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Confirm the legal gateways, the lawful basis for sharing and the implications of any specific legislation or regulation on the context of the sharing across all relevant partners.</w:t>
      </w:r>
    </w:p>
    <w:p w14:paraId="155B0703"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Identify and assess risks to individuals; and identify any measures to mitigate those risks.</w:t>
      </w:r>
    </w:p>
    <w:p w14:paraId="6028C93E"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 xml:space="preserve">Identification of all controllers and description of their status, i.e. individual, joint </w:t>
      </w:r>
      <w:proofErr w:type="gramStart"/>
      <w:r w:rsidRPr="00F53E83">
        <w:rPr>
          <w:rFonts w:ascii="Arial" w:eastAsia="Times New Roman" w:hAnsi="Arial" w:cs="Arial"/>
          <w:color w:val="000000"/>
          <w:sz w:val="24"/>
          <w:szCs w:val="24"/>
          <w:lang w:val="en" w:eastAsia="en-GB"/>
        </w:rPr>
        <w:t>etc</w:t>
      </w:r>
      <w:r w:rsidR="007E017E">
        <w:rPr>
          <w:rFonts w:ascii="Arial" w:eastAsia="Times New Roman" w:hAnsi="Arial" w:cs="Arial"/>
          <w:color w:val="000000"/>
          <w:sz w:val="24"/>
          <w:szCs w:val="24"/>
          <w:lang w:val="en" w:eastAsia="en-GB"/>
        </w:rPr>
        <w:t>..</w:t>
      </w:r>
      <w:proofErr w:type="gramEnd"/>
    </w:p>
    <w:p w14:paraId="17BD307C"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Identification of all processors and relevant contractual agreements – noting where these are required and assessing that they are put in place</w:t>
      </w:r>
    </w:p>
    <w:p w14:paraId="4FF9BA2C"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 xml:space="preserve">Process for the </w:t>
      </w:r>
      <w:r w:rsidR="007E017E" w:rsidRPr="00F53E83">
        <w:rPr>
          <w:rFonts w:ascii="Arial" w:eastAsia="Times New Roman" w:hAnsi="Arial" w:cs="Arial"/>
          <w:color w:val="000000"/>
          <w:sz w:val="24"/>
          <w:szCs w:val="24"/>
          <w:lang w:val="en" w:eastAsia="en-GB"/>
        </w:rPr>
        <w:t>controller’s</w:t>
      </w:r>
      <w:r w:rsidRPr="00F53E83">
        <w:rPr>
          <w:rFonts w:ascii="Arial" w:eastAsia="Times New Roman" w:hAnsi="Arial" w:cs="Arial"/>
          <w:color w:val="000000"/>
          <w:sz w:val="24"/>
          <w:szCs w:val="24"/>
          <w:lang w:val="en" w:eastAsia="en-GB"/>
        </w:rPr>
        <w:t xml:space="preserve"> subject to the DPIA to agree the risks identified, the mitigation controls and the process for auditing sufficiency during the sharing </w:t>
      </w:r>
      <w:proofErr w:type="spellStart"/>
      <w:r w:rsidRPr="00F53E83">
        <w:rPr>
          <w:rFonts w:ascii="Arial" w:eastAsia="Times New Roman" w:hAnsi="Arial" w:cs="Arial"/>
          <w:color w:val="000000"/>
          <w:sz w:val="24"/>
          <w:szCs w:val="24"/>
          <w:lang w:val="en" w:eastAsia="en-GB"/>
        </w:rPr>
        <w:t>programme</w:t>
      </w:r>
      <w:proofErr w:type="spellEnd"/>
      <w:r w:rsidR="007E017E">
        <w:rPr>
          <w:rFonts w:ascii="Arial" w:eastAsia="Times New Roman" w:hAnsi="Arial" w:cs="Arial"/>
          <w:color w:val="000000"/>
          <w:sz w:val="24"/>
          <w:szCs w:val="24"/>
          <w:lang w:val="en" w:eastAsia="en-GB"/>
        </w:rPr>
        <w:t>.</w:t>
      </w:r>
    </w:p>
    <w:p w14:paraId="3A67FB82" w14:textId="77777777" w:rsidR="00170AE2" w:rsidRPr="00F53E83" w:rsidRDefault="00170AE2" w:rsidP="00222DBE">
      <w:pPr>
        <w:pStyle w:val="ListParagraph"/>
        <w:numPr>
          <w:ilvl w:val="0"/>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Mitigation controls will include:</w:t>
      </w:r>
    </w:p>
    <w:p w14:paraId="422875AE" w14:textId="77777777" w:rsidR="00170AE2" w:rsidRPr="00F53E83" w:rsidRDefault="00170AE2" w:rsidP="00222DBE">
      <w:pPr>
        <w:pStyle w:val="ListParagraph"/>
        <w:numPr>
          <w:ilvl w:val="1"/>
          <w:numId w:val="24"/>
        </w:num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t>Technical measures, operating processes, common standards/accreditations, agreed data flow maps/records of processing activities &amp; access controls (</w:t>
      </w:r>
      <w:proofErr w:type="gramStart"/>
      <w:r w:rsidRPr="00F53E83">
        <w:rPr>
          <w:rFonts w:ascii="Arial" w:eastAsia="Times New Roman" w:hAnsi="Arial" w:cs="Arial"/>
          <w:color w:val="000000"/>
          <w:sz w:val="24"/>
          <w:szCs w:val="24"/>
          <w:lang w:val="en" w:eastAsia="en-GB"/>
        </w:rPr>
        <w:t>i.e.</w:t>
      </w:r>
      <w:proofErr w:type="gramEnd"/>
      <w:r w:rsidRPr="00F53E83">
        <w:rPr>
          <w:rFonts w:ascii="Arial" w:eastAsia="Times New Roman" w:hAnsi="Arial" w:cs="Arial"/>
          <w:color w:val="000000"/>
          <w:sz w:val="24"/>
          <w:szCs w:val="24"/>
          <w:lang w:val="en" w:eastAsia="en-GB"/>
        </w:rPr>
        <w:t xml:space="preserve"> R</w:t>
      </w:r>
      <w:r w:rsidR="000E7F83" w:rsidRPr="00F53E83">
        <w:rPr>
          <w:rFonts w:ascii="Arial" w:eastAsia="Times New Roman" w:hAnsi="Arial" w:cs="Arial"/>
          <w:color w:val="000000"/>
          <w:sz w:val="24"/>
          <w:szCs w:val="24"/>
          <w:lang w:val="en" w:eastAsia="en-GB"/>
        </w:rPr>
        <w:t xml:space="preserve">ole </w:t>
      </w:r>
      <w:r w:rsidRPr="00F53E83">
        <w:rPr>
          <w:rFonts w:ascii="Arial" w:eastAsia="Times New Roman" w:hAnsi="Arial" w:cs="Arial"/>
          <w:color w:val="000000"/>
          <w:sz w:val="24"/>
          <w:szCs w:val="24"/>
          <w:lang w:val="en" w:eastAsia="en-GB"/>
        </w:rPr>
        <w:t>B</w:t>
      </w:r>
      <w:r w:rsidR="000E7F83" w:rsidRPr="00F53E83">
        <w:rPr>
          <w:rFonts w:ascii="Arial" w:eastAsia="Times New Roman" w:hAnsi="Arial" w:cs="Arial"/>
          <w:color w:val="000000"/>
          <w:sz w:val="24"/>
          <w:szCs w:val="24"/>
          <w:lang w:val="en" w:eastAsia="en-GB"/>
        </w:rPr>
        <w:t xml:space="preserve">ased </w:t>
      </w:r>
      <w:r w:rsidRPr="00F53E83">
        <w:rPr>
          <w:rFonts w:ascii="Arial" w:eastAsia="Times New Roman" w:hAnsi="Arial" w:cs="Arial"/>
          <w:color w:val="000000"/>
          <w:sz w:val="24"/>
          <w:szCs w:val="24"/>
          <w:lang w:val="en" w:eastAsia="en-GB"/>
        </w:rPr>
        <w:t>A</w:t>
      </w:r>
      <w:r w:rsidR="000E7F83" w:rsidRPr="00F53E83">
        <w:rPr>
          <w:rFonts w:ascii="Arial" w:eastAsia="Times New Roman" w:hAnsi="Arial" w:cs="Arial"/>
          <w:color w:val="000000"/>
          <w:sz w:val="24"/>
          <w:szCs w:val="24"/>
          <w:lang w:val="en" w:eastAsia="en-GB"/>
        </w:rPr>
        <w:t xml:space="preserve">ccess </w:t>
      </w:r>
      <w:r w:rsidRPr="00F53E83">
        <w:rPr>
          <w:rFonts w:ascii="Arial" w:eastAsia="Times New Roman" w:hAnsi="Arial" w:cs="Arial"/>
          <w:color w:val="000000"/>
          <w:sz w:val="24"/>
          <w:szCs w:val="24"/>
          <w:lang w:val="en" w:eastAsia="en-GB"/>
        </w:rPr>
        <w:t>C</w:t>
      </w:r>
      <w:r w:rsidR="000E7F83" w:rsidRPr="00F53E83">
        <w:rPr>
          <w:rFonts w:ascii="Arial" w:eastAsia="Times New Roman" w:hAnsi="Arial" w:cs="Arial"/>
          <w:color w:val="000000"/>
          <w:sz w:val="24"/>
          <w:szCs w:val="24"/>
          <w:lang w:val="en" w:eastAsia="en-GB"/>
        </w:rPr>
        <w:t>ontrols</w:t>
      </w:r>
      <w:r w:rsidRPr="00F53E83">
        <w:rPr>
          <w:rFonts w:ascii="Arial" w:eastAsia="Times New Roman" w:hAnsi="Arial" w:cs="Arial"/>
          <w:color w:val="000000"/>
          <w:sz w:val="24"/>
          <w:szCs w:val="24"/>
          <w:lang w:val="en" w:eastAsia="en-GB"/>
        </w:rPr>
        <w:t>) and associated processes</w:t>
      </w:r>
    </w:p>
    <w:bookmarkStart w:id="11" w:name="_MON_1670145022"/>
    <w:bookmarkEnd w:id="11"/>
    <w:p w14:paraId="25376AAE" w14:textId="450BCD61" w:rsidR="00170AE2" w:rsidRPr="00F53E83" w:rsidRDefault="00362ACD" w:rsidP="00222DBE">
      <w:pPr>
        <w:spacing w:before="120" w:after="100" w:afterAutospacing="1" w:line="240" w:lineRule="auto"/>
        <w:jc w:val="both"/>
        <w:rPr>
          <w:rFonts w:ascii="Arial" w:eastAsia="Times New Roman" w:hAnsi="Arial" w:cs="Arial"/>
          <w:color w:val="000000"/>
          <w:sz w:val="24"/>
          <w:szCs w:val="24"/>
          <w:lang w:val="en" w:eastAsia="en-GB"/>
        </w:rPr>
      </w:pPr>
      <w:r w:rsidRPr="00F53E83">
        <w:rPr>
          <w:rFonts w:ascii="Arial" w:eastAsia="Times New Roman" w:hAnsi="Arial" w:cs="Arial"/>
          <w:color w:val="000000"/>
          <w:sz w:val="24"/>
          <w:szCs w:val="24"/>
          <w:lang w:val="en" w:eastAsia="en-GB"/>
        </w:rPr>
        <w:object w:dxaOrig="1508" w:dyaOrig="943" w14:anchorId="20109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4pt;height:47.15pt" o:ole="">
            <v:imagedata r:id="rId13" o:title=""/>
          </v:shape>
          <o:OLEObject Type="Embed" ProgID="Word.Document.12" ShapeID="_x0000_i1031" DrawAspect="Icon" ObjectID="_1689016179" r:id="rId14">
            <o:FieldCodes>\s</o:FieldCodes>
          </o:OLEObject>
        </w:object>
      </w:r>
    </w:p>
    <w:p w14:paraId="5A046037" w14:textId="77777777" w:rsidR="00170AE2" w:rsidRPr="00466260" w:rsidRDefault="00170AE2" w:rsidP="00466260">
      <w:pPr>
        <w:pStyle w:val="NoSpacing"/>
        <w:rPr>
          <w:rFonts w:ascii="Arial" w:hAnsi="Arial" w:cs="Arial"/>
          <w:b/>
          <w:bCs/>
          <w:sz w:val="24"/>
          <w:szCs w:val="24"/>
        </w:rPr>
      </w:pPr>
      <w:r w:rsidRPr="00466260">
        <w:rPr>
          <w:rFonts w:ascii="Arial" w:hAnsi="Arial" w:cs="Arial"/>
          <w:b/>
          <w:bCs/>
          <w:sz w:val="24"/>
          <w:szCs w:val="24"/>
        </w:rPr>
        <w:t>Operational Data Sharing Agreement Template</w:t>
      </w:r>
    </w:p>
    <w:p w14:paraId="74EBF100" w14:textId="27936C7A" w:rsidR="00170AE2" w:rsidRPr="00F53E83" w:rsidRDefault="00170AE2" w:rsidP="00222DBE">
      <w:pPr>
        <w:jc w:val="both"/>
        <w:rPr>
          <w:rFonts w:ascii="Arial" w:hAnsi="Arial" w:cs="Arial"/>
          <w:sz w:val="24"/>
          <w:szCs w:val="24"/>
        </w:rPr>
      </w:pPr>
      <w:r w:rsidRPr="00F53E83">
        <w:rPr>
          <w:rFonts w:ascii="Arial" w:hAnsi="Arial" w:cs="Arial"/>
          <w:sz w:val="24"/>
          <w:szCs w:val="24"/>
        </w:rPr>
        <w:t xml:space="preserve">The template available here can be used where a sharing initiative has identified the need for a specific operational document setting out the detail of the sharing, including the data items, </w:t>
      </w:r>
      <w:proofErr w:type="gramStart"/>
      <w:r w:rsidRPr="00F53E83">
        <w:rPr>
          <w:rFonts w:ascii="Arial" w:hAnsi="Arial" w:cs="Arial"/>
          <w:sz w:val="24"/>
          <w:szCs w:val="24"/>
        </w:rPr>
        <w:t>method</w:t>
      </w:r>
      <w:proofErr w:type="gramEnd"/>
      <w:r w:rsidRPr="00F53E83">
        <w:rPr>
          <w:rFonts w:ascii="Arial" w:hAnsi="Arial" w:cs="Arial"/>
          <w:sz w:val="24"/>
          <w:szCs w:val="24"/>
        </w:rPr>
        <w:t xml:space="preserve"> and other specifics</w:t>
      </w:r>
      <w:r w:rsidR="008A5443">
        <w:rPr>
          <w:rFonts w:ascii="Arial" w:hAnsi="Arial" w:cs="Arial"/>
          <w:sz w:val="24"/>
          <w:szCs w:val="24"/>
        </w:rPr>
        <w:t>,</w:t>
      </w:r>
      <w:r w:rsidRPr="00F53E83">
        <w:rPr>
          <w:rFonts w:ascii="Arial" w:hAnsi="Arial" w:cs="Arial"/>
          <w:sz w:val="24"/>
          <w:szCs w:val="24"/>
        </w:rPr>
        <w:t xml:space="preserve"> where documented agreement is required between partners.</w:t>
      </w:r>
    </w:p>
    <w:bookmarkStart w:id="12" w:name="_MON_1661670300"/>
    <w:bookmarkEnd w:id="12"/>
    <w:p w14:paraId="1A8970BB" w14:textId="4F098B79" w:rsidR="00170AE2" w:rsidRDefault="00145587" w:rsidP="00222DBE">
      <w:pPr>
        <w:jc w:val="both"/>
        <w:rPr>
          <w:rFonts w:ascii="Arial" w:hAnsi="Arial" w:cs="Arial"/>
          <w:sz w:val="24"/>
          <w:szCs w:val="24"/>
        </w:rPr>
      </w:pPr>
      <w:r w:rsidRPr="00F53E83">
        <w:rPr>
          <w:rFonts w:ascii="Arial" w:hAnsi="Arial" w:cs="Arial"/>
          <w:sz w:val="24"/>
          <w:szCs w:val="24"/>
        </w:rPr>
        <w:object w:dxaOrig="1910" w:dyaOrig="1213" w14:anchorId="37A03875">
          <v:shape id="_x0000_i1026" type="#_x0000_t75" style="width:95.5pt;height:60.65pt" o:ole="">
            <v:imagedata r:id="rId15" o:title=""/>
          </v:shape>
          <o:OLEObject Type="Embed" ProgID="Word.Document.12" ShapeID="_x0000_i1026" DrawAspect="Icon" ObjectID="_1689016180" r:id="rId16">
            <o:FieldCodes>\s</o:FieldCodes>
          </o:OLEObject>
        </w:object>
      </w:r>
    </w:p>
    <w:p w14:paraId="25B686C8" w14:textId="77777777" w:rsidR="007E017E" w:rsidRDefault="007E017E" w:rsidP="00222DBE">
      <w:pPr>
        <w:jc w:val="both"/>
        <w:rPr>
          <w:rFonts w:ascii="Arial" w:hAnsi="Arial" w:cs="Arial"/>
          <w:sz w:val="24"/>
          <w:szCs w:val="24"/>
        </w:rPr>
      </w:pPr>
    </w:p>
    <w:p w14:paraId="665D801E" w14:textId="442F9DCA" w:rsidR="007E017E" w:rsidRDefault="007E017E" w:rsidP="00222DBE">
      <w:pPr>
        <w:jc w:val="both"/>
        <w:rPr>
          <w:rFonts w:ascii="Arial" w:hAnsi="Arial" w:cs="Arial"/>
          <w:sz w:val="24"/>
          <w:szCs w:val="24"/>
        </w:rPr>
      </w:pPr>
    </w:p>
    <w:p w14:paraId="71C52140" w14:textId="77777777" w:rsidR="00466260" w:rsidRPr="00F53E83" w:rsidRDefault="00466260" w:rsidP="00222DBE">
      <w:pPr>
        <w:jc w:val="both"/>
        <w:rPr>
          <w:rFonts w:ascii="Arial" w:hAnsi="Arial" w:cs="Arial"/>
          <w:sz w:val="24"/>
          <w:szCs w:val="24"/>
        </w:rPr>
      </w:pPr>
    </w:p>
    <w:p w14:paraId="2C08FA75" w14:textId="77777777" w:rsidR="00170AE2" w:rsidRPr="00466260" w:rsidRDefault="00170AE2" w:rsidP="00466260">
      <w:pPr>
        <w:pStyle w:val="NoSpacing"/>
        <w:rPr>
          <w:rFonts w:ascii="Arial" w:hAnsi="Arial" w:cs="Arial"/>
          <w:b/>
          <w:bCs/>
          <w:sz w:val="24"/>
          <w:szCs w:val="24"/>
        </w:rPr>
      </w:pPr>
      <w:r w:rsidRPr="00466260">
        <w:rPr>
          <w:rFonts w:ascii="Arial" w:hAnsi="Arial" w:cs="Arial"/>
          <w:b/>
          <w:bCs/>
          <w:sz w:val="24"/>
          <w:szCs w:val="24"/>
        </w:rPr>
        <w:lastRenderedPageBreak/>
        <w:t>Joint Controllership Assessment &amp; Arrangements Template</w:t>
      </w:r>
    </w:p>
    <w:p w14:paraId="6F7D2222" w14:textId="77777777" w:rsidR="00170AE2" w:rsidRPr="00F53E83" w:rsidRDefault="00170AE2" w:rsidP="00222DBE">
      <w:pPr>
        <w:jc w:val="both"/>
        <w:rPr>
          <w:rFonts w:ascii="Arial" w:hAnsi="Arial" w:cs="Arial"/>
          <w:sz w:val="24"/>
          <w:szCs w:val="24"/>
        </w:rPr>
      </w:pPr>
      <w:r w:rsidRPr="00F53E83">
        <w:rPr>
          <w:rFonts w:ascii="Arial" w:hAnsi="Arial" w:cs="Arial"/>
          <w:sz w:val="24"/>
          <w:szCs w:val="24"/>
        </w:rPr>
        <w:t xml:space="preserve">Where a DPIA for a sharing initiative has identified that some controllers are acting in a joint controllership capacity, the template below can be used to assess whether the controller are joint and if so to set out the arrangements required by GDPR </w:t>
      </w:r>
      <w:r w:rsidR="000E7F83" w:rsidRPr="00F53E83">
        <w:rPr>
          <w:rFonts w:ascii="Arial" w:hAnsi="Arial" w:cs="Arial"/>
          <w:sz w:val="24"/>
          <w:szCs w:val="24"/>
        </w:rPr>
        <w:t xml:space="preserve">Article </w:t>
      </w:r>
      <w:r w:rsidRPr="00F53E83">
        <w:rPr>
          <w:rFonts w:ascii="Arial" w:hAnsi="Arial" w:cs="Arial"/>
          <w:sz w:val="24"/>
          <w:szCs w:val="24"/>
        </w:rPr>
        <w:t>26.</w:t>
      </w:r>
    </w:p>
    <w:bookmarkStart w:id="13" w:name="_MON_1661670722"/>
    <w:bookmarkEnd w:id="13"/>
    <w:p w14:paraId="2E936511" w14:textId="132609E3" w:rsidR="00170AE2" w:rsidRDefault="00885CD5" w:rsidP="00222DBE">
      <w:pPr>
        <w:jc w:val="both"/>
        <w:rPr>
          <w:rFonts w:ascii="Arial" w:hAnsi="Arial" w:cs="Arial"/>
          <w:sz w:val="24"/>
          <w:szCs w:val="24"/>
        </w:rPr>
      </w:pPr>
      <w:r w:rsidRPr="00F53E83">
        <w:rPr>
          <w:rFonts w:ascii="Arial" w:hAnsi="Arial" w:cs="Arial"/>
          <w:sz w:val="24"/>
          <w:szCs w:val="24"/>
        </w:rPr>
        <w:object w:dxaOrig="1910" w:dyaOrig="1213" w14:anchorId="18A2BB8B">
          <v:shape id="_x0000_i1027" type="#_x0000_t75" style="width:95.5pt;height:60.55pt" o:ole="">
            <v:imagedata r:id="rId17" o:title=""/>
          </v:shape>
          <o:OLEObject Type="Embed" ProgID="Word.Document.12" ShapeID="_x0000_i1027" DrawAspect="Icon" ObjectID="_1689016181" r:id="rId18">
            <o:FieldCodes>\s</o:FieldCodes>
          </o:OLEObject>
        </w:object>
      </w:r>
    </w:p>
    <w:p w14:paraId="35560017" w14:textId="3F4E35CB" w:rsidR="00176F11" w:rsidRDefault="00176F11" w:rsidP="00222DBE">
      <w:pPr>
        <w:jc w:val="both"/>
        <w:rPr>
          <w:rFonts w:ascii="Arial" w:hAnsi="Arial" w:cs="Arial"/>
          <w:sz w:val="24"/>
          <w:szCs w:val="24"/>
        </w:rPr>
      </w:pPr>
    </w:p>
    <w:p w14:paraId="36727281" w14:textId="756307B0" w:rsidR="00176F11" w:rsidRDefault="00176F11" w:rsidP="00176F11">
      <w:pPr>
        <w:spacing w:after="0"/>
        <w:jc w:val="both"/>
        <w:rPr>
          <w:rFonts w:ascii="Arial" w:hAnsi="Arial" w:cs="Arial"/>
          <w:b/>
          <w:bCs/>
          <w:sz w:val="24"/>
          <w:szCs w:val="24"/>
        </w:rPr>
      </w:pPr>
      <w:r>
        <w:rPr>
          <w:rFonts w:ascii="Arial" w:hAnsi="Arial" w:cs="Arial"/>
          <w:b/>
          <w:bCs/>
          <w:sz w:val="24"/>
          <w:szCs w:val="24"/>
        </w:rPr>
        <w:t>File sharing / collaboration platform</w:t>
      </w:r>
    </w:p>
    <w:p w14:paraId="732AF0C2" w14:textId="0BC0828C" w:rsidR="00176F11" w:rsidRDefault="00176F11" w:rsidP="00222DBE">
      <w:pPr>
        <w:jc w:val="both"/>
        <w:rPr>
          <w:rFonts w:ascii="Arial" w:hAnsi="Arial" w:cs="Arial"/>
          <w:sz w:val="24"/>
          <w:szCs w:val="24"/>
        </w:rPr>
      </w:pPr>
      <w:r>
        <w:rPr>
          <w:rFonts w:ascii="Arial" w:hAnsi="Arial" w:cs="Arial"/>
          <w:sz w:val="24"/>
          <w:szCs w:val="24"/>
        </w:rPr>
        <w:t xml:space="preserve">It is recommended that, for any initiative involving multiple stakeholders, a file-sharing/collaboration platform is used to improve accessibility, avoid </w:t>
      </w:r>
      <w:proofErr w:type="gramStart"/>
      <w:r>
        <w:rPr>
          <w:rFonts w:ascii="Arial" w:hAnsi="Arial" w:cs="Arial"/>
          <w:sz w:val="24"/>
          <w:szCs w:val="24"/>
        </w:rPr>
        <w:t>duplication</w:t>
      </w:r>
      <w:proofErr w:type="gramEnd"/>
      <w:r>
        <w:rPr>
          <w:rFonts w:ascii="Arial" w:hAnsi="Arial" w:cs="Arial"/>
          <w:sz w:val="24"/>
          <w:szCs w:val="24"/>
        </w:rPr>
        <w:t xml:space="preserve"> and manage version control effectively</w:t>
      </w:r>
      <w:r w:rsidR="00362ACD">
        <w:rPr>
          <w:rFonts w:ascii="Arial" w:hAnsi="Arial" w:cs="Arial"/>
          <w:sz w:val="24"/>
          <w:szCs w:val="24"/>
        </w:rPr>
        <w:t xml:space="preserve">. </w:t>
      </w:r>
    </w:p>
    <w:p w14:paraId="67991A9C" w14:textId="77777777" w:rsidR="007E017E" w:rsidRPr="00F53E83" w:rsidRDefault="007E017E" w:rsidP="00222DBE">
      <w:pPr>
        <w:jc w:val="both"/>
        <w:rPr>
          <w:rFonts w:ascii="Arial" w:hAnsi="Arial" w:cs="Arial"/>
          <w:sz w:val="24"/>
          <w:szCs w:val="24"/>
        </w:rPr>
      </w:pPr>
      <w:r>
        <w:rPr>
          <w:rFonts w:ascii="Arial" w:hAnsi="Arial" w:cs="Arial"/>
          <w:sz w:val="24"/>
          <w:szCs w:val="24"/>
        </w:rPr>
        <w:br w:type="page"/>
      </w:r>
    </w:p>
    <w:p w14:paraId="779EBFEA" w14:textId="77777777" w:rsidR="00B97E7B" w:rsidRPr="007E017E" w:rsidRDefault="002F5AEA" w:rsidP="00222DBE">
      <w:pPr>
        <w:pStyle w:val="Heading1"/>
        <w:jc w:val="both"/>
        <w:rPr>
          <w:rFonts w:ascii="Arial" w:hAnsi="Arial" w:cs="Arial"/>
          <w:sz w:val="28"/>
          <w:szCs w:val="28"/>
        </w:rPr>
      </w:pPr>
      <w:bookmarkStart w:id="14" w:name="_Toc78401639"/>
      <w:r w:rsidRPr="007E017E">
        <w:rPr>
          <w:rFonts w:ascii="Arial" w:hAnsi="Arial" w:cs="Arial"/>
          <w:sz w:val="28"/>
          <w:szCs w:val="28"/>
        </w:rPr>
        <w:lastRenderedPageBreak/>
        <w:t xml:space="preserve">Appendix </w:t>
      </w:r>
      <w:r w:rsidR="00170AE2" w:rsidRPr="007E017E">
        <w:rPr>
          <w:rFonts w:ascii="Arial" w:hAnsi="Arial" w:cs="Arial"/>
          <w:sz w:val="28"/>
          <w:szCs w:val="28"/>
        </w:rPr>
        <w:t>2</w:t>
      </w:r>
      <w:r w:rsidRPr="007E017E">
        <w:rPr>
          <w:rFonts w:ascii="Arial" w:hAnsi="Arial" w:cs="Arial"/>
          <w:sz w:val="28"/>
          <w:szCs w:val="28"/>
        </w:rPr>
        <w:t>.  Reference materials: t</w:t>
      </w:r>
      <w:r w:rsidR="00B97E7B" w:rsidRPr="007E017E">
        <w:rPr>
          <w:rFonts w:ascii="Arial" w:hAnsi="Arial" w:cs="Arial"/>
          <w:sz w:val="28"/>
          <w:szCs w:val="28"/>
        </w:rPr>
        <w:t>he components of data sharing</w:t>
      </w:r>
      <w:r w:rsidRPr="007E017E">
        <w:rPr>
          <w:rFonts w:ascii="Arial" w:hAnsi="Arial" w:cs="Arial"/>
          <w:sz w:val="28"/>
          <w:szCs w:val="28"/>
        </w:rPr>
        <w:t>.</w:t>
      </w:r>
      <w:bookmarkEnd w:id="14"/>
    </w:p>
    <w:p w14:paraId="20356DC5" w14:textId="77777777" w:rsidR="007E017E" w:rsidRDefault="007E017E" w:rsidP="00222DBE">
      <w:pPr>
        <w:jc w:val="both"/>
        <w:rPr>
          <w:rFonts w:ascii="Arial" w:hAnsi="Arial" w:cs="Arial"/>
          <w:sz w:val="24"/>
          <w:szCs w:val="24"/>
        </w:rPr>
      </w:pPr>
    </w:p>
    <w:p w14:paraId="3CC0D87D"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Data sharing between agencies requires the following to be in place:</w:t>
      </w:r>
    </w:p>
    <w:p w14:paraId="4D3DF68C" w14:textId="77777777" w:rsidR="00B97E7B" w:rsidRPr="00F53E83" w:rsidRDefault="00B97E7B" w:rsidP="00222DBE">
      <w:pPr>
        <w:pStyle w:val="ListParagraph"/>
        <w:numPr>
          <w:ilvl w:val="0"/>
          <w:numId w:val="19"/>
        </w:numPr>
        <w:jc w:val="both"/>
        <w:rPr>
          <w:rFonts w:ascii="Arial" w:hAnsi="Arial" w:cs="Arial"/>
          <w:sz w:val="24"/>
          <w:szCs w:val="24"/>
        </w:rPr>
      </w:pPr>
      <w:r w:rsidRPr="00F53E83">
        <w:rPr>
          <w:rFonts w:ascii="Arial" w:hAnsi="Arial" w:cs="Arial"/>
          <w:sz w:val="24"/>
          <w:szCs w:val="24"/>
        </w:rPr>
        <w:t xml:space="preserve">Identified roles and responsibilities of the organisations sharing data.  </w:t>
      </w:r>
    </w:p>
    <w:p w14:paraId="5D28291B" w14:textId="77777777" w:rsidR="00B97E7B" w:rsidRPr="00F53E83" w:rsidRDefault="00B97E7B" w:rsidP="00222DBE">
      <w:pPr>
        <w:pStyle w:val="ListParagraph"/>
        <w:numPr>
          <w:ilvl w:val="1"/>
          <w:numId w:val="19"/>
        </w:numPr>
        <w:jc w:val="both"/>
        <w:rPr>
          <w:rFonts w:ascii="Arial" w:hAnsi="Arial" w:cs="Arial"/>
          <w:sz w:val="24"/>
          <w:szCs w:val="24"/>
        </w:rPr>
      </w:pPr>
      <w:r w:rsidRPr="00F53E83">
        <w:rPr>
          <w:rFonts w:ascii="Arial" w:hAnsi="Arial" w:cs="Arial"/>
          <w:sz w:val="24"/>
          <w:szCs w:val="24"/>
        </w:rPr>
        <w:t>Organisations which determine the purposes and means for sharing personal data are ‘controllers’ of that data.  This can be separately or on a joint basis.</w:t>
      </w:r>
    </w:p>
    <w:p w14:paraId="68BDDF40" w14:textId="77777777" w:rsidR="00B97E7B" w:rsidRPr="00F53E83" w:rsidRDefault="00B97E7B" w:rsidP="00222DBE">
      <w:pPr>
        <w:pStyle w:val="ListParagraph"/>
        <w:numPr>
          <w:ilvl w:val="1"/>
          <w:numId w:val="19"/>
        </w:numPr>
        <w:jc w:val="both"/>
        <w:rPr>
          <w:rFonts w:ascii="Arial" w:hAnsi="Arial" w:cs="Arial"/>
          <w:sz w:val="24"/>
          <w:szCs w:val="24"/>
        </w:rPr>
      </w:pPr>
      <w:r w:rsidRPr="00F53E83">
        <w:rPr>
          <w:rFonts w:ascii="Arial" w:hAnsi="Arial" w:cs="Arial"/>
          <w:sz w:val="24"/>
          <w:szCs w:val="24"/>
        </w:rPr>
        <w:t xml:space="preserve">Organisations that undertake processing of data but do not determine the purposes and means and act only on instructions of a controller are processors.  </w:t>
      </w:r>
    </w:p>
    <w:p w14:paraId="572A9069" w14:textId="77777777" w:rsidR="00B97E7B" w:rsidRPr="00F53E83" w:rsidRDefault="00B97E7B" w:rsidP="00222DBE">
      <w:pPr>
        <w:pStyle w:val="ListParagraph"/>
        <w:numPr>
          <w:ilvl w:val="0"/>
          <w:numId w:val="19"/>
        </w:numPr>
        <w:jc w:val="both"/>
        <w:rPr>
          <w:rFonts w:ascii="Arial" w:hAnsi="Arial" w:cs="Arial"/>
          <w:sz w:val="24"/>
          <w:szCs w:val="24"/>
        </w:rPr>
      </w:pPr>
      <w:r w:rsidRPr="00F53E83">
        <w:rPr>
          <w:rFonts w:ascii="Arial" w:hAnsi="Arial" w:cs="Arial"/>
          <w:sz w:val="24"/>
          <w:szCs w:val="24"/>
        </w:rPr>
        <w:t>Legal powers (</w:t>
      </w:r>
      <w:proofErr w:type="spellStart"/>
      <w:r w:rsidRPr="00F53E83">
        <w:rPr>
          <w:rFonts w:ascii="Arial" w:hAnsi="Arial" w:cs="Arial"/>
          <w:sz w:val="24"/>
          <w:szCs w:val="24"/>
        </w:rPr>
        <w:t>a.k.a</w:t>
      </w:r>
      <w:proofErr w:type="spellEnd"/>
      <w:r w:rsidRPr="00F53E83">
        <w:rPr>
          <w:rFonts w:ascii="Arial" w:hAnsi="Arial" w:cs="Arial"/>
          <w:sz w:val="24"/>
          <w:szCs w:val="24"/>
        </w:rPr>
        <w:t xml:space="preserve"> ‘legal gateways’) – legislation that gives public bodies their legal powers to provide services.  It is implicit within many such services that data is recorded and shared to ensure those services can be provided across agencies.  These powers can be delegated by service contract to a private organisation.  Private organisations do not need legislation </w:t>
      </w:r>
      <w:r w:rsidR="002F5AEA" w:rsidRPr="00F53E83">
        <w:rPr>
          <w:rFonts w:ascii="Arial" w:hAnsi="Arial" w:cs="Arial"/>
          <w:sz w:val="24"/>
          <w:szCs w:val="24"/>
        </w:rPr>
        <w:t>establishing</w:t>
      </w:r>
      <w:r w:rsidRPr="00F53E83">
        <w:rPr>
          <w:rFonts w:ascii="Arial" w:hAnsi="Arial" w:cs="Arial"/>
          <w:sz w:val="24"/>
          <w:szCs w:val="24"/>
        </w:rPr>
        <w:t xml:space="preserve"> their </w:t>
      </w:r>
      <w:r w:rsidR="002F5AEA" w:rsidRPr="00F53E83">
        <w:rPr>
          <w:rFonts w:ascii="Arial" w:hAnsi="Arial" w:cs="Arial"/>
          <w:sz w:val="24"/>
          <w:szCs w:val="24"/>
        </w:rPr>
        <w:t>functions/</w:t>
      </w:r>
      <w:r w:rsidRPr="00F53E83">
        <w:rPr>
          <w:rFonts w:ascii="Arial" w:hAnsi="Arial" w:cs="Arial"/>
          <w:sz w:val="24"/>
          <w:szCs w:val="24"/>
        </w:rPr>
        <w:t xml:space="preserve">activities in the same </w:t>
      </w:r>
      <w:proofErr w:type="gramStart"/>
      <w:r w:rsidRPr="00F53E83">
        <w:rPr>
          <w:rFonts w:ascii="Arial" w:hAnsi="Arial" w:cs="Arial"/>
          <w:sz w:val="24"/>
          <w:szCs w:val="24"/>
        </w:rPr>
        <w:t>way, but</w:t>
      </w:r>
      <w:proofErr w:type="gramEnd"/>
      <w:r w:rsidRPr="00F53E83">
        <w:rPr>
          <w:rFonts w:ascii="Arial" w:hAnsi="Arial" w:cs="Arial"/>
          <w:sz w:val="24"/>
          <w:szCs w:val="24"/>
        </w:rPr>
        <w:t xml:space="preserve"> must ensure all their activities are lawful.</w:t>
      </w:r>
    </w:p>
    <w:p w14:paraId="16F2F725" w14:textId="77777777" w:rsidR="00B97E7B" w:rsidRPr="00F53E83" w:rsidRDefault="00B97E7B" w:rsidP="00222DBE">
      <w:pPr>
        <w:pStyle w:val="ListParagraph"/>
        <w:numPr>
          <w:ilvl w:val="0"/>
          <w:numId w:val="19"/>
        </w:numPr>
        <w:jc w:val="both"/>
        <w:rPr>
          <w:rFonts w:ascii="Arial" w:hAnsi="Arial" w:cs="Arial"/>
          <w:sz w:val="24"/>
          <w:szCs w:val="24"/>
        </w:rPr>
      </w:pPr>
      <w:r w:rsidRPr="00F53E83">
        <w:rPr>
          <w:rFonts w:ascii="Arial" w:hAnsi="Arial" w:cs="Arial"/>
          <w:sz w:val="24"/>
          <w:szCs w:val="24"/>
        </w:rPr>
        <w:t>Lawful basis – personal data and special category personal data cannot be used unless the purpose is covered by justifications for using personal data in data protection legislation.  Data Protection principles also require that any other relevant laws related to the data processing are identified and complied with.</w:t>
      </w:r>
    </w:p>
    <w:p w14:paraId="0200089B" w14:textId="77777777" w:rsidR="00B97E7B" w:rsidRPr="00F53E83" w:rsidRDefault="00B97E7B" w:rsidP="00222DBE">
      <w:pPr>
        <w:pStyle w:val="ListParagraph"/>
        <w:numPr>
          <w:ilvl w:val="0"/>
          <w:numId w:val="19"/>
        </w:numPr>
        <w:jc w:val="both"/>
        <w:rPr>
          <w:rFonts w:ascii="Arial" w:hAnsi="Arial" w:cs="Arial"/>
          <w:sz w:val="24"/>
          <w:szCs w:val="24"/>
        </w:rPr>
      </w:pPr>
      <w:r w:rsidRPr="00F53E83">
        <w:rPr>
          <w:rFonts w:ascii="Arial" w:hAnsi="Arial" w:cs="Arial"/>
          <w:sz w:val="24"/>
          <w:szCs w:val="24"/>
        </w:rPr>
        <w:t xml:space="preserve">Application of data protection </w:t>
      </w:r>
      <w:r w:rsidR="000E7F83" w:rsidRPr="00F53E83">
        <w:rPr>
          <w:rFonts w:ascii="Arial" w:hAnsi="Arial" w:cs="Arial"/>
          <w:sz w:val="24"/>
          <w:szCs w:val="24"/>
        </w:rPr>
        <w:t xml:space="preserve">legislation </w:t>
      </w:r>
      <w:r w:rsidRPr="00F53E83">
        <w:rPr>
          <w:rFonts w:ascii="Arial" w:hAnsi="Arial" w:cs="Arial"/>
          <w:sz w:val="24"/>
          <w:szCs w:val="24"/>
        </w:rPr>
        <w:t>principles to the data sharing, including:</w:t>
      </w:r>
    </w:p>
    <w:p w14:paraId="5656E4B2" w14:textId="77777777" w:rsidR="00B97E7B" w:rsidRPr="00F53E83" w:rsidRDefault="00B97E7B" w:rsidP="00222DBE">
      <w:pPr>
        <w:pStyle w:val="ListParagraph"/>
        <w:numPr>
          <w:ilvl w:val="1"/>
          <w:numId w:val="19"/>
        </w:numPr>
        <w:jc w:val="both"/>
        <w:rPr>
          <w:rFonts w:ascii="Arial" w:hAnsi="Arial" w:cs="Arial"/>
          <w:sz w:val="24"/>
          <w:szCs w:val="24"/>
        </w:rPr>
      </w:pPr>
      <w:r w:rsidRPr="00F53E83">
        <w:rPr>
          <w:rFonts w:ascii="Arial" w:hAnsi="Arial" w:cs="Arial"/>
          <w:sz w:val="24"/>
          <w:szCs w:val="24"/>
        </w:rPr>
        <w:t>Agreed basis on how data sharing partners can demonstrate their accountability in relation to the data sharing.</w:t>
      </w:r>
    </w:p>
    <w:p w14:paraId="5E9057F5" w14:textId="77777777" w:rsidR="00B97E7B" w:rsidRPr="00F53E83" w:rsidRDefault="00B97E7B" w:rsidP="00222DBE">
      <w:pPr>
        <w:pStyle w:val="ListParagraph"/>
        <w:numPr>
          <w:ilvl w:val="1"/>
          <w:numId w:val="19"/>
        </w:numPr>
        <w:jc w:val="both"/>
        <w:rPr>
          <w:rFonts w:ascii="Arial" w:hAnsi="Arial" w:cs="Arial"/>
          <w:sz w:val="24"/>
          <w:szCs w:val="24"/>
        </w:rPr>
      </w:pPr>
      <w:r w:rsidRPr="00F53E83">
        <w:rPr>
          <w:rFonts w:ascii="Arial" w:hAnsi="Arial" w:cs="Arial"/>
          <w:sz w:val="24"/>
          <w:szCs w:val="24"/>
        </w:rPr>
        <w:t>Where any sharing is under joint controllership then there needs to be an agreed arrangement to how data subject rights are managed.</w:t>
      </w:r>
    </w:p>
    <w:p w14:paraId="628B33EF" w14:textId="77777777" w:rsidR="002F5AEA" w:rsidRPr="00F53E83" w:rsidRDefault="00B97E7B" w:rsidP="00222DBE">
      <w:pPr>
        <w:pStyle w:val="ListParagraph"/>
        <w:numPr>
          <w:ilvl w:val="1"/>
          <w:numId w:val="19"/>
        </w:numPr>
        <w:jc w:val="both"/>
        <w:rPr>
          <w:rFonts w:ascii="Arial" w:hAnsi="Arial" w:cs="Arial"/>
          <w:sz w:val="24"/>
          <w:szCs w:val="24"/>
        </w:rPr>
      </w:pPr>
      <w:r w:rsidRPr="00F53E83">
        <w:rPr>
          <w:rFonts w:ascii="Arial" w:hAnsi="Arial" w:cs="Arial"/>
          <w:sz w:val="24"/>
          <w:szCs w:val="24"/>
        </w:rPr>
        <w:t>Agreed approach to the management of incidents and breaches where data shared is jointly controlled.  Reliant on individual organisational policy in other circumstances</w:t>
      </w:r>
      <w:r w:rsidR="002F5AEA" w:rsidRPr="00F53E83">
        <w:rPr>
          <w:rFonts w:ascii="Arial" w:hAnsi="Arial" w:cs="Arial"/>
          <w:sz w:val="24"/>
          <w:szCs w:val="24"/>
        </w:rPr>
        <w:t>.</w:t>
      </w:r>
    </w:p>
    <w:p w14:paraId="1154412D" w14:textId="77777777" w:rsidR="00B97E7B" w:rsidRPr="00466260" w:rsidRDefault="00B97E7B" w:rsidP="00466260">
      <w:pPr>
        <w:pStyle w:val="NoSpacing"/>
        <w:rPr>
          <w:rFonts w:ascii="Arial" w:hAnsi="Arial" w:cs="Arial"/>
          <w:b/>
          <w:bCs/>
          <w:sz w:val="24"/>
          <w:szCs w:val="24"/>
        </w:rPr>
      </w:pPr>
      <w:r w:rsidRPr="00466260">
        <w:rPr>
          <w:rFonts w:ascii="Arial" w:hAnsi="Arial" w:cs="Arial"/>
          <w:b/>
          <w:bCs/>
          <w:sz w:val="24"/>
          <w:szCs w:val="24"/>
        </w:rPr>
        <w:t>Legal Powers to share data (legal gateways)</w:t>
      </w:r>
    </w:p>
    <w:p w14:paraId="68551DA8" w14:textId="77777777" w:rsidR="00B97E7B" w:rsidRPr="00F53E83" w:rsidRDefault="00B97E7B" w:rsidP="00222DBE">
      <w:pPr>
        <w:pStyle w:val="ListParagraph"/>
        <w:ind w:left="0"/>
        <w:jc w:val="both"/>
        <w:rPr>
          <w:rFonts w:ascii="Arial" w:hAnsi="Arial" w:cs="Arial"/>
          <w:sz w:val="24"/>
          <w:szCs w:val="24"/>
        </w:rPr>
      </w:pPr>
      <w:r w:rsidRPr="00F53E83">
        <w:rPr>
          <w:rFonts w:ascii="Arial" w:hAnsi="Arial" w:cs="Arial"/>
          <w:sz w:val="24"/>
          <w:szCs w:val="24"/>
        </w:rPr>
        <w:t xml:space="preserve">Under this agreement, information sharing </w:t>
      </w:r>
      <w:r w:rsidR="002F5AEA" w:rsidRPr="00F53E83">
        <w:rPr>
          <w:rFonts w:ascii="Arial" w:hAnsi="Arial" w:cs="Arial"/>
          <w:sz w:val="24"/>
          <w:szCs w:val="24"/>
        </w:rPr>
        <w:t>is</w:t>
      </w:r>
      <w:r w:rsidRPr="00F53E83">
        <w:rPr>
          <w:rFonts w:ascii="Arial" w:hAnsi="Arial" w:cs="Arial"/>
          <w:sz w:val="24"/>
          <w:szCs w:val="24"/>
        </w:rPr>
        <w:t xml:space="preserve"> defined as two distinct paths:</w:t>
      </w:r>
    </w:p>
    <w:p w14:paraId="245FACB8" w14:textId="2F7613A7" w:rsidR="00B97E7B" w:rsidRPr="00F53E83" w:rsidRDefault="00B97E7B" w:rsidP="00222DBE">
      <w:pPr>
        <w:pStyle w:val="ListParagraph"/>
        <w:numPr>
          <w:ilvl w:val="0"/>
          <w:numId w:val="20"/>
        </w:numPr>
        <w:jc w:val="both"/>
        <w:rPr>
          <w:rFonts w:ascii="Arial" w:hAnsi="Arial" w:cs="Arial"/>
          <w:sz w:val="24"/>
          <w:szCs w:val="24"/>
        </w:rPr>
      </w:pPr>
      <w:r w:rsidRPr="00F53E83">
        <w:rPr>
          <w:rFonts w:ascii="Arial" w:hAnsi="Arial" w:cs="Arial"/>
          <w:sz w:val="24"/>
          <w:szCs w:val="24"/>
        </w:rPr>
        <w:t xml:space="preserve">Sharing of data for the </w:t>
      </w:r>
      <w:r w:rsidR="002E168D">
        <w:rPr>
          <w:rFonts w:ascii="Arial" w:hAnsi="Arial" w:cs="Arial"/>
          <w:sz w:val="24"/>
          <w:szCs w:val="24"/>
        </w:rPr>
        <w:t>safeguarding of an individual</w:t>
      </w:r>
      <w:r w:rsidRPr="00F53E83">
        <w:rPr>
          <w:rFonts w:ascii="Arial" w:hAnsi="Arial" w:cs="Arial"/>
          <w:sz w:val="24"/>
          <w:szCs w:val="24"/>
        </w:rPr>
        <w:t xml:space="preserve">.  This includes the use of analysis tools on data that can provide useful ‘intelligence’ to the </w:t>
      </w:r>
      <w:r w:rsidR="002E168D">
        <w:rPr>
          <w:rFonts w:ascii="Arial" w:hAnsi="Arial" w:cs="Arial"/>
          <w:sz w:val="24"/>
          <w:szCs w:val="24"/>
        </w:rPr>
        <w:t>safeguarding</w:t>
      </w:r>
      <w:r w:rsidR="002E168D" w:rsidRPr="00F53E83">
        <w:rPr>
          <w:rFonts w:ascii="Arial" w:hAnsi="Arial" w:cs="Arial"/>
          <w:sz w:val="24"/>
          <w:szCs w:val="24"/>
        </w:rPr>
        <w:t xml:space="preserve"> </w:t>
      </w:r>
      <w:r w:rsidRPr="00F53E83">
        <w:rPr>
          <w:rFonts w:ascii="Arial" w:hAnsi="Arial" w:cs="Arial"/>
          <w:sz w:val="24"/>
          <w:szCs w:val="24"/>
        </w:rPr>
        <w:t xml:space="preserve">professional(s) determining the best </w:t>
      </w:r>
      <w:r w:rsidR="002E168D">
        <w:rPr>
          <w:rFonts w:ascii="Arial" w:hAnsi="Arial" w:cs="Arial"/>
          <w:sz w:val="24"/>
          <w:szCs w:val="24"/>
        </w:rPr>
        <w:t>action to safeguard an</w:t>
      </w:r>
      <w:r w:rsidRPr="00F53E83">
        <w:rPr>
          <w:rFonts w:ascii="Arial" w:hAnsi="Arial" w:cs="Arial"/>
          <w:sz w:val="24"/>
          <w:szCs w:val="24"/>
        </w:rPr>
        <w:t xml:space="preserve"> individual.</w:t>
      </w:r>
    </w:p>
    <w:p w14:paraId="0571DDE6" w14:textId="77777777" w:rsidR="00B97E7B" w:rsidRPr="00F53E83" w:rsidRDefault="00B97E7B" w:rsidP="00222DBE">
      <w:pPr>
        <w:pStyle w:val="ListParagraph"/>
        <w:numPr>
          <w:ilvl w:val="0"/>
          <w:numId w:val="20"/>
        </w:numPr>
        <w:jc w:val="both"/>
        <w:rPr>
          <w:rFonts w:ascii="Arial" w:hAnsi="Arial" w:cs="Arial"/>
          <w:sz w:val="24"/>
          <w:szCs w:val="24"/>
        </w:rPr>
      </w:pPr>
      <w:r w:rsidRPr="00F53E83">
        <w:rPr>
          <w:rFonts w:ascii="Arial" w:hAnsi="Arial" w:cs="Arial"/>
          <w:sz w:val="24"/>
          <w:szCs w:val="24"/>
        </w:rPr>
        <w:t xml:space="preserve">Use for purposes other than </w:t>
      </w:r>
      <w:r w:rsidR="002E168D">
        <w:rPr>
          <w:rFonts w:ascii="Arial" w:hAnsi="Arial" w:cs="Arial"/>
          <w:sz w:val="24"/>
          <w:szCs w:val="24"/>
        </w:rPr>
        <w:t>safeguarding an individual,</w:t>
      </w:r>
      <w:r w:rsidRPr="00F53E83">
        <w:rPr>
          <w:rFonts w:ascii="Arial" w:hAnsi="Arial" w:cs="Arial"/>
          <w:sz w:val="24"/>
          <w:szCs w:val="24"/>
        </w:rPr>
        <w:t xml:space="preserve"> which do not directly benefit</w:t>
      </w:r>
      <w:r w:rsidR="002E168D">
        <w:rPr>
          <w:rFonts w:ascii="Arial" w:hAnsi="Arial" w:cs="Arial"/>
          <w:sz w:val="24"/>
          <w:szCs w:val="24"/>
        </w:rPr>
        <w:t>/impact</w:t>
      </w:r>
      <w:r w:rsidRPr="00F53E83">
        <w:rPr>
          <w:rFonts w:ascii="Arial" w:hAnsi="Arial" w:cs="Arial"/>
          <w:sz w:val="24"/>
          <w:szCs w:val="24"/>
        </w:rPr>
        <w:t xml:space="preserve"> the individual, such as service evaluation, redesign, </w:t>
      </w:r>
      <w:proofErr w:type="gramStart"/>
      <w:r w:rsidRPr="00F53E83">
        <w:rPr>
          <w:rFonts w:ascii="Arial" w:hAnsi="Arial" w:cs="Arial"/>
          <w:sz w:val="24"/>
          <w:szCs w:val="24"/>
        </w:rPr>
        <w:t>research</w:t>
      </w:r>
      <w:proofErr w:type="gramEnd"/>
      <w:r w:rsidRPr="00F53E83">
        <w:rPr>
          <w:rFonts w:ascii="Arial" w:hAnsi="Arial" w:cs="Arial"/>
          <w:sz w:val="24"/>
          <w:szCs w:val="24"/>
        </w:rPr>
        <w:t xml:space="preserve"> and development of methods </w:t>
      </w:r>
      <w:r w:rsidR="002E168D">
        <w:rPr>
          <w:rFonts w:ascii="Arial" w:hAnsi="Arial" w:cs="Arial"/>
          <w:sz w:val="24"/>
          <w:szCs w:val="24"/>
        </w:rPr>
        <w:t>to prevent violence</w:t>
      </w:r>
      <w:r w:rsidRPr="00F53E83">
        <w:rPr>
          <w:rFonts w:ascii="Arial" w:hAnsi="Arial" w:cs="Arial"/>
          <w:sz w:val="24"/>
          <w:szCs w:val="24"/>
        </w:rPr>
        <w:t xml:space="preserve">.  </w:t>
      </w:r>
    </w:p>
    <w:p w14:paraId="7C5A65DE" w14:textId="77777777" w:rsidR="00B97E7B" w:rsidRPr="00F53E83" w:rsidRDefault="002F5AEA" w:rsidP="00222DBE">
      <w:pPr>
        <w:jc w:val="both"/>
        <w:rPr>
          <w:rFonts w:ascii="Arial" w:hAnsi="Arial" w:cs="Arial"/>
          <w:sz w:val="24"/>
          <w:szCs w:val="24"/>
        </w:rPr>
      </w:pPr>
      <w:r w:rsidRPr="00F53E83">
        <w:rPr>
          <w:rFonts w:ascii="Arial" w:hAnsi="Arial" w:cs="Arial"/>
          <w:sz w:val="24"/>
          <w:szCs w:val="24"/>
        </w:rPr>
        <w:lastRenderedPageBreak/>
        <w:t>Reference material and links to the legal gateways to share data fo</w:t>
      </w:r>
      <w:r w:rsidR="00041889" w:rsidRPr="00F53E83">
        <w:rPr>
          <w:rFonts w:ascii="Arial" w:hAnsi="Arial" w:cs="Arial"/>
          <w:sz w:val="24"/>
          <w:szCs w:val="24"/>
        </w:rPr>
        <w:t>r each path are to be found in A</w:t>
      </w:r>
      <w:r w:rsidRPr="00F53E83">
        <w:rPr>
          <w:rFonts w:ascii="Arial" w:hAnsi="Arial" w:cs="Arial"/>
          <w:sz w:val="24"/>
          <w:szCs w:val="24"/>
        </w:rPr>
        <w:t>ppendix</w:t>
      </w:r>
      <w:r w:rsidR="00041889" w:rsidRPr="00F53E83">
        <w:rPr>
          <w:rFonts w:ascii="Arial" w:hAnsi="Arial" w:cs="Arial"/>
          <w:sz w:val="24"/>
          <w:szCs w:val="24"/>
        </w:rPr>
        <w:t xml:space="preserve"> </w:t>
      </w:r>
      <w:r w:rsidR="00BC0529" w:rsidRPr="00F53E83">
        <w:rPr>
          <w:rFonts w:ascii="Arial" w:hAnsi="Arial" w:cs="Arial"/>
          <w:sz w:val="24"/>
          <w:szCs w:val="24"/>
        </w:rPr>
        <w:t>3</w:t>
      </w:r>
      <w:r w:rsidRPr="00F53E83">
        <w:rPr>
          <w:rFonts w:ascii="Arial" w:hAnsi="Arial" w:cs="Arial"/>
          <w:sz w:val="24"/>
          <w:szCs w:val="24"/>
        </w:rPr>
        <w:t>.</w:t>
      </w:r>
    </w:p>
    <w:p w14:paraId="3302E106" w14:textId="77777777" w:rsidR="00B97E7B" w:rsidRPr="00F34493" w:rsidRDefault="00B97E7B" w:rsidP="00F34493">
      <w:pPr>
        <w:pStyle w:val="NoSpacing"/>
        <w:rPr>
          <w:rFonts w:ascii="Arial" w:hAnsi="Arial" w:cs="Arial"/>
          <w:b/>
          <w:bCs/>
          <w:sz w:val="24"/>
          <w:szCs w:val="24"/>
        </w:rPr>
      </w:pPr>
      <w:r w:rsidRPr="00F34493">
        <w:rPr>
          <w:rFonts w:ascii="Arial" w:hAnsi="Arial" w:cs="Arial"/>
          <w:b/>
          <w:bCs/>
          <w:sz w:val="24"/>
          <w:szCs w:val="24"/>
        </w:rPr>
        <w:t>Lawful bases to process data</w:t>
      </w:r>
    </w:p>
    <w:p w14:paraId="107F61E6" w14:textId="1C0A73E6" w:rsidR="00B97E7B" w:rsidRPr="00F53E83" w:rsidRDefault="00B97E7B" w:rsidP="00222DBE">
      <w:pPr>
        <w:jc w:val="both"/>
        <w:rPr>
          <w:rFonts w:ascii="Arial" w:hAnsi="Arial" w:cs="Arial"/>
          <w:sz w:val="24"/>
          <w:szCs w:val="24"/>
        </w:rPr>
      </w:pPr>
      <w:r w:rsidRPr="00F53E83">
        <w:rPr>
          <w:rFonts w:ascii="Arial" w:hAnsi="Arial" w:cs="Arial"/>
          <w:sz w:val="24"/>
          <w:szCs w:val="24"/>
        </w:rPr>
        <w:t>The requirement for lawful basis comes from the need to comply with relevant sections of the</w:t>
      </w:r>
      <w:r w:rsidR="008A5443">
        <w:rPr>
          <w:rFonts w:ascii="Arial" w:hAnsi="Arial" w:cs="Arial"/>
          <w:sz w:val="24"/>
          <w:szCs w:val="24"/>
        </w:rPr>
        <w:t xml:space="preserve"> UK</w:t>
      </w:r>
      <w:r w:rsidRPr="00F53E83">
        <w:rPr>
          <w:rFonts w:ascii="Arial" w:hAnsi="Arial" w:cs="Arial"/>
          <w:sz w:val="24"/>
          <w:szCs w:val="24"/>
        </w:rPr>
        <w:t xml:space="preserve"> General Data Protection Regulation, the Data Protection Act </w:t>
      </w:r>
      <w:proofErr w:type="gramStart"/>
      <w:r w:rsidRPr="00F53E83">
        <w:rPr>
          <w:rFonts w:ascii="Arial" w:hAnsi="Arial" w:cs="Arial"/>
          <w:sz w:val="24"/>
          <w:szCs w:val="24"/>
        </w:rPr>
        <w:t>2018</w:t>
      </w:r>
      <w:proofErr w:type="gramEnd"/>
      <w:r w:rsidRPr="00F53E83">
        <w:rPr>
          <w:rFonts w:ascii="Arial" w:hAnsi="Arial" w:cs="Arial"/>
          <w:sz w:val="24"/>
          <w:szCs w:val="24"/>
        </w:rPr>
        <w:t xml:space="preserve"> and any other relevant l</w:t>
      </w:r>
      <w:r w:rsidR="008A5443">
        <w:rPr>
          <w:rFonts w:ascii="Arial" w:hAnsi="Arial" w:cs="Arial"/>
          <w:sz w:val="24"/>
          <w:szCs w:val="24"/>
        </w:rPr>
        <w:t>aw, including</w:t>
      </w:r>
      <w:r w:rsidRPr="00F53E83">
        <w:rPr>
          <w:rFonts w:ascii="Arial" w:hAnsi="Arial" w:cs="Arial"/>
          <w:sz w:val="24"/>
          <w:szCs w:val="24"/>
        </w:rPr>
        <w:t xml:space="preserve"> the common law of confidentiality.</w:t>
      </w:r>
    </w:p>
    <w:p w14:paraId="01DB694F" w14:textId="77777777" w:rsidR="00B97E7B" w:rsidRDefault="00B97E7B" w:rsidP="00222DBE">
      <w:pPr>
        <w:jc w:val="both"/>
        <w:rPr>
          <w:rFonts w:ascii="Arial" w:hAnsi="Arial" w:cs="Arial"/>
          <w:sz w:val="24"/>
          <w:szCs w:val="24"/>
        </w:rPr>
      </w:pPr>
      <w:r w:rsidRPr="00F53E83">
        <w:rPr>
          <w:rFonts w:ascii="Arial" w:hAnsi="Arial" w:cs="Arial"/>
          <w:sz w:val="24"/>
          <w:szCs w:val="24"/>
        </w:rPr>
        <w:t xml:space="preserve">The relevant lawful basis elements for each path are set out </w:t>
      </w:r>
      <w:r w:rsidR="002F5AEA" w:rsidRPr="00F53E83">
        <w:rPr>
          <w:rFonts w:ascii="Arial" w:hAnsi="Arial" w:cs="Arial"/>
          <w:sz w:val="24"/>
          <w:szCs w:val="24"/>
        </w:rPr>
        <w:t xml:space="preserve">in </w:t>
      </w:r>
      <w:r w:rsidRPr="00F53E83">
        <w:rPr>
          <w:rFonts w:ascii="Arial" w:hAnsi="Arial" w:cs="Arial"/>
          <w:sz w:val="24"/>
          <w:szCs w:val="24"/>
        </w:rPr>
        <w:t>sections</w:t>
      </w:r>
      <w:r w:rsidR="002F5AEA" w:rsidRPr="00F53E83">
        <w:rPr>
          <w:rFonts w:ascii="Arial" w:hAnsi="Arial" w:cs="Arial"/>
          <w:sz w:val="24"/>
          <w:szCs w:val="24"/>
        </w:rPr>
        <w:t xml:space="preserve"> 5 &amp;</w:t>
      </w:r>
      <w:r w:rsidRPr="00F53E83">
        <w:rPr>
          <w:rFonts w:ascii="Arial" w:hAnsi="Arial" w:cs="Arial"/>
          <w:sz w:val="24"/>
          <w:szCs w:val="24"/>
        </w:rPr>
        <w:t xml:space="preserve"> 6.  </w:t>
      </w:r>
    </w:p>
    <w:p w14:paraId="5963AA61" w14:textId="77777777" w:rsidR="00137AE0" w:rsidRPr="00F53E83" w:rsidRDefault="00137AE0" w:rsidP="00222DBE">
      <w:pPr>
        <w:jc w:val="both"/>
        <w:rPr>
          <w:rFonts w:ascii="Arial" w:hAnsi="Arial" w:cs="Arial"/>
          <w:sz w:val="24"/>
          <w:szCs w:val="24"/>
        </w:rPr>
      </w:pPr>
    </w:p>
    <w:p w14:paraId="5F8C2B4C" w14:textId="77777777" w:rsidR="00B97E7B" w:rsidRPr="00F34493" w:rsidRDefault="00B97E7B" w:rsidP="00F34493">
      <w:pPr>
        <w:pStyle w:val="NoSpacing"/>
        <w:rPr>
          <w:b/>
          <w:bCs/>
        </w:rPr>
      </w:pPr>
      <w:r w:rsidRPr="00F34493">
        <w:rPr>
          <w:rFonts w:ascii="Arial" w:hAnsi="Arial" w:cs="Arial"/>
          <w:b/>
          <w:bCs/>
          <w:sz w:val="24"/>
          <w:szCs w:val="24"/>
        </w:rPr>
        <w:t>Application of data protection principles to each ‘path’</w:t>
      </w:r>
    </w:p>
    <w:p w14:paraId="1F65EE35"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The following table sets out key requirements related to each ‘path’ that are the starting points for a sharing initiative to set out.  This is to support the DPIA that the initiative needs to conduct and promote a consistent baseline.</w:t>
      </w:r>
    </w:p>
    <w:tbl>
      <w:tblPr>
        <w:tblStyle w:val="TableGrid"/>
        <w:tblW w:w="0" w:type="auto"/>
        <w:tblLook w:val="04A0" w:firstRow="1" w:lastRow="0" w:firstColumn="1" w:lastColumn="0" w:noHBand="0" w:noVBand="1"/>
      </w:tblPr>
      <w:tblGrid>
        <w:gridCol w:w="2990"/>
        <w:gridCol w:w="3001"/>
        <w:gridCol w:w="3025"/>
      </w:tblGrid>
      <w:tr w:rsidR="00B97E7B" w:rsidRPr="00F53E83" w14:paraId="70F6F009" w14:textId="77777777" w:rsidTr="001A60C1">
        <w:tc>
          <w:tcPr>
            <w:tcW w:w="3080" w:type="dxa"/>
          </w:tcPr>
          <w:p w14:paraId="24703ACD" w14:textId="77777777" w:rsidR="00B97E7B" w:rsidRPr="00F53E83" w:rsidRDefault="00B97E7B" w:rsidP="00222DBE">
            <w:pPr>
              <w:jc w:val="both"/>
              <w:rPr>
                <w:rFonts w:ascii="Arial" w:hAnsi="Arial" w:cs="Arial"/>
                <w:b/>
                <w:sz w:val="24"/>
                <w:szCs w:val="24"/>
              </w:rPr>
            </w:pPr>
            <w:r w:rsidRPr="00F53E83">
              <w:rPr>
                <w:rFonts w:ascii="Arial" w:hAnsi="Arial" w:cs="Arial"/>
                <w:b/>
                <w:sz w:val="24"/>
                <w:szCs w:val="24"/>
              </w:rPr>
              <w:t>Principle</w:t>
            </w:r>
          </w:p>
        </w:tc>
        <w:tc>
          <w:tcPr>
            <w:tcW w:w="3081" w:type="dxa"/>
          </w:tcPr>
          <w:p w14:paraId="008C9242" w14:textId="77777777" w:rsidR="00B97E7B" w:rsidRPr="00F53E83" w:rsidRDefault="00B97E7B" w:rsidP="00222DBE">
            <w:pPr>
              <w:jc w:val="both"/>
              <w:rPr>
                <w:rFonts w:ascii="Arial" w:hAnsi="Arial" w:cs="Arial"/>
                <w:b/>
                <w:sz w:val="24"/>
                <w:szCs w:val="24"/>
              </w:rPr>
            </w:pPr>
            <w:r w:rsidRPr="00F53E83">
              <w:rPr>
                <w:rFonts w:ascii="Arial" w:hAnsi="Arial" w:cs="Arial"/>
                <w:b/>
                <w:sz w:val="24"/>
                <w:szCs w:val="24"/>
              </w:rPr>
              <w:t xml:space="preserve">Path 1 – </w:t>
            </w:r>
            <w:r w:rsidR="002E168D">
              <w:rPr>
                <w:rFonts w:ascii="Arial" w:hAnsi="Arial" w:cs="Arial"/>
                <w:b/>
                <w:sz w:val="24"/>
                <w:szCs w:val="24"/>
              </w:rPr>
              <w:t>Safeguarding</w:t>
            </w:r>
          </w:p>
        </w:tc>
        <w:tc>
          <w:tcPr>
            <w:tcW w:w="3081" w:type="dxa"/>
          </w:tcPr>
          <w:p w14:paraId="2BD3A1E7" w14:textId="77777777" w:rsidR="00B97E7B" w:rsidRPr="00F53E83" w:rsidRDefault="00B97E7B" w:rsidP="00222DBE">
            <w:pPr>
              <w:jc w:val="both"/>
              <w:rPr>
                <w:rFonts w:ascii="Arial" w:hAnsi="Arial" w:cs="Arial"/>
                <w:b/>
                <w:sz w:val="24"/>
                <w:szCs w:val="24"/>
              </w:rPr>
            </w:pPr>
            <w:r w:rsidRPr="00F53E83">
              <w:rPr>
                <w:rFonts w:ascii="Arial" w:hAnsi="Arial" w:cs="Arial"/>
                <w:b/>
                <w:sz w:val="24"/>
                <w:szCs w:val="24"/>
              </w:rPr>
              <w:t xml:space="preserve">Path 2 – Purposes other than </w:t>
            </w:r>
            <w:r w:rsidR="002E168D">
              <w:rPr>
                <w:rFonts w:ascii="Arial" w:hAnsi="Arial" w:cs="Arial"/>
                <w:b/>
                <w:sz w:val="24"/>
                <w:szCs w:val="24"/>
              </w:rPr>
              <w:t>safeguarding</w:t>
            </w:r>
          </w:p>
        </w:tc>
      </w:tr>
      <w:tr w:rsidR="00B97E7B" w:rsidRPr="00F53E83" w14:paraId="1DC2E4CC" w14:textId="77777777" w:rsidTr="001A60C1">
        <w:tc>
          <w:tcPr>
            <w:tcW w:w="3080" w:type="dxa"/>
          </w:tcPr>
          <w:p w14:paraId="4C637BCC"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Processed lawfully, fairly and in a transparent manner</w:t>
            </w:r>
          </w:p>
        </w:tc>
        <w:tc>
          <w:tcPr>
            <w:tcW w:w="3081" w:type="dxa"/>
          </w:tcPr>
          <w:p w14:paraId="1F912058"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See section</w:t>
            </w:r>
            <w:r w:rsidR="001A60C1" w:rsidRPr="00F53E83">
              <w:rPr>
                <w:rFonts w:ascii="Arial" w:hAnsi="Arial" w:cs="Arial"/>
                <w:sz w:val="24"/>
                <w:szCs w:val="24"/>
              </w:rPr>
              <w:t xml:space="preserve"> 5</w:t>
            </w:r>
          </w:p>
        </w:tc>
        <w:tc>
          <w:tcPr>
            <w:tcW w:w="3081" w:type="dxa"/>
          </w:tcPr>
          <w:p w14:paraId="1D92A4A4"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See section </w:t>
            </w:r>
            <w:r w:rsidR="001A60C1" w:rsidRPr="00F53E83">
              <w:rPr>
                <w:rFonts w:ascii="Arial" w:hAnsi="Arial" w:cs="Arial"/>
                <w:sz w:val="24"/>
                <w:szCs w:val="24"/>
              </w:rPr>
              <w:t>6</w:t>
            </w:r>
          </w:p>
        </w:tc>
      </w:tr>
      <w:tr w:rsidR="00B97E7B" w:rsidRPr="00F53E83" w14:paraId="68F92518" w14:textId="77777777" w:rsidTr="001A60C1">
        <w:tc>
          <w:tcPr>
            <w:tcW w:w="3080" w:type="dxa"/>
          </w:tcPr>
          <w:p w14:paraId="58D028F2"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Processed for specific purposes and not further processed in a manner that is incompatible</w:t>
            </w:r>
          </w:p>
        </w:tc>
        <w:tc>
          <w:tcPr>
            <w:tcW w:w="3081" w:type="dxa"/>
          </w:tcPr>
          <w:p w14:paraId="44BFA6A7"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Satisfied if purpose </w:t>
            </w:r>
            <w:r w:rsidR="002E168D">
              <w:rPr>
                <w:rFonts w:ascii="Arial" w:hAnsi="Arial" w:cs="Arial"/>
                <w:sz w:val="24"/>
                <w:szCs w:val="24"/>
              </w:rPr>
              <w:t>is to safeguard an individual</w:t>
            </w:r>
          </w:p>
        </w:tc>
        <w:tc>
          <w:tcPr>
            <w:tcW w:w="3081" w:type="dxa"/>
          </w:tcPr>
          <w:p w14:paraId="07692D3D"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Partners should specify that data is used for these purposes in their ‘fair processing’ notices.  GDPR </w:t>
            </w:r>
            <w:r w:rsidR="000E7F83" w:rsidRPr="00F53E83">
              <w:rPr>
                <w:rFonts w:ascii="Arial" w:hAnsi="Arial" w:cs="Arial"/>
                <w:sz w:val="24"/>
                <w:szCs w:val="24"/>
              </w:rPr>
              <w:t>A</w:t>
            </w:r>
            <w:r w:rsidRPr="00F53E83">
              <w:rPr>
                <w:rFonts w:ascii="Arial" w:hAnsi="Arial" w:cs="Arial"/>
                <w:sz w:val="24"/>
                <w:szCs w:val="24"/>
              </w:rPr>
              <w:t xml:space="preserve">rticle 5(1)b also highlights that research and statistical purposes compliant with </w:t>
            </w:r>
            <w:r w:rsidR="000E7F83" w:rsidRPr="00F53E83">
              <w:rPr>
                <w:rFonts w:ascii="Arial" w:hAnsi="Arial" w:cs="Arial"/>
                <w:sz w:val="24"/>
                <w:szCs w:val="24"/>
              </w:rPr>
              <w:t>A</w:t>
            </w:r>
            <w:r w:rsidRPr="00F53E83">
              <w:rPr>
                <w:rFonts w:ascii="Arial" w:hAnsi="Arial" w:cs="Arial"/>
                <w:sz w:val="24"/>
                <w:szCs w:val="24"/>
              </w:rPr>
              <w:t xml:space="preserve">rticle 89 are not incompatible. This will be assessed by relevant DPIA(s). </w:t>
            </w:r>
          </w:p>
        </w:tc>
      </w:tr>
      <w:tr w:rsidR="00B97E7B" w:rsidRPr="00F53E83" w14:paraId="477509F2" w14:textId="77777777" w:rsidTr="001A60C1">
        <w:tc>
          <w:tcPr>
            <w:tcW w:w="3080" w:type="dxa"/>
          </w:tcPr>
          <w:p w14:paraId="391102CE"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Adequate, </w:t>
            </w:r>
            <w:proofErr w:type="gramStart"/>
            <w:r w:rsidRPr="00F53E83">
              <w:rPr>
                <w:rFonts w:ascii="Arial" w:hAnsi="Arial" w:cs="Arial"/>
                <w:sz w:val="24"/>
                <w:szCs w:val="24"/>
              </w:rPr>
              <w:t>relevant</w:t>
            </w:r>
            <w:proofErr w:type="gramEnd"/>
            <w:r w:rsidRPr="00F53E83">
              <w:rPr>
                <w:rFonts w:ascii="Arial" w:hAnsi="Arial" w:cs="Arial"/>
                <w:sz w:val="24"/>
                <w:szCs w:val="24"/>
              </w:rPr>
              <w:t xml:space="preserve"> and limited to what is necessary</w:t>
            </w:r>
          </w:p>
        </w:tc>
        <w:tc>
          <w:tcPr>
            <w:tcW w:w="3081" w:type="dxa"/>
          </w:tcPr>
          <w:p w14:paraId="5CA560B1"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Application of controls such as </w:t>
            </w:r>
            <w:proofErr w:type="gramStart"/>
            <w:r w:rsidRPr="00F53E83">
              <w:rPr>
                <w:rFonts w:ascii="Arial" w:hAnsi="Arial" w:cs="Arial"/>
                <w:sz w:val="24"/>
                <w:szCs w:val="24"/>
              </w:rPr>
              <w:t>role based</w:t>
            </w:r>
            <w:proofErr w:type="gramEnd"/>
            <w:r w:rsidRPr="00F53E83">
              <w:rPr>
                <w:rFonts w:ascii="Arial" w:hAnsi="Arial" w:cs="Arial"/>
                <w:sz w:val="24"/>
                <w:szCs w:val="24"/>
              </w:rPr>
              <w:t xml:space="preserve"> access, legitimate relationships (in shared systems) and justification for the inclusion of data items</w:t>
            </w:r>
          </w:p>
        </w:tc>
        <w:tc>
          <w:tcPr>
            <w:tcW w:w="3081" w:type="dxa"/>
          </w:tcPr>
          <w:p w14:paraId="4F7B478F"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Application of controls such as </w:t>
            </w:r>
            <w:proofErr w:type="gramStart"/>
            <w:r w:rsidRPr="00F53E83">
              <w:rPr>
                <w:rFonts w:ascii="Arial" w:hAnsi="Arial" w:cs="Arial"/>
                <w:sz w:val="24"/>
                <w:szCs w:val="24"/>
              </w:rPr>
              <w:t>role based</w:t>
            </w:r>
            <w:proofErr w:type="gramEnd"/>
            <w:r w:rsidRPr="00F53E83">
              <w:rPr>
                <w:rFonts w:ascii="Arial" w:hAnsi="Arial" w:cs="Arial"/>
                <w:sz w:val="24"/>
                <w:szCs w:val="24"/>
              </w:rPr>
              <w:t xml:space="preserve"> access, legitimate relationships (in shared systems) and justification for the inclusion of data items.  Specific consideration of items related to the identity.  Anonymisation or pseudonymisation being applied as early as possible</w:t>
            </w:r>
          </w:p>
        </w:tc>
      </w:tr>
      <w:tr w:rsidR="00B97E7B" w:rsidRPr="00F53E83" w14:paraId="319785F2" w14:textId="77777777" w:rsidTr="001A60C1">
        <w:tc>
          <w:tcPr>
            <w:tcW w:w="3080" w:type="dxa"/>
          </w:tcPr>
          <w:p w14:paraId="700B7050"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Accurate and where necessary kept up to date</w:t>
            </w:r>
          </w:p>
        </w:tc>
        <w:tc>
          <w:tcPr>
            <w:tcW w:w="3081" w:type="dxa"/>
          </w:tcPr>
          <w:p w14:paraId="01E0A062"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Individual controller responsibility leading to potential joint </w:t>
            </w:r>
            <w:r w:rsidRPr="00F53E83">
              <w:rPr>
                <w:rFonts w:ascii="Arial" w:hAnsi="Arial" w:cs="Arial"/>
                <w:sz w:val="24"/>
                <w:szCs w:val="24"/>
              </w:rPr>
              <w:lastRenderedPageBreak/>
              <w:t xml:space="preserve">responsibility in shared record systems and processes supporting </w:t>
            </w:r>
            <w:r w:rsidR="006F2413">
              <w:rPr>
                <w:rFonts w:ascii="Arial" w:hAnsi="Arial" w:cs="Arial"/>
                <w:sz w:val="24"/>
                <w:szCs w:val="24"/>
              </w:rPr>
              <w:t>safeguarding</w:t>
            </w:r>
          </w:p>
        </w:tc>
        <w:tc>
          <w:tcPr>
            <w:tcW w:w="3081" w:type="dxa"/>
          </w:tcPr>
          <w:p w14:paraId="217571B2"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lastRenderedPageBreak/>
              <w:t xml:space="preserve">Dependent on application of the principle to data sources used for </w:t>
            </w:r>
            <w:r w:rsidR="006F2413">
              <w:rPr>
                <w:rFonts w:ascii="Arial" w:hAnsi="Arial" w:cs="Arial"/>
                <w:sz w:val="24"/>
                <w:szCs w:val="24"/>
              </w:rPr>
              <w:lastRenderedPageBreak/>
              <w:t>safeguarding</w:t>
            </w:r>
            <w:r w:rsidRPr="00F53E83">
              <w:rPr>
                <w:rFonts w:ascii="Arial" w:hAnsi="Arial" w:cs="Arial"/>
                <w:sz w:val="24"/>
                <w:szCs w:val="24"/>
              </w:rPr>
              <w:t>.  Processes to extract and combine data need to consider checks to ensure processing does not compromise quality</w:t>
            </w:r>
          </w:p>
        </w:tc>
      </w:tr>
      <w:tr w:rsidR="00B97E7B" w:rsidRPr="00F53E83" w14:paraId="26D88A7A" w14:textId="77777777" w:rsidTr="001A60C1">
        <w:tc>
          <w:tcPr>
            <w:tcW w:w="3080" w:type="dxa"/>
          </w:tcPr>
          <w:p w14:paraId="1CFA5BF3"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lastRenderedPageBreak/>
              <w:t>Kept in a form that permits identification for no longer than is necessary</w:t>
            </w:r>
          </w:p>
        </w:tc>
        <w:tc>
          <w:tcPr>
            <w:tcW w:w="3081" w:type="dxa"/>
          </w:tcPr>
          <w:p w14:paraId="4BA6343F"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Application of retention periods already defined in contributing sectors.  May need specific consideration of variation between sectors in combined shared records</w:t>
            </w:r>
          </w:p>
        </w:tc>
        <w:tc>
          <w:tcPr>
            <w:tcW w:w="3081" w:type="dxa"/>
          </w:tcPr>
          <w:p w14:paraId="422F2CDA"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 xml:space="preserve">Application of already defined retention periods.  In </w:t>
            </w:r>
            <w:proofErr w:type="gramStart"/>
            <w:r w:rsidRPr="00F53E83">
              <w:rPr>
                <w:rFonts w:ascii="Arial" w:hAnsi="Arial" w:cs="Arial"/>
                <w:sz w:val="24"/>
                <w:szCs w:val="24"/>
              </w:rPr>
              <w:t>addition</w:t>
            </w:r>
            <w:proofErr w:type="gramEnd"/>
            <w:r w:rsidRPr="00F53E83">
              <w:rPr>
                <w:rFonts w:ascii="Arial" w:hAnsi="Arial" w:cs="Arial"/>
                <w:sz w:val="24"/>
                <w:szCs w:val="24"/>
              </w:rPr>
              <w:t xml:space="preserve"> data that has been pseudonymised may be retained for longer (where assessed as compliant with </w:t>
            </w:r>
            <w:r w:rsidR="000E7F83" w:rsidRPr="00F53E83">
              <w:rPr>
                <w:rFonts w:ascii="Arial" w:hAnsi="Arial" w:cs="Arial"/>
                <w:sz w:val="24"/>
                <w:szCs w:val="24"/>
              </w:rPr>
              <w:t>A</w:t>
            </w:r>
            <w:r w:rsidRPr="00F53E83">
              <w:rPr>
                <w:rFonts w:ascii="Arial" w:hAnsi="Arial" w:cs="Arial"/>
                <w:sz w:val="24"/>
                <w:szCs w:val="24"/>
              </w:rPr>
              <w:t>rticle 89 of GDPR).</w:t>
            </w:r>
          </w:p>
        </w:tc>
      </w:tr>
      <w:tr w:rsidR="00B97E7B" w:rsidRPr="00F53E83" w14:paraId="33CA468A" w14:textId="77777777" w:rsidTr="001A60C1">
        <w:tc>
          <w:tcPr>
            <w:tcW w:w="3080" w:type="dxa"/>
          </w:tcPr>
          <w:p w14:paraId="5C4537A5"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Processed in a manner that ensures appropriate security</w:t>
            </w:r>
          </w:p>
        </w:tc>
        <w:tc>
          <w:tcPr>
            <w:tcW w:w="3081" w:type="dxa"/>
          </w:tcPr>
          <w:p w14:paraId="6674A029"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Assessed via DPIA for programme and identification of appropriate controls</w:t>
            </w:r>
          </w:p>
        </w:tc>
        <w:tc>
          <w:tcPr>
            <w:tcW w:w="3081" w:type="dxa"/>
          </w:tcPr>
          <w:p w14:paraId="23314254" w14:textId="77777777" w:rsidR="00B97E7B" w:rsidRPr="00F53E83" w:rsidRDefault="00B97E7B" w:rsidP="00222DBE">
            <w:pPr>
              <w:jc w:val="both"/>
              <w:rPr>
                <w:rFonts w:ascii="Arial" w:hAnsi="Arial" w:cs="Arial"/>
                <w:sz w:val="24"/>
                <w:szCs w:val="24"/>
              </w:rPr>
            </w:pPr>
            <w:r w:rsidRPr="00F53E83">
              <w:rPr>
                <w:rFonts w:ascii="Arial" w:hAnsi="Arial" w:cs="Arial"/>
                <w:sz w:val="24"/>
                <w:szCs w:val="24"/>
              </w:rPr>
              <w:t>Assessed via DPIA for programme and identification of appropriate controls</w:t>
            </w:r>
          </w:p>
        </w:tc>
      </w:tr>
    </w:tbl>
    <w:p w14:paraId="7200F48C" w14:textId="77777777" w:rsidR="00B97E7B" w:rsidRPr="00F53E83" w:rsidRDefault="00B97E7B" w:rsidP="00222DBE">
      <w:pPr>
        <w:jc w:val="both"/>
        <w:rPr>
          <w:rFonts w:ascii="Arial" w:hAnsi="Arial" w:cs="Arial"/>
          <w:b/>
          <w:sz w:val="24"/>
          <w:szCs w:val="24"/>
        </w:rPr>
      </w:pPr>
    </w:p>
    <w:p w14:paraId="29B28596" w14:textId="77777777" w:rsidR="00B97E7B" w:rsidRPr="00F53E83" w:rsidRDefault="00B97E7B" w:rsidP="00222DBE">
      <w:pPr>
        <w:jc w:val="both"/>
        <w:rPr>
          <w:rFonts w:ascii="Arial" w:hAnsi="Arial" w:cs="Arial"/>
          <w:b/>
          <w:sz w:val="24"/>
          <w:szCs w:val="24"/>
        </w:rPr>
      </w:pPr>
      <w:r w:rsidRPr="00F53E83">
        <w:rPr>
          <w:rFonts w:ascii="Arial" w:hAnsi="Arial" w:cs="Arial"/>
          <w:b/>
          <w:sz w:val="24"/>
          <w:szCs w:val="24"/>
        </w:rPr>
        <w:br w:type="page"/>
      </w:r>
    </w:p>
    <w:p w14:paraId="40BBA688" w14:textId="77777777" w:rsidR="001A60C1" w:rsidRDefault="001A60C1" w:rsidP="00222DBE">
      <w:pPr>
        <w:pStyle w:val="Heading1"/>
        <w:jc w:val="both"/>
        <w:rPr>
          <w:rFonts w:ascii="Arial" w:hAnsi="Arial" w:cs="Arial"/>
          <w:sz w:val="28"/>
          <w:szCs w:val="28"/>
        </w:rPr>
      </w:pPr>
      <w:bookmarkStart w:id="15" w:name="_Toc78401640"/>
      <w:r w:rsidRPr="00137AE0">
        <w:rPr>
          <w:rFonts w:ascii="Arial" w:hAnsi="Arial" w:cs="Arial"/>
          <w:sz w:val="28"/>
          <w:szCs w:val="28"/>
        </w:rPr>
        <w:lastRenderedPageBreak/>
        <w:t xml:space="preserve">Appendix </w:t>
      </w:r>
      <w:r w:rsidR="00170AE2" w:rsidRPr="00137AE0">
        <w:rPr>
          <w:rFonts w:ascii="Arial" w:hAnsi="Arial" w:cs="Arial"/>
          <w:sz w:val="28"/>
          <w:szCs w:val="28"/>
        </w:rPr>
        <w:t>3</w:t>
      </w:r>
      <w:r w:rsidRPr="00137AE0">
        <w:rPr>
          <w:rFonts w:ascii="Arial" w:hAnsi="Arial" w:cs="Arial"/>
          <w:sz w:val="28"/>
          <w:szCs w:val="28"/>
        </w:rPr>
        <w:t>.  Reference materials: Legal gateways supporting data sharing</w:t>
      </w:r>
      <w:bookmarkEnd w:id="15"/>
    </w:p>
    <w:p w14:paraId="79F07D7A" w14:textId="77777777" w:rsidR="00137AE0" w:rsidRPr="00137AE0" w:rsidRDefault="00137AE0" w:rsidP="00222DBE">
      <w:pPr>
        <w:jc w:val="both"/>
      </w:pPr>
    </w:p>
    <w:p w14:paraId="1A0ABBDE" w14:textId="77777777" w:rsidR="00041889" w:rsidRPr="00F34493" w:rsidRDefault="00041889" w:rsidP="00F34493">
      <w:pPr>
        <w:pStyle w:val="NoSpacing"/>
        <w:rPr>
          <w:rFonts w:ascii="Arial" w:hAnsi="Arial" w:cs="Arial"/>
          <w:b/>
          <w:bCs/>
          <w:sz w:val="24"/>
          <w:szCs w:val="24"/>
        </w:rPr>
      </w:pPr>
      <w:r w:rsidRPr="00F34493">
        <w:rPr>
          <w:rFonts w:ascii="Arial" w:hAnsi="Arial" w:cs="Arial"/>
          <w:b/>
          <w:bCs/>
          <w:sz w:val="24"/>
          <w:szCs w:val="24"/>
        </w:rPr>
        <w:t xml:space="preserve">Legal gateways supporting purposes other than </w:t>
      </w:r>
      <w:r w:rsidR="006F2413" w:rsidRPr="00F34493">
        <w:rPr>
          <w:rFonts w:ascii="Arial" w:hAnsi="Arial" w:cs="Arial"/>
          <w:b/>
          <w:bCs/>
          <w:sz w:val="24"/>
          <w:szCs w:val="24"/>
        </w:rPr>
        <w:t>the safeguarding of an individual.</w:t>
      </w:r>
      <w:r w:rsidRPr="00F34493">
        <w:rPr>
          <w:rFonts w:ascii="Arial" w:hAnsi="Arial" w:cs="Arial"/>
          <w:b/>
          <w:bCs/>
          <w:sz w:val="24"/>
          <w:szCs w:val="24"/>
        </w:rPr>
        <w:t xml:space="preserve"> </w:t>
      </w:r>
    </w:p>
    <w:p w14:paraId="28D5E195" w14:textId="77777777" w:rsidR="00041889" w:rsidRPr="00137AE0" w:rsidRDefault="00041889" w:rsidP="00222DBE">
      <w:pPr>
        <w:jc w:val="both"/>
        <w:rPr>
          <w:rFonts w:ascii="Arial" w:hAnsi="Arial" w:cs="Arial"/>
          <w:sz w:val="24"/>
          <w:szCs w:val="24"/>
        </w:rPr>
      </w:pPr>
      <w:r w:rsidRPr="00F53E83">
        <w:rPr>
          <w:rFonts w:ascii="Arial" w:hAnsi="Arial" w:cs="Arial"/>
          <w:sz w:val="24"/>
          <w:szCs w:val="24"/>
        </w:rPr>
        <w:t>These can be accessed via the NHS England Secondary Use Data Governance Tool (</w:t>
      </w:r>
      <w:hyperlink r:id="rId19" w:history="1">
        <w:r w:rsidRPr="00F53E83">
          <w:rPr>
            <w:rStyle w:val="Hyperlink"/>
            <w:rFonts w:ascii="Arial" w:hAnsi="Arial" w:cs="Arial"/>
            <w:sz w:val="24"/>
            <w:szCs w:val="24"/>
          </w:rPr>
          <w:t>https://data.england.nhs.uk/sudgt/</w:t>
        </w:r>
      </w:hyperlink>
      <w:r w:rsidRPr="00F53E83">
        <w:rPr>
          <w:rFonts w:ascii="Arial" w:hAnsi="Arial" w:cs="Arial"/>
          <w:sz w:val="24"/>
          <w:szCs w:val="24"/>
        </w:rPr>
        <w:t>).  A list of purposes</w:t>
      </w:r>
      <w:r w:rsidR="006F2413">
        <w:rPr>
          <w:rFonts w:ascii="Arial" w:hAnsi="Arial" w:cs="Arial"/>
          <w:sz w:val="24"/>
          <w:szCs w:val="24"/>
        </w:rPr>
        <w:t xml:space="preserve"> other than safeguarding</w:t>
      </w:r>
      <w:r w:rsidRPr="00F53E83">
        <w:rPr>
          <w:rFonts w:ascii="Arial" w:hAnsi="Arial" w:cs="Arial"/>
          <w:sz w:val="24"/>
          <w:szCs w:val="24"/>
        </w:rPr>
        <w:t xml:space="preserve"> is available at: </w:t>
      </w:r>
      <w:hyperlink r:id="rId20" w:history="1">
        <w:r w:rsidRPr="00F53E83">
          <w:rPr>
            <w:rStyle w:val="Hyperlink"/>
            <w:rFonts w:ascii="Arial" w:hAnsi="Arial" w:cs="Arial"/>
            <w:sz w:val="24"/>
            <w:szCs w:val="24"/>
          </w:rPr>
          <w:t>https://data.england.nhs.uk/sudgt/activities</w:t>
        </w:r>
      </w:hyperlink>
      <w:r w:rsidRPr="00F53E83">
        <w:rPr>
          <w:rFonts w:ascii="Arial" w:hAnsi="Arial" w:cs="Arial"/>
          <w:sz w:val="24"/>
          <w:szCs w:val="24"/>
        </w:rPr>
        <w:t xml:space="preserve"> and by clicking through each purpose the detail of the legal gateways and the organisations they are applicable to can be accessed.</w:t>
      </w:r>
    </w:p>
    <w:p w14:paraId="303BD1DE" w14:textId="77777777" w:rsidR="00041889" w:rsidRPr="00F34493" w:rsidRDefault="00041889" w:rsidP="00222DBE">
      <w:pPr>
        <w:jc w:val="both"/>
        <w:rPr>
          <w:rFonts w:ascii="Arial" w:hAnsi="Arial" w:cs="Arial"/>
          <w:b/>
          <w:bCs/>
          <w:sz w:val="24"/>
          <w:szCs w:val="24"/>
        </w:rPr>
      </w:pPr>
      <w:r w:rsidRPr="00F34493">
        <w:rPr>
          <w:rFonts w:ascii="Arial" w:hAnsi="Arial" w:cs="Arial"/>
          <w:b/>
          <w:bCs/>
          <w:sz w:val="24"/>
          <w:szCs w:val="24"/>
        </w:rPr>
        <w:t xml:space="preserve">Legal gateways supporting </w:t>
      </w:r>
      <w:r w:rsidR="002D2E79" w:rsidRPr="00F34493">
        <w:rPr>
          <w:rFonts w:ascii="Arial" w:hAnsi="Arial" w:cs="Arial"/>
          <w:b/>
          <w:bCs/>
          <w:sz w:val="24"/>
          <w:szCs w:val="24"/>
        </w:rPr>
        <w:t>the safeguarding of an individual</w:t>
      </w:r>
      <w:r w:rsidRPr="00F34493">
        <w:rPr>
          <w:rFonts w:ascii="Arial" w:hAnsi="Arial" w:cs="Arial"/>
          <w:b/>
          <w:bCs/>
          <w:sz w:val="24"/>
          <w:szCs w:val="24"/>
        </w:rPr>
        <w:t xml:space="preserve"> (not an exhaustive list)</w:t>
      </w:r>
    </w:p>
    <w:tbl>
      <w:tblPr>
        <w:tblStyle w:val="TableGrid"/>
        <w:tblW w:w="0" w:type="auto"/>
        <w:tblLook w:val="04A0" w:firstRow="1" w:lastRow="0" w:firstColumn="1" w:lastColumn="0" w:noHBand="0" w:noVBand="1"/>
      </w:tblPr>
      <w:tblGrid>
        <w:gridCol w:w="1828"/>
        <w:gridCol w:w="5319"/>
        <w:gridCol w:w="1869"/>
      </w:tblGrid>
      <w:tr w:rsidR="001A60C1" w:rsidRPr="00F53E83" w14:paraId="0B4F2D8F" w14:textId="77777777" w:rsidTr="00041889">
        <w:trPr>
          <w:tblHeader/>
        </w:trPr>
        <w:tc>
          <w:tcPr>
            <w:tcW w:w="1860" w:type="dxa"/>
          </w:tcPr>
          <w:p w14:paraId="01EF0918" w14:textId="77777777" w:rsidR="001A60C1" w:rsidRPr="00F53E83" w:rsidRDefault="001A60C1" w:rsidP="00222DBE">
            <w:pPr>
              <w:jc w:val="both"/>
              <w:rPr>
                <w:rFonts w:ascii="Arial" w:hAnsi="Arial" w:cs="Arial"/>
                <w:b/>
                <w:sz w:val="24"/>
                <w:szCs w:val="24"/>
              </w:rPr>
            </w:pPr>
            <w:r w:rsidRPr="00F53E83">
              <w:rPr>
                <w:rFonts w:ascii="Arial" w:hAnsi="Arial" w:cs="Arial"/>
                <w:b/>
                <w:sz w:val="24"/>
                <w:szCs w:val="24"/>
              </w:rPr>
              <w:t>Legislation</w:t>
            </w:r>
          </w:p>
        </w:tc>
        <w:tc>
          <w:tcPr>
            <w:tcW w:w="5507" w:type="dxa"/>
          </w:tcPr>
          <w:p w14:paraId="4A3C9038" w14:textId="77777777" w:rsidR="001A60C1" w:rsidRPr="00F53E83" w:rsidRDefault="001A60C1" w:rsidP="00222DBE">
            <w:pPr>
              <w:jc w:val="both"/>
              <w:rPr>
                <w:rFonts w:ascii="Arial" w:hAnsi="Arial" w:cs="Arial"/>
                <w:b/>
                <w:sz w:val="24"/>
                <w:szCs w:val="24"/>
              </w:rPr>
            </w:pPr>
            <w:r w:rsidRPr="00F53E83">
              <w:rPr>
                <w:rFonts w:ascii="Arial" w:hAnsi="Arial" w:cs="Arial"/>
                <w:b/>
                <w:sz w:val="24"/>
                <w:szCs w:val="24"/>
              </w:rPr>
              <w:t>Legal gateway</w:t>
            </w:r>
          </w:p>
        </w:tc>
        <w:tc>
          <w:tcPr>
            <w:tcW w:w="1875" w:type="dxa"/>
          </w:tcPr>
          <w:p w14:paraId="10759E86" w14:textId="77777777" w:rsidR="001A60C1" w:rsidRPr="00F53E83" w:rsidRDefault="001A60C1" w:rsidP="00222DBE">
            <w:pPr>
              <w:jc w:val="both"/>
              <w:rPr>
                <w:rFonts w:ascii="Arial" w:hAnsi="Arial" w:cs="Arial"/>
                <w:b/>
                <w:sz w:val="24"/>
                <w:szCs w:val="24"/>
              </w:rPr>
            </w:pPr>
            <w:r w:rsidRPr="00F53E83">
              <w:rPr>
                <w:rFonts w:ascii="Arial" w:hAnsi="Arial" w:cs="Arial"/>
                <w:b/>
                <w:sz w:val="24"/>
                <w:szCs w:val="24"/>
              </w:rPr>
              <w:t>Organisation</w:t>
            </w:r>
          </w:p>
        </w:tc>
      </w:tr>
      <w:tr w:rsidR="001A60C1" w:rsidRPr="00F53E83" w14:paraId="641D0EDF" w14:textId="77777777" w:rsidTr="00041889">
        <w:tc>
          <w:tcPr>
            <w:tcW w:w="1860" w:type="dxa"/>
          </w:tcPr>
          <w:p w14:paraId="7793873C"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Health and Social Care (Quality &amp; Safety) Act 2015</w:t>
            </w:r>
          </w:p>
          <w:p w14:paraId="71B80327" w14:textId="77777777" w:rsidR="001A60C1" w:rsidRPr="00F53E83" w:rsidRDefault="001A60C1" w:rsidP="00222DBE">
            <w:pPr>
              <w:jc w:val="both"/>
              <w:rPr>
                <w:rFonts w:ascii="Arial" w:hAnsi="Arial" w:cs="Arial"/>
                <w:sz w:val="24"/>
                <w:szCs w:val="24"/>
              </w:rPr>
            </w:pPr>
          </w:p>
        </w:tc>
        <w:tc>
          <w:tcPr>
            <w:tcW w:w="5507" w:type="dxa"/>
          </w:tcPr>
          <w:p w14:paraId="3B5DE0D6"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Section 3 (1</w:t>
            </w:r>
            <w:proofErr w:type="gramStart"/>
            <w:r w:rsidRPr="00F53E83">
              <w:rPr>
                <w:rFonts w:ascii="Arial" w:hAnsi="Arial" w:cs="Arial"/>
                <w:sz w:val="24"/>
                <w:szCs w:val="24"/>
              </w:rPr>
              <w:t>),(</w:t>
            </w:r>
            <w:proofErr w:type="gramEnd"/>
            <w:r w:rsidRPr="00F53E83">
              <w:rPr>
                <w:rFonts w:ascii="Arial" w:hAnsi="Arial" w:cs="Arial"/>
                <w:sz w:val="24"/>
                <w:szCs w:val="24"/>
              </w:rPr>
              <w:t>2)(a)(b):</w:t>
            </w:r>
          </w:p>
          <w:p w14:paraId="1B873A5A" w14:textId="77777777" w:rsidR="001A60C1" w:rsidRPr="00F53E83" w:rsidRDefault="001A60C1" w:rsidP="00222DBE">
            <w:pPr>
              <w:pStyle w:val="ListParagraph"/>
              <w:numPr>
                <w:ilvl w:val="0"/>
                <w:numId w:val="28"/>
              </w:numPr>
              <w:jc w:val="both"/>
              <w:rPr>
                <w:rFonts w:ascii="Arial" w:hAnsi="Arial" w:cs="Arial"/>
                <w:sz w:val="24"/>
                <w:szCs w:val="24"/>
              </w:rPr>
            </w:pPr>
            <w:r w:rsidRPr="00F53E83">
              <w:rPr>
                <w:rFonts w:ascii="Arial" w:hAnsi="Arial" w:cs="Arial"/>
                <w:sz w:val="24"/>
                <w:szCs w:val="24"/>
              </w:rPr>
              <w:t>This section applies in relation to information about an individual that is held by a relevant health or adult social care commissioner or provider (“the relevant person”).</w:t>
            </w:r>
          </w:p>
          <w:p w14:paraId="2DD6428C" w14:textId="77777777" w:rsidR="001A60C1" w:rsidRPr="00F53E83" w:rsidRDefault="001A60C1" w:rsidP="00222DBE">
            <w:pPr>
              <w:pStyle w:val="ListParagraph"/>
              <w:numPr>
                <w:ilvl w:val="0"/>
                <w:numId w:val="28"/>
              </w:numPr>
              <w:jc w:val="both"/>
              <w:rPr>
                <w:rFonts w:ascii="Arial" w:hAnsi="Arial" w:cs="Arial"/>
                <w:sz w:val="24"/>
                <w:szCs w:val="24"/>
              </w:rPr>
            </w:pPr>
            <w:r w:rsidRPr="00F53E83">
              <w:rPr>
                <w:rFonts w:ascii="Arial" w:hAnsi="Arial" w:cs="Arial"/>
                <w:sz w:val="24"/>
                <w:szCs w:val="24"/>
              </w:rPr>
              <w:t>The relevant person must ensure that the information is disclosed to (a)persons working for the relevant person, and (b)any other relevant health or adult social care commissioner or provider with whom the relevant person communicates about the individual.</w:t>
            </w:r>
          </w:p>
        </w:tc>
        <w:tc>
          <w:tcPr>
            <w:tcW w:w="1875" w:type="dxa"/>
          </w:tcPr>
          <w:p w14:paraId="0FC3C30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All commissioners and providers of health and care services to Adults.</w:t>
            </w:r>
          </w:p>
        </w:tc>
      </w:tr>
      <w:tr w:rsidR="001A60C1" w:rsidRPr="00F53E83" w14:paraId="543D8FA1" w14:textId="77777777" w:rsidTr="00041889">
        <w:tc>
          <w:tcPr>
            <w:tcW w:w="1860" w:type="dxa"/>
          </w:tcPr>
          <w:p w14:paraId="49D07779"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Health &amp; Social Care Act 2012</w:t>
            </w:r>
          </w:p>
        </w:tc>
        <w:tc>
          <w:tcPr>
            <w:tcW w:w="5507" w:type="dxa"/>
          </w:tcPr>
          <w:p w14:paraId="5D843D77"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Section 195:</w:t>
            </w:r>
          </w:p>
          <w:p w14:paraId="3536D646"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(contains guidance about) specific duties of co-operation, including creating a</w:t>
            </w:r>
            <w:r w:rsidRPr="00F53E83">
              <w:rPr>
                <w:rFonts w:ascii="Arial" w:hAnsi="Arial" w:cs="Arial"/>
                <w:sz w:val="24"/>
                <w:szCs w:val="24"/>
                <w:lang w:val="en"/>
              </w:rPr>
              <w:t xml:space="preserve"> Health and Wellbeing Board, which must, for the purpose of advancing the health and wellbeing of the people in its area, encourage persons who arrange for the provision of any health or social care services in that area to work in an integrated manner.</w:t>
            </w:r>
          </w:p>
        </w:tc>
        <w:tc>
          <w:tcPr>
            <w:tcW w:w="1875" w:type="dxa"/>
          </w:tcPr>
          <w:p w14:paraId="13C6FF51"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All commissioners and providers of health and care services.</w:t>
            </w:r>
          </w:p>
        </w:tc>
      </w:tr>
      <w:tr w:rsidR="001A60C1" w:rsidRPr="00F53E83" w14:paraId="08AEA457" w14:textId="77777777" w:rsidTr="00041889">
        <w:tc>
          <w:tcPr>
            <w:tcW w:w="1860" w:type="dxa"/>
          </w:tcPr>
          <w:p w14:paraId="58BBFF16"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Care Act 2014</w:t>
            </w:r>
          </w:p>
        </w:tc>
        <w:tc>
          <w:tcPr>
            <w:tcW w:w="5507" w:type="dxa"/>
          </w:tcPr>
          <w:p w14:paraId="3F35C28A"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Section 1:</w:t>
            </w:r>
          </w:p>
          <w:p w14:paraId="0C74EFEB"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The general duty of a local authority, in exercising a function under this Part in the case of an individual, is to promote that individual’s well-being.</w:t>
            </w:r>
          </w:p>
          <w:p w14:paraId="7D24BE4B"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Well-being in this Part includes:</w:t>
            </w:r>
          </w:p>
          <w:p w14:paraId="05A53EBB"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(b) physical and mental health and emotional </w:t>
            </w:r>
            <w:proofErr w:type="gramStart"/>
            <w:r w:rsidRPr="00F53E83">
              <w:rPr>
                <w:rFonts w:ascii="Arial" w:hAnsi="Arial" w:cs="Arial"/>
                <w:sz w:val="24"/>
                <w:szCs w:val="24"/>
                <w:lang w:eastAsia="ja-JP"/>
              </w:rPr>
              <w:t>well-being;</w:t>
            </w:r>
            <w:proofErr w:type="gramEnd"/>
          </w:p>
          <w:p w14:paraId="2F644C99" w14:textId="77777777" w:rsidR="001A60C1" w:rsidRPr="00F53E83" w:rsidRDefault="001A60C1" w:rsidP="00222DBE">
            <w:pPr>
              <w:tabs>
                <w:tab w:val="center" w:pos="4348"/>
              </w:tabs>
              <w:ind w:left="1440"/>
              <w:jc w:val="both"/>
              <w:rPr>
                <w:rFonts w:ascii="Arial" w:hAnsi="Arial" w:cs="Arial"/>
                <w:sz w:val="24"/>
                <w:szCs w:val="24"/>
                <w:lang w:eastAsia="ja-JP"/>
              </w:rPr>
            </w:pPr>
            <w:r w:rsidRPr="00F53E83">
              <w:rPr>
                <w:rFonts w:ascii="Arial" w:hAnsi="Arial" w:cs="Arial"/>
                <w:sz w:val="24"/>
                <w:szCs w:val="24"/>
                <w:lang w:eastAsia="ja-JP"/>
              </w:rPr>
              <w:t xml:space="preserve">(c) protection from abuse and </w:t>
            </w:r>
            <w:proofErr w:type="gramStart"/>
            <w:r w:rsidRPr="00F53E83">
              <w:rPr>
                <w:rFonts w:ascii="Arial" w:hAnsi="Arial" w:cs="Arial"/>
                <w:sz w:val="24"/>
                <w:szCs w:val="24"/>
                <w:lang w:eastAsia="ja-JP"/>
              </w:rPr>
              <w:t>neglect;</w:t>
            </w:r>
            <w:proofErr w:type="gramEnd"/>
            <w:r w:rsidRPr="00F53E83">
              <w:rPr>
                <w:rFonts w:ascii="Arial" w:hAnsi="Arial" w:cs="Arial"/>
                <w:sz w:val="24"/>
                <w:szCs w:val="24"/>
                <w:lang w:eastAsia="ja-JP"/>
              </w:rPr>
              <w:tab/>
            </w:r>
          </w:p>
          <w:p w14:paraId="35DB5A0E"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lastRenderedPageBreak/>
              <w:t>(f) social and economic well-being;</w:t>
            </w:r>
          </w:p>
        </w:tc>
        <w:tc>
          <w:tcPr>
            <w:tcW w:w="1875" w:type="dxa"/>
          </w:tcPr>
          <w:p w14:paraId="3B1AA81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 xml:space="preserve">Local authorities as commissioners and providers of health and care services to adults, and those commissioned </w:t>
            </w:r>
            <w:r w:rsidRPr="00F53E83">
              <w:rPr>
                <w:rFonts w:ascii="Arial" w:hAnsi="Arial" w:cs="Arial"/>
                <w:sz w:val="24"/>
                <w:szCs w:val="24"/>
              </w:rPr>
              <w:lastRenderedPageBreak/>
              <w:t>to provide those services.</w:t>
            </w:r>
          </w:p>
        </w:tc>
      </w:tr>
      <w:tr w:rsidR="001A60C1" w:rsidRPr="00F53E83" w14:paraId="4B0C205E" w14:textId="77777777" w:rsidTr="00041889">
        <w:tc>
          <w:tcPr>
            <w:tcW w:w="1860" w:type="dxa"/>
          </w:tcPr>
          <w:p w14:paraId="2EE3635D"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Care Act 2014</w:t>
            </w:r>
          </w:p>
        </w:tc>
        <w:tc>
          <w:tcPr>
            <w:tcW w:w="5507" w:type="dxa"/>
          </w:tcPr>
          <w:p w14:paraId="6467C4B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Section 3:</w:t>
            </w:r>
          </w:p>
          <w:p w14:paraId="7BF3A4AE" w14:textId="77777777" w:rsidR="001A60C1" w:rsidRPr="00F53E83" w:rsidRDefault="001A60C1" w:rsidP="00222DBE">
            <w:pPr>
              <w:jc w:val="both"/>
              <w:rPr>
                <w:rFonts w:ascii="Arial" w:hAnsi="Arial" w:cs="Arial"/>
                <w:sz w:val="24"/>
                <w:szCs w:val="24"/>
                <w:lang w:val="en"/>
              </w:rPr>
            </w:pPr>
            <w:r w:rsidRPr="00F53E83">
              <w:rPr>
                <w:rFonts w:ascii="Arial" w:hAnsi="Arial" w:cs="Arial"/>
                <w:sz w:val="24"/>
                <w:szCs w:val="24"/>
              </w:rPr>
              <w:t>L</w:t>
            </w:r>
            <w:proofErr w:type="spellStart"/>
            <w:r w:rsidRPr="00F53E83">
              <w:rPr>
                <w:rFonts w:ascii="Arial" w:hAnsi="Arial" w:cs="Arial"/>
                <w:sz w:val="24"/>
                <w:szCs w:val="24"/>
                <w:lang w:val="en"/>
              </w:rPr>
              <w:t>ocal</w:t>
            </w:r>
            <w:proofErr w:type="spellEnd"/>
            <w:r w:rsidRPr="00F53E83">
              <w:rPr>
                <w:rFonts w:ascii="Arial" w:hAnsi="Arial" w:cs="Arial"/>
                <w:sz w:val="24"/>
                <w:szCs w:val="24"/>
                <w:lang w:val="en"/>
              </w:rPr>
              <w:t xml:space="preserve"> authorities must exercise their functions under this Part with a view to ensuring the integration of care and support provision with health provision and health-related provision where it considers that this would —</w:t>
            </w:r>
          </w:p>
          <w:p w14:paraId="4D01AA7C"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 xml:space="preserve">(a) promote the well-being of adults in its area with needs for care and support and the well-being of </w:t>
            </w:r>
            <w:proofErr w:type="spellStart"/>
            <w:r w:rsidRPr="00F53E83">
              <w:rPr>
                <w:rFonts w:ascii="Arial" w:hAnsi="Arial" w:cs="Arial"/>
                <w:sz w:val="24"/>
                <w:szCs w:val="24"/>
                <w:lang w:val="en"/>
              </w:rPr>
              <w:t>carers</w:t>
            </w:r>
            <w:proofErr w:type="spellEnd"/>
            <w:r w:rsidRPr="00F53E83">
              <w:rPr>
                <w:rFonts w:ascii="Arial" w:hAnsi="Arial" w:cs="Arial"/>
                <w:sz w:val="24"/>
                <w:szCs w:val="24"/>
                <w:lang w:val="en"/>
              </w:rPr>
              <w:t xml:space="preserve"> in its area,</w:t>
            </w:r>
          </w:p>
          <w:p w14:paraId="53F639E0"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 xml:space="preserve">(b) contribute to the prevention or delay of the development by adults in its area of needs for care and support or the development by </w:t>
            </w:r>
            <w:proofErr w:type="spellStart"/>
            <w:r w:rsidRPr="00F53E83">
              <w:rPr>
                <w:rFonts w:ascii="Arial" w:hAnsi="Arial" w:cs="Arial"/>
                <w:sz w:val="24"/>
                <w:szCs w:val="24"/>
                <w:lang w:val="en"/>
              </w:rPr>
              <w:t>carers</w:t>
            </w:r>
            <w:proofErr w:type="spellEnd"/>
            <w:r w:rsidRPr="00F53E83">
              <w:rPr>
                <w:rFonts w:ascii="Arial" w:hAnsi="Arial" w:cs="Arial"/>
                <w:sz w:val="24"/>
                <w:szCs w:val="24"/>
                <w:lang w:val="en"/>
              </w:rPr>
              <w:t xml:space="preserve"> in its area of needs for support, or</w:t>
            </w:r>
          </w:p>
          <w:p w14:paraId="2817369F" w14:textId="77777777" w:rsidR="001A60C1" w:rsidRPr="00F53E83" w:rsidRDefault="001A60C1" w:rsidP="00222DBE">
            <w:pPr>
              <w:ind w:left="1440"/>
              <w:jc w:val="both"/>
              <w:rPr>
                <w:rFonts w:ascii="Arial" w:hAnsi="Arial" w:cs="Arial"/>
                <w:sz w:val="24"/>
                <w:szCs w:val="24"/>
              </w:rPr>
            </w:pPr>
            <w:r w:rsidRPr="00F53E83">
              <w:rPr>
                <w:rFonts w:ascii="Arial" w:hAnsi="Arial" w:cs="Arial"/>
                <w:sz w:val="24"/>
                <w:szCs w:val="24"/>
                <w:lang w:val="en"/>
              </w:rPr>
              <w:t xml:space="preserve">(c) improve the quality of care and support for adults, and of support for </w:t>
            </w:r>
            <w:proofErr w:type="spellStart"/>
            <w:r w:rsidRPr="00F53E83">
              <w:rPr>
                <w:rFonts w:ascii="Arial" w:hAnsi="Arial" w:cs="Arial"/>
                <w:sz w:val="24"/>
                <w:szCs w:val="24"/>
                <w:lang w:val="en"/>
              </w:rPr>
              <w:t>carers</w:t>
            </w:r>
            <w:proofErr w:type="spellEnd"/>
            <w:r w:rsidRPr="00F53E83">
              <w:rPr>
                <w:rFonts w:ascii="Arial" w:hAnsi="Arial" w:cs="Arial"/>
                <w:sz w:val="24"/>
                <w:szCs w:val="24"/>
                <w:lang w:val="en"/>
              </w:rPr>
              <w:t>, provided in its area (including the outcomes that are achieved from such provision).</w:t>
            </w:r>
          </w:p>
        </w:tc>
        <w:tc>
          <w:tcPr>
            <w:tcW w:w="1875" w:type="dxa"/>
          </w:tcPr>
          <w:p w14:paraId="1D9728FC"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as commissioners and providers of health and care services to adults, and those commissioned to provide those services.</w:t>
            </w:r>
          </w:p>
        </w:tc>
      </w:tr>
      <w:tr w:rsidR="001A60C1" w:rsidRPr="00F53E83" w14:paraId="4FB9B7EC" w14:textId="77777777" w:rsidTr="00041889">
        <w:tc>
          <w:tcPr>
            <w:tcW w:w="1860" w:type="dxa"/>
          </w:tcPr>
          <w:p w14:paraId="2B42814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Care Act 2014</w:t>
            </w:r>
          </w:p>
        </w:tc>
        <w:tc>
          <w:tcPr>
            <w:tcW w:w="5507" w:type="dxa"/>
          </w:tcPr>
          <w:p w14:paraId="316747EE" w14:textId="77777777" w:rsidR="001A60C1" w:rsidRPr="00F53E83" w:rsidRDefault="001A60C1" w:rsidP="00222DBE">
            <w:pPr>
              <w:jc w:val="both"/>
              <w:rPr>
                <w:rFonts w:ascii="Arial" w:hAnsi="Arial" w:cs="Arial"/>
                <w:sz w:val="24"/>
                <w:szCs w:val="24"/>
                <w:lang w:val="en"/>
              </w:rPr>
            </w:pPr>
            <w:r w:rsidRPr="00F53E83">
              <w:rPr>
                <w:rFonts w:ascii="Arial" w:hAnsi="Arial" w:cs="Arial"/>
                <w:sz w:val="24"/>
                <w:szCs w:val="24"/>
                <w:lang w:val="en"/>
              </w:rPr>
              <w:t>Section 42: Enquiry by local authority</w:t>
            </w:r>
            <w:r w:rsidRPr="00F53E83">
              <w:rPr>
                <w:rFonts w:ascii="Arial" w:hAnsi="Arial" w:cs="Arial"/>
                <w:b/>
                <w:bCs/>
                <w:vanish/>
                <w:sz w:val="24"/>
                <w:szCs w:val="24"/>
                <w:lang w:val="en"/>
              </w:rPr>
              <w:t>E+W</w:t>
            </w:r>
          </w:p>
          <w:p w14:paraId="623F50F2" w14:textId="77777777" w:rsidR="001A60C1" w:rsidRPr="00F53E83" w:rsidRDefault="001A60C1" w:rsidP="00222DBE">
            <w:pPr>
              <w:jc w:val="both"/>
              <w:rPr>
                <w:rFonts w:ascii="Arial" w:hAnsi="Arial" w:cs="Arial"/>
                <w:vanish/>
                <w:sz w:val="24"/>
                <w:szCs w:val="24"/>
                <w:lang w:val="en"/>
              </w:rPr>
            </w:pPr>
            <w:r w:rsidRPr="00F53E83">
              <w:rPr>
                <w:rFonts w:ascii="Arial" w:hAnsi="Arial" w:cs="Arial"/>
                <w:vanish/>
                <w:sz w:val="24"/>
                <w:szCs w:val="24"/>
                <w:lang w:val="en"/>
              </w:rPr>
              <w:t>This section has no associated Explanatory Notes</w:t>
            </w:r>
          </w:p>
          <w:p w14:paraId="32114BCD" w14:textId="77777777" w:rsidR="001A60C1" w:rsidRPr="00F53E83" w:rsidRDefault="001A60C1" w:rsidP="00222DBE">
            <w:pPr>
              <w:pStyle w:val="ListParagraph"/>
              <w:numPr>
                <w:ilvl w:val="0"/>
                <w:numId w:val="29"/>
              </w:numPr>
              <w:jc w:val="both"/>
              <w:rPr>
                <w:rFonts w:ascii="Arial" w:hAnsi="Arial" w:cs="Arial"/>
                <w:sz w:val="24"/>
                <w:szCs w:val="24"/>
                <w:lang w:val="en"/>
              </w:rPr>
            </w:pPr>
            <w:r w:rsidRPr="00F53E83">
              <w:rPr>
                <w:rFonts w:ascii="Arial" w:hAnsi="Arial" w:cs="Arial"/>
                <w:sz w:val="24"/>
                <w:szCs w:val="24"/>
                <w:lang w:val="en"/>
              </w:rPr>
              <w:t>This section applies where a local authority has reasonable cause to suspect that an adult in its area (</w:t>
            </w:r>
            <w:proofErr w:type="gramStart"/>
            <w:r w:rsidRPr="00F53E83">
              <w:rPr>
                <w:rFonts w:ascii="Arial" w:hAnsi="Arial" w:cs="Arial"/>
                <w:sz w:val="24"/>
                <w:szCs w:val="24"/>
                <w:lang w:val="en"/>
              </w:rPr>
              <w:t>whether or not</w:t>
            </w:r>
            <w:proofErr w:type="gramEnd"/>
            <w:r w:rsidRPr="00F53E83">
              <w:rPr>
                <w:rFonts w:ascii="Arial" w:hAnsi="Arial" w:cs="Arial"/>
                <w:sz w:val="24"/>
                <w:szCs w:val="24"/>
                <w:lang w:val="en"/>
              </w:rPr>
              <w:t xml:space="preserve"> ordinarily resident there)—</w:t>
            </w:r>
          </w:p>
          <w:p w14:paraId="5C95C2ED"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(a) has needs for care and support (</w:t>
            </w:r>
            <w:proofErr w:type="gramStart"/>
            <w:r w:rsidRPr="00F53E83">
              <w:rPr>
                <w:rFonts w:ascii="Arial" w:hAnsi="Arial" w:cs="Arial"/>
                <w:sz w:val="24"/>
                <w:szCs w:val="24"/>
                <w:lang w:val="en"/>
              </w:rPr>
              <w:t>whether or not</w:t>
            </w:r>
            <w:proofErr w:type="gramEnd"/>
            <w:r w:rsidRPr="00F53E83">
              <w:rPr>
                <w:rFonts w:ascii="Arial" w:hAnsi="Arial" w:cs="Arial"/>
                <w:sz w:val="24"/>
                <w:szCs w:val="24"/>
                <w:lang w:val="en"/>
              </w:rPr>
              <w:t xml:space="preserve"> the authority is meeting any of those needs),</w:t>
            </w:r>
          </w:p>
          <w:p w14:paraId="7863D490"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(b) is experiencing, or is at risk of, abuse or neglect, and</w:t>
            </w:r>
          </w:p>
          <w:p w14:paraId="28DE89AE"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 xml:space="preserve">(c) </w:t>
            </w:r>
            <w:proofErr w:type="gramStart"/>
            <w:r w:rsidRPr="00F53E83">
              <w:rPr>
                <w:rFonts w:ascii="Arial" w:hAnsi="Arial" w:cs="Arial"/>
                <w:sz w:val="24"/>
                <w:szCs w:val="24"/>
                <w:lang w:val="en"/>
              </w:rPr>
              <w:t>as a result of</w:t>
            </w:r>
            <w:proofErr w:type="gramEnd"/>
            <w:r w:rsidRPr="00F53E83">
              <w:rPr>
                <w:rFonts w:ascii="Arial" w:hAnsi="Arial" w:cs="Arial"/>
                <w:sz w:val="24"/>
                <w:szCs w:val="24"/>
                <w:lang w:val="en"/>
              </w:rPr>
              <w:t xml:space="preserve"> those needs is unable to protect himself or herself against the abuse or neglect or the risk of it.</w:t>
            </w:r>
          </w:p>
          <w:p w14:paraId="7C54AB4E" w14:textId="77777777" w:rsidR="001A60C1" w:rsidRPr="00F53E83" w:rsidRDefault="001A60C1" w:rsidP="00222DBE">
            <w:pPr>
              <w:pStyle w:val="ListParagraph"/>
              <w:numPr>
                <w:ilvl w:val="0"/>
                <w:numId w:val="29"/>
              </w:numPr>
              <w:jc w:val="both"/>
              <w:rPr>
                <w:rFonts w:ascii="Arial" w:hAnsi="Arial" w:cs="Arial"/>
                <w:sz w:val="24"/>
                <w:szCs w:val="24"/>
                <w:lang w:val="en"/>
              </w:rPr>
            </w:pPr>
            <w:r w:rsidRPr="00F53E83">
              <w:rPr>
                <w:rFonts w:ascii="Arial" w:hAnsi="Arial" w:cs="Arial"/>
                <w:sz w:val="24"/>
                <w:szCs w:val="24"/>
                <w:lang w:val="en"/>
              </w:rPr>
              <w:t>The local authority must make (or cause to be made) whatever enquiries it thinks necessary to enable it to decide whether any action should be taken in the adult's case (whether under this Part or otherwise) and, if so, what and by whom.</w:t>
            </w:r>
          </w:p>
        </w:tc>
        <w:tc>
          <w:tcPr>
            <w:tcW w:w="1875" w:type="dxa"/>
          </w:tcPr>
          <w:p w14:paraId="573CBA08"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as commissioners and providers of health and care services to adults, and those commissioned to provide those services.</w:t>
            </w:r>
          </w:p>
        </w:tc>
      </w:tr>
      <w:tr w:rsidR="001A60C1" w:rsidRPr="00F53E83" w14:paraId="7B0D5E9D" w14:textId="77777777" w:rsidTr="00041889">
        <w:tc>
          <w:tcPr>
            <w:tcW w:w="1860" w:type="dxa"/>
          </w:tcPr>
          <w:p w14:paraId="22D1AB9B"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The Children Act 1989</w:t>
            </w:r>
          </w:p>
        </w:tc>
        <w:tc>
          <w:tcPr>
            <w:tcW w:w="5507" w:type="dxa"/>
          </w:tcPr>
          <w:p w14:paraId="60B12F1A"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47(9)(11):</w:t>
            </w:r>
          </w:p>
          <w:p w14:paraId="0868D177"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 xml:space="preserve">Where a local authority </w:t>
            </w:r>
            <w:proofErr w:type="gramStart"/>
            <w:r w:rsidRPr="00F53E83">
              <w:rPr>
                <w:rFonts w:ascii="Arial" w:hAnsi="Arial" w:cs="Arial"/>
                <w:sz w:val="24"/>
                <w:szCs w:val="24"/>
                <w:lang w:eastAsia="ja-JP"/>
              </w:rPr>
              <w:t>are</w:t>
            </w:r>
            <w:proofErr w:type="gramEnd"/>
            <w:r w:rsidRPr="00F53E83">
              <w:rPr>
                <w:rFonts w:ascii="Arial" w:hAnsi="Arial" w:cs="Arial"/>
                <w:sz w:val="24"/>
                <w:szCs w:val="24"/>
                <w:lang w:eastAsia="ja-JP"/>
              </w:rPr>
              <w:t xml:space="preserve"> conducting enquiries under this section, it shall be the duty of any person mentioned in subsection (11) to assist them with those enquiries (in particular by </w:t>
            </w:r>
            <w:r w:rsidRPr="00F53E83">
              <w:rPr>
                <w:rFonts w:ascii="Arial" w:hAnsi="Arial" w:cs="Arial"/>
                <w:sz w:val="24"/>
                <w:szCs w:val="24"/>
                <w:lang w:eastAsia="ja-JP"/>
              </w:rPr>
              <w:lastRenderedPageBreak/>
              <w:t>providing relevant information and advice).</w:t>
            </w:r>
            <w:r w:rsidRPr="00F53E83">
              <w:rPr>
                <w:rFonts w:ascii="Arial" w:hAnsi="Arial" w:cs="Arial"/>
                <w:sz w:val="24"/>
                <w:szCs w:val="24"/>
                <w:lang w:eastAsia="ja-JP"/>
              </w:rPr>
              <w:br/>
              <w:t>The persons are—</w:t>
            </w:r>
          </w:p>
          <w:p w14:paraId="38386D9D"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(a) any local </w:t>
            </w:r>
            <w:proofErr w:type="gramStart"/>
            <w:r w:rsidRPr="00F53E83">
              <w:rPr>
                <w:rFonts w:ascii="Arial" w:hAnsi="Arial" w:cs="Arial"/>
                <w:sz w:val="24"/>
                <w:szCs w:val="24"/>
                <w:lang w:eastAsia="ja-JP"/>
              </w:rPr>
              <w:t>authority;</w:t>
            </w:r>
            <w:proofErr w:type="gramEnd"/>
            <w:r w:rsidRPr="00F53E83">
              <w:rPr>
                <w:rFonts w:ascii="Arial" w:hAnsi="Arial" w:cs="Arial"/>
                <w:sz w:val="24"/>
                <w:szCs w:val="24"/>
                <w:lang w:eastAsia="ja-JP"/>
              </w:rPr>
              <w:t xml:space="preserve"> </w:t>
            </w:r>
          </w:p>
          <w:p w14:paraId="67D20064"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(d) </w:t>
            </w:r>
            <w:r w:rsidRPr="00F53E83">
              <w:rPr>
                <w:rFonts w:ascii="Arial" w:hAnsi="Arial" w:cs="Arial"/>
                <w:sz w:val="24"/>
                <w:szCs w:val="24"/>
                <w:lang w:val="en" w:eastAsia="ja-JP"/>
              </w:rPr>
              <w:t xml:space="preserve">any clinical commissioning group, Local Health </w:t>
            </w:r>
            <w:proofErr w:type="gramStart"/>
            <w:r w:rsidRPr="00F53E83">
              <w:rPr>
                <w:rFonts w:ascii="Arial" w:hAnsi="Arial" w:cs="Arial"/>
                <w:sz w:val="24"/>
                <w:szCs w:val="24"/>
                <w:lang w:val="en" w:eastAsia="ja-JP"/>
              </w:rPr>
              <w:t>Board ,</w:t>
            </w:r>
            <w:proofErr w:type="gramEnd"/>
            <w:r w:rsidRPr="00F53E83">
              <w:rPr>
                <w:rFonts w:ascii="Arial" w:hAnsi="Arial" w:cs="Arial"/>
                <w:sz w:val="24"/>
                <w:szCs w:val="24"/>
                <w:lang w:val="en" w:eastAsia="ja-JP"/>
              </w:rPr>
              <w:t xml:space="preserve"> Special Health Authority, National Health Service trust or NHS foundation trust; and</w:t>
            </w:r>
          </w:p>
          <w:p w14:paraId="7E65ECCB"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(e) any person authorised by the Secretary of State for the purposes of this section.</w:t>
            </w:r>
          </w:p>
        </w:tc>
        <w:tc>
          <w:tcPr>
            <w:tcW w:w="1875" w:type="dxa"/>
          </w:tcPr>
          <w:p w14:paraId="273A1A3D"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 xml:space="preserve">Local Authorities conducting child protection enquiries and </w:t>
            </w:r>
            <w:r w:rsidRPr="00F53E83">
              <w:rPr>
                <w:rFonts w:ascii="Arial" w:hAnsi="Arial" w:cs="Arial"/>
                <w:sz w:val="24"/>
                <w:szCs w:val="24"/>
              </w:rPr>
              <w:lastRenderedPageBreak/>
              <w:t>those that have a duty to assist (health bodies).</w:t>
            </w:r>
          </w:p>
        </w:tc>
      </w:tr>
      <w:tr w:rsidR="001A60C1" w:rsidRPr="00F53E83" w14:paraId="36D0DD51" w14:textId="77777777" w:rsidTr="00041889">
        <w:tc>
          <w:tcPr>
            <w:tcW w:w="1860" w:type="dxa"/>
          </w:tcPr>
          <w:p w14:paraId="4AF39FAD"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The Children Act 1989</w:t>
            </w:r>
          </w:p>
        </w:tc>
        <w:tc>
          <w:tcPr>
            <w:tcW w:w="5507" w:type="dxa"/>
          </w:tcPr>
          <w:p w14:paraId="7F41866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A local authority may also request help from those listed above in connection with its functions under Part 3 of the Act. Part 3 of the Act, which comprises of Sections 17-30:</w:t>
            </w:r>
          </w:p>
          <w:p w14:paraId="0FCD7C4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(allows for local authorities to provide various types of support for children and families).</w:t>
            </w:r>
          </w:p>
          <w:p w14:paraId="59266505"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Section 17(5):</w:t>
            </w:r>
          </w:p>
          <w:p w14:paraId="30FE62DC"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Every local authority—</w:t>
            </w:r>
          </w:p>
          <w:p w14:paraId="2A2356EF"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(a) shall facilitate the provision by others (including </w:t>
            </w:r>
            <w:proofErr w:type="gramStart"/>
            <w:r w:rsidRPr="00F53E83">
              <w:rPr>
                <w:rFonts w:ascii="Arial" w:hAnsi="Arial" w:cs="Arial"/>
                <w:sz w:val="24"/>
                <w:szCs w:val="24"/>
                <w:lang w:val="en" w:eastAsia="ja-JP"/>
              </w:rPr>
              <w:t>in particular voluntary</w:t>
            </w:r>
            <w:proofErr w:type="gramEnd"/>
            <w:r w:rsidRPr="00F53E83">
              <w:rPr>
                <w:rFonts w:ascii="Arial" w:hAnsi="Arial" w:cs="Arial"/>
                <w:sz w:val="24"/>
                <w:szCs w:val="24"/>
                <w:lang w:val="en" w:eastAsia="ja-JP"/>
              </w:rPr>
              <w:t xml:space="preserve"> </w:t>
            </w:r>
            <w:proofErr w:type="spellStart"/>
            <w:r w:rsidRPr="00F53E83">
              <w:rPr>
                <w:rFonts w:ascii="Arial" w:hAnsi="Arial" w:cs="Arial"/>
                <w:sz w:val="24"/>
                <w:szCs w:val="24"/>
                <w:lang w:val="en" w:eastAsia="ja-JP"/>
              </w:rPr>
              <w:t>organisations</w:t>
            </w:r>
            <w:proofErr w:type="spellEnd"/>
            <w:r w:rsidRPr="00F53E83">
              <w:rPr>
                <w:rFonts w:ascii="Arial" w:hAnsi="Arial" w:cs="Arial"/>
                <w:sz w:val="24"/>
                <w:szCs w:val="24"/>
                <w:lang w:val="en" w:eastAsia="ja-JP"/>
              </w:rPr>
              <w:t>) of services which it is a function of the authority to provide by virtue of this section, or section 18, 20, 22A to 22C, 23B to 23D, 24A or 24B</w:t>
            </w:r>
            <w:r w:rsidRPr="00F53E83">
              <w:rPr>
                <w:rFonts w:ascii="Arial" w:hAnsi="Arial" w:cs="Arial"/>
                <w:b/>
                <w:bCs/>
                <w:sz w:val="24"/>
                <w:szCs w:val="24"/>
                <w:lang w:val="en" w:eastAsia="ja-JP"/>
              </w:rPr>
              <w:t>]</w:t>
            </w:r>
            <w:r w:rsidRPr="00F53E83">
              <w:rPr>
                <w:rFonts w:ascii="Arial" w:hAnsi="Arial" w:cs="Arial"/>
                <w:sz w:val="24"/>
                <w:szCs w:val="24"/>
                <w:lang w:val="en" w:eastAsia="ja-JP"/>
              </w:rPr>
              <w:t>; and</w:t>
            </w:r>
          </w:p>
          <w:p w14:paraId="28CACD77"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(b) may make such arrangements as they see fit for any person to act on their behalf in the provision of any such service.</w:t>
            </w:r>
          </w:p>
        </w:tc>
        <w:tc>
          <w:tcPr>
            <w:tcW w:w="1875" w:type="dxa"/>
          </w:tcPr>
          <w:p w14:paraId="07392261"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 xml:space="preserve">Local Authorities facilitating services to those identified as “in need” and those that are commissioned to provide the </w:t>
            </w:r>
          </w:p>
          <w:p w14:paraId="35E8960A"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service.</w:t>
            </w:r>
          </w:p>
        </w:tc>
      </w:tr>
      <w:tr w:rsidR="001A60C1" w:rsidRPr="00F53E83" w14:paraId="473B0186" w14:textId="77777777" w:rsidTr="00041889">
        <w:tc>
          <w:tcPr>
            <w:tcW w:w="1860" w:type="dxa"/>
          </w:tcPr>
          <w:p w14:paraId="05C7448C"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 xml:space="preserve">The Children Act 2004 </w:t>
            </w:r>
          </w:p>
        </w:tc>
        <w:tc>
          <w:tcPr>
            <w:tcW w:w="5507" w:type="dxa"/>
          </w:tcPr>
          <w:p w14:paraId="489D5359"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10:</w:t>
            </w:r>
          </w:p>
          <w:p w14:paraId="569368C7"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Co-operation to improve well-being.</w:t>
            </w:r>
          </w:p>
          <w:p w14:paraId="70278643" w14:textId="77777777" w:rsidR="001A60C1" w:rsidRPr="00F53E83" w:rsidRDefault="001A60C1" w:rsidP="00222DBE">
            <w:pPr>
              <w:pStyle w:val="ListParagraph"/>
              <w:numPr>
                <w:ilvl w:val="0"/>
                <w:numId w:val="29"/>
              </w:numPr>
              <w:jc w:val="both"/>
              <w:rPr>
                <w:rFonts w:ascii="Arial" w:hAnsi="Arial" w:cs="Arial"/>
                <w:sz w:val="24"/>
                <w:szCs w:val="24"/>
                <w:lang w:eastAsia="ja-JP"/>
              </w:rPr>
            </w:pPr>
            <w:r w:rsidRPr="00F53E83">
              <w:rPr>
                <w:rFonts w:ascii="Arial" w:hAnsi="Arial" w:cs="Arial"/>
                <w:sz w:val="24"/>
                <w:szCs w:val="24"/>
                <w:lang w:eastAsia="ja-JP"/>
              </w:rPr>
              <w:t>The arrangements are to be made with a view to improving the well-being of children in the local authority’s area so far as relating to—</w:t>
            </w:r>
          </w:p>
          <w:p w14:paraId="3756AEBA"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(a) physical and mental health and emotional </w:t>
            </w:r>
            <w:proofErr w:type="gramStart"/>
            <w:r w:rsidRPr="00F53E83">
              <w:rPr>
                <w:rFonts w:ascii="Arial" w:hAnsi="Arial" w:cs="Arial"/>
                <w:sz w:val="24"/>
                <w:szCs w:val="24"/>
                <w:lang w:eastAsia="ja-JP"/>
              </w:rPr>
              <w:t>well-being;</w:t>
            </w:r>
            <w:proofErr w:type="gramEnd"/>
          </w:p>
          <w:p w14:paraId="1379EF1D"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(b) protection from harm and neglect;</w:t>
            </w:r>
            <w:r w:rsidRPr="00F53E83" w:rsidDel="005960CF">
              <w:rPr>
                <w:rFonts w:ascii="Arial" w:hAnsi="Arial" w:cs="Arial"/>
                <w:sz w:val="24"/>
                <w:szCs w:val="24"/>
                <w:lang w:eastAsia="ja-JP"/>
              </w:rPr>
              <w:t xml:space="preserve"> </w:t>
            </w:r>
            <w:r w:rsidRPr="00F53E83">
              <w:rPr>
                <w:rFonts w:ascii="Arial" w:hAnsi="Arial" w:cs="Arial"/>
                <w:sz w:val="24"/>
                <w:szCs w:val="24"/>
                <w:lang w:eastAsia="ja-JP"/>
              </w:rPr>
              <w:t>(e) Social and economic well-being.</w:t>
            </w:r>
          </w:p>
          <w:p w14:paraId="47D6E155" w14:textId="77777777" w:rsidR="001A60C1" w:rsidRPr="00F53E83" w:rsidRDefault="001A60C1" w:rsidP="00222DBE">
            <w:pPr>
              <w:pStyle w:val="ListParagraph"/>
              <w:numPr>
                <w:ilvl w:val="0"/>
                <w:numId w:val="29"/>
              </w:numPr>
              <w:jc w:val="both"/>
              <w:rPr>
                <w:rFonts w:ascii="Arial" w:hAnsi="Arial" w:cs="Arial"/>
                <w:sz w:val="24"/>
                <w:szCs w:val="24"/>
                <w:lang w:eastAsia="ja-JP"/>
              </w:rPr>
            </w:pPr>
            <w:r w:rsidRPr="00F53E83">
              <w:rPr>
                <w:rFonts w:ascii="Arial" w:hAnsi="Arial" w:cs="Arial"/>
                <w:sz w:val="24"/>
                <w:szCs w:val="24"/>
                <w:lang w:eastAsia="ja-JP"/>
              </w:rPr>
              <w:t>for the purposes of this section each of the following is a relevant partner:</w:t>
            </w:r>
          </w:p>
          <w:p w14:paraId="198F63C1"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t>District councils</w:t>
            </w:r>
          </w:p>
          <w:p w14:paraId="2CF2AFD7"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t>The police</w:t>
            </w:r>
          </w:p>
          <w:p w14:paraId="7550A4F1"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t xml:space="preserve">The probation </w:t>
            </w:r>
            <w:proofErr w:type="gramStart"/>
            <w:r w:rsidRPr="00F53E83">
              <w:rPr>
                <w:rFonts w:ascii="Arial" w:hAnsi="Arial" w:cs="Arial"/>
                <w:sz w:val="24"/>
                <w:szCs w:val="24"/>
                <w:lang w:eastAsia="ja-JP"/>
              </w:rPr>
              <w:t>service</w:t>
            </w:r>
            <w:proofErr w:type="gramEnd"/>
          </w:p>
          <w:p w14:paraId="31D4A996"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t>Youth offending teams (YOTs)</w:t>
            </w:r>
          </w:p>
          <w:p w14:paraId="467AB908"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lastRenderedPageBreak/>
              <w:t xml:space="preserve">Health and Wellbeing Board.  </w:t>
            </w:r>
          </w:p>
          <w:p w14:paraId="6D194411" w14:textId="77777777" w:rsidR="001A60C1" w:rsidRPr="00F53E83" w:rsidRDefault="001A60C1" w:rsidP="00222DBE">
            <w:pPr>
              <w:pStyle w:val="ListParagraph"/>
              <w:numPr>
                <w:ilvl w:val="0"/>
                <w:numId w:val="27"/>
              </w:numPr>
              <w:jc w:val="both"/>
              <w:rPr>
                <w:rFonts w:ascii="Arial" w:hAnsi="Arial" w:cs="Arial"/>
                <w:sz w:val="24"/>
                <w:szCs w:val="24"/>
                <w:lang w:eastAsia="ja-JP"/>
              </w:rPr>
            </w:pPr>
            <w:r w:rsidRPr="00F53E83">
              <w:rPr>
                <w:rFonts w:ascii="Arial" w:hAnsi="Arial" w:cs="Arial"/>
                <w:sz w:val="24"/>
                <w:szCs w:val="24"/>
                <w:lang w:eastAsia="ja-JP"/>
              </w:rPr>
              <w:t>Any clinical commissioning group for an area any part of which falls within the area of the authority</w:t>
            </w:r>
          </w:p>
        </w:tc>
        <w:tc>
          <w:tcPr>
            <w:tcW w:w="1875" w:type="dxa"/>
          </w:tcPr>
          <w:p w14:paraId="7D552A0C"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Local Authorities and relevant partners that have the remit to improve the well-being of children.</w:t>
            </w:r>
          </w:p>
        </w:tc>
      </w:tr>
      <w:tr w:rsidR="001A60C1" w:rsidRPr="00F53E83" w14:paraId="47DA8A92" w14:textId="77777777" w:rsidTr="00041889">
        <w:tc>
          <w:tcPr>
            <w:tcW w:w="1860" w:type="dxa"/>
          </w:tcPr>
          <w:p w14:paraId="3DB65290"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The Children Act 2004</w:t>
            </w:r>
          </w:p>
        </w:tc>
        <w:tc>
          <w:tcPr>
            <w:tcW w:w="5507" w:type="dxa"/>
          </w:tcPr>
          <w:p w14:paraId="168A32D6"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11:</w:t>
            </w:r>
          </w:p>
          <w:p w14:paraId="4ECCEB05"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 xml:space="preserve">Arrangements to safeguard and promote welfare. </w:t>
            </w:r>
          </w:p>
          <w:p w14:paraId="26611042"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 xml:space="preserve">The section applies to: </w:t>
            </w:r>
          </w:p>
          <w:p w14:paraId="74B98DF6"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(a) a local authority in </w:t>
            </w:r>
            <w:proofErr w:type="gramStart"/>
            <w:r w:rsidRPr="00F53E83">
              <w:rPr>
                <w:rFonts w:ascii="Arial" w:hAnsi="Arial" w:cs="Arial"/>
                <w:sz w:val="24"/>
                <w:szCs w:val="24"/>
                <w:lang w:val="en" w:eastAsia="ja-JP"/>
              </w:rPr>
              <w:t>England;</w:t>
            </w:r>
            <w:proofErr w:type="gramEnd"/>
          </w:p>
          <w:p w14:paraId="0D881C58"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(b) a district council which is not such an </w:t>
            </w:r>
            <w:proofErr w:type="gramStart"/>
            <w:r w:rsidRPr="00F53E83">
              <w:rPr>
                <w:rFonts w:ascii="Arial" w:hAnsi="Arial" w:cs="Arial"/>
                <w:sz w:val="24"/>
                <w:szCs w:val="24"/>
                <w:lang w:val="en" w:eastAsia="ja-JP"/>
              </w:rPr>
              <w:t>authority;</w:t>
            </w:r>
            <w:proofErr w:type="gramEnd"/>
          </w:p>
          <w:p w14:paraId="39B406C1"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(bb) a clinical commissioning </w:t>
            </w:r>
            <w:proofErr w:type="gramStart"/>
            <w:r w:rsidRPr="00F53E83">
              <w:rPr>
                <w:rFonts w:ascii="Arial" w:hAnsi="Arial" w:cs="Arial"/>
                <w:sz w:val="24"/>
                <w:szCs w:val="24"/>
                <w:lang w:val="en" w:eastAsia="ja-JP"/>
              </w:rPr>
              <w:t>group;</w:t>
            </w:r>
            <w:proofErr w:type="gramEnd"/>
          </w:p>
          <w:p w14:paraId="4A73E916"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(d) a Special Health Authority, so far as exercising functions in relation to England, designated by order made by the Secretary of State for the purposes of this </w:t>
            </w:r>
            <w:proofErr w:type="gramStart"/>
            <w:r w:rsidRPr="00F53E83">
              <w:rPr>
                <w:rFonts w:ascii="Arial" w:hAnsi="Arial" w:cs="Arial"/>
                <w:sz w:val="24"/>
                <w:szCs w:val="24"/>
                <w:lang w:val="en" w:eastAsia="ja-JP"/>
              </w:rPr>
              <w:t>section;</w:t>
            </w:r>
            <w:proofErr w:type="gramEnd"/>
          </w:p>
          <w:p w14:paraId="5BC1DC10"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(f) an NHS trust all or most of whose hospitals, establishments and facilities are situated in </w:t>
            </w:r>
            <w:proofErr w:type="gramStart"/>
            <w:r w:rsidRPr="00F53E83">
              <w:rPr>
                <w:rFonts w:ascii="Arial" w:hAnsi="Arial" w:cs="Arial"/>
                <w:sz w:val="24"/>
                <w:szCs w:val="24"/>
                <w:lang w:val="en" w:eastAsia="ja-JP"/>
              </w:rPr>
              <w:t>England;</w:t>
            </w:r>
            <w:proofErr w:type="gramEnd"/>
          </w:p>
          <w:p w14:paraId="3724414F"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(g) an NHS foundation </w:t>
            </w:r>
            <w:proofErr w:type="gramStart"/>
            <w:r w:rsidRPr="00F53E83">
              <w:rPr>
                <w:rFonts w:ascii="Arial" w:hAnsi="Arial" w:cs="Arial"/>
                <w:sz w:val="24"/>
                <w:szCs w:val="24"/>
                <w:lang w:val="en" w:eastAsia="ja-JP"/>
              </w:rPr>
              <w:t>trust;</w:t>
            </w:r>
            <w:proofErr w:type="gramEnd"/>
          </w:p>
          <w:p w14:paraId="04EA31F8"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(h) the local policing body and chief officer of police for a police area in </w:t>
            </w:r>
            <w:proofErr w:type="gramStart"/>
            <w:r w:rsidRPr="00F53E83">
              <w:rPr>
                <w:rFonts w:ascii="Arial" w:hAnsi="Arial" w:cs="Arial"/>
                <w:sz w:val="24"/>
                <w:szCs w:val="24"/>
                <w:lang w:val="en" w:eastAsia="ja-JP"/>
              </w:rPr>
              <w:t>England;</w:t>
            </w:r>
            <w:proofErr w:type="gramEnd"/>
          </w:p>
          <w:p w14:paraId="278BA866"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(k) a youth offending team for an area in </w:t>
            </w:r>
            <w:proofErr w:type="gramStart"/>
            <w:r w:rsidRPr="00F53E83">
              <w:rPr>
                <w:rFonts w:ascii="Arial" w:hAnsi="Arial" w:cs="Arial"/>
                <w:sz w:val="24"/>
                <w:szCs w:val="24"/>
                <w:lang w:val="en" w:eastAsia="ja-JP"/>
              </w:rPr>
              <w:t>England;</w:t>
            </w:r>
            <w:proofErr w:type="gramEnd"/>
          </w:p>
          <w:p w14:paraId="33C81876"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val="en" w:eastAsia="ja-JP"/>
              </w:rPr>
              <w:t xml:space="preserve">(l) the governor of a prison or secure training </w:t>
            </w:r>
            <w:proofErr w:type="spellStart"/>
            <w:r w:rsidRPr="00F53E83">
              <w:rPr>
                <w:rFonts w:ascii="Arial" w:hAnsi="Arial" w:cs="Arial"/>
                <w:sz w:val="24"/>
                <w:szCs w:val="24"/>
                <w:lang w:val="en" w:eastAsia="ja-JP"/>
              </w:rPr>
              <w:t>centre</w:t>
            </w:r>
            <w:proofErr w:type="spellEnd"/>
            <w:r w:rsidRPr="00F53E83">
              <w:rPr>
                <w:rFonts w:ascii="Arial" w:hAnsi="Arial" w:cs="Arial"/>
                <w:sz w:val="24"/>
                <w:szCs w:val="24"/>
                <w:lang w:val="en" w:eastAsia="ja-JP"/>
              </w:rPr>
              <w:t xml:space="preserve"> in England (or, in the case of a </w:t>
            </w:r>
            <w:proofErr w:type="gramStart"/>
            <w:r w:rsidRPr="00F53E83">
              <w:rPr>
                <w:rFonts w:ascii="Arial" w:hAnsi="Arial" w:cs="Arial"/>
                <w:sz w:val="24"/>
                <w:szCs w:val="24"/>
                <w:lang w:val="en" w:eastAsia="ja-JP"/>
              </w:rPr>
              <w:t>contracted out</w:t>
            </w:r>
            <w:proofErr w:type="gramEnd"/>
            <w:r w:rsidRPr="00F53E83">
              <w:rPr>
                <w:rFonts w:ascii="Arial" w:hAnsi="Arial" w:cs="Arial"/>
                <w:sz w:val="24"/>
                <w:szCs w:val="24"/>
                <w:lang w:val="en" w:eastAsia="ja-JP"/>
              </w:rPr>
              <w:t xml:space="preserve"> prison or secure training </w:t>
            </w:r>
            <w:proofErr w:type="spellStart"/>
            <w:r w:rsidRPr="00F53E83">
              <w:rPr>
                <w:rFonts w:ascii="Arial" w:hAnsi="Arial" w:cs="Arial"/>
                <w:sz w:val="24"/>
                <w:szCs w:val="24"/>
                <w:lang w:val="en" w:eastAsia="ja-JP"/>
              </w:rPr>
              <w:t>centre</w:t>
            </w:r>
            <w:proofErr w:type="spellEnd"/>
            <w:r w:rsidRPr="00F53E83">
              <w:rPr>
                <w:rFonts w:ascii="Arial" w:hAnsi="Arial" w:cs="Arial"/>
                <w:sz w:val="24"/>
                <w:szCs w:val="24"/>
                <w:lang w:val="en" w:eastAsia="ja-JP"/>
              </w:rPr>
              <w:t>, its director);</w:t>
            </w:r>
          </w:p>
        </w:tc>
        <w:tc>
          <w:tcPr>
            <w:tcW w:w="1875" w:type="dxa"/>
          </w:tcPr>
          <w:p w14:paraId="1E5F44A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and relevant partners that have a duty to safeguard and promote welfare of children.</w:t>
            </w:r>
          </w:p>
        </w:tc>
      </w:tr>
      <w:tr w:rsidR="001A60C1" w:rsidRPr="00F53E83" w14:paraId="475AF60D" w14:textId="77777777" w:rsidTr="00041889">
        <w:tc>
          <w:tcPr>
            <w:tcW w:w="1860" w:type="dxa"/>
          </w:tcPr>
          <w:p w14:paraId="2602E832"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Childcare Act 2006</w:t>
            </w:r>
          </w:p>
        </w:tc>
        <w:tc>
          <w:tcPr>
            <w:tcW w:w="5507" w:type="dxa"/>
          </w:tcPr>
          <w:p w14:paraId="589281E1"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1:</w:t>
            </w:r>
          </w:p>
          <w:p w14:paraId="078D8C07"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General duties of local authority in relation to well-being of young children</w:t>
            </w:r>
          </w:p>
          <w:p w14:paraId="5C41A29C" w14:textId="77777777" w:rsidR="001A60C1" w:rsidRPr="00F53E83" w:rsidRDefault="001A60C1" w:rsidP="00222DBE">
            <w:pPr>
              <w:pStyle w:val="ListParagraph"/>
              <w:numPr>
                <w:ilvl w:val="0"/>
                <w:numId w:val="30"/>
              </w:numPr>
              <w:jc w:val="both"/>
              <w:rPr>
                <w:rFonts w:ascii="Arial" w:hAnsi="Arial" w:cs="Arial"/>
                <w:sz w:val="24"/>
                <w:szCs w:val="24"/>
                <w:lang w:eastAsia="ja-JP"/>
              </w:rPr>
            </w:pPr>
            <w:r w:rsidRPr="00F53E83">
              <w:rPr>
                <w:rFonts w:ascii="Arial" w:hAnsi="Arial" w:cs="Arial"/>
                <w:sz w:val="24"/>
                <w:szCs w:val="24"/>
                <w:lang w:eastAsia="ja-JP"/>
              </w:rPr>
              <w:t>an English local authority must—</w:t>
            </w:r>
          </w:p>
          <w:p w14:paraId="5D08321B"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(a) improve the well-being of young children in their area, and</w:t>
            </w:r>
          </w:p>
          <w:p w14:paraId="1E77242E"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(2) in this Act “well-being”, in relation to children, means their well-being so far as relating to—</w:t>
            </w:r>
          </w:p>
          <w:p w14:paraId="5BB3C18A"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(a) physical and mental health and emotional </w:t>
            </w:r>
            <w:proofErr w:type="gramStart"/>
            <w:r w:rsidRPr="00F53E83">
              <w:rPr>
                <w:rFonts w:ascii="Arial" w:hAnsi="Arial" w:cs="Arial"/>
                <w:sz w:val="24"/>
                <w:szCs w:val="24"/>
                <w:lang w:eastAsia="ja-JP"/>
              </w:rPr>
              <w:t>well-being;</w:t>
            </w:r>
            <w:proofErr w:type="gramEnd"/>
          </w:p>
          <w:p w14:paraId="1A14BA41"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t xml:space="preserve">(b) protection from harm and </w:t>
            </w:r>
            <w:proofErr w:type="gramStart"/>
            <w:r w:rsidRPr="00F53E83">
              <w:rPr>
                <w:rFonts w:ascii="Arial" w:hAnsi="Arial" w:cs="Arial"/>
                <w:sz w:val="24"/>
                <w:szCs w:val="24"/>
                <w:lang w:eastAsia="ja-JP"/>
              </w:rPr>
              <w:t>neglect;</w:t>
            </w:r>
            <w:proofErr w:type="gramEnd"/>
          </w:p>
          <w:p w14:paraId="283A1167"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eastAsia="ja-JP"/>
              </w:rPr>
              <w:lastRenderedPageBreak/>
              <w:t>(e) social and economic well-being.</w:t>
            </w:r>
          </w:p>
        </w:tc>
        <w:tc>
          <w:tcPr>
            <w:tcW w:w="1875" w:type="dxa"/>
          </w:tcPr>
          <w:p w14:paraId="56BA625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Local authorities as commissioners and providers of health and care and services to children, and those commissioned to provide those services.</w:t>
            </w:r>
          </w:p>
        </w:tc>
      </w:tr>
      <w:tr w:rsidR="001A60C1" w:rsidRPr="00F53E83" w14:paraId="461C89DE" w14:textId="77777777" w:rsidTr="00041889">
        <w:tc>
          <w:tcPr>
            <w:tcW w:w="1860" w:type="dxa"/>
          </w:tcPr>
          <w:p w14:paraId="079E19C8"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Childcare Act 2006</w:t>
            </w:r>
          </w:p>
        </w:tc>
        <w:tc>
          <w:tcPr>
            <w:tcW w:w="5507" w:type="dxa"/>
          </w:tcPr>
          <w:p w14:paraId="574FC4F4"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Section 4:</w:t>
            </w:r>
          </w:p>
          <w:p w14:paraId="2A43A06E"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Duty of local authority and relevant partners to work together</w:t>
            </w:r>
            <w:r w:rsidRPr="00F53E83">
              <w:rPr>
                <w:rFonts w:ascii="Arial" w:hAnsi="Arial" w:cs="Arial"/>
                <w:b/>
                <w:bCs/>
                <w:vanish/>
                <w:sz w:val="24"/>
                <w:szCs w:val="24"/>
                <w:lang w:val="en" w:eastAsia="ja-JP"/>
              </w:rPr>
              <w:t>E+W</w:t>
            </w:r>
          </w:p>
          <w:p w14:paraId="7F6E62FD" w14:textId="77777777" w:rsidR="001A60C1" w:rsidRPr="00F53E83" w:rsidRDefault="001A60C1" w:rsidP="00222DBE">
            <w:pPr>
              <w:pStyle w:val="ListParagraph"/>
              <w:numPr>
                <w:ilvl w:val="0"/>
                <w:numId w:val="30"/>
              </w:numPr>
              <w:jc w:val="both"/>
              <w:rPr>
                <w:rFonts w:ascii="Arial" w:hAnsi="Arial" w:cs="Arial"/>
                <w:vanish/>
                <w:sz w:val="24"/>
                <w:szCs w:val="24"/>
                <w:lang w:val="en" w:eastAsia="ja-JP"/>
              </w:rPr>
            </w:pPr>
            <w:r w:rsidRPr="00F53E83">
              <w:rPr>
                <w:rFonts w:ascii="Arial" w:hAnsi="Arial" w:cs="Arial"/>
                <w:vanish/>
                <w:sz w:val="24"/>
                <w:szCs w:val="24"/>
                <w:lang w:val="en" w:eastAsia="ja-JP"/>
              </w:rPr>
              <w:t>This section has no associated Explanatory Notes</w:t>
            </w:r>
          </w:p>
          <w:p w14:paraId="48D88B9B" w14:textId="77777777" w:rsidR="001A60C1" w:rsidRPr="00F53E83" w:rsidRDefault="001A60C1" w:rsidP="00222DBE">
            <w:pPr>
              <w:pStyle w:val="ListParagraph"/>
              <w:numPr>
                <w:ilvl w:val="0"/>
                <w:numId w:val="31"/>
              </w:numPr>
              <w:jc w:val="both"/>
              <w:rPr>
                <w:rFonts w:ascii="Arial" w:hAnsi="Arial" w:cs="Arial"/>
                <w:sz w:val="24"/>
                <w:szCs w:val="24"/>
                <w:lang w:val="en" w:eastAsia="ja-JP"/>
              </w:rPr>
            </w:pPr>
            <w:r w:rsidRPr="00F53E83">
              <w:rPr>
                <w:rFonts w:ascii="Arial" w:hAnsi="Arial" w:cs="Arial"/>
                <w:sz w:val="24"/>
                <w:szCs w:val="24"/>
                <w:lang w:val="en" w:eastAsia="ja-JP"/>
              </w:rPr>
              <w:t>For the purposes of this section each of the following is a relevant partner of an English local authority—</w:t>
            </w:r>
          </w:p>
          <w:p w14:paraId="3670915A"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(za) the “National Health Service Commissioning Board;”, and</w:t>
            </w:r>
          </w:p>
          <w:p w14:paraId="1784ED95"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(a) a clinical commissioning group for an area any part of which falls within the area of the local </w:t>
            </w:r>
            <w:proofErr w:type="gramStart"/>
            <w:r w:rsidRPr="00F53E83">
              <w:rPr>
                <w:rFonts w:ascii="Arial" w:hAnsi="Arial" w:cs="Arial"/>
                <w:sz w:val="24"/>
                <w:szCs w:val="24"/>
                <w:lang w:val="en" w:eastAsia="ja-JP"/>
              </w:rPr>
              <w:t>authority;</w:t>
            </w:r>
            <w:proofErr w:type="gramEnd"/>
          </w:p>
          <w:p w14:paraId="619B3655" w14:textId="77777777" w:rsidR="001A60C1" w:rsidRPr="00F53E83" w:rsidRDefault="001A60C1" w:rsidP="00222DBE">
            <w:pPr>
              <w:ind w:left="1440"/>
              <w:jc w:val="both"/>
              <w:rPr>
                <w:rFonts w:ascii="Arial" w:hAnsi="Arial" w:cs="Arial"/>
                <w:sz w:val="24"/>
                <w:szCs w:val="24"/>
                <w:lang w:eastAsia="ja-JP"/>
              </w:rPr>
            </w:pPr>
            <w:r w:rsidRPr="00F53E83">
              <w:rPr>
                <w:rFonts w:ascii="Arial" w:hAnsi="Arial" w:cs="Arial"/>
                <w:sz w:val="24"/>
                <w:szCs w:val="24"/>
                <w:lang w:val="en" w:eastAsia="ja-JP"/>
              </w:rPr>
              <w:t>(b) the Secretary of State, in relation to his functions under section 2 of the Employment and Training Act 1973 (c. 50).</w:t>
            </w:r>
          </w:p>
        </w:tc>
        <w:tc>
          <w:tcPr>
            <w:tcW w:w="1875" w:type="dxa"/>
          </w:tcPr>
          <w:p w14:paraId="1A80467B"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as commissioners and providers of health and care and services to children, and those commissioned to provide those services.</w:t>
            </w:r>
          </w:p>
        </w:tc>
      </w:tr>
      <w:tr w:rsidR="001A60C1" w:rsidRPr="00F53E83" w14:paraId="62FB92D2" w14:textId="77777777" w:rsidTr="00041889">
        <w:tc>
          <w:tcPr>
            <w:tcW w:w="1860" w:type="dxa"/>
          </w:tcPr>
          <w:p w14:paraId="4FE1D16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Children and Families Act 2014</w:t>
            </w:r>
          </w:p>
        </w:tc>
        <w:tc>
          <w:tcPr>
            <w:tcW w:w="5507" w:type="dxa"/>
          </w:tcPr>
          <w:p w14:paraId="252C4340" w14:textId="77777777" w:rsidR="001A60C1" w:rsidRPr="00F53E83" w:rsidRDefault="001A60C1" w:rsidP="00222DBE">
            <w:pPr>
              <w:jc w:val="both"/>
              <w:rPr>
                <w:rFonts w:ascii="Arial" w:eastAsia="Calibri" w:hAnsi="Arial" w:cs="Arial"/>
                <w:sz w:val="24"/>
                <w:szCs w:val="24"/>
                <w:lang w:val="en"/>
              </w:rPr>
            </w:pPr>
            <w:r w:rsidRPr="00F53E83">
              <w:rPr>
                <w:rFonts w:ascii="Arial" w:eastAsia="Calibri" w:hAnsi="Arial" w:cs="Arial"/>
                <w:sz w:val="24"/>
                <w:szCs w:val="24"/>
                <w:lang w:val="en"/>
              </w:rPr>
              <w:t>Section 23:</w:t>
            </w:r>
          </w:p>
          <w:p w14:paraId="2E1CC35F" w14:textId="77777777" w:rsidR="001A60C1" w:rsidRPr="00F53E83" w:rsidRDefault="001A60C1" w:rsidP="00222DBE">
            <w:pPr>
              <w:jc w:val="both"/>
              <w:rPr>
                <w:rFonts w:ascii="Arial" w:hAnsi="Arial" w:cs="Arial"/>
                <w:sz w:val="24"/>
                <w:szCs w:val="24"/>
              </w:rPr>
            </w:pPr>
            <w:r w:rsidRPr="00F53E83">
              <w:rPr>
                <w:rFonts w:ascii="Arial" w:eastAsia="Calibri" w:hAnsi="Arial" w:cs="Arial"/>
                <w:sz w:val="24"/>
                <w:szCs w:val="24"/>
                <w:lang w:val="en"/>
              </w:rPr>
              <w:t>Places a duty on health bodies (CCGs, NHS Trust and NHS foundation trust) to bring certain children to local authority’s attention, where the health body has formed the opinion that the child has (or probably has) special educational needs or a disability.</w:t>
            </w:r>
          </w:p>
        </w:tc>
        <w:tc>
          <w:tcPr>
            <w:tcW w:w="1875" w:type="dxa"/>
          </w:tcPr>
          <w:p w14:paraId="207FD42D"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Health bodies and local authorities.</w:t>
            </w:r>
          </w:p>
        </w:tc>
      </w:tr>
      <w:tr w:rsidR="001A60C1" w:rsidRPr="00F53E83" w14:paraId="426BAE29" w14:textId="77777777" w:rsidTr="00041889">
        <w:tc>
          <w:tcPr>
            <w:tcW w:w="1860" w:type="dxa"/>
          </w:tcPr>
          <w:p w14:paraId="683C5F46"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Children and Families Act 2014</w:t>
            </w:r>
          </w:p>
        </w:tc>
        <w:tc>
          <w:tcPr>
            <w:tcW w:w="5507" w:type="dxa"/>
          </w:tcPr>
          <w:p w14:paraId="6F1FEA3A"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25:</w:t>
            </w:r>
          </w:p>
          <w:p w14:paraId="36699F31" w14:textId="77777777" w:rsidR="001A60C1" w:rsidRPr="00F53E83" w:rsidRDefault="001A60C1" w:rsidP="00222DBE">
            <w:pPr>
              <w:jc w:val="both"/>
              <w:rPr>
                <w:rFonts w:ascii="Arial" w:eastAsia="Calibri" w:hAnsi="Arial" w:cs="Arial"/>
                <w:sz w:val="24"/>
                <w:szCs w:val="24"/>
                <w:lang w:val="en"/>
              </w:rPr>
            </w:pPr>
            <w:r w:rsidRPr="00F53E83">
              <w:rPr>
                <w:rFonts w:ascii="Arial" w:eastAsia="Calibri" w:hAnsi="Arial" w:cs="Arial"/>
                <w:sz w:val="24"/>
                <w:szCs w:val="24"/>
                <w:lang w:val="en"/>
              </w:rPr>
              <w:t xml:space="preserve">Places a duty on a local authority to exercise its functions with a view to ensuring the integration of educational provision, training provision with health care and social care provision where it thinks that this would – </w:t>
            </w:r>
          </w:p>
          <w:p w14:paraId="0D0CF8D7" w14:textId="77777777" w:rsidR="001A60C1" w:rsidRPr="00F53E83" w:rsidRDefault="001A60C1" w:rsidP="00222DBE">
            <w:pPr>
              <w:ind w:left="1440"/>
              <w:jc w:val="both"/>
              <w:rPr>
                <w:rFonts w:ascii="Arial" w:eastAsia="Calibri" w:hAnsi="Arial" w:cs="Arial"/>
                <w:sz w:val="24"/>
                <w:szCs w:val="24"/>
              </w:rPr>
            </w:pPr>
            <w:r w:rsidRPr="00F53E83">
              <w:rPr>
                <w:rFonts w:ascii="Arial" w:eastAsia="Calibri" w:hAnsi="Arial" w:cs="Arial"/>
                <w:sz w:val="24"/>
                <w:szCs w:val="24"/>
              </w:rPr>
              <w:t xml:space="preserve">(a) promote the well-being of children or young people in its area who have special education needs or a disability, or </w:t>
            </w:r>
          </w:p>
          <w:p w14:paraId="45B30202" w14:textId="77777777" w:rsidR="001A60C1" w:rsidRPr="00F53E83" w:rsidRDefault="001A60C1" w:rsidP="00222DBE">
            <w:pPr>
              <w:ind w:left="1440"/>
              <w:jc w:val="both"/>
              <w:rPr>
                <w:rFonts w:ascii="Arial" w:eastAsia="Calibri" w:hAnsi="Arial" w:cs="Arial"/>
                <w:sz w:val="24"/>
                <w:szCs w:val="24"/>
              </w:rPr>
            </w:pPr>
            <w:r w:rsidRPr="00F53E83">
              <w:rPr>
                <w:rFonts w:ascii="Arial" w:eastAsia="Calibri" w:hAnsi="Arial" w:cs="Arial"/>
                <w:sz w:val="24"/>
                <w:szCs w:val="24"/>
              </w:rPr>
              <w:t>(b) improve the quality of special educational provision in its area or outside its area for children it is responsible for who have special educational needs</w:t>
            </w:r>
          </w:p>
        </w:tc>
        <w:tc>
          <w:tcPr>
            <w:tcW w:w="1875" w:type="dxa"/>
          </w:tcPr>
          <w:p w14:paraId="7F60DF8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as commissioners and providers of health and care and services to children, and those commissioned to provide those services.</w:t>
            </w:r>
          </w:p>
        </w:tc>
      </w:tr>
      <w:tr w:rsidR="001A60C1" w:rsidRPr="00F53E83" w:rsidDel="009C703F" w14:paraId="13C9A652" w14:textId="77777777" w:rsidTr="00041889">
        <w:tc>
          <w:tcPr>
            <w:tcW w:w="1860" w:type="dxa"/>
          </w:tcPr>
          <w:p w14:paraId="38052141" w14:textId="77777777" w:rsidR="001A60C1" w:rsidRPr="00F53E83" w:rsidRDefault="001A60C1" w:rsidP="00222DBE">
            <w:pPr>
              <w:jc w:val="both"/>
              <w:rPr>
                <w:rFonts w:ascii="Arial" w:hAnsi="Arial" w:cs="Arial"/>
                <w:bCs/>
                <w:sz w:val="24"/>
                <w:szCs w:val="24"/>
              </w:rPr>
            </w:pPr>
            <w:r w:rsidRPr="00F53E83">
              <w:rPr>
                <w:rFonts w:ascii="Arial" w:hAnsi="Arial" w:cs="Arial"/>
                <w:bCs/>
                <w:sz w:val="24"/>
                <w:szCs w:val="24"/>
              </w:rPr>
              <w:t>Crime and Disorder Act 1998  </w:t>
            </w:r>
          </w:p>
        </w:tc>
        <w:tc>
          <w:tcPr>
            <w:tcW w:w="5507" w:type="dxa"/>
          </w:tcPr>
          <w:p w14:paraId="37D98398" w14:textId="77777777" w:rsidR="001A60C1" w:rsidRPr="00F53E83" w:rsidRDefault="001A60C1" w:rsidP="00222DBE">
            <w:pPr>
              <w:ind w:left="16"/>
              <w:jc w:val="both"/>
              <w:rPr>
                <w:rFonts w:ascii="Arial" w:hAnsi="Arial" w:cs="Arial"/>
                <w:sz w:val="24"/>
                <w:szCs w:val="24"/>
              </w:rPr>
            </w:pPr>
            <w:r w:rsidRPr="00F53E83">
              <w:rPr>
                <w:rFonts w:ascii="Arial" w:hAnsi="Arial" w:cs="Arial"/>
                <w:sz w:val="24"/>
                <w:szCs w:val="24"/>
              </w:rPr>
              <w:t>Section 17:</w:t>
            </w:r>
          </w:p>
          <w:p w14:paraId="2E9A34EA" w14:textId="77777777" w:rsidR="001A60C1" w:rsidRPr="00F53E83" w:rsidRDefault="001A60C1" w:rsidP="00222DBE">
            <w:pPr>
              <w:ind w:left="16"/>
              <w:jc w:val="both"/>
              <w:rPr>
                <w:rFonts w:ascii="Arial" w:hAnsi="Arial" w:cs="Arial"/>
                <w:sz w:val="24"/>
                <w:szCs w:val="24"/>
              </w:rPr>
            </w:pPr>
            <w:r w:rsidRPr="00F53E83">
              <w:rPr>
                <w:rFonts w:ascii="Arial" w:hAnsi="Arial" w:cs="Arial"/>
                <w:sz w:val="24"/>
                <w:szCs w:val="24"/>
              </w:rPr>
              <w:t>Duty to consider crime and disorder implications.</w:t>
            </w:r>
          </w:p>
          <w:p w14:paraId="6CECAE8D" w14:textId="77777777" w:rsidR="001A60C1" w:rsidRPr="00F53E83" w:rsidRDefault="001A60C1" w:rsidP="00222DBE">
            <w:pPr>
              <w:pStyle w:val="ListParagraph"/>
              <w:numPr>
                <w:ilvl w:val="0"/>
                <w:numId w:val="32"/>
              </w:numPr>
              <w:jc w:val="both"/>
              <w:rPr>
                <w:rFonts w:ascii="Arial" w:hAnsi="Arial" w:cs="Arial"/>
                <w:sz w:val="24"/>
                <w:szCs w:val="24"/>
              </w:rPr>
            </w:pPr>
            <w:r w:rsidRPr="00F53E83">
              <w:rPr>
                <w:rFonts w:ascii="Arial" w:hAnsi="Arial" w:cs="Arial"/>
                <w:sz w:val="24"/>
                <w:szCs w:val="24"/>
              </w:rPr>
              <w:t xml:space="preserve">Without prejudice to any other obligation imposed on it, it shall be the duty of each authority to which this section applies to exercise its various functions with due regard to the likely effect of the exercise of those functions on, and the need to do </w:t>
            </w:r>
            <w:r w:rsidRPr="00F53E83">
              <w:rPr>
                <w:rFonts w:ascii="Arial" w:hAnsi="Arial" w:cs="Arial"/>
                <w:sz w:val="24"/>
                <w:szCs w:val="24"/>
              </w:rPr>
              <w:lastRenderedPageBreak/>
              <w:t>all that it reasonably can to prevent, crime and disorder in its area.</w:t>
            </w:r>
          </w:p>
          <w:p w14:paraId="4EF1443E" w14:textId="77777777" w:rsidR="001A60C1" w:rsidRPr="00F53E83" w:rsidRDefault="001A60C1" w:rsidP="00222DBE">
            <w:pPr>
              <w:pStyle w:val="ListParagraph"/>
              <w:numPr>
                <w:ilvl w:val="0"/>
                <w:numId w:val="32"/>
              </w:numPr>
              <w:jc w:val="both"/>
              <w:rPr>
                <w:rFonts w:ascii="Arial" w:hAnsi="Arial" w:cs="Arial"/>
                <w:sz w:val="24"/>
                <w:szCs w:val="24"/>
              </w:rPr>
            </w:pPr>
            <w:r w:rsidRPr="00F53E83">
              <w:rPr>
                <w:rFonts w:ascii="Arial" w:hAnsi="Arial" w:cs="Arial"/>
                <w:sz w:val="24"/>
                <w:szCs w:val="24"/>
              </w:rPr>
              <w:t xml:space="preserve">This section applies to a local authority, a joint authority, </w:t>
            </w:r>
            <w:r w:rsidRPr="00F53E83">
              <w:rPr>
                <w:rFonts w:ascii="Arial" w:hAnsi="Arial" w:cs="Arial"/>
                <w:sz w:val="24"/>
                <w:szCs w:val="24"/>
                <w:lang w:val="en"/>
              </w:rPr>
              <w:t>a local policing body</w:t>
            </w:r>
            <w:r w:rsidRPr="00F53E83">
              <w:rPr>
                <w:rFonts w:ascii="Arial" w:hAnsi="Arial" w:cs="Arial"/>
                <w:sz w:val="24"/>
                <w:szCs w:val="24"/>
              </w:rPr>
              <w:t xml:space="preserve">, and others. </w:t>
            </w:r>
          </w:p>
        </w:tc>
        <w:tc>
          <w:tcPr>
            <w:tcW w:w="1875" w:type="dxa"/>
          </w:tcPr>
          <w:p w14:paraId="18D3E374" w14:textId="7D44E8D4" w:rsidR="001A60C1" w:rsidRPr="00F53E83" w:rsidDel="009C703F" w:rsidRDefault="001A60C1" w:rsidP="00222DBE">
            <w:pPr>
              <w:jc w:val="both"/>
              <w:rPr>
                <w:rFonts w:ascii="Arial" w:hAnsi="Arial" w:cs="Arial"/>
                <w:sz w:val="24"/>
                <w:szCs w:val="24"/>
              </w:rPr>
            </w:pPr>
            <w:r w:rsidRPr="00F53E83">
              <w:rPr>
                <w:rFonts w:ascii="Arial" w:hAnsi="Arial" w:cs="Arial"/>
                <w:sz w:val="24"/>
                <w:szCs w:val="24"/>
              </w:rPr>
              <w:lastRenderedPageBreak/>
              <w:t>Local authorities</w:t>
            </w:r>
            <w:r w:rsidR="00985DC0">
              <w:rPr>
                <w:rFonts w:ascii="Arial" w:hAnsi="Arial" w:cs="Arial"/>
                <w:sz w:val="24"/>
                <w:szCs w:val="24"/>
              </w:rPr>
              <w:t xml:space="preserve"> and the Police</w:t>
            </w:r>
          </w:p>
        </w:tc>
      </w:tr>
      <w:tr w:rsidR="001A60C1" w:rsidRPr="00F53E83" w14:paraId="680A7D9F" w14:textId="77777777" w:rsidTr="00041889">
        <w:tc>
          <w:tcPr>
            <w:tcW w:w="1860" w:type="dxa"/>
          </w:tcPr>
          <w:p w14:paraId="39FE4EB6" w14:textId="77777777" w:rsidR="001A60C1" w:rsidRPr="00F53E83" w:rsidRDefault="001A60C1" w:rsidP="00222DBE">
            <w:pPr>
              <w:jc w:val="both"/>
              <w:rPr>
                <w:rFonts w:ascii="Arial" w:hAnsi="Arial" w:cs="Arial"/>
                <w:bCs/>
                <w:sz w:val="24"/>
                <w:szCs w:val="24"/>
              </w:rPr>
            </w:pPr>
            <w:r w:rsidRPr="00F53E83">
              <w:rPr>
                <w:rFonts w:ascii="Arial" w:hAnsi="Arial" w:cs="Arial"/>
                <w:bCs/>
                <w:sz w:val="24"/>
                <w:szCs w:val="24"/>
              </w:rPr>
              <w:t>Digital Economy Act 2017</w:t>
            </w:r>
          </w:p>
        </w:tc>
        <w:tc>
          <w:tcPr>
            <w:tcW w:w="5507" w:type="dxa"/>
          </w:tcPr>
          <w:p w14:paraId="6C1E7B6C" w14:textId="77777777" w:rsidR="001A60C1" w:rsidRPr="00F53E83" w:rsidRDefault="001A60C1" w:rsidP="00222DBE">
            <w:pPr>
              <w:ind w:left="16"/>
              <w:jc w:val="both"/>
              <w:rPr>
                <w:rFonts w:ascii="Arial" w:hAnsi="Arial" w:cs="Arial"/>
                <w:sz w:val="24"/>
                <w:szCs w:val="24"/>
                <w:lang w:val="en"/>
              </w:rPr>
            </w:pPr>
            <w:r w:rsidRPr="00F53E83">
              <w:rPr>
                <w:rFonts w:ascii="Arial" w:hAnsi="Arial" w:cs="Arial"/>
                <w:sz w:val="24"/>
                <w:szCs w:val="24"/>
                <w:lang w:val="en"/>
              </w:rPr>
              <w:t>Section 35 (1)(2)(9)(10)(11)(12):</w:t>
            </w:r>
          </w:p>
          <w:p w14:paraId="6871E03C" w14:textId="77777777" w:rsidR="001A60C1" w:rsidRPr="00F53E83" w:rsidRDefault="001A60C1" w:rsidP="00222DBE">
            <w:pPr>
              <w:ind w:left="16"/>
              <w:jc w:val="both"/>
              <w:rPr>
                <w:rFonts w:ascii="Arial" w:hAnsi="Arial" w:cs="Arial"/>
                <w:sz w:val="24"/>
                <w:szCs w:val="24"/>
                <w:lang w:val="en"/>
              </w:rPr>
            </w:pPr>
            <w:r w:rsidRPr="00F53E83">
              <w:rPr>
                <w:rFonts w:ascii="Arial" w:hAnsi="Arial" w:cs="Arial"/>
                <w:sz w:val="24"/>
                <w:szCs w:val="24"/>
                <w:lang w:val="en"/>
              </w:rPr>
              <w:t>Disclosure of information to improve public service delivery.</w:t>
            </w:r>
          </w:p>
          <w:p w14:paraId="73B43D54" w14:textId="77777777" w:rsidR="001A60C1" w:rsidRPr="00F53E83" w:rsidRDefault="001A60C1" w:rsidP="00222DBE">
            <w:pPr>
              <w:ind w:left="16"/>
              <w:jc w:val="both"/>
              <w:rPr>
                <w:rFonts w:ascii="Arial" w:hAnsi="Arial" w:cs="Arial"/>
                <w:vanish/>
                <w:sz w:val="24"/>
                <w:szCs w:val="24"/>
                <w:lang w:val="en"/>
              </w:rPr>
            </w:pPr>
            <w:r w:rsidRPr="00F53E83">
              <w:rPr>
                <w:rFonts w:ascii="Arial" w:hAnsi="Arial" w:cs="Arial"/>
                <w:vanish/>
                <w:sz w:val="24"/>
                <w:szCs w:val="24"/>
                <w:lang w:val="en"/>
              </w:rPr>
              <w:t>This section has no associated Explanatory Notes</w:t>
            </w:r>
          </w:p>
          <w:p w14:paraId="64A1B00E" w14:textId="77777777" w:rsidR="001A60C1" w:rsidRPr="00F53E83" w:rsidRDefault="001A60C1" w:rsidP="00222DBE">
            <w:pPr>
              <w:pStyle w:val="ListParagraph"/>
              <w:numPr>
                <w:ilvl w:val="0"/>
                <w:numId w:val="33"/>
              </w:numPr>
              <w:jc w:val="both"/>
              <w:rPr>
                <w:rFonts w:ascii="Arial" w:hAnsi="Arial" w:cs="Arial"/>
                <w:sz w:val="24"/>
                <w:szCs w:val="24"/>
                <w:lang w:val="en"/>
              </w:rPr>
            </w:pPr>
            <w:r w:rsidRPr="00F53E83">
              <w:rPr>
                <w:rFonts w:ascii="Arial" w:hAnsi="Arial" w:cs="Arial"/>
                <w:sz w:val="24"/>
                <w:szCs w:val="24"/>
                <w:lang w:val="en"/>
              </w:rPr>
              <w:t>A specified person may disclose information held by the person in connection with any of the person’s functions to another specified person for the purposes of an objective which is a specified objective in relation to each of those persons.</w:t>
            </w:r>
          </w:p>
          <w:p w14:paraId="29EC02B2" w14:textId="77777777" w:rsidR="001A60C1" w:rsidRPr="00F53E83" w:rsidRDefault="001A60C1" w:rsidP="00222DBE">
            <w:pPr>
              <w:pStyle w:val="ListParagraph"/>
              <w:numPr>
                <w:ilvl w:val="0"/>
                <w:numId w:val="33"/>
              </w:numPr>
              <w:jc w:val="both"/>
              <w:rPr>
                <w:rFonts w:ascii="Arial" w:hAnsi="Arial" w:cs="Arial"/>
                <w:sz w:val="24"/>
                <w:szCs w:val="24"/>
                <w:lang w:val="en"/>
              </w:rPr>
            </w:pPr>
            <w:r w:rsidRPr="00F53E83">
              <w:rPr>
                <w:rFonts w:ascii="Arial" w:hAnsi="Arial" w:cs="Arial"/>
                <w:sz w:val="24"/>
                <w:szCs w:val="24"/>
                <w:lang w:val="en"/>
              </w:rPr>
              <w:t>In this section “specified person” means a person specified, or of a description specified, in Schedule 4</w:t>
            </w:r>
          </w:p>
          <w:p w14:paraId="5E3038EF" w14:textId="77777777" w:rsidR="001A60C1" w:rsidRPr="00F53E83" w:rsidRDefault="001A60C1" w:rsidP="00222DBE">
            <w:pPr>
              <w:ind w:left="376"/>
              <w:jc w:val="both"/>
              <w:rPr>
                <w:rFonts w:ascii="Arial" w:hAnsi="Arial" w:cs="Arial"/>
                <w:sz w:val="24"/>
                <w:szCs w:val="24"/>
                <w:lang w:val="en"/>
              </w:rPr>
            </w:pPr>
            <w:r w:rsidRPr="00F53E83">
              <w:rPr>
                <w:rFonts w:ascii="Arial" w:hAnsi="Arial" w:cs="Arial"/>
                <w:sz w:val="24"/>
                <w:szCs w:val="24"/>
                <w:lang w:val="en"/>
              </w:rPr>
              <w:t>(9) The first condition is that the objective has as its purpose—</w:t>
            </w:r>
          </w:p>
          <w:p w14:paraId="7B051398"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(a) the improvement or targeting of a public service provided to individuals or households, or</w:t>
            </w:r>
          </w:p>
          <w:p w14:paraId="0CCDA835"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(b) the facilitation of the provision of a benefit (</w:t>
            </w:r>
            <w:proofErr w:type="gramStart"/>
            <w:r w:rsidRPr="00F53E83">
              <w:rPr>
                <w:rFonts w:ascii="Arial" w:hAnsi="Arial" w:cs="Arial"/>
                <w:sz w:val="24"/>
                <w:szCs w:val="24"/>
                <w:lang w:val="en"/>
              </w:rPr>
              <w:t>whether or not</w:t>
            </w:r>
            <w:proofErr w:type="gramEnd"/>
            <w:r w:rsidRPr="00F53E83">
              <w:rPr>
                <w:rFonts w:ascii="Arial" w:hAnsi="Arial" w:cs="Arial"/>
                <w:sz w:val="24"/>
                <w:szCs w:val="24"/>
                <w:lang w:val="en"/>
              </w:rPr>
              <w:t xml:space="preserve"> financial) to individuals or households.</w:t>
            </w:r>
          </w:p>
          <w:p w14:paraId="48BAA1A4" w14:textId="77777777" w:rsidR="001A60C1" w:rsidRPr="00F53E83" w:rsidRDefault="001A60C1" w:rsidP="00222DBE">
            <w:pPr>
              <w:ind w:left="376"/>
              <w:jc w:val="both"/>
              <w:rPr>
                <w:rFonts w:ascii="Arial" w:hAnsi="Arial" w:cs="Arial"/>
                <w:sz w:val="24"/>
                <w:szCs w:val="24"/>
                <w:lang w:val="en"/>
              </w:rPr>
            </w:pPr>
            <w:r w:rsidRPr="00F53E83">
              <w:rPr>
                <w:rFonts w:ascii="Arial" w:hAnsi="Arial" w:cs="Arial"/>
                <w:sz w:val="24"/>
                <w:szCs w:val="24"/>
                <w:lang w:val="en"/>
              </w:rPr>
              <w:t>(10) The second condition is that the objective has as its purpose the improvement of the well-being of individuals or households.</w:t>
            </w:r>
          </w:p>
          <w:p w14:paraId="3AD7E6BF" w14:textId="77777777" w:rsidR="001A60C1" w:rsidRPr="00F53E83" w:rsidRDefault="001A60C1" w:rsidP="00222DBE">
            <w:pPr>
              <w:ind w:left="376"/>
              <w:jc w:val="both"/>
              <w:rPr>
                <w:rFonts w:ascii="Arial" w:hAnsi="Arial" w:cs="Arial"/>
                <w:sz w:val="24"/>
                <w:szCs w:val="24"/>
                <w:lang w:val="en"/>
              </w:rPr>
            </w:pPr>
            <w:r w:rsidRPr="00F53E83">
              <w:rPr>
                <w:rFonts w:ascii="Arial" w:hAnsi="Arial" w:cs="Arial"/>
                <w:sz w:val="24"/>
                <w:szCs w:val="24"/>
                <w:lang w:val="en"/>
              </w:rPr>
              <w:t xml:space="preserve">(11) The reference in subsection </w:t>
            </w:r>
            <w:hyperlink r:id="rId21" w:anchor="section-35-10" w:tooltip="Go to 35 Disclosure of information to improve public service delivery (10) in PART 5, CHAPTER 1" w:history="1">
              <w:r w:rsidRPr="00F53E83">
                <w:rPr>
                  <w:rStyle w:val="Hyperlink"/>
                  <w:rFonts w:ascii="Arial" w:hAnsi="Arial" w:cs="Arial"/>
                  <w:sz w:val="24"/>
                  <w:szCs w:val="24"/>
                  <w:lang w:val="en"/>
                </w:rPr>
                <w:t>(10)</w:t>
              </w:r>
            </w:hyperlink>
            <w:r w:rsidRPr="00F53E83">
              <w:rPr>
                <w:rFonts w:ascii="Arial" w:hAnsi="Arial" w:cs="Arial"/>
                <w:sz w:val="24"/>
                <w:szCs w:val="24"/>
                <w:lang w:val="en"/>
              </w:rPr>
              <w:t xml:space="preserve"> to the well-being of individuals or households includes—</w:t>
            </w:r>
          </w:p>
          <w:p w14:paraId="07BC02E2"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(a) their physical and mental health and emotional well-being,</w:t>
            </w:r>
          </w:p>
          <w:p w14:paraId="52C7553E"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(b) the contribution made by them to society, and</w:t>
            </w:r>
          </w:p>
          <w:p w14:paraId="441E0DC1"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(c) their social and economic well-being.</w:t>
            </w:r>
          </w:p>
          <w:p w14:paraId="500283F9" w14:textId="77777777" w:rsidR="001A60C1" w:rsidRPr="00F53E83" w:rsidRDefault="001A60C1" w:rsidP="00222DBE">
            <w:pPr>
              <w:ind w:left="376"/>
              <w:jc w:val="both"/>
              <w:rPr>
                <w:rFonts w:ascii="Arial" w:hAnsi="Arial" w:cs="Arial"/>
                <w:sz w:val="24"/>
                <w:szCs w:val="24"/>
                <w:lang w:val="en"/>
              </w:rPr>
            </w:pPr>
            <w:r w:rsidRPr="00F53E83">
              <w:rPr>
                <w:rFonts w:ascii="Arial" w:hAnsi="Arial" w:cs="Arial"/>
                <w:sz w:val="24"/>
                <w:szCs w:val="24"/>
                <w:lang w:val="en"/>
              </w:rPr>
              <w:t>(</w:t>
            </w:r>
            <w:proofErr w:type="gramStart"/>
            <w:r w:rsidRPr="00F53E83">
              <w:rPr>
                <w:rFonts w:ascii="Arial" w:hAnsi="Arial" w:cs="Arial"/>
                <w:sz w:val="24"/>
                <w:szCs w:val="24"/>
                <w:lang w:val="en"/>
              </w:rPr>
              <w:t>12)The</w:t>
            </w:r>
            <w:proofErr w:type="gramEnd"/>
            <w:r w:rsidRPr="00F53E83">
              <w:rPr>
                <w:rFonts w:ascii="Arial" w:hAnsi="Arial" w:cs="Arial"/>
                <w:sz w:val="24"/>
                <w:szCs w:val="24"/>
                <w:lang w:val="en"/>
              </w:rPr>
              <w:t xml:space="preserve"> third condition is that the objective has as its purpose the supporting of—</w:t>
            </w:r>
          </w:p>
          <w:p w14:paraId="0B8DBFA7"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(a) the delivery of a specified person’s functions, or</w:t>
            </w:r>
          </w:p>
          <w:p w14:paraId="57FE1520" w14:textId="77777777" w:rsidR="001A60C1" w:rsidRPr="00F53E83" w:rsidRDefault="001A60C1" w:rsidP="00222DBE">
            <w:pPr>
              <w:ind w:left="1440"/>
              <w:jc w:val="both"/>
              <w:rPr>
                <w:rFonts w:ascii="Arial" w:hAnsi="Arial" w:cs="Arial"/>
                <w:sz w:val="24"/>
                <w:szCs w:val="24"/>
              </w:rPr>
            </w:pPr>
            <w:r w:rsidRPr="00F53E83">
              <w:rPr>
                <w:rFonts w:ascii="Arial" w:hAnsi="Arial" w:cs="Arial"/>
                <w:sz w:val="24"/>
                <w:szCs w:val="24"/>
                <w:lang w:val="en"/>
              </w:rPr>
              <w:t>(b) the administration, monitoring or enforcement of a specified person’s functions.</w:t>
            </w:r>
          </w:p>
        </w:tc>
        <w:tc>
          <w:tcPr>
            <w:tcW w:w="1875" w:type="dxa"/>
          </w:tcPr>
          <w:p w14:paraId="497D53F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 as commissioners and providers of health and care and services, and those commissioned to provide those services.</w:t>
            </w:r>
          </w:p>
        </w:tc>
      </w:tr>
      <w:tr w:rsidR="001A60C1" w:rsidRPr="00F53E83" w14:paraId="08092A5C" w14:textId="77777777" w:rsidTr="00041889">
        <w:tc>
          <w:tcPr>
            <w:tcW w:w="1860" w:type="dxa"/>
          </w:tcPr>
          <w:p w14:paraId="75822FA0"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lastRenderedPageBreak/>
              <w:t>Local Government Act 2000</w:t>
            </w:r>
          </w:p>
        </w:tc>
        <w:tc>
          <w:tcPr>
            <w:tcW w:w="5507" w:type="dxa"/>
          </w:tcPr>
          <w:p w14:paraId="1E69F86D" w14:textId="77777777" w:rsidR="001A60C1" w:rsidRPr="00F53E83" w:rsidRDefault="001A60C1" w:rsidP="00222DBE">
            <w:pPr>
              <w:jc w:val="both"/>
              <w:rPr>
                <w:rFonts w:ascii="Arial" w:hAnsi="Arial" w:cs="Arial"/>
                <w:sz w:val="24"/>
                <w:szCs w:val="24"/>
                <w:lang w:val="en"/>
              </w:rPr>
            </w:pPr>
            <w:r w:rsidRPr="00F53E83">
              <w:rPr>
                <w:rFonts w:ascii="Arial" w:hAnsi="Arial" w:cs="Arial"/>
                <w:sz w:val="24"/>
                <w:szCs w:val="24"/>
                <w:lang w:val="en"/>
              </w:rPr>
              <w:t>Section 2</w:t>
            </w:r>
          </w:p>
          <w:p w14:paraId="626C2545" w14:textId="77777777" w:rsidR="001A60C1" w:rsidRPr="00F53E83" w:rsidRDefault="001A60C1" w:rsidP="00222DBE">
            <w:pPr>
              <w:jc w:val="both"/>
              <w:rPr>
                <w:rFonts w:ascii="Arial" w:hAnsi="Arial" w:cs="Arial"/>
                <w:sz w:val="24"/>
                <w:szCs w:val="24"/>
                <w:lang w:val="en"/>
              </w:rPr>
            </w:pPr>
            <w:r w:rsidRPr="00F53E83">
              <w:rPr>
                <w:rFonts w:ascii="Arial" w:hAnsi="Arial" w:cs="Arial"/>
                <w:sz w:val="24"/>
                <w:szCs w:val="24"/>
                <w:lang w:val="en"/>
              </w:rPr>
              <w:t>Promotion of well-being.</w:t>
            </w:r>
            <w:r w:rsidRPr="00F53E83">
              <w:rPr>
                <w:rFonts w:ascii="Arial" w:hAnsi="Arial" w:cs="Arial"/>
                <w:b/>
                <w:bCs/>
                <w:vanish/>
                <w:sz w:val="24"/>
                <w:szCs w:val="24"/>
                <w:lang w:val="en"/>
              </w:rPr>
              <w:t>E+W</w:t>
            </w:r>
          </w:p>
          <w:p w14:paraId="69DEA054" w14:textId="77777777" w:rsidR="001A60C1" w:rsidRPr="00F53E83" w:rsidRDefault="001A60C1" w:rsidP="00222DBE">
            <w:pPr>
              <w:pStyle w:val="ListParagraph"/>
              <w:numPr>
                <w:ilvl w:val="0"/>
                <w:numId w:val="35"/>
              </w:numPr>
              <w:jc w:val="both"/>
              <w:rPr>
                <w:rFonts w:ascii="Arial" w:hAnsi="Arial" w:cs="Arial"/>
                <w:vanish/>
                <w:sz w:val="24"/>
                <w:szCs w:val="24"/>
                <w:lang w:val="en"/>
              </w:rPr>
            </w:pPr>
            <w:r w:rsidRPr="00F53E83">
              <w:rPr>
                <w:rFonts w:ascii="Arial" w:hAnsi="Arial" w:cs="Arial"/>
                <w:vanish/>
                <w:sz w:val="24"/>
                <w:szCs w:val="24"/>
                <w:lang w:val="en"/>
              </w:rPr>
              <w:t>This section has no associated Explanatory Notes</w:t>
            </w:r>
          </w:p>
          <w:p w14:paraId="1CB9B5AC" w14:textId="77777777" w:rsidR="001A60C1" w:rsidRPr="00F53E83" w:rsidRDefault="001A60C1" w:rsidP="00222DBE">
            <w:pPr>
              <w:pStyle w:val="ListParagraph"/>
              <w:numPr>
                <w:ilvl w:val="0"/>
                <w:numId w:val="36"/>
              </w:numPr>
              <w:jc w:val="both"/>
              <w:rPr>
                <w:rFonts w:ascii="Arial" w:hAnsi="Arial" w:cs="Arial"/>
                <w:sz w:val="24"/>
                <w:szCs w:val="24"/>
                <w:lang w:val="en"/>
              </w:rPr>
            </w:pPr>
            <w:r w:rsidRPr="00F53E83">
              <w:rPr>
                <w:rFonts w:ascii="Arial" w:hAnsi="Arial" w:cs="Arial"/>
                <w:sz w:val="24"/>
                <w:szCs w:val="24"/>
                <w:lang w:val="en"/>
              </w:rPr>
              <w:t xml:space="preserve">Every local authority </w:t>
            </w:r>
            <w:proofErr w:type="gramStart"/>
            <w:r w:rsidRPr="00F53E83">
              <w:rPr>
                <w:rFonts w:ascii="Arial" w:hAnsi="Arial" w:cs="Arial"/>
                <w:sz w:val="24"/>
                <w:szCs w:val="24"/>
                <w:lang w:val="en"/>
              </w:rPr>
              <w:t>are</w:t>
            </w:r>
            <w:proofErr w:type="gramEnd"/>
            <w:r w:rsidRPr="00F53E83">
              <w:rPr>
                <w:rFonts w:ascii="Arial" w:hAnsi="Arial" w:cs="Arial"/>
                <w:sz w:val="24"/>
                <w:szCs w:val="24"/>
                <w:lang w:val="en"/>
              </w:rPr>
              <w:t xml:space="preserve"> to have power to do anything which they consider is likely to achieve any one or more of the following objects—</w:t>
            </w:r>
          </w:p>
          <w:p w14:paraId="1B7B4454" w14:textId="77777777" w:rsidR="001A60C1" w:rsidRPr="00F53E83" w:rsidRDefault="001A60C1" w:rsidP="00222DBE">
            <w:pPr>
              <w:ind w:left="1440"/>
              <w:jc w:val="both"/>
              <w:rPr>
                <w:rFonts w:ascii="Arial" w:hAnsi="Arial" w:cs="Arial"/>
                <w:sz w:val="24"/>
                <w:szCs w:val="24"/>
                <w:lang w:val="en"/>
              </w:rPr>
            </w:pPr>
            <w:r w:rsidRPr="00F53E83">
              <w:rPr>
                <w:rFonts w:ascii="Arial" w:hAnsi="Arial" w:cs="Arial"/>
                <w:sz w:val="24"/>
                <w:szCs w:val="24"/>
                <w:lang w:val="en"/>
              </w:rPr>
              <w:t xml:space="preserve"> (b) the promotion or improvement of the social well-being of their area, and</w:t>
            </w:r>
          </w:p>
        </w:tc>
        <w:tc>
          <w:tcPr>
            <w:tcW w:w="1875" w:type="dxa"/>
          </w:tcPr>
          <w:p w14:paraId="62F910DF"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Local Authorities</w:t>
            </w:r>
          </w:p>
        </w:tc>
      </w:tr>
      <w:tr w:rsidR="001A60C1" w:rsidRPr="00F53E83" w14:paraId="65F74557" w14:textId="77777777" w:rsidTr="00041889">
        <w:tc>
          <w:tcPr>
            <w:tcW w:w="1860" w:type="dxa"/>
          </w:tcPr>
          <w:p w14:paraId="62AABBC0"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National Health Service Act 1977</w:t>
            </w:r>
          </w:p>
        </w:tc>
        <w:tc>
          <w:tcPr>
            <w:tcW w:w="5507" w:type="dxa"/>
          </w:tcPr>
          <w:p w14:paraId="4AF194A8"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22:</w:t>
            </w:r>
          </w:p>
          <w:p w14:paraId="30E0DE0E"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Co-operation between health authorities and local authorities.</w:t>
            </w:r>
            <w:r w:rsidRPr="00F53E83">
              <w:rPr>
                <w:rFonts w:ascii="Arial" w:hAnsi="Arial" w:cs="Arial"/>
                <w:b/>
                <w:bCs/>
                <w:vanish/>
                <w:sz w:val="24"/>
                <w:szCs w:val="24"/>
                <w:lang w:val="en" w:eastAsia="ja-JP"/>
              </w:rPr>
              <w:t>E+W+S</w:t>
            </w:r>
          </w:p>
          <w:p w14:paraId="3DB37D94" w14:textId="77777777" w:rsidR="001A60C1" w:rsidRPr="00F53E83" w:rsidRDefault="001A60C1" w:rsidP="00222DBE">
            <w:pPr>
              <w:pStyle w:val="ListParagraph"/>
              <w:numPr>
                <w:ilvl w:val="0"/>
                <w:numId w:val="34"/>
              </w:numPr>
              <w:jc w:val="both"/>
              <w:rPr>
                <w:rFonts w:ascii="Arial" w:hAnsi="Arial" w:cs="Arial"/>
                <w:sz w:val="24"/>
                <w:szCs w:val="24"/>
                <w:lang w:val="en" w:eastAsia="ja-JP"/>
              </w:rPr>
            </w:pPr>
            <w:r w:rsidRPr="00F53E83">
              <w:rPr>
                <w:rFonts w:ascii="Arial" w:hAnsi="Arial" w:cs="Arial"/>
                <w:sz w:val="24"/>
                <w:szCs w:val="24"/>
                <w:lang w:val="en" w:eastAsia="ja-JP"/>
              </w:rPr>
              <w:t xml:space="preserve">In exercising their respective functions NHS bodies (on the one hand) and local authorities (on the other) shall co-operate with one another </w:t>
            </w:r>
            <w:proofErr w:type="gramStart"/>
            <w:r w:rsidRPr="00F53E83">
              <w:rPr>
                <w:rFonts w:ascii="Arial" w:hAnsi="Arial" w:cs="Arial"/>
                <w:sz w:val="24"/>
                <w:szCs w:val="24"/>
                <w:lang w:val="en" w:eastAsia="ja-JP"/>
              </w:rPr>
              <w:t>in order to</w:t>
            </w:r>
            <w:proofErr w:type="gramEnd"/>
            <w:r w:rsidRPr="00F53E83">
              <w:rPr>
                <w:rFonts w:ascii="Arial" w:hAnsi="Arial" w:cs="Arial"/>
                <w:sz w:val="24"/>
                <w:szCs w:val="24"/>
                <w:lang w:val="en" w:eastAsia="ja-JP"/>
              </w:rPr>
              <w:t xml:space="preserve"> secure and advance the health and welfare of the people of England and Wales.</w:t>
            </w:r>
          </w:p>
          <w:p w14:paraId="29E55CFA" w14:textId="77777777" w:rsidR="001A60C1" w:rsidRPr="00F53E83" w:rsidRDefault="001A60C1" w:rsidP="00222DBE">
            <w:pPr>
              <w:jc w:val="both"/>
              <w:rPr>
                <w:rFonts w:ascii="Arial" w:hAnsi="Arial" w:cs="Arial"/>
                <w:sz w:val="24"/>
                <w:szCs w:val="24"/>
                <w:lang w:val="en" w:eastAsia="ja-JP"/>
              </w:rPr>
            </w:pPr>
            <w:r w:rsidRPr="00F53E83">
              <w:rPr>
                <w:rFonts w:ascii="Arial" w:hAnsi="Arial" w:cs="Arial"/>
                <w:sz w:val="24"/>
                <w:szCs w:val="24"/>
                <w:lang w:val="en" w:eastAsia="ja-JP"/>
              </w:rPr>
              <w:t>In this section “NHS body” means—</w:t>
            </w:r>
          </w:p>
          <w:p w14:paraId="5F2C9DDD"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(za) a Strategic Health </w:t>
            </w:r>
            <w:proofErr w:type="gramStart"/>
            <w:r w:rsidRPr="00F53E83">
              <w:rPr>
                <w:rFonts w:ascii="Arial" w:hAnsi="Arial" w:cs="Arial"/>
                <w:sz w:val="24"/>
                <w:szCs w:val="24"/>
                <w:lang w:val="en" w:eastAsia="ja-JP"/>
              </w:rPr>
              <w:t>Authority;</w:t>
            </w:r>
            <w:proofErr w:type="gramEnd"/>
          </w:p>
          <w:p w14:paraId="4DB10638"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(a) a Health </w:t>
            </w:r>
            <w:proofErr w:type="gramStart"/>
            <w:r w:rsidRPr="00F53E83">
              <w:rPr>
                <w:rFonts w:ascii="Arial" w:hAnsi="Arial" w:cs="Arial"/>
                <w:sz w:val="24"/>
                <w:szCs w:val="24"/>
                <w:lang w:val="en" w:eastAsia="ja-JP"/>
              </w:rPr>
              <w:t>Authority;</w:t>
            </w:r>
            <w:proofErr w:type="gramEnd"/>
          </w:p>
          <w:p w14:paraId="1B487181" w14:textId="77777777" w:rsidR="001A60C1" w:rsidRPr="00F53E83" w:rsidRDefault="001A60C1" w:rsidP="00222DBE">
            <w:pPr>
              <w:ind w:left="1440"/>
              <w:jc w:val="both"/>
              <w:rPr>
                <w:rFonts w:ascii="Arial" w:hAnsi="Arial" w:cs="Arial"/>
                <w:sz w:val="24"/>
                <w:szCs w:val="24"/>
                <w:lang w:val="en" w:eastAsia="ja-JP"/>
              </w:rPr>
            </w:pPr>
            <w:r w:rsidRPr="00F53E83">
              <w:rPr>
                <w:rFonts w:ascii="Arial" w:hAnsi="Arial" w:cs="Arial"/>
                <w:sz w:val="24"/>
                <w:szCs w:val="24"/>
                <w:lang w:val="en" w:eastAsia="ja-JP"/>
              </w:rPr>
              <w:t xml:space="preserve">(b) a Special Health </w:t>
            </w:r>
            <w:proofErr w:type="gramStart"/>
            <w:r w:rsidRPr="00F53E83">
              <w:rPr>
                <w:rFonts w:ascii="Arial" w:hAnsi="Arial" w:cs="Arial"/>
                <w:sz w:val="24"/>
                <w:szCs w:val="24"/>
                <w:lang w:val="en" w:eastAsia="ja-JP"/>
              </w:rPr>
              <w:t>Authority;</w:t>
            </w:r>
            <w:proofErr w:type="gramEnd"/>
          </w:p>
          <w:p w14:paraId="45372F90" w14:textId="77777777" w:rsidR="001A60C1" w:rsidRPr="00F53E83" w:rsidRDefault="001A60C1" w:rsidP="00222DBE">
            <w:pPr>
              <w:ind w:left="1440"/>
              <w:jc w:val="both"/>
              <w:rPr>
                <w:rFonts w:ascii="Arial" w:hAnsi="Arial" w:cs="Arial"/>
                <w:b/>
                <w:bCs/>
                <w:sz w:val="24"/>
                <w:szCs w:val="24"/>
                <w:lang w:val="en" w:eastAsia="ja-JP"/>
              </w:rPr>
            </w:pPr>
            <w:r w:rsidRPr="00F53E83">
              <w:rPr>
                <w:rFonts w:ascii="Arial" w:hAnsi="Arial" w:cs="Arial"/>
                <w:sz w:val="24"/>
                <w:szCs w:val="24"/>
                <w:lang w:val="en" w:eastAsia="ja-JP"/>
              </w:rPr>
              <w:t xml:space="preserve">(d) an NHS </w:t>
            </w:r>
            <w:proofErr w:type="gramStart"/>
            <w:r w:rsidRPr="00F53E83">
              <w:rPr>
                <w:rFonts w:ascii="Arial" w:hAnsi="Arial" w:cs="Arial"/>
                <w:sz w:val="24"/>
                <w:szCs w:val="24"/>
                <w:lang w:val="en" w:eastAsia="ja-JP"/>
              </w:rPr>
              <w:t>trust</w:t>
            </w:r>
            <w:proofErr w:type="gramEnd"/>
            <w:r w:rsidRPr="00F53E83">
              <w:rPr>
                <w:rFonts w:ascii="Arial" w:hAnsi="Arial" w:cs="Arial"/>
                <w:sz w:val="24"/>
                <w:szCs w:val="24"/>
                <w:lang w:val="en" w:eastAsia="ja-JP"/>
              </w:rPr>
              <w:t>.</w:t>
            </w:r>
            <w:r w:rsidRPr="00F53E83">
              <w:rPr>
                <w:rFonts w:ascii="Arial" w:hAnsi="Arial" w:cs="Arial"/>
                <w:b/>
                <w:bCs/>
                <w:sz w:val="24"/>
                <w:szCs w:val="24"/>
                <w:lang w:val="en" w:eastAsia="ja-JP"/>
              </w:rPr>
              <w:t>]</w:t>
            </w:r>
          </w:p>
          <w:p w14:paraId="71288F03" w14:textId="77777777" w:rsidR="001A60C1" w:rsidRPr="00F53E83" w:rsidRDefault="001A60C1" w:rsidP="00222DBE">
            <w:pPr>
              <w:ind w:left="1440"/>
              <w:jc w:val="both"/>
              <w:rPr>
                <w:rFonts w:ascii="Arial" w:hAnsi="Arial" w:cs="Arial"/>
                <w:sz w:val="24"/>
                <w:szCs w:val="24"/>
                <w:lang w:eastAsia="ja-JP"/>
              </w:rPr>
            </w:pPr>
          </w:p>
        </w:tc>
        <w:tc>
          <w:tcPr>
            <w:tcW w:w="1875" w:type="dxa"/>
          </w:tcPr>
          <w:p w14:paraId="3C034EEA"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Health bodies and local authorities.</w:t>
            </w:r>
          </w:p>
        </w:tc>
      </w:tr>
      <w:tr w:rsidR="001A60C1" w:rsidRPr="00F53E83" w14:paraId="7B580848" w14:textId="77777777" w:rsidTr="00041889">
        <w:tc>
          <w:tcPr>
            <w:tcW w:w="1860" w:type="dxa"/>
          </w:tcPr>
          <w:p w14:paraId="5A2C0EBE"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National Health Service Act 2006</w:t>
            </w:r>
          </w:p>
        </w:tc>
        <w:tc>
          <w:tcPr>
            <w:tcW w:w="5507" w:type="dxa"/>
          </w:tcPr>
          <w:p w14:paraId="673E7DB1"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Section 82:</w:t>
            </w:r>
          </w:p>
          <w:p w14:paraId="6368D401" w14:textId="77777777" w:rsidR="001A60C1" w:rsidRPr="00F53E83" w:rsidRDefault="001A60C1" w:rsidP="00222DBE">
            <w:pPr>
              <w:jc w:val="both"/>
              <w:rPr>
                <w:rFonts w:ascii="Arial" w:hAnsi="Arial" w:cs="Arial"/>
                <w:sz w:val="24"/>
                <w:szCs w:val="24"/>
                <w:lang w:eastAsia="ja-JP"/>
              </w:rPr>
            </w:pPr>
            <w:r w:rsidRPr="00F53E83">
              <w:rPr>
                <w:rFonts w:ascii="Arial" w:hAnsi="Arial" w:cs="Arial"/>
                <w:sz w:val="24"/>
                <w:szCs w:val="24"/>
                <w:lang w:eastAsia="ja-JP"/>
              </w:rPr>
              <w:t xml:space="preserve">Places a duty on NHS bodies and local authorities to co-operate with one another </w:t>
            </w:r>
            <w:proofErr w:type="gramStart"/>
            <w:r w:rsidRPr="00F53E83">
              <w:rPr>
                <w:rFonts w:ascii="Arial" w:hAnsi="Arial" w:cs="Arial"/>
                <w:sz w:val="24"/>
                <w:szCs w:val="24"/>
                <w:lang w:eastAsia="ja-JP"/>
              </w:rPr>
              <w:t>in order to</w:t>
            </w:r>
            <w:proofErr w:type="gramEnd"/>
            <w:r w:rsidRPr="00F53E83">
              <w:rPr>
                <w:rFonts w:ascii="Arial" w:hAnsi="Arial" w:cs="Arial"/>
                <w:sz w:val="24"/>
                <w:szCs w:val="24"/>
                <w:lang w:eastAsia="ja-JP"/>
              </w:rPr>
              <w:t xml:space="preserve"> secure and advance the health and welfare of the people of England and Wales.</w:t>
            </w:r>
          </w:p>
        </w:tc>
        <w:tc>
          <w:tcPr>
            <w:tcW w:w="1875" w:type="dxa"/>
          </w:tcPr>
          <w:p w14:paraId="479A08FF"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Health bodies and local authorities as commissioners and providers of health and care and services, and those commissioned to provide those services.</w:t>
            </w:r>
          </w:p>
        </w:tc>
      </w:tr>
      <w:tr w:rsidR="001A60C1" w:rsidRPr="00F53E83" w14:paraId="54095BC8" w14:textId="77777777" w:rsidTr="00041889">
        <w:tc>
          <w:tcPr>
            <w:tcW w:w="1860" w:type="dxa"/>
          </w:tcPr>
          <w:p w14:paraId="7B42B6B3" w14:textId="77777777" w:rsidR="001A60C1" w:rsidRPr="00F53E83" w:rsidRDefault="001A60C1" w:rsidP="00222DBE">
            <w:pPr>
              <w:jc w:val="both"/>
              <w:rPr>
                <w:rFonts w:ascii="Arial" w:hAnsi="Arial" w:cs="Arial"/>
                <w:sz w:val="24"/>
                <w:szCs w:val="24"/>
              </w:rPr>
            </w:pPr>
            <w:r w:rsidRPr="00F53E83">
              <w:rPr>
                <w:rFonts w:ascii="Arial" w:hAnsi="Arial" w:cs="Arial"/>
                <w:sz w:val="24"/>
                <w:szCs w:val="24"/>
              </w:rPr>
              <w:t>Special Education Needs and Disability Regulations 2014</w:t>
            </w:r>
          </w:p>
        </w:tc>
        <w:tc>
          <w:tcPr>
            <w:tcW w:w="5507" w:type="dxa"/>
          </w:tcPr>
          <w:p w14:paraId="4967FDAB" w14:textId="77777777" w:rsidR="001A60C1" w:rsidRPr="00F53E83" w:rsidRDefault="001A60C1" w:rsidP="00222DBE">
            <w:pPr>
              <w:jc w:val="both"/>
              <w:rPr>
                <w:rFonts w:ascii="Arial" w:eastAsia="Calibri" w:hAnsi="Arial" w:cs="Arial"/>
                <w:sz w:val="24"/>
                <w:szCs w:val="24"/>
              </w:rPr>
            </w:pPr>
            <w:r w:rsidRPr="00F53E83">
              <w:rPr>
                <w:rFonts w:ascii="Arial" w:eastAsia="Calibri" w:hAnsi="Arial" w:cs="Arial"/>
                <w:sz w:val="24"/>
                <w:szCs w:val="24"/>
              </w:rPr>
              <w:t>Section 6:</w:t>
            </w:r>
          </w:p>
          <w:p w14:paraId="357B60B7" w14:textId="77777777" w:rsidR="001A60C1" w:rsidRPr="00F53E83" w:rsidRDefault="001A60C1" w:rsidP="00222DBE">
            <w:pPr>
              <w:jc w:val="both"/>
              <w:rPr>
                <w:rFonts w:ascii="Arial" w:eastAsia="Calibri" w:hAnsi="Arial" w:cs="Arial"/>
                <w:sz w:val="24"/>
                <w:szCs w:val="24"/>
              </w:rPr>
            </w:pPr>
            <w:r w:rsidRPr="00F53E83">
              <w:rPr>
                <w:rFonts w:ascii="Arial" w:eastAsia="Calibri" w:hAnsi="Arial" w:cs="Arial"/>
                <w:sz w:val="24"/>
                <w:szCs w:val="24"/>
              </w:rPr>
              <w:t>Where the local authority secures an EHC needs assessment for a child or young person, it must seek the following advice and information, on the needs of the child or young person, and what provision may be required to meet such needs and the outcomes that are intended to be achieved by the child or young person receiving that provision—</w:t>
            </w:r>
          </w:p>
          <w:p w14:paraId="593A0CEB" w14:textId="77777777" w:rsidR="001A60C1" w:rsidRPr="00F53E83" w:rsidRDefault="001A60C1" w:rsidP="00222DBE">
            <w:pPr>
              <w:ind w:left="1440"/>
              <w:jc w:val="both"/>
              <w:rPr>
                <w:rFonts w:ascii="Arial" w:eastAsia="Calibri" w:hAnsi="Arial" w:cs="Arial"/>
                <w:sz w:val="24"/>
                <w:szCs w:val="24"/>
                <w:lang w:val="en"/>
              </w:rPr>
            </w:pPr>
            <w:r w:rsidRPr="00F53E83">
              <w:rPr>
                <w:rFonts w:ascii="Arial" w:eastAsia="Calibri" w:hAnsi="Arial" w:cs="Arial"/>
                <w:sz w:val="24"/>
                <w:szCs w:val="24"/>
                <w:lang w:val="en"/>
              </w:rPr>
              <w:t xml:space="preserve">(c) medical advice and information from a health care professional </w:t>
            </w:r>
            <w:r w:rsidRPr="00F53E83">
              <w:rPr>
                <w:rFonts w:ascii="Arial" w:eastAsia="Calibri" w:hAnsi="Arial" w:cs="Arial"/>
                <w:sz w:val="24"/>
                <w:szCs w:val="24"/>
                <w:lang w:val="en"/>
              </w:rPr>
              <w:lastRenderedPageBreak/>
              <w:t xml:space="preserve">identified by the responsible commissioning </w:t>
            </w:r>
            <w:proofErr w:type="gramStart"/>
            <w:r w:rsidRPr="00F53E83">
              <w:rPr>
                <w:rFonts w:ascii="Arial" w:eastAsia="Calibri" w:hAnsi="Arial" w:cs="Arial"/>
                <w:sz w:val="24"/>
                <w:szCs w:val="24"/>
                <w:lang w:val="en"/>
              </w:rPr>
              <w:t>body;</w:t>
            </w:r>
            <w:proofErr w:type="gramEnd"/>
          </w:p>
          <w:p w14:paraId="230E754E" w14:textId="77777777" w:rsidR="001A60C1" w:rsidRPr="00F53E83" w:rsidRDefault="001A60C1" w:rsidP="00222DBE">
            <w:pPr>
              <w:ind w:left="1440"/>
              <w:jc w:val="both"/>
              <w:rPr>
                <w:rFonts w:ascii="Arial" w:eastAsia="Calibri" w:hAnsi="Arial" w:cs="Arial"/>
                <w:sz w:val="24"/>
                <w:szCs w:val="24"/>
                <w:lang w:val="en"/>
              </w:rPr>
            </w:pPr>
            <w:r w:rsidRPr="00F53E83">
              <w:rPr>
                <w:rFonts w:ascii="Arial" w:eastAsia="Calibri" w:hAnsi="Arial" w:cs="Arial"/>
                <w:sz w:val="24"/>
                <w:szCs w:val="24"/>
                <w:lang w:val="en"/>
              </w:rPr>
              <w:t xml:space="preserve">(d) psychological advice and information from an educational </w:t>
            </w:r>
            <w:proofErr w:type="gramStart"/>
            <w:r w:rsidRPr="00F53E83">
              <w:rPr>
                <w:rFonts w:ascii="Arial" w:eastAsia="Calibri" w:hAnsi="Arial" w:cs="Arial"/>
                <w:sz w:val="24"/>
                <w:szCs w:val="24"/>
                <w:lang w:val="en"/>
              </w:rPr>
              <w:t>psychologist;</w:t>
            </w:r>
            <w:proofErr w:type="gramEnd"/>
          </w:p>
          <w:p w14:paraId="7CB6F452" w14:textId="77777777" w:rsidR="001A60C1" w:rsidRPr="00F53E83" w:rsidRDefault="001A60C1" w:rsidP="00222DBE">
            <w:pPr>
              <w:ind w:left="1440"/>
              <w:jc w:val="both"/>
              <w:rPr>
                <w:rFonts w:ascii="Arial" w:eastAsia="Calibri" w:hAnsi="Arial" w:cs="Arial"/>
                <w:sz w:val="24"/>
                <w:szCs w:val="24"/>
                <w:lang w:val="en"/>
              </w:rPr>
            </w:pPr>
            <w:r w:rsidRPr="00F53E83">
              <w:rPr>
                <w:rFonts w:ascii="Arial" w:eastAsia="Calibri" w:hAnsi="Arial" w:cs="Arial"/>
                <w:sz w:val="24"/>
                <w:szCs w:val="24"/>
                <w:lang w:val="en"/>
              </w:rPr>
              <w:t xml:space="preserve">(e) advice and information in relation to social </w:t>
            </w:r>
            <w:proofErr w:type="gramStart"/>
            <w:r w:rsidRPr="00F53E83">
              <w:rPr>
                <w:rFonts w:ascii="Arial" w:eastAsia="Calibri" w:hAnsi="Arial" w:cs="Arial"/>
                <w:sz w:val="24"/>
                <w:szCs w:val="24"/>
                <w:lang w:val="en"/>
              </w:rPr>
              <w:t>care;</w:t>
            </w:r>
            <w:proofErr w:type="gramEnd"/>
          </w:p>
          <w:p w14:paraId="11C7D678" w14:textId="77777777" w:rsidR="001A60C1" w:rsidRPr="00F53E83" w:rsidRDefault="001A60C1" w:rsidP="00222DBE">
            <w:pPr>
              <w:ind w:left="1440"/>
              <w:jc w:val="both"/>
              <w:rPr>
                <w:rFonts w:ascii="Arial" w:eastAsia="Calibri" w:hAnsi="Arial" w:cs="Arial"/>
                <w:sz w:val="24"/>
                <w:szCs w:val="24"/>
                <w:lang w:val="en"/>
              </w:rPr>
            </w:pPr>
            <w:r w:rsidRPr="00F53E83">
              <w:rPr>
                <w:rFonts w:ascii="Arial" w:eastAsia="Calibri" w:hAnsi="Arial" w:cs="Arial"/>
                <w:sz w:val="24"/>
                <w:szCs w:val="24"/>
                <w:lang w:val="en"/>
              </w:rPr>
              <w:t xml:space="preserve">(f)advice and information from any other person the local authority thinks is </w:t>
            </w:r>
            <w:proofErr w:type="gramStart"/>
            <w:r w:rsidRPr="00F53E83">
              <w:rPr>
                <w:rFonts w:ascii="Arial" w:eastAsia="Calibri" w:hAnsi="Arial" w:cs="Arial"/>
                <w:sz w:val="24"/>
                <w:szCs w:val="24"/>
                <w:lang w:val="en"/>
              </w:rPr>
              <w:t>appropriate;</w:t>
            </w:r>
            <w:proofErr w:type="gramEnd"/>
          </w:p>
          <w:p w14:paraId="3A7B63A1" w14:textId="77777777" w:rsidR="001A60C1" w:rsidRPr="00F53E83" w:rsidRDefault="001A60C1" w:rsidP="00222DBE">
            <w:pPr>
              <w:ind w:left="1440"/>
              <w:jc w:val="both"/>
              <w:rPr>
                <w:rFonts w:ascii="Arial" w:eastAsia="Calibri" w:hAnsi="Arial" w:cs="Arial"/>
                <w:sz w:val="24"/>
                <w:szCs w:val="24"/>
              </w:rPr>
            </w:pPr>
            <w:r w:rsidRPr="00F53E83">
              <w:rPr>
                <w:rFonts w:ascii="Arial" w:eastAsia="Calibri" w:hAnsi="Arial" w:cs="Arial"/>
                <w:sz w:val="24"/>
                <w:szCs w:val="24"/>
                <w:lang w:val="en"/>
              </w:rPr>
              <w:t>(h) advice and information from any person the child’s parent or young person reasonably requests that the local authority seek advice from.</w:t>
            </w:r>
          </w:p>
        </w:tc>
        <w:tc>
          <w:tcPr>
            <w:tcW w:w="1875" w:type="dxa"/>
          </w:tcPr>
          <w:p w14:paraId="2AA9ED82" w14:textId="77777777" w:rsidR="001A60C1" w:rsidRPr="00F53E83" w:rsidDel="009C703F" w:rsidRDefault="001A60C1" w:rsidP="00222DBE">
            <w:pPr>
              <w:jc w:val="both"/>
              <w:rPr>
                <w:rFonts w:ascii="Arial" w:hAnsi="Arial" w:cs="Arial"/>
                <w:sz w:val="24"/>
                <w:szCs w:val="24"/>
              </w:rPr>
            </w:pPr>
            <w:r w:rsidRPr="00F53E83">
              <w:rPr>
                <w:rFonts w:ascii="Arial" w:hAnsi="Arial" w:cs="Arial"/>
                <w:sz w:val="24"/>
                <w:szCs w:val="24"/>
              </w:rPr>
              <w:lastRenderedPageBreak/>
              <w:t>Local authorities as commissioners and providers of health and care and services to children, and those commissioned to provide those services.</w:t>
            </w:r>
          </w:p>
        </w:tc>
      </w:tr>
    </w:tbl>
    <w:p w14:paraId="0612F368" w14:textId="777DC5FD" w:rsidR="009516E0" w:rsidRDefault="009516E0" w:rsidP="00222DBE">
      <w:pPr>
        <w:jc w:val="both"/>
        <w:rPr>
          <w:rFonts w:ascii="Arial" w:hAnsi="Arial" w:cs="Arial"/>
          <w:sz w:val="24"/>
          <w:szCs w:val="24"/>
        </w:rPr>
      </w:pPr>
    </w:p>
    <w:p w14:paraId="2F2167B5" w14:textId="77777777" w:rsidR="009516E0" w:rsidRDefault="009516E0">
      <w:pPr>
        <w:rPr>
          <w:rFonts w:ascii="Arial" w:hAnsi="Arial" w:cs="Arial"/>
          <w:sz w:val="24"/>
          <w:szCs w:val="24"/>
        </w:rPr>
      </w:pPr>
      <w:r>
        <w:rPr>
          <w:rFonts w:ascii="Arial" w:hAnsi="Arial" w:cs="Arial"/>
          <w:sz w:val="24"/>
          <w:szCs w:val="24"/>
        </w:rPr>
        <w:br w:type="page"/>
      </w:r>
    </w:p>
    <w:p w14:paraId="74A82AE8" w14:textId="1E8C4090" w:rsidR="003C485C" w:rsidRDefault="003C485C" w:rsidP="003C485C">
      <w:pPr>
        <w:pStyle w:val="Heading1"/>
        <w:jc w:val="both"/>
        <w:rPr>
          <w:rFonts w:ascii="Arial" w:hAnsi="Arial" w:cs="Arial"/>
          <w:sz w:val="28"/>
          <w:szCs w:val="28"/>
        </w:rPr>
      </w:pPr>
      <w:bookmarkStart w:id="16" w:name="_Toc78401641"/>
      <w:r>
        <w:rPr>
          <w:rFonts w:ascii="Arial" w:hAnsi="Arial" w:cs="Arial"/>
          <w:sz w:val="28"/>
          <w:szCs w:val="28"/>
        </w:rPr>
        <w:lastRenderedPageBreak/>
        <w:t xml:space="preserve">Appendix </w:t>
      </w:r>
      <w:r>
        <w:rPr>
          <w:rFonts w:ascii="Arial" w:hAnsi="Arial" w:cs="Arial"/>
          <w:sz w:val="28"/>
          <w:szCs w:val="28"/>
        </w:rPr>
        <w:t>4</w:t>
      </w:r>
      <w:r>
        <w:rPr>
          <w:rFonts w:ascii="Arial" w:hAnsi="Arial" w:cs="Arial"/>
          <w:sz w:val="28"/>
          <w:szCs w:val="28"/>
        </w:rPr>
        <w:t xml:space="preserve">. </w:t>
      </w:r>
      <w:r>
        <w:rPr>
          <w:rFonts w:ascii="Arial" w:hAnsi="Arial" w:cs="Arial"/>
          <w:sz w:val="28"/>
          <w:szCs w:val="28"/>
        </w:rPr>
        <w:t>Application of UK GDPR Article 6 and 9 processing conditions to uses of data for purposes related to reducing serious violence and safeguarding concerns</w:t>
      </w:r>
      <w:bookmarkEnd w:id="16"/>
    </w:p>
    <w:tbl>
      <w:tblPr>
        <w:tblStyle w:val="TableGrid"/>
        <w:tblW w:w="0" w:type="auto"/>
        <w:tblLook w:val="04A0" w:firstRow="1" w:lastRow="0" w:firstColumn="1" w:lastColumn="0" w:noHBand="0" w:noVBand="1"/>
      </w:tblPr>
      <w:tblGrid>
        <w:gridCol w:w="4508"/>
        <w:gridCol w:w="4508"/>
      </w:tblGrid>
      <w:tr w:rsidR="005E401E" w:rsidRPr="005E401E" w14:paraId="3E4B8B81" w14:textId="77777777" w:rsidTr="00546DF4">
        <w:trPr>
          <w:tblHeader/>
        </w:trPr>
        <w:tc>
          <w:tcPr>
            <w:tcW w:w="4508" w:type="dxa"/>
            <w:vAlign w:val="center"/>
          </w:tcPr>
          <w:p w14:paraId="282A46C6" w14:textId="77777777" w:rsidR="005E401E" w:rsidRPr="005E401E" w:rsidRDefault="005E401E" w:rsidP="005E401E">
            <w:pPr>
              <w:spacing w:after="200" w:line="276" w:lineRule="auto"/>
              <w:rPr>
                <w:rFonts w:ascii="Arial" w:hAnsi="Arial" w:cs="Arial"/>
                <w:b/>
                <w:sz w:val="24"/>
                <w:szCs w:val="24"/>
              </w:rPr>
            </w:pPr>
            <w:r w:rsidRPr="005E401E">
              <w:rPr>
                <w:rFonts w:ascii="Arial" w:hAnsi="Arial" w:cs="Arial"/>
                <w:b/>
                <w:sz w:val="24"/>
                <w:szCs w:val="24"/>
              </w:rPr>
              <w:t>UK GDPR Article 6 or Article 9 processing condition</w:t>
            </w:r>
          </w:p>
        </w:tc>
        <w:tc>
          <w:tcPr>
            <w:tcW w:w="4508" w:type="dxa"/>
            <w:vAlign w:val="center"/>
          </w:tcPr>
          <w:p w14:paraId="78E9D98A" w14:textId="77777777" w:rsidR="005E401E" w:rsidRPr="005E401E" w:rsidRDefault="005E401E" w:rsidP="005E401E">
            <w:pPr>
              <w:spacing w:after="200" w:line="276" w:lineRule="auto"/>
              <w:rPr>
                <w:rFonts w:ascii="Arial" w:hAnsi="Arial" w:cs="Arial"/>
                <w:b/>
                <w:sz w:val="24"/>
                <w:szCs w:val="24"/>
              </w:rPr>
            </w:pPr>
            <w:r w:rsidRPr="005E401E">
              <w:rPr>
                <w:rFonts w:ascii="Arial" w:hAnsi="Arial" w:cs="Arial"/>
                <w:b/>
                <w:sz w:val="24"/>
                <w:szCs w:val="24"/>
              </w:rPr>
              <w:t>Data uses, related to reducing serious violence and safeguarding concerns, likely to fall under processing condition</w:t>
            </w:r>
          </w:p>
        </w:tc>
      </w:tr>
      <w:tr w:rsidR="005E401E" w:rsidRPr="005E401E" w14:paraId="3BA22288" w14:textId="77777777" w:rsidTr="00546DF4">
        <w:tc>
          <w:tcPr>
            <w:tcW w:w="4508" w:type="dxa"/>
          </w:tcPr>
          <w:p w14:paraId="73339DD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6(1)a “the data subject has given consent to the processing of his or her personal data for one or more specific purposes”</w:t>
            </w:r>
          </w:p>
        </w:tc>
        <w:tc>
          <w:tcPr>
            <w:tcW w:w="4508" w:type="dxa"/>
          </w:tcPr>
          <w:p w14:paraId="1E3A3F7B"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This could apply to uses of data on victims or witnesses, unless overruled by public interest or a legal duty, which would be covered by another processing condition.</w:t>
            </w:r>
          </w:p>
        </w:tc>
      </w:tr>
      <w:tr w:rsidR="005E401E" w:rsidRPr="005E401E" w14:paraId="4E052CE3" w14:textId="77777777" w:rsidTr="00546DF4">
        <w:tc>
          <w:tcPr>
            <w:tcW w:w="4508" w:type="dxa"/>
          </w:tcPr>
          <w:p w14:paraId="561394DF"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6(1)b “processing is necessary for the performance of a contract to which the data subject is party or in order to take steps at the request of the data subject prior to entering into a contract”</w:t>
            </w:r>
          </w:p>
        </w:tc>
        <w:tc>
          <w:tcPr>
            <w:tcW w:w="4508" w:type="dxa"/>
          </w:tcPr>
          <w:p w14:paraId="48430434"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Unlikely to apply, unless data used is part of service provided to the data subject (</w:t>
            </w:r>
            <w:proofErr w:type="gramStart"/>
            <w:r w:rsidRPr="005E401E">
              <w:rPr>
                <w:rFonts w:ascii="Arial" w:eastAsia="Calibri" w:hAnsi="Arial" w:cs="Arial"/>
                <w:sz w:val="24"/>
                <w:szCs w:val="24"/>
              </w:rPr>
              <w:t>e.g.</w:t>
            </w:r>
            <w:proofErr w:type="gramEnd"/>
            <w:r w:rsidRPr="005E401E">
              <w:rPr>
                <w:rFonts w:ascii="Arial" w:eastAsia="Calibri" w:hAnsi="Arial" w:cs="Arial"/>
                <w:sz w:val="24"/>
                <w:szCs w:val="24"/>
              </w:rPr>
              <w:t xml:space="preserve"> a private health service and the use of data was included in the agreement/contract between service provider and data subject).</w:t>
            </w:r>
          </w:p>
        </w:tc>
      </w:tr>
      <w:tr w:rsidR="005E401E" w:rsidRPr="005E401E" w14:paraId="74EA15CB" w14:textId="77777777" w:rsidTr="00546DF4">
        <w:tc>
          <w:tcPr>
            <w:tcW w:w="4508" w:type="dxa"/>
          </w:tcPr>
          <w:p w14:paraId="3797CCD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6(1)c “processing is necessary for compliance with a legal obligation to which the controller is subject”</w:t>
            </w:r>
          </w:p>
        </w:tc>
        <w:tc>
          <w:tcPr>
            <w:tcW w:w="4508" w:type="dxa"/>
          </w:tcPr>
          <w:p w14:paraId="55994B49"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Likely to apply where data is being used/shared for a purpose for which the Controller has a duty, power or is required, in law, to use/share the data for. </w:t>
            </w:r>
          </w:p>
        </w:tc>
      </w:tr>
      <w:tr w:rsidR="005E401E" w:rsidRPr="005E401E" w14:paraId="205F4C0F" w14:textId="77777777" w:rsidTr="00546DF4">
        <w:tc>
          <w:tcPr>
            <w:tcW w:w="4508" w:type="dxa"/>
          </w:tcPr>
          <w:p w14:paraId="53530AA0"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6(1)d “processing is necessary in order to protect the vital interests of the data subject or of another natural person”</w:t>
            </w:r>
          </w:p>
        </w:tc>
        <w:tc>
          <w:tcPr>
            <w:tcW w:w="4508" w:type="dxa"/>
          </w:tcPr>
          <w:p w14:paraId="33CB7BF6"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Likely to apply where data is used/shared in </w:t>
            </w:r>
            <w:proofErr w:type="gramStart"/>
            <w:r w:rsidRPr="005E401E">
              <w:rPr>
                <w:rFonts w:ascii="Arial" w:eastAsia="Calibri" w:hAnsi="Arial" w:cs="Arial"/>
                <w:sz w:val="24"/>
                <w:szCs w:val="24"/>
              </w:rPr>
              <w:t>an emergency situation</w:t>
            </w:r>
            <w:proofErr w:type="gramEnd"/>
            <w:r w:rsidRPr="005E401E">
              <w:rPr>
                <w:rFonts w:ascii="Arial" w:eastAsia="Calibri" w:hAnsi="Arial" w:cs="Arial"/>
                <w:sz w:val="24"/>
                <w:szCs w:val="24"/>
              </w:rPr>
              <w:t>, to protect an individual from immediate serious harm or death.</w:t>
            </w:r>
          </w:p>
        </w:tc>
      </w:tr>
      <w:tr w:rsidR="005E401E" w:rsidRPr="005E401E" w14:paraId="3A894BDF" w14:textId="77777777" w:rsidTr="00546DF4">
        <w:tc>
          <w:tcPr>
            <w:tcW w:w="4508" w:type="dxa"/>
          </w:tcPr>
          <w:p w14:paraId="02F59E1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6(1)e “processing is necessary for the performance of a task carried out in the public interest or in the exercise of official authority vested in the controller”</w:t>
            </w:r>
          </w:p>
        </w:tc>
        <w:tc>
          <w:tcPr>
            <w:tcW w:w="4508" w:type="dxa"/>
          </w:tcPr>
          <w:p w14:paraId="23BD91A6"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Likely to apply where data is used for a purpose/task, for which </w:t>
            </w:r>
            <w:proofErr w:type="gramStart"/>
            <w:r w:rsidRPr="005E401E">
              <w:rPr>
                <w:rFonts w:ascii="Arial" w:eastAsia="Calibri" w:hAnsi="Arial" w:cs="Arial"/>
                <w:sz w:val="24"/>
                <w:szCs w:val="24"/>
              </w:rPr>
              <w:t>the majority of</w:t>
            </w:r>
            <w:proofErr w:type="gramEnd"/>
            <w:r w:rsidRPr="005E401E">
              <w:rPr>
                <w:rFonts w:ascii="Arial" w:eastAsia="Calibri" w:hAnsi="Arial" w:cs="Arial"/>
                <w:sz w:val="24"/>
                <w:szCs w:val="24"/>
              </w:rPr>
              <w:t xml:space="preserve"> the general public would expect the data to be used, or where the data is used by an organisation in respect of fulfilling a statutory function.</w:t>
            </w:r>
          </w:p>
        </w:tc>
      </w:tr>
      <w:tr w:rsidR="005E401E" w:rsidRPr="005E401E" w14:paraId="20DF19F4" w14:textId="77777777" w:rsidTr="00546DF4">
        <w:tc>
          <w:tcPr>
            <w:tcW w:w="4508" w:type="dxa"/>
          </w:tcPr>
          <w:p w14:paraId="40308E3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6(1)f “processing is necessary for the purposes of the legitimate interests pursued by the controller or by a third party…”</w:t>
            </w:r>
          </w:p>
        </w:tc>
        <w:tc>
          <w:tcPr>
            <w:tcW w:w="4508" w:type="dxa"/>
          </w:tcPr>
          <w:p w14:paraId="21CBC206"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Unlikely to be applicable in this context.  However, if 6(1)c nor 6(1)e applies, then this could be considered.</w:t>
            </w:r>
          </w:p>
        </w:tc>
      </w:tr>
      <w:tr w:rsidR="005E401E" w:rsidRPr="005E401E" w14:paraId="6A662EE9" w14:textId="77777777" w:rsidTr="00546DF4">
        <w:tc>
          <w:tcPr>
            <w:tcW w:w="4508" w:type="dxa"/>
          </w:tcPr>
          <w:p w14:paraId="29F35AD7"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lastRenderedPageBreak/>
              <w:t>Art 9(2)a “the data subject has given explicit consent to the processing…”</w:t>
            </w:r>
          </w:p>
        </w:tc>
        <w:tc>
          <w:tcPr>
            <w:tcW w:w="4508" w:type="dxa"/>
          </w:tcPr>
          <w:p w14:paraId="77F0C298"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This could apply to uses of data on victims or witnesses, unless overruled by public interest or a legal duty, which would be covered by another processing condition.</w:t>
            </w:r>
          </w:p>
        </w:tc>
      </w:tr>
      <w:tr w:rsidR="005E401E" w:rsidRPr="005E401E" w14:paraId="1AAB80C7" w14:textId="77777777" w:rsidTr="00546DF4">
        <w:tc>
          <w:tcPr>
            <w:tcW w:w="4508" w:type="dxa"/>
          </w:tcPr>
          <w:p w14:paraId="6D229DD9"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9(2)b “processing is necessary for the purposes of carrying out the obligations and exercising specific rights of the controller or of the data subject in the field of employment and social security and social protection law insofar as it is authorised by domestic law…”</w:t>
            </w:r>
          </w:p>
        </w:tc>
        <w:tc>
          <w:tcPr>
            <w:tcW w:w="4508" w:type="dxa"/>
          </w:tcPr>
          <w:p w14:paraId="640E7BAD"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Likely to link to key parts of social protection law, giving controllers a duty or power (depending on applicable law) to use/share relevant data for tackling serious violence and safeguarding concerns.</w:t>
            </w:r>
          </w:p>
        </w:tc>
      </w:tr>
      <w:tr w:rsidR="005E401E" w:rsidRPr="005E401E" w14:paraId="77A6660B" w14:textId="77777777" w:rsidTr="00546DF4">
        <w:tc>
          <w:tcPr>
            <w:tcW w:w="4508" w:type="dxa"/>
          </w:tcPr>
          <w:p w14:paraId="40781F78"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9(2)c “processing is necessary to protect the vital interests of the data subject or of another natural person where the data subject is physically or legally incapable of giving consent”</w:t>
            </w:r>
          </w:p>
        </w:tc>
        <w:tc>
          <w:tcPr>
            <w:tcW w:w="4508" w:type="dxa"/>
          </w:tcPr>
          <w:p w14:paraId="5B5C1BE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Likely to apply where data is used/shared in </w:t>
            </w:r>
            <w:proofErr w:type="gramStart"/>
            <w:r w:rsidRPr="005E401E">
              <w:rPr>
                <w:rFonts w:ascii="Arial" w:eastAsia="Calibri" w:hAnsi="Arial" w:cs="Arial"/>
                <w:sz w:val="24"/>
                <w:szCs w:val="24"/>
              </w:rPr>
              <w:t>an emergency situation</w:t>
            </w:r>
            <w:proofErr w:type="gramEnd"/>
            <w:r w:rsidRPr="005E401E">
              <w:rPr>
                <w:rFonts w:ascii="Arial" w:eastAsia="Calibri" w:hAnsi="Arial" w:cs="Arial"/>
                <w:sz w:val="24"/>
                <w:szCs w:val="24"/>
              </w:rPr>
              <w:t>, to protect an individual from immediate serious harm or death.</w:t>
            </w:r>
          </w:p>
        </w:tc>
      </w:tr>
      <w:tr w:rsidR="005E401E" w:rsidRPr="005E401E" w14:paraId="22A27D2A" w14:textId="77777777" w:rsidTr="00546DF4">
        <w:tc>
          <w:tcPr>
            <w:tcW w:w="4508" w:type="dxa"/>
          </w:tcPr>
          <w:p w14:paraId="45A5B5FF"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9(2)d “processing is carried out in the course of its legitimate activities with appropriate safeguards by a foundation, association or any other not-for-profit body…”</w:t>
            </w:r>
          </w:p>
        </w:tc>
        <w:tc>
          <w:tcPr>
            <w:tcW w:w="4508" w:type="dxa"/>
          </w:tcPr>
          <w:p w14:paraId="0143D72D"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Unlikely to </w:t>
            </w:r>
            <w:proofErr w:type="gramStart"/>
            <w:r w:rsidRPr="005E401E">
              <w:rPr>
                <w:rFonts w:ascii="Arial" w:eastAsia="Calibri" w:hAnsi="Arial" w:cs="Arial"/>
                <w:sz w:val="24"/>
                <w:szCs w:val="24"/>
              </w:rPr>
              <w:t>apply, unless</w:t>
            </w:r>
            <w:proofErr w:type="gramEnd"/>
            <w:r w:rsidRPr="005E401E">
              <w:rPr>
                <w:rFonts w:ascii="Arial" w:eastAsia="Calibri" w:hAnsi="Arial" w:cs="Arial"/>
                <w:sz w:val="24"/>
                <w:szCs w:val="24"/>
              </w:rPr>
              <w:t xml:space="preserve"> data used relates to a member of such a body – the processing condition does not apply to any disclosures outside of the body.</w:t>
            </w:r>
          </w:p>
        </w:tc>
      </w:tr>
      <w:tr w:rsidR="005E401E" w:rsidRPr="005E401E" w14:paraId="47B39574" w14:textId="77777777" w:rsidTr="00546DF4">
        <w:tc>
          <w:tcPr>
            <w:tcW w:w="4508" w:type="dxa"/>
          </w:tcPr>
          <w:p w14:paraId="4EA8875B"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9(2)e “processing relates to personal data which are manifestly made public by the data subject”</w:t>
            </w:r>
          </w:p>
        </w:tc>
        <w:tc>
          <w:tcPr>
            <w:tcW w:w="4508" w:type="dxa"/>
          </w:tcPr>
          <w:p w14:paraId="325D7DE5"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Unlikely to apply, as likely, even if such data was used, that another, more appropriate processing condition would apply.</w:t>
            </w:r>
          </w:p>
        </w:tc>
      </w:tr>
      <w:tr w:rsidR="005E401E" w:rsidRPr="005E401E" w14:paraId="2997539C" w14:textId="77777777" w:rsidTr="00546DF4">
        <w:tc>
          <w:tcPr>
            <w:tcW w:w="4508" w:type="dxa"/>
          </w:tcPr>
          <w:p w14:paraId="4F79661F"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9(2)f “processing is necessary for the establishment, exercise or defence of legal claims or whenever courts are acting in their judicial capacity”</w:t>
            </w:r>
          </w:p>
        </w:tc>
        <w:tc>
          <w:tcPr>
            <w:tcW w:w="4508" w:type="dxa"/>
          </w:tcPr>
          <w:p w14:paraId="7F4F8B13"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Possible this would apply, as data used could become relevant a legal claim.</w:t>
            </w:r>
          </w:p>
        </w:tc>
      </w:tr>
      <w:tr w:rsidR="005E401E" w:rsidRPr="005E401E" w14:paraId="6D9BA9DA" w14:textId="77777777" w:rsidTr="00546DF4">
        <w:tc>
          <w:tcPr>
            <w:tcW w:w="4508" w:type="dxa"/>
          </w:tcPr>
          <w:p w14:paraId="2D6F5D51"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9(2)g “processing is necessary for reasons of substantial public interest…”</w:t>
            </w:r>
          </w:p>
        </w:tc>
        <w:tc>
          <w:tcPr>
            <w:tcW w:w="4508" w:type="dxa"/>
          </w:tcPr>
          <w:p w14:paraId="245BB782"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 xml:space="preserve">This is likely to apply in many circumstances where organisations are subject to legal duties, powers etc, to </w:t>
            </w:r>
            <w:r w:rsidRPr="005E401E">
              <w:rPr>
                <w:rFonts w:ascii="Arial" w:eastAsia="Calibri" w:hAnsi="Arial" w:cs="Arial"/>
                <w:sz w:val="24"/>
                <w:szCs w:val="24"/>
              </w:rPr>
              <w:lastRenderedPageBreak/>
              <w:t>use/share data to tackle serious violence and safeguarding concerns</w:t>
            </w:r>
            <w:r w:rsidRPr="005E401E">
              <w:rPr>
                <w:rFonts w:ascii="Arial" w:eastAsia="Calibri" w:hAnsi="Arial" w:cs="Arial"/>
                <w:sz w:val="24"/>
                <w:szCs w:val="24"/>
              </w:rPr>
              <w:footnoteReference w:id="7"/>
            </w:r>
            <w:r w:rsidRPr="005E401E">
              <w:rPr>
                <w:rFonts w:ascii="Arial" w:eastAsia="Calibri" w:hAnsi="Arial" w:cs="Arial"/>
                <w:sz w:val="24"/>
                <w:szCs w:val="24"/>
              </w:rPr>
              <w:t>.</w:t>
            </w:r>
          </w:p>
        </w:tc>
      </w:tr>
      <w:tr w:rsidR="005E401E" w:rsidRPr="005E401E" w14:paraId="6CC0CC85" w14:textId="77777777" w:rsidTr="00546DF4">
        <w:tc>
          <w:tcPr>
            <w:tcW w:w="4508" w:type="dxa"/>
          </w:tcPr>
          <w:p w14:paraId="07CFEFCF"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lastRenderedPageBreak/>
              <w:t>Art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tc>
        <w:tc>
          <w:tcPr>
            <w:tcW w:w="4508" w:type="dxa"/>
          </w:tcPr>
          <w:p w14:paraId="4F2F82FC"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Likely to apply where use of data relates to the provision or management of health or social care services.</w:t>
            </w:r>
          </w:p>
        </w:tc>
      </w:tr>
      <w:tr w:rsidR="005E401E" w:rsidRPr="005E401E" w14:paraId="6A993B00" w14:textId="77777777" w:rsidTr="00546DF4">
        <w:tc>
          <w:tcPr>
            <w:tcW w:w="4508" w:type="dxa"/>
          </w:tcPr>
          <w:p w14:paraId="3B72F564"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w:t>
            </w:r>
            <w:proofErr w:type="spellStart"/>
            <w:r w:rsidRPr="005E401E">
              <w:rPr>
                <w:rFonts w:ascii="Arial" w:eastAsia="Calibri" w:hAnsi="Arial" w:cs="Arial"/>
                <w:sz w:val="24"/>
                <w:szCs w:val="24"/>
              </w:rPr>
              <w:t>i</w:t>
            </w:r>
            <w:proofErr w:type="spellEnd"/>
            <w:r w:rsidRPr="005E401E">
              <w:rPr>
                <w:rFonts w:ascii="Arial" w:eastAsia="Calibri" w:hAnsi="Arial" w:cs="Arial"/>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p>
        </w:tc>
        <w:tc>
          <w:tcPr>
            <w:tcW w:w="4508" w:type="dxa"/>
          </w:tcPr>
          <w:p w14:paraId="443CC688"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Unlikely to apply to uses of data for tackling serious violence and safeguarding concerns. It has a relation to public health, but this condition lends itself more specifically to processing of data necessary to tackle serious cross border threats (such as a pandemic), etc</w:t>
            </w:r>
          </w:p>
        </w:tc>
      </w:tr>
      <w:tr w:rsidR="005E401E" w:rsidRPr="005E401E" w14:paraId="13F781E4" w14:textId="77777777" w:rsidTr="00546DF4">
        <w:tc>
          <w:tcPr>
            <w:tcW w:w="4508" w:type="dxa"/>
          </w:tcPr>
          <w:p w14:paraId="137968E9"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Art 9(2)j “processing is necessary for archiving purposes in the public interest, scientific or historical research purposes or statistical purposes…”</w:t>
            </w:r>
          </w:p>
        </w:tc>
        <w:tc>
          <w:tcPr>
            <w:tcW w:w="4508" w:type="dxa"/>
          </w:tcPr>
          <w:p w14:paraId="33BA7A6D" w14:textId="77777777" w:rsidR="005E401E" w:rsidRPr="005E401E" w:rsidRDefault="005E401E" w:rsidP="005E401E">
            <w:pPr>
              <w:spacing w:after="200" w:line="276" w:lineRule="auto"/>
              <w:rPr>
                <w:rFonts w:ascii="Arial" w:eastAsia="Calibri" w:hAnsi="Arial" w:cs="Arial"/>
                <w:sz w:val="24"/>
                <w:szCs w:val="24"/>
              </w:rPr>
            </w:pPr>
            <w:r w:rsidRPr="005E401E">
              <w:rPr>
                <w:rFonts w:ascii="Arial" w:eastAsia="Calibri" w:hAnsi="Arial" w:cs="Arial"/>
                <w:sz w:val="24"/>
                <w:szCs w:val="24"/>
              </w:rPr>
              <w:t>Unlikely to apply until such time as there is no longer necessity to retain data under other processing conditions and so data may be appraised and retained for longer should this condition apply.</w:t>
            </w:r>
          </w:p>
        </w:tc>
      </w:tr>
    </w:tbl>
    <w:p w14:paraId="059596B4" w14:textId="77777777" w:rsidR="00A419E2" w:rsidRPr="00A419E2" w:rsidRDefault="00A419E2" w:rsidP="00A419E2"/>
    <w:p w14:paraId="123AC765" w14:textId="74001AF2" w:rsidR="00A419E2" w:rsidRDefault="00A419E2">
      <w:r>
        <w:br w:type="page"/>
      </w:r>
    </w:p>
    <w:p w14:paraId="69687DF6" w14:textId="6182A212" w:rsidR="009516E0" w:rsidRPr="007E017E" w:rsidRDefault="009516E0" w:rsidP="009516E0">
      <w:pPr>
        <w:pStyle w:val="Heading1"/>
        <w:jc w:val="both"/>
        <w:rPr>
          <w:rFonts w:ascii="Arial" w:hAnsi="Arial" w:cs="Arial"/>
          <w:sz w:val="28"/>
          <w:szCs w:val="28"/>
        </w:rPr>
      </w:pPr>
      <w:bookmarkStart w:id="17" w:name="_Toc78401642"/>
      <w:r>
        <w:rPr>
          <w:rFonts w:ascii="Arial" w:hAnsi="Arial" w:cs="Arial"/>
          <w:sz w:val="28"/>
          <w:szCs w:val="28"/>
        </w:rPr>
        <w:lastRenderedPageBreak/>
        <w:t xml:space="preserve">Appendix </w:t>
      </w:r>
      <w:r w:rsidR="003C485C">
        <w:rPr>
          <w:rFonts w:ascii="Arial" w:hAnsi="Arial" w:cs="Arial"/>
          <w:sz w:val="28"/>
          <w:szCs w:val="28"/>
        </w:rPr>
        <w:t>5</w:t>
      </w:r>
      <w:r w:rsidR="00473054">
        <w:rPr>
          <w:rFonts w:ascii="Arial" w:hAnsi="Arial" w:cs="Arial"/>
          <w:sz w:val="28"/>
          <w:szCs w:val="28"/>
        </w:rPr>
        <w:t>.</w:t>
      </w:r>
      <w:r>
        <w:rPr>
          <w:rFonts w:ascii="Arial" w:hAnsi="Arial" w:cs="Arial"/>
          <w:sz w:val="28"/>
          <w:szCs w:val="28"/>
        </w:rPr>
        <w:t xml:space="preserve"> </w:t>
      </w:r>
      <w:r w:rsidRPr="007E017E">
        <w:rPr>
          <w:rFonts w:ascii="Arial" w:hAnsi="Arial" w:cs="Arial"/>
          <w:sz w:val="28"/>
          <w:szCs w:val="28"/>
        </w:rPr>
        <w:t>Qualifying</w:t>
      </w:r>
      <w:r>
        <w:rPr>
          <w:rFonts w:ascii="Arial" w:hAnsi="Arial" w:cs="Arial"/>
          <w:sz w:val="28"/>
          <w:szCs w:val="28"/>
        </w:rPr>
        <w:t xml:space="preserve"> </w:t>
      </w:r>
      <w:r w:rsidRPr="007E017E">
        <w:rPr>
          <w:rFonts w:ascii="Arial" w:hAnsi="Arial" w:cs="Arial"/>
          <w:sz w:val="28"/>
          <w:szCs w:val="28"/>
        </w:rPr>
        <w:t>Standard</w:t>
      </w:r>
      <w:r w:rsidR="002E03B0">
        <w:rPr>
          <w:rFonts w:ascii="Arial" w:hAnsi="Arial" w:cs="Arial"/>
          <w:sz w:val="28"/>
          <w:szCs w:val="28"/>
        </w:rPr>
        <w:t xml:space="preserve"> (Example)</w:t>
      </w:r>
      <w:bookmarkEnd w:id="17"/>
    </w:p>
    <w:p w14:paraId="68B526A6" w14:textId="420086E3" w:rsidR="009516E0" w:rsidRPr="00F53E83" w:rsidRDefault="009516E0" w:rsidP="009516E0">
      <w:pPr>
        <w:jc w:val="both"/>
        <w:rPr>
          <w:rFonts w:ascii="Arial" w:hAnsi="Arial" w:cs="Arial"/>
          <w:sz w:val="24"/>
          <w:szCs w:val="24"/>
        </w:rPr>
      </w:pPr>
      <w:r w:rsidRPr="00F53E83">
        <w:rPr>
          <w:rFonts w:ascii="Arial" w:hAnsi="Arial" w:cs="Arial"/>
          <w:sz w:val="24"/>
          <w:szCs w:val="24"/>
        </w:rPr>
        <w:t>The Qualifying Standard for organisations to achieve to sign up to this sharing agreement is achievement of ‘standards met’ to the current version of the Data Security &amp; Protection Toolkit (</w:t>
      </w:r>
      <w:hyperlink r:id="rId22" w:history="1">
        <w:r w:rsidRPr="00F53E83">
          <w:rPr>
            <w:rStyle w:val="Hyperlink"/>
            <w:rFonts w:ascii="Arial" w:hAnsi="Arial" w:cs="Arial"/>
            <w:sz w:val="24"/>
            <w:szCs w:val="24"/>
          </w:rPr>
          <w:t>https://www.dsptoolkit.nhs.uk/</w:t>
        </w:r>
      </w:hyperlink>
      <w:r w:rsidRPr="00F53E83">
        <w:rPr>
          <w:rFonts w:ascii="Arial" w:hAnsi="Arial" w:cs="Arial"/>
          <w:sz w:val="24"/>
          <w:szCs w:val="24"/>
        </w:rPr>
        <w:t>).</w:t>
      </w:r>
    </w:p>
    <w:p w14:paraId="089897CF" w14:textId="77777777" w:rsidR="009516E0" w:rsidRPr="00F53E83" w:rsidRDefault="009516E0" w:rsidP="009516E0">
      <w:pPr>
        <w:jc w:val="both"/>
        <w:rPr>
          <w:rFonts w:ascii="Arial" w:hAnsi="Arial" w:cs="Arial"/>
          <w:b/>
          <w:sz w:val="24"/>
          <w:szCs w:val="24"/>
        </w:rPr>
      </w:pPr>
      <w:r w:rsidRPr="00F53E83">
        <w:rPr>
          <w:rFonts w:ascii="Arial" w:hAnsi="Arial" w:cs="Arial"/>
          <w:b/>
          <w:sz w:val="24"/>
          <w:szCs w:val="24"/>
        </w:rPr>
        <w:t>Where organisations have completed the toolkit but not achieved ‘standards met’.</w:t>
      </w:r>
    </w:p>
    <w:p w14:paraId="61048A15" w14:textId="77777777" w:rsidR="009516E0" w:rsidRPr="00F53E83" w:rsidRDefault="009516E0" w:rsidP="009516E0">
      <w:pPr>
        <w:jc w:val="both"/>
        <w:rPr>
          <w:rFonts w:ascii="Arial" w:hAnsi="Arial" w:cs="Arial"/>
          <w:sz w:val="24"/>
          <w:szCs w:val="24"/>
        </w:rPr>
      </w:pPr>
      <w:r w:rsidRPr="00F53E83">
        <w:rPr>
          <w:rFonts w:ascii="Arial" w:hAnsi="Arial" w:cs="Arial"/>
          <w:sz w:val="24"/>
          <w:szCs w:val="24"/>
        </w:rPr>
        <w:t>In these cases, organisations will be asked to:</w:t>
      </w:r>
    </w:p>
    <w:p w14:paraId="06323614" w14:textId="268E6B45" w:rsidR="009516E0" w:rsidRPr="00F53E83" w:rsidRDefault="009516E0" w:rsidP="009516E0">
      <w:pPr>
        <w:pStyle w:val="ListParagraph"/>
        <w:numPr>
          <w:ilvl w:val="0"/>
          <w:numId w:val="25"/>
        </w:numPr>
        <w:jc w:val="both"/>
        <w:rPr>
          <w:rFonts w:ascii="Arial" w:hAnsi="Arial" w:cs="Arial"/>
          <w:sz w:val="24"/>
          <w:szCs w:val="24"/>
        </w:rPr>
      </w:pPr>
      <w:r w:rsidRPr="00F53E83">
        <w:rPr>
          <w:rFonts w:ascii="Arial" w:hAnsi="Arial" w:cs="Arial"/>
          <w:sz w:val="24"/>
          <w:szCs w:val="24"/>
        </w:rPr>
        <w:t xml:space="preserve">Confirm the standards within </w:t>
      </w:r>
      <w:r w:rsidR="00C22348">
        <w:rPr>
          <w:rFonts w:ascii="Arial" w:hAnsi="Arial" w:cs="Arial"/>
          <w:sz w:val="24"/>
          <w:szCs w:val="24"/>
        </w:rPr>
        <w:t xml:space="preserve">DSP </w:t>
      </w:r>
      <w:r w:rsidRPr="00F53E83">
        <w:rPr>
          <w:rFonts w:ascii="Arial" w:hAnsi="Arial" w:cs="Arial"/>
          <w:sz w:val="24"/>
          <w:szCs w:val="24"/>
        </w:rPr>
        <w:t>T</w:t>
      </w:r>
      <w:r w:rsidR="00C22348">
        <w:rPr>
          <w:rFonts w:ascii="Arial" w:hAnsi="Arial" w:cs="Arial"/>
          <w:sz w:val="24"/>
          <w:szCs w:val="24"/>
        </w:rPr>
        <w:t>oolkit</w:t>
      </w:r>
      <w:r w:rsidRPr="00F53E83">
        <w:rPr>
          <w:rFonts w:ascii="Arial" w:hAnsi="Arial" w:cs="Arial"/>
          <w:sz w:val="24"/>
          <w:szCs w:val="24"/>
        </w:rPr>
        <w:t xml:space="preserve"> that they have not met</w:t>
      </w:r>
    </w:p>
    <w:p w14:paraId="4F5146B3" w14:textId="77777777" w:rsidR="009516E0" w:rsidRPr="00F53E83" w:rsidRDefault="009516E0" w:rsidP="009516E0">
      <w:pPr>
        <w:pStyle w:val="ListParagraph"/>
        <w:numPr>
          <w:ilvl w:val="0"/>
          <w:numId w:val="25"/>
        </w:numPr>
        <w:jc w:val="both"/>
        <w:rPr>
          <w:rFonts w:ascii="Arial" w:hAnsi="Arial" w:cs="Arial"/>
          <w:sz w:val="24"/>
          <w:szCs w:val="24"/>
        </w:rPr>
      </w:pPr>
      <w:r w:rsidRPr="00F53E83">
        <w:rPr>
          <w:rFonts w:ascii="Arial" w:hAnsi="Arial" w:cs="Arial"/>
          <w:sz w:val="24"/>
          <w:szCs w:val="24"/>
        </w:rPr>
        <w:t>Confirm the timescale by when they plan to achieve these standards</w:t>
      </w:r>
    </w:p>
    <w:p w14:paraId="7C122C06" w14:textId="77777777" w:rsidR="009516E0" w:rsidRPr="00F53E83" w:rsidRDefault="009516E0" w:rsidP="009516E0">
      <w:pPr>
        <w:pStyle w:val="ListParagraph"/>
        <w:numPr>
          <w:ilvl w:val="0"/>
          <w:numId w:val="25"/>
        </w:numPr>
        <w:jc w:val="both"/>
        <w:rPr>
          <w:rFonts w:ascii="Arial" w:hAnsi="Arial" w:cs="Arial"/>
          <w:sz w:val="24"/>
          <w:szCs w:val="24"/>
        </w:rPr>
      </w:pPr>
      <w:r w:rsidRPr="00F53E83">
        <w:rPr>
          <w:rFonts w:ascii="Arial" w:hAnsi="Arial" w:cs="Arial"/>
          <w:sz w:val="24"/>
          <w:szCs w:val="24"/>
        </w:rPr>
        <w:t>Identify any other standards/accreditations they have that relate</w:t>
      </w:r>
    </w:p>
    <w:p w14:paraId="602FCAB4" w14:textId="639198B0" w:rsidR="009516E0" w:rsidRDefault="009516E0" w:rsidP="009516E0">
      <w:pPr>
        <w:jc w:val="both"/>
        <w:rPr>
          <w:rFonts w:ascii="Arial" w:hAnsi="Arial" w:cs="Arial"/>
          <w:sz w:val="24"/>
          <w:szCs w:val="24"/>
        </w:rPr>
      </w:pPr>
      <w:r w:rsidRPr="00F53E83">
        <w:rPr>
          <w:rFonts w:ascii="Arial" w:hAnsi="Arial" w:cs="Arial"/>
          <w:sz w:val="24"/>
          <w:szCs w:val="24"/>
        </w:rPr>
        <w:t xml:space="preserve">The </w:t>
      </w:r>
      <w:r w:rsidRPr="002E03B0">
        <w:rPr>
          <w:rFonts w:ascii="Arial" w:hAnsi="Arial" w:cs="Arial"/>
          <w:sz w:val="24"/>
          <w:szCs w:val="24"/>
        </w:rPr>
        <w:t>Information Governance Advisory Panel</w:t>
      </w:r>
      <w:r w:rsidR="002E03B0">
        <w:rPr>
          <w:rFonts w:ascii="Arial" w:hAnsi="Arial" w:cs="Arial"/>
          <w:sz w:val="24"/>
          <w:szCs w:val="24"/>
        </w:rPr>
        <w:t xml:space="preserve"> (or equivalent)</w:t>
      </w:r>
      <w:r w:rsidRPr="00F53E83">
        <w:rPr>
          <w:rFonts w:ascii="Arial" w:hAnsi="Arial" w:cs="Arial"/>
          <w:sz w:val="24"/>
          <w:szCs w:val="24"/>
        </w:rPr>
        <w:t xml:space="preserve"> will receive and consider the position of the organisation and make recommendation to </w:t>
      </w:r>
      <w:r>
        <w:rPr>
          <w:rFonts w:ascii="Arial" w:hAnsi="Arial" w:cs="Arial"/>
          <w:sz w:val="24"/>
          <w:szCs w:val="24"/>
        </w:rPr>
        <w:t>systems’</w:t>
      </w:r>
      <w:r w:rsidRPr="00F53E83">
        <w:rPr>
          <w:rFonts w:ascii="Arial" w:hAnsi="Arial" w:cs="Arial"/>
          <w:sz w:val="24"/>
          <w:szCs w:val="24"/>
        </w:rPr>
        <w:t xml:space="preserve"> Digital Strategy Group</w:t>
      </w:r>
      <w:r>
        <w:rPr>
          <w:rFonts w:ascii="Arial" w:hAnsi="Arial" w:cs="Arial"/>
          <w:sz w:val="24"/>
          <w:szCs w:val="24"/>
        </w:rPr>
        <w:t xml:space="preserve"> </w:t>
      </w:r>
      <w:r w:rsidR="002E03B0">
        <w:rPr>
          <w:rFonts w:ascii="Arial" w:hAnsi="Arial" w:cs="Arial"/>
          <w:sz w:val="24"/>
          <w:szCs w:val="24"/>
        </w:rPr>
        <w:t>(</w:t>
      </w:r>
      <w:r>
        <w:rPr>
          <w:rFonts w:ascii="Arial" w:hAnsi="Arial" w:cs="Arial"/>
          <w:sz w:val="24"/>
          <w:szCs w:val="24"/>
        </w:rPr>
        <w:t>or equivalent</w:t>
      </w:r>
      <w:r w:rsidR="002E03B0">
        <w:rPr>
          <w:rFonts w:ascii="Arial" w:hAnsi="Arial" w:cs="Arial"/>
          <w:sz w:val="24"/>
          <w:szCs w:val="24"/>
        </w:rPr>
        <w:t>)</w:t>
      </w:r>
      <w:r w:rsidRPr="00F53E83">
        <w:rPr>
          <w:rFonts w:ascii="Arial" w:hAnsi="Arial" w:cs="Arial"/>
          <w:sz w:val="24"/>
          <w:szCs w:val="24"/>
        </w:rPr>
        <w:t xml:space="preserve"> that the organisation can/cannot sign at this time.</w:t>
      </w:r>
    </w:p>
    <w:p w14:paraId="24804438" w14:textId="77777777" w:rsidR="009516E0" w:rsidRPr="00F53E83" w:rsidRDefault="009516E0" w:rsidP="009516E0">
      <w:pPr>
        <w:jc w:val="both"/>
        <w:rPr>
          <w:rFonts w:ascii="Arial" w:hAnsi="Arial" w:cs="Arial"/>
          <w:sz w:val="24"/>
          <w:szCs w:val="24"/>
        </w:rPr>
      </w:pPr>
    </w:p>
    <w:p w14:paraId="67C5D03D" w14:textId="40B5EBCA" w:rsidR="009516E0" w:rsidRPr="00F53E83" w:rsidRDefault="009516E0" w:rsidP="009516E0">
      <w:pPr>
        <w:jc w:val="both"/>
        <w:rPr>
          <w:rFonts w:ascii="Arial" w:hAnsi="Arial" w:cs="Arial"/>
          <w:sz w:val="24"/>
          <w:szCs w:val="24"/>
        </w:rPr>
      </w:pPr>
      <w:r w:rsidRPr="00F53E83">
        <w:rPr>
          <w:rFonts w:ascii="Arial" w:hAnsi="Arial" w:cs="Arial"/>
          <w:b/>
          <w:sz w:val="24"/>
          <w:szCs w:val="24"/>
        </w:rPr>
        <w:t>Where organisations are not required to complete the DSP</w:t>
      </w:r>
      <w:r w:rsidR="00C22348">
        <w:rPr>
          <w:rFonts w:ascii="Arial" w:hAnsi="Arial" w:cs="Arial"/>
          <w:b/>
          <w:sz w:val="24"/>
          <w:szCs w:val="24"/>
        </w:rPr>
        <w:t xml:space="preserve"> </w:t>
      </w:r>
      <w:r w:rsidRPr="00F53E83">
        <w:rPr>
          <w:rFonts w:ascii="Arial" w:hAnsi="Arial" w:cs="Arial"/>
          <w:b/>
          <w:sz w:val="24"/>
          <w:szCs w:val="24"/>
        </w:rPr>
        <w:t>T</w:t>
      </w:r>
      <w:r w:rsidR="00C22348">
        <w:rPr>
          <w:rFonts w:ascii="Arial" w:hAnsi="Arial" w:cs="Arial"/>
          <w:b/>
          <w:sz w:val="24"/>
          <w:szCs w:val="24"/>
        </w:rPr>
        <w:t>oolkit</w:t>
      </w:r>
    </w:p>
    <w:p w14:paraId="2AD2A155" w14:textId="1E23874A" w:rsidR="009516E0" w:rsidRPr="00F53E83" w:rsidRDefault="009516E0" w:rsidP="009516E0">
      <w:pPr>
        <w:jc w:val="both"/>
        <w:rPr>
          <w:rFonts w:ascii="Arial" w:hAnsi="Arial" w:cs="Arial"/>
          <w:sz w:val="24"/>
          <w:szCs w:val="24"/>
        </w:rPr>
      </w:pPr>
      <w:r>
        <w:rPr>
          <w:rFonts w:ascii="Arial" w:hAnsi="Arial" w:cs="Arial"/>
          <w:sz w:val="24"/>
          <w:szCs w:val="24"/>
        </w:rPr>
        <w:t>O</w:t>
      </w:r>
      <w:r w:rsidRPr="00F53E83">
        <w:rPr>
          <w:rFonts w:ascii="Arial" w:hAnsi="Arial" w:cs="Arial"/>
          <w:sz w:val="24"/>
          <w:szCs w:val="24"/>
        </w:rPr>
        <w:t>rganisations in this position</w:t>
      </w:r>
      <w:r>
        <w:rPr>
          <w:rFonts w:ascii="Arial" w:hAnsi="Arial" w:cs="Arial"/>
          <w:sz w:val="24"/>
          <w:szCs w:val="24"/>
        </w:rPr>
        <w:t xml:space="preserve"> </w:t>
      </w:r>
      <w:r w:rsidRPr="00F53E83">
        <w:rPr>
          <w:rFonts w:ascii="Arial" w:hAnsi="Arial" w:cs="Arial"/>
          <w:sz w:val="24"/>
          <w:szCs w:val="24"/>
        </w:rPr>
        <w:t>will be invited to complete the DSP</w:t>
      </w:r>
      <w:r w:rsidR="00C22348">
        <w:rPr>
          <w:rFonts w:ascii="Arial" w:hAnsi="Arial" w:cs="Arial"/>
          <w:sz w:val="24"/>
          <w:szCs w:val="24"/>
        </w:rPr>
        <w:t xml:space="preserve"> </w:t>
      </w:r>
      <w:r w:rsidRPr="00F53E83">
        <w:rPr>
          <w:rFonts w:ascii="Arial" w:hAnsi="Arial" w:cs="Arial"/>
          <w:sz w:val="24"/>
          <w:szCs w:val="24"/>
        </w:rPr>
        <w:t>T</w:t>
      </w:r>
      <w:r w:rsidR="00C22348">
        <w:rPr>
          <w:rFonts w:ascii="Arial" w:hAnsi="Arial" w:cs="Arial"/>
          <w:sz w:val="24"/>
          <w:szCs w:val="24"/>
        </w:rPr>
        <w:t>oolkit</w:t>
      </w:r>
      <w:r w:rsidRPr="00F53E83">
        <w:rPr>
          <w:rFonts w:ascii="Arial" w:hAnsi="Arial" w:cs="Arial"/>
          <w:sz w:val="24"/>
          <w:szCs w:val="24"/>
        </w:rPr>
        <w:t xml:space="preserve"> voluntarily.  If they are unwilling to do so, perhaps on the basis that they have already achieved other accreditations related to information governance and data security then the </w:t>
      </w:r>
      <w:r>
        <w:rPr>
          <w:rFonts w:ascii="Arial" w:hAnsi="Arial" w:cs="Arial"/>
          <w:sz w:val="24"/>
          <w:szCs w:val="24"/>
        </w:rPr>
        <w:t xml:space="preserve">Information Governance </w:t>
      </w:r>
      <w:r w:rsidRPr="00F53E83">
        <w:rPr>
          <w:rFonts w:ascii="Arial" w:hAnsi="Arial" w:cs="Arial"/>
          <w:sz w:val="24"/>
          <w:szCs w:val="24"/>
        </w:rPr>
        <w:t>Advisory Panel</w:t>
      </w:r>
      <w:r w:rsidR="002E03B0">
        <w:rPr>
          <w:rFonts w:ascii="Arial" w:hAnsi="Arial" w:cs="Arial"/>
          <w:sz w:val="24"/>
          <w:szCs w:val="24"/>
        </w:rPr>
        <w:t xml:space="preserve"> (or equivalent)</w:t>
      </w:r>
      <w:r w:rsidRPr="00F53E83">
        <w:rPr>
          <w:rFonts w:ascii="Arial" w:hAnsi="Arial" w:cs="Arial"/>
          <w:sz w:val="24"/>
          <w:szCs w:val="24"/>
        </w:rPr>
        <w:t xml:space="preserve"> will invite them to detail those accreditations along with any narrative the organisation wishes to provide.  This will be reviewed by the panel and any recommendation made provided to the </w:t>
      </w:r>
      <w:r w:rsidR="002E03B0">
        <w:rPr>
          <w:rFonts w:ascii="Arial" w:hAnsi="Arial" w:cs="Arial"/>
          <w:sz w:val="24"/>
          <w:szCs w:val="24"/>
        </w:rPr>
        <w:t>Digital Strategy Group (or equivalent)</w:t>
      </w:r>
      <w:r w:rsidRPr="00F53E83">
        <w:rPr>
          <w:rFonts w:ascii="Arial" w:hAnsi="Arial" w:cs="Arial"/>
          <w:sz w:val="24"/>
          <w:szCs w:val="24"/>
        </w:rPr>
        <w:t xml:space="preserve"> for consideration.</w:t>
      </w:r>
    </w:p>
    <w:p w14:paraId="6D84064E" w14:textId="5A93FA3F" w:rsidR="009516E0" w:rsidRPr="00F53E83" w:rsidRDefault="009516E0" w:rsidP="009516E0">
      <w:pPr>
        <w:jc w:val="both"/>
        <w:rPr>
          <w:rFonts w:ascii="Arial" w:hAnsi="Arial" w:cs="Arial"/>
          <w:b/>
          <w:sz w:val="24"/>
          <w:szCs w:val="24"/>
        </w:rPr>
      </w:pPr>
      <w:r w:rsidRPr="00F53E83">
        <w:rPr>
          <w:rFonts w:ascii="Arial" w:hAnsi="Arial" w:cs="Arial"/>
          <w:b/>
          <w:sz w:val="24"/>
          <w:szCs w:val="24"/>
        </w:rPr>
        <w:t>Where an organisation has previously been compliant with DSP</w:t>
      </w:r>
      <w:r w:rsidR="00C22348">
        <w:rPr>
          <w:rFonts w:ascii="Arial" w:hAnsi="Arial" w:cs="Arial"/>
          <w:b/>
          <w:sz w:val="24"/>
          <w:szCs w:val="24"/>
        </w:rPr>
        <w:t xml:space="preserve"> </w:t>
      </w:r>
      <w:r w:rsidRPr="00F53E83">
        <w:rPr>
          <w:rFonts w:ascii="Arial" w:hAnsi="Arial" w:cs="Arial"/>
          <w:b/>
          <w:sz w:val="24"/>
          <w:szCs w:val="24"/>
        </w:rPr>
        <w:t>T</w:t>
      </w:r>
      <w:r w:rsidR="00C22348">
        <w:rPr>
          <w:rFonts w:ascii="Arial" w:hAnsi="Arial" w:cs="Arial"/>
          <w:b/>
          <w:sz w:val="24"/>
          <w:szCs w:val="24"/>
        </w:rPr>
        <w:t>oolkit</w:t>
      </w:r>
      <w:r w:rsidRPr="00F53E83">
        <w:rPr>
          <w:rFonts w:ascii="Arial" w:hAnsi="Arial" w:cs="Arial"/>
          <w:b/>
          <w:sz w:val="24"/>
          <w:szCs w:val="24"/>
        </w:rPr>
        <w:t xml:space="preserve"> or </w:t>
      </w:r>
      <w:proofErr w:type="gramStart"/>
      <w:r w:rsidRPr="00F53E83">
        <w:rPr>
          <w:rFonts w:ascii="Arial" w:hAnsi="Arial" w:cs="Arial"/>
          <w:b/>
          <w:sz w:val="24"/>
          <w:szCs w:val="24"/>
        </w:rPr>
        <w:t>other</w:t>
      </w:r>
      <w:proofErr w:type="gramEnd"/>
      <w:r w:rsidRPr="00F53E83">
        <w:rPr>
          <w:rFonts w:ascii="Arial" w:hAnsi="Arial" w:cs="Arial"/>
          <w:b/>
          <w:sz w:val="24"/>
          <w:szCs w:val="24"/>
        </w:rPr>
        <w:t xml:space="preserve"> approved accreditation but it has expired.</w:t>
      </w:r>
    </w:p>
    <w:p w14:paraId="7CF2C2A9" w14:textId="79F42723" w:rsidR="00292D66" w:rsidRDefault="009516E0" w:rsidP="009516E0">
      <w:pPr>
        <w:jc w:val="both"/>
        <w:rPr>
          <w:rFonts w:ascii="Arial" w:hAnsi="Arial" w:cs="Arial"/>
          <w:sz w:val="24"/>
          <w:szCs w:val="24"/>
        </w:rPr>
      </w:pPr>
      <w:r w:rsidRPr="00F53E83">
        <w:rPr>
          <w:rFonts w:ascii="Arial" w:hAnsi="Arial" w:cs="Arial"/>
          <w:sz w:val="24"/>
          <w:szCs w:val="24"/>
        </w:rPr>
        <w:t>The organisation will be asked to confirm their plans for reviewing and updating their DSP</w:t>
      </w:r>
      <w:r w:rsidR="00C22348">
        <w:rPr>
          <w:rFonts w:ascii="Arial" w:hAnsi="Arial" w:cs="Arial"/>
          <w:sz w:val="24"/>
          <w:szCs w:val="24"/>
        </w:rPr>
        <w:t xml:space="preserve"> </w:t>
      </w:r>
      <w:r w:rsidRPr="00F53E83">
        <w:rPr>
          <w:rFonts w:ascii="Arial" w:hAnsi="Arial" w:cs="Arial"/>
          <w:sz w:val="24"/>
          <w:szCs w:val="24"/>
        </w:rPr>
        <w:t>T</w:t>
      </w:r>
      <w:r w:rsidR="00C22348">
        <w:rPr>
          <w:rFonts w:ascii="Arial" w:hAnsi="Arial" w:cs="Arial"/>
          <w:sz w:val="24"/>
          <w:szCs w:val="24"/>
        </w:rPr>
        <w:t>oolkit</w:t>
      </w:r>
      <w:r w:rsidRPr="00F53E83">
        <w:rPr>
          <w:rFonts w:ascii="Arial" w:hAnsi="Arial" w:cs="Arial"/>
          <w:sz w:val="24"/>
          <w:szCs w:val="24"/>
        </w:rPr>
        <w:t xml:space="preserve"> or accreditation.  The </w:t>
      </w:r>
      <w:r>
        <w:rPr>
          <w:rFonts w:ascii="Arial" w:hAnsi="Arial" w:cs="Arial"/>
          <w:sz w:val="24"/>
          <w:szCs w:val="24"/>
        </w:rPr>
        <w:t xml:space="preserve">Information Governance </w:t>
      </w:r>
      <w:r w:rsidRPr="00F53E83">
        <w:rPr>
          <w:rFonts w:ascii="Arial" w:hAnsi="Arial" w:cs="Arial"/>
          <w:sz w:val="24"/>
          <w:szCs w:val="24"/>
        </w:rPr>
        <w:t>Advisory Panel</w:t>
      </w:r>
      <w:r w:rsidR="002E03B0">
        <w:rPr>
          <w:rFonts w:ascii="Arial" w:hAnsi="Arial" w:cs="Arial"/>
          <w:sz w:val="24"/>
          <w:szCs w:val="24"/>
        </w:rPr>
        <w:t xml:space="preserve"> (or equivalent)</w:t>
      </w:r>
      <w:r w:rsidRPr="00F53E83">
        <w:rPr>
          <w:rFonts w:ascii="Arial" w:hAnsi="Arial" w:cs="Arial"/>
          <w:sz w:val="24"/>
          <w:szCs w:val="24"/>
        </w:rPr>
        <w:t xml:space="preserve"> will make recommendation</w:t>
      </w:r>
      <w:r w:rsidR="002E03B0">
        <w:rPr>
          <w:rFonts w:ascii="Arial" w:hAnsi="Arial" w:cs="Arial"/>
          <w:sz w:val="24"/>
          <w:szCs w:val="24"/>
        </w:rPr>
        <w:t>s</w:t>
      </w:r>
      <w:r w:rsidRPr="00F53E83">
        <w:rPr>
          <w:rFonts w:ascii="Arial" w:hAnsi="Arial" w:cs="Arial"/>
          <w:sz w:val="24"/>
          <w:szCs w:val="24"/>
        </w:rPr>
        <w:t xml:space="preserve"> to the Digital Strategy Group</w:t>
      </w:r>
      <w:r w:rsidR="002E03B0">
        <w:rPr>
          <w:rFonts w:ascii="Arial" w:hAnsi="Arial" w:cs="Arial"/>
          <w:sz w:val="24"/>
          <w:szCs w:val="24"/>
        </w:rPr>
        <w:t xml:space="preserve"> (or equivalent)</w:t>
      </w:r>
      <w:r w:rsidRPr="00F53E83">
        <w:rPr>
          <w:rFonts w:ascii="Arial" w:hAnsi="Arial" w:cs="Arial"/>
          <w:sz w:val="24"/>
          <w:szCs w:val="24"/>
        </w:rPr>
        <w:t xml:space="preserve"> having considered the organisation’s submission.</w:t>
      </w:r>
    </w:p>
    <w:p w14:paraId="5B0129AE" w14:textId="77777777" w:rsidR="00292D66" w:rsidRDefault="00292D66">
      <w:pPr>
        <w:rPr>
          <w:rFonts w:ascii="Arial" w:hAnsi="Arial" w:cs="Arial"/>
          <w:sz w:val="24"/>
          <w:szCs w:val="24"/>
        </w:rPr>
      </w:pPr>
      <w:r>
        <w:rPr>
          <w:rFonts w:ascii="Arial" w:hAnsi="Arial" w:cs="Arial"/>
          <w:sz w:val="24"/>
          <w:szCs w:val="24"/>
        </w:rPr>
        <w:br w:type="page"/>
      </w:r>
    </w:p>
    <w:p w14:paraId="56A8EA2D" w14:textId="50EE2411" w:rsidR="00292D66" w:rsidRPr="00362ACD" w:rsidRDefault="00292D66" w:rsidP="00292D66">
      <w:pPr>
        <w:pStyle w:val="Heading1"/>
        <w:jc w:val="both"/>
        <w:rPr>
          <w:rFonts w:ascii="Arial" w:hAnsi="Arial" w:cs="Arial"/>
          <w:sz w:val="28"/>
          <w:szCs w:val="28"/>
        </w:rPr>
      </w:pPr>
      <w:bookmarkStart w:id="18" w:name="_Toc78401643"/>
      <w:r w:rsidRPr="00362ACD">
        <w:rPr>
          <w:rFonts w:ascii="Arial" w:hAnsi="Arial" w:cs="Arial"/>
          <w:sz w:val="28"/>
          <w:szCs w:val="28"/>
        </w:rPr>
        <w:lastRenderedPageBreak/>
        <w:t xml:space="preserve">Appendix </w:t>
      </w:r>
      <w:r w:rsidR="003C485C" w:rsidRPr="00362ACD">
        <w:rPr>
          <w:rFonts w:ascii="Arial" w:hAnsi="Arial" w:cs="Arial"/>
          <w:sz w:val="28"/>
          <w:szCs w:val="28"/>
        </w:rPr>
        <w:t>6</w:t>
      </w:r>
      <w:r w:rsidRPr="00362ACD">
        <w:rPr>
          <w:rFonts w:ascii="Arial" w:hAnsi="Arial" w:cs="Arial"/>
          <w:sz w:val="28"/>
          <w:szCs w:val="28"/>
        </w:rPr>
        <w:t>. Sign</w:t>
      </w:r>
      <w:r w:rsidR="00C22348" w:rsidRPr="00362ACD">
        <w:rPr>
          <w:rFonts w:ascii="Arial" w:hAnsi="Arial" w:cs="Arial"/>
          <w:sz w:val="28"/>
          <w:szCs w:val="28"/>
        </w:rPr>
        <w:t>ature</w:t>
      </w:r>
      <w:r w:rsidRPr="00362ACD">
        <w:rPr>
          <w:rFonts w:ascii="Arial" w:hAnsi="Arial" w:cs="Arial"/>
          <w:sz w:val="28"/>
          <w:szCs w:val="28"/>
        </w:rPr>
        <w:t xml:space="preserve"> </w:t>
      </w:r>
      <w:r w:rsidR="00C22348" w:rsidRPr="00362ACD">
        <w:rPr>
          <w:rFonts w:ascii="Arial" w:hAnsi="Arial" w:cs="Arial"/>
          <w:sz w:val="28"/>
          <w:szCs w:val="28"/>
        </w:rPr>
        <w:t>of agreement</w:t>
      </w:r>
      <w:r w:rsidRPr="00362ACD">
        <w:rPr>
          <w:rFonts w:ascii="Arial" w:hAnsi="Arial" w:cs="Arial"/>
          <w:sz w:val="28"/>
          <w:szCs w:val="28"/>
        </w:rPr>
        <w:t xml:space="preserve"> to framework</w:t>
      </w:r>
      <w:bookmarkEnd w:id="18"/>
    </w:p>
    <w:p w14:paraId="6AF82047" w14:textId="75108CA1" w:rsidR="00C168D4" w:rsidRPr="00362ACD" w:rsidRDefault="00C168D4" w:rsidP="00222DBE">
      <w:pPr>
        <w:jc w:val="both"/>
        <w:rPr>
          <w:rFonts w:ascii="Arial" w:hAnsi="Arial" w:cs="Arial"/>
          <w:sz w:val="24"/>
          <w:szCs w:val="24"/>
        </w:rPr>
      </w:pPr>
    </w:p>
    <w:tbl>
      <w:tblPr>
        <w:tblStyle w:val="TableGrid"/>
        <w:tblW w:w="0" w:type="auto"/>
        <w:tblInd w:w="108" w:type="dxa"/>
        <w:shd w:val="clear" w:color="auto" w:fill="FFFFFF" w:themeFill="background1"/>
        <w:tblLook w:val="04A0" w:firstRow="1" w:lastRow="0" w:firstColumn="1" w:lastColumn="0" w:noHBand="0" w:noVBand="1"/>
      </w:tblPr>
      <w:tblGrid>
        <w:gridCol w:w="3183"/>
        <w:gridCol w:w="5345"/>
      </w:tblGrid>
      <w:tr w:rsidR="00292D66" w:rsidRPr="00362ACD" w14:paraId="4B160284" w14:textId="77777777" w:rsidTr="006A4D2A">
        <w:tc>
          <w:tcPr>
            <w:tcW w:w="8528" w:type="dxa"/>
            <w:gridSpan w:val="2"/>
            <w:shd w:val="clear" w:color="auto" w:fill="FFFFFF" w:themeFill="background1"/>
            <w:vAlign w:val="center"/>
          </w:tcPr>
          <w:p w14:paraId="749ACB07" w14:textId="77777777" w:rsidR="00292D66" w:rsidRPr="00362ACD" w:rsidRDefault="00292D66" w:rsidP="006A4D2A">
            <w:pPr>
              <w:rPr>
                <w:b/>
              </w:rPr>
            </w:pPr>
            <w:r w:rsidRPr="00362ACD">
              <w:rPr>
                <w:b/>
              </w:rPr>
              <w:t>Signed on behalf of (Insert org name)</w:t>
            </w:r>
          </w:p>
          <w:p w14:paraId="716BAE98" w14:textId="77777777" w:rsidR="00292D66" w:rsidRPr="00362ACD" w:rsidRDefault="00292D66" w:rsidP="006A4D2A">
            <w:pPr>
              <w:rPr>
                <w:b/>
              </w:rPr>
            </w:pPr>
          </w:p>
        </w:tc>
      </w:tr>
      <w:tr w:rsidR="00292D66" w:rsidRPr="00362ACD" w14:paraId="3A274664" w14:textId="77777777" w:rsidTr="006A4D2A">
        <w:tc>
          <w:tcPr>
            <w:tcW w:w="3183" w:type="dxa"/>
            <w:shd w:val="clear" w:color="auto" w:fill="FFFFFF" w:themeFill="background1"/>
            <w:vAlign w:val="center"/>
          </w:tcPr>
          <w:p w14:paraId="266B6130" w14:textId="77777777" w:rsidR="00292D66" w:rsidRPr="00362ACD" w:rsidRDefault="00292D66" w:rsidP="006A4D2A">
            <w:pPr>
              <w:spacing w:line="480" w:lineRule="auto"/>
              <w:rPr>
                <w:b/>
              </w:rPr>
            </w:pPr>
            <w:r w:rsidRPr="00362ACD">
              <w:rPr>
                <w:b/>
              </w:rPr>
              <w:t>Name</w:t>
            </w:r>
          </w:p>
        </w:tc>
        <w:tc>
          <w:tcPr>
            <w:tcW w:w="5345" w:type="dxa"/>
            <w:shd w:val="clear" w:color="auto" w:fill="FFFFFF" w:themeFill="background1"/>
            <w:vAlign w:val="center"/>
          </w:tcPr>
          <w:p w14:paraId="007C431C" w14:textId="77777777" w:rsidR="00292D66" w:rsidRPr="00362ACD" w:rsidRDefault="00292D66" w:rsidP="006A4D2A">
            <w:pPr>
              <w:spacing w:line="480" w:lineRule="auto"/>
            </w:pPr>
          </w:p>
        </w:tc>
      </w:tr>
      <w:tr w:rsidR="00292D66" w:rsidRPr="00362ACD" w14:paraId="139DA16B" w14:textId="77777777" w:rsidTr="006A4D2A">
        <w:tc>
          <w:tcPr>
            <w:tcW w:w="3183" w:type="dxa"/>
            <w:shd w:val="clear" w:color="auto" w:fill="FFFFFF" w:themeFill="background1"/>
            <w:vAlign w:val="center"/>
          </w:tcPr>
          <w:p w14:paraId="0FC42D2B" w14:textId="77777777" w:rsidR="00292D66" w:rsidRPr="00362ACD" w:rsidRDefault="00292D66" w:rsidP="006A4D2A">
            <w:pPr>
              <w:spacing w:line="480" w:lineRule="auto"/>
              <w:rPr>
                <w:b/>
              </w:rPr>
            </w:pPr>
            <w:r w:rsidRPr="00362ACD">
              <w:rPr>
                <w:b/>
              </w:rPr>
              <w:t>Job title</w:t>
            </w:r>
          </w:p>
        </w:tc>
        <w:tc>
          <w:tcPr>
            <w:tcW w:w="5345" w:type="dxa"/>
            <w:shd w:val="clear" w:color="auto" w:fill="FFFFFF" w:themeFill="background1"/>
            <w:vAlign w:val="center"/>
          </w:tcPr>
          <w:p w14:paraId="74058A75" w14:textId="6F8CEE3D" w:rsidR="00292D66" w:rsidRPr="00362ACD" w:rsidRDefault="00292D66" w:rsidP="006A4D2A">
            <w:pPr>
              <w:spacing w:line="480" w:lineRule="auto"/>
              <w:rPr>
                <w:i/>
              </w:rPr>
            </w:pPr>
            <w:r w:rsidRPr="00362ACD">
              <w:rPr>
                <w:i/>
              </w:rPr>
              <w:t xml:space="preserve">This may be the organisation’s </w:t>
            </w:r>
            <w:r w:rsidR="00C168D4" w:rsidRPr="00362ACD">
              <w:rPr>
                <w:i/>
              </w:rPr>
              <w:t xml:space="preserve">Senior Information Risk Owner, </w:t>
            </w:r>
            <w:r w:rsidRPr="00362ACD">
              <w:rPr>
                <w:i/>
              </w:rPr>
              <w:t>Caldicott Guardian or a representative with equivalent authority</w:t>
            </w:r>
          </w:p>
        </w:tc>
      </w:tr>
      <w:tr w:rsidR="00292D66" w:rsidRPr="00362ACD" w14:paraId="6A1D89E1" w14:textId="77777777" w:rsidTr="006A4D2A">
        <w:trPr>
          <w:trHeight w:val="77"/>
        </w:trPr>
        <w:tc>
          <w:tcPr>
            <w:tcW w:w="3183" w:type="dxa"/>
            <w:shd w:val="clear" w:color="auto" w:fill="FFFFFF" w:themeFill="background1"/>
            <w:vAlign w:val="center"/>
          </w:tcPr>
          <w:p w14:paraId="2146438A" w14:textId="77777777" w:rsidR="00292D66" w:rsidRPr="00362ACD" w:rsidRDefault="00292D66" w:rsidP="006A4D2A">
            <w:pPr>
              <w:spacing w:line="480" w:lineRule="auto"/>
              <w:rPr>
                <w:b/>
              </w:rPr>
            </w:pPr>
            <w:r w:rsidRPr="00362ACD">
              <w:rPr>
                <w:b/>
              </w:rPr>
              <w:t>Signature</w:t>
            </w:r>
          </w:p>
        </w:tc>
        <w:tc>
          <w:tcPr>
            <w:tcW w:w="5345" w:type="dxa"/>
            <w:shd w:val="clear" w:color="auto" w:fill="FFFFFF" w:themeFill="background1"/>
            <w:vAlign w:val="center"/>
          </w:tcPr>
          <w:p w14:paraId="1F99CB6B" w14:textId="77777777" w:rsidR="00292D66" w:rsidRPr="00362ACD" w:rsidRDefault="00292D66" w:rsidP="006A4D2A">
            <w:pPr>
              <w:spacing w:line="480" w:lineRule="auto"/>
            </w:pPr>
          </w:p>
        </w:tc>
      </w:tr>
      <w:tr w:rsidR="00292D66" w:rsidRPr="00362ACD" w14:paraId="474DF3AD" w14:textId="77777777" w:rsidTr="006A4D2A">
        <w:tc>
          <w:tcPr>
            <w:tcW w:w="3183" w:type="dxa"/>
            <w:shd w:val="clear" w:color="auto" w:fill="FFFFFF" w:themeFill="background1"/>
            <w:vAlign w:val="center"/>
          </w:tcPr>
          <w:p w14:paraId="0A3F7DEB" w14:textId="77777777" w:rsidR="00292D66" w:rsidRPr="00362ACD" w:rsidRDefault="00292D66" w:rsidP="006A4D2A">
            <w:pPr>
              <w:spacing w:line="480" w:lineRule="auto"/>
              <w:rPr>
                <w:b/>
              </w:rPr>
            </w:pPr>
            <w:r w:rsidRPr="00362ACD">
              <w:rPr>
                <w:b/>
              </w:rPr>
              <w:t>Date</w:t>
            </w:r>
          </w:p>
        </w:tc>
        <w:tc>
          <w:tcPr>
            <w:tcW w:w="5345" w:type="dxa"/>
            <w:shd w:val="clear" w:color="auto" w:fill="FFFFFF" w:themeFill="background1"/>
            <w:vAlign w:val="center"/>
          </w:tcPr>
          <w:p w14:paraId="40CE598B" w14:textId="77777777" w:rsidR="00292D66" w:rsidRPr="00362ACD" w:rsidRDefault="00292D66" w:rsidP="006A4D2A">
            <w:pPr>
              <w:spacing w:line="480" w:lineRule="auto"/>
            </w:pPr>
          </w:p>
        </w:tc>
      </w:tr>
    </w:tbl>
    <w:p w14:paraId="562DA2CF" w14:textId="16EFEE28" w:rsidR="00292D66" w:rsidRPr="00362ACD" w:rsidRDefault="00292D66" w:rsidP="00222DBE">
      <w:pPr>
        <w:jc w:val="both"/>
        <w:rPr>
          <w:rFonts w:ascii="Arial" w:hAnsi="Arial" w:cs="Arial"/>
          <w:sz w:val="24"/>
          <w:szCs w:val="24"/>
        </w:rPr>
      </w:pPr>
    </w:p>
    <w:p w14:paraId="0D903D24" w14:textId="5060320F" w:rsidR="00C168D4" w:rsidRPr="00F53E83" w:rsidRDefault="00C168D4" w:rsidP="00222DBE">
      <w:pPr>
        <w:jc w:val="both"/>
        <w:rPr>
          <w:rFonts w:ascii="Arial" w:hAnsi="Arial" w:cs="Arial"/>
          <w:sz w:val="24"/>
          <w:szCs w:val="24"/>
        </w:rPr>
      </w:pPr>
      <w:r w:rsidRPr="00362ACD">
        <w:rPr>
          <w:rFonts w:ascii="Arial" w:hAnsi="Arial" w:cs="Arial"/>
          <w:sz w:val="24"/>
          <w:szCs w:val="24"/>
        </w:rPr>
        <w:t>Alternatively, an email confirming sign up to the framework from the signatory will be accepted.</w:t>
      </w:r>
    </w:p>
    <w:sectPr w:rsidR="00C168D4" w:rsidRPr="00F53E83" w:rsidSect="00137AE0">
      <w:headerReference w:type="even" r:id="rId23"/>
      <w:headerReference w:type="default" r:id="rId24"/>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DB7C" w14:textId="77777777" w:rsidR="005B3BA0" w:rsidRDefault="005B3BA0" w:rsidP="00106A17">
      <w:pPr>
        <w:spacing w:after="0" w:line="240" w:lineRule="auto"/>
      </w:pPr>
      <w:r>
        <w:separator/>
      </w:r>
    </w:p>
  </w:endnote>
  <w:endnote w:type="continuationSeparator" w:id="0">
    <w:p w14:paraId="6BE165EF" w14:textId="77777777" w:rsidR="005B3BA0" w:rsidRDefault="005B3BA0" w:rsidP="0010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181030"/>
      <w:docPartObj>
        <w:docPartGallery w:val="Page Numbers (Bottom of Page)"/>
        <w:docPartUnique/>
      </w:docPartObj>
    </w:sdtPr>
    <w:sdtEndPr>
      <w:rPr>
        <w:color w:val="808080" w:themeColor="background1" w:themeShade="80"/>
        <w:spacing w:val="60"/>
      </w:rPr>
    </w:sdtEndPr>
    <w:sdtContent>
      <w:p w14:paraId="41630E4F" w14:textId="77777777" w:rsidR="00837A4B" w:rsidRDefault="00837A4B" w:rsidP="00106A1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D0C1B">
          <w:rPr>
            <w:b/>
            <w:bCs/>
            <w:noProof/>
          </w:rPr>
          <w:t>2</w:t>
        </w:r>
        <w:r>
          <w:rPr>
            <w:b/>
            <w:bCs/>
            <w:noProof/>
          </w:rPr>
          <w:fldChar w:fldCharType="end"/>
        </w:r>
        <w:r>
          <w:rPr>
            <w:b/>
            <w:bCs/>
          </w:rPr>
          <w:t xml:space="preserve"> | </w:t>
        </w:r>
        <w:r>
          <w:rPr>
            <w:color w:val="808080" w:themeColor="background1" w:themeShade="80"/>
            <w:spacing w:val="60"/>
          </w:rPr>
          <w:t>Page</w:t>
        </w:r>
      </w:p>
    </w:sdtContent>
  </w:sdt>
  <w:p w14:paraId="1028CFD5" w14:textId="77777777" w:rsidR="00837A4B" w:rsidRDefault="0083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BF47" w14:textId="77777777" w:rsidR="005B3BA0" w:rsidRDefault="005B3BA0" w:rsidP="00106A17">
      <w:pPr>
        <w:spacing w:after="0" w:line="240" w:lineRule="auto"/>
      </w:pPr>
      <w:r>
        <w:separator/>
      </w:r>
    </w:p>
  </w:footnote>
  <w:footnote w:type="continuationSeparator" w:id="0">
    <w:p w14:paraId="2424D7C4" w14:textId="77777777" w:rsidR="005B3BA0" w:rsidRDefault="005B3BA0" w:rsidP="00106A17">
      <w:pPr>
        <w:spacing w:after="0" w:line="240" w:lineRule="auto"/>
      </w:pPr>
      <w:r>
        <w:continuationSeparator/>
      </w:r>
    </w:p>
  </w:footnote>
  <w:footnote w:id="1">
    <w:p w14:paraId="64BA33EC" w14:textId="77777777" w:rsidR="00837A4B" w:rsidRDefault="00837A4B">
      <w:pPr>
        <w:pStyle w:val="FootnoteText"/>
      </w:pPr>
      <w:r>
        <w:rPr>
          <w:rStyle w:val="FootnoteReference"/>
        </w:rPr>
        <w:footnoteRef/>
      </w:r>
      <w:r>
        <w:t xml:space="preserve"> </w:t>
      </w:r>
      <w:r w:rsidRPr="00641EC5">
        <w:t>HM Government, A whole-system multi-agency approach to serious violence prevention,</w:t>
      </w:r>
      <w:r>
        <w:t xml:space="preserve"> (2019), </w:t>
      </w:r>
      <w:r w:rsidRPr="00641EC5">
        <w:t>page 21.</w:t>
      </w:r>
      <w:r w:rsidRPr="009C3E32">
        <w:t xml:space="preserve"> </w:t>
      </w:r>
    </w:p>
  </w:footnote>
  <w:footnote w:id="2">
    <w:p w14:paraId="5666E17D" w14:textId="77777777" w:rsidR="00837A4B" w:rsidRDefault="00837A4B">
      <w:pPr>
        <w:pStyle w:val="FootnoteText"/>
      </w:pPr>
      <w:r>
        <w:rPr>
          <w:rStyle w:val="FootnoteReference"/>
        </w:rPr>
        <w:footnoteRef/>
      </w:r>
      <w:r>
        <w:t xml:space="preserve"> As above. </w:t>
      </w:r>
    </w:p>
  </w:footnote>
  <w:footnote w:id="3">
    <w:p w14:paraId="43E562CF" w14:textId="77777777" w:rsidR="00837A4B" w:rsidRDefault="00837A4B">
      <w:pPr>
        <w:pStyle w:val="FootnoteText"/>
      </w:pPr>
      <w:r>
        <w:rPr>
          <w:rStyle w:val="FootnoteReference"/>
        </w:rPr>
        <w:footnoteRef/>
      </w:r>
      <w:r>
        <w:t xml:space="preserve"> Other examples of guidance see </w:t>
      </w:r>
      <w:hyperlink r:id="rId1" w:history="1">
        <w:r w:rsidRPr="00222DBE">
          <w:rPr>
            <w:rStyle w:val="Hyperlink"/>
          </w:rPr>
          <w:t>Working together to safeguard children (2018)</w:t>
        </w:r>
      </w:hyperlink>
      <w:r w:rsidRPr="00222DBE">
        <w:t xml:space="preserve"> </w:t>
      </w:r>
      <w:r>
        <w:t>has</w:t>
      </w:r>
      <w:r w:rsidRPr="00222DBE">
        <w:t xml:space="preserve"> </w:t>
      </w:r>
      <w:r>
        <w:t xml:space="preserve">recently </w:t>
      </w:r>
      <w:r w:rsidRPr="00222DBE">
        <w:t xml:space="preserve">updated </w:t>
      </w:r>
      <w:r>
        <w:t xml:space="preserve">the </w:t>
      </w:r>
      <w:r w:rsidRPr="00222DBE">
        <w:t>Info</w:t>
      </w:r>
      <w:r>
        <w:t>rmation</w:t>
      </w:r>
      <w:r w:rsidRPr="00222DBE">
        <w:t xml:space="preserve"> Sharing section on 9th December 2020</w:t>
      </w:r>
      <w:r>
        <w:t xml:space="preserve">, pages 18-22, para 24-28. </w:t>
      </w:r>
    </w:p>
  </w:footnote>
  <w:footnote w:id="4">
    <w:p w14:paraId="3ADF9D53" w14:textId="77777777" w:rsidR="00B556B4" w:rsidRDefault="00B556B4" w:rsidP="00B556B4">
      <w:pPr>
        <w:pStyle w:val="FootnoteText"/>
      </w:pPr>
      <w:r>
        <w:rPr>
          <w:rStyle w:val="FootnoteReference"/>
        </w:rPr>
        <w:footnoteRef/>
      </w:r>
      <w:r>
        <w:t xml:space="preserve"> The ‘official authority’ is established in the legislation that gives an organisation the duty or power to perform the function for which the processing of personal data is deemed necessary.</w:t>
      </w:r>
    </w:p>
  </w:footnote>
  <w:footnote w:id="5">
    <w:p w14:paraId="0B3CACEF" w14:textId="3044EB4C" w:rsidR="00B556B4" w:rsidRDefault="00B556B4">
      <w:pPr>
        <w:pStyle w:val="FootnoteText"/>
      </w:pPr>
      <w:r>
        <w:rPr>
          <w:rStyle w:val="FootnoteReference"/>
        </w:rPr>
        <w:footnoteRef/>
      </w:r>
      <w:r>
        <w:t xml:space="preserve"> as above.</w:t>
      </w:r>
    </w:p>
  </w:footnote>
  <w:footnote w:id="6">
    <w:p w14:paraId="58C6A2EE" w14:textId="1B7AC2D7" w:rsidR="00737125" w:rsidRDefault="00737125">
      <w:pPr>
        <w:pStyle w:val="FootnoteText"/>
      </w:pPr>
      <w:r>
        <w:rPr>
          <w:rStyle w:val="FootnoteReference"/>
        </w:rPr>
        <w:footnoteRef/>
      </w:r>
      <w:r>
        <w:t xml:space="preserve"> The</w:t>
      </w:r>
      <w:r w:rsidRPr="00737125">
        <w:t xml:space="preserve"> legal basis for use/sharing by the Police is primarily in accordance with section 35 and the processing conditions set out in schedule </w:t>
      </w:r>
      <w:proofErr w:type="gramStart"/>
      <w:r w:rsidRPr="00737125">
        <w:t>8  of</w:t>
      </w:r>
      <w:proofErr w:type="gramEnd"/>
      <w:r w:rsidRPr="00737125">
        <w:t xml:space="preserve"> the UK Data Protection Act 2018 and relevant additions</w:t>
      </w:r>
      <w:r>
        <w:t xml:space="preserve"> (by way of Secretary of State regulations)</w:t>
      </w:r>
      <w:r w:rsidRPr="00737125">
        <w:t>.</w:t>
      </w:r>
    </w:p>
  </w:footnote>
  <w:footnote w:id="7">
    <w:p w14:paraId="193EB696" w14:textId="77777777" w:rsidR="005E401E" w:rsidRDefault="005E401E" w:rsidP="005E401E">
      <w:pPr>
        <w:pStyle w:val="FootnoteText"/>
      </w:pPr>
      <w:r>
        <w:rPr>
          <w:rStyle w:val="FootnoteReference"/>
        </w:rPr>
        <w:footnoteRef/>
      </w:r>
      <w:r>
        <w:t xml:space="preserve"> For further information refer to </w:t>
      </w:r>
      <w:hyperlink r:id="rId2" w:history="1">
        <w:r>
          <w:rPr>
            <w:rStyle w:val="Hyperlink"/>
          </w:rPr>
          <w:t>What are the substantial public interest conditions? | ICO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7353" w14:textId="29D26ACB" w:rsidR="00837A4B" w:rsidRDefault="00837A4B">
    <w:pPr>
      <w:pStyle w:val="Header"/>
    </w:pPr>
    <w:r>
      <w:rPr>
        <w:noProof/>
        <w:lang w:eastAsia="en-GB"/>
      </w:rPr>
      <mc:AlternateContent>
        <mc:Choice Requires="wps">
          <w:drawing>
            <wp:anchor distT="0" distB="0" distL="114300" distR="114300" simplePos="0" relativeHeight="251656704" behindDoc="1" locked="0" layoutInCell="0" allowOverlap="1" wp14:anchorId="523D8329" wp14:editId="2C9D4E52">
              <wp:simplePos x="0" y="0"/>
              <wp:positionH relativeFrom="margin">
                <wp:align>center</wp:align>
              </wp:positionH>
              <wp:positionV relativeFrom="margin">
                <wp:align>center</wp:align>
              </wp:positionV>
              <wp:extent cx="5050155" cy="3030220"/>
              <wp:effectExtent l="0" t="1104900" r="0" b="63690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30A6E0" w14:textId="77777777" w:rsidR="00837A4B" w:rsidRDefault="00837A4B" w:rsidP="00222DBE">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3D8329"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" o:allowincell="f" filled="f" stroked="f">
              <v:stroke joinstyle="round"/>
              <o:lock v:ext="edit" shapetype="t"/>
              <v:textbox style="mso-fit-shape-to-text:t">
                <w:txbxContent>
                  <w:p w14:paraId="0E30A6E0" w14:textId="77777777" w:rsidR="00837A4B" w:rsidRDefault="00837A4B" w:rsidP="00222DBE">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41FC" w14:textId="0D3BE5D9" w:rsidR="00837A4B" w:rsidRPr="00F53E83" w:rsidRDefault="00837A4B" w:rsidP="00106A17">
    <w:pPr>
      <w:spacing w:after="0" w:line="240" w:lineRule="auto"/>
      <w:rPr>
        <w:b/>
        <w:color w:val="1F497D" w:themeColor="text2"/>
        <w:sz w:val="32"/>
        <w:szCs w:val="32"/>
      </w:rPr>
    </w:pPr>
    <w:proofErr w:type="gramStart"/>
    <w:r w:rsidRPr="00F53E83">
      <w:rPr>
        <w:b/>
        <w:color w:val="1F497D" w:themeColor="text2"/>
        <w:sz w:val="32"/>
        <w:szCs w:val="32"/>
      </w:rPr>
      <w:t>South West</w:t>
    </w:r>
    <w:proofErr w:type="gramEnd"/>
    <w:r w:rsidRPr="00F53E83">
      <w:rPr>
        <w:b/>
        <w:color w:val="1F497D" w:themeColor="text2"/>
        <w:sz w:val="32"/>
        <w:szCs w:val="32"/>
      </w:rPr>
      <w:t xml:space="preserve"> Regional Serious Violence and Contextualised Safeguarding</w:t>
    </w:r>
    <w:r>
      <w:rPr>
        <w:b/>
        <w:color w:val="1F497D" w:themeColor="text2"/>
        <w:sz w:val="32"/>
        <w:szCs w:val="32"/>
      </w:rPr>
      <w:t xml:space="preserve"> </w:t>
    </w:r>
    <w:r w:rsidRPr="00F53E83">
      <w:rPr>
        <w:b/>
        <w:color w:val="1F497D" w:themeColor="text2"/>
        <w:sz w:val="32"/>
        <w:szCs w:val="32"/>
      </w:rPr>
      <w:t>Information Governance Framework (</w:t>
    </w:r>
    <w:r w:rsidR="00473054">
      <w:rPr>
        <w:b/>
        <w:color w:val="1F497D" w:themeColor="text2"/>
        <w:sz w:val="32"/>
        <w:szCs w:val="32"/>
      </w:rPr>
      <w:t xml:space="preserve">FINAL </w:t>
    </w:r>
    <w:r w:rsidRPr="00F53E83">
      <w:rPr>
        <w:b/>
        <w:color w:val="1F497D" w:themeColor="text2"/>
        <w:sz w:val="32"/>
        <w:szCs w:val="32"/>
      </w:rPr>
      <w:t>v</w:t>
    </w:r>
    <w:r w:rsidR="00473054">
      <w:rPr>
        <w:b/>
        <w:color w:val="1F497D" w:themeColor="text2"/>
        <w:sz w:val="32"/>
        <w:szCs w:val="32"/>
      </w:rPr>
      <w:t>1</w:t>
    </w:r>
    <w:r w:rsidRPr="00F53E83">
      <w:rPr>
        <w:b/>
        <w:color w:val="1F497D" w:themeColor="text2"/>
        <w:sz w:val="32"/>
        <w:szCs w:val="32"/>
      </w:rPr>
      <w:t>.</w:t>
    </w:r>
    <w:r w:rsidR="00473054">
      <w:rPr>
        <w:b/>
        <w:color w:val="1F497D" w:themeColor="text2"/>
        <w:sz w:val="32"/>
        <w:szCs w:val="32"/>
      </w:rPr>
      <w:t>0</w:t>
    </w:r>
    <w:r w:rsidRPr="00F53E83">
      <w:rPr>
        <w:b/>
        <w:color w:val="1F497D" w:themeColor="text2"/>
        <w:sz w:val="32"/>
        <w:szCs w:val="32"/>
      </w:rPr>
      <w:t>)</w:t>
    </w:r>
  </w:p>
  <w:p w14:paraId="200F1FDD" w14:textId="77777777" w:rsidR="00837A4B" w:rsidRDefault="00837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8CD"/>
    <w:multiLevelType w:val="hybridMultilevel"/>
    <w:tmpl w:val="FD4873A8"/>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64553"/>
    <w:multiLevelType w:val="multilevel"/>
    <w:tmpl w:val="F1501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F1446"/>
    <w:multiLevelType w:val="hybridMultilevel"/>
    <w:tmpl w:val="D6A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A0297"/>
    <w:multiLevelType w:val="hybridMultilevel"/>
    <w:tmpl w:val="EDEE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A70B4"/>
    <w:multiLevelType w:val="hybridMultilevel"/>
    <w:tmpl w:val="13E477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5BCC"/>
    <w:multiLevelType w:val="hybridMultilevel"/>
    <w:tmpl w:val="938CD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35474"/>
    <w:multiLevelType w:val="hybridMultilevel"/>
    <w:tmpl w:val="54C2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40C47"/>
    <w:multiLevelType w:val="multilevel"/>
    <w:tmpl w:val="F1501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B3C30"/>
    <w:multiLevelType w:val="multilevel"/>
    <w:tmpl w:val="0FA215CA"/>
    <w:lvl w:ilvl="0">
      <w:start w:val="1"/>
      <w:numFmt w:val="decimal"/>
      <w:lvlText w:val="%1."/>
      <w:lvlJc w:val="left"/>
      <w:pPr>
        <w:ind w:left="360" w:hanging="360"/>
      </w:pPr>
      <w:rPr>
        <w:rFonts w:hint="default"/>
        <w:b/>
        <w:i w:val="0"/>
        <w:sz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3C7E4C"/>
    <w:multiLevelType w:val="hybridMultilevel"/>
    <w:tmpl w:val="EA627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B2F3C"/>
    <w:multiLevelType w:val="hybridMultilevel"/>
    <w:tmpl w:val="FB20BB9A"/>
    <w:lvl w:ilvl="0" w:tplc="8618E6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787"/>
    <w:multiLevelType w:val="hybridMultilevel"/>
    <w:tmpl w:val="34A88572"/>
    <w:lvl w:ilvl="0" w:tplc="2C52CE10">
      <w:start w:val="1"/>
      <w:numFmt w:val="decimal"/>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2" w15:restartNumberingAfterBreak="0">
    <w:nsid w:val="2B824ABA"/>
    <w:multiLevelType w:val="hybridMultilevel"/>
    <w:tmpl w:val="30EE7404"/>
    <w:lvl w:ilvl="0" w:tplc="8DB4D8F8">
      <w:start w:val="1"/>
      <w:numFmt w:val="decimal"/>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13" w15:restartNumberingAfterBreak="0">
    <w:nsid w:val="2BE11509"/>
    <w:multiLevelType w:val="hybridMultilevel"/>
    <w:tmpl w:val="664A9474"/>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D6EB9"/>
    <w:multiLevelType w:val="hybridMultilevel"/>
    <w:tmpl w:val="FD2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92691"/>
    <w:multiLevelType w:val="hybridMultilevel"/>
    <w:tmpl w:val="79A8C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DD6161"/>
    <w:multiLevelType w:val="hybridMultilevel"/>
    <w:tmpl w:val="2D463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25AD690">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74930"/>
    <w:multiLevelType w:val="hybridMultilevel"/>
    <w:tmpl w:val="08F28DDC"/>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82CD5"/>
    <w:multiLevelType w:val="hybridMultilevel"/>
    <w:tmpl w:val="42BCB168"/>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72219"/>
    <w:multiLevelType w:val="multilevel"/>
    <w:tmpl w:val="F15019B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44605BC3"/>
    <w:multiLevelType w:val="hybridMultilevel"/>
    <w:tmpl w:val="0818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4300D"/>
    <w:multiLevelType w:val="multilevel"/>
    <w:tmpl w:val="F15019B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A031889"/>
    <w:multiLevelType w:val="multilevel"/>
    <w:tmpl w:val="321831CE"/>
    <w:lvl w:ilvl="0">
      <w:start w:val="4"/>
      <w:numFmt w:val="decimal"/>
      <w:lvlText w:val="%1."/>
      <w:lvlJc w:val="left"/>
      <w:pPr>
        <w:ind w:left="360" w:hanging="360"/>
      </w:pPr>
      <w:rPr>
        <w:rFonts w:hint="default"/>
        <w:b/>
        <w:i w:val="0"/>
        <w:sz w:val="28"/>
      </w:rPr>
    </w:lvl>
    <w:lvl w:ilvl="1">
      <w:start w:val="3"/>
      <w:numFmt w:val="decimal"/>
      <w:lvlText w:val="%2."/>
      <w:lvlJc w:val="left"/>
      <w:pPr>
        <w:ind w:left="218" w:hanging="360"/>
      </w:pPr>
      <w:rPr>
        <w:rFonts w:hint="default"/>
        <w:b/>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3" w15:restartNumberingAfterBreak="0">
    <w:nsid w:val="50577271"/>
    <w:multiLevelType w:val="hybridMultilevel"/>
    <w:tmpl w:val="3E24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63C14"/>
    <w:multiLevelType w:val="hybridMultilevel"/>
    <w:tmpl w:val="08F28DDC"/>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A36E2"/>
    <w:multiLevelType w:val="multilevel"/>
    <w:tmpl w:val="4B103166"/>
    <w:lvl w:ilvl="0">
      <w:start w:val="7"/>
      <w:numFmt w:val="decimal"/>
      <w:lvlText w:val="%1."/>
      <w:lvlJc w:val="left"/>
      <w:pPr>
        <w:ind w:left="360" w:hanging="360"/>
      </w:pPr>
      <w:rPr>
        <w:rFonts w:hint="default"/>
        <w:b/>
        <w:i w:val="0"/>
        <w:sz w:val="28"/>
      </w:rPr>
    </w:lvl>
    <w:lvl w:ilvl="1">
      <w:start w:val="4"/>
      <w:numFmt w:val="decimal"/>
      <w:lvlText w:val="%2."/>
      <w:lvlJc w:val="left"/>
      <w:pPr>
        <w:ind w:left="218" w:hanging="360"/>
      </w:pPr>
      <w:rPr>
        <w:rFonts w:hint="default"/>
        <w:b/>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6" w15:restartNumberingAfterBreak="0">
    <w:nsid w:val="5BD1380D"/>
    <w:multiLevelType w:val="hybridMultilevel"/>
    <w:tmpl w:val="FD368F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423B3E"/>
    <w:multiLevelType w:val="hybridMultilevel"/>
    <w:tmpl w:val="410CD916"/>
    <w:lvl w:ilvl="0" w:tplc="A5C4C1E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C70EA1"/>
    <w:multiLevelType w:val="hybridMultilevel"/>
    <w:tmpl w:val="F1B0AB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2E4E44"/>
    <w:multiLevelType w:val="hybridMultilevel"/>
    <w:tmpl w:val="8402AB48"/>
    <w:lvl w:ilvl="0" w:tplc="8012B0F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593340"/>
    <w:multiLevelType w:val="multilevel"/>
    <w:tmpl w:val="97A8A93A"/>
    <w:lvl w:ilvl="0">
      <w:start w:val="1"/>
      <w:numFmt w:val="bullet"/>
      <w:lvlText w:val="o"/>
      <w:lvlJc w:val="left"/>
      <w:pPr>
        <w:tabs>
          <w:tab w:val="num" w:pos="1080"/>
        </w:tabs>
        <w:ind w:left="1080" w:hanging="360"/>
      </w:pPr>
      <w:rPr>
        <w:rFonts w:ascii="Courier New" w:hAnsi="Courier New" w:cs="Courier New"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704F685F"/>
    <w:multiLevelType w:val="hybridMultilevel"/>
    <w:tmpl w:val="2464715C"/>
    <w:lvl w:ilvl="0" w:tplc="6E7C0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0B76BA"/>
    <w:multiLevelType w:val="hybridMultilevel"/>
    <w:tmpl w:val="4D82D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473E5"/>
    <w:multiLevelType w:val="hybridMultilevel"/>
    <w:tmpl w:val="F4DC22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B11059"/>
    <w:multiLevelType w:val="hybridMultilevel"/>
    <w:tmpl w:val="A15CC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E2AC4"/>
    <w:multiLevelType w:val="hybridMultilevel"/>
    <w:tmpl w:val="938E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6296A"/>
    <w:multiLevelType w:val="hybridMultilevel"/>
    <w:tmpl w:val="04D841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8326528"/>
    <w:multiLevelType w:val="multilevel"/>
    <w:tmpl w:val="C13A7FC2"/>
    <w:lvl w:ilvl="0">
      <w:start w:val="1"/>
      <w:numFmt w:val="decimal"/>
      <w:lvlText w:val="%1."/>
      <w:lvlJc w:val="left"/>
      <w:pPr>
        <w:ind w:left="360" w:hanging="360"/>
      </w:pPr>
      <w:rPr>
        <w:rFonts w:hint="default"/>
        <w:b/>
        <w:i w:val="0"/>
        <w:sz w:val="28"/>
      </w:rPr>
    </w:lvl>
    <w:lvl w:ilvl="1">
      <w:start w:val="1"/>
      <w:numFmt w:val="decimal"/>
      <w:lvlText w:val="%2."/>
      <w:lvlJc w:val="left"/>
      <w:pPr>
        <w:ind w:left="218" w:hanging="360"/>
      </w:pPr>
      <w:rPr>
        <w:rFonts w:hint="default"/>
        <w:b/>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38" w15:restartNumberingAfterBreak="0">
    <w:nsid w:val="7A8D5477"/>
    <w:multiLevelType w:val="hybridMultilevel"/>
    <w:tmpl w:val="D1BEDB92"/>
    <w:lvl w:ilvl="0" w:tplc="0809000F">
      <w:start w:val="1"/>
      <w:numFmt w:val="decimal"/>
      <w:lvlText w:val="%1."/>
      <w:lvlJc w:val="left"/>
      <w:pPr>
        <w:ind w:left="720" w:hanging="360"/>
      </w:pPr>
    </w:lvl>
    <w:lvl w:ilvl="1" w:tplc="157C8CC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A506E3"/>
    <w:multiLevelType w:val="multilevel"/>
    <w:tmpl w:val="A5C87B3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37"/>
  </w:num>
  <w:num w:numId="2">
    <w:abstractNumId w:val="34"/>
  </w:num>
  <w:num w:numId="3">
    <w:abstractNumId w:val="14"/>
  </w:num>
  <w:num w:numId="4">
    <w:abstractNumId w:val="7"/>
  </w:num>
  <w:num w:numId="5">
    <w:abstractNumId w:val="15"/>
  </w:num>
  <w:num w:numId="6">
    <w:abstractNumId w:val="9"/>
  </w:num>
  <w:num w:numId="7">
    <w:abstractNumId w:val="5"/>
  </w:num>
  <w:num w:numId="8">
    <w:abstractNumId w:val="19"/>
  </w:num>
  <w:num w:numId="9">
    <w:abstractNumId w:val="21"/>
  </w:num>
  <w:num w:numId="10">
    <w:abstractNumId w:val="8"/>
  </w:num>
  <w:num w:numId="11">
    <w:abstractNumId w:val="4"/>
  </w:num>
  <w:num w:numId="12">
    <w:abstractNumId w:val="30"/>
  </w:num>
  <w:num w:numId="13">
    <w:abstractNumId w:val="26"/>
  </w:num>
  <w:num w:numId="14">
    <w:abstractNumId w:val="33"/>
  </w:num>
  <w:num w:numId="15">
    <w:abstractNumId w:val="25"/>
  </w:num>
  <w:num w:numId="16">
    <w:abstractNumId w:val="1"/>
  </w:num>
  <w:num w:numId="17">
    <w:abstractNumId w:val="6"/>
  </w:num>
  <w:num w:numId="18">
    <w:abstractNumId w:val="22"/>
  </w:num>
  <w:num w:numId="19">
    <w:abstractNumId w:val="23"/>
  </w:num>
  <w:num w:numId="20">
    <w:abstractNumId w:val="32"/>
  </w:num>
  <w:num w:numId="21">
    <w:abstractNumId w:val="2"/>
  </w:num>
  <w:num w:numId="22">
    <w:abstractNumId w:val="29"/>
  </w:num>
  <w:num w:numId="23">
    <w:abstractNumId w:val="3"/>
  </w:num>
  <w:num w:numId="24">
    <w:abstractNumId w:val="16"/>
  </w:num>
  <w:num w:numId="25">
    <w:abstractNumId w:val="35"/>
  </w:num>
  <w:num w:numId="26">
    <w:abstractNumId w:val="28"/>
  </w:num>
  <w:num w:numId="27">
    <w:abstractNumId w:val="36"/>
  </w:num>
  <w:num w:numId="28">
    <w:abstractNumId w:val="13"/>
  </w:num>
  <w:num w:numId="29">
    <w:abstractNumId w:val="0"/>
  </w:num>
  <w:num w:numId="30">
    <w:abstractNumId w:val="31"/>
  </w:num>
  <w:num w:numId="31">
    <w:abstractNumId w:val="17"/>
  </w:num>
  <w:num w:numId="32">
    <w:abstractNumId w:val="12"/>
  </w:num>
  <w:num w:numId="33">
    <w:abstractNumId w:val="11"/>
  </w:num>
  <w:num w:numId="34">
    <w:abstractNumId w:val="18"/>
  </w:num>
  <w:num w:numId="35">
    <w:abstractNumId w:val="38"/>
  </w:num>
  <w:num w:numId="36">
    <w:abstractNumId w:val="24"/>
  </w:num>
  <w:num w:numId="37">
    <w:abstractNumId w:val="27"/>
  </w:num>
  <w:num w:numId="38">
    <w:abstractNumId w:val="10"/>
  </w:num>
  <w:num w:numId="39">
    <w:abstractNumId w:val="2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17"/>
    <w:rsid w:val="0000426F"/>
    <w:rsid w:val="00012913"/>
    <w:rsid w:val="0002524D"/>
    <w:rsid w:val="00033632"/>
    <w:rsid w:val="00041889"/>
    <w:rsid w:val="00042BFF"/>
    <w:rsid w:val="00077361"/>
    <w:rsid w:val="000776CE"/>
    <w:rsid w:val="00093244"/>
    <w:rsid w:val="000956C1"/>
    <w:rsid w:val="000B1EF2"/>
    <w:rsid w:val="000C417B"/>
    <w:rsid w:val="000C659D"/>
    <w:rsid w:val="000D0FF8"/>
    <w:rsid w:val="000E7F83"/>
    <w:rsid w:val="0010634D"/>
    <w:rsid w:val="00106A17"/>
    <w:rsid w:val="00110827"/>
    <w:rsid w:val="001236B0"/>
    <w:rsid w:val="001315C3"/>
    <w:rsid w:val="001331C5"/>
    <w:rsid w:val="00136561"/>
    <w:rsid w:val="00137AE0"/>
    <w:rsid w:val="00145587"/>
    <w:rsid w:val="00147ED8"/>
    <w:rsid w:val="00170AE2"/>
    <w:rsid w:val="00176E8F"/>
    <w:rsid w:val="00176F11"/>
    <w:rsid w:val="0019734B"/>
    <w:rsid w:val="001A60C1"/>
    <w:rsid w:val="00222DBE"/>
    <w:rsid w:val="00264D8C"/>
    <w:rsid w:val="00273378"/>
    <w:rsid w:val="00292D66"/>
    <w:rsid w:val="002C3BE6"/>
    <w:rsid w:val="002D2E79"/>
    <w:rsid w:val="002D38FA"/>
    <w:rsid w:val="002E03B0"/>
    <w:rsid w:val="002E135C"/>
    <w:rsid w:val="002E168D"/>
    <w:rsid w:val="002F5AEA"/>
    <w:rsid w:val="003249DC"/>
    <w:rsid w:val="00362ACD"/>
    <w:rsid w:val="003642C7"/>
    <w:rsid w:val="003C354A"/>
    <w:rsid w:val="003C485C"/>
    <w:rsid w:val="003E11B3"/>
    <w:rsid w:val="003E6F05"/>
    <w:rsid w:val="00413DAE"/>
    <w:rsid w:val="00421330"/>
    <w:rsid w:val="00423FEB"/>
    <w:rsid w:val="0043214C"/>
    <w:rsid w:val="00436B10"/>
    <w:rsid w:val="004528FB"/>
    <w:rsid w:val="00466260"/>
    <w:rsid w:val="00473054"/>
    <w:rsid w:val="004A0926"/>
    <w:rsid w:val="004A1087"/>
    <w:rsid w:val="004A3008"/>
    <w:rsid w:val="004A3C4C"/>
    <w:rsid w:val="004B66E6"/>
    <w:rsid w:val="004C23D5"/>
    <w:rsid w:val="004E414D"/>
    <w:rsid w:val="004F24C7"/>
    <w:rsid w:val="0050305E"/>
    <w:rsid w:val="00503A32"/>
    <w:rsid w:val="005146CB"/>
    <w:rsid w:val="00536276"/>
    <w:rsid w:val="00540A39"/>
    <w:rsid w:val="0055223C"/>
    <w:rsid w:val="00560447"/>
    <w:rsid w:val="00564210"/>
    <w:rsid w:val="00580C4F"/>
    <w:rsid w:val="0058538B"/>
    <w:rsid w:val="005A2097"/>
    <w:rsid w:val="005B3BA0"/>
    <w:rsid w:val="005B64CD"/>
    <w:rsid w:val="005D637B"/>
    <w:rsid w:val="005E3146"/>
    <w:rsid w:val="005E401E"/>
    <w:rsid w:val="005F06CD"/>
    <w:rsid w:val="00601C5E"/>
    <w:rsid w:val="00613A75"/>
    <w:rsid w:val="00641EC5"/>
    <w:rsid w:val="00672F25"/>
    <w:rsid w:val="00680333"/>
    <w:rsid w:val="00690AD9"/>
    <w:rsid w:val="006945FE"/>
    <w:rsid w:val="006A0EEA"/>
    <w:rsid w:val="006A3C52"/>
    <w:rsid w:val="006B7218"/>
    <w:rsid w:val="006D475A"/>
    <w:rsid w:val="006D591C"/>
    <w:rsid w:val="006E5270"/>
    <w:rsid w:val="006F06DB"/>
    <w:rsid w:val="006F2413"/>
    <w:rsid w:val="0071765B"/>
    <w:rsid w:val="00737125"/>
    <w:rsid w:val="007466EB"/>
    <w:rsid w:val="007611F4"/>
    <w:rsid w:val="00781409"/>
    <w:rsid w:val="00797DAA"/>
    <w:rsid w:val="007A6934"/>
    <w:rsid w:val="007A7DED"/>
    <w:rsid w:val="007D0C1B"/>
    <w:rsid w:val="007E017E"/>
    <w:rsid w:val="007E0547"/>
    <w:rsid w:val="007E38DD"/>
    <w:rsid w:val="007F3BDD"/>
    <w:rsid w:val="00800CD9"/>
    <w:rsid w:val="008326A1"/>
    <w:rsid w:val="00837A4B"/>
    <w:rsid w:val="00837D95"/>
    <w:rsid w:val="00842959"/>
    <w:rsid w:val="00885CD5"/>
    <w:rsid w:val="00890130"/>
    <w:rsid w:val="008A5443"/>
    <w:rsid w:val="008B4479"/>
    <w:rsid w:val="008B660A"/>
    <w:rsid w:val="008E3085"/>
    <w:rsid w:val="00913705"/>
    <w:rsid w:val="00917DF6"/>
    <w:rsid w:val="00926A24"/>
    <w:rsid w:val="00930B12"/>
    <w:rsid w:val="00946126"/>
    <w:rsid w:val="0095115F"/>
    <w:rsid w:val="009516E0"/>
    <w:rsid w:val="00952907"/>
    <w:rsid w:val="00965D05"/>
    <w:rsid w:val="00966D5E"/>
    <w:rsid w:val="00985DC0"/>
    <w:rsid w:val="009C3E32"/>
    <w:rsid w:val="009C62BF"/>
    <w:rsid w:val="009F6855"/>
    <w:rsid w:val="00A04F55"/>
    <w:rsid w:val="00A05189"/>
    <w:rsid w:val="00A419E2"/>
    <w:rsid w:val="00A60451"/>
    <w:rsid w:val="00A63F97"/>
    <w:rsid w:val="00A80F47"/>
    <w:rsid w:val="00A85E5A"/>
    <w:rsid w:val="00AA1C6B"/>
    <w:rsid w:val="00AB52EF"/>
    <w:rsid w:val="00AF1641"/>
    <w:rsid w:val="00B02E4A"/>
    <w:rsid w:val="00B24E23"/>
    <w:rsid w:val="00B36865"/>
    <w:rsid w:val="00B40734"/>
    <w:rsid w:val="00B5127C"/>
    <w:rsid w:val="00B51EE2"/>
    <w:rsid w:val="00B556B4"/>
    <w:rsid w:val="00B70F5B"/>
    <w:rsid w:val="00B74A3C"/>
    <w:rsid w:val="00B92401"/>
    <w:rsid w:val="00B97E7B"/>
    <w:rsid w:val="00BA1A53"/>
    <w:rsid w:val="00BA4717"/>
    <w:rsid w:val="00BB6960"/>
    <w:rsid w:val="00BC0529"/>
    <w:rsid w:val="00BC4B86"/>
    <w:rsid w:val="00BC73AE"/>
    <w:rsid w:val="00C168D4"/>
    <w:rsid w:val="00C22348"/>
    <w:rsid w:val="00C46BD8"/>
    <w:rsid w:val="00C533B2"/>
    <w:rsid w:val="00C85BFD"/>
    <w:rsid w:val="00C93308"/>
    <w:rsid w:val="00CA42DA"/>
    <w:rsid w:val="00CA79D3"/>
    <w:rsid w:val="00CB14E2"/>
    <w:rsid w:val="00CC187B"/>
    <w:rsid w:val="00CD5373"/>
    <w:rsid w:val="00D0756C"/>
    <w:rsid w:val="00D161E7"/>
    <w:rsid w:val="00D24BDA"/>
    <w:rsid w:val="00D529C0"/>
    <w:rsid w:val="00D52DEF"/>
    <w:rsid w:val="00D658FC"/>
    <w:rsid w:val="00D73AE5"/>
    <w:rsid w:val="00D74419"/>
    <w:rsid w:val="00D80DB2"/>
    <w:rsid w:val="00D812A0"/>
    <w:rsid w:val="00DA558C"/>
    <w:rsid w:val="00DB4169"/>
    <w:rsid w:val="00DB7CA7"/>
    <w:rsid w:val="00DC3BA3"/>
    <w:rsid w:val="00DC5927"/>
    <w:rsid w:val="00DE415E"/>
    <w:rsid w:val="00E12C84"/>
    <w:rsid w:val="00E217CF"/>
    <w:rsid w:val="00E25FAF"/>
    <w:rsid w:val="00E327F5"/>
    <w:rsid w:val="00E33050"/>
    <w:rsid w:val="00E46B5D"/>
    <w:rsid w:val="00E6218F"/>
    <w:rsid w:val="00E85962"/>
    <w:rsid w:val="00ED09B9"/>
    <w:rsid w:val="00ED7A46"/>
    <w:rsid w:val="00EE0862"/>
    <w:rsid w:val="00EE2462"/>
    <w:rsid w:val="00F00D80"/>
    <w:rsid w:val="00F152D2"/>
    <w:rsid w:val="00F17745"/>
    <w:rsid w:val="00F27CBC"/>
    <w:rsid w:val="00F33182"/>
    <w:rsid w:val="00F34493"/>
    <w:rsid w:val="00F40457"/>
    <w:rsid w:val="00F430BB"/>
    <w:rsid w:val="00F53E83"/>
    <w:rsid w:val="00F56A0E"/>
    <w:rsid w:val="00F81389"/>
    <w:rsid w:val="00FA1CA2"/>
    <w:rsid w:val="00FB7178"/>
    <w:rsid w:val="00FD2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AF160"/>
  <w15:docId w15:val="{840743DD-B739-493A-B759-CB911D76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1E"/>
  </w:style>
  <w:style w:type="paragraph" w:styleId="Heading1">
    <w:name w:val="heading 1"/>
    <w:basedOn w:val="Normal"/>
    <w:next w:val="Normal"/>
    <w:link w:val="Heading1Char"/>
    <w:uiPriority w:val="9"/>
    <w:qFormat/>
    <w:rsid w:val="00F53E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02E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01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A17"/>
  </w:style>
  <w:style w:type="paragraph" w:styleId="Footer">
    <w:name w:val="footer"/>
    <w:basedOn w:val="Normal"/>
    <w:link w:val="FooterChar"/>
    <w:uiPriority w:val="99"/>
    <w:unhideWhenUsed/>
    <w:rsid w:val="0010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17"/>
  </w:style>
  <w:style w:type="paragraph" w:styleId="ListParagraph">
    <w:name w:val="List Paragraph"/>
    <w:basedOn w:val="Normal"/>
    <w:uiPriority w:val="34"/>
    <w:qFormat/>
    <w:rsid w:val="00106A17"/>
    <w:pPr>
      <w:ind w:left="720"/>
      <w:contextualSpacing/>
    </w:pPr>
  </w:style>
  <w:style w:type="character" w:styleId="CommentReference">
    <w:name w:val="annotation reference"/>
    <w:basedOn w:val="DefaultParagraphFont"/>
    <w:uiPriority w:val="99"/>
    <w:semiHidden/>
    <w:unhideWhenUsed/>
    <w:rsid w:val="009F6855"/>
    <w:rPr>
      <w:sz w:val="16"/>
      <w:szCs w:val="16"/>
    </w:rPr>
  </w:style>
  <w:style w:type="paragraph" w:styleId="CommentText">
    <w:name w:val="annotation text"/>
    <w:basedOn w:val="Normal"/>
    <w:link w:val="CommentTextChar"/>
    <w:uiPriority w:val="99"/>
    <w:unhideWhenUsed/>
    <w:rsid w:val="009F6855"/>
    <w:pPr>
      <w:spacing w:line="240" w:lineRule="auto"/>
    </w:pPr>
    <w:rPr>
      <w:sz w:val="20"/>
      <w:szCs w:val="20"/>
    </w:rPr>
  </w:style>
  <w:style w:type="character" w:customStyle="1" w:styleId="CommentTextChar">
    <w:name w:val="Comment Text Char"/>
    <w:basedOn w:val="DefaultParagraphFont"/>
    <w:link w:val="CommentText"/>
    <w:uiPriority w:val="99"/>
    <w:rsid w:val="009F6855"/>
    <w:rPr>
      <w:sz w:val="20"/>
      <w:szCs w:val="20"/>
    </w:rPr>
  </w:style>
  <w:style w:type="paragraph" w:styleId="CommentSubject">
    <w:name w:val="annotation subject"/>
    <w:basedOn w:val="CommentText"/>
    <w:next w:val="CommentText"/>
    <w:link w:val="CommentSubjectChar"/>
    <w:uiPriority w:val="99"/>
    <w:semiHidden/>
    <w:unhideWhenUsed/>
    <w:rsid w:val="009F6855"/>
    <w:rPr>
      <w:b/>
      <w:bCs/>
    </w:rPr>
  </w:style>
  <w:style w:type="character" w:customStyle="1" w:styleId="CommentSubjectChar">
    <w:name w:val="Comment Subject Char"/>
    <w:basedOn w:val="CommentTextChar"/>
    <w:link w:val="CommentSubject"/>
    <w:uiPriority w:val="99"/>
    <w:semiHidden/>
    <w:rsid w:val="009F6855"/>
    <w:rPr>
      <w:b/>
      <w:bCs/>
      <w:sz w:val="20"/>
      <w:szCs w:val="20"/>
    </w:rPr>
  </w:style>
  <w:style w:type="paragraph" w:styleId="BalloonText">
    <w:name w:val="Balloon Text"/>
    <w:basedOn w:val="Normal"/>
    <w:link w:val="BalloonTextChar"/>
    <w:uiPriority w:val="99"/>
    <w:semiHidden/>
    <w:unhideWhenUsed/>
    <w:rsid w:val="009F6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55"/>
    <w:rPr>
      <w:rFonts w:ascii="Tahoma" w:hAnsi="Tahoma" w:cs="Tahoma"/>
      <w:sz w:val="16"/>
      <w:szCs w:val="16"/>
    </w:rPr>
  </w:style>
  <w:style w:type="table" w:styleId="TableGrid">
    <w:name w:val="Table Grid"/>
    <w:basedOn w:val="TableNormal"/>
    <w:uiPriority w:val="59"/>
    <w:rsid w:val="009F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7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E7B"/>
    <w:rPr>
      <w:sz w:val="20"/>
      <w:szCs w:val="20"/>
    </w:rPr>
  </w:style>
  <w:style w:type="character" w:styleId="FootnoteReference">
    <w:name w:val="footnote reference"/>
    <w:basedOn w:val="DefaultParagraphFont"/>
    <w:uiPriority w:val="99"/>
    <w:semiHidden/>
    <w:unhideWhenUsed/>
    <w:rsid w:val="00B97E7B"/>
    <w:rPr>
      <w:vertAlign w:val="superscript"/>
    </w:rPr>
  </w:style>
  <w:style w:type="character" w:styleId="Hyperlink">
    <w:name w:val="Hyperlink"/>
    <w:basedOn w:val="DefaultParagraphFont"/>
    <w:uiPriority w:val="99"/>
    <w:unhideWhenUsed/>
    <w:rsid w:val="00FD23ED"/>
    <w:rPr>
      <w:color w:val="0000FF" w:themeColor="hyperlink"/>
      <w:u w:val="single"/>
    </w:rPr>
  </w:style>
  <w:style w:type="character" w:styleId="FollowedHyperlink">
    <w:name w:val="FollowedHyperlink"/>
    <w:basedOn w:val="DefaultParagraphFont"/>
    <w:uiPriority w:val="99"/>
    <w:semiHidden/>
    <w:unhideWhenUsed/>
    <w:rsid w:val="00BA1A53"/>
    <w:rPr>
      <w:color w:val="800080" w:themeColor="followedHyperlink"/>
      <w:u w:val="single"/>
    </w:rPr>
  </w:style>
  <w:style w:type="character" w:customStyle="1" w:styleId="Heading1Char">
    <w:name w:val="Heading 1 Char"/>
    <w:basedOn w:val="DefaultParagraphFont"/>
    <w:link w:val="Heading1"/>
    <w:uiPriority w:val="9"/>
    <w:rsid w:val="00F53E8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641EC5"/>
    <w:rPr>
      <w:color w:val="605E5C"/>
      <w:shd w:val="clear" w:color="auto" w:fill="E1DFDD"/>
    </w:rPr>
  </w:style>
  <w:style w:type="character" w:customStyle="1" w:styleId="Heading2Char">
    <w:name w:val="Heading 2 Char"/>
    <w:basedOn w:val="DefaultParagraphFont"/>
    <w:link w:val="Heading2"/>
    <w:uiPriority w:val="9"/>
    <w:semiHidden/>
    <w:rsid w:val="00B02E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017E"/>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semiHidden/>
    <w:unhideWhenUsed/>
    <w:qFormat/>
    <w:rsid w:val="00137AE0"/>
    <w:pPr>
      <w:outlineLvl w:val="9"/>
    </w:pPr>
  </w:style>
  <w:style w:type="paragraph" w:styleId="TOC1">
    <w:name w:val="toc 1"/>
    <w:basedOn w:val="Normal"/>
    <w:next w:val="Normal"/>
    <w:autoRedefine/>
    <w:uiPriority w:val="39"/>
    <w:unhideWhenUsed/>
    <w:rsid w:val="00137AE0"/>
    <w:pPr>
      <w:spacing w:after="100"/>
    </w:pPr>
  </w:style>
  <w:style w:type="paragraph" w:styleId="TOC2">
    <w:name w:val="toc 2"/>
    <w:basedOn w:val="Normal"/>
    <w:next w:val="Normal"/>
    <w:autoRedefine/>
    <w:uiPriority w:val="39"/>
    <w:unhideWhenUsed/>
    <w:rsid w:val="006A3C52"/>
    <w:pPr>
      <w:tabs>
        <w:tab w:val="left" w:pos="426"/>
        <w:tab w:val="right" w:leader="dot" w:pos="9016"/>
      </w:tabs>
      <w:spacing w:after="100"/>
    </w:pPr>
  </w:style>
  <w:style w:type="paragraph" w:styleId="TOC3">
    <w:name w:val="toc 3"/>
    <w:basedOn w:val="Normal"/>
    <w:next w:val="Normal"/>
    <w:autoRedefine/>
    <w:uiPriority w:val="39"/>
    <w:unhideWhenUsed/>
    <w:rsid w:val="00137AE0"/>
    <w:pPr>
      <w:spacing w:after="100"/>
      <w:ind w:left="440"/>
    </w:pPr>
  </w:style>
  <w:style w:type="paragraph" w:styleId="NoSpacing">
    <w:name w:val="No Spacing"/>
    <w:link w:val="NoSpacingChar"/>
    <w:uiPriority w:val="1"/>
    <w:qFormat/>
    <w:rsid w:val="00137AE0"/>
    <w:pPr>
      <w:spacing w:after="0" w:line="240" w:lineRule="auto"/>
    </w:pPr>
  </w:style>
  <w:style w:type="character" w:customStyle="1" w:styleId="NoSpacingChar">
    <w:name w:val="No Spacing Char"/>
    <w:basedOn w:val="DefaultParagraphFont"/>
    <w:link w:val="NoSpacing"/>
    <w:uiPriority w:val="1"/>
    <w:rsid w:val="00137AE0"/>
  </w:style>
  <w:style w:type="character" w:customStyle="1" w:styleId="UnresolvedMention2">
    <w:name w:val="Unresolved Mention2"/>
    <w:basedOn w:val="DefaultParagraphFont"/>
    <w:uiPriority w:val="99"/>
    <w:semiHidden/>
    <w:unhideWhenUsed/>
    <w:rsid w:val="007E38DD"/>
    <w:rPr>
      <w:color w:val="605E5C"/>
      <w:shd w:val="clear" w:color="auto" w:fill="E1DFDD"/>
    </w:rPr>
  </w:style>
  <w:style w:type="character" w:styleId="UnresolvedMention">
    <w:name w:val="Unresolved Mention"/>
    <w:basedOn w:val="DefaultParagraphFont"/>
    <w:uiPriority w:val="99"/>
    <w:semiHidden/>
    <w:unhideWhenUsed/>
    <w:rsid w:val="0079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069">
      <w:bodyDiv w:val="1"/>
      <w:marLeft w:val="0"/>
      <w:marRight w:val="0"/>
      <w:marTop w:val="0"/>
      <w:marBottom w:val="0"/>
      <w:divBdr>
        <w:top w:val="none" w:sz="0" w:space="0" w:color="auto"/>
        <w:left w:val="none" w:sz="0" w:space="0" w:color="auto"/>
        <w:bottom w:val="none" w:sz="0" w:space="0" w:color="auto"/>
        <w:right w:val="none" w:sz="0" w:space="0" w:color="auto"/>
      </w:divBdr>
      <w:divsChild>
        <w:div w:id="1345016781">
          <w:marLeft w:val="0"/>
          <w:marRight w:val="0"/>
          <w:marTop w:val="0"/>
          <w:marBottom w:val="0"/>
          <w:divBdr>
            <w:top w:val="none" w:sz="0" w:space="0" w:color="auto"/>
            <w:left w:val="none" w:sz="0" w:space="0" w:color="auto"/>
            <w:bottom w:val="none" w:sz="0" w:space="0" w:color="auto"/>
            <w:right w:val="none" w:sz="0" w:space="0" w:color="auto"/>
          </w:divBdr>
        </w:div>
      </w:divsChild>
    </w:div>
    <w:div w:id="236944098">
      <w:bodyDiv w:val="1"/>
      <w:marLeft w:val="0"/>
      <w:marRight w:val="0"/>
      <w:marTop w:val="0"/>
      <w:marBottom w:val="0"/>
      <w:divBdr>
        <w:top w:val="none" w:sz="0" w:space="0" w:color="auto"/>
        <w:left w:val="none" w:sz="0" w:space="0" w:color="auto"/>
        <w:bottom w:val="none" w:sz="0" w:space="0" w:color="auto"/>
        <w:right w:val="none" w:sz="0" w:space="0" w:color="auto"/>
      </w:divBdr>
    </w:div>
    <w:div w:id="327563735">
      <w:bodyDiv w:val="1"/>
      <w:marLeft w:val="0"/>
      <w:marRight w:val="0"/>
      <w:marTop w:val="0"/>
      <w:marBottom w:val="0"/>
      <w:divBdr>
        <w:top w:val="none" w:sz="0" w:space="0" w:color="auto"/>
        <w:left w:val="none" w:sz="0" w:space="0" w:color="auto"/>
        <w:bottom w:val="none" w:sz="0" w:space="0" w:color="auto"/>
        <w:right w:val="none" w:sz="0" w:space="0" w:color="auto"/>
      </w:divBdr>
      <w:divsChild>
        <w:div w:id="732584817">
          <w:marLeft w:val="0"/>
          <w:marRight w:val="0"/>
          <w:marTop w:val="0"/>
          <w:marBottom w:val="0"/>
          <w:divBdr>
            <w:top w:val="none" w:sz="0" w:space="0" w:color="auto"/>
            <w:left w:val="none" w:sz="0" w:space="0" w:color="auto"/>
            <w:bottom w:val="none" w:sz="0" w:space="0" w:color="auto"/>
            <w:right w:val="none" w:sz="0" w:space="0" w:color="auto"/>
          </w:divBdr>
        </w:div>
      </w:divsChild>
    </w:div>
    <w:div w:id="1065880875">
      <w:bodyDiv w:val="1"/>
      <w:marLeft w:val="0"/>
      <w:marRight w:val="0"/>
      <w:marTop w:val="0"/>
      <w:marBottom w:val="0"/>
      <w:divBdr>
        <w:top w:val="none" w:sz="0" w:space="0" w:color="auto"/>
        <w:left w:val="none" w:sz="0" w:space="0" w:color="auto"/>
        <w:bottom w:val="none" w:sz="0" w:space="0" w:color="auto"/>
        <w:right w:val="none" w:sz="0" w:space="0" w:color="auto"/>
      </w:divBdr>
      <w:divsChild>
        <w:div w:id="1351762877">
          <w:marLeft w:val="0"/>
          <w:marRight w:val="0"/>
          <w:marTop w:val="0"/>
          <w:marBottom w:val="0"/>
          <w:divBdr>
            <w:top w:val="none" w:sz="0" w:space="0" w:color="auto"/>
            <w:left w:val="none" w:sz="0" w:space="0" w:color="auto"/>
            <w:bottom w:val="none" w:sz="0" w:space="0" w:color="auto"/>
            <w:right w:val="none" w:sz="0" w:space="0" w:color="auto"/>
          </w:divBdr>
        </w:div>
      </w:divsChild>
    </w:div>
    <w:div w:id="1461461976">
      <w:bodyDiv w:val="1"/>
      <w:marLeft w:val="0"/>
      <w:marRight w:val="0"/>
      <w:marTop w:val="0"/>
      <w:marBottom w:val="0"/>
      <w:divBdr>
        <w:top w:val="none" w:sz="0" w:space="0" w:color="auto"/>
        <w:left w:val="none" w:sz="0" w:space="0" w:color="auto"/>
        <w:bottom w:val="none" w:sz="0" w:space="0" w:color="auto"/>
        <w:right w:val="none" w:sz="0" w:space="0" w:color="auto"/>
      </w:divBdr>
      <w:divsChild>
        <w:div w:id="1565095429">
          <w:marLeft w:val="0"/>
          <w:marRight w:val="0"/>
          <w:marTop w:val="0"/>
          <w:marBottom w:val="0"/>
          <w:divBdr>
            <w:top w:val="none" w:sz="0" w:space="0" w:color="auto"/>
            <w:left w:val="none" w:sz="0" w:space="0" w:color="auto"/>
            <w:bottom w:val="none" w:sz="0" w:space="0" w:color="auto"/>
            <w:right w:val="none" w:sz="0" w:space="0" w:color="auto"/>
          </w:divBdr>
        </w:div>
      </w:divsChild>
    </w:div>
    <w:div w:id="1872958367">
      <w:bodyDiv w:val="1"/>
      <w:marLeft w:val="0"/>
      <w:marRight w:val="0"/>
      <w:marTop w:val="0"/>
      <w:marBottom w:val="0"/>
      <w:divBdr>
        <w:top w:val="none" w:sz="0" w:space="0" w:color="auto"/>
        <w:left w:val="none" w:sz="0" w:space="0" w:color="auto"/>
        <w:bottom w:val="none" w:sz="0" w:space="0" w:color="auto"/>
        <w:right w:val="none" w:sz="0" w:space="0" w:color="auto"/>
      </w:divBdr>
      <w:divsChild>
        <w:div w:id="54082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rious-violence-strategy" TargetMode="Externa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pga/2017/30/section/35/enacted" TargetMode="External"/><Relationship Id="rId7" Type="http://schemas.openxmlformats.org/officeDocument/2006/relationships/endnotes" Target="endnotes.xml"/><Relationship Id="rId12" Type="http://schemas.openxmlformats.org/officeDocument/2006/relationships/hyperlink" Target="https://www.gov.uk/government/publications/multi-agency-public-protection-arrangements-mappa--3"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hyperlink" Target="https://data.england.nhs.uk/sudgt/activ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lives.org.uk/practice-support/resources-marac-meeting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hyperlink" Target="https://adcs.org.uk/general-subject/article/pr-building-a-country-that-works-for-all-children-post-covid-19" TargetMode="External"/><Relationship Id="rId19" Type="http://schemas.openxmlformats.org/officeDocument/2006/relationships/hyperlink" Target="https://data.england.nhs.uk/sudgt/" TargetMode="External"/><Relationship Id="rId4" Type="http://schemas.openxmlformats.org/officeDocument/2006/relationships/settings" Target="settings.xml"/><Relationship Id="rId9" Type="http://schemas.openxmlformats.org/officeDocument/2006/relationships/hyperlink" Target="https://www.gov.uk/government/publications/prime-ministers-virtual-summit-on-hidden-harms" TargetMode="External"/><Relationship Id="rId14" Type="http://schemas.openxmlformats.org/officeDocument/2006/relationships/package" Target="embeddings/Microsoft_Word_Document.docx"/><Relationship Id="rId22" Type="http://schemas.openxmlformats.org/officeDocument/2006/relationships/hyperlink" Target="https://www.dsptoolkit.nhs.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o.org.uk/for-organisations/guide-to-data-protection/guide-to-the-general-data-protection-regulation-gdpr/special-category-data/what-are-the-substantial-public-interest-conditions/" TargetMode="External"/><Relationship Id="rId1"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066B-026C-4DEF-9B17-E3F03897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Tuckett Adam (NHS SCWCSU)</dc:creator>
  <cp:lastModifiedBy>BUNN, Alex (NHS SOUTH, CENTRAL AND WEST COMMISSIONING SUPPORT UNIT)</cp:lastModifiedBy>
  <cp:revision>5</cp:revision>
  <cp:lastPrinted>2021-06-17T07:39:00Z</cp:lastPrinted>
  <dcterms:created xsi:type="dcterms:W3CDTF">2021-07-28T20:18:00Z</dcterms:created>
  <dcterms:modified xsi:type="dcterms:W3CDTF">2021-07-28T21:23:00Z</dcterms:modified>
</cp:coreProperties>
</file>