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3720" w14:textId="77777777" w:rsidR="00667F06" w:rsidRPr="00E3270D" w:rsidRDefault="00667F06">
      <w:pPr>
        <w:rPr>
          <w:rFonts w:ascii="Arial" w:hAnsi="Arial" w:cs="Arial"/>
          <w:color w:val="000000" w:themeColor="text1"/>
          <w:sz w:val="24"/>
          <w:szCs w:val="24"/>
        </w:rPr>
      </w:pPr>
      <w:r w:rsidRPr="00667F06">
        <w:rPr>
          <w:rFonts w:ascii="Arial" w:hAnsi="Arial" w:cs="Arial"/>
          <w:noProof/>
          <w:color w:val="000000" w:themeColor="text1"/>
        </w:rPr>
        <w:drawing>
          <wp:inline distT="0" distB="0" distL="0" distR="0" wp14:anchorId="158076E4" wp14:editId="4DB02F3E">
            <wp:extent cx="2782956" cy="508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5101" cy="512042"/>
                    </a:xfrm>
                    <a:prstGeom prst="rect">
                      <a:avLst/>
                    </a:prstGeom>
                  </pic:spPr>
                </pic:pic>
              </a:graphicData>
            </a:graphic>
          </wp:inline>
        </w:drawing>
      </w:r>
    </w:p>
    <w:p w14:paraId="686CDF3A" w14:textId="137D1114" w:rsidR="00F53C7E" w:rsidRPr="00E3270D" w:rsidRDefault="00F53C7E">
      <w:pPr>
        <w:rPr>
          <w:rFonts w:ascii="Arial" w:hAnsi="Arial" w:cs="Arial"/>
          <w:color w:val="000000" w:themeColor="text1"/>
          <w:sz w:val="24"/>
          <w:szCs w:val="24"/>
          <w:shd w:val="clear" w:color="auto" w:fill="FFFFFF"/>
        </w:rPr>
      </w:pPr>
      <w:r w:rsidRPr="00E3270D">
        <w:rPr>
          <w:rFonts w:ascii="Arial" w:hAnsi="Arial" w:cs="Arial"/>
          <w:color w:val="000000" w:themeColor="text1"/>
          <w:sz w:val="24"/>
          <w:szCs w:val="24"/>
          <w:shd w:val="clear" w:color="auto" w:fill="FFFFFF"/>
        </w:rPr>
        <w:t xml:space="preserve">The Calculating Quality Reporting Service </w:t>
      </w:r>
      <w:r w:rsidRPr="00E3270D">
        <w:rPr>
          <w:rFonts w:ascii="Arial" w:hAnsi="Arial" w:cs="Arial"/>
          <w:b/>
          <w:bCs/>
          <w:color w:val="000000" w:themeColor="text1"/>
          <w:sz w:val="24"/>
          <w:szCs w:val="24"/>
          <w:shd w:val="clear" w:color="auto" w:fill="FFFFFF"/>
        </w:rPr>
        <w:t>(CQRS)</w:t>
      </w:r>
      <w:r w:rsidRPr="00E3270D">
        <w:rPr>
          <w:rFonts w:ascii="Arial" w:hAnsi="Arial" w:cs="Arial"/>
          <w:color w:val="000000" w:themeColor="text1"/>
          <w:sz w:val="24"/>
          <w:szCs w:val="24"/>
          <w:shd w:val="clear" w:color="auto" w:fill="FFFFFF"/>
        </w:rPr>
        <w:t xml:space="preserve"> is an </w:t>
      </w:r>
      <w:r w:rsidR="00FE7DC1" w:rsidRPr="00E3270D">
        <w:rPr>
          <w:rFonts w:ascii="Arial" w:hAnsi="Arial" w:cs="Arial"/>
          <w:color w:val="000000" w:themeColor="text1"/>
          <w:sz w:val="24"/>
          <w:szCs w:val="24"/>
          <w:shd w:val="clear" w:color="auto" w:fill="FFFFFF"/>
        </w:rPr>
        <w:t>approval</w:t>
      </w:r>
      <w:r w:rsidRPr="00E3270D">
        <w:rPr>
          <w:rFonts w:ascii="Arial" w:hAnsi="Arial" w:cs="Arial"/>
          <w:color w:val="000000" w:themeColor="text1"/>
          <w:sz w:val="24"/>
          <w:szCs w:val="24"/>
          <w:shd w:val="clear" w:color="auto" w:fill="FFFFFF"/>
        </w:rPr>
        <w:t>, reporting and payment</w:t>
      </w:r>
      <w:r w:rsidR="00FE7DC1" w:rsidRPr="00E3270D">
        <w:rPr>
          <w:rFonts w:ascii="Arial" w:hAnsi="Arial" w:cs="Arial"/>
          <w:color w:val="000000" w:themeColor="text1"/>
          <w:sz w:val="24"/>
          <w:szCs w:val="24"/>
          <w:shd w:val="clear" w:color="auto" w:fill="FFFFFF"/>
        </w:rPr>
        <w:t xml:space="preserve"> </w:t>
      </w:r>
      <w:r w:rsidRPr="00E3270D">
        <w:rPr>
          <w:rFonts w:ascii="Arial" w:hAnsi="Arial" w:cs="Arial"/>
          <w:color w:val="000000" w:themeColor="text1"/>
          <w:sz w:val="24"/>
          <w:szCs w:val="24"/>
          <w:shd w:val="clear" w:color="auto" w:fill="FFFFFF"/>
        </w:rPr>
        <w:t xml:space="preserve">calculation system for GP practices. It </w:t>
      </w:r>
      <w:r w:rsidR="00667F06" w:rsidRPr="00E3270D">
        <w:rPr>
          <w:rFonts w:ascii="Arial" w:hAnsi="Arial" w:cs="Arial"/>
          <w:color w:val="000000" w:themeColor="text1"/>
          <w:sz w:val="24"/>
          <w:szCs w:val="24"/>
          <w:shd w:val="clear" w:color="auto" w:fill="FFFFFF"/>
        </w:rPr>
        <w:t>supports</w:t>
      </w:r>
      <w:r w:rsidRPr="00E3270D">
        <w:rPr>
          <w:rFonts w:ascii="Arial" w:hAnsi="Arial" w:cs="Arial"/>
          <w:color w:val="000000" w:themeColor="text1"/>
          <w:sz w:val="24"/>
          <w:szCs w:val="24"/>
          <w:shd w:val="clear" w:color="auto" w:fill="FFFFFF"/>
        </w:rPr>
        <w:t xml:space="preserve"> practices to track, monitor and declare achievement for the Quality and Outcomes Framework </w:t>
      </w:r>
      <w:r w:rsidRPr="00E3270D">
        <w:rPr>
          <w:rFonts w:ascii="Arial" w:hAnsi="Arial" w:cs="Arial"/>
          <w:b/>
          <w:bCs/>
          <w:color w:val="000000" w:themeColor="text1"/>
          <w:sz w:val="24"/>
          <w:szCs w:val="24"/>
          <w:shd w:val="clear" w:color="auto" w:fill="FFFFFF"/>
        </w:rPr>
        <w:t>(QOF),</w:t>
      </w:r>
      <w:r w:rsidRPr="00E3270D">
        <w:rPr>
          <w:rFonts w:ascii="Arial" w:hAnsi="Arial" w:cs="Arial"/>
          <w:color w:val="000000" w:themeColor="text1"/>
          <w:sz w:val="24"/>
          <w:szCs w:val="24"/>
          <w:shd w:val="clear" w:color="auto" w:fill="FFFFFF"/>
        </w:rPr>
        <w:t xml:space="preserve"> Directed Enhanced Services </w:t>
      </w:r>
      <w:r w:rsidRPr="00E3270D">
        <w:rPr>
          <w:rFonts w:ascii="Arial" w:hAnsi="Arial" w:cs="Arial"/>
          <w:b/>
          <w:bCs/>
          <w:color w:val="000000" w:themeColor="text1"/>
          <w:sz w:val="24"/>
          <w:szCs w:val="24"/>
          <w:shd w:val="clear" w:color="auto" w:fill="FFFFFF"/>
        </w:rPr>
        <w:t xml:space="preserve">(DES) </w:t>
      </w:r>
      <w:r w:rsidRPr="00E3270D">
        <w:rPr>
          <w:rFonts w:ascii="Arial" w:hAnsi="Arial" w:cs="Arial"/>
          <w:color w:val="000000" w:themeColor="text1"/>
          <w:sz w:val="24"/>
          <w:szCs w:val="24"/>
          <w:shd w:val="clear" w:color="auto" w:fill="FFFFFF"/>
        </w:rPr>
        <w:t xml:space="preserve">and Vaccination and Immunisation </w:t>
      </w:r>
      <w:r w:rsidRPr="00E3270D">
        <w:rPr>
          <w:rFonts w:ascii="Arial" w:hAnsi="Arial" w:cs="Arial"/>
          <w:b/>
          <w:bCs/>
          <w:color w:val="000000" w:themeColor="text1"/>
          <w:sz w:val="24"/>
          <w:szCs w:val="24"/>
          <w:shd w:val="clear" w:color="auto" w:fill="FFFFFF"/>
        </w:rPr>
        <w:t>(V&amp;I)</w:t>
      </w:r>
      <w:r w:rsidRPr="00E3270D">
        <w:rPr>
          <w:rFonts w:ascii="Arial" w:hAnsi="Arial" w:cs="Arial"/>
          <w:color w:val="000000" w:themeColor="text1"/>
          <w:sz w:val="24"/>
          <w:szCs w:val="24"/>
          <w:shd w:val="clear" w:color="auto" w:fill="FFFFFF"/>
        </w:rPr>
        <w:t xml:space="preserve"> programmes.</w:t>
      </w:r>
    </w:p>
    <w:p w14:paraId="5E40023D" w14:textId="151DF1F7" w:rsidR="00E35186" w:rsidRPr="00E3270D" w:rsidRDefault="00F571E7" w:rsidP="00E35186">
      <w:pPr>
        <w:rPr>
          <w:rFonts w:ascii="Arial" w:hAnsi="Arial" w:cs="Arial"/>
          <w:sz w:val="24"/>
          <w:szCs w:val="24"/>
        </w:rPr>
      </w:pPr>
      <w:r w:rsidRPr="00E3270D">
        <w:rPr>
          <w:rFonts w:ascii="Arial" w:hAnsi="Arial" w:cs="Arial"/>
          <w:sz w:val="24"/>
          <w:szCs w:val="24"/>
        </w:rPr>
        <w:t xml:space="preserve">As per the terms of </w:t>
      </w:r>
      <w:r w:rsidR="00E35186" w:rsidRPr="00E3270D">
        <w:rPr>
          <w:rFonts w:ascii="Arial" w:hAnsi="Arial" w:cs="Arial"/>
          <w:sz w:val="24"/>
          <w:szCs w:val="24"/>
        </w:rPr>
        <w:t xml:space="preserve">the </w:t>
      </w:r>
      <w:r w:rsidRPr="00E3270D">
        <w:rPr>
          <w:rFonts w:ascii="Arial" w:hAnsi="Arial" w:cs="Arial"/>
          <w:sz w:val="24"/>
          <w:szCs w:val="24"/>
        </w:rPr>
        <w:t>G</w:t>
      </w:r>
      <w:r w:rsidR="00E35186" w:rsidRPr="00E3270D">
        <w:rPr>
          <w:rFonts w:ascii="Arial" w:hAnsi="Arial" w:cs="Arial"/>
          <w:sz w:val="24"/>
          <w:szCs w:val="24"/>
        </w:rPr>
        <w:t xml:space="preserve">eneral </w:t>
      </w:r>
      <w:r w:rsidRPr="00E3270D">
        <w:rPr>
          <w:rFonts w:ascii="Arial" w:hAnsi="Arial" w:cs="Arial"/>
          <w:sz w:val="24"/>
          <w:szCs w:val="24"/>
        </w:rPr>
        <w:t>M</w:t>
      </w:r>
      <w:r w:rsidR="00E35186" w:rsidRPr="00E3270D">
        <w:rPr>
          <w:rFonts w:ascii="Arial" w:hAnsi="Arial" w:cs="Arial"/>
          <w:sz w:val="24"/>
          <w:szCs w:val="24"/>
        </w:rPr>
        <w:t xml:space="preserve">edical </w:t>
      </w:r>
      <w:r w:rsidRPr="00E3270D">
        <w:rPr>
          <w:rFonts w:ascii="Arial" w:hAnsi="Arial" w:cs="Arial"/>
          <w:sz w:val="24"/>
          <w:szCs w:val="24"/>
        </w:rPr>
        <w:t>S</w:t>
      </w:r>
      <w:r w:rsidR="00E35186" w:rsidRPr="00E3270D">
        <w:rPr>
          <w:rFonts w:ascii="Arial" w:hAnsi="Arial" w:cs="Arial"/>
          <w:sz w:val="24"/>
          <w:szCs w:val="24"/>
        </w:rPr>
        <w:t>ervices</w:t>
      </w:r>
      <w:r w:rsidRPr="00E3270D">
        <w:rPr>
          <w:rFonts w:ascii="Arial" w:hAnsi="Arial" w:cs="Arial"/>
          <w:sz w:val="24"/>
          <w:szCs w:val="24"/>
        </w:rPr>
        <w:t xml:space="preserve"> Statement of Financial Entitlement</w:t>
      </w:r>
      <w:r w:rsidR="00E35186" w:rsidRPr="00E3270D">
        <w:rPr>
          <w:rFonts w:ascii="Arial" w:hAnsi="Arial" w:cs="Arial"/>
          <w:sz w:val="24"/>
          <w:szCs w:val="24"/>
        </w:rPr>
        <w:t xml:space="preserve">s Directions </w:t>
      </w:r>
      <w:r w:rsidR="00E35186" w:rsidRPr="00E3270D">
        <w:rPr>
          <w:rFonts w:ascii="Arial" w:hAnsi="Arial" w:cs="Arial"/>
          <w:b/>
          <w:bCs/>
          <w:sz w:val="24"/>
          <w:szCs w:val="24"/>
        </w:rPr>
        <w:t>(SFE’s)</w:t>
      </w:r>
      <w:r w:rsidRPr="00E3270D">
        <w:rPr>
          <w:rFonts w:ascii="Arial" w:hAnsi="Arial" w:cs="Arial"/>
          <w:b/>
          <w:bCs/>
          <w:sz w:val="24"/>
          <w:szCs w:val="24"/>
        </w:rPr>
        <w:t>,</w:t>
      </w:r>
      <w:r w:rsidRPr="00E3270D">
        <w:rPr>
          <w:rFonts w:ascii="Arial" w:hAnsi="Arial" w:cs="Arial"/>
          <w:sz w:val="24"/>
          <w:szCs w:val="24"/>
        </w:rPr>
        <w:t xml:space="preserve"> practices are required to submit claims </w:t>
      </w:r>
      <w:r w:rsidR="00CD431A" w:rsidRPr="00E3270D">
        <w:rPr>
          <w:rFonts w:ascii="Arial" w:hAnsi="Arial" w:cs="Arial"/>
          <w:sz w:val="24"/>
          <w:szCs w:val="24"/>
        </w:rPr>
        <w:t>for Item of Services fees</w:t>
      </w:r>
      <w:r w:rsidR="00DA753B" w:rsidRPr="00E3270D">
        <w:rPr>
          <w:rFonts w:ascii="Arial" w:hAnsi="Arial" w:cs="Arial"/>
          <w:sz w:val="24"/>
          <w:szCs w:val="24"/>
        </w:rPr>
        <w:t xml:space="preserve"> for vaccines and immunisations</w:t>
      </w:r>
      <w:r w:rsidR="00CD431A" w:rsidRPr="00E3270D">
        <w:rPr>
          <w:rFonts w:ascii="Arial" w:hAnsi="Arial" w:cs="Arial"/>
          <w:sz w:val="24"/>
          <w:szCs w:val="24"/>
        </w:rPr>
        <w:t xml:space="preserve"> by no later than a period of </w:t>
      </w:r>
      <w:r w:rsidR="00CD431A" w:rsidRPr="00E3270D">
        <w:rPr>
          <w:rFonts w:ascii="Arial" w:hAnsi="Arial" w:cs="Arial"/>
          <w:b/>
          <w:bCs/>
          <w:sz w:val="24"/>
          <w:szCs w:val="24"/>
        </w:rPr>
        <w:t>6 months</w:t>
      </w:r>
      <w:r w:rsidR="00CD431A" w:rsidRPr="00E3270D">
        <w:rPr>
          <w:rFonts w:ascii="Arial" w:hAnsi="Arial" w:cs="Arial"/>
          <w:sz w:val="24"/>
          <w:szCs w:val="24"/>
        </w:rPr>
        <w:t xml:space="preserve"> after a </w:t>
      </w:r>
      <w:r w:rsidR="00494A6E" w:rsidRPr="00E3270D">
        <w:rPr>
          <w:rFonts w:ascii="Arial" w:hAnsi="Arial" w:cs="Arial"/>
          <w:sz w:val="24"/>
          <w:szCs w:val="24"/>
        </w:rPr>
        <w:t>vaccine</w:t>
      </w:r>
      <w:r w:rsidR="00CD431A" w:rsidRPr="00E3270D">
        <w:rPr>
          <w:rFonts w:ascii="Arial" w:hAnsi="Arial" w:cs="Arial"/>
          <w:sz w:val="24"/>
          <w:szCs w:val="24"/>
        </w:rPr>
        <w:t xml:space="preserve">/immunisation </w:t>
      </w:r>
      <w:r w:rsidR="00DA753B" w:rsidRPr="00E3270D">
        <w:rPr>
          <w:rFonts w:ascii="Arial" w:hAnsi="Arial" w:cs="Arial"/>
          <w:sz w:val="24"/>
          <w:szCs w:val="24"/>
        </w:rPr>
        <w:t>is</w:t>
      </w:r>
      <w:r w:rsidR="00CD431A" w:rsidRPr="00E3270D">
        <w:rPr>
          <w:rFonts w:ascii="Arial" w:hAnsi="Arial" w:cs="Arial"/>
          <w:sz w:val="24"/>
          <w:szCs w:val="24"/>
        </w:rPr>
        <w:t xml:space="preserve"> administered</w:t>
      </w:r>
      <w:r w:rsidR="00E35186" w:rsidRPr="00E3270D">
        <w:rPr>
          <w:rFonts w:ascii="Arial" w:hAnsi="Arial" w:cs="Arial"/>
          <w:sz w:val="24"/>
          <w:szCs w:val="24"/>
        </w:rPr>
        <w:t xml:space="preserve">. Please be mindful that the rules are different for Seasonal Influenza. </w:t>
      </w:r>
      <w:r w:rsidR="00E35186" w:rsidRPr="00E3270D">
        <w:rPr>
          <w:rFonts w:ascii="Arial" w:hAnsi="Arial" w:cs="Arial"/>
          <w:b/>
          <w:bCs/>
          <w:sz w:val="24"/>
          <w:szCs w:val="24"/>
        </w:rPr>
        <w:t>Se</w:t>
      </w:r>
      <w:r w:rsidR="00E35186" w:rsidRPr="00E3270D">
        <w:rPr>
          <w:rFonts w:ascii="Arial" w:hAnsi="Arial" w:cs="Arial"/>
          <w:b/>
          <w:bCs/>
          <w:sz w:val="24"/>
          <w:szCs w:val="24"/>
        </w:rPr>
        <w:t>ction 9</w:t>
      </w:r>
      <w:r w:rsidR="00E35186" w:rsidRPr="00E3270D">
        <w:rPr>
          <w:rFonts w:ascii="Arial" w:hAnsi="Arial" w:cs="Arial"/>
          <w:sz w:val="24"/>
          <w:szCs w:val="24"/>
        </w:rPr>
        <w:t xml:space="preserve"> of the </w:t>
      </w:r>
      <w:r w:rsidR="00E35186" w:rsidRPr="00E3270D">
        <w:rPr>
          <w:rFonts w:ascii="Arial" w:hAnsi="Arial" w:cs="Arial"/>
          <w:i/>
          <w:iCs/>
          <w:sz w:val="24"/>
          <w:szCs w:val="24"/>
        </w:rPr>
        <w:t xml:space="preserve">2023/24 </w:t>
      </w:r>
      <w:r w:rsidR="00E35186" w:rsidRPr="00E3270D">
        <w:rPr>
          <w:rFonts w:ascii="Arial" w:hAnsi="Arial" w:cs="Arial"/>
          <w:i/>
          <w:iCs/>
          <w:sz w:val="24"/>
          <w:szCs w:val="24"/>
        </w:rPr>
        <w:t>Enhanced Service Specification</w:t>
      </w:r>
      <w:r w:rsidR="00E35186" w:rsidRPr="00E3270D">
        <w:rPr>
          <w:rFonts w:ascii="Arial" w:hAnsi="Arial" w:cs="Arial"/>
          <w:sz w:val="24"/>
          <w:szCs w:val="24"/>
        </w:rPr>
        <w:t xml:space="preserve"> ‘</w:t>
      </w:r>
      <w:r w:rsidR="00E35186" w:rsidRPr="00E3270D">
        <w:rPr>
          <w:rFonts w:ascii="Arial" w:hAnsi="Arial" w:cs="Arial"/>
          <w:b/>
          <w:bCs/>
          <w:sz w:val="24"/>
          <w:szCs w:val="24"/>
        </w:rPr>
        <w:t>Payment and Validation’</w:t>
      </w:r>
      <w:r w:rsidR="00E35186" w:rsidRPr="00E3270D">
        <w:rPr>
          <w:rFonts w:ascii="Arial" w:hAnsi="Arial" w:cs="Arial"/>
          <w:sz w:val="24"/>
          <w:szCs w:val="24"/>
        </w:rPr>
        <w:t xml:space="preserve"> </w:t>
      </w:r>
      <w:r w:rsidR="00E35186" w:rsidRPr="00E3270D">
        <w:rPr>
          <w:rFonts w:ascii="Arial" w:hAnsi="Arial" w:cs="Arial"/>
          <w:sz w:val="24"/>
          <w:szCs w:val="24"/>
        </w:rPr>
        <w:t>states</w:t>
      </w:r>
      <w:r w:rsidR="00E35186" w:rsidRPr="00E3270D">
        <w:rPr>
          <w:rFonts w:ascii="Arial" w:hAnsi="Arial" w:cs="Arial"/>
          <w:sz w:val="24"/>
          <w:szCs w:val="24"/>
        </w:rPr>
        <w:t>:</w:t>
      </w:r>
    </w:p>
    <w:p w14:paraId="58A2C2B6" w14:textId="306D24E8" w:rsidR="00E35186" w:rsidRPr="00E3270D" w:rsidRDefault="00E35186" w:rsidP="00E35186">
      <w:pPr>
        <w:rPr>
          <w:rFonts w:ascii="Arial" w:hAnsi="Arial" w:cs="Arial"/>
          <w:sz w:val="24"/>
          <w:szCs w:val="24"/>
        </w:rPr>
      </w:pPr>
      <w:r w:rsidRPr="00E3270D">
        <w:rPr>
          <w:rFonts w:ascii="Arial" w:hAnsi="Arial" w:cs="Arial"/>
          <w:sz w:val="24"/>
          <w:szCs w:val="24"/>
        </w:rPr>
        <w:t>Practices will only be eligible for payment in accordance with th</w:t>
      </w:r>
      <w:r w:rsidR="00A9616E" w:rsidRPr="00E3270D">
        <w:rPr>
          <w:rFonts w:ascii="Arial" w:hAnsi="Arial" w:cs="Arial"/>
          <w:sz w:val="24"/>
          <w:szCs w:val="24"/>
        </w:rPr>
        <w:t>e Seasonal Flu</w:t>
      </w:r>
      <w:r w:rsidRPr="00E3270D">
        <w:rPr>
          <w:rFonts w:ascii="Arial" w:hAnsi="Arial" w:cs="Arial"/>
          <w:sz w:val="24"/>
          <w:szCs w:val="24"/>
        </w:rPr>
        <w:t xml:space="preserve"> ES</w:t>
      </w:r>
      <w:r w:rsidR="00A9616E" w:rsidRPr="00E3270D">
        <w:rPr>
          <w:rFonts w:ascii="Arial" w:hAnsi="Arial" w:cs="Arial"/>
          <w:sz w:val="24"/>
          <w:szCs w:val="24"/>
        </w:rPr>
        <w:t>’s</w:t>
      </w:r>
      <w:r w:rsidRPr="00E3270D">
        <w:rPr>
          <w:rFonts w:ascii="Arial" w:hAnsi="Arial" w:cs="Arial"/>
          <w:sz w:val="24"/>
          <w:szCs w:val="24"/>
        </w:rPr>
        <w:t xml:space="preserve"> where all the following requirements have been met and payment is conditional on:</w:t>
      </w:r>
    </w:p>
    <w:p w14:paraId="7714B72D" w14:textId="77777777" w:rsidR="00E35186" w:rsidRPr="00E3270D" w:rsidRDefault="00E35186" w:rsidP="00E35186">
      <w:pPr>
        <w:pStyle w:val="ListParagraph"/>
        <w:numPr>
          <w:ilvl w:val="0"/>
          <w:numId w:val="9"/>
        </w:numPr>
        <w:rPr>
          <w:rFonts w:ascii="Arial" w:hAnsi="Arial" w:cs="Arial"/>
        </w:rPr>
      </w:pPr>
      <w:r w:rsidRPr="00E3270D">
        <w:rPr>
          <w:rFonts w:ascii="Arial" w:hAnsi="Arial" w:cs="Arial"/>
        </w:rPr>
        <w:t>Use of the correct vaccine</w:t>
      </w:r>
    </w:p>
    <w:p w14:paraId="70C42B3C" w14:textId="77777777" w:rsidR="00E35186" w:rsidRPr="00E3270D" w:rsidRDefault="00E35186" w:rsidP="00E35186">
      <w:pPr>
        <w:pStyle w:val="ListParagraph"/>
        <w:numPr>
          <w:ilvl w:val="0"/>
          <w:numId w:val="9"/>
        </w:numPr>
        <w:rPr>
          <w:rFonts w:ascii="Arial" w:hAnsi="Arial" w:cs="Arial"/>
        </w:rPr>
      </w:pPr>
      <w:r w:rsidRPr="00E3270D">
        <w:rPr>
          <w:rFonts w:ascii="Arial" w:hAnsi="Arial" w:cs="Arial"/>
        </w:rPr>
        <w:t>The patient was in an authorised cohort</w:t>
      </w:r>
    </w:p>
    <w:p w14:paraId="30BBA099" w14:textId="77777777" w:rsidR="00E35186" w:rsidRPr="00E3270D" w:rsidRDefault="00E35186" w:rsidP="00E35186">
      <w:pPr>
        <w:pStyle w:val="ListParagraph"/>
        <w:numPr>
          <w:ilvl w:val="0"/>
          <w:numId w:val="9"/>
        </w:numPr>
        <w:rPr>
          <w:rFonts w:ascii="Arial" w:hAnsi="Arial" w:cs="Arial"/>
        </w:rPr>
      </w:pPr>
      <w:r w:rsidRPr="00E3270D">
        <w:rPr>
          <w:rFonts w:ascii="Arial" w:hAnsi="Arial" w:cs="Arial"/>
        </w:rPr>
        <w:t xml:space="preserve">The practice has not received payment from any other source </w:t>
      </w:r>
    </w:p>
    <w:p w14:paraId="290CD48A" w14:textId="77777777" w:rsidR="00E35186" w:rsidRPr="00E3270D" w:rsidRDefault="00E35186" w:rsidP="00E35186">
      <w:pPr>
        <w:pStyle w:val="ListParagraph"/>
        <w:numPr>
          <w:ilvl w:val="0"/>
          <w:numId w:val="9"/>
        </w:numPr>
        <w:rPr>
          <w:rFonts w:ascii="Arial" w:hAnsi="Arial" w:cs="Arial"/>
          <w:b/>
          <w:bCs/>
          <w:u w:val="single"/>
        </w:rPr>
      </w:pPr>
      <w:r w:rsidRPr="00E3270D">
        <w:rPr>
          <w:rFonts w:ascii="Arial" w:hAnsi="Arial" w:cs="Arial"/>
        </w:rPr>
        <w:t xml:space="preserve">The claim was submitted to the commissioner for payment </w:t>
      </w:r>
      <w:r w:rsidRPr="00E3270D">
        <w:rPr>
          <w:rFonts w:ascii="Arial" w:hAnsi="Arial" w:cs="Arial"/>
          <w:b/>
          <w:bCs/>
          <w:u w:val="single"/>
        </w:rPr>
        <w:t>within 3 months of the date of the administration of the completing dose.</w:t>
      </w:r>
    </w:p>
    <w:p w14:paraId="4546189C" w14:textId="77777777" w:rsidR="00E35186" w:rsidRPr="00E3270D" w:rsidRDefault="00E35186" w:rsidP="00E35186">
      <w:pPr>
        <w:pStyle w:val="ListParagraph"/>
        <w:rPr>
          <w:rFonts w:ascii="Arial" w:hAnsi="Arial" w:cs="Arial"/>
          <w:b/>
          <w:bCs/>
          <w:u w:val="single"/>
        </w:rPr>
      </w:pPr>
    </w:p>
    <w:p w14:paraId="3A6B43A0" w14:textId="4640BE9E" w:rsidR="00AD518E" w:rsidRPr="00737149" w:rsidRDefault="00737149">
      <w:pPr>
        <w:rPr>
          <w:rFonts w:ascii="Arial" w:hAnsi="Arial" w:cs="Arial"/>
          <w:sz w:val="24"/>
          <w:szCs w:val="24"/>
          <w:u w:val="single"/>
        </w:rPr>
      </w:pPr>
      <w:r>
        <w:rPr>
          <w:rFonts w:ascii="Arial" w:hAnsi="Arial" w:cs="Arial"/>
          <w:i/>
          <w:iCs/>
          <w:sz w:val="24"/>
          <w:szCs w:val="24"/>
          <w:u w:val="single"/>
        </w:rPr>
        <w:t xml:space="preserve">NB. </w:t>
      </w:r>
      <w:r w:rsidR="00F571E7" w:rsidRPr="00737149">
        <w:rPr>
          <w:rFonts w:ascii="Arial" w:hAnsi="Arial" w:cs="Arial"/>
          <w:i/>
          <w:iCs/>
          <w:sz w:val="24"/>
          <w:szCs w:val="24"/>
          <w:u w:val="single"/>
        </w:rPr>
        <w:t xml:space="preserve">NHSE are not obliged to </w:t>
      </w:r>
      <w:r w:rsidR="00494A6E" w:rsidRPr="00737149">
        <w:rPr>
          <w:rFonts w:ascii="Arial" w:hAnsi="Arial" w:cs="Arial"/>
          <w:i/>
          <w:iCs/>
          <w:sz w:val="24"/>
          <w:szCs w:val="24"/>
          <w:u w:val="single"/>
        </w:rPr>
        <w:t>authorise</w:t>
      </w:r>
      <w:r w:rsidR="00F571E7" w:rsidRPr="00737149">
        <w:rPr>
          <w:rFonts w:ascii="Arial" w:hAnsi="Arial" w:cs="Arial"/>
          <w:i/>
          <w:iCs/>
          <w:sz w:val="24"/>
          <w:szCs w:val="24"/>
          <w:u w:val="single"/>
        </w:rPr>
        <w:t xml:space="preserve"> payment for claims made after th</w:t>
      </w:r>
      <w:r w:rsidR="00E35186" w:rsidRPr="00737149">
        <w:rPr>
          <w:rFonts w:ascii="Arial" w:hAnsi="Arial" w:cs="Arial"/>
          <w:i/>
          <w:iCs/>
          <w:sz w:val="24"/>
          <w:szCs w:val="24"/>
          <w:u w:val="single"/>
        </w:rPr>
        <w:t>ese</w:t>
      </w:r>
      <w:r w:rsidR="00F571E7" w:rsidRPr="00737149">
        <w:rPr>
          <w:rFonts w:ascii="Arial" w:hAnsi="Arial" w:cs="Arial"/>
          <w:i/>
          <w:iCs/>
          <w:sz w:val="24"/>
          <w:szCs w:val="24"/>
          <w:u w:val="single"/>
        </w:rPr>
        <w:t xml:space="preserve"> period</w:t>
      </w:r>
      <w:r w:rsidR="00E35186" w:rsidRPr="00737149">
        <w:rPr>
          <w:rFonts w:ascii="Arial" w:hAnsi="Arial" w:cs="Arial"/>
          <w:i/>
          <w:iCs/>
          <w:sz w:val="24"/>
          <w:szCs w:val="24"/>
          <w:u w:val="single"/>
        </w:rPr>
        <w:t>s</w:t>
      </w:r>
      <w:r w:rsidR="00DA753B" w:rsidRPr="00737149">
        <w:rPr>
          <w:rFonts w:ascii="Arial" w:hAnsi="Arial" w:cs="Arial"/>
          <w:sz w:val="24"/>
          <w:szCs w:val="24"/>
          <w:u w:val="single"/>
        </w:rPr>
        <w:t>.</w:t>
      </w:r>
    </w:p>
    <w:p w14:paraId="2813EBF9" w14:textId="3C41AB2F" w:rsidR="00A9616E" w:rsidRPr="00E3270D" w:rsidRDefault="00A9616E">
      <w:pPr>
        <w:rPr>
          <w:rFonts w:ascii="Arial" w:hAnsi="Arial" w:cs="Arial"/>
          <w:b/>
          <w:bCs/>
          <w:sz w:val="24"/>
          <w:szCs w:val="24"/>
        </w:rPr>
      </w:pPr>
      <w:r w:rsidRPr="00E3270D">
        <w:rPr>
          <w:rFonts w:ascii="Arial" w:hAnsi="Arial" w:cs="Arial"/>
          <w:b/>
          <w:bCs/>
          <w:sz w:val="24"/>
          <w:szCs w:val="24"/>
          <w:lang w:eastAsia="en-GB"/>
        </w:rPr>
        <w:t>General Practice Extraction Service (GPES)</w:t>
      </w:r>
    </w:p>
    <w:p w14:paraId="2F24F0E3" w14:textId="380B03BA" w:rsidR="00A9616E" w:rsidRPr="00E3270D" w:rsidRDefault="00737149" w:rsidP="00A9616E">
      <w:pPr>
        <w:rPr>
          <w:rFonts w:ascii="Arial" w:hAnsi="Arial" w:cs="Arial"/>
          <w:sz w:val="24"/>
          <w:szCs w:val="24"/>
        </w:rPr>
      </w:pPr>
      <w:r>
        <w:rPr>
          <w:rFonts w:ascii="Arial" w:hAnsi="Arial" w:cs="Arial"/>
          <w:sz w:val="24"/>
          <w:szCs w:val="24"/>
        </w:rPr>
        <w:t xml:space="preserve">The </w:t>
      </w:r>
      <w:r w:rsidR="00A9616E" w:rsidRPr="00E3270D">
        <w:rPr>
          <w:rFonts w:ascii="Arial" w:hAnsi="Arial" w:cs="Arial"/>
          <w:sz w:val="24"/>
          <w:szCs w:val="24"/>
        </w:rPr>
        <w:t>General Practice Extraction Service (GPES) collects information and data for a wide range of purposes including providing GP payments. It works in conjunction with the Calculating Quality Reporting System (CQRS) and GP clinical systems as part of the NHS Digital’s GP collections service.</w:t>
      </w:r>
    </w:p>
    <w:p w14:paraId="2CA69E18" w14:textId="7EE3C607" w:rsidR="00891576" w:rsidRPr="00E3270D" w:rsidRDefault="00A9616E" w:rsidP="00A9616E">
      <w:pPr>
        <w:rPr>
          <w:rFonts w:ascii="Arial" w:hAnsi="Arial" w:cs="Arial"/>
          <w:sz w:val="24"/>
          <w:szCs w:val="24"/>
          <w:lang w:eastAsia="en-GB"/>
        </w:rPr>
      </w:pPr>
      <w:r w:rsidRPr="00E3270D">
        <w:rPr>
          <w:rFonts w:ascii="Arial" w:hAnsi="Arial" w:cs="Arial"/>
          <w:sz w:val="24"/>
          <w:szCs w:val="24"/>
          <w:lang w:eastAsia="en-GB"/>
        </w:rPr>
        <w:t xml:space="preserve">Data is extracted from practices clinical systems </w:t>
      </w:r>
      <w:r w:rsidRPr="00E3270D">
        <w:rPr>
          <w:rFonts w:ascii="Arial" w:hAnsi="Arial" w:cs="Arial"/>
          <w:b/>
          <w:bCs/>
          <w:sz w:val="24"/>
          <w:szCs w:val="24"/>
          <w:lang w:eastAsia="en-GB"/>
        </w:rPr>
        <w:t>once a month</w:t>
      </w:r>
      <w:r w:rsidRPr="00E3270D">
        <w:rPr>
          <w:rFonts w:ascii="Arial" w:eastAsia="Times New Roman" w:hAnsi="Arial" w:cs="Arial"/>
          <w:sz w:val="24"/>
          <w:szCs w:val="24"/>
          <w:lang w:eastAsia="en-GB"/>
        </w:rPr>
        <w:t xml:space="preserve"> This</w:t>
      </w:r>
      <w:r w:rsidRPr="00E3270D">
        <w:rPr>
          <w:rFonts w:ascii="Arial" w:hAnsi="Arial" w:cs="Arial"/>
          <w:sz w:val="24"/>
          <w:szCs w:val="24"/>
          <w:lang w:eastAsia="en-GB"/>
        </w:rPr>
        <w:t xml:space="preserve"> normally takes place between 9-15</w:t>
      </w:r>
      <w:r w:rsidRPr="00E3270D">
        <w:rPr>
          <w:rFonts w:ascii="Arial" w:hAnsi="Arial" w:cs="Arial"/>
          <w:sz w:val="24"/>
          <w:szCs w:val="24"/>
          <w:vertAlign w:val="superscript"/>
          <w:lang w:eastAsia="en-GB"/>
        </w:rPr>
        <w:t>th</w:t>
      </w:r>
      <w:r w:rsidRPr="00E3270D">
        <w:rPr>
          <w:rFonts w:ascii="Arial" w:hAnsi="Arial" w:cs="Arial"/>
          <w:sz w:val="24"/>
          <w:szCs w:val="24"/>
          <w:lang w:eastAsia="en-GB"/>
        </w:rPr>
        <w:t>.</w:t>
      </w:r>
      <w:r w:rsidRPr="00E3270D">
        <w:rPr>
          <w:rFonts w:ascii="Arial" w:hAnsi="Arial" w:cs="Arial"/>
          <w:sz w:val="24"/>
          <w:szCs w:val="24"/>
          <w:lang w:eastAsia="en-GB"/>
        </w:rPr>
        <w:t xml:space="preserve"> During this period</w:t>
      </w:r>
      <w:r w:rsidRPr="00E3270D">
        <w:rPr>
          <w:rFonts w:ascii="Arial" w:hAnsi="Arial" w:cs="Arial"/>
          <w:sz w:val="24"/>
          <w:szCs w:val="24"/>
          <w:lang w:eastAsia="en-GB"/>
        </w:rPr>
        <w:t>,</w:t>
      </w:r>
      <w:r w:rsidRPr="00E3270D">
        <w:rPr>
          <w:rFonts w:ascii="Arial" w:hAnsi="Arial" w:cs="Arial"/>
          <w:sz w:val="24"/>
          <w:szCs w:val="24"/>
          <w:lang w:eastAsia="en-GB"/>
        </w:rPr>
        <w:t xml:space="preserve"> practices may find the functionality of CQRS a bit slower owing to the </w:t>
      </w:r>
      <w:r w:rsidR="00737149" w:rsidRPr="00E3270D">
        <w:rPr>
          <w:rFonts w:ascii="Arial" w:hAnsi="Arial" w:cs="Arial"/>
          <w:sz w:val="24"/>
          <w:szCs w:val="24"/>
          <w:lang w:eastAsia="en-GB"/>
        </w:rPr>
        <w:t>considerable number</w:t>
      </w:r>
      <w:r w:rsidRPr="00E3270D">
        <w:rPr>
          <w:rFonts w:ascii="Arial" w:hAnsi="Arial" w:cs="Arial"/>
          <w:sz w:val="24"/>
          <w:szCs w:val="24"/>
          <w:lang w:eastAsia="en-GB"/>
        </w:rPr>
        <w:t xml:space="preserve"> of files being transferred. </w:t>
      </w:r>
    </w:p>
    <w:p w14:paraId="501EAA0F" w14:textId="0E32FF51" w:rsidR="00891576" w:rsidRPr="00E3270D" w:rsidRDefault="00091AEE" w:rsidP="00891576">
      <w:pPr>
        <w:rPr>
          <w:rFonts w:ascii="Arial" w:hAnsi="Arial" w:cs="Arial"/>
          <w:sz w:val="24"/>
          <w:szCs w:val="24"/>
        </w:rPr>
      </w:pPr>
      <w:hyperlink r:id="rId11" w:history="1">
        <w:r w:rsidR="00891576" w:rsidRPr="00E3270D">
          <w:rPr>
            <w:rStyle w:val="Hyperlink"/>
            <w:rFonts w:ascii="Arial" w:hAnsi="Arial" w:cs="Arial"/>
            <w:sz w:val="24"/>
            <w:szCs w:val="24"/>
          </w:rPr>
          <w:t>GPES Collections Timetable</w:t>
        </w:r>
      </w:hyperlink>
      <w:r w:rsidR="00891576" w:rsidRPr="00E3270D">
        <w:rPr>
          <w:rFonts w:ascii="Arial" w:hAnsi="Arial" w:cs="Arial"/>
          <w:sz w:val="24"/>
          <w:szCs w:val="24"/>
        </w:rPr>
        <w:t xml:space="preserve"> </w:t>
      </w:r>
    </w:p>
    <w:p w14:paraId="260B7A10" w14:textId="1F1C7B73" w:rsidR="00494A6E" w:rsidRPr="00E3270D" w:rsidRDefault="00A9616E" w:rsidP="00A9616E">
      <w:pPr>
        <w:rPr>
          <w:rFonts w:ascii="Arial" w:eastAsiaTheme="minorEastAsia" w:hAnsi="Arial" w:cs="Arial"/>
          <w:b/>
          <w:bCs/>
          <w:color w:val="000000" w:themeColor="text1"/>
          <w:kern w:val="24"/>
          <w:sz w:val="24"/>
          <w:szCs w:val="24"/>
          <w:lang w:eastAsia="en-GB"/>
        </w:rPr>
      </w:pPr>
      <w:r w:rsidRPr="00E3270D">
        <w:rPr>
          <w:rFonts w:ascii="Arial" w:hAnsi="Arial" w:cs="Arial"/>
          <w:b/>
          <w:bCs/>
          <w:sz w:val="24"/>
          <w:szCs w:val="24"/>
        </w:rPr>
        <w:t>Action required after extraction</w:t>
      </w:r>
    </w:p>
    <w:p w14:paraId="785BE58C" w14:textId="343F24D5" w:rsidR="004A2786" w:rsidRPr="00E3270D" w:rsidRDefault="00DA753B" w:rsidP="00B17C6A">
      <w:pPr>
        <w:spacing w:after="0" w:line="216" w:lineRule="auto"/>
        <w:contextualSpacing/>
        <w:rPr>
          <w:rFonts w:ascii="Arial" w:eastAsiaTheme="minorEastAsia" w:hAnsi="Arial" w:cs="Arial"/>
          <w:color w:val="000000" w:themeColor="text1"/>
          <w:kern w:val="24"/>
          <w:sz w:val="24"/>
          <w:szCs w:val="24"/>
          <w:lang w:eastAsia="en-GB"/>
        </w:rPr>
      </w:pPr>
      <w:r w:rsidRPr="00E3270D">
        <w:rPr>
          <w:rFonts w:ascii="Arial" w:eastAsiaTheme="minorEastAsia" w:hAnsi="Arial" w:cs="Arial"/>
          <w:color w:val="000000" w:themeColor="text1"/>
          <w:kern w:val="24"/>
          <w:sz w:val="24"/>
          <w:szCs w:val="24"/>
          <w:lang w:eastAsia="en-GB"/>
        </w:rPr>
        <w:t>Practices will receive notification that a service</w:t>
      </w:r>
      <w:r w:rsidR="000804B5" w:rsidRPr="00E3270D">
        <w:rPr>
          <w:rFonts w:ascii="Arial" w:eastAsiaTheme="minorEastAsia" w:hAnsi="Arial" w:cs="Arial"/>
          <w:color w:val="000000" w:themeColor="text1"/>
          <w:kern w:val="24"/>
          <w:sz w:val="24"/>
          <w:szCs w:val="24"/>
          <w:lang w:eastAsia="en-GB"/>
        </w:rPr>
        <w:t>/s</w:t>
      </w:r>
      <w:r w:rsidRPr="00E3270D">
        <w:rPr>
          <w:rFonts w:ascii="Arial" w:eastAsiaTheme="minorEastAsia" w:hAnsi="Arial" w:cs="Arial"/>
          <w:color w:val="000000" w:themeColor="text1"/>
          <w:kern w:val="24"/>
          <w:sz w:val="24"/>
          <w:szCs w:val="24"/>
          <w:lang w:eastAsia="en-GB"/>
        </w:rPr>
        <w:t xml:space="preserve"> needs approving </w:t>
      </w:r>
      <w:r w:rsidR="000804B5" w:rsidRPr="00E3270D">
        <w:rPr>
          <w:rFonts w:ascii="Arial" w:eastAsiaTheme="minorEastAsia" w:hAnsi="Arial" w:cs="Arial"/>
          <w:color w:val="000000" w:themeColor="text1"/>
          <w:kern w:val="24"/>
          <w:sz w:val="24"/>
          <w:szCs w:val="24"/>
          <w:lang w:eastAsia="en-GB"/>
        </w:rPr>
        <w:t xml:space="preserve">after the extraction has </w:t>
      </w:r>
      <w:r w:rsidR="00B17C6A" w:rsidRPr="00E3270D">
        <w:rPr>
          <w:rFonts w:ascii="Arial" w:eastAsiaTheme="minorEastAsia" w:hAnsi="Arial" w:cs="Arial"/>
          <w:color w:val="000000" w:themeColor="text1"/>
          <w:kern w:val="24"/>
          <w:sz w:val="24"/>
          <w:szCs w:val="24"/>
          <w:lang w:eastAsia="en-GB"/>
        </w:rPr>
        <w:t xml:space="preserve">completed. </w:t>
      </w:r>
      <w:r w:rsidR="00AD518E" w:rsidRPr="00E3270D">
        <w:rPr>
          <w:rFonts w:ascii="Arial" w:eastAsiaTheme="minorEastAsia" w:hAnsi="Arial" w:cs="Arial"/>
          <w:color w:val="000000" w:themeColor="text1"/>
          <w:kern w:val="24"/>
          <w:sz w:val="24"/>
          <w:szCs w:val="24"/>
          <w:lang w:eastAsia="en-GB"/>
        </w:rPr>
        <w:t xml:space="preserve">It is the responsibility of the practice to check their clinical system against CQRS </w:t>
      </w:r>
      <w:r w:rsidR="00E3270D" w:rsidRPr="00E3270D">
        <w:rPr>
          <w:rFonts w:ascii="Arial" w:eastAsiaTheme="minorEastAsia" w:hAnsi="Arial" w:cs="Arial"/>
          <w:color w:val="000000" w:themeColor="text1"/>
          <w:kern w:val="24"/>
          <w:sz w:val="24"/>
          <w:szCs w:val="24"/>
          <w:lang w:eastAsia="en-GB"/>
        </w:rPr>
        <w:t>and declare it as soon as possible. If a practice thinks any data is incorrect, they should submit an</w:t>
      </w:r>
      <w:r w:rsidR="00AD518E" w:rsidRPr="00E3270D">
        <w:rPr>
          <w:rFonts w:ascii="Arial" w:eastAsiaTheme="minorEastAsia" w:hAnsi="Arial" w:cs="Arial"/>
          <w:color w:val="000000" w:themeColor="text1"/>
          <w:kern w:val="24"/>
          <w:sz w:val="24"/>
          <w:szCs w:val="24"/>
          <w:lang w:eastAsia="en-GB"/>
        </w:rPr>
        <w:t xml:space="preserve"> adjustment</w:t>
      </w:r>
      <w:r w:rsidR="000804B5" w:rsidRPr="00E3270D">
        <w:rPr>
          <w:rFonts w:ascii="Arial" w:eastAsiaTheme="minorEastAsia" w:hAnsi="Arial" w:cs="Arial"/>
          <w:color w:val="000000" w:themeColor="text1"/>
          <w:kern w:val="24"/>
          <w:sz w:val="24"/>
          <w:szCs w:val="24"/>
          <w:lang w:eastAsia="en-GB"/>
        </w:rPr>
        <w:t xml:space="preserve"> request</w:t>
      </w:r>
      <w:r w:rsidR="00E3270D" w:rsidRPr="00E3270D">
        <w:rPr>
          <w:rFonts w:ascii="Arial" w:eastAsiaTheme="minorEastAsia" w:hAnsi="Arial" w:cs="Arial"/>
          <w:color w:val="000000" w:themeColor="text1"/>
          <w:kern w:val="24"/>
          <w:sz w:val="24"/>
          <w:szCs w:val="24"/>
          <w:lang w:eastAsia="en-GB"/>
        </w:rPr>
        <w:t>/</w:t>
      </w:r>
      <w:r w:rsidR="000804B5" w:rsidRPr="00E3270D">
        <w:rPr>
          <w:rFonts w:ascii="Arial" w:eastAsiaTheme="minorEastAsia" w:hAnsi="Arial" w:cs="Arial"/>
          <w:color w:val="000000" w:themeColor="text1"/>
          <w:kern w:val="24"/>
          <w:sz w:val="24"/>
          <w:szCs w:val="24"/>
          <w:lang w:eastAsia="en-GB"/>
        </w:rPr>
        <w:t>s</w:t>
      </w:r>
      <w:r w:rsidR="004A2786" w:rsidRPr="00E3270D">
        <w:rPr>
          <w:rFonts w:ascii="Arial" w:eastAsiaTheme="minorEastAsia" w:hAnsi="Arial" w:cs="Arial"/>
          <w:color w:val="000000" w:themeColor="text1"/>
          <w:kern w:val="24"/>
          <w:sz w:val="24"/>
          <w:szCs w:val="24"/>
          <w:lang w:eastAsia="en-GB"/>
        </w:rPr>
        <w:t xml:space="preserve"> as soon as possible</w:t>
      </w:r>
      <w:r w:rsidR="00B17C6A" w:rsidRPr="00E3270D">
        <w:rPr>
          <w:rFonts w:ascii="Arial" w:eastAsiaTheme="minorEastAsia" w:hAnsi="Arial" w:cs="Arial"/>
          <w:color w:val="000000" w:themeColor="text1"/>
          <w:kern w:val="24"/>
          <w:sz w:val="24"/>
          <w:szCs w:val="24"/>
          <w:lang w:eastAsia="en-GB"/>
        </w:rPr>
        <w:t>.</w:t>
      </w:r>
      <w:r w:rsidR="00E3270D" w:rsidRPr="00E3270D">
        <w:rPr>
          <w:rFonts w:ascii="Arial" w:eastAsiaTheme="minorEastAsia" w:hAnsi="Arial" w:cs="Arial"/>
          <w:color w:val="000000" w:themeColor="text1"/>
          <w:kern w:val="24"/>
          <w:sz w:val="24"/>
          <w:szCs w:val="24"/>
          <w:lang w:eastAsia="en-GB"/>
        </w:rPr>
        <w:t xml:space="preserve"> </w:t>
      </w:r>
    </w:p>
    <w:p w14:paraId="16169B63" w14:textId="77777777" w:rsidR="00B17C6A" w:rsidRPr="00E3270D" w:rsidRDefault="00B17C6A" w:rsidP="00B17C6A">
      <w:pPr>
        <w:spacing w:after="0" w:line="216" w:lineRule="auto"/>
        <w:contextualSpacing/>
        <w:rPr>
          <w:rFonts w:ascii="Arial" w:eastAsiaTheme="minorEastAsia" w:hAnsi="Arial" w:cs="Arial"/>
          <w:color w:val="000000" w:themeColor="text1"/>
          <w:kern w:val="24"/>
          <w:sz w:val="24"/>
          <w:szCs w:val="24"/>
          <w:lang w:eastAsia="en-GB"/>
        </w:rPr>
      </w:pPr>
    </w:p>
    <w:p w14:paraId="6057D6E0" w14:textId="663213AE" w:rsidR="00B17C6A" w:rsidRPr="00E3270D" w:rsidRDefault="00B17C6A" w:rsidP="00B17C6A">
      <w:pPr>
        <w:rPr>
          <w:rFonts w:ascii="Arial" w:eastAsiaTheme="minorEastAsia" w:hAnsi="Arial" w:cs="Arial"/>
          <w:color w:val="000000" w:themeColor="text1"/>
          <w:kern w:val="24"/>
          <w:sz w:val="24"/>
          <w:szCs w:val="24"/>
          <w:lang w:eastAsia="en-GB"/>
        </w:rPr>
      </w:pPr>
      <w:r w:rsidRPr="00E3270D">
        <w:rPr>
          <w:rFonts w:ascii="Arial" w:eastAsiaTheme="minorEastAsia" w:hAnsi="Arial" w:cs="Arial"/>
          <w:color w:val="000000" w:themeColor="text1"/>
          <w:kern w:val="24"/>
          <w:sz w:val="24"/>
          <w:szCs w:val="24"/>
          <w:lang w:eastAsia="en-GB"/>
        </w:rPr>
        <w:t>Requests should be submitted on the approved amendment request form for the practices ICB area</w:t>
      </w:r>
      <w:r w:rsidRPr="00E3270D">
        <w:rPr>
          <w:rFonts w:ascii="Arial" w:eastAsiaTheme="minorEastAsia" w:hAnsi="Arial" w:cs="Arial"/>
          <w:b/>
          <w:bCs/>
          <w:color w:val="000000" w:themeColor="text1"/>
          <w:kern w:val="24"/>
          <w:sz w:val="24"/>
          <w:szCs w:val="24"/>
          <w:lang w:eastAsia="en-GB"/>
        </w:rPr>
        <w:t xml:space="preserve">. </w:t>
      </w:r>
      <w:r w:rsidRPr="00E3270D">
        <w:rPr>
          <w:rFonts w:ascii="Arial" w:eastAsiaTheme="minorEastAsia" w:hAnsi="Arial" w:cs="Arial"/>
          <w:color w:val="000000" w:themeColor="text1"/>
          <w:kern w:val="24"/>
          <w:sz w:val="24"/>
          <w:szCs w:val="24"/>
          <w:lang w:eastAsia="en-GB"/>
        </w:rPr>
        <w:t xml:space="preserve">An explanation </w:t>
      </w:r>
      <w:r w:rsidR="00E3270D" w:rsidRPr="00E3270D">
        <w:rPr>
          <w:rFonts w:ascii="Arial" w:eastAsiaTheme="minorEastAsia" w:hAnsi="Arial" w:cs="Arial"/>
          <w:color w:val="000000" w:themeColor="text1"/>
          <w:kern w:val="24"/>
          <w:sz w:val="24"/>
          <w:szCs w:val="24"/>
          <w:lang w:eastAsia="en-GB"/>
        </w:rPr>
        <w:t>concerning</w:t>
      </w:r>
      <w:r w:rsidRPr="00E3270D">
        <w:rPr>
          <w:rFonts w:ascii="Arial" w:eastAsiaTheme="minorEastAsia" w:hAnsi="Arial" w:cs="Arial"/>
          <w:color w:val="000000" w:themeColor="text1"/>
          <w:kern w:val="24"/>
          <w:sz w:val="24"/>
          <w:szCs w:val="24"/>
          <w:lang w:eastAsia="en-GB"/>
        </w:rPr>
        <w:t xml:space="preserve"> why the data was missed from the extraction must be provided.</w:t>
      </w:r>
    </w:p>
    <w:p w14:paraId="56AABDA6" w14:textId="44EAAE64" w:rsidR="004A2786" w:rsidRPr="00E3270D" w:rsidRDefault="00B17C6A" w:rsidP="004A2786">
      <w:pPr>
        <w:rPr>
          <w:rFonts w:ascii="Arial" w:eastAsiaTheme="minorEastAsia" w:hAnsi="Arial" w:cs="Arial"/>
          <w:color w:val="000000" w:themeColor="text1"/>
          <w:kern w:val="24"/>
          <w:sz w:val="24"/>
          <w:szCs w:val="24"/>
          <w:lang w:eastAsia="en-GB"/>
        </w:rPr>
      </w:pPr>
      <w:r w:rsidRPr="00E3270D">
        <w:rPr>
          <w:rFonts w:ascii="Arial" w:eastAsiaTheme="minorEastAsia" w:hAnsi="Arial" w:cs="Arial"/>
          <w:color w:val="000000" w:themeColor="text1"/>
          <w:kern w:val="24"/>
          <w:sz w:val="24"/>
          <w:szCs w:val="24"/>
          <w:lang w:eastAsia="en-GB"/>
        </w:rPr>
        <w:t xml:space="preserve">The most common reasons include. </w:t>
      </w:r>
    </w:p>
    <w:p w14:paraId="4600D77C" w14:textId="77777777"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lastRenderedPageBreak/>
        <w:t>The event was coded incorrectly when entered on to the clinical system</w:t>
      </w:r>
    </w:p>
    <w:p w14:paraId="29578744" w14:textId="6D02A3CE"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t xml:space="preserve">The vaccination was delivered elsewhere </w:t>
      </w:r>
      <w:r w:rsidRPr="00E3270D">
        <w:rPr>
          <w:rFonts w:ascii="Arial" w:eastAsia="Times New Roman" w:hAnsi="Arial" w:cs="Arial"/>
          <w:sz w:val="24"/>
          <w:szCs w:val="24"/>
        </w:rPr>
        <w:t>i.e.,</w:t>
      </w:r>
      <w:r w:rsidRPr="00E3270D">
        <w:rPr>
          <w:rFonts w:ascii="Arial" w:eastAsia="Times New Roman" w:hAnsi="Arial" w:cs="Arial"/>
          <w:sz w:val="24"/>
          <w:szCs w:val="24"/>
        </w:rPr>
        <w:t xml:space="preserve"> </w:t>
      </w:r>
      <w:r w:rsidR="00737149">
        <w:rPr>
          <w:rFonts w:ascii="Arial" w:eastAsia="Times New Roman" w:hAnsi="Arial" w:cs="Arial"/>
          <w:sz w:val="24"/>
          <w:szCs w:val="24"/>
        </w:rPr>
        <w:t xml:space="preserve">in a </w:t>
      </w:r>
      <w:r w:rsidRPr="00E3270D">
        <w:rPr>
          <w:rFonts w:ascii="Arial" w:eastAsia="Times New Roman" w:hAnsi="Arial" w:cs="Arial"/>
          <w:sz w:val="24"/>
          <w:szCs w:val="24"/>
        </w:rPr>
        <w:t xml:space="preserve">PCN setting, </w:t>
      </w:r>
      <w:r w:rsidR="00737149">
        <w:rPr>
          <w:rFonts w:ascii="Arial" w:eastAsia="Times New Roman" w:hAnsi="Arial" w:cs="Arial"/>
          <w:sz w:val="24"/>
          <w:szCs w:val="24"/>
        </w:rPr>
        <w:t xml:space="preserve">by the </w:t>
      </w:r>
      <w:r w:rsidRPr="00E3270D">
        <w:rPr>
          <w:rFonts w:ascii="Arial" w:eastAsia="Times New Roman" w:hAnsi="Arial" w:cs="Arial"/>
          <w:sz w:val="24"/>
          <w:szCs w:val="24"/>
        </w:rPr>
        <w:t>School Aged Imm</w:t>
      </w:r>
      <w:r w:rsidR="00737149">
        <w:rPr>
          <w:rFonts w:ascii="Arial" w:eastAsia="Times New Roman" w:hAnsi="Arial" w:cs="Arial"/>
          <w:sz w:val="24"/>
          <w:szCs w:val="24"/>
        </w:rPr>
        <w:t>unisation</w:t>
      </w:r>
      <w:r w:rsidRPr="00E3270D">
        <w:rPr>
          <w:rFonts w:ascii="Arial" w:eastAsia="Times New Roman" w:hAnsi="Arial" w:cs="Arial"/>
          <w:sz w:val="24"/>
          <w:szCs w:val="24"/>
        </w:rPr>
        <w:t xml:space="preserve"> team</w:t>
      </w:r>
    </w:p>
    <w:p w14:paraId="1DECFFAA" w14:textId="4E687E58"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t>The patient was vaccinated outside of the scope for the programme/</w:t>
      </w:r>
      <w:r w:rsidR="00737149" w:rsidRPr="00E3270D">
        <w:rPr>
          <w:rFonts w:ascii="Arial" w:eastAsia="Times New Roman" w:hAnsi="Arial" w:cs="Arial"/>
          <w:sz w:val="24"/>
          <w:szCs w:val="24"/>
        </w:rPr>
        <w:t>was not</w:t>
      </w:r>
      <w:r w:rsidRPr="00E3270D">
        <w:rPr>
          <w:rFonts w:ascii="Arial" w:eastAsia="Times New Roman" w:hAnsi="Arial" w:cs="Arial"/>
          <w:sz w:val="24"/>
          <w:szCs w:val="24"/>
        </w:rPr>
        <w:t xml:space="preserve"> eligible</w:t>
      </w:r>
    </w:p>
    <w:p w14:paraId="2818ECEF" w14:textId="77777777"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t>The patient is registered as a ‘Temporary Resident’</w:t>
      </w:r>
    </w:p>
    <w:p w14:paraId="5F464DEF" w14:textId="77777777"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t>The patient’s registration is in ‘Applied status’</w:t>
      </w:r>
    </w:p>
    <w:p w14:paraId="2728C41C" w14:textId="77777777" w:rsidR="00B17C6A" w:rsidRPr="00E3270D" w:rsidRDefault="00B17C6A" w:rsidP="00B17C6A">
      <w:pPr>
        <w:numPr>
          <w:ilvl w:val="0"/>
          <w:numId w:val="10"/>
        </w:numPr>
        <w:spacing w:after="0" w:line="240" w:lineRule="auto"/>
        <w:rPr>
          <w:rFonts w:ascii="Arial" w:eastAsia="Times New Roman" w:hAnsi="Arial" w:cs="Arial"/>
          <w:sz w:val="24"/>
          <w:szCs w:val="24"/>
        </w:rPr>
      </w:pPr>
      <w:r w:rsidRPr="00E3270D">
        <w:rPr>
          <w:rFonts w:ascii="Arial" w:eastAsia="Times New Roman" w:hAnsi="Arial" w:cs="Arial"/>
          <w:sz w:val="24"/>
          <w:szCs w:val="24"/>
        </w:rPr>
        <w:t>The patient was deceased prior to the extraction</w:t>
      </w:r>
    </w:p>
    <w:p w14:paraId="3914CAA1" w14:textId="3B198D13" w:rsidR="00B17C6A" w:rsidRPr="00E3270D" w:rsidRDefault="00B17C6A" w:rsidP="00E61F11">
      <w:pPr>
        <w:numPr>
          <w:ilvl w:val="0"/>
          <w:numId w:val="10"/>
        </w:numPr>
        <w:spacing w:after="0" w:line="240" w:lineRule="auto"/>
        <w:rPr>
          <w:rFonts w:ascii="Arial" w:eastAsiaTheme="minorEastAsia" w:hAnsi="Arial" w:cs="Arial"/>
          <w:color w:val="000000" w:themeColor="text1"/>
          <w:kern w:val="24"/>
          <w:sz w:val="24"/>
          <w:szCs w:val="24"/>
          <w:lang w:eastAsia="en-GB"/>
        </w:rPr>
      </w:pPr>
      <w:r w:rsidRPr="00E3270D">
        <w:rPr>
          <w:rFonts w:ascii="Arial" w:eastAsia="Times New Roman" w:hAnsi="Arial" w:cs="Arial"/>
          <w:sz w:val="24"/>
          <w:szCs w:val="24"/>
        </w:rPr>
        <w:t>The patient left the practice prior to the extraction</w:t>
      </w:r>
    </w:p>
    <w:p w14:paraId="66830BF0" w14:textId="77777777" w:rsidR="00E3270D" w:rsidRPr="00E3270D" w:rsidRDefault="00E3270D" w:rsidP="00E3270D">
      <w:pPr>
        <w:spacing w:after="0" w:line="240" w:lineRule="auto"/>
        <w:ind w:left="720"/>
        <w:rPr>
          <w:rFonts w:ascii="Arial" w:eastAsiaTheme="minorEastAsia" w:hAnsi="Arial" w:cs="Arial"/>
          <w:color w:val="000000" w:themeColor="text1"/>
          <w:kern w:val="24"/>
          <w:sz w:val="24"/>
          <w:szCs w:val="24"/>
          <w:lang w:eastAsia="en-GB"/>
        </w:rPr>
      </w:pPr>
    </w:p>
    <w:p w14:paraId="585C4E8C" w14:textId="16021826" w:rsidR="00B17C6A" w:rsidRPr="00E3270D" w:rsidRDefault="00E3270D" w:rsidP="004A2786">
      <w:pPr>
        <w:rPr>
          <w:rFonts w:ascii="Arial" w:eastAsiaTheme="minorEastAsia" w:hAnsi="Arial" w:cs="Arial"/>
          <w:b/>
          <w:bCs/>
          <w:color w:val="000000" w:themeColor="text1"/>
          <w:kern w:val="24"/>
          <w:sz w:val="24"/>
          <w:szCs w:val="24"/>
          <w:lang w:eastAsia="en-GB"/>
        </w:rPr>
      </w:pPr>
      <w:r w:rsidRPr="00E3270D">
        <w:rPr>
          <w:rFonts w:ascii="Arial" w:eastAsiaTheme="minorEastAsia" w:hAnsi="Arial" w:cs="Arial"/>
          <w:b/>
          <w:bCs/>
          <w:color w:val="000000" w:themeColor="text1"/>
          <w:kern w:val="24"/>
          <w:sz w:val="24"/>
          <w:szCs w:val="24"/>
          <w:lang w:eastAsia="en-GB"/>
        </w:rPr>
        <w:t>Please note, this list is not exhaustive</w:t>
      </w:r>
    </w:p>
    <w:p w14:paraId="34C3EA8F" w14:textId="0A862D2A" w:rsidR="004A2786" w:rsidRPr="00E3270D" w:rsidRDefault="00B17C6A" w:rsidP="004A2786">
      <w:pPr>
        <w:rPr>
          <w:rFonts w:ascii="Arial" w:hAnsi="Arial" w:cs="Arial"/>
          <w:sz w:val="24"/>
          <w:szCs w:val="24"/>
        </w:rPr>
      </w:pPr>
      <w:r w:rsidRPr="00E3270D">
        <w:rPr>
          <w:rFonts w:ascii="Arial" w:eastAsiaTheme="minorEastAsia" w:hAnsi="Arial" w:cs="Arial"/>
          <w:color w:val="000000" w:themeColor="text1"/>
          <w:kern w:val="24"/>
          <w:sz w:val="24"/>
          <w:szCs w:val="24"/>
          <w:lang w:eastAsia="en-GB"/>
        </w:rPr>
        <w:t xml:space="preserve">Where the request is for additional activity, the request </w:t>
      </w:r>
      <w:r w:rsidR="004A2786" w:rsidRPr="00E3270D">
        <w:rPr>
          <w:rFonts w:ascii="Arial" w:eastAsiaTheme="minorEastAsia" w:hAnsi="Arial" w:cs="Arial"/>
          <w:color w:val="000000" w:themeColor="text1"/>
          <w:kern w:val="24"/>
          <w:sz w:val="24"/>
          <w:szCs w:val="24"/>
          <w:lang w:eastAsia="en-GB"/>
        </w:rPr>
        <w:t>must be supported with evidence in the form of a screenshot from the practices clinical system.</w:t>
      </w:r>
      <w:r w:rsidR="004A2786" w:rsidRPr="00E3270D">
        <w:rPr>
          <w:rFonts w:ascii="Arial" w:hAnsi="Arial" w:cs="Arial"/>
          <w:sz w:val="24"/>
          <w:szCs w:val="24"/>
        </w:rPr>
        <w:t xml:space="preserve"> The evidence should </w:t>
      </w:r>
      <w:r w:rsidR="00737149" w:rsidRPr="00E3270D">
        <w:rPr>
          <w:rFonts w:ascii="Arial" w:hAnsi="Arial" w:cs="Arial"/>
          <w:sz w:val="24"/>
          <w:szCs w:val="24"/>
        </w:rPr>
        <w:t>provide</w:t>
      </w:r>
      <w:r w:rsidR="004A2786" w:rsidRPr="00E3270D">
        <w:rPr>
          <w:rFonts w:ascii="Arial" w:hAnsi="Arial" w:cs="Arial"/>
          <w:sz w:val="24"/>
          <w:szCs w:val="24"/>
        </w:rPr>
        <w:t xml:space="preserve"> </w:t>
      </w:r>
      <w:r w:rsidR="004A2786" w:rsidRPr="00E3270D">
        <w:rPr>
          <w:rFonts w:ascii="Arial" w:hAnsi="Arial" w:cs="Arial"/>
          <w:sz w:val="24"/>
          <w:szCs w:val="24"/>
        </w:rPr>
        <w:t xml:space="preserve">confirmation of the month of delivery, </w:t>
      </w:r>
      <w:r w:rsidR="004A2786" w:rsidRPr="00E3270D">
        <w:rPr>
          <w:rFonts w:ascii="Arial" w:hAnsi="Arial" w:cs="Arial"/>
          <w:sz w:val="24"/>
          <w:szCs w:val="24"/>
        </w:rPr>
        <w:t xml:space="preserve">the </w:t>
      </w:r>
      <w:r w:rsidR="004A2786" w:rsidRPr="00E3270D">
        <w:rPr>
          <w:rFonts w:ascii="Arial" w:hAnsi="Arial" w:cs="Arial"/>
          <w:sz w:val="24"/>
          <w:szCs w:val="24"/>
        </w:rPr>
        <w:t xml:space="preserve">vaccine indicator, </w:t>
      </w:r>
      <w:r w:rsidR="00E3270D" w:rsidRPr="00E3270D">
        <w:rPr>
          <w:rFonts w:ascii="Arial" w:hAnsi="Arial" w:cs="Arial"/>
          <w:sz w:val="24"/>
          <w:szCs w:val="24"/>
        </w:rPr>
        <w:t>validation</w:t>
      </w:r>
      <w:r w:rsidR="004A2786" w:rsidRPr="00E3270D">
        <w:rPr>
          <w:rFonts w:ascii="Arial" w:hAnsi="Arial" w:cs="Arial"/>
          <w:sz w:val="24"/>
          <w:szCs w:val="24"/>
        </w:rPr>
        <w:t xml:space="preserve"> it was delivered at the practice </w:t>
      </w:r>
      <w:r w:rsidRPr="00E3270D">
        <w:rPr>
          <w:rFonts w:ascii="Arial" w:hAnsi="Arial" w:cs="Arial"/>
          <w:sz w:val="24"/>
          <w:szCs w:val="24"/>
        </w:rPr>
        <w:t>(</w:t>
      </w:r>
      <w:r w:rsidR="004A2786" w:rsidRPr="00E3270D">
        <w:rPr>
          <w:rFonts w:ascii="Arial" w:hAnsi="Arial" w:cs="Arial"/>
          <w:sz w:val="24"/>
          <w:szCs w:val="24"/>
        </w:rPr>
        <w:t>not by any another provider</w:t>
      </w:r>
      <w:r w:rsidRPr="00E3270D">
        <w:rPr>
          <w:rFonts w:ascii="Arial" w:hAnsi="Arial" w:cs="Arial"/>
          <w:sz w:val="24"/>
          <w:szCs w:val="24"/>
        </w:rPr>
        <w:t>)</w:t>
      </w:r>
      <w:r w:rsidR="004A2786" w:rsidRPr="00E3270D">
        <w:rPr>
          <w:rFonts w:ascii="Arial" w:hAnsi="Arial" w:cs="Arial"/>
          <w:sz w:val="24"/>
          <w:szCs w:val="24"/>
        </w:rPr>
        <w:t xml:space="preserve"> and the number of vaccines administered for each indicator. Please see the example screenshot below.</w:t>
      </w:r>
    </w:p>
    <w:p w14:paraId="5B0A4418" w14:textId="18867396" w:rsidR="004A2786" w:rsidRPr="00E3270D" w:rsidRDefault="00E3270D" w:rsidP="004A2786">
      <w:pPr>
        <w:rPr>
          <w:rFonts w:ascii="Arial" w:hAnsi="Arial" w:cs="Arial"/>
          <w:sz w:val="24"/>
          <w:szCs w:val="24"/>
        </w:rPr>
      </w:pPr>
      <w:r w:rsidRPr="00E3270D">
        <w:rPr>
          <w:rFonts w:ascii="Arial" w:hAnsi="Arial" w:cs="Arial"/>
          <w:sz w:val="24"/>
          <w:szCs w:val="24"/>
        </w:rPr>
        <w:drawing>
          <wp:inline distT="0" distB="0" distL="0" distR="0" wp14:anchorId="790D10C3" wp14:editId="0ED69CF5">
            <wp:extent cx="5731510" cy="236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6855"/>
                    </a:xfrm>
                    <a:prstGeom prst="rect">
                      <a:avLst/>
                    </a:prstGeom>
                  </pic:spPr>
                </pic:pic>
              </a:graphicData>
            </a:graphic>
          </wp:inline>
        </w:drawing>
      </w:r>
    </w:p>
    <w:p w14:paraId="45FB9406" w14:textId="0ACD658F" w:rsidR="000804B5" w:rsidRPr="00E3270D" w:rsidRDefault="004A2786" w:rsidP="00AD518E">
      <w:pPr>
        <w:spacing w:after="0" w:line="216" w:lineRule="auto"/>
        <w:contextualSpacing/>
        <w:rPr>
          <w:rFonts w:ascii="Arial" w:eastAsiaTheme="minorEastAsia" w:hAnsi="Arial" w:cs="Arial"/>
          <w:color w:val="000000" w:themeColor="text1"/>
          <w:kern w:val="24"/>
          <w:sz w:val="24"/>
          <w:szCs w:val="24"/>
          <w:lang w:eastAsia="en-GB"/>
        </w:rPr>
      </w:pPr>
      <w:bookmarkStart w:id="0" w:name="_MailEndCompose"/>
      <w:bookmarkEnd w:id="0"/>
      <w:r w:rsidRPr="00E3270D">
        <w:rPr>
          <w:rFonts w:ascii="Arial" w:eastAsiaTheme="minorEastAsia" w:hAnsi="Arial" w:cs="Arial"/>
          <w:color w:val="000000" w:themeColor="text1"/>
          <w:kern w:val="24"/>
          <w:sz w:val="24"/>
          <w:szCs w:val="24"/>
          <w:lang w:eastAsia="en-GB"/>
        </w:rPr>
        <w:t>Please note</w:t>
      </w:r>
      <w:r w:rsidR="00E3270D" w:rsidRPr="00E3270D">
        <w:rPr>
          <w:rFonts w:ascii="Arial" w:eastAsiaTheme="minorEastAsia" w:hAnsi="Arial" w:cs="Arial"/>
          <w:color w:val="000000" w:themeColor="text1"/>
          <w:kern w:val="24"/>
          <w:sz w:val="24"/>
          <w:szCs w:val="24"/>
          <w:lang w:eastAsia="en-GB"/>
        </w:rPr>
        <w:t xml:space="preserve">, </w:t>
      </w:r>
      <w:r w:rsidRPr="00E3270D">
        <w:rPr>
          <w:rFonts w:ascii="Arial" w:eastAsiaTheme="minorEastAsia" w:hAnsi="Arial" w:cs="Arial"/>
          <w:color w:val="000000" w:themeColor="text1"/>
          <w:kern w:val="24"/>
          <w:sz w:val="24"/>
          <w:szCs w:val="24"/>
          <w:lang w:eastAsia="en-GB"/>
        </w:rPr>
        <w:t xml:space="preserve">evidence must </w:t>
      </w:r>
      <w:r w:rsidRPr="00E3270D">
        <w:rPr>
          <w:rFonts w:ascii="Arial" w:eastAsiaTheme="minorEastAsia" w:hAnsi="Arial" w:cs="Arial"/>
          <w:b/>
          <w:bCs/>
          <w:color w:val="000000" w:themeColor="text1"/>
          <w:kern w:val="24"/>
          <w:sz w:val="24"/>
          <w:szCs w:val="24"/>
          <w:u w:val="single"/>
          <w:lang w:eastAsia="en-GB"/>
        </w:rPr>
        <w:t>not</w:t>
      </w:r>
      <w:r w:rsidR="00E35186" w:rsidRPr="00E3270D">
        <w:rPr>
          <w:rFonts w:ascii="Arial" w:eastAsiaTheme="minorEastAsia" w:hAnsi="Arial" w:cs="Arial"/>
          <w:b/>
          <w:bCs/>
          <w:color w:val="000000" w:themeColor="text1"/>
          <w:kern w:val="24"/>
          <w:sz w:val="24"/>
          <w:szCs w:val="24"/>
          <w:u w:val="single"/>
          <w:lang w:eastAsia="en-GB"/>
        </w:rPr>
        <w:t xml:space="preserve"> </w:t>
      </w:r>
      <w:r w:rsidR="00E35186" w:rsidRPr="00E3270D">
        <w:rPr>
          <w:rFonts w:ascii="Arial" w:eastAsiaTheme="minorEastAsia" w:hAnsi="Arial" w:cs="Arial"/>
          <w:color w:val="000000" w:themeColor="text1"/>
          <w:kern w:val="24"/>
          <w:sz w:val="24"/>
          <w:szCs w:val="24"/>
          <w:lang w:eastAsia="en-GB"/>
        </w:rPr>
        <w:t xml:space="preserve">contain any patient identifiable data </w:t>
      </w:r>
      <w:r w:rsidR="00E35186" w:rsidRPr="00E3270D">
        <w:rPr>
          <w:rFonts w:ascii="Arial" w:eastAsiaTheme="minorEastAsia" w:hAnsi="Arial" w:cs="Arial"/>
          <w:b/>
          <w:bCs/>
          <w:color w:val="000000" w:themeColor="text1"/>
          <w:kern w:val="24"/>
          <w:sz w:val="24"/>
          <w:szCs w:val="24"/>
          <w:lang w:eastAsia="en-GB"/>
        </w:rPr>
        <w:t>(PID</w:t>
      </w:r>
      <w:r w:rsidR="00E3270D" w:rsidRPr="00E3270D">
        <w:rPr>
          <w:rFonts w:ascii="Arial" w:eastAsiaTheme="minorEastAsia" w:hAnsi="Arial" w:cs="Arial"/>
          <w:color w:val="000000" w:themeColor="text1"/>
          <w:kern w:val="24"/>
          <w:sz w:val="24"/>
          <w:szCs w:val="24"/>
          <w:lang w:eastAsia="en-GB"/>
        </w:rPr>
        <w:t>)</w:t>
      </w:r>
    </w:p>
    <w:p w14:paraId="7F90D6E2" w14:textId="77777777" w:rsidR="00494A6E" w:rsidRPr="00E3270D" w:rsidRDefault="00494A6E" w:rsidP="00AD518E">
      <w:pPr>
        <w:spacing w:after="0" w:line="216" w:lineRule="auto"/>
        <w:contextualSpacing/>
        <w:rPr>
          <w:rFonts w:ascii="Arial" w:eastAsiaTheme="minorEastAsia" w:hAnsi="Arial" w:cs="Arial"/>
          <w:color w:val="000000" w:themeColor="text1"/>
          <w:kern w:val="24"/>
          <w:sz w:val="24"/>
          <w:szCs w:val="24"/>
          <w:lang w:eastAsia="en-GB"/>
        </w:rPr>
      </w:pPr>
    </w:p>
    <w:p w14:paraId="15758906" w14:textId="62929E55" w:rsidR="00494A6E" w:rsidRPr="00E3270D" w:rsidRDefault="00494A6E" w:rsidP="00E3270D">
      <w:pPr>
        <w:spacing w:after="0" w:line="216" w:lineRule="auto"/>
        <w:contextualSpacing/>
        <w:rPr>
          <w:rFonts w:ascii="Arial" w:eastAsia="Times New Roman" w:hAnsi="Arial" w:cs="Arial"/>
          <w:sz w:val="24"/>
          <w:szCs w:val="24"/>
          <w:lang w:eastAsia="en-GB"/>
        </w:rPr>
      </w:pPr>
      <w:r w:rsidRPr="00E3270D">
        <w:rPr>
          <w:rFonts w:ascii="Arial" w:eastAsiaTheme="minorEastAsia" w:hAnsi="Arial" w:cs="Arial"/>
          <w:color w:val="000000" w:themeColor="text1"/>
          <w:kern w:val="24"/>
          <w:sz w:val="24"/>
          <w:szCs w:val="24"/>
          <w:lang w:eastAsia="en-GB"/>
        </w:rPr>
        <w:t xml:space="preserve">Requests for amendments should be submitted </w:t>
      </w:r>
      <w:r w:rsidR="00B17C6A" w:rsidRPr="00E3270D">
        <w:rPr>
          <w:rFonts w:ascii="Arial" w:eastAsiaTheme="minorEastAsia" w:hAnsi="Arial" w:cs="Arial"/>
          <w:color w:val="000000" w:themeColor="text1"/>
          <w:kern w:val="24"/>
          <w:sz w:val="24"/>
          <w:szCs w:val="24"/>
          <w:lang w:eastAsia="en-GB"/>
        </w:rPr>
        <w:t>to the South West Vaccination and Screening (VasT) CQRS team mailbox</w:t>
      </w:r>
      <w:r w:rsidR="00E3270D" w:rsidRPr="00E3270D">
        <w:rPr>
          <w:rFonts w:ascii="Arial" w:eastAsiaTheme="minorEastAsia" w:hAnsi="Arial" w:cs="Arial"/>
          <w:color w:val="000000" w:themeColor="text1"/>
          <w:kern w:val="24"/>
          <w:sz w:val="24"/>
          <w:szCs w:val="24"/>
          <w:lang w:eastAsia="en-GB"/>
        </w:rPr>
        <w:t xml:space="preserve"> </w:t>
      </w:r>
      <w:hyperlink r:id="rId13" w:history="1">
        <w:r w:rsidR="00B17C6A" w:rsidRPr="00E3270D">
          <w:rPr>
            <w:rStyle w:val="Hyperlink"/>
            <w:rFonts w:ascii="Arial" w:eastAsia="Times New Roman" w:hAnsi="Arial" w:cs="Arial"/>
            <w:sz w:val="24"/>
            <w:szCs w:val="24"/>
            <w:lang w:eastAsia="en-GB"/>
          </w:rPr>
          <w:t>england.swcqrs@nhs.net</w:t>
        </w:r>
      </w:hyperlink>
    </w:p>
    <w:p w14:paraId="47CC15E0" w14:textId="77777777" w:rsidR="00E3270D" w:rsidRPr="00E3270D" w:rsidRDefault="00E3270D" w:rsidP="00E3270D">
      <w:pPr>
        <w:spacing w:after="0" w:line="216" w:lineRule="auto"/>
        <w:contextualSpacing/>
        <w:rPr>
          <w:rFonts w:ascii="Arial" w:hAnsi="Arial" w:cs="Arial"/>
          <w:color w:val="000000"/>
          <w:sz w:val="24"/>
          <w:szCs w:val="24"/>
          <w:lang w:eastAsia="en-GB"/>
        </w:rPr>
      </w:pPr>
    </w:p>
    <w:p w14:paraId="388A7D25" w14:textId="260DF715" w:rsidR="00B17C6A" w:rsidRPr="00E3270D" w:rsidRDefault="00B17C6A" w:rsidP="00AD518E">
      <w:pPr>
        <w:spacing w:after="0" w:line="216" w:lineRule="auto"/>
        <w:contextualSpacing/>
        <w:rPr>
          <w:rFonts w:ascii="Arial" w:eastAsiaTheme="minorEastAsia" w:hAnsi="Arial" w:cs="Arial"/>
          <w:b/>
          <w:bCs/>
          <w:color w:val="000000" w:themeColor="text1"/>
          <w:kern w:val="24"/>
          <w:sz w:val="24"/>
          <w:szCs w:val="24"/>
          <w:lang w:eastAsia="en-GB"/>
        </w:rPr>
      </w:pPr>
      <w:r w:rsidRPr="00E3270D">
        <w:rPr>
          <w:rFonts w:ascii="Arial" w:eastAsiaTheme="minorEastAsia" w:hAnsi="Arial" w:cs="Arial"/>
          <w:b/>
          <w:bCs/>
          <w:color w:val="000000" w:themeColor="text1"/>
          <w:kern w:val="24"/>
          <w:sz w:val="24"/>
          <w:szCs w:val="24"/>
          <w:lang w:eastAsia="en-GB"/>
        </w:rPr>
        <w:t>Paymen</w:t>
      </w:r>
      <w:r w:rsidR="00E3270D" w:rsidRPr="00E3270D">
        <w:rPr>
          <w:rFonts w:ascii="Arial" w:eastAsiaTheme="minorEastAsia" w:hAnsi="Arial" w:cs="Arial"/>
          <w:b/>
          <w:bCs/>
          <w:color w:val="000000" w:themeColor="text1"/>
          <w:kern w:val="24"/>
          <w:sz w:val="24"/>
          <w:szCs w:val="24"/>
          <w:lang w:eastAsia="en-GB"/>
        </w:rPr>
        <w:t>t</w:t>
      </w:r>
    </w:p>
    <w:p w14:paraId="4568A9D0" w14:textId="77777777" w:rsidR="00E3270D" w:rsidRPr="00E3270D" w:rsidRDefault="00E3270D" w:rsidP="00AD518E">
      <w:pPr>
        <w:spacing w:after="0" w:line="216" w:lineRule="auto"/>
        <w:contextualSpacing/>
        <w:rPr>
          <w:rFonts w:ascii="Arial" w:eastAsiaTheme="minorEastAsia" w:hAnsi="Arial" w:cs="Arial"/>
          <w:color w:val="000000" w:themeColor="text1"/>
          <w:kern w:val="24"/>
          <w:sz w:val="24"/>
          <w:szCs w:val="24"/>
          <w:lang w:eastAsia="en-GB"/>
        </w:rPr>
      </w:pPr>
    </w:p>
    <w:p w14:paraId="0DECB9FE" w14:textId="1A9F60E0" w:rsidR="00B17C6A" w:rsidRPr="00E3270D" w:rsidRDefault="00B17C6A" w:rsidP="00AD518E">
      <w:pPr>
        <w:spacing w:after="0" w:line="216" w:lineRule="auto"/>
        <w:contextualSpacing/>
        <w:rPr>
          <w:rFonts w:ascii="Arial" w:eastAsiaTheme="minorEastAsia" w:hAnsi="Arial" w:cs="Arial"/>
          <w:color w:val="000000" w:themeColor="text1"/>
          <w:kern w:val="24"/>
          <w:sz w:val="24"/>
          <w:szCs w:val="24"/>
          <w:lang w:eastAsia="en-GB"/>
        </w:rPr>
      </w:pPr>
      <w:r w:rsidRPr="00E3270D">
        <w:rPr>
          <w:rFonts w:ascii="Arial" w:eastAsiaTheme="minorEastAsia" w:hAnsi="Arial" w:cs="Arial"/>
          <w:color w:val="000000" w:themeColor="text1"/>
          <w:kern w:val="24"/>
          <w:sz w:val="24"/>
          <w:szCs w:val="24"/>
          <w:lang w:eastAsia="en-GB"/>
        </w:rPr>
        <w:t xml:space="preserve">Commissioner approvals are completed mid-month </w:t>
      </w:r>
      <w:r w:rsidR="00E3270D" w:rsidRPr="00E3270D">
        <w:rPr>
          <w:rFonts w:ascii="Arial" w:eastAsiaTheme="minorEastAsia" w:hAnsi="Arial" w:cs="Arial"/>
          <w:color w:val="000000" w:themeColor="text1"/>
          <w:kern w:val="24"/>
          <w:sz w:val="24"/>
          <w:szCs w:val="24"/>
          <w:lang w:eastAsia="en-GB"/>
        </w:rPr>
        <w:t xml:space="preserve">for </w:t>
      </w:r>
      <w:r w:rsidRPr="00E3270D">
        <w:rPr>
          <w:rFonts w:ascii="Arial" w:eastAsiaTheme="minorEastAsia" w:hAnsi="Arial" w:cs="Arial"/>
          <w:color w:val="000000" w:themeColor="text1"/>
          <w:kern w:val="24"/>
          <w:sz w:val="24"/>
          <w:szCs w:val="24"/>
          <w:lang w:eastAsia="en-GB"/>
        </w:rPr>
        <w:t>BNSSG, Devon, Cornwall &amp; I</w:t>
      </w:r>
      <w:r w:rsidR="00E3270D" w:rsidRPr="00E3270D">
        <w:rPr>
          <w:rFonts w:ascii="Arial" w:eastAsiaTheme="minorEastAsia" w:hAnsi="Arial" w:cs="Arial"/>
          <w:color w:val="000000" w:themeColor="text1"/>
          <w:kern w:val="24"/>
          <w:sz w:val="24"/>
          <w:szCs w:val="24"/>
          <w:lang w:eastAsia="en-GB"/>
        </w:rPr>
        <w:t xml:space="preserve">sles </w:t>
      </w:r>
      <w:r w:rsidRPr="00E3270D">
        <w:rPr>
          <w:rFonts w:ascii="Arial" w:eastAsiaTheme="minorEastAsia" w:hAnsi="Arial" w:cs="Arial"/>
          <w:color w:val="000000" w:themeColor="text1"/>
          <w:kern w:val="24"/>
          <w:sz w:val="24"/>
          <w:szCs w:val="24"/>
          <w:lang w:eastAsia="en-GB"/>
        </w:rPr>
        <w:t>o</w:t>
      </w:r>
      <w:r w:rsidR="00E3270D" w:rsidRPr="00E3270D">
        <w:rPr>
          <w:rFonts w:ascii="Arial" w:eastAsiaTheme="minorEastAsia" w:hAnsi="Arial" w:cs="Arial"/>
          <w:color w:val="000000" w:themeColor="text1"/>
          <w:kern w:val="24"/>
          <w:sz w:val="24"/>
          <w:szCs w:val="24"/>
          <w:lang w:eastAsia="en-GB"/>
        </w:rPr>
        <w:t xml:space="preserve">f </w:t>
      </w:r>
      <w:r w:rsidR="00737149" w:rsidRPr="00E3270D">
        <w:rPr>
          <w:rFonts w:ascii="Arial" w:eastAsiaTheme="minorEastAsia" w:hAnsi="Arial" w:cs="Arial"/>
          <w:color w:val="000000" w:themeColor="text1"/>
          <w:kern w:val="24"/>
          <w:sz w:val="24"/>
          <w:szCs w:val="24"/>
          <w:lang w:eastAsia="en-GB"/>
        </w:rPr>
        <w:t>Scilly,</w:t>
      </w:r>
      <w:r w:rsidRPr="00E3270D">
        <w:rPr>
          <w:rFonts w:ascii="Arial" w:eastAsiaTheme="minorEastAsia" w:hAnsi="Arial" w:cs="Arial"/>
          <w:color w:val="000000" w:themeColor="text1"/>
          <w:kern w:val="24"/>
          <w:sz w:val="24"/>
          <w:szCs w:val="24"/>
          <w:lang w:eastAsia="en-GB"/>
        </w:rPr>
        <w:t xml:space="preserve"> and Somerset</w:t>
      </w:r>
      <w:r w:rsidR="00E3270D" w:rsidRPr="00E3270D">
        <w:rPr>
          <w:rFonts w:ascii="Arial" w:eastAsiaTheme="minorEastAsia" w:hAnsi="Arial" w:cs="Arial"/>
          <w:color w:val="000000" w:themeColor="text1"/>
          <w:kern w:val="24"/>
          <w:sz w:val="24"/>
          <w:szCs w:val="24"/>
          <w:lang w:eastAsia="en-GB"/>
        </w:rPr>
        <w:t xml:space="preserve"> ICB areas </w:t>
      </w:r>
      <w:r w:rsidRPr="00E3270D">
        <w:rPr>
          <w:rFonts w:ascii="Arial" w:eastAsiaTheme="minorEastAsia" w:hAnsi="Arial" w:cs="Arial"/>
          <w:color w:val="000000" w:themeColor="text1"/>
          <w:kern w:val="24"/>
          <w:sz w:val="24"/>
          <w:szCs w:val="24"/>
          <w:lang w:eastAsia="en-GB"/>
        </w:rPr>
        <w:t xml:space="preserve">and </w:t>
      </w:r>
      <w:r w:rsidR="00E3270D" w:rsidRPr="00E3270D">
        <w:rPr>
          <w:rFonts w:ascii="Arial" w:eastAsiaTheme="minorEastAsia" w:hAnsi="Arial" w:cs="Arial"/>
          <w:color w:val="000000" w:themeColor="text1"/>
          <w:kern w:val="24"/>
          <w:sz w:val="24"/>
          <w:szCs w:val="24"/>
          <w:lang w:eastAsia="en-GB"/>
        </w:rPr>
        <w:t xml:space="preserve">at the </w:t>
      </w:r>
      <w:r w:rsidRPr="00E3270D">
        <w:rPr>
          <w:rFonts w:ascii="Arial" w:eastAsiaTheme="minorEastAsia" w:hAnsi="Arial" w:cs="Arial"/>
          <w:color w:val="000000" w:themeColor="text1"/>
          <w:kern w:val="24"/>
          <w:sz w:val="24"/>
          <w:szCs w:val="24"/>
          <w:lang w:eastAsia="en-GB"/>
        </w:rPr>
        <w:t xml:space="preserve">end of the month </w:t>
      </w:r>
      <w:r w:rsidR="00E3270D" w:rsidRPr="00E3270D">
        <w:rPr>
          <w:rFonts w:ascii="Arial" w:eastAsiaTheme="minorEastAsia" w:hAnsi="Arial" w:cs="Arial"/>
          <w:color w:val="000000" w:themeColor="text1"/>
          <w:kern w:val="24"/>
          <w:sz w:val="24"/>
          <w:szCs w:val="24"/>
          <w:lang w:eastAsia="en-GB"/>
        </w:rPr>
        <w:t xml:space="preserve">for </w:t>
      </w:r>
      <w:r w:rsidRPr="00E3270D">
        <w:rPr>
          <w:rFonts w:ascii="Arial" w:eastAsiaTheme="minorEastAsia" w:hAnsi="Arial" w:cs="Arial"/>
          <w:color w:val="000000" w:themeColor="text1"/>
          <w:kern w:val="24"/>
          <w:sz w:val="24"/>
          <w:szCs w:val="24"/>
          <w:lang w:eastAsia="en-GB"/>
        </w:rPr>
        <w:t>BSW, Dorset and Gloucestershire</w:t>
      </w:r>
      <w:r w:rsidR="00E3270D" w:rsidRPr="00E3270D">
        <w:rPr>
          <w:rFonts w:ascii="Arial" w:eastAsiaTheme="minorEastAsia" w:hAnsi="Arial" w:cs="Arial"/>
          <w:color w:val="000000" w:themeColor="text1"/>
          <w:kern w:val="24"/>
          <w:sz w:val="24"/>
          <w:szCs w:val="24"/>
          <w:lang w:eastAsia="en-GB"/>
        </w:rPr>
        <w:t xml:space="preserve"> ICB areas </w:t>
      </w:r>
      <w:r w:rsidRPr="00E3270D">
        <w:rPr>
          <w:rFonts w:ascii="Arial" w:eastAsiaTheme="minorEastAsia" w:hAnsi="Arial" w:cs="Arial"/>
          <w:color w:val="000000" w:themeColor="text1"/>
          <w:kern w:val="24"/>
          <w:sz w:val="24"/>
          <w:szCs w:val="24"/>
          <w:lang w:eastAsia="en-GB"/>
        </w:rPr>
        <w:t>with payment being reflected on the practices statement 4-6 weeks thereafter.</w:t>
      </w:r>
    </w:p>
    <w:p w14:paraId="61775745" w14:textId="29F743B2" w:rsidR="00AD518E" w:rsidRPr="00E3270D" w:rsidRDefault="00B17C6A" w:rsidP="00AD518E">
      <w:pPr>
        <w:spacing w:after="0" w:line="216" w:lineRule="auto"/>
        <w:contextualSpacing/>
        <w:rPr>
          <w:rFonts w:ascii="Arial" w:eastAsiaTheme="minorEastAsia" w:hAnsi="Arial" w:cs="Arial"/>
          <w:color w:val="000000" w:themeColor="text1"/>
          <w:kern w:val="24"/>
          <w:sz w:val="24"/>
          <w:szCs w:val="24"/>
          <w:lang w:eastAsia="en-GB"/>
        </w:rPr>
      </w:pPr>
      <w:r w:rsidRPr="00E3270D">
        <w:rPr>
          <w:rFonts w:ascii="Arial" w:eastAsiaTheme="minorEastAsia" w:hAnsi="Arial" w:cs="Arial"/>
          <w:color w:val="000000" w:themeColor="text1"/>
          <w:kern w:val="24"/>
          <w:sz w:val="24"/>
          <w:szCs w:val="24"/>
          <w:lang w:eastAsia="en-GB"/>
        </w:rPr>
        <w:t>.</w:t>
      </w:r>
    </w:p>
    <w:p w14:paraId="3C5B5FA0" w14:textId="27B0D745" w:rsidR="00494A6E" w:rsidRPr="00E3270D" w:rsidRDefault="000804B5" w:rsidP="00AD518E">
      <w:pPr>
        <w:spacing w:after="0" w:line="216" w:lineRule="auto"/>
        <w:contextualSpacing/>
        <w:rPr>
          <w:rFonts w:ascii="Arial" w:eastAsiaTheme="minorEastAsia" w:hAnsi="Arial" w:cs="Arial"/>
          <w:b/>
          <w:bCs/>
          <w:color w:val="000000" w:themeColor="text1"/>
          <w:kern w:val="24"/>
          <w:sz w:val="24"/>
          <w:szCs w:val="24"/>
          <w:lang w:eastAsia="en-GB"/>
        </w:rPr>
      </w:pPr>
      <w:r w:rsidRPr="00E3270D">
        <w:rPr>
          <w:rFonts w:ascii="Arial" w:eastAsiaTheme="minorEastAsia" w:hAnsi="Arial" w:cs="Arial"/>
          <w:b/>
          <w:bCs/>
          <w:color w:val="000000" w:themeColor="text1"/>
          <w:kern w:val="24"/>
          <w:sz w:val="24"/>
          <w:szCs w:val="24"/>
          <w:lang w:eastAsia="en-GB"/>
        </w:rPr>
        <w:t>Tips for getting it right</w:t>
      </w:r>
    </w:p>
    <w:p w14:paraId="7DBA1364" w14:textId="77777777" w:rsidR="000804B5" w:rsidRPr="00E3270D" w:rsidRDefault="000804B5" w:rsidP="00AD518E">
      <w:pPr>
        <w:spacing w:after="0" w:line="216" w:lineRule="auto"/>
        <w:contextualSpacing/>
        <w:rPr>
          <w:rFonts w:ascii="Arial" w:eastAsiaTheme="minorEastAsia" w:hAnsi="Arial" w:cs="Arial"/>
          <w:color w:val="000000" w:themeColor="text1"/>
          <w:kern w:val="24"/>
          <w:sz w:val="24"/>
          <w:szCs w:val="24"/>
          <w:lang w:eastAsia="en-GB"/>
        </w:rPr>
      </w:pPr>
    </w:p>
    <w:p w14:paraId="08D97090" w14:textId="77777777" w:rsidR="00E3270D" w:rsidRPr="00E3270D" w:rsidRDefault="000804B5" w:rsidP="00AA79B4">
      <w:pPr>
        <w:pStyle w:val="ListParagraph"/>
        <w:numPr>
          <w:ilvl w:val="0"/>
          <w:numId w:val="7"/>
        </w:numPr>
        <w:rPr>
          <w:rStyle w:val="normaltextrun"/>
          <w:rFonts w:ascii="Arial" w:hAnsi="Arial" w:cs="Arial"/>
        </w:rPr>
      </w:pPr>
      <w:r w:rsidRPr="00E3270D">
        <w:rPr>
          <w:rStyle w:val="normaltextrun"/>
          <w:rFonts w:ascii="Arial" w:hAnsi="Arial" w:cs="Arial"/>
          <w:color w:val="000000"/>
          <w:shd w:val="clear" w:color="auto" w:fill="FFFFFF"/>
        </w:rPr>
        <w:t>Practices</w:t>
      </w:r>
      <w:r w:rsidR="00B17C6A" w:rsidRPr="00E3270D">
        <w:rPr>
          <w:rStyle w:val="normaltextrun"/>
          <w:rFonts w:ascii="Arial" w:hAnsi="Arial" w:cs="Arial"/>
          <w:color w:val="000000"/>
          <w:shd w:val="clear" w:color="auto" w:fill="FFFFFF"/>
        </w:rPr>
        <w:t xml:space="preserve"> should </w:t>
      </w:r>
      <w:r w:rsidR="00E3270D" w:rsidRPr="00E3270D">
        <w:rPr>
          <w:rStyle w:val="normaltextrun"/>
          <w:rFonts w:ascii="Arial" w:hAnsi="Arial" w:cs="Arial"/>
          <w:color w:val="000000"/>
          <w:shd w:val="clear" w:color="auto" w:fill="FFFFFF"/>
        </w:rPr>
        <w:t xml:space="preserve">always </w:t>
      </w:r>
      <w:r w:rsidR="00B17C6A" w:rsidRPr="00E3270D">
        <w:rPr>
          <w:rStyle w:val="normaltextrun"/>
          <w:rFonts w:ascii="Arial" w:hAnsi="Arial" w:cs="Arial"/>
          <w:color w:val="000000"/>
          <w:shd w:val="clear" w:color="auto" w:fill="FFFFFF"/>
        </w:rPr>
        <w:t xml:space="preserve">check and declare activity </w:t>
      </w:r>
      <w:r w:rsidR="00E3270D" w:rsidRPr="00E3270D">
        <w:rPr>
          <w:rStyle w:val="normaltextrun"/>
          <w:rFonts w:ascii="Arial" w:hAnsi="Arial" w:cs="Arial"/>
          <w:color w:val="000000"/>
          <w:shd w:val="clear" w:color="auto" w:fill="FFFFFF"/>
        </w:rPr>
        <w:t>monthly</w:t>
      </w:r>
    </w:p>
    <w:p w14:paraId="19A02450" w14:textId="13B6F0E9" w:rsidR="00FE7DC1" w:rsidRPr="00E3270D" w:rsidRDefault="00E3270D" w:rsidP="00E3270D">
      <w:pPr>
        <w:pStyle w:val="ListParagraph"/>
        <w:numPr>
          <w:ilvl w:val="0"/>
          <w:numId w:val="7"/>
        </w:numPr>
        <w:rPr>
          <w:rFonts w:ascii="Arial" w:hAnsi="Arial" w:cs="Arial"/>
        </w:rPr>
      </w:pPr>
      <w:r w:rsidRPr="00E3270D">
        <w:rPr>
          <w:rStyle w:val="normaltextrun"/>
          <w:rFonts w:ascii="Arial" w:hAnsi="Arial" w:cs="Arial"/>
          <w:color w:val="000000"/>
          <w:shd w:val="clear" w:color="auto" w:fill="FFFFFF"/>
        </w:rPr>
        <w:t xml:space="preserve">Practices </w:t>
      </w:r>
      <w:r w:rsidR="00494A6E" w:rsidRPr="00E3270D">
        <w:rPr>
          <w:rStyle w:val="normaltextrun"/>
          <w:rFonts w:ascii="Arial" w:hAnsi="Arial" w:cs="Arial"/>
          <w:color w:val="000000"/>
          <w:shd w:val="clear" w:color="auto" w:fill="FFFFFF"/>
        </w:rPr>
        <w:t xml:space="preserve">should </w:t>
      </w:r>
      <w:r w:rsidR="000804B5" w:rsidRPr="00E3270D">
        <w:rPr>
          <w:rStyle w:val="normaltextrun"/>
          <w:rFonts w:ascii="Arial" w:hAnsi="Arial" w:cs="Arial"/>
          <w:color w:val="000000"/>
          <w:shd w:val="clear" w:color="auto" w:fill="FFFFFF"/>
        </w:rPr>
        <w:t>ensure that there is</w:t>
      </w:r>
      <w:r w:rsidR="00494A6E" w:rsidRPr="00E3270D">
        <w:rPr>
          <w:rStyle w:val="normaltextrun"/>
          <w:rFonts w:ascii="Arial" w:hAnsi="Arial" w:cs="Arial"/>
          <w:color w:val="000000"/>
          <w:shd w:val="clear" w:color="auto" w:fill="FFFFFF"/>
        </w:rPr>
        <w:t xml:space="preserve"> a robust oversight process in place when submitting and declaring activity on CQRS. This should include that sole responsibility for entering and declaring data should not sit with one person in the practice and that adequate training is provided for all colleagues identified to enter data and oversee the process. This will ensure that any anomalies can be identified at practice level prior to being sent for Commissioner Approval and </w:t>
      </w:r>
      <w:r w:rsidR="00457E3D" w:rsidRPr="00E3270D">
        <w:rPr>
          <w:rStyle w:val="normaltextrun"/>
          <w:rFonts w:ascii="Arial" w:hAnsi="Arial" w:cs="Arial"/>
          <w:color w:val="000000"/>
          <w:shd w:val="clear" w:color="auto" w:fill="FFFFFF"/>
        </w:rPr>
        <w:t>practices</w:t>
      </w:r>
      <w:r w:rsidR="00494A6E" w:rsidRPr="00E3270D">
        <w:rPr>
          <w:rStyle w:val="normaltextrun"/>
          <w:rFonts w:ascii="Arial" w:hAnsi="Arial" w:cs="Arial"/>
          <w:color w:val="000000"/>
          <w:shd w:val="clear" w:color="auto" w:fill="FFFFFF"/>
        </w:rPr>
        <w:t xml:space="preserve"> receive prompt payment.</w:t>
      </w:r>
      <w:r w:rsidR="00494A6E" w:rsidRPr="00E3270D">
        <w:rPr>
          <w:rFonts w:ascii="Arial" w:hAnsi="Arial" w:cs="Arial"/>
        </w:rPr>
        <w:t xml:space="preserve"> </w:t>
      </w:r>
    </w:p>
    <w:p w14:paraId="5F5F4056" w14:textId="36D65E0E" w:rsidR="00DA753B" w:rsidRPr="00E3270D" w:rsidRDefault="00DA753B" w:rsidP="00AA79B4">
      <w:pPr>
        <w:pStyle w:val="ListParagraph"/>
        <w:numPr>
          <w:ilvl w:val="0"/>
          <w:numId w:val="7"/>
        </w:numPr>
        <w:spacing w:line="216" w:lineRule="auto"/>
        <w:rPr>
          <w:rFonts w:ascii="Arial" w:eastAsiaTheme="minorEastAsia" w:hAnsi="Arial" w:cs="Arial"/>
          <w:kern w:val="24"/>
        </w:rPr>
      </w:pPr>
      <w:r w:rsidRPr="00E3270D">
        <w:rPr>
          <w:rFonts w:ascii="Arial" w:eastAsiaTheme="minorEastAsia" w:hAnsi="Arial" w:cs="Arial"/>
          <w:kern w:val="24"/>
        </w:rPr>
        <w:t>Practice</w:t>
      </w:r>
      <w:r w:rsidR="00457E3D" w:rsidRPr="00E3270D">
        <w:rPr>
          <w:rFonts w:ascii="Arial" w:eastAsiaTheme="minorEastAsia" w:hAnsi="Arial" w:cs="Arial"/>
          <w:kern w:val="24"/>
        </w:rPr>
        <w:t>s</w:t>
      </w:r>
      <w:r w:rsidRPr="00E3270D">
        <w:rPr>
          <w:rFonts w:ascii="Arial" w:eastAsiaTheme="minorEastAsia" w:hAnsi="Arial" w:cs="Arial"/>
          <w:kern w:val="24"/>
        </w:rPr>
        <w:t xml:space="preserve"> can request to receive daily reports via email directly from CQRS that notify them of outstanding tasks. This can be set up by </w:t>
      </w:r>
      <w:r w:rsidRPr="00E3270D">
        <w:rPr>
          <w:rFonts w:ascii="Arial" w:eastAsiaTheme="minorEastAsia" w:hAnsi="Arial" w:cs="Arial"/>
          <w:b/>
          <w:bCs/>
          <w:kern w:val="24"/>
        </w:rPr>
        <w:t>selecting ‘Update Notifications’</w:t>
      </w:r>
      <w:r w:rsidRPr="00E3270D">
        <w:rPr>
          <w:rFonts w:ascii="Arial" w:eastAsiaTheme="minorEastAsia" w:hAnsi="Arial" w:cs="Arial"/>
          <w:kern w:val="24"/>
        </w:rPr>
        <w:t xml:space="preserve"> in the </w:t>
      </w:r>
      <w:r w:rsidRPr="00E3270D">
        <w:rPr>
          <w:rFonts w:ascii="Arial" w:eastAsiaTheme="minorEastAsia" w:hAnsi="Arial" w:cs="Arial"/>
          <w:b/>
          <w:bCs/>
          <w:kern w:val="24"/>
        </w:rPr>
        <w:t>My Tasks &amp; Messages</w:t>
      </w:r>
      <w:r w:rsidRPr="00E3270D">
        <w:rPr>
          <w:rFonts w:ascii="Arial" w:eastAsiaTheme="minorEastAsia" w:hAnsi="Arial" w:cs="Arial"/>
          <w:kern w:val="24"/>
        </w:rPr>
        <w:t xml:space="preserve"> area of the CQRS Message Centre. (See below) </w:t>
      </w:r>
    </w:p>
    <w:p w14:paraId="76A24BCB" w14:textId="77777777" w:rsidR="00457E3D" w:rsidRPr="00E3270D" w:rsidRDefault="00457E3D" w:rsidP="00DA753B">
      <w:pPr>
        <w:spacing w:line="216" w:lineRule="auto"/>
        <w:rPr>
          <w:rFonts w:ascii="Arial" w:eastAsiaTheme="minorEastAsia" w:hAnsi="Arial" w:cs="Arial"/>
          <w:kern w:val="24"/>
          <w:sz w:val="24"/>
          <w:szCs w:val="24"/>
        </w:rPr>
      </w:pPr>
    </w:p>
    <w:p w14:paraId="738DE792" w14:textId="23FE68DD" w:rsidR="00457E3D" w:rsidRPr="00E3270D" w:rsidRDefault="00DA753B" w:rsidP="00956EC8">
      <w:pPr>
        <w:spacing w:line="216" w:lineRule="auto"/>
        <w:rPr>
          <w:rFonts w:ascii="Arial" w:hAnsi="Arial" w:cs="Arial"/>
          <w:sz w:val="24"/>
          <w:szCs w:val="24"/>
        </w:rPr>
      </w:pPr>
      <w:r w:rsidRPr="00E3270D">
        <w:rPr>
          <w:rFonts w:ascii="Arial" w:hAnsi="Arial" w:cs="Arial"/>
          <w:noProof/>
          <w:sz w:val="24"/>
          <w:szCs w:val="24"/>
        </w:rPr>
        <w:drawing>
          <wp:inline distT="0" distB="0" distL="0" distR="0" wp14:anchorId="09DE81CB" wp14:editId="382607D6">
            <wp:extent cx="5519955" cy="596339"/>
            <wp:effectExtent l="0" t="0" r="5080" b="0"/>
            <wp:docPr id="4" name="Picture 3">
              <a:extLst xmlns:a="http://schemas.openxmlformats.org/drawingml/2006/main">
                <a:ext uri="{FF2B5EF4-FFF2-40B4-BE49-F238E27FC236}">
                  <a16:creationId xmlns:a16="http://schemas.microsoft.com/office/drawing/2014/main" id="{9B762546-D112-4418-95E4-E871292448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B762546-D112-4418-95E4-E871292448CF}"/>
                        </a:ext>
                      </a:extLst>
                    </pic:cNvPr>
                    <pic:cNvPicPr>
                      <a:picLocks noChangeAspect="1"/>
                    </pic:cNvPicPr>
                  </pic:nvPicPr>
                  <pic:blipFill>
                    <a:blip r:embed="rId14"/>
                    <a:stretch>
                      <a:fillRect/>
                    </a:stretch>
                  </pic:blipFill>
                  <pic:spPr>
                    <a:xfrm>
                      <a:off x="0" y="0"/>
                      <a:ext cx="5519955" cy="596339"/>
                    </a:xfrm>
                    <a:prstGeom prst="rect">
                      <a:avLst/>
                    </a:prstGeom>
                  </pic:spPr>
                </pic:pic>
              </a:graphicData>
            </a:graphic>
          </wp:inline>
        </w:drawing>
      </w:r>
    </w:p>
    <w:p w14:paraId="43B287E2" w14:textId="43F23F3A" w:rsidR="00FE7DC1" w:rsidRPr="00E3270D" w:rsidRDefault="00457E3D" w:rsidP="00E3270D">
      <w:pPr>
        <w:pStyle w:val="ListParagraph"/>
        <w:numPr>
          <w:ilvl w:val="0"/>
          <w:numId w:val="8"/>
        </w:numPr>
        <w:rPr>
          <w:rFonts w:ascii="Arial" w:hAnsi="Arial" w:cs="Arial"/>
        </w:rPr>
      </w:pPr>
      <w:r w:rsidRPr="00E3270D">
        <w:rPr>
          <w:rFonts w:ascii="Arial" w:hAnsi="Arial" w:cs="Arial"/>
        </w:rPr>
        <w:lastRenderedPageBreak/>
        <w:t>Practices should e</w:t>
      </w:r>
      <w:r w:rsidR="000804B5" w:rsidRPr="00E3270D">
        <w:rPr>
          <w:rFonts w:ascii="Arial" w:hAnsi="Arial" w:cs="Arial"/>
        </w:rPr>
        <w:t xml:space="preserve">nsure that </w:t>
      </w:r>
      <w:r w:rsidR="00AA79B4" w:rsidRPr="00E3270D">
        <w:rPr>
          <w:rFonts w:ascii="Arial" w:hAnsi="Arial" w:cs="Arial"/>
        </w:rPr>
        <w:t xml:space="preserve">vaccination </w:t>
      </w:r>
      <w:r w:rsidR="000804B5" w:rsidRPr="00E3270D">
        <w:rPr>
          <w:rFonts w:ascii="Arial" w:hAnsi="Arial" w:cs="Arial"/>
        </w:rPr>
        <w:t xml:space="preserve">events are coded correctly </w:t>
      </w:r>
      <w:r w:rsidR="00A9616E" w:rsidRPr="00E3270D">
        <w:rPr>
          <w:rFonts w:ascii="Arial" w:hAnsi="Arial" w:cs="Arial"/>
        </w:rPr>
        <w:t>i.e.,</w:t>
      </w:r>
      <w:r w:rsidR="000804B5" w:rsidRPr="00E3270D">
        <w:rPr>
          <w:rFonts w:ascii="Arial" w:hAnsi="Arial" w:cs="Arial"/>
        </w:rPr>
        <w:t xml:space="preserve"> </w:t>
      </w:r>
      <w:r w:rsidRPr="00E3270D">
        <w:rPr>
          <w:rFonts w:ascii="Arial" w:hAnsi="Arial" w:cs="Arial"/>
        </w:rPr>
        <w:t>Pertussis</w:t>
      </w:r>
      <w:r w:rsidR="000804B5" w:rsidRPr="00E3270D">
        <w:rPr>
          <w:rFonts w:ascii="Arial" w:hAnsi="Arial" w:cs="Arial"/>
        </w:rPr>
        <w:t xml:space="preserve"> for pregnant women</w:t>
      </w:r>
      <w:r w:rsidR="00A9616E" w:rsidRPr="00E3270D">
        <w:rPr>
          <w:rFonts w:ascii="Arial" w:hAnsi="Arial" w:cs="Arial"/>
        </w:rPr>
        <w:t>.</w:t>
      </w:r>
    </w:p>
    <w:p w14:paraId="5D6C8220" w14:textId="0225E601" w:rsidR="00FE7DC1" w:rsidRPr="00E3270D" w:rsidRDefault="00AA79B4" w:rsidP="00E3270D">
      <w:pPr>
        <w:pStyle w:val="ListParagraph"/>
        <w:numPr>
          <w:ilvl w:val="0"/>
          <w:numId w:val="8"/>
        </w:numPr>
        <w:rPr>
          <w:rFonts w:ascii="Arial" w:hAnsi="Arial" w:cs="Arial"/>
        </w:rPr>
      </w:pPr>
      <w:r w:rsidRPr="00E3270D">
        <w:rPr>
          <w:rFonts w:ascii="Arial" w:hAnsi="Arial" w:cs="Arial"/>
        </w:rPr>
        <w:t xml:space="preserve">Where services are provided by services such as the school Immunisations Teams, practice should ensure that this activity is coded as ‘done elsewhere’ </w:t>
      </w:r>
      <w:r w:rsidR="00A9616E" w:rsidRPr="00E3270D">
        <w:rPr>
          <w:rFonts w:ascii="Arial" w:hAnsi="Arial" w:cs="Arial"/>
        </w:rPr>
        <w:t xml:space="preserve">This will </w:t>
      </w:r>
      <w:r w:rsidRPr="00E3270D">
        <w:rPr>
          <w:rFonts w:ascii="Arial" w:hAnsi="Arial" w:cs="Arial"/>
        </w:rPr>
        <w:t>ensu</w:t>
      </w:r>
      <w:r w:rsidR="00FE7DC1" w:rsidRPr="00E3270D">
        <w:rPr>
          <w:rFonts w:ascii="Arial" w:hAnsi="Arial" w:cs="Arial"/>
        </w:rPr>
        <w:t>r</w:t>
      </w:r>
      <w:r w:rsidRPr="00E3270D">
        <w:rPr>
          <w:rFonts w:ascii="Arial" w:hAnsi="Arial" w:cs="Arial"/>
        </w:rPr>
        <w:t>e that the data is not extracted</w:t>
      </w:r>
      <w:r w:rsidR="00A9616E" w:rsidRPr="00E3270D">
        <w:rPr>
          <w:rFonts w:ascii="Arial" w:hAnsi="Arial" w:cs="Arial"/>
        </w:rPr>
        <w:t xml:space="preserve"> and </w:t>
      </w:r>
      <w:r w:rsidRPr="00E3270D">
        <w:rPr>
          <w:rFonts w:ascii="Arial" w:hAnsi="Arial" w:cs="Arial"/>
        </w:rPr>
        <w:t xml:space="preserve">avoid practices being subject to pre and post verification </w:t>
      </w:r>
      <w:r w:rsidR="00A9616E" w:rsidRPr="00E3270D">
        <w:rPr>
          <w:rFonts w:ascii="Arial" w:hAnsi="Arial" w:cs="Arial"/>
        </w:rPr>
        <w:t>checks.</w:t>
      </w:r>
    </w:p>
    <w:p w14:paraId="7710A241" w14:textId="1A307434" w:rsidR="00FE7DC1" w:rsidRPr="00E3270D" w:rsidRDefault="00457E3D" w:rsidP="00E3270D">
      <w:pPr>
        <w:pStyle w:val="ListParagraph"/>
        <w:numPr>
          <w:ilvl w:val="0"/>
          <w:numId w:val="8"/>
        </w:numPr>
        <w:rPr>
          <w:rFonts w:ascii="Arial" w:hAnsi="Arial" w:cs="Arial"/>
        </w:rPr>
      </w:pPr>
      <w:r w:rsidRPr="00E3270D">
        <w:rPr>
          <w:rFonts w:ascii="Arial" w:hAnsi="Arial" w:cs="Arial"/>
        </w:rPr>
        <w:t xml:space="preserve">Practices should ensure </w:t>
      </w:r>
      <w:r w:rsidR="000804B5" w:rsidRPr="00E3270D">
        <w:rPr>
          <w:rFonts w:ascii="Arial" w:hAnsi="Arial" w:cs="Arial"/>
        </w:rPr>
        <w:t xml:space="preserve">that the patient is </w:t>
      </w:r>
      <w:r w:rsidRPr="00E3270D">
        <w:rPr>
          <w:rFonts w:ascii="Arial" w:hAnsi="Arial" w:cs="Arial"/>
        </w:rPr>
        <w:t>receiving</w:t>
      </w:r>
      <w:r w:rsidR="000804B5" w:rsidRPr="00E3270D">
        <w:rPr>
          <w:rFonts w:ascii="Arial" w:hAnsi="Arial" w:cs="Arial"/>
        </w:rPr>
        <w:t xml:space="preserve"> </w:t>
      </w:r>
      <w:r w:rsidRPr="00E3270D">
        <w:rPr>
          <w:rFonts w:ascii="Arial" w:hAnsi="Arial" w:cs="Arial"/>
        </w:rPr>
        <w:t xml:space="preserve">the </w:t>
      </w:r>
      <w:r w:rsidR="000804B5" w:rsidRPr="00E3270D">
        <w:rPr>
          <w:rFonts w:ascii="Arial" w:hAnsi="Arial" w:cs="Arial"/>
        </w:rPr>
        <w:t>vaccinat</w:t>
      </w:r>
      <w:r w:rsidRPr="00E3270D">
        <w:rPr>
          <w:rFonts w:ascii="Arial" w:hAnsi="Arial" w:cs="Arial"/>
        </w:rPr>
        <w:t xml:space="preserve">ion </w:t>
      </w:r>
      <w:r w:rsidR="000804B5" w:rsidRPr="00E3270D">
        <w:rPr>
          <w:rFonts w:ascii="Arial" w:hAnsi="Arial" w:cs="Arial"/>
        </w:rPr>
        <w:t>in line with the vaccination schedule and CQRS indicators, if a patient is not vaccinated within the st</w:t>
      </w:r>
      <w:r w:rsidRPr="00E3270D">
        <w:rPr>
          <w:rFonts w:ascii="Arial" w:hAnsi="Arial" w:cs="Arial"/>
        </w:rPr>
        <w:t>at</w:t>
      </w:r>
      <w:r w:rsidR="000804B5" w:rsidRPr="00E3270D">
        <w:rPr>
          <w:rFonts w:ascii="Arial" w:hAnsi="Arial" w:cs="Arial"/>
        </w:rPr>
        <w:t xml:space="preserve">ed range for the CQRS indicator they will not be included in the monthly </w:t>
      </w:r>
      <w:r w:rsidRPr="00E3270D">
        <w:rPr>
          <w:rFonts w:ascii="Arial" w:hAnsi="Arial" w:cs="Arial"/>
        </w:rPr>
        <w:t>extraction</w:t>
      </w:r>
      <w:r w:rsidR="000804B5" w:rsidRPr="00E3270D">
        <w:rPr>
          <w:rFonts w:ascii="Arial" w:hAnsi="Arial" w:cs="Arial"/>
        </w:rPr>
        <w:t>.</w:t>
      </w:r>
    </w:p>
    <w:p w14:paraId="73704D8D" w14:textId="786C03D7" w:rsidR="00FE7DC1" w:rsidRPr="00E3270D" w:rsidRDefault="00457E3D" w:rsidP="00E3270D">
      <w:pPr>
        <w:pStyle w:val="ListParagraph"/>
        <w:numPr>
          <w:ilvl w:val="0"/>
          <w:numId w:val="8"/>
        </w:numPr>
        <w:rPr>
          <w:rFonts w:ascii="Arial" w:hAnsi="Arial" w:cs="Arial"/>
        </w:rPr>
      </w:pPr>
      <w:r w:rsidRPr="00E3270D">
        <w:rPr>
          <w:rFonts w:ascii="Arial" w:hAnsi="Arial" w:cs="Arial"/>
        </w:rPr>
        <w:t xml:space="preserve">Practices should ensure </w:t>
      </w:r>
      <w:r w:rsidR="000804B5" w:rsidRPr="00E3270D">
        <w:rPr>
          <w:rFonts w:ascii="Arial" w:hAnsi="Arial" w:cs="Arial"/>
        </w:rPr>
        <w:t>that patients are registered with the correct status</w:t>
      </w:r>
      <w:r w:rsidRPr="00E3270D">
        <w:rPr>
          <w:rFonts w:ascii="Arial" w:hAnsi="Arial" w:cs="Arial"/>
        </w:rPr>
        <w:t xml:space="preserve"> as this has an impact, </w:t>
      </w:r>
      <w:r w:rsidR="00A9616E" w:rsidRPr="00E3270D">
        <w:rPr>
          <w:rFonts w:ascii="Arial" w:hAnsi="Arial" w:cs="Arial"/>
        </w:rPr>
        <w:t>i.e.,</w:t>
      </w:r>
      <w:r w:rsidRPr="00E3270D">
        <w:rPr>
          <w:rFonts w:ascii="Arial" w:hAnsi="Arial" w:cs="Arial"/>
        </w:rPr>
        <w:t xml:space="preserve"> patients in </w:t>
      </w:r>
      <w:r w:rsidR="00FE7DC1" w:rsidRPr="00E3270D">
        <w:rPr>
          <w:rFonts w:ascii="Arial" w:hAnsi="Arial" w:cs="Arial"/>
        </w:rPr>
        <w:t>‘</w:t>
      </w:r>
      <w:r w:rsidRPr="00E3270D">
        <w:rPr>
          <w:rFonts w:ascii="Arial" w:hAnsi="Arial" w:cs="Arial"/>
        </w:rPr>
        <w:t xml:space="preserve">Applied </w:t>
      </w:r>
      <w:r w:rsidR="00FE7DC1" w:rsidRPr="00E3270D">
        <w:rPr>
          <w:rFonts w:ascii="Arial" w:hAnsi="Arial" w:cs="Arial"/>
        </w:rPr>
        <w:t>S</w:t>
      </w:r>
      <w:r w:rsidRPr="00E3270D">
        <w:rPr>
          <w:rFonts w:ascii="Arial" w:hAnsi="Arial" w:cs="Arial"/>
        </w:rPr>
        <w:t>tatus</w:t>
      </w:r>
      <w:r w:rsidR="00FE7DC1" w:rsidRPr="00E3270D">
        <w:rPr>
          <w:rFonts w:ascii="Arial" w:hAnsi="Arial" w:cs="Arial"/>
        </w:rPr>
        <w:t>’</w:t>
      </w:r>
      <w:r w:rsidRPr="00E3270D">
        <w:rPr>
          <w:rFonts w:ascii="Arial" w:hAnsi="Arial" w:cs="Arial"/>
        </w:rPr>
        <w:t xml:space="preserve"> will not be included in the monthly extraction</w:t>
      </w:r>
    </w:p>
    <w:p w14:paraId="22F130BD" w14:textId="02E04B04" w:rsidR="00457E3D" w:rsidRPr="00E3270D" w:rsidRDefault="00457E3D" w:rsidP="00AA79B4">
      <w:pPr>
        <w:pStyle w:val="ListParagraph"/>
        <w:numPr>
          <w:ilvl w:val="0"/>
          <w:numId w:val="8"/>
        </w:numPr>
        <w:rPr>
          <w:rFonts w:ascii="Arial" w:hAnsi="Arial" w:cs="Arial"/>
        </w:rPr>
      </w:pPr>
      <w:r w:rsidRPr="00E3270D">
        <w:rPr>
          <w:rFonts w:ascii="Arial" w:hAnsi="Arial" w:cs="Arial"/>
        </w:rPr>
        <w:t xml:space="preserve">If a patient is vaccinated at a surgery and subsequently registers with a new practice prior to the monthly extraction, the event/s will be </w:t>
      </w:r>
      <w:r w:rsidR="00FE7DC1" w:rsidRPr="00E3270D">
        <w:rPr>
          <w:rFonts w:ascii="Arial" w:hAnsi="Arial" w:cs="Arial"/>
        </w:rPr>
        <w:t xml:space="preserve">included in the </w:t>
      </w:r>
      <w:r w:rsidRPr="00E3270D">
        <w:rPr>
          <w:rFonts w:ascii="Arial" w:hAnsi="Arial" w:cs="Arial"/>
        </w:rPr>
        <w:t>extract</w:t>
      </w:r>
      <w:r w:rsidR="00FE7DC1" w:rsidRPr="00E3270D">
        <w:rPr>
          <w:rFonts w:ascii="Arial" w:hAnsi="Arial" w:cs="Arial"/>
        </w:rPr>
        <w:t>ion for</w:t>
      </w:r>
      <w:r w:rsidRPr="00E3270D">
        <w:rPr>
          <w:rFonts w:ascii="Arial" w:hAnsi="Arial" w:cs="Arial"/>
        </w:rPr>
        <w:t xml:space="preserve"> the new </w:t>
      </w:r>
      <w:r w:rsidR="00A9616E" w:rsidRPr="00E3270D">
        <w:rPr>
          <w:rFonts w:ascii="Arial" w:hAnsi="Arial" w:cs="Arial"/>
        </w:rPr>
        <w:t>practice,</w:t>
      </w:r>
      <w:r w:rsidRPr="00E3270D">
        <w:rPr>
          <w:rFonts w:ascii="Arial" w:hAnsi="Arial" w:cs="Arial"/>
        </w:rPr>
        <w:t xml:space="preserve"> and they will receive payment. NHSE are not permitted to authorise claims of this nature as it would result in a duplicate payment.</w:t>
      </w:r>
    </w:p>
    <w:p w14:paraId="1359F297" w14:textId="77777777" w:rsidR="00FE7DC1" w:rsidRPr="00E3270D" w:rsidRDefault="00FE7DC1" w:rsidP="00FE7DC1">
      <w:pPr>
        <w:pStyle w:val="ListParagraph"/>
        <w:rPr>
          <w:rFonts w:ascii="Arial" w:hAnsi="Arial" w:cs="Arial"/>
        </w:rPr>
      </w:pPr>
    </w:p>
    <w:p w14:paraId="66818F0E" w14:textId="77777777" w:rsidR="00FE7DC1" w:rsidRPr="00E3270D" w:rsidRDefault="00FE7DC1" w:rsidP="00FE7DC1">
      <w:pPr>
        <w:pStyle w:val="ListParagraph"/>
        <w:rPr>
          <w:rFonts w:ascii="Arial" w:hAnsi="Arial" w:cs="Arial"/>
        </w:rPr>
      </w:pPr>
    </w:p>
    <w:p w14:paraId="6CE7C9A3" w14:textId="370A707F" w:rsidR="0017251E" w:rsidRPr="00E3270D" w:rsidRDefault="0017251E" w:rsidP="0017251E">
      <w:pPr>
        <w:spacing w:after="0" w:line="216" w:lineRule="auto"/>
        <w:contextualSpacing/>
        <w:rPr>
          <w:rFonts w:ascii="Arial" w:eastAsiaTheme="minorEastAsia" w:hAnsi="Arial" w:cs="Arial"/>
          <w:b/>
          <w:bCs/>
          <w:color w:val="000000" w:themeColor="text1"/>
          <w:kern w:val="24"/>
          <w:sz w:val="24"/>
          <w:szCs w:val="24"/>
          <w:lang w:eastAsia="en-GB"/>
        </w:rPr>
      </w:pPr>
      <w:r w:rsidRPr="00E3270D">
        <w:rPr>
          <w:rFonts w:ascii="Arial" w:eastAsiaTheme="minorEastAsia" w:hAnsi="Arial" w:cs="Arial"/>
          <w:b/>
          <w:bCs/>
          <w:color w:val="000000" w:themeColor="text1"/>
          <w:kern w:val="24"/>
          <w:sz w:val="24"/>
          <w:szCs w:val="24"/>
          <w:lang w:eastAsia="en-GB"/>
        </w:rPr>
        <w:t xml:space="preserve">Need more </w:t>
      </w:r>
      <w:r w:rsidR="00A9616E" w:rsidRPr="00E3270D">
        <w:rPr>
          <w:rFonts w:ascii="Arial" w:eastAsiaTheme="minorEastAsia" w:hAnsi="Arial" w:cs="Arial"/>
          <w:b/>
          <w:bCs/>
          <w:color w:val="000000" w:themeColor="text1"/>
          <w:kern w:val="24"/>
          <w:sz w:val="24"/>
          <w:szCs w:val="24"/>
          <w:lang w:eastAsia="en-GB"/>
        </w:rPr>
        <w:t>support</w:t>
      </w:r>
      <w:r w:rsidRPr="00E3270D">
        <w:rPr>
          <w:rFonts w:ascii="Arial" w:eastAsiaTheme="minorEastAsia" w:hAnsi="Arial" w:cs="Arial"/>
          <w:b/>
          <w:bCs/>
          <w:color w:val="000000" w:themeColor="text1"/>
          <w:kern w:val="24"/>
          <w:sz w:val="24"/>
          <w:szCs w:val="24"/>
          <w:lang w:eastAsia="en-GB"/>
        </w:rPr>
        <w:t>?</w:t>
      </w:r>
    </w:p>
    <w:p w14:paraId="1056EFAD" w14:textId="51AA5BF1" w:rsidR="0017251E" w:rsidRPr="00E3270D" w:rsidRDefault="0017251E" w:rsidP="0017251E">
      <w:pPr>
        <w:spacing w:after="0" w:line="216" w:lineRule="auto"/>
        <w:contextualSpacing/>
        <w:rPr>
          <w:rFonts w:ascii="Arial" w:eastAsiaTheme="minorEastAsia" w:hAnsi="Arial" w:cs="Arial"/>
          <w:b/>
          <w:bCs/>
          <w:color w:val="000000" w:themeColor="text1"/>
          <w:kern w:val="24"/>
          <w:sz w:val="24"/>
          <w:szCs w:val="24"/>
          <w:lang w:eastAsia="en-GB"/>
        </w:rPr>
      </w:pPr>
    </w:p>
    <w:p w14:paraId="2A88392C" w14:textId="77777777" w:rsidR="0017251E" w:rsidRPr="00E3270D" w:rsidRDefault="0017251E" w:rsidP="0017251E">
      <w:pPr>
        <w:rPr>
          <w:rFonts w:ascii="Arial" w:hAnsi="Arial" w:cs="Arial"/>
          <w:color w:val="000000" w:themeColor="text1"/>
          <w:sz w:val="24"/>
          <w:szCs w:val="24"/>
          <w:shd w:val="clear" w:color="auto" w:fill="FFFFFF"/>
        </w:rPr>
      </w:pPr>
      <w:r w:rsidRPr="00737149">
        <w:rPr>
          <w:rFonts w:ascii="Arial" w:hAnsi="Arial" w:cs="Arial"/>
          <w:b/>
          <w:bCs/>
          <w:color w:val="000000" w:themeColor="text1"/>
          <w:sz w:val="24"/>
          <w:szCs w:val="24"/>
          <w:shd w:val="clear" w:color="auto" w:fill="FFFFFF"/>
        </w:rPr>
        <w:t>CQRS National training</w:t>
      </w:r>
      <w:r w:rsidRPr="00E3270D">
        <w:rPr>
          <w:rFonts w:ascii="Arial" w:hAnsi="Arial" w:cs="Arial"/>
          <w:color w:val="000000" w:themeColor="text1"/>
          <w:sz w:val="24"/>
          <w:szCs w:val="24"/>
          <w:shd w:val="clear" w:color="auto" w:fill="FFFFFF"/>
        </w:rPr>
        <w:t xml:space="preserve"> is available as an </w:t>
      </w:r>
      <w:hyperlink r:id="rId15" w:tooltip="E-Learning" w:history="1">
        <w:r w:rsidRPr="00E3270D">
          <w:rPr>
            <w:rStyle w:val="Hyperlink"/>
            <w:rFonts w:ascii="Arial" w:hAnsi="Arial" w:cs="Arial"/>
            <w:color w:val="2F5496" w:themeColor="accent1" w:themeShade="BF"/>
            <w:sz w:val="24"/>
            <w:szCs w:val="24"/>
            <w:shd w:val="clear" w:color="auto" w:fill="FFFFFF"/>
          </w:rPr>
          <w:t>online training course</w:t>
        </w:r>
      </w:hyperlink>
      <w:r w:rsidRPr="00E3270D">
        <w:rPr>
          <w:rFonts w:ascii="Arial" w:hAnsi="Arial" w:cs="Arial"/>
          <w:color w:val="000000" w:themeColor="text1"/>
          <w:sz w:val="24"/>
          <w:szCs w:val="24"/>
          <w:shd w:val="clear" w:color="auto" w:fill="FFFFFF"/>
        </w:rPr>
        <w:t xml:space="preserve"> which includes job aids, tutorials and additional resources. Login details are not required for this system. </w:t>
      </w:r>
      <w:hyperlink r:id="rId16" w:tooltip="Training Materials" w:history="1">
        <w:r w:rsidRPr="00E3270D">
          <w:rPr>
            <w:rStyle w:val="Hyperlink"/>
            <w:rFonts w:ascii="Arial" w:hAnsi="Arial" w:cs="Arial"/>
            <w:color w:val="2F5496" w:themeColor="accent1" w:themeShade="BF"/>
            <w:sz w:val="24"/>
            <w:szCs w:val="24"/>
          </w:rPr>
          <w:t>CQRS National user guides</w:t>
        </w:r>
      </w:hyperlink>
      <w:r w:rsidRPr="00E3270D">
        <w:rPr>
          <w:rStyle w:val="Emphasis"/>
          <w:rFonts w:ascii="Arial" w:hAnsi="Arial" w:cs="Arial"/>
          <w:b/>
          <w:bCs/>
          <w:color w:val="000000" w:themeColor="text1"/>
          <w:sz w:val="24"/>
          <w:szCs w:val="24"/>
          <w:shd w:val="clear" w:color="auto" w:fill="FFFFFF"/>
        </w:rPr>
        <w:t> </w:t>
      </w:r>
      <w:r w:rsidRPr="00E3270D">
        <w:rPr>
          <w:rFonts w:ascii="Arial" w:hAnsi="Arial" w:cs="Arial"/>
          <w:color w:val="000000" w:themeColor="text1"/>
          <w:sz w:val="24"/>
          <w:szCs w:val="24"/>
          <w:shd w:val="clear" w:color="auto" w:fill="FFFFFF"/>
        </w:rPr>
        <w:t>provide written detail on how to perform key processes in CQRS.</w:t>
      </w:r>
    </w:p>
    <w:p w14:paraId="0F9609FD" w14:textId="4307D8B8" w:rsidR="0017251E" w:rsidRPr="00E3270D" w:rsidRDefault="0017251E" w:rsidP="0017251E">
      <w:pPr>
        <w:spacing w:after="0" w:line="216" w:lineRule="auto"/>
        <w:contextualSpacing/>
        <w:rPr>
          <w:rFonts w:ascii="Arial" w:eastAsiaTheme="minorEastAsia" w:hAnsi="Arial" w:cs="Arial"/>
          <w:b/>
          <w:bCs/>
          <w:color w:val="000000" w:themeColor="text1"/>
          <w:kern w:val="24"/>
          <w:sz w:val="24"/>
          <w:szCs w:val="24"/>
          <w:lang w:eastAsia="en-GB"/>
        </w:rPr>
      </w:pPr>
      <w:r w:rsidRPr="00E3270D">
        <w:rPr>
          <w:rFonts w:ascii="Arial" w:hAnsi="Arial" w:cs="Arial"/>
          <w:color w:val="000000" w:themeColor="text1"/>
          <w:sz w:val="24"/>
          <w:szCs w:val="24"/>
          <w:shd w:val="clear" w:color="auto" w:fill="FFFFFF"/>
        </w:rPr>
        <w:t>The below are guides to the most frequent tasks</w:t>
      </w:r>
      <w:r w:rsidR="00AA79B4" w:rsidRPr="00E3270D">
        <w:rPr>
          <w:rFonts w:ascii="Arial" w:hAnsi="Arial" w:cs="Arial"/>
          <w:color w:val="000000" w:themeColor="text1"/>
          <w:sz w:val="24"/>
          <w:szCs w:val="24"/>
          <w:shd w:val="clear" w:color="auto" w:fill="FFFFFF"/>
        </w:rPr>
        <w:t xml:space="preserve"> that may be required to be undertaken</w:t>
      </w:r>
      <w:r w:rsidRPr="00E3270D">
        <w:rPr>
          <w:rFonts w:ascii="Arial" w:hAnsi="Arial" w:cs="Arial"/>
          <w:color w:val="000000" w:themeColor="text1"/>
          <w:sz w:val="24"/>
          <w:szCs w:val="24"/>
          <w:shd w:val="clear" w:color="auto" w:fill="FFFFFF"/>
        </w:rPr>
        <w:t xml:space="preserve"> by practices.</w:t>
      </w:r>
    </w:p>
    <w:p w14:paraId="5A5CB774" w14:textId="77777777" w:rsidR="0017251E" w:rsidRPr="00E3270D" w:rsidRDefault="0017251E" w:rsidP="0017251E">
      <w:pPr>
        <w:spacing w:after="0" w:line="216" w:lineRule="auto"/>
        <w:contextualSpacing/>
        <w:rPr>
          <w:rFonts w:ascii="Arial" w:eastAsiaTheme="minorEastAsia" w:hAnsi="Arial" w:cs="Arial"/>
          <w:b/>
          <w:bCs/>
          <w:color w:val="000000" w:themeColor="text1"/>
          <w:kern w:val="24"/>
          <w:sz w:val="24"/>
          <w:szCs w:val="24"/>
          <w:lang w:eastAsia="en-GB"/>
        </w:rPr>
      </w:pPr>
    </w:p>
    <w:p w14:paraId="55438A5F" w14:textId="04085E3C" w:rsidR="0017251E" w:rsidRPr="00E3270D" w:rsidRDefault="00091AEE" w:rsidP="00494A6E">
      <w:pPr>
        <w:rPr>
          <w:rFonts w:ascii="Arial" w:hAnsi="Arial" w:cs="Arial"/>
          <w:sz w:val="24"/>
          <w:szCs w:val="24"/>
        </w:rPr>
      </w:pPr>
      <w:hyperlink r:id="rId17" w:history="1">
        <w:r w:rsidR="0017251E" w:rsidRPr="00E3270D">
          <w:rPr>
            <w:rFonts w:ascii="Arial" w:hAnsi="Arial" w:cs="Arial"/>
            <w:color w:val="0000FF"/>
            <w:sz w:val="24"/>
            <w:szCs w:val="24"/>
            <w:u w:val="single"/>
          </w:rPr>
          <w:t xml:space="preserve">Viewing, Accepting and Rejecting Quality Services Offered </w:t>
        </w:r>
      </w:hyperlink>
    </w:p>
    <w:p w14:paraId="5013D579" w14:textId="25D42809" w:rsidR="0017251E" w:rsidRPr="00E3270D" w:rsidRDefault="00091AEE" w:rsidP="00494A6E">
      <w:pPr>
        <w:rPr>
          <w:rFonts w:ascii="Arial" w:hAnsi="Arial" w:cs="Arial"/>
          <w:sz w:val="24"/>
          <w:szCs w:val="24"/>
        </w:rPr>
      </w:pPr>
      <w:hyperlink r:id="rId18" w:history="1">
        <w:r w:rsidR="0017251E" w:rsidRPr="00E3270D">
          <w:rPr>
            <w:rFonts w:ascii="Arial" w:hAnsi="Arial" w:cs="Arial"/>
            <w:color w:val="0000FF"/>
            <w:sz w:val="24"/>
            <w:szCs w:val="24"/>
            <w:u w:val="single"/>
          </w:rPr>
          <w:t>Viewing the Status of a Quality Service</w:t>
        </w:r>
      </w:hyperlink>
    </w:p>
    <w:p w14:paraId="5710B8B6" w14:textId="03A3E50D" w:rsidR="0017251E" w:rsidRPr="00E3270D" w:rsidRDefault="00091AEE" w:rsidP="00494A6E">
      <w:pPr>
        <w:rPr>
          <w:rFonts w:ascii="Arial" w:hAnsi="Arial" w:cs="Arial"/>
          <w:sz w:val="24"/>
          <w:szCs w:val="24"/>
        </w:rPr>
      </w:pPr>
      <w:hyperlink r:id="rId19" w:history="1">
        <w:r w:rsidR="0017251E" w:rsidRPr="00E3270D">
          <w:rPr>
            <w:rFonts w:ascii="Arial" w:hAnsi="Arial" w:cs="Arial"/>
            <w:color w:val="0000FF"/>
            <w:sz w:val="24"/>
            <w:szCs w:val="24"/>
            <w:u w:val="single"/>
          </w:rPr>
          <w:t>Manually Inputting Achievement Data</w:t>
        </w:r>
      </w:hyperlink>
    </w:p>
    <w:p w14:paraId="78D0E1E5" w14:textId="7F7B5479" w:rsidR="00956EC8" w:rsidRPr="00E3270D" w:rsidRDefault="00091AEE" w:rsidP="00494A6E">
      <w:pPr>
        <w:rPr>
          <w:rFonts w:ascii="Arial" w:hAnsi="Arial" w:cs="Arial"/>
          <w:sz w:val="24"/>
          <w:szCs w:val="24"/>
        </w:rPr>
      </w:pPr>
      <w:hyperlink r:id="rId20" w:history="1">
        <w:r w:rsidR="0017251E" w:rsidRPr="00E3270D">
          <w:rPr>
            <w:rFonts w:ascii="Arial" w:hAnsi="Arial" w:cs="Arial"/>
            <w:color w:val="0000FF"/>
            <w:sz w:val="24"/>
            <w:szCs w:val="24"/>
            <w:u w:val="single"/>
          </w:rPr>
          <w:t>Declaring an Achievement for Payment</w:t>
        </w:r>
      </w:hyperlink>
    </w:p>
    <w:p w14:paraId="35BEF7E7" w14:textId="0C250EED" w:rsidR="00956EC8" w:rsidRPr="00E3270D" w:rsidRDefault="00091AEE" w:rsidP="00494A6E">
      <w:pPr>
        <w:rPr>
          <w:rFonts w:ascii="Arial" w:hAnsi="Arial" w:cs="Arial"/>
          <w:sz w:val="24"/>
          <w:szCs w:val="24"/>
        </w:rPr>
      </w:pPr>
      <w:hyperlink r:id="rId21" w:history="1">
        <w:r w:rsidR="00956EC8" w:rsidRPr="00E3270D">
          <w:rPr>
            <w:rStyle w:val="Hyperlink"/>
            <w:rFonts w:ascii="Arial" w:hAnsi="Arial" w:cs="Arial"/>
            <w:sz w:val="24"/>
            <w:szCs w:val="24"/>
          </w:rPr>
          <w:t>What reports are available in CQRS?</w:t>
        </w:r>
      </w:hyperlink>
      <w:r w:rsidR="00956EC8" w:rsidRPr="00E3270D">
        <w:rPr>
          <w:rFonts w:ascii="Arial" w:hAnsi="Arial" w:cs="Arial"/>
          <w:sz w:val="24"/>
          <w:szCs w:val="24"/>
        </w:rPr>
        <w:t xml:space="preserve"> </w:t>
      </w:r>
    </w:p>
    <w:p w14:paraId="17F0A9CE" w14:textId="2BC30951" w:rsidR="00956EC8" w:rsidRPr="00E3270D" w:rsidRDefault="00091AEE" w:rsidP="00494A6E">
      <w:pPr>
        <w:rPr>
          <w:rFonts w:ascii="Arial" w:hAnsi="Arial" w:cs="Arial"/>
          <w:sz w:val="24"/>
          <w:szCs w:val="24"/>
        </w:rPr>
      </w:pPr>
      <w:hyperlink r:id="rId22" w:history="1">
        <w:r w:rsidR="00956EC8" w:rsidRPr="00E3270D">
          <w:rPr>
            <w:rFonts w:ascii="Arial" w:hAnsi="Arial" w:cs="Arial"/>
            <w:color w:val="0000FF"/>
            <w:sz w:val="24"/>
            <w:szCs w:val="24"/>
            <w:u w:val="single"/>
          </w:rPr>
          <w:t>How do I run reports on CQRS?</w:t>
        </w:r>
      </w:hyperlink>
    </w:p>
    <w:sectPr w:rsidR="00956EC8" w:rsidRPr="00E3270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0BA9" w14:textId="77777777" w:rsidR="00737149" w:rsidRDefault="00737149" w:rsidP="00737149">
      <w:pPr>
        <w:spacing w:after="0" w:line="240" w:lineRule="auto"/>
      </w:pPr>
      <w:r>
        <w:separator/>
      </w:r>
    </w:p>
  </w:endnote>
  <w:endnote w:type="continuationSeparator" w:id="0">
    <w:p w14:paraId="0721F08E" w14:textId="77777777" w:rsidR="00737149" w:rsidRDefault="00737149" w:rsidP="0073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21BB" w14:textId="57D049C2" w:rsidR="00737149" w:rsidRPr="00737149" w:rsidRDefault="00737149">
    <w:pPr>
      <w:pStyle w:val="Footer"/>
      <w:rPr>
        <w:rFonts w:ascii="Arial" w:hAnsi="Arial" w:cs="Arial"/>
        <w:sz w:val="16"/>
        <w:szCs w:val="16"/>
      </w:rPr>
    </w:pPr>
    <w:r w:rsidRPr="00737149">
      <w:rPr>
        <w:rFonts w:ascii="Arial" w:hAnsi="Arial" w:cs="Arial"/>
        <w:sz w:val="16"/>
        <w:szCs w:val="16"/>
      </w:rPr>
      <w:t>NHSE SW VaST CQRS Guidance 2023/24</w:t>
    </w:r>
  </w:p>
  <w:p w14:paraId="274A26F3" w14:textId="77777777" w:rsidR="00737149" w:rsidRDefault="0073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963A" w14:textId="77777777" w:rsidR="00737149" w:rsidRDefault="00737149" w:rsidP="00737149">
      <w:pPr>
        <w:spacing w:after="0" w:line="240" w:lineRule="auto"/>
      </w:pPr>
      <w:r>
        <w:separator/>
      </w:r>
    </w:p>
  </w:footnote>
  <w:footnote w:type="continuationSeparator" w:id="0">
    <w:p w14:paraId="65D25F69" w14:textId="77777777" w:rsidR="00737149" w:rsidRDefault="00737149" w:rsidP="0073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44C"/>
    <w:multiLevelType w:val="hybridMultilevel"/>
    <w:tmpl w:val="1304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436C"/>
    <w:multiLevelType w:val="hybridMultilevel"/>
    <w:tmpl w:val="781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252D5"/>
    <w:multiLevelType w:val="hybridMultilevel"/>
    <w:tmpl w:val="3E6E6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18CF4A"/>
    <w:multiLevelType w:val="hybridMultilevel"/>
    <w:tmpl w:val="FFFFFFFF"/>
    <w:lvl w:ilvl="0" w:tplc="B00C47FE">
      <w:start w:val="1"/>
      <w:numFmt w:val="bullet"/>
      <w:lvlText w:val=""/>
      <w:lvlJc w:val="left"/>
      <w:pPr>
        <w:ind w:left="720" w:hanging="360"/>
      </w:pPr>
      <w:rPr>
        <w:rFonts w:ascii="Symbol" w:hAnsi="Symbol" w:hint="default"/>
      </w:rPr>
    </w:lvl>
    <w:lvl w:ilvl="1" w:tplc="3FC4BB3C">
      <w:start w:val="1"/>
      <w:numFmt w:val="bullet"/>
      <w:lvlText w:val="o"/>
      <w:lvlJc w:val="left"/>
      <w:pPr>
        <w:ind w:left="1440" w:hanging="360"/>
      </w:pPr>
      <w:rPr>
        <w:rFonts w:ascii="Courier New" w:hAnsi="Courier New" w:cs="Times New Roman" w:hint="default"/>
      </w:rPr>
    </w:lvl>
    <w:lvl w:ilvl="2" w:tplc="847AC430">
      <w:start w:val="1"/>
      <w:numFmt w:val="bullet"/>
      <w:lvlText w:val=""/>
      <w:lvlJc w:val="left"/>
      <w:pPr>
        <w:ind w:left="2160" w:hanging="360"/>
      </w:pPr>
      <w:rPr>
        <w:rFonts w:ascii="Wingdings" w:hAnsi="Wingdings" w:hint="default"/>
      </w:rPr>
    </w:lvl>
    <w:lvl w:ilvl="3" w:tplc="E5B62DE4">
      <w:start w:val="1"/>
      <w:numFmt w:val="bullet"/>
      <w:lvlText w:val=""/>
      <w:lvlJc w:val="left"/>
      <w:pPr>
        <w:ind w:left="2880" w:hanging="360"/>
      </w:pPr>
      <w:rPr>
        <w:rFonts w:ascii="Symbol" w:hAnsi="Symbol" w:hint="default"/>
      </w:rPr>
    </w:lvl>
    <w:lvl w:ilvl="4" w:tplc="F2FA2B84">
      <w:start w:val="1"/>
      <w:numFmt w:val="bullet"/>
      <w:lvlText w:val="o"/>
      <w:lvlJc w:val="left"/>
      <w:pPr>
        <w:ind w:left="3600" w:hanging="360"/>
      </w:pPr>
      <w:rPr>
        <w:rFonts w:ascii="Courier New" w:hAnsi="Courier New" w:cs="Times New Roman" w:hint="default"/>
      </w:rPr>
    </w:lvl>
    <w:lvl w:ilvl="5" w:tplc="B43E5A66">
      <w:start w:val="1"/>
      <w:numFmt w:val="bullet"/>
      <w:lvlText w:val=""/>
      <w:lvlJc w:val="left"/>
      <w:pPr>
        <w:ind w:left="4320" w:hanging="360"/>
      </w:pPr>
      <w:rPr>
        <w:rFonts w:ascii="Wingdings" w:hAnsi="Wingdings" w:hint="default"/>
      </w:rPr>
    </w:lvl>
    <w:lvl w:ilvl="6" w:tplc="8DEE54BE">
      <w:start w:val="1"/>
      <w:numFmt w:val="bullet"/>
      <w:lvlText w:val=""/>
      <w:lvlJc w:val="left"/>
      <w:pPr>
        <w:ind w:left="5040" w:hanging="360"/>
      </w:pPr>
      <w:rPr>
        <w:rFonts w:ascii="Symbol" w:hAnsi="Symbol" w:hint="default"/>
      </w:rPr>
    </w:lvl>
    <w:lvl w:ilvl="7" w:tplc="735883A6">
      <w:start w:val="1"/>
      <w:numFmt w:val="bullet"/>
      <w:lvlText w:val="o"/>
      <w:lvlJc w:val="left"/>
      <w:pPr>
        <w:ind w:left="5760" w:hanging="360"/>
      </w:pPr>
      <w:rPr>
        <w:rFonts w:ascii="Courier New" w:hAnsi="Courier New" w:cs="Times New Roman" w:hint="default"/>
      </w:rPr>
    </w:lvl>
    <w:lvl w:ilvl="8" w:tplc="1F3A5FAA">
      <w:start w:val="1"/>
      <w:numFmt w:val="bullet"/>
      <w:lvlText w:val=""/>
      <w:lvlJc w:val="left"/>
      <w:pPr>
        <w:ind w:left="6480" w:hanging="360"/>
      </w:pPr>
      <w:rPr>
        <w:rFonts w:ascii="Wingdings" w:hAnsi="Wingdings" w:hint="default"/>
      </w:rPr>
    </w:lvl>
  </w:abstractNum>
  <w:abstractNum w:abstractNumId="4" w15:restartNumberingAfterBreak="0">
    <w:nsid w:val="3EE17585"/>
    <w:multiLevelType w:val="hybridMultilevel"/>
    <w:tmpl w:val="73F87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3837DF"/>
    <w:multiLevelType w:val="hybridMultilevel"/>
    <w:tmpl w:val="597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760F"/>
    <w:multiLevelType w:val="hybridMultilevel"/>
    <w:tmpl w:val="FC54B5E0"/>
    <w:lvl w:ilvl="0" w:tplc="D4601F5E">
      <w:start w:val="1"/>
      <w:numFmt w:val="bullet"/>
      <w:lvlText w:val="•"/>
      <w:lvlJc w:val="left"/>
      <w:pPr>
        <w:tabs>
          <w:tab w:val="num" w:pos="720"/>
        </w:tabs>
        <w:ind w:left="720" w:hanging="360"/>
      </w:pPr>
      <w:rPr>
        <w:rFonts w:ascii="Arial" w:hAnsi="Arial" w:hint="default"/>
      </w:rPr>
    </w:lvl>
    <w:lvl w:ilvl="1" w:tplc="999EA9CE" w:tentative="1">
      <w:start w:val="1"/>
      <w:numFmt w:val="bullet"/>
      <w:lvlText w:val="•"/>
      <w:lvlJc w:val="left"/>
      <w:pPr>
        <w:tabs>
          <w:tab w:val="num" w:pos="1440"/>
        </w:tabs>
        <w:ind w:left="1440" w:hanging="360"/>
      </w:pPr>
      <w:rPr>
        <w:rFonts w:ascii="Arial" w:hAnsi="Arial" w:hint="default"/>
      </w:rPr>
    </w:lvl>
    <w:lvl w:ilvl="2" w:tplc="E21AA008" w:tentative="1">
      <w:start w:val="1"/>
      <w:numFmt w:val="bullet"/>
      <w:lvlText w:val="•"/>
      <w:lvlJc w:val="left"/>
      <w:pPr>
        <w:tabs>
          <w:tab w:val="num" w:pos="2160"/>
        </w:tabs>
        <w:ind w:left="2160" w:hanging="360"/>
      </w:pPr>
      <w:rPr>
        <w:rFonts w:ascii="Arial" w:hAnsi="Arial" w:hint="default"/>
      </w:rPr>
    </w:lvl>
    <w:lvl w:ilvl="3" w:tplc="FDC04848" w:tentative="1">
      <w:start w:val="1"/>
      <w:numFmt w:val="bullet"/>
      <w:lvlText w:val="•"/>
      <w:lvlJc w:val="left"/>
      <w:pPr>
        <w:tabs>
          <w:tab w:val="num" w:pos="2880"/>
        </w:tabs>
        <w:ind w:left="2880" w:hanging="360"/>
      </w:pPr>
      <w:rPr>
        <w:rFonts w:ascii="Arial" w:hAnsi="Arial" w:hint="default"/>
      </w:rPr>
    </w:lvl>
    <w:lvl w:ilvl="4" w:tplc="416E7008" w:tentative="1">
      <w:start w:val="1"/>
      <w:numFmt w:val="bullet"/>
      <w:lvlText w:val="•"/>
      <w:lvlJc w:val="left"/>
      <w:pPr>
        <w:tabs>
          <w:tab w:val="num" w:pos="3600"/>
        </w:tabs>
        <w:ind w:left="3600" w:hanging="360"/>
      </w:pPr>
      <w:rPr>
        <w:rFonts w:ascii="Arial" w:hAnsi="Arial" w:hint="default"/>
      </w:rPr>
    </w:lvl>
    <w:lvl w:ilvl="5" w:tplc="4FCCDF52" w:tentative="1">
      <w:start w:val="1"/>
      <w:numFmt w:val="bullet"/>
      <w:lvlText w:val="•"/>
      <w:lvlJc w:val="left"/>
      <w:pPr>
        <w:tabs>
          <w:tab w:val="num" w:pos="4320"/>
        </w:tabs>
        <w:ind w:left="4320" w:hanging="360"/>
      </w:pPr>
      <w:rPr>
        <w:rFonts w:ascii="Arial" w:hAnsi="Arial" w:hint="default"/>
      </w:rPr>
    </w:lvl>
    <w:lvl w:ilvl="6" w:tplc="05BE8AE2" w:tentative="1">
      <w:start w:val="1"/>
      <w:numFmt w:val="bullet"/>
      <w:lvlText w:val="•"/>
      <w:lvlJc w:val="left"/>
      <w:pPr>
        <w:tabs>
          <w:tab w:val="num" w:pos="5040"/>
        </w:tabs>
        <w:ind w:left="5040" w:hanging="360"/>
      </w:pPr>
      <w:rPr>
        <w:rFonts w:ascii="Arial" w:hAnsi="Arial" w:hint="default"/>
      </w:rPr>
    </w:lvl>
    <w:lvl w:ilvl="7" w:tplc="906279E0" w:tentative="1">
      <w:start w:val="1"/>
      <w:numFmt w:val="bullet"/>
      <w:lvlText w:val="•"/>
      <w:lvlJc w:val="left"/>
      <w:pPr>
        <w:tabs>
          <w:tab w:val="num" w:pos="5760"/>
        </w:tabs>
        <w:ind w:left="5760" w:hanging="360"/>
      </w:pPr>
      <w:rPr>
        <w:rFonts w:ascii="Arial" w:hAnsi="Arial" w:hint="default"/>
      </w:rPr>
    </w:lvl>
    <w:lvl w:ilvl="8" w:tplc="ECD0AC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9241E1"/>
    <w:multiLevelType w:val="hybridMultilevel"/>
    <w:tmpl w:val="22CAE198"/>
    <w:lvl w:ilvl="0" w:tplc="4872C010">
      <w:start w:val="1"/>
      <w:numFmt w:val="bullet"/>
      <w:lvlText w:val="•"/>
      <w:lvlJc w:val="left"/>
      <w:pPr>
        <w:tabs>
          <w:tab w:val="num" w:pos="720"/>
        </w:tabs>
        <w:ind w:left="720" w:hanging="360"/>
      </w:pPr>
      <w:rPr>
        <w:rFonts w:ascii="Arial" w:hAnsi="Arial" w:hint="default"/>
      </w:rPr>
    </w:lvl>
    <w:lvl w:ilvl="1" w:tplc="D5744BD6">
      <w:start w:val="1"/>
      <w:numFmt w:val="bullet"/>
      <w:lvlText w:val="•"/>
      <w:lvlJc w:val="left"/>
      <w:pPr>
        <w:tabs>
          <w:tab w:val="num" w:pos="1440"/>
        </w:tabs>
        <w:ind w:left="1440" w:hanging="360"/>
      </w:pPr>
      <w:rPr>
        <w:rFonts w:ascii="Arial" w:hAnsi="Arial" w:hint="default"/>
      </w:rPr>
    </w:lvl>
    <w:lvl w:ilvl="2" w:tplc="B29E0C82" w:tentative="1">
      <w:start w:val="1"/>
      <w:numFmt w:val="bullet"/>
      <w:lvlText w:val="•"/>
      <w:lvlJc w:val="left"/>
      <w:pPr>
        <w:tabs>
          <w:tab w:val="num" w:pos="2160"/>
        </w:tabs>
        <w:ind w:left="2160" w:hanging="360"/>
      </w:pPr>
      <w:rPr>
        <w:rFonts w:ascii="Arial" w:hAnsi="Arial" w:hint="default"/>
      </w:rPr>
    </w:lvl>
    <w:lvl w:ilvl="3" w:tplc="50C285D8" w:tentative="1">
      <w:start w:val="1"/>
      <w:numFmt w:val="bullet"/>
      <w:lvlText w:val="•"/>
      <w:lvlJc w:val="left"/>
      <w:pPr>
        <w:tabs>
          <w:tab w:val="num" w:pos="2880"/>
        </w:tabs>
        <w:ind w:left="2880" w:hanging="360"/>
      </w:pPr>
      <w:rPr>
        <w:rFonts w:ascii="Arial" w:hAnsi="Arial" w:hint="default"/>
      </w:rPr>
    </w:lvl>
    <w:lvl w:ilvl="4" w:tplc="3E189E0C" w:tentative="1">
      <w:start w:val="1"/>
      <w:numFmt w:val="bullet"/>
      <w:lvlText w:val="•"/>
      <w:lvlJc w:val="left"/>
      <w:pPr>
        <w:tabs>
          <w:tab w:val="num" w:pos="3600"/>
        </w:tabs>
        <w:ind w:left="3600" w:hanging="360"/>
      </w:pPr>
      <w:rPr>
        <w:rFonts w:ascii="Arial" w:hAnsi="Arial" w:hint="default"/>
      </w:rPr>
    </w:lvl>
    <w:lvl w:ilvl="5" w:tplc="BBE4C19C" w:tentative="1">
      <w:start w:val="1"/>
      <w:numFmt w:val="bullet"/>
      <w:lvlText w:val="•"/>
      <w:lvlJc w:val="left"/>
      <w:pPr>
        <w:tabs>
          <w:tab w:val="num" w:pos="4320"/>
        </w:tabs>
        <w:ind w:left="4320" w:hanging="360"/>
      </w:pPr>
      <w:rPr>
        <w:rFonts w:ascii="Arial" w:hAnsi="Arial" w:hint="default"/>
      </w:rPr>
    </w:lvl>
    <w:lvl w:ilvl="6" w:tplc="15B40658" w:tentative="1">
      <w:start w:val="1"/>
      <w:numFmt w:val="bullet"/>
      <w:lvlText w:val="•"/>
      <w:lvlJc w:val="left"/>
      <w:pPr>
        <w:tabs>
          <w:tab w:val="num" w:pos="5040"/>
        </w:tabs>
        <w:ind w:left="5040" w:hanging="360"/>
      </w:pPr>
      <w:rPr>
        <w:rFonts w:ascii="Arial" w:hAnsi="Arial" w:hint="default"/>
      </w:rPr>
    </w:lvl>
    <w:lvl w:ilvl="7" w:tplc="DB087CC8" w:tentative="1">
      <w:start w:val="1"/>
      <w:numFmt w:val="bullet"/>
      <w:lvlText w:val="•"/>
      <w:lvlJc w:val="left"/>
      <w:pPr>
        <w:tabs>
          <w:tab w:val="num" w:pos="5760"/>
        </w:tabs>
        <w:ind w:left="5760" w:hanging="360"/>
      </w:pPr>
      <w:rPr>
        <w:rFonts w:ascii="Arial" w:hAnsi="Arial" w:hint="default"/>
      </w:rPr>
    </w:lvl>
    <w:lvl w:ilvl="8" w:tplc="8A323F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DA334A"/>
    <w:multiLevelType w:val="hybridMultilevel"/>
    <w:tmpl w:val="C796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815295">
    <w:abstractNumId w:val="6"/>
  </w:num>
  <w:num w:numId="2" w16cid:durableId="1893346429">
    <w:abstractNumId w:val="2"/>
  </w:num>
  <w:num w:numId="3" w16cid:durableId="841578973">
    <w:abstractNumId w:val="2"/>
  </w:num>
  <w:num w:numId="4" w16cid:durableId="1493987496">
    <w:abstractNumId w:val="7"/>
  </w:num>
  <w:num w:numId="5" w16cid:durableId="2058896594">
    <w:abstractNumId w:val="5"/>
  </w:num>
  <w:num w:numId="6" w16cid:durableId="1297251542">
    <w:abstractNumId w:val="0"/>
  </w:num>
  <w:num w:numId="7" w16cid:durableId="636881651">
    <w:abstractNumId w:val="1"/>
  </w:num>
  <w:num w:numId="8" w16cid:durableId="577637293">
    <w:abstractNumId w:val="8"/>
  </w:num>
  <w:num w:numId="9" w16cid:durableId="1677884600">
    <w:abstractNumId w:val="3"/>
    <w:lvlOverride w:ilvl="0"/>
    <w:lvlOverride w:ilvl="1"/>
    <w:lvlOverride w:ilvl="2"/>
    <w:lvlOverride w:ilvl="3"/>
    <w:lvlOverride w:ilvl="4"/>
    <w:lvlOverride w:ilvl="5"/>
    <w:lvlOverride w:ilvl="6"/>
    <w:lvlOverride w:ilvl="7"/>
    <w:lvlOverride w:ilvl="8"/>
  </w:num>
  <w:num w:numId="10" w16cid:durableId="60491940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C2"/>
    <w:rsid w:val="000804B5"/>
    <w:rsid w:val="00091AEE"/>
    <w:rsid w:val="0017251E"/>
    <w:rsid w:val="00457E3D"/>
    <w:rsid w:val="00494A6E"/>
    <w:rsid w:val="004A2786"/>
    <w:rsid w:val="006163E9"/>
    <w:rsid w:val="00667F06"/>
    <w:rsid w:val="00737149"/>
    <w:rsid w:val="00891576"/>
    <w:rsid w:val="00956EC8"/>
    <w:rsid w:val="00A9616E"/>
    <w:rsid w:val="00AA79B4"/>
    <w:rsid w:val="00AD518E"/>
    <w:rsid w:val="00B17C6A"/>
    <w:rsid w:val="00CD431A"/>
    <w:rsid w:val="00D31A84"/>
    <w:rsid w:val="00DA753B"/>
    <w:rsid w:val="00E3270D"/>
    <w:rsid w:val="00E3439A"/>
    <w:rsid w:val="00E35186"/>
    <w:rsid w:val="00ED1748"/>
    <w:rsid w:val="00EF48C2"/>
    <w:rsid w:val="00F53C7E"/>
    <w:rsid w:val="00F571E7"/>
    <w:rsid w:val="00FE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8AB0"/>
  <w15:chartTrackingRefBased/>
  <w15:docId w15:val="{C431F6AA-C583-4D53-81E6-2B8F5B68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7E"/>
    <w:rPr>
      <w:color w:val="0000FF"/>
      <w:u w:val="single"/>
    </w:rPr>
  </w:style>
  <w:style w:type="character" w:styleId="Emphasis">
    <w:name w:val="Emphasis"/>
    <w:basedOn w:val="DefaultParagraphFont"/>
    <w:uiPriority w:val="20"/>
    <w:qFormat/>
    <w:rsid w:val="00F53C7E"/>
    <w:rPr>
      <w:i/>
      <w:iCs/>
    </w:rPr>
  </w:style>
  <w:style w:type="character" w:styleId="UnresolvedMention">
    <w:name w:val="Unresolved Mention"/>
    <w:basedOn w:val="DefaultParagraphFont"/>
    <w:uiPriority w:val="99"/>
    <w:semiHidden/>
    <w:unhideWhenUsed/>
    <w:rsid w:val="00F53C7E"/>
    <w:rPr>
      <w:color w:val="605E5C"/>
      <w:shd w:val="clear" w:color="auto" w:fill="E1DFDD"/>
    </w:rPr>
  </w:style>
  <w:style w:type="paragraph" w:styleId="ListParagraph">
    <w:name w:val="List Paragraph"/>
    <w:basedOn w:val="Normal"/>
    <w:uiPriority w:val="34"/>
    <w:qFormat/>
    <w:rsid w:val="00AD518E"/>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4A6E"/>
  </w:style>
  <w:style w:type="character" w:styleId="FollowedHyperlink">
    <w:name w:val="FollowedHyperlink"/>
    <w:basedOn w:val="DefaultParagraphFont"/>
    <w:uiPriority w:val="99"/>
    <w:semiHidden/>
    <w:unhideWhenUsed/>
    <w:rsid w:val="00667F06"/>
    <w:rPr>
      <w:color w:val="954F72" w:themeColor="followedHyperlink"/>
      <w:u w:val="single"/>
    </w:rPr>
  </w:style>
  <w:style w:type="paragraph" w:styleId="Header">
    <w:name w:val="header"/>
    <w:basedOn w:val="Normal"/>
    <w:link w:val="HeaderChar"/>
    <w:uiPriority w:val="99"/>
    <w:unhideWhenUsed/>
    <w:rsid w:val="00737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49"/>
  </w:style>
  <w:style w:type="paragraph" w:styleId="Footer">
    <w:name w:val="footer"/>
    <w:basedOn w:val="Normal"/>
    <w:link w:val="FooterChar"/>
    <w:uiPriority w:val="99"/>
    <w:unhideWhenUsed/>
    <w:rsid w:val="00737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79610">
      <w:bodyDiv w:val="1"/>
      <w:marLeft w:val="0"/>
      <w:marRight w:val="0"/>
      <w:marTop w:val="0"/>
      <w:marBottom w:val="0"/>
      <w:divBdr>
        <w:top w:val="none" w:sz="0" w:space="0" w:color="auto"/>
        <w:left w:val="none" w:sz="0" w:space="0" w:color="auto"/>
        <w:bottom w:val="none" w:sz="0" w:space="0" w:color="auto"/>
        <w:right w:val="none" w:sz="0" w:space="0" w:color="auto"/>
      </w:divBdr>
    </w:div>
    <w:div w:id="99661426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sChild>
        <w:div w:id="1216233823">
          <w:marLeft w:val="360"/>
          <w:marRight w:val="0"/>
          <w:marTop w:val="200"/>
          <w:marBottom w:val="0"/>
          <w:divBdr>
            <w:top w:val="none" w:sz="0" w:space="0" w:color="auto"/>
            <w:left w:val="none" w:sz="0" w:space="0" w:color="auto"/>
            <w:bottom w:val="none" w:sz="0" w:space="0" w:color="auto"/>
            <w:right w:val="none" w:sz="0" w:space="0" w:color="auto"/>
          </w:divBdr>
        </w:div>
        <w:div w:id="798885396">
          <w:marLeft w:val="360"/>
          <w:marRight w:val="0"/>
          <w:marTop w:val="200"/>
          <w:marBottom w:val="0"/>
          <w:divBdr>
            <w:top w:val="none" w:sz="0" w:space="0" w:color="auto"/>
            <w:left w:val="none" w:sz="0" w:space="0" w:color="auto"/>
            <w:bottom w:val="none" w:sz="0" w:space="0" w:color="auto"/>
            <w:right w:val="none" w:sz="0" w:space="0" w:color="auto"/>
          </w:divBdr>
        </w:div>
        <w:div w:id="575356518">
          <w:marLeft w:val="360"/>
          <w:marRight w:val="0"/>
          <w:marTop w:val="200"/>
          <w:marBottom w:val="0"/>
          <w:divBdr>
            <w:top w:val="none" w:sz="0" w:space="0" w:color="auto"/>
            <w:left w:val="none" w:sz="0" w:space="0" w:color="auto"/>
            <w:bottom w:val="none" w:sz="0" w:space="0" w:color="auto"/>
            <w:right w:val="none" w:sz="0" w:space="0" w:color="auto"/>
          </w:divBdr>
        </w:div>
        <w:div w:id="1465078860">
          <w:marLeft w:val="360"/>
          <w:marRight w:val="0"/>
          <w:marTop w:val="200"/>
          <w:marBottom w:val="0"/>
          <w:divBdr>
            <w:top w:val="none" w:sz="0" w:space="0" w:color="auto"/>
            <w:left w:val="none" w:sz="0" w:space="0" w:color="auto"/>
            <w:bottom w:val="none" w:sz="0" w:space="0" w:color="auto"/>
            <w:right w:val="none" w:sz="0" w:space="0" w:color="auto"/>
          </w:divBdr>
        </w:div>
        <w:div w:id="1965111052">
          <w:marLeft w:val="360"/>
          <w:marRight w:val="0"/>
          <w:marTop w:val="200"/>
          <w:marBottom w:val="0"/>
          <w:divBdr>
            <w:top w:val="none" w:sz="0" w:space="0" w:color="auto"/>
            <w:left w:val="none" w:sz="0" w:space="0" w:color="auto"/>
            <w:bottom w:val="none" w:sz="0" w:space="0" w:color="auto"/>
            <w:right w:val="none" w:sz="0" w:space="0" w:color="auto"/>
          </w:divBdr>
        </w:div>
        <w:div w:id="1179924226">
          <w:marLeft w:val="360"/>
          <w:marRight w:val="0"/>
          <w:marTop w:val="200"/>
          <w:marBottom w:val="0"/>
          <w:divBdr>
            <w:top w:val="none" w:sz="0" w:space="0" w:color="auto"/>
            <w:left w:val="none" w:sz="0" w:space="0" w:color="auto"/>
            <w:bottom w:val="none" w:sz="0" w:space="0" w:color="auto"/>
            <w:right w:val="none" w:sz="0" w:space="0" w:color="auto"/>
          </w:divBdr>
        </w:div>
        <w:div w:id="40567803">
          <w:marLeft w:val="360"/>
          <w:marRight w:val="0"/>
          <w:marTop w:val="200"/>
          <w:marBottom w:val="0"/>
          <w:divBdr>
            <w:top w:val="none" w:sz="0" w:space="0" w:color="auto"/>
            <w:left w:val="none" w:sz="0" w:space="0" w:color="auto"/>
            <w:bottom w:val="none" w:sz="0" w:space="0" w:color="auto"/>
            <w:right w:val="none" w:sz="0" w:space="0" w:color="auto"/>
          </w:divBdr>
        </w:div>
      </w:divsChild>
    </w:div>
    <w:div w:id="1279800253">
      <w:bodyDiv w:val="1"/>
      <w:marLeft w:val="0"/>
      <w:marRight w:val="0"/>
      <w:marTop w:val="0"/>
      <w:marBottom w:val="0"/>
      <w:divBdr>
        <w:top w:val="none" w:sz="0" w:space="0" w:color="auto"/>
        <w:left w:val="none" w:sz="0" w:space="0" w:color="auto"/>
        <w:bottom w:val="none" w:sz="0" w:space="0" w:color="auto"/>
        <w:right w:val="none" w:sz="0" w:space="0" w:color="auto"/>
      </w:divBdr>
    </w:div>
    <w:div w:id="1681395285">
      <w:bodyDiv w:val="1"/>
      <w:marLeft w:val="0"/>
      <w:marRight w:val="0"/>
      <w:marTop w:val="0"/>
      <w:marBottom w:val="0"/>
      <w:divBdr>
        <w:top w:val="none" w:sz="0" w:space="0" w:color="auto"/>
        <w:left w:val="none" w:sz="0" w:space="0" w:color="auto"/>
        <w:bottom w:val="none" w:sz="0" w:space="0" w:color="auto"/>
        <w:right w:val="none" w:sz="0" w:space="0" w:color="auto"/>
      </w:divBdr>
    </w:div>
    <w:div w:id="1760786198">
      <w:bodyDiv w:val="1"/>
      <w:marLeft w:val="0"/>
      <w:marRight w:val="0"/>
      <w:marTop w:val="0"/>
      <w:marBottom w:val="0"/>
      <w:divBdr>
        <w:top w:val="none" w:sz="0" w:space="0" w:color="auto"/>
        <w:left w:val="none" w:sz="0" w:space="0" w:color="auto"/>
        <w:bottom w:val="none" w:sz="0" w:space="0" w:color="auto"/>
        <w:right w:val="none" w:sz="0" w:space="0" w:color="auto"/>
      </w:divBdr>
    </w:div>
    <w:div w:id="1799109472">
      <w:bodyDiv w:val="1"/>
      <w:marLeft w:val="0"/>
      <w:marRight w:val="0"/>
      <w:marTop w:val="0"/>
      <w:marBottom w:val="0"/>
      <w:divBdr>
        <w:top w:val="none" w:sz="0" w:space="0" w:color="auto"/>
        <w:left w:val="none" w:sz="0" w:space="0" w:color="auto"/>
        <w:bottom w:val="none" w:sz="0" w:space="0" w:color="auto"/>
        <w:right w:val="none" w:sz="0" w:space="0" w:color="auto"/>
      </w:divBdr>
    </w:div>
    <w:div w:id="2117216009">
      <w:bodyDiv w:val="1"/>
      <w:marLeft w:val="0"/>
      <w:marRight w:val="0"/>
      <w:marTop w:val="0"/>
      <w:marBottom w:val="0"/>
      <w:divBdr>
        <w:top w:val="none" w:sz="0" w:space="0" w:color="auto"/>
        <w:left w:val="none" w:sz="0" w:space="0" w:color="auto"/>
        <w:bottom w:val="none" w:sz="0" w:space="0" w:color="auto"/>
        <w:right w:val="none" w:sz="0" w:space="0" w:color="auto"/>
      </w:divBdr>
      <w:divsChild>
        <w:div w:id="89793412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swcqrs@nhs.net" TargetMode="External"/><Relationship Id="rId18" Type="http://schemas.openxmlformats.org/officeDocument/2006/relationships/hyperlink" Target="https://saprdnemlcsutraining1.blob.core.windows.net/cqrs-training/cqrs-job-aids/M5_JA_Viewing_Services_By_Status_v2.0.pdf" TargetMode="External"/><Relationship Id="rId3" Type="http://schemas.openxmlformats.org/officeDocument/2006/relationships/customXml" Target="../customXml/item3.xml"/><Relationship Id="rId21" Type="http://schemas.openxmlformats.org/officeDocument/2006/relationships/hyperlink" Target="https://academy.midlandsandlancashirecsu.nhs.uk/media/1216/m9_ja_cqrs_available_reports_v30.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saprdnemlcsutraining1.blob.core.windows.net/cqrs-training/cqrs-job-aids/M5_JA_Viewing_Accepting_Rejecting_Services_Offered_v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y.midlandsandlancashirecsu.nhs.uk/cqrs-national-training/training-materials/" TargetMode="External"/><Relationship Id="rId20" Type="http://schemas.openxmlformats.org/officeDocument/2006/relationships/hyperlink" Target="https://saprdnemlcsutraining1.blob.core.windows.net/cqrs-training/cqrs-job-aids/M7_JA_Declaring_a_Quality_Service_Achievement_for_Payment_v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general-practice-gp-collections/gp-collections-schedul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cademy.midlandsandlancashirecsu.nhs.uk/cqrs-national-training/e-learnin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aprdnemlcsutraining1.blob.core.windows.net/cqrs-training/cqrs-job-aids/M6_JA_Inputting_Achievement_Data_v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saprdnemlcsutraining1.blob.core.windows.net/cqrs-training/cqrs-job-aids/M9_JA_Pre-defined_reports_v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2" ma:contentTypeDescription="Create a new document." ma:contentTypeScope="" ma:versionID="5ed63e579f3c4434658fb0cfd20b59c2">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targetNamespace="http://schemas.microsoft.com/office/2006/metadata/properties" ma:root="true" ma:fieldsID="d8fed59b68914d508644efc2160c74ca" ns1:_="" ns2:_="" ns3:_="" ns4:_="">
    <xsd:import namespace="http://schemas.microsoft.com/sharepoint/v3"/>
    <xsd:import namespace="b41187d2-c3e6-442b-9fdb-7907952f5bed"/>
    <xsd:import namespace="9d0d216f-8de4-45aa-97bf-4c4aa1ce4cfe"/>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A437E-7694-4CDD-974C-1F3C4CBFFB24}">
  <ds:schemaRefs>
    <ds:schemaRef ds:uri="http://schemas.microsoft.com/sharepoint/v3/contenttype/forms"/>
  </ds:schemaRefs>
</ds:datastoreItem>
</file>

<file path=customXml/itemProps2.xml><?xml version="1.0" encoding="utf-8"?>
<ds:datastoreItem xmlns:ds="http://schemas.openxmlformats.org/officeDocument/2006/customXml" ds:itemID="{79547AFD-AE54-48AE-BAA6-021051EE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9E9A6-23DD-4EB9-9105-54C487052BD8}">
  <ds:schemaRefs>
    <ds:schemaRef ds:uri="http://schemas.microsoft.com/office/2006/metadata/properties"/>
    <ds:schemaRef ds:uri="http://schemas.microsoft.com/office/infopath/2007/PartnerControls"/>
    <ds:schemaRef ds:uri="http://schemas.microsoft.com/sharepoint/v3"/>
    <ds:schemaRef ds:uri="9d0d216f-8de4-45aa-97bf-4c4aa1ce4cfe"/>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Llewellyn</dc:creator>
  <cp:keywords/>
  <dc:description/>
  <cp:lastModifiedBy>Jodie Llewellyn</cp:lastModifiedBy>
  <cp:revision>4</cp:revision>
  <dcterms:created xsi:type="dcterms:W3CDTF">2023-09-25T14:32:00Z</dcterms:created>
  <dcterms:modified xsi:type="dcterms:W3CDTF">2023-09-25T14:33:00Z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ies>
</file>