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4D97" w14:textId="4FD6C424" w:rsidR="00851F6D" w:rsidRDefault="00F27E98" w:rsidP="00237095">
      <w:pPr>
        <w:pStyle w:val="Heading1"/>
      </w:pPr>
      <w:r>
        <w:t xml:space="preserve">AQIs </w:t>
      </w:r>
      <w:proofErr w:type="gramStart"/>
      <w:r w:rsidRPr="00F27E98">
        <w:t>For</w:t>
      </w:r>
      <w:proofErr w:type="gramEnd"/>
      <w:r w:rsidRPr="00F27E98">
        <w:t xml:space="preserve"> ARP Code Set Trial</w:t>
      </w:r>
      <w:r w:rsidR="00767F88">
        <w:t xml:space="preserve"> </w:t>
      </w:r>
      <w:r w:rsidR="00E103E6">
        <w:t>Specification Guidance</w:t>
      </w:r>
    </w:p>
    <w:p w14:paraId="32AA8D52" w14:textId="77777777" w:rsidR="00582AD8" w:rsidRDefault="00582AD8" w:rsidP="002627BA">
      <w:pPr>
        <w:pStyle w:val="Heading5"/>
      </w:pPr>
      <w:r>
        <w:t>Contents</w:t>
      </w:r>
    </w:p>
    <w:p w14:paraId="53FC591B" w14:textId="2B62AD2A" w:rsidR="002D0D1B" w:rsidRPr="002D0D1B" w:rsidRDefault="002D0D1B" w:rsidP="002D0D1B">
      <w:pPr>
        <w:pStyle w:val="Heading2"/>
      </w:pPr>
      <w:r w:rsidRPr="00E658A1">
        <w:t>Part</w:t>
      </w:r>
      <w:r>
        <w:t xml:space="preserve"> 1</w:t>
      </w:r>
      <w:r w:rsidR="00ED59F5">
        <w:t xml:space="preserve"> – </w:t>
      </w:r>
      <w:r w:rsidRPr="00DD7098">
        <w:t>Systems Indicator</w:t>
      </w:r>
      <w:r>
        <w:t>s</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5953"/>
        <w:gridCol w:w="992"/>
        <w:gridCol w:w="567"/>
      </w:tblGrid>
      <w:tr w:rsidR="00851F6D" w:rsidRPr="00DD7098" w14:paraId="7FB92ACB" w14:textId="77777777" w:rsidTr="002D0D1B">
        <w:trPr>
          <w:cantSplit/>
          <w:tblHeader/>
        </w:trPr>
        <w:tc>
          <w:tcPr>
            <w:tcW w:w="1645" w:type="dxa"/>
            <w:shd w:val="clear" w:color="auto" w:fill="auto"/>
            <w:vAlign w:val="center"/>
          </w:tcPr>
          <w:p w14:paraId="12F3443E" w14:textId="77777777" w:rsidR="00851F6D" w:rsidRPr="008901AC" w:rsidRDefault="00851F6D" w:rsidP="002D0D1B">
            <w:pPr>
              <w:pStyle w:val="Heading6"/>
            </w:pPr>
            <w:r w:rsidRPr="008901AC">
              <w:t>Line Number</w:t>
            </w:r>
          </w:p>
        </w:tc>
        <w:tc>
          <w:tcPr>
            <w:tcW w:w="5953" w:type="dxa"/>
            <w:shd w:val="clear" w:color="auto" w:fill="auto"/>
            <w:vAlign w:val="center"/>
          </w:tcPr>
          <w:p w14:paraId="198DB36D" w14:textId="77777777" w:rsidR="00851F6D" w:rsidRPr="008901AC" w:rsidRDefault="00851F6D" w:rsidP="002D0D1B">
            <w:pPr>
              <w:pStyle w:val="Heading6"/>
            </w:pPr>
            <w:r w:rsidRPr="008901AC">
              <w:t>Line Descriptor</w:t>
            </w:r>
          </w:p>
        </w:tc>
        <w:tc>
          <w:tcPr>
            <w:tcW w:w="1559" w:type="dxa"/>
            <w:gridSpan w:val="2"/>
            <w:shd w:val="clear" w:color="auto" w:fill="auto"/>
            <w:vAlign w:val="center"/>
          </w:tcPr>
          <w:p w14:paraId="6C291936" w14:textId="77777777" w:rsidR="00851F6D" w:rsidRPr="008901AC" w:rsidRDefault="00851F6D" w:rsidP="002D0D1B">
            <w:pPr>
              <w:pStyle w:val="Heading6"/>
            </w:pPr>
            <w:r w:rsidRPr="008901AC">
              <w:t>Page Number</w:t>
            </w:r>
          </w:p>
        </w:tc>
      </w:tr>
      <w:tr w:rsidR="00851F6D" w:rsidRPr="00DD7098" w14:paraId="303A5730" w14:textId="77777777" w:rsidTr="002D0D1B">
        <w:trPr>
          <w:cantSplit/>
          <w:trHeight w:val="465"/>
        </w:trPr>
        <w:tc>
          <w:tcPr>
            <w:tcW w:w="1645" w:type="dxa"/>
            <w:shd w:val="clear" w:color="auto" w:fill="auto"/>
            <w:vAlign w:val="center"/>
          </w:tcPr>
          <w:p w14:paraId="7DABA973" w14:textId="77777777" w:rsidR="00851F6D" w:rsidRPr="0065367C" w:rsidRDefault="00666099" w:rsidP="0065367C">
            <w:pPr>
              <w:pStyle w:val="BodyText"/>
              <w:jc w:val="center"/>
            </w:pPr>
            <w:hyperlink w:anchor="HQU03_1_1_3" w:history="1">
              <w:r w:rsidR="0065367C" w:rsidRPr="0065367C">
                <w:rPr>
                  <w:rStyle w:val="Hyperlink"/>
                  <w:color w:val="auto"/>
                  <w:u w:val="none"/>
                </w:rPr>
                <w:t>HQU03_1_1_3</w:t>
              </w:r>
            </w:hyperlink>
          </w:p>
        </w:tc>
        <w:tc>
          <w:tcPr>
            <w:tcW w:w="6945" w:type="dxa"/>
            <w:gridSpan w:val="2"/>
            <w:shd w:val="clear" w:color="auto" w:fill="auto"/>
            <w:vAlign w:val="center"/>
          </w:tcPr>
          <w:p w14:paraId="3D909CC9" w14:textId="1431E85D" w:rsidR="00CA3BDD" w:rsidRDefault="00851F6D" w:rsidP="00CA3BDD">
            <w:pPr>
              <w:pStyle w:val="BodyText"/>
              <w:jc w:val="center"/>
            </w:pPr>
            <w:r w:rsidRPr="0023451E">
              <w:t>The number of Red calls res</w:t>
            </w:r>
            <w:r w:rsidR="00CA3BDD">
              <w:t>ulting in an emergency response</w:t>
            </w:r>
          </w:p>
          <w:p w14:paraId="6FDB962C" w14:textId="77777777" w:rsidR="00851F6D" w:rsidRPr="0023451E" w:rsidRDefault="00851F6D" w:rsidP="00CA3BDD">
            <w:pPr>
              <w:pStyle w:val="BodyText"/>
              <w:jc w:val="center"/>
            </w:pPr>
            <w:r w:rsidRPr="0023451E">
              <w:t>arriving at the scene of the incident within 8 minutes</w:t>
            </w:r>
          </w:p>
        </w:tc>
        <w:tc>
          <w:tcPr>
            <w:tcW w:w="567" w:type="dxa"/>
            <w:shd w:val="clear" w:color="auto" w:fill="auto"/>
            <w:vAlign w:val="center"/>
          </w:tcPr>
          <w:p w14:paraId="561CF6F1" w14:textId="3447B12F" w:rsidR="00851F6D" w:rsidRPr="00DD7098" w:rsidRDefault="00A50A1C" w:rsidP="00103121">
            <w:pPr>
              <w:pStyle w:val="BodyText3"/>
            </w:pPr>
            <w:r>
              <w:t>5</w:t>
            </w:r>
          </w:p>
        </w:tc>
      </w:tr>
      <w:tr w:rsidR="00851F6D" w:rsidRPr="00DD7098" w14:paraId="11A0B857" w14:textId="77777777" w:rsidTr="002D0D1B">
        <w:trPr>
          <w:cantSplit/>
          <w:trHeight w:val="465"/>
        </w:trPr>
        <w:tc>
          <w:tcPr>
            <w:tcW w:w="1645" w:type="dxa"/>
            <w:shd w:val="clear" w:color="auto" w:fill="auto"/>
            <w:vAlign w:val="center"/>
          </w:tcPr>
          <w:p w14:paraId="492FABE5" w14:textId="77777777" w:rsidR="00851F6D" w:rsidRPr="0065367C" w:rsidRDefault="00666099" w:rsidP="0065367C">
            <w:pPr>
              <w:pStyle w:val="BodyText"/>
              <w:jc w:val="center"/>
            </w:pPr>
            <w:hyperlink w:anchor="HQU03_1_1_4" w:history="1">
              <w:r w:rsidR="0065367C" w:rsidRPr="0065367C">
                <w:rPr>
                  <w:rStyle w:val="Hyperlink"/>
                  <w:color w:val="auto"/>
                  <w:u w:val="none"/>
                </w:rPr>
                <w:t>HQU03_1_1_4</w:t>
              </w:r>
            </w:hyperlink>
          </w:p>
        </w:tc>
        <w:tc>
          <w:tcPr>
            <w:tcW w:w="6945" w:type="dxa"/>
            <w:gridSpan w:val="2"/>
            <w:shd w:val="clear" w:color="auto" w:fill="auto"/>
            <w:vAlign w:val="center"/>
          </w:tcPr>
          <w:p w14:paraId="44E259C4" w14:textId="6D35FB51" w:rsidR="00CA3BDD" w:rsidRDefault="00851F6D" w:rsidP="00CA3BDD">
            <w:pPr>
              <w:pStyle w:val="BodyText"/>
              <w:jc w:val="center"/>
            </w:pPr>
            <w:r w:rsidRPr="0023451E">
              <w:t>The number of Red calls res</w:t>
            </w:r>
            <w:r w:rsidR="00CA3BDD">
              <w:t>ulting in an emergency response</w:t>
            </w:r>
          </w:p>
          <w:p w14:paraId="3A9A8B6C" w14:textId="77777777" w:rsidR="00851F6D" w:rsidRPr="0023451E" w:rsidRDefault="00851F6D" w:rsidP="00CA3BDD">
            <w:pPr>
              <w:pStyle w:val="BodyText"/>
              <w:jc w:val="center"/>
            </w:pPr>
            <w:r w:rsidRPr="0023451E">
              <w:t>arriving at the scene of the incident</w:t>
            </w:r>
          </w:p>
        </w:tc>
        <w:tc>
          <w:tcPr>
            <w:tcW w:w="567" w:type="dxa"/>
            <w:shd w:val="clear" w:color="auto" w:fill="auto"/>
            <w:vAlign w:val="center"/>
          </w:tcPr>
          <w:p w14:paraId="55E37231" w14:textId="0B2FD300" w:rsidR="00851F6D" w:rsidRPr="00DD7098" w:rsidRDefault="00A50A1C" w:rsidP="00A50A1C">
            <w:pPr>
              <w:pStyle w:val="BodyText3"/>
            </w:pPr>
            <w:r>
              <w:t>5</w:t>
            </w:r>
          </w:p>
        </w:tc>
      </w:tr>
      <w:tr w:rsidR="00851F6D" w:rsidRPr="00DD7098" w14:paraId="5FCE94FF" w14:textId="77777777" w:rsidTr="002D0D1B">
        <w:trPr>
          <w:cantSplit/>
          <w:trHeight w:val="465"/>
        </w:trPr>
        <w:tc>
          <w:tcPr>
            <w:tcW w:w="1645" w:type="dxa"/>
            <w:shd w:val="clear" w:color="auto" w:fill="auto"/>
            <w:vAlign w:val="center"/>
          </w:tcPr>
          <w:p w14:paraId="5DCCA2B7" w14:textId="77777777" w:rsidR="00851F6D" w:rsidRPr="0065367C" w:rsidRDefault="00666099" w:rsidP="0065367C">
            <w:pPr>
              <w:pStyle w:val="BodyText"/>
              <w:jc w:val="center"/>
            </w:pPr>
            <w:hyperlink w:anchor="HQU03_1_1_5" w:history="1">
              <w:r w:rsidR="0065367C" w:rsidRPr="0065367C">
                <w:rPr>
                  <w:rStyle w:val="Hyperlink"/>
                  <w:color w:val="auto"/>
                  <w:u w:val="none"/>
                </w:rPr>
                <w:t>HQU03_1_1_5</w:t>
              </w:r>
            </w:hyperlink>
          </w:p>
        </w:tc>
        <w:tc>
          <w:tcPr>
            <w:tcW w:w="6945" w:type="dxa"/>
            <w:gridSpan w:val="2"/>
            <w:shd w:val="clear" w:color="auto" w:fill="auto"/>
            <w:vAlign w:val="center"/>
          </w:tcPr>
          <w:p w14:paraId="0F406377" w14:textId="5611E6F3" w:rsidR="00851F6D" w:rsidRPr="0023451E" w:rsidDel="00E85F31" w:rsidRDefault="00A50A1C" w:rsidP="002D0D1B">
            <w:pPr>
              <w:pStyle w:val="BodyText"/>
              <w:jc w:val="center"/>
            </w:pPr>
            <w:r>
              <w:t>Red response time (all calls)</w:t>
            </w:r>
          </w:p>
        </w:tc>
        <w:tc>
          <w:tcPr>
            <w:tcW w:w="567" w:type="dxa"/>
            <w:shd w:val="clear" w:color="auto" w:fill="auto"/>
            <w:vAlign w:val="center"/>
          </w:tcPr>
          <w:p w14:paraId="343491EA" w14:textId="2FC287E4" w:rsidR="00851F6D" w:rsidRPr="00DD7098" w:rsidRDefault="00A50A1C" w:rsidP="00103121">
            <w:pPr>
              <w:pStyle w:val="BodyText3"/>
            </w:pPr>
            <w:r>
              <w:t>7</w:t>
            </w:r>
          </w:p>
        </w:tc>
      </w:tr>
      <w:tr w:rsidR="00851F6D" w:rsidRPr="00DD7098" w14:paraId="5671F687" w14:textId="77777777" w:rsidTr="002D0D1B">
        <w:trPr>
          <w:cantSplit/>
          <w:trHeight w:val="465"/>
        </w:trPr>
        <w:tc>
          <w:tcPr>
            <w:tcW w:w="1645" w:type="dxa"/>
            <w:shd w:val="clear" w:color="auto" w:fill="auto"/>
            <w:vAlign w:val="center"/>
          </w:tcPr>
          <w:p w14:paraId="1336F66C" w14:textId="035FC078" w:rsidR="00851F6D" w:rsidRPr="0065367C" w:rsidRDefault="00A50A1C" w:rsidP="00A50A1C">
            <w:pPr>
              <w:pStyle w:val="BodyText"/>
              <w:jc w:val="center"/>
            </w:pPr>
            <w:r>
              <w:t>HQU03_1_1_6</w:t>
            </w:r>
          </w:p>
        </w:tc>
        <w:tc>
          <w:tcPr>
            <w:tcW w:w="6945" w:type="dxa"/>
            <w:gridSpan w:val="2"/>
            <w:shd w:val="clear" w:color="auto" w:fill="auto"/>
            <w:vAlign w:val="center"/>
          </w:tcPr>
          <w:p w14:paraId="3E984368" w14:textId="3E94621E" w:rsidR="00CA3BDD" w:rsidRDefault="00851F6D" w:rsidP="00CA3BDD">
            <w:pPr>
              <w:pStyle w:val="BodyText"/>
              <w:jc w:val="center"/>
            </w:pPr>
            <w:r w:rsidRPr="0023451E">
              <w:t xml:space="preserve">The number of </w:t>
            </w:r>
            <w:r w:rsidR="00A50A1C">
              <w:t xml:space="preserve">Amber calls resulting </w:t>
            </w:r>
            <w:r w:rsidR="00CA3BDD">
              <w:t>in an emergency response</w:t>
            </w:r>
          </w:p>
          <w:p w14:paraId="725ED321" w14:textId="526C36CB" w:rsidR="00851F6D" w:rsidRPr="0023451E" w:rsidDel="00E85F31" w:rsidRDefault="00851F6D" w:rsidP="00A50A1C">
            <w:pPr>
              <w:pStyle w:val="BodyText"/>
              <w:jc w:val="center"/>
            </w:pPr>
            <w:r w:rsidRPr="0023451E">
              <w:t xml:space="preserve">arriving at the scene of the incident within </w:t>
            </w:r>
            <w:r w:rsidR="00A50A1C">
              <w:t>19</w:t>
            </w:r>
            <w:r w:rsidRPr="0023451E">
              <w:t xml:space="preserve"> minutes</w:t>
            </w:r>
          </w:p>
        </w:tc>
        <w:tc>
          <w:tcPr>
            <w:tcW w:w="567" w:type="dxa"/>
            <w:shd w:val="clear" w:color="auto" w:fill="auto"/>
            <w:vAlign w:val="center"/>
          </w:tcPr>
          <w:p w14:paraId="3AD69DD6" w14:textId="048B9506" w:rsidR="00851F6D" w:rsidRPr="00DD7098" w:rsidRDefault="00BE6983" w:rsidP="00103121">
            <w:pPr>
              <w:pStyle w:val="BodyText3"/>
            </w:pPr>
            <w:r>
              <w:fldChar w:fldCharType="begin"/>
            </w:r>
            <w:r>
              <w:instrText xml:space="preserve"> PAGEREF  HQU03_1_1_6 \h  \* MERGEFORMAT </w:instrText>
            </w:r>
            <w:r>
              <w:fldChar w:fldCharType="separate"/>
            </w:r>
            <w:r w:rsidR="003E6ABA">
              <w:rPr>
                <w:noProof/>
              </w:rPr>
              <w:t>8</w:t>
            </w:r>
            <w:r>
              <w:fldChar w:fldCharType="end"/>
            </w:r>
          </w:p>
        </w:tc>
      </w:tr>
      <w:tr w:rsidR="00851F6D" w:rsidRPr="00DD7098" w14:paraId="6F6AE459" w14:textId="77777777" w:rsidTr="002D0D1B">
        <w:trPr>
          <w:cantSplit/>
          <w:trHeight w:val="465"/>
        </w:trPr>
        <w:tc>
          <w:tcPr>
            <w:tcW w:w="1645" w:type="dxa"/>
            <w:shd w:val="clear" w:color="auto" w:fill="auto"/>
            <w:vAlign w:val="center"/>
          </w:tcPr>
          <w:p w14:paraId="6D0B8670" w14:textId="77777777" w:rsidR="00851F6D" w:rsidRPr="0065367C" w:rsidRDefault="00666099" w:rsidP="0065367C">
            <w:pPr>
              <w:pStyle w:val="BodyText"/>
              <w:jc w:val="center"/>
            </w:pPr>
            <w:hyperlink w:anchor="HQU03_1_1_7" w:history="1">
              <w:r w:rsidR="0065367C" w:rsidRPr="0065367C">
                <w:rPr>
                  <w:rStyle w:val="Hyperlink"/>
                  <w:color w:val="auto"/>
                  <w:u w:val="none"/>
                </w:rPr>
                <w:t>HQU03_1_1_7</w:t>
              </w:r>
            </w:hyperlink>
          </w:p>
        </w:tc>
        <w:tc>
          <w:tcPr>
            <w:tcW w:w="6945" w:type="dxa"/>
            <w:gridSpan w:val="2"/>
            <w:shd w:val="clear" w:color="auto" w:fill="auto"/>
            <w:vAlign w:val="center"/>
          </w:tcPr>
          <w:p w14:paraId="6E315804" w14:textId="5FDC1E03" w:rsidR="00CA3BDD" w:rsidRDefault="00851F6D" w:rsidP="00CA3BDD">
            <w:pPr>
              <w:pStyle w:val="BodyText"/>
              <w:jc w:val="center"/>
            </w:pPr>
            <w:r w:rsidRPr="0023451E">
              <w:t xml:space="preserve">The number of </w:t>
            </w:r>
            <w:r w:rsidR="00A50A1C">
              <w:t xml:space="preserve">Amber calls </w:t>
            </w:r>
            <w:r w:rsidRPr="0023451E">
              <w:t>res</w:t>
            </w:r>
            <w:r w:rsidR="00CA3BDD">
              <w:t>ulting in an emergency response</w:t>
            </w:r>
          </w:p>
          <w:p w14:paraId="760A8FDB" w14:textId="77777777" w:rsidR="00851F6D" w:rsidRPr="0023451E" w:rsidDel="00E85F31" w:rsidRDefault="00851F6D" w:rsidP="00CA3BDD">
            <w:pPr>
              <w:pStyle w:val="BodyText"/>
              <w:jc w:val="center"/>
            </w:pPr>
            <w:r w:rsidRPr="0023451E">
              <w:t>arriving at the scene of the incident</w:t>
            </w:r>
          </w:p>
        </w:tc>
        <w:tc>
          <w:tcPr>
            <w:tcW w:w="567" w:type="dxa"/>
            <w:shd w:val="clear" w:color="auto" w:fill="auto"/>
            <w:vAlign w:val="center"/>
          </w:tcPr>
          <w:p w14:paraId="0E3DAEE3" w14:textId="3AC4EEF7" w:rsidR="00851F6D" w:rsidRPr="00DD7098" w:rsidRDefault="00BE6983" w:rsidP="00103121">
            <w:pPr>
              <w:pStyle w:val="BodyText3"/>
            </w:pPr>
            <w:r>
              <w:fldChar w:fldCharType="begin"/>
            </w:r>
            <w:r>
              <w:instrText xml:space="preserve"> PAGEREF  HQU03_1_1_7 \h  \* MERGEFORMAT </w:instrText>
            </w:r>
            <w:r>
              <w:fldChar w:fldCharType="separate"/>
            </w:r>
            <w:r w:rsidR="003E6ABA">
              <w:rPr>
                <w:noProof/>
              </w:rPr>
              <w:t>8</w:t>
            </w:r>
            <w:r>
              <w:fldChar w:fldCharType="end"/>
            </w:r>
          </w:p>
        </w:tc>
      </w:tr>
      <w:tr w:rsidR="00A50A1C" w:rsidRPr="00DD7098" w14:paraId="0E5EC177" w14:textId="77777777" w:rsidTr="002D0D1B">
        <w:trPr>
          <w:cantSplit/>
          <w:trHeight w:val="465"/>
        </w:trPr>
        <w:tc>
          <w:tcPr>
            <w:tcW w:w="1645" w:type="dxa"/>
            <w:shd w:val="clear" w:color="auto" w:fill="auto"/>
            <w:vAlign w:val="center"/>
          </w:tcPr>
          <w:p w14:paraId="0F2F0439" w14:textId="6430A003" w:rsidR="00A50A1C" w:rsidRDefault="00A50A1C" w:rsidP="002D0D1B">
            <w:pPr>
              <w:pStyle w:val="BodyText"/>
              <w:jc w:val="center"/>
            </w:pPr>
            <w:r>
              <w:t>HQU03_1_1_8</w:t>
            </w:r>
          </w:p>
        </w:tc>
        <w:tc>
          <w:tcPr>
            <w:tcW w:w="6945" w:type="dxa"/>
            <w:gridSpan w:val="2"/>
            <w:shd w:val="clear" w:color="auto" w:fill="auto"/>
            <w:vAlign w:val="center"/>
          </w:tcPr>
          <w:p w14:paraId="19C1CA63" w14:textId="38776C41" w:rsidR="00A50A1C" w:rsidRPr="0023451E" w:rsidRDefault="00A50A1C" w:rsidP="002D0D1B">
            <w:pPr>
              <w:pStyle w:val="BodyText"/>
              <w:jc w:val="center"/>
            </w:pPr>
            <w:r>
              <w:t>Amber response time (all calls)</w:t>
            </w:r>
          </w:p>
        </w:tc>
        <w:tc>
          <w:tcPr>
            <w:tcW w:w="567" w:type="dxa"/>
            <w:shd w:val="clear" w:color="auto" w:fill="auto"/>
            <w:vAlign w:val="center"/>
          </w:tcPr>
          <w:p w14:paraId="3A7DFCF9" w14:textId="3E16D98A" w:rsidR="00A50A1C" w:rsidRDefault="00A50A1C" w:rsidP="002F46D6">
            <w:pPr>
              <w:pStyle w:val="BodyText3"/>
            </w:pPr>
            <w:r>
              <w:t>1</w:t>
            </w:r>
            <w:r w:rsidR="002F46D6">
              <w:t>1</w:t>
            </w:r>
          </w:p>
        </w:tc>
      </w:tr>
      <w:tr w:rsidR="00851F6D" w:rsidRPr="00DD7098" w14:paraId="36A2CF64" w14:textId="77777777" w:rsidTr="002D0D1B">
        <w:trPr>
          <w:cantSplit/>
          <w:trHeight w:val="465"/>
        </w:trPr>
        <w:tc>
          <w:tcPr>
            <w:tcW w:w="1645" w:type="dxa"/>
            <w:shd w:val="clear" w:color="auto" w:fill="auto"/>
            <w:vAlign w:val="center"/>
          </w:tcPr>
          <w:p w14:paraId="72C718C6" w14:textId="5281DD40" w:rsidR="00851F6D" w:rsidRPr="0023451E" w:rsidRDefault="00BE6983" w:rsidP="002D0D1B">
            <w:pPr>
              <w:pStyle w:val="BodyText"/>
              <w:jc w:val="center"/>
            </w:pPr>
            <w:r>
              <w:fldChar w:fldCharType="begin"/>
            </w:r>
            <w:r>
              <w:instrText xml:space="preserve"> REF HQU03_1_2_1 \h  \* MERGEFORMAT </w:instrText>
            </w:r>
            <w:r>
              <w:fldChar w:fldCharType="separate"/>
            </w:r>
            <w:r w:rsidR="003E6ABA" w:rsidRPr="00F27E98">
              <w:t>HQU03_1_2_1</w:t>
            </w:r>
            <w:r>
              <w:fldChar w:fldCharType="end"/>
            </w:r>
          </w:p>
        </w:tc>
        <w:tc>
          <w:tcPr>
            <w:tcW w:w="6945" w:type="dxa"/>
            <w:gridSpan w:val="2"/>
            <w:shd w:val="clear" w:color="auto" w:fill="auto"/>
            <w:vAlign w:val="center"/>
          </w:tcPr>
          <w:p w14:paraId="5B0E5A3D" w14:textId="0C4C42E0" w:rsidR="00582AD8" w:rsidRDefault="00851F6D" w:rsidP="002D0D1B">
            <w:pPr>
              <w:pStyle w:val="BodyText"/>
              <w:jc w:val="center"/>
            </w:pPr>
            <w:r w:rsidRPr="0023451E">
              <w:t xml:space="preserve">The number of </w:t>
            </w:r>
            <w:r w:rsidR="000478CF">
              <w:t>Red</w:t>
            </w:r>
            <w:r w:rsidRPr="0023451E">
              <w:t xml:space="preserve"> </w:t>
            </w:r>
            <w:r w:rsidR="00582AD8">
              <w:t>calls resulting in an ambulance</w:t>
            </w:r>
          </w:p>
          <w:p w14:paraId="50A8CF2B" w14:textId="77777777" w:rsidR="00851F6D" w:rsidRPr="0023451E" w:rsidRDefault="00851F6D" w:rsidP="002D0D1B">
            <w:pPr>
              <w:pStyle w:val="BodyText"/>
              <w:jc w:val="center"/>
            </w:pPr>
            <w:r w:rsidRPr="0023451E">
              <w:t>arriving at the scene of the incident within 19 minutes</w:t>
            </w:r>
          </w:p>
        </w:tc>
        <w:tc>
          <w:tcPr>
            <w:tcW w:w="567" w:type="dxa"/>
            <w:shd w:val="clear" w:color="auto" w:fill="auto"/>
            <w:vAlign w:val="center"/>
          </w:tcPr>
          <w:p w14:paraId="77208BDF" w14:textId="47CF5A7E" w:rsidR="00851F6D" w:rsidRPr="00DD7098" w:rsidRDefault="00A50A1C" w:rsidP="00A50A1C">
            <w:pPr>
              <w:pStyle w:val="BodyText3"/>
            </w:pPr>
            <w:r>
              <w:t>11</w:t>
            </w:r>
          </w:p>
        </w:tc>
      </w:tr>
      <w:tr w:rsidR="00851F6D" w:rsidRPr="00DD7098" w14:paraId="063074CA" w14:textId="77777777" w:rsidTr="002D0D1B">
        <w:trPr>
          <w:cantSplit/>
          <w:trHeight w:val="465"/>
        </w:trPr>
        <w:tc>
          <w:tcPr>
            <w:tcW w:w="1645" w:type="dxa"/>
            <w:shd w:val="clear" w:color="auto" w:fill="auto"/>
            <w:vAlign w:val="center"/>
          </w:tcPr>
          <w:p w14:paraId="1EFB0007" w14:textId="6FC06CAE" w:rsidR="00851F6D" w:rsidRPr="0023451E" w:rsidRDefault="00A50A1C" w:rsidP="00A50A1C">
            <w:pPr>
              <w:pStyle w:val="BodyText"/>
              <w:jc w:val="center"/>
            </w:pPr>
            <w:r>
              <w:t>HQU03_1_2_2</w:t>
            </w:r>
          </w:p>
        </w:tc>
        <w:tc>
          <w:tcPr>
            <w:tcW w:w="6945" w:type="dxa"/>
            <w:gridSpan w:val="2"/>
            <w:shd w:val="clear" w:color="auto" w:fill="auto"/>
            <w:vAlign w:val="center"/>
          </w:tcPr>
          <w:p w14:paraId="1E3CD813" w14:textId="2B91BEDC" w:rsidR="00582AD8" w:rsidRDefault="00851F6D" w:rsidP="002D0D1B">
            <w:pPr>
              <w:pStyle w:val="BodyText"/>
              <w:jc w:val="center"/>
            </w:pPr>
            <w:r w:rsidRPr="0023451E">
              <w:t>The number of</w:t>
            </w:r>
            <w:r w:rsidR="000478CF">
              <w:t xml:space="preserve"> Red</w:t>
            </w:r>
            <w:r w:rsidRPr="0023451E">
              <w:t xml:space="preserve"> </w:t>
            </w:r>
            <w:r w:rsidR="00582AD8">
              <w:t>calls resulting in an ambulance</w:t>
            </w:r>
          </w:p>
          <w:p w14:paraId="1F3A07FA" w14:textId="77777777" w:rsidR="00851F6D" w:rsidRPr="0023451E" w:rsidRDefault="00851F6D" w:rsidP="002D0D1B">
            <w:pPr>
              <w:pStyle w:val="BodyText"/>
              <w:jc w:val="center"/>
            </w:pPr>
            <w:r w:rsidRPr="0023451E">
              <w:t>arriving at the scene of the incident</w:t>
            </w:r>
          </w:p>
        </w:tc>
        <w:tc>
          <w:tcPr>
            <w:tcW w:w="567" w:type="dxa"/>
            <w:shd w:val="clear" w:color="auto" w:fill="auto"/>
            <w:vAlign w:val="center"/>
          </w:tcPr>
          <w:p w14:paraId="1050C8B5" w14:textId="2CF91DD7" w:rsidR="00851F6D" w:rsidRPr="00DD7098" w:rsidRDefault="00BE6983" w:rsidP="00103121">
            <w:pPr>
              <w:pStyle w:val="BodyText3"/>
            </w:pPr>
            <w:r>
              <w:fldChar w:fldCharType="begin"/>
            </w:r>
            <w:r>
              <w:instrText xml:space="preserve"> PAGEREF  HQU03_1_2_2 \h  \* MERGEFORMAT </w:instrText>
            </w:r>
            <w:r>
              <w:fldChar w:fldCharType="separate"/>
            </w:r>
            <w:r w:rsidR="003E6ABA">
              <w:rPr>
                <w:noProof/>
              </w:rPr>
              <w:t>11</w:t>
            </w:r>
            <w:r>
              <w:fldChar w:fldCharType="end"/>
            </w:r>
          </w:p>
        </w:tc>
      </w:tr>
      <w:tr w:rsidR="00A50A1C" w:rsidRPr="00DD7098" w14:paraId="1304F79D" w14:textId="77777777" w:rsidTr="007830C1">
        <w:trPr>
          <w:cantSplit/>
          <w:trHeight w:val="454"/>
        </w:trPr>
        <w:tc>
          <w:tcPr>
            <w:tcW w:w="1645" w:type="dxa"/>
            <w:shd w:val="clear" w:color="auto" w:fill="auto"/>
            <w:vAlign w:val="center"/>
          </w:tcPr>
          <w:p w14:paraId="2522428B" w14:textId="6E7F40C5" w:rsidR="00A50A1C" w:rsidRDefault="00A50A1C" w:rsidP="00A50A1C">
            <w:pPr>
              <w:pStyle w:val="BodyText"/>
              <w:jc w:val="center"/>
            </w:pPr>
            <w:r>
              <w:t>HQU03_1_3_1</w:t>
            </w:r>
          </w:p>
        </w:tc>
        <w:tc>
          <w:tcPr>
            <w:tcW w:w="6945" w:type="dxa"/>
            <w:gridSpan w:val="2"/>
            <w:shd w:val="clear" w:color="auto" w:fill="auto"/>
            <w:vAlign w:val="center"/>
          </w:tcPr>
          <w:p w14:paraId="3BDA7B74" w14:textId="120A4C5E" w:rsidR="00A50A1C" w:rsidRDefault="00A50A1C" w:rsidP="002D0D1B">
            <w:pPr>
              <w:pStyle w:val="BodyText"/>
              <w:jc w:val="center"/>
            </w:pPr>
            <w:r>
              <w:t xml:space="preserve">The number of Green F calls resulting in an emergency response </w:t>
            </w:r>
          </w:p>
          <w:p w14:paraId="2E5F99CD" w14:textId="47BEED9A" w:rsidR="00A50A1C" w:rsidRPr="0023451E" w:rsidRDefault="00A50A1C" w:rsidP="002D0D1B">
            <w:pPr>
              <w:pStyle w:val="BodyText"/>
              <w:jc w:val="center"/>
            </w:pPr>
            <w:r>
              <w:t>arriving at the scene of the incident within 60 minutes</w:t>
            </w:r>
          </w:p>
        </w:tc>
        <w:tc>
          <w:tcPr>
            <w:tcW w:w="567" w:type="dxa"/>
            <w:shd w:val="clear" w:color="auto" w:fill="auto"/>
            <w:vAlign w:val="center"/>
          </w:tcPr>
          <w:p w14:paraId="249C1601" w14:textId="745BFBF7" w:rsidR="00A50A1C" w:rsidRDefault="00A50A1C" w:rsidP="002F46D6">
            <w:pPr>
              <w:pStyle w:val="BodyText3"/>
            </w:pPr>
            <w:r>
              <w:t>1</w:t>
            </w:r>
            <w:r w:rsidR="002F46D6">
              <w:t>2</w:t>
            </w:r>
          </w:p>
        </w:tc>
      </w:tr>
      <w:tr w:rsidR="00A50A1C" w:rsidRPr="00DD7098" w14:paraId="013905A4" w14:textId="77777777" w:rsidTr="007830C1">
        <w:trPr>
          <w:cantSplit/>
          <w:trHeight w:val="454"/>
        </w:trPr>
        <w:tc>
          <w:tcPr>
            <w:tcW w:w="1645" w:type="dxa"/>
            <w:shd w:val="clear" w:color="auto" w:fill="auto"/>
            <w:vAlign w:val="center"/>
          </w:tcPr>
          <w:p w14:paraId="58B37166" w14:textId="1467EE0D" w:rsidR="00A50A1C" w:rsidRDefault="00A50A1C" w:rsidP="002D0D1B">
            <w:pPr>
              <w:pStyle w:val="BodyText"/>
              <w:jc w:val="center"/>
            </w:pPr>
            <w:r>
              <w:t>HQU03_1_3_2</w:t>
            </w:r>
          </w:p>
        </w:tc>
        <w:tc>
          <w:tcPr>
            <w:tcW w:w="6945" w:type="dxa"/>
            <w:gridSpan w:val="2"/>
            <w:shd w:val="clear" w:color="auto" w:fill="auto"/>
            <w:vAlign w:val="center"/>
          </w:tcPr>
          <w:p w14:paraId="30205B6F" w14:textId="77777777" w:rsidR="00A50A1C" w:rsidRDefault="00A50A1C" w:rsidP="002D0D1B">
            <w:pPr>
              <w:pStyle w:val="BodyText"/>
              <w:jc w:val="center"/>
            </w:pPr>
            <w:r>
              <w:t xml:space="preserve">The number of Green F calls resulting in an emergency </w:t>
            </w:r>
          </w:p>
          <w:p w14:paraId="77122C98" w14:textId="7267FEDA" w:rsidR="00A50A1C" w:rsidRPr="0023451E" w:rsidRDefault="00A50A1C" w:rsidP="002D0D1B">
            <w:pPr>
              <w:pStyle w:val="BodyText"/>
              <w:jc w:val="center"/>
            </w:pPr>
            <w:r>
              <w:t xml:space="preserve">Response arriving at the scene of the incident </w:t>
            </w:r>
          </w:p>
        </w:tc>
        <w:tc>
          <w:tcPr>
            <w:tcW w:w="567" w:type="dxa"/>
            <w:shd w:val="clear" w:color="auto" w:fill="auto"/>
            <w:vAlign w:val="center"/>
          </w:tcPr>
          <w:p w14:paraId="0F45BB8F" w14:textId="6F5B0EEA" w:rsidR="00A50A1C" w:rsidRDefault="00A50A1C" w:rsidP="002F46D6">
            <w:pPr>
              <w:pStyle w:val="BodyText3"/>
            </w:pPr>
            <w:r>
              <w:t>1</w:t>
            </w:r>
            <w:r w:rsidR="002F46D6">
              <w:t>2</w:t>
            </w:r>
          </w:p>
        </w:tc>
      </w:tr>
      <w:tr w:rsidR="00A50A1C" w:rsidRPr="00DD7098" w14:paraId="7A0B9A47" w14:textId="77777777" w:rsidTr="007830C1">
        <w:trPr>
          <w:cantSplit/>
          <w:trHeight w:val="454"/>
        </w:trPr>
        <w:tc>
          <w:tcPr>
            <w:tcW w:w="1645" w:type="dxa"/>
            <w:shd w:val="clear" w:color="auto" w:fill="auto"/>
            <w:vAlign w:val="center"/>
          </w:tcPr>
          <w:p w14:paraId="08415D72" w14:textId="2A2A7EC5" w:rsidR="00A50A1C" w:rsidRDefault="00A50A1C" w:rsidP="002D0D1B">
            <w:pPr>
              <w:pStyle w:val="BodyText"/>
              <w:jc w:val="center"/>
            </w:pPr>
            <w:r>
              <w:t>HQU03_1_3_3</w:t>
            </w:r>
          </w:p>
        </w:tc>
        <w:tc>
          <w:tcPr>
            <w:tcW w:w="6945" w:type="dxa"/>
            <w:gridSpan w:val="2"/>
            <w:shd w:val="clear" w:color="auto" w:fill="auto"/>
            <w:vAlign w:val="center"/>
          </w:tcPr>
          <w:p w14:paraId="4EAA8F91" w14:textId="3B4E1FDD" w:rsidR="00A50A1C" w:rsidRPr="0023451E" w:rsidRDefault="00A50A1C" w:rsidP="002D0D1B">
            <w:pPr>
              <w:pStyle w:val="BodyText"/>
              <w:jc w:val="center"/>
            </w:pPr>
            <w:r>
              <w:t>Green F response time (all calls)</w:t>
            </w:r>
          </w:p>
        </w:tc>
        <w:tc>
          <w:tcPr>
            <w:tcW w:w="567" w:type="dxa"/>
            <w:shd w:val="clear" w:color="auto" w:fill="auto"/>
            <w:vAlign w:val="center"/>
          </w:tcPr>
          <w:p w14:paraId="00528D83" w14:textId="36D9C078" w:rsidR="00A50A1C" w:rsidRDefault="00A50A1C" w:rsidP="002F46D6">
            <w:pPr>
              <w:pStyle w:val="BodyText3"/>
            </w:pPr>
            <w:r>
              <w:t>1</w:t>
            </w:r>
            <w:r w:rsidR="002F46D6">
              <w:t>3</w:t>
            </w:r>
          </w:p>
        </w:tc>
      </w:tr>
      <w:tr w:rsidR="00851F6D" w:rsidRPr="00DD7098" w14:paraId="02554D23" w14:textId="77777777" w:rsidTr="007830C1">
        <w:trPr>
          <w:cantSplit/>
          <w:trHeight w:val="454"/>
        </w:trPr>
        <w:tc>
          <w:tcPr>
            <w:tcW w:w="1645" w:type="dxa"/>
            <w:shd w:val="clear" w:color="auto" w:fill="auto"/>
            <w:vAlign w:val="center"/>
          </w:tcPr>
          <w:p w14:paraId="0BFD233B" w14:textId="4B00A606" w:rsidR="00851F6D" w:rsidRPr="0023451E" w:rsidRDefault="00BE6983" w:rsidP="002D0D1B">
            <w:pPr>
              <w:pStyle w:val="BodyText"/>
              <w:jc w:val="center"/>
            </w:pPr>
            <w:r>
              <w:fldChar w:fldCharType="begin"/>
            </w:r>
            <w:r>
              <w:instrText xml:space="preserve"> REF SQU03_1_1_1 \h  \* MERGEFORMAT </w:instrText>
            </w:r>
            <w:r>
              <w:fldChar w:fldCharType="separate"/>
            </w:r>
            <w:r w:rsidR="003E6ABA" w:rsidRPr="00F27E98">
              <w:t>SQU03_1_1_1</w:t>
            </w:r>
            <w:r>
              <w:fldChar w:fldCharType="end"/>
            </w:r>
          </w:p>
        </w:tc>
        <w:tc>
          <w:tcPr>
            <w:tcW w:w="6945" w:type="dxa"/>
            <w:gridSpan w:val="2"/>
            <w:shd w:val="clear" w:color="auto" w:fill="auto"/>
            <w:vAlign w:val="center"/>
          </w:tcPr>
          <w:p w14:paraId="093D4A9B" w14:textId="77777777" w:rsidR="00582AD8" w:rsidRPr="0023451E" w:rsidRDefault="00851F6D" w:rsidP="002D0D1B">
            <w:pPr>
              <w:pStyle w:val="BodyText"/>
              <w:jc w:val="center"/>
            </w:pPr>
            <w:r w:rsidRPr="0023451E">
              <w:t>Number of emergency and urgent calls abandoned before being answered</w:t>
            </w:r>
          </w:p>
        </w:tc>
        <w:tc>
          <w:tcPr>
            <w:tcW w:w="567" w:type="dxa"/>
            <w:shd w:val="clear" w:color="auto" w:fill="auto"/>
            <w:vAlign w:val="center"/>
          </w:tcPr>
          <w:p w14:paraId="0F63CA51" w14:textId="6ACC524A" w:rsidR="00851F6D" w:rsidRPr="00DD7098" w:rsidRDefault="00BE6983" w:rsidP="005B380D">
            <w:pPr>
              <w:pStyle w:val="BodyText3"/>
            </w:pPr>
            <w:r>
              <w:fldChar w:fldCharType="begin"/>
            </w:r>
            <w:r>
              <w:instrText xml:space="preserve"> PAGEREF  SQU03_1_1_1 \h  \* MERGEFORMAT </w:instrText>
            </w:r>
            <w:r>
              <w:fldChar w:fldCharType="separate"/>
            </w:r>
            <w:r w:rsidR="003E6ABA">
              <w:rPr>
                <w:noProof/>
              </w:rPr>
              <w:t>1</w:t>
            </w:r>
            <w:r>
              <w:fldChar w:fldCharType="end"/>
            </w:r>
            <w:r w:rsidR="005B380D">
              <w:t>4</w:t>
            </w:r>
          </w:p>
        </w:tc>
      </w:tr>
      <w:tr w:rsidR="00851F6D" w:rsidRPr="00DD7098" w14:paraId="0B425238" w14:textId="77777777" w:rsidTr="007830C1">
        <w:trPr>
          <w:cantSplit/>
          <w:trHeight w:val="454"/>
        </w:trPr>
        <w:tc>
          <w:tcPr>
            <w:tcW w:w="1645" w:type="dxa"/>
            <w:shd w:val="clear" w:color="auto" w:fill="auto"/>
            <w:vAlign w:val="center"/>
          </w:tcPr>
          <w:p w14:paraId="1D7CE4AD" w14:textId="4CD9CBE2" w:rsidR="00851F6D" w:rsidRPr="0023451E" w:rsidRDefault="00BE6983" w:rsidP="00B56703">
            <w:pPr>
              <w:pStyle w:val="BodyText"/>
              <w:jc w:val="center"/>
            </w:pPr>
            <w:r>
              <w:fldChar w:fldCharType="begin"/>
            </w:r>
            <w:r>
              <w:instrText xml:space="preserve"> REF SQU03_1_1_2 \h  \* MERGEFORMAT </w:instrText>
            </w:r>
            <w:r>
              <w:fldChar w:fldCharType="separate"/>
            </w:r>
            <w:r w:rsidR="003E6ABA" w:rsidRPr="00F27E98">
              <w:t>SQU03_1_1_2</w:t>
            </w:r>
            <w:r>
              <w:fldChar w:fldCharType="end"/>
            </w:r>
          </w:p>
        </w:tc>
        <w:tc>
          <w:tcPr>
            <w:tcW w:w="6945" w:type="dxa"/>
            <w:gridSpan w:val="2"/>
            <w:shd w:val="clear" w:color="auto" w:fill="auto"/>
            <w:vAlign w:val="center"/>
          </w:tcPr>
          <w:p w14:paraId="5B5D73BA" w14:textId="77777777" w:rsidR="00582AD8" w:rsidRPr="0023451E" w:rsidRDefault="00851F6D" w:rsidP="002D0D1B">
            <w:pPr>
              <w:pStyle w:val="BodyText"/>
              <w:jc w:val="center"/>
            </w:pPr>
            <w:r w:rsidRPr="0023451E">
              <w:t>Total number of emergency and urgent calls presented to switchboard</w:t>
            </w:r>
          </w:p>
        </w:tc>
        <w:tc>
          <w:tcPr>
            <w:tcW w:w="567" w:type="dxa"/>
            <w:shd w:val="clear" w:color="auto" w:fill="auto"/>
            <w:vAlign w:val="center"/>
          </w:tcPr>
          <w:p w14:paraId="2B2D7DDD" w14:textId="18DDE095" w:rsidR="00851F6D" w:rsidRPr="00DD7098" w:rsidRDefault="005B380D" w:rsidP="002F46D6">
            <w:pPr>
              <w:pStyle w:val="BodyText3"/>
            </w:pPr>
            <w:r>
              <w:t>1</w:t>
            </w:r>
            <w:r w:rsidR="002F46D6">
              <w:t>4</w:t>
            </w:r>
          </w:p>
        </w:tc>
      </w:tr>
      <w:tr w:rsidR="00851F6D" w:rsidRPr="00DD7098" w14:paraId="65655D3F" w14:textId="77777777" w:rsidTr="002D0D1B">
        <w:trPr>
          <w:cantSplit/>
          <w:trHeight w:val="465"/>
        </w:trPr>
        <w:tc>
          <w:tcPr>
            <w:tcW w:w="1645" w:type="dxa"/>
            <w:shd w:val="clear" w:color="auto" w:fill="auto"/>
            <w:vAlign w:val="center"/>
          </w:tcPr>
          <w:p w14:paraId="0A58D409" w14:textId="23C9EBA0" w:rsidR="00851F6D" w:rsidRPr="0023451E" w:rsidRDefault="00BE6983" w:rsidP="002D0D1B">
            <w:pPr>
              <w:pStyle w:val="BodyText"/>
              <w:jc w:val="center"/>
            </w:pPr>
            <w:r>
              <w:fldChar w:fldCharType="begin"/>
            </w:r>
            <w:r>
              <w:instrText xml:space="preserve"> REF SQU03_2_1_1 \h  \* MERGEFORMAT </w:instrText>
            </w:r>
            <w:r>
              <w:fldChar w:fldCharType="separate"/>
            </w:r>
            <w:r w:rsidR="003E6ABA" w:rsidRPr="00F27E98">
              <w:t>SQU03_2_1_1</w:t>
            </w:r>
            <w:r>
              <w:fldChar w:fldCharType="end"/>
            </w:r>
          </w:p>
        </w:tc>
        <w:tc>
          <w:tcPr>
            <w:tcW w:w="6945" w:type="dxa"/>
            <w:gridSpan w:val="2"/>
            <w:shd w:val="clear" w:color="auto" w:fill="auto"/>
            <w:vAlign w:val="center"/>
          </w:tcPr>
          <w:p w14:paraId="0CCB1EC3" w14:textId="77777777" w:rsidR="00582AD8" w:rsidRDefault="00851F6D" w:rsidP="002D0D1B">
            <w:pPr>
              <w:pStyle w:val="BodyText"/>
              <w:jc w:val="center"/>
            </w:pPr>
            <w:r w:rsidRPr="0023451E">
              <w:t>Emergency cal</w:t>
            </w:r>
            <w:r w:rsidR="00582AD8">
              <w:t>ls closed with telephone advice</w:t>
            </w:r>
          </w:p>
          <w:p w14:paraId="6767C8DF" w14:textId="77777777" w:rsidR="00851F6D" w:rsidRPr="0023451E" w:rsidRDefault="00851F6D" w:rsidP="002D0D1B">
            <w:pPr>
              <w:pStyle w:val="BodyText"/>
              <w:jc w:val="center"/>
            </w:pPr>
            <w:r w:rsidRPr="0023451E">
              <w:t>where re-contact occurs within 24 hours</w:t>
            </w:r>
          </w:p>
        </w:tc>
        <w:tc>
          <w:tcPr>
            <w:tcW w:w="567" w:type="dxa"/>
            <w:shd w:val="clear" w:color="auto" w:fill="auto"/>
            <w:vAlign w:val="center"/>
          </w:tcPr>
          <w:p w14:paraId="13920F65" w14:textId="1F934A70" w:rsidR="00851F6D" w:rsidRPr="00DD7098" w:rsidRDefault="005B380D" w:rsidP="002F46D6">
            <w:pPr>
              <w:pStyle w:val="BodyText3"/>
            </w:pPr>
            <w:r>
              <w:t>1</w:t>
            </w:r>
            <w:r w:rsidR="002F46D6">
              <w:t>4</w:t>
            </w:r>
          </w:p>
        </w:tc>
      </w:tr>
      <w:tr w:rsidR="00851F6D" w:rsidRPr="00DD7098" w14:paraId="5BB9AE90" w14:textId="77777777" w:rsidTr="002D0D1B">
        <w:trPr>
          <w:cantSplit/>
          <w:trHeight w:val="465"/>
        </w:trPr>
        <w:tc>
          <w:tcPr>
            <w:tcW w:w="1645" w:type="dxa"/>
            <w:shd w:val="clear" w:color="auto" w:fill="auto"/>
            <w:vAlign w:val="center"/>
          </w:tcPr>
          <w:p w14:paraId="7CB725A1" w14:textId="014E0B12" w:rsidR="00851F6D" w:rsidRPr="0023451E" w:rsidRDefault="00BE6983" w:rsidP="002D0D1B">
            <w:pPr>
              <w:pStyle w:val="BodyText"/>
              <w:jc w:val="center"/>
            </w:pPr>
            <w:r>
              <w:fldChar w:fldCharType="begin"/>
            </w:r>
            <w:r>
              <w:instrText xml:space="preserve"> REF SQU03_2_1_2 \h  \* MERGEFORMAT </w:instrText>
            </w:r>
            <w:r>
              <w:fldChar w:fldCharType="separate"/>
            </w:r>
            <w:r w:rsidR="003E6ABA" w:rsidRPr="00F27E98">
              <w:t>SQU03_2_1_2</w:t>
            </w:r>
            <w:r>
              <w:fldChar w:fldCharType="end"/>
            </w:r>
          </w:p>
        </w:tc>
        <w:tc>
          <w:tcPr>
            <w:tcW w:w="6945" w:type="dxa"/>
            <w:gridSpan w:val="2"/>
            <w:shd w:val="clear" w:color="auto" w:fill="auto"/>
            <w:vAlign w:val="center"/>
          </w:tcPr>
          <w:p w14:paraId="192B9956" w14:textId="77777777" w:rsidR="00582AD8" w:rsidRPr="0023451E" w:rsidRDefault="00851F6D" w:rsidP="002D0D1B">
            <w:pPr>
              <w:pStyle w:val="BodyText"/>
              <w:jc w:val="center"/>
            </w:pPr>
            <w:r w:rsidRPr="0023451E">
              <w:t>Emergency cal</w:t>
            </w:r>
            <w:r w:rsidR="00582AD8">
              <w:t>ls closed with telephone advice</w:t>
            </w:r>
          </w:p>
        </w:tc>
        <w:tc>
          <w:tcPr>
            <w:tcW w:w="567" w:type="dxa"/>
            <w:shd w:val="clear" w:color="auto" w:fill="auto"/>
            <w:vAlign w:val="center"/>
          </w:tcPr>
          <w:p w14:paraId="38A637DB" w14:textId="16BCBD4C" w:rsidR="00851F6D" w:rsidRPr="00DD7098" w:rsidRDefault="00B56703" w:rsidP="00B56703">
            <w:pPr>
              <w:pStyle w:val="BodyText3"/>
            </w:pPr>
            <w:r>
              <w:t>1</w:t>
            </w:r>
            <w:r w:rsidR="002F46D6">
              <w:t>4</w:t>
            </w:r>
          </w:p>
        </w:tc>
      </w:tr>
      <w:tr w:rsidR="00851F6D" w:rsidRPr="00DD7098" w14:paraId="4DD95104" w14:textId="77777777" w:rsidTr="002D0D1B">
        <w:trPr>
          <w:cantSplit/>
          <w:trHeight w:val="465"/>
        </w:trPr>
        <w:tc>
          <w:tcPr>
            <w:tcW w:w="1645" w:type="dxa"/>
            <w:shd w:val="clear" w:color="auto" w:fill="auto"/>
            <w:vAlign w:val="center"/>
          </w:tcPr>
          <w:p w14:paraId="7D6ABAA0" w14:textId="706CCFFA" w:rsidR="00851F6D" w:rsidRPr="0023451E" w:rsidRDefault="00BE6983" w:rsidP="002D0D1B">
            <w:pPr>
              <w:pStyle w:val="BodyText"/>
              <w:jc w:val="center"/>
            </w:pPr>
            <w:r>
              <w:fldChar w:fldCharType="begin"/>
            </w:r>
            <w:r>
              <w:instrText xml:space="preserve"> REF SQU03_2_2_1 \h  \* MERGEFORMAT </w:instrText>
            </w:r>
            <w:r>
              <w:fldChar w:fldCharType="separate"/>
            </w:r>
            <w:r w:rsidR="003E6ABA" w:rsidRPr="00F27E98">
              <w:t>SQU03_2_2_1</w:t>
            </w:r>
            <w:r>
              <w:fldChar w:fldCharType="end"/>
            </w:r>
          </w:p>
        </w:tc>
        <w:tc>
          <w:tcPr>
            <w:tcW w:w="6945" w:type="dxa"/>
            <w:gridSpan w:val="2"/>
            <w:shd w:val="clear" w:color="auto" w:fill="auto"/>
            <w:vAlign w:val="center"/>
          </w:tcPr>
          <w:p w14:paraId="0286970C" w14:textId="77777777" w:rsidR="00582AD8" w:rsidRDefault="00851F6D" w:rsidP="002D0D1B">
            <w:pPr>
              <w:pStyle w:val="BodyText"/>
              <w:jc w:val="center"/>
            </w:pPr>
            <w:r w:rsidRPr="0023451E">
              <w:t xml:space="preserve">Patients </w:t>
            </w:r>
            <w:r w:rsidR="00582AD8">
              <w:t>treated and discharged on scene</w:t>
            </w:r>
          </w:p>
          <w:p w14:paraId="005D51D9" w14:textId="77777777" w:rsidR="00851F6D" w:rsidRPr="0023451E" w:rsidRDefault="00851F6D" w:rsidP="002D0D1B">
            <w:pPr>
              <w:pStyle w:val="BodyText"/>
              <w:jc w:val="center"/>
            </w:pPr>
            <w:r w:rsidRPr="0023451E">
              <w:t>where re-contact occurs within 24 hours</w:t>
            </w:r>
          </w:p>
        </w:tc>
        <w:tc>
          <w:tcPr>
            <w:tcW w:w="567" w:type="dxa"/>
            <w:shd w:val="clear" w:color="auto" w:fill="auto"/>
            <w:vAlign w:val="center"/>
          </w:tcPr>
          <w:p w14:paraId="1719A4F0" w14:textId="3F26ED4C" w:rsidR="00851F6D" w:rsidRPr="00DD7098" w:rsidRDefault="00BE6983" w:rsidP="002F46D6">
            <w:pPr>
              <w:pStyle w:val="BodyText3"/>
            </w:pPr>
            <w:r>
              <w:fldChar w:fldCharType="begin"/>
            </w:r>
            <w:r>
              <w:instrText xml:space="preserve"> PAGEREF  SQU03_2_2_1 \h  \* MERGEFORMAT </w:instrText>
            </w:r>
            <w:r>
              <w:fldChar w:fldCharType="separate"/>
            </w:r>
            <w:r w:rsidR="003E6ABA">
              <w:rPr>
                <w:noProof/>
              </w:rPr>
              <w:t>1</w:t>
            </w:r>
            <w:r>
              <w:fldChar w:fldCharType="end"/>
            </w:r>
            <w:r w:rsidR="002F46D6">
              <w:t>5</w:t>
            </w:r>
          </w:p>
        </w:tc>
      </w:tr>
      <w:tr w:rsidR="00851F6D" w:rsidRPr="00DD7098" w14:paraId="24C49713" w14:textId="77777777" w:rsidTr="002D0D1B">
        <w:trPr>
          <w:cantSplit/>
          <w:trHeight w:val="465"/>
        </w:trPr>
        <w:tc>
          <w:tcPr>
            <w:tcW w:w="1645" w:type="dxa"/>
            <w:shd w:val="clear" w:color="auto" w:fill="auto"/>
            <w:vAlign w:val="center"/>
          </w:tcPr>
          <w:p w14:paraId="2505DB20" w14:textId="5B4E482A" w:rsidR="00851F6D" w:rsidRPr="00DD7098" w:rsidRDefault="00BE6983" w:rsidP="002D0D1B">
            <w:pPr>
              <w:pStyle w:val="BodyText"/>
              <w:jc w:val="center"/>
            </w:pPr>
            <w:r>
              <w:fldChar w:fldCharType="begin"/>
            </w:r>
            <w:r>
              <w:instrText xml:space="preserve"> REF SQU03_2_2_2 \h  \* MERGEFORMAT </w:instrText>
            </w:r>
            <w:r>
              <w:fldChar w:fldCharType="separate"/>
            </w:r>
            <w:r w:rsidR="003E6ABA" w:rsidRPr="00F27E98">
              <w:t>SQU03_2_2_2</w:t>
            </w:r>
            <w:r>
              <w:fldChar w:fldCharType="end"/>
            </w:r>
          </w:p>
        </w:tc>
        <w:tc>
          <w:tcPr>
            <w:tcW w:w="6945" w:type="dxa"/>
            <w:gridSpan w:val="2"/>
            <w:shd w:val="clear" w:color="auto" w:fill="auto"/>
            <w:vAlign w:val="center"/>
          </w:tcPr>
          <w:p w14:paraId="6CB417D7" w14:textId="77777777" w:rsidR="00582AD8" w:rsidRPr="00DD7098" w:rsidRDefault="00851F6D" w:rsidP="002D0D1B">
            <w:pPr>
              <w:pStyle w:val="BodyText"/>
              <w:jc w:val="center"/>
            </w:pPr>
            <w:r w:rsidRPr="00DD7098">
              <w:t>Patients treated and discharged on scene</w:t>
            </w:r>
          </w:p>
        </w:tc>
        <w:tc>
          <w:tcPr>
            <w:tcW w:w="567" w:type="dxa"/>
            <w:shd w:val="clear" w:color="auto" w:fill="auto"/>
            <w:vAlign w:val="center"/>
          </w:tcPr>
          <w:p w14:paraId="54037C4E" w14:textId="78C33ECB" w:rsidR="00851F6D" w:rsidRPr="00DD7098" w:rsidRDefault="00B56703" w:rsidP="00103121">
            <w:pPr>
              <w:pStyle w:val="BodyText3"/>
            </w:pPr>
            <w:r>
              <w:t>16</w:t>
            </w:r>
          </w:p>
        </w:tc>
      </w:tr>
      <w:tr w:rsidR="00851F6D" w:rsidRPr="00DD7098" w14:paraId="2A052B8B" w14:textId="77777777" w:rsidTr="007830C1">
        <w:trPr>
          <w:cantSplit/>
          <w:trHeight w:val="454"/>
        </w:trPr>
        <w:tc>
          <w:tcPr>
            <w:tcW w:w="1645" w:type="dxa"/>
            <w:shd w:val="clear" w:color="auto" w:fill="auto"/>
            <w:vAlign w:val="center"/>
          </w:tcPr>
          <w:p w14:paraId="24E48C78" w14:textId="238F931F" w:rsidR="00851F6D" w:rsidRPr="00DD7098" w:rsidRDefault="00BE6983" w:rsidP="002D0D1B">
            <w:pPr>
              <w:pStyle w:val="BodyText"/>
              <w:jc w:val="center"/>
            </w:pPr>
            <w:r>
              <w:fldChar w:fldCharType="begin"/>
            </w:r>
            <w:r>
              <w:instrText xml:space="preserve"> REF SQU03_2_3_1 \h  \* MERGEFORMAT </w:instrText>
            </w:r>
            <w:r>
              <w:fldChar w:fldCharType="separate"/>
            </w:r>
            <w:r w:rsidR="003E6ABA" w:rsidRPr="00F27E98">
              <w:t>SQU03_2_3_1</w:t>
            </w:r>
            <w:r>
              <w:fldChar w:fldCharType="end"/>
            </w:r>
          </w:p>
        </w:tc>
        <w:tc>
          <w:tcPr>
            <w:tcW w:w="6945" w:type="dxa"/>
            <w:gridSpan w:val="2"/>
            <w:shd w:val="clear" w:color="auto" w:fill="auto"/>
            <w:vAlign w:val="center"/>
          </w:tcPr>
          <w:p w14:paraId="6EEDA5E4" w14:textId="77777777" w:rsidR="00582AD8" w:rsidRDefault="00582AD8" w:rsidP="002D0D1B">
            <w:pPr>
              <w:pStyle w:val="BodyText"/>
              <w:jc w:val="center"/>
            </w:pPr>
            <w:r>
              <w:t>Emergency calls from patients</w:t>
            </w:r>
          </w:p>
          <w:p w14:paraId="2E0214EA" w14:textId="77777777" w:rsidR="00851F6D" w:rsidRPr="00DD7098" w:rsidRDefault="00851F6D" w:rsidP="002D0D1B">
            <w:pPr>
              <w:pStyle w:val="BodyText"/>
              <w:jc w:val="center"/>
            </w:pPr>
            <w:r w:rsidRPr="00DD7098">
              <w:t>for whom a locally agreed frequent caller procedure is in place</w:t>
            </w:r>
          </w:p>
        </w:tc>
        <w:tc>
          <w:tcPr>
            <w:tcW w:w="567" w:type="dxa"/>
            <w:shd w:val="clear" w:color="auto" w:fill="auto"/>
            <w:vAlign w:val="center"/>
          </w:tcPr>
          <w:p w14:paraId="20E91CDE" w14:textId="306F57DE" w:rsidR="00851F6D" w:rsidRPr="00DD7098" w:rsidRDefault="00B56703" w:rsidP="002F46D6">
            <w:pPr>
              <w:pStyle w:val="BodyText3"/>
            </w:pPr>
            <w:r>
              <w:t>1</w:t>
            </w:r>
            <w:r w:rsidR="002F46D6">
              <w:t>6</w:t>
            </w:r>
          </w:p>
        </w:tc>
      </w:tr>
      <w:tr w:rsidR="00851F6D" w:rsidRPr="00DD7098" w14:paraId="2442F65B" w14:textId="77777777" w:rsidTr="002D0D1B">
        <w:trPr>
          <w:cantSplit/>
          <w:trHeight w:val="465"/>
        </w:trPr>
        <w:tc>
          <w:tcPr>
            <w:tcW w:w="1645" w:type="dxa"/>
            <w:shd w:val="clear" w:color="auto" w:fill="auto"/>
            <w:vAlign w:val="center"/>
          </w:tcPr>
          <w:p w14:paraId="2364447F" w14:textId="77777777" w:rsidR="00851F6D" w:rsidRPr="007830C1" w:rsidRDefault="00666099" w:rsidP="007830C1">
            <w:pPr>
              <w:pStyle w:val="BodyText"/>
              <w:jc w:val="center"/>
            </w:pPr>
            <w:hyperlink w:anchor="SQU03_2_3_2" w:history="1">
              <w:r w:rsidR="007830C1" w:rsidRPr="007830C1">
                <w:rPr>
                  <w:rStyle w:val="Hyperlink"/>
                  <w:color w:val="auto"/>
                  <w:u w:val="none"/>
                </w:rPr>
                <w:t>SQU03_2_3_2</w:t>
              </w:r>
            </w:hyperlink>
          </w:p>
        </w:tc>
        <w:tc>
          <w:tcPr>
            <w:tcW w:w="6945" w:type="dxa"/>
            <w:gridSpan w:val="2"/>
            <w:shd w:val="clear" w:color="auto" w:fill="auto"/>
            <w:vAlign w:val="center"/>
          </w:tcPr>
          <w:p w14:paraId="58A47D2C" w14:textId="77777777" w:rsidR="00582AD8" w:rsidRPr="00DD7098" w:rsidRDefault="00851F6D" w:rsidP="002D0D1B">
            <w:pPr>
              <w:pStyle w:val="BodyText"/>
              <w:jc w:val="center"/>
            </w:pPr>
            <w:r w:rsidRPr="00DD7098">
              <w:t>Total number of emergency calls presented to switchboard</w:t>
            </w:r>
          </w:p>
        </w:tc>
        <w:tc>
          <w:tcPr>
            <w:tcW w:w="567" w:type="dxa"/>
            <w:shd w:val="clear" w:color="auto" w:fill="auto"/>
            <w:vAlign w:val="center"/>
          </w:tcPr>
          <w:p w14:paraId="3962F44D" w14:textId="03D624E0" w:rsidR="00851F6D" w:rsidRPr="00DD7098" w:rsidRDefault="00BE6983" w:rsidP="00B56703">
            <w:pPr>
              <w:pStyle w:val="BodyText3"/>
            </w:pPr>
            <w:r>
              <w:fldChar w:fldCharType="begin"/>
            </w:r>
            <w:r>
              <w:instrText xml:space="preserve"> PAGEREF  SQU03_2_3_2 \h  \* MERGEFORMAT </w:instrText>
            </w:r>
            <w:r>
              <w:fldChar w:fldCharType="separate"/>
            </w:r>
            <w:r w:rsidR="003E6ABA">
              <w:rPr>
                <w:noProof/>
              </w:rPr>
              <w:t>1</w:t>
            </w:r>
            <w:r>
              <w:fldChar w:fldCharType="end"/>
            </w:r>
            <w:r w:rsidR="00B56703">
              <w:t>7</w:t>
            </w:r>
          </w:p>
        </w:tc>
      </w:tr>
      <w:tr w:rsidR="00851F6D" w:rsidRPr="00DD7098" w14:paraId="63740B5D" w14:textId="77777777" w:rsidTr="002D0D1B">
        <w:trPr>
          <w:cantSplit/>
          <w:trHeight w:val="465"/>
        </w:trPr>
        <w:tc>
          <w:tcPr>
            <w:tcW w:w="1645" w:type="dxa"/>
            <w:shd w:val="clear" w:color="auto" w:fill="auto"/>
            <w:vAlign w:val="center"/>
          </w:tcPr>
          <w:p w14:paraId="37F1C65E" w14:textId="202D99F8" w:rsidR="00851F6D" w:rsidRPr="00DD7098" w:rsidRDefault="00BE6983" w:rsidP="002D0D1B">
            <w:pPr>
              <w:pStyle w:val="BodyText"/>
              <w:jc w:val="center"/>
            </w:pPr>
            <w:r>
              <w:fldChar w:fldCharType="begin"/>
            </w:r>
            <w:r>
              <w:instrText xml:space="preserve"> REF SQU03_8_1_1 \h  \* MERGEFORMAT </w:instrText>
            </w:r>
            <w:r>
              <w:fldChar w:fldCharType="separate"/>
            </w:r>
            <w:r w:rsidR="003E6ABA" w:rsidRPr="00F27E98">
              <w:t>SQU03_8_1_1</w:t>
            </w:r>
            <w:r>
              <w:fldChar w:fldCharType="end"/>
            </w:r>
          </w:p>
        </w:tc>
        <w:tc>
          <w:tcPr>
            <w:tcW w:w="6945" w:type="dxa"/>
            <w:gridSpan w:val="2"/>
            <w:shd w:val="clear" w:color="auto" w:fill="auto"/>
            <w:vAlign w:val="center"/>
          </w:tcPr>
          <w:p w14:paraId="5153DEA9" w14:textId="77777777" w:rsidR="00582AD8" w:rsidRDefault="00851F6D" w:rsidP="002D0D1B">
            <w:pPr>
              <w:pStyle w:val="BodyText"/>
              <w:jc w:val="center"/>
            </w:pPr>
            <w:r w:rsidRPr="00DD7098">
              <w:t>Time to answe</w:t>
            </w:r>
            <w:r w:rsidR="00582AD8">
              <w:t>r calls (emergency and urgent),</w:t>
            </w:r>
          </w:p>
          <w:p w14:paraId="1991E36C" w14:textId="77777777" w:rsidR="00851F6D" w:rsidRPr="00DD7098" w:rsidRDefault="00851F6D" w:rsidP="002D0D1B">
            <w:pPr>
              <w:pStyle w:val="BodyText"/>
              <w:jc w:val="center"/>
            </w:pPr>
            <w:r w:rsidRPr="00DD7098">
              <w:t xml:space="preserve">measured by median, 95th </w:t>
            </w:r>
            <w:r w:rsidR="00E33F6B">
              <w:t>centi</w:t>
            </w:r>
            <w:r w:rsidRPr="00DD7098">
              <w:t xml:space="preserve">le and 99th </w:t>
            </w:r>
            <w:r w:rsidR="00E33F6B">
              <w:t>centi</w:t>
            </w:r>
            <w:r w:rsidRPr="00DD7098">
              <w:t>le</w:t>
            </w:r>
          </w:p>
        </w:tc>
        <w:tc>
          <w:tcPr>
            <w:tcW w:w="567" w:type="dxa"/>
            <w:shd w:val="clear" w:color="auto" w:fill="auto"/>
            <w:vAlign w:val="center"/>
          </w:tcPr>
          <w:p w14:paraId="0CCE5A8A" w14:textId="72F5B061" w:rsidR="00851F6D" w:rsidRPr="00DD7098" w:rsidRDefault="00BE6983" w:rsidP="002F46D6">
            <w:pPr>
              <w:pStyle w:val="BodyText3"/>
            </w:pPr>
            <w:r>
              <w:fldChar w:fldCharType="begin"/>
            </w:r>
            <w:r>
              <w:instrText xml:space="preserve"> PAGEREF  SQU03_8_1_1 \h  \* MERGEFORMAT </w:instrText>
            </w:r>
            <w:r>
              <w:fldChar w:fldCharType="separate"/>
            </w:r>
            <w:r w:rsidR="003E6ABA">
              <w:rPr>
                <w:noProof/>
              </w:rPr>
              <w:t>1</w:t>
            </w:r>
            <w:r>
              <w:fldChar w:fldCharType="end"/>
            </w:r>
            <w:r w:rsidR="002F46D6">
              <w:t>7</w:t>
            </w:r>
          </w:p>
        </w:tc>
      </w:tr>
      <w:tr w:rsidR="00851F6D" w:rsidRPr="00DD7098" w14:paraId="717BD824" w14:textId="77777777" w:rsidTr="002D0D1B">
        <w:trPr>
          <w:cantSplit/>
          <w:trHeight w:val="465"/>
        </w:trPr>
        <w:tc>
          <w:tcPr>
            <w:tcW w:w="1645" w:type="dxa"/>
            <w:shd w:val="clear" w:color="auto" w:fill="auto"/>
            <w:vAlign w:val="center"/>
          </w:tcPr>
          <w:p w14:paraId="64677707" w14:textId="77777777" w:rsidR="00851F6D" w:rsidRPr="007830C1" w:rsidRDefault="00666099" w:rsidP="007830C1">
            <w:pPr>
              <w:pStyle w:val="BodyText"/>
              <w:jc w:val="center"/>
            </w:pPr>
            <w:hyperlink w:anchor="SQU03_10_1_1" w:history="1">
              <w:r w:rsidR="007830C1" w:rsidRPr="007830C1">
                <w:rPr>
                  <w:rStyle w:val="Hyperlink"/>
                  <w:color w:val="auto"/>
                  <w:u w:val="none"/>
                </w:rPr>
                <w:t>SQU03_10_1_1</w:t>
              </w:r>
            </w:hyperlink>
          </w:p>
        </w:tc>
        <w:tc>
          <w:tcPr>
            <w:tcW w:w="6945" w:type="dxa"/>
            <w:gridSpan w:val="2"/>
            <w:shd w:val="clear" w:color="auto" w:fill="auto"/>
            <w:vAlign w:val="center"/>
          </w:tcPr>
          <w:p w14:paraId="704E3EAD" w14:textId="77777777" w:rsidR="00851F6D" w:rsidRPr="00DD7098" w:rsidRDefault="00851F6D" w:rsidP="00CA3BDD">
            <w:pPr>
              <w:pStyle w:val="BodyText"/>
              <w:jc w:val="center"/>
            </w:pPr>
            <w:r w:rsidRPr="00DD7098">
              <w:t>Number of emergency calls</w:t>
            </w:r>
            <w:r w:rsidR="00CA3BDD">
              <w:t xml:space="preserve"> </w:t>
            </w:r>
            <w:r w:rsidRPr="00DD7098">
              <w:t>that have been resolved by providing telephone advice</w:t>
            </w:r>
            <w:r w:rsidR="00CA3BDD">
              <w:t xml:space="preserve"> (Hear and Treat)</w:t>
            </w:r>
          </w:p>
        </w:tc>
        <w:tc>
          <w:tcPr>
            <w:tcW w:w="567" w:type="dxa"/>
            <w:shd w:val="clear" w:color="auto" w:fill="auto"/>
            <w:vAlign w:val="center"/>
          </w:tcPr>
          <w:p w14:paraId="04C76BB6" w14:textId="7D1B5A86" w:rsidR="00851F6D" w:rsidRPr="00DD7098" w:rsidRDefault="00BE6983" w:rsidP="002F46D6">
            <w:pPr>
              <w:pStyle w:val="BodyText3"/>
            </w:pPr>
            <w:r>
              <w:fldChar w:fldCharType="begin"/>
            </w:r>
            <w:r>
              <w:instrText xml:space="preserve"> PAGEREF  SQU03_10_1_1 \h  \* MERGEFORMAT </w:instrText>
            </w:r>
            <w:r>
              <w:fldChar w:fldCharType="separate"/>
            </w:r>
            <w:r w:rsidR="003E6ABA">
              <w:rPr>
                <w:noProof/>
              </w:rPr>
              <w:t>1</w:t>
            </w:r>
            <w:r>
              <w:fldChar w:fldCharType="end"/>
            </w:r>
            <w:r w:rsidR="002F46D6">
              <w:t>8</w:t>
            </w:r>
          </w:p>
        </w:tc>
      </w:tr>
      <w:tr w:rsidR="00851F6D" w:rsidRPr="00DD7098" w14:paraId="7CFD8848" w14:textId="77777777" w:rsidTr="002D0D1B">
        <w:trPr>
          <w:cantSplit/>
          <w:trHeight w:val="465"/>
        </w:trPr>
        <w:tc>
          <w:tcPr>
            <w:tcW w:w="1645" w:type="dxa"/>
            <w:shd w:val="clear" w:color="auto" w:fill="auto"/>
            <w:vAlign w:val="center"/>
          </w:tcPr>
          <w:p w14:paraId="371FD1AB" w14:textId="01BB0041" w:rsidR="00851F6D" w:rsidRPr="00DD7098" w:rsidRDefault="00BE6983" w:rsidP="002D0D1B">
            <w:pPr>
              <w:pStyle w:val="BodyText"/>
              <w:jc w:val="center"/>
            </w:pPr>
            <w:r>
              <w:fldChar w:fldCharType="begin"/>
            </w:r>
            <w:r>
              <w:instrText xml:space="preserve"> REF SQU03_10_1_2 \h  \* MERGEFORMAT </w:instrText>
            </w:r>
            <w:r>
              <w:fldChar w:fldCharType="separate"/>
            </w:r>
            <w:r w:rsidR="003E6ABA" w:rsidRPr="00F27E98">
              <w:t>SQU03_10_1_2</w:t>
            </w:r>
            <w:r>
              <w:fldChar w:fldCharType="end"/>
            </w:r>
          </w:p>
        </w:tc>
        <w:tc>
          <w:tcPr>
            <w:tcW w:w="6945" w:type="dxa"/>
            <w:gridSpan w:val="2"/>
            <w:shd w:val="clear" w:color="auto" w:fill="auto"/>
            <w:vAlign w:val="center"/>
          </w:tcPr>
          <w:p w14:paraId="5ABB58DF" w14:textId="77777777" w:rsidR="00582AD8" w:rsidRDefault="00851F6D" w:rsidP="002D0D1B">
            <w:pPr>
              <w:pStyle w:val="BodyText"/>
              <w:jc w:val="center"/>
            </w:pPr>
            <w:r w:rsidRPr="00DD7098">
              <w:t>All emergency calls that receive a telephone or face-to-face response</w:t>
            </w:r>
          </w:p>
          <w:p w14:paraId="604D555A" w14:textId="77777777" w:rsidR="00851F6D" w:rsidRPr="00DD7098" w:rsidRDefault="00851F6D" w:rsidP="002D0D1B">
            <w:pPr>
              <w:pStyle w:val="BodyText"/>
              <w:jc w:val="center"/>
            </w:pPr>
            <w:r w:rsidRPr="00DD7098">
              <w:t>from the ambulance service</w:t>
            </w:r>
          </w:p>
        </w:tc>
        <w:tc>
          <w:tcPr>
            <w:tcW w:w="567" w:type="dxa"/>
            <w:shd w:val="clear" w:color="auto" w:fill="auto"/>
            <w:vAlign w:val="center"/>
          </w:tcPr>
          <w:p w14:paraId="11D03E95" w14:textId="2FD4651F" w:rsidR="00851F6D" w:rsidRPr="00DD7098" w:rsidRDefault="00B56703" w:rsidP="00103121">
            <w:pPr>
              <w:pStyle w:val="BodyText3"/>
            </w:pPr>
            <w:r>
              <w:t>19</w:t>
            </w:r>
          </w:p>
        </w:tc>
      </w:tr>
      <w:tr w:rsidR="00851F6D" w:rsidRPr="00DD7098" w14:paraId="5D0D38A7" w14:textId="77777777" w:rsidTr="002D0D1B">
        <w:trPr>
          <w:cantSplit/>
          <w:trHeight w:val="465"/>
        </w:trPr>
        <w:tc>
          <w:tcPr>
            <w:tcW w:w="1645" w:type="dxa"/>
            <w:shd w:val="clear" w:color="auto" w:fill="auto"/>
            <w:vAlign w:val="center"/>
          </w:tcPr>
          <w:p w14:paraId="25622E2A" w14:textId="2C462408" w:rsidR="00851F6D" w:rsidRPr="00DD7098" w:rsidRDefault="00BE6983" w:rsidP="002D0D1B">
            <w:pPr>
              <w:pStyle w:val="BodyText"/>
              <w:jc w:val="center"/>
            </w:pPr>
            <w:r>
              <w:fldChar w:fldCharType="begin"/>
            </w:r>
            <w:r>
              <w:instrText xml:space="preserve"> REF SQU03_10_2_1 \h  \* MERGEFORMAT </w:instrText>
            </w:r>
            <w:r>
              <w:fldChar w:fldCharType="separate"/>
            </w:r>
            <w:r w:rsidR="003E6ABA" w:rsidRPr="00F27E98">
              <w:t>SQU03_10_2_1</w:t>
            </w:r>
            <w:r>
              <w:fldChar w:fldCharType="end"/>
            </w:r>
          </w:p>
        </w:tc>
        <w:tc>
          <w:tcPr>
            <w:tcW w:w="6945" w:type="dxa"/>
            <w:gridSpan w:val="2"/>
            <w:shd w:val="clear" w:color="auto" w:fill="auto"/>
            <w:vAlign w:val="center"/>
          </w:tcPr>
          <w:p w14:paraId="4291CC69" w14:textId="44FAFC1B" w:rsidR="00CA3BDD" w:rsidRDefault="00851F6D" w:rsidP="002D0D1B">
            <w:pPr>
              <w:pStyle w:val="BodyText"/>
              <w:jc w:val="center"/>
            </w:pPr>
            <w:r w:rsidRPr="00DD7098">
              <w:t>Patient journeys to a destination other than Type 1</w:t>
            </w:r>
            <w:r w:rsidR="00B56703">
              <w:t xml:space="preserve"> or</w:t>
            </w:r>
            <w:r w:rsidR="009278A4">
              <w:t xml:space="preserve"> </w:t>
            </w:r>
            <w:r w:rsidRPr="00DD7098">
              <w:t>2 A&amp;E</w:t>
            </w:r>
            <w:r w:rsidR="00E94657">
              <w:t xml:space="preserve"> </w:t>
            </w:r>
            <w:r w:rsidR="00CA3BDD">
              <w:t>plus</w:t>
            </w:r>
          </w:p>
          <w:p w14:paraId="4FD8F5EF" w14:textId="467898E8" w:rsidR="00851F6D" w:rsidRPr="00DD7098" w:rsidRDefault="00851F6D" w:rsidP="00B56703">
            <w:pPr>
              <w:pStyle w:val="BodyText"/>
              <w:jc w:val="center"/>
            </w:pPr>
            <w:r w:rsidRPr="00DD7098">
              <w:t>number of patients discharg</w:t>
            </w:r>
            <w:r w:rsidR="00582AD8">
              <w:t>ed after treatment at the scene</w:t>
            </w:r>
          </w:p>
        </w:tc>
        <w:tc>
          <w:tcPr>
            <w:tcW w:w="567" w:type="dxa"/>
            <w:shd w:val="clear" w:color="auto" w:fill="auto"/>
            <w:vAlign w:val="center"/>
          </w:tcPr>
          <w:p w14:paraId="515FA36C" w14:textId="78530E19" w:rsidR="00851F6D" w:rsidRPr="00DD7098" w:rsidRDefault="002F46D6" w:rsidP="00103121">
            <w:pPr>
              <w:pStyle w:val="BodyText3"/>
            </w:pPr>
            <w:r>
              <w:t>19</w:t>
            </w:r>
          </w:p>
        </w:tc>
      </w:tr>
      <w:tr w:rsidR="00851F6D" w:rsidRPr="00DD7098" w14:paraId="1E0C5ADC" w14:textId="77777777" w:rsidTr="002D0D1B">
        <w:trPr>
          <w:cantSplit/>
          <w:trHeight w:val="465"/>
        </w:trPr>
        <w:tc>
          <w:tcPr>
            <w:tcW w:w="1645" w:type="dxa"/>
            <w:shd w:val="clear" w:color="auto" w:fill="auto"/>
            <w:vAlign w:val="center"/>
          </w:tcPr>
          <w:p w14:paraId="5F435760" w14:textId="69FC4D95" w:rsidR="00851F6D" w:rsidRPr="00DD7098" w:rsidRDefault="00BE6983" w:rsidP="002D0D1B">
            <w:pPr>
              <w:pStyle w:val="BodyText"/>
              <w:jc w:val="center"/>
            </w:pPr>
            <w:r>
              <w:fldChar w:fldCharType="begin"/>
            </w:r>
            <w:r>
              <w:instrText xml:space="preserve"> REF SQU03_10_2_2 \h  \* MERGEFORMAT </w:instrText>
            </w:r>
            <w:r>
              <w:fldChar w:fldCharType="separate"/>
            </w:r>
            <w:r w:rsidR="003E6ABA" w:rsidRPr="00F27E98">
              <w:t>SQU03_10_2_2</w:t>
            </w:r>
            <w:r>
              <w:fldChar w:fldCharType="end"/>
            </w:r>
          </w:p>
        </w:tc>
        <w:tc>
          <w:tcPr>
            <w:tcW w:w="6945" w:type="dxa"/>
            <w:gridSpan w:val="2"/>
            <w:shd w:val="clear" w:color="auto" w:fill="auto"/>
            <w:vAlign w:val="center"/>
          </w:tcPr>
          <w:p w14:paraId="357BEF9E" w14:textId="77777777" w:rsidR="00582AD8" w:rsidRDefault="00582AD8" w:rsidP="002D0D1B">
            <w:pPr>
              <w:pStyle w:val="BodyText"/>
              <w:jc w:val="center"/>
            </w:pPr>
            <w:r>
              <w:t>All emergency calls</w:t>
            </w:r>
          </w:p>
          <w:p w14:paraId="6EA44FE5" w14:textId="77777777" w:rsidR="00851F6D" w:rsidRPr="00DD7098" w:rsidRDefault="00851F6D" w:rsidP="002D0D1B">
            <w:pPr>
              <w:pStyle w:val="BodyText"/>
              <w:jc w:val="center"/>
            </w:pPr>
            <w:r w:rsidRPr="00DD7098">
              <w:t>that receive a face-to-face response from the ambulance service</w:t>
            </w:r>
          </w:p>
        </w:tc>
        <w:tc>
          <w:tcPr>
            <w:tcW w:w="567" w:type="dxa"/>
            <w:shd w:val="clear" w:color="auto" w:fill="auto"/>
            <w:vAlign w:val="center"/>
          </w:tcPr>
          <w:p w14:paraId="3099F9AE" w14:textId="4CA24F0F" w:rsidR="00851F6D" w:rsidRPr="00DD7098" w:rsidRDefault="002F46D6" w:rsidP="00103121">
            <w:pPr>
              <w:pStyle w:val="BodyText3"/>
            </w:pPr>
            <w:r>
              <w:t>19</w:t>
            </w:r>
          </w:p>
        </w:tc>
      </w:tr>
      <w:tr w:rsidR="00975A30" w:rsidRPr="00DD7098" w14:paraId="27B2D2E4" w14:textId="77777777" w:rsidTr="007830C1">
        <w:trPr>
          <w:cantSplit/>
          <w:trHeight w:val="454"/>
        </w:trPr>
        <w:tc>
          <w:tcPr>
            <w:tcW w:w="1645" w:type="dxa"/>
            <w:shd w:val="clear" w:color="auto" w:fill="auto"/>
            <w:vAlign w:val="center"/>
          </w:tcPr>
          <w:p w14:paraId="5B066ACF" w14:textId="6740DEC1" w:rsidR="00975A30" w:rsidRPr="00DD7098" w:rsidRDefault="00BE6983" w:rsidP="002D0D1B">
            <w:pPr>
              <w:pStyle w:val="BodyText"/>
              <w:jc w:val="center"/>
            </w:pPr>
            <w:r>
              <w:fldChar w:fldCharType="begin"/>
            </w:r>
            <w:r>
              <w:instrText xml:space="preserve"> REF  SRS17_1_1_1 \h  \* MERGEFORMAT </w:instrText>
            </w:r>
            <w:r>
              <w:fldChar w:fldCharType="separate"/>
            </w:r>
            <w:r w:rsidR="003E6ABA" w:rsidRPr="00787E4F">
              <w:t>SRS17_1_1_1</w:t>
            </w:r>
            <w:r>
              <w:fldChar w:fldCharType="end"/>
            </w:r>
          </w:p>
        </w:tc>
        <w:tc>
          <w:tcPr>
            <w:tcW w:w="6945" w:type="dxa"/>
            <w:gridSpan w:val="2"/>
            <w:shd w:val="clear" w:color="auto" w:fill="auto"/>
            <w:vAlign w:val="center"/>
          </w:tcPr>
          <w:p w14:paraId="203C6C94" w14:textId="77777777" w:rsidR="00975A30" w:rsidRPr="00DD7098" w:rsidRDefault="00975A30" w:rsidP="00CA3BDD">
            <w:pPr>
              <w:pStyle w:val="BodyText"/>
              <w:jc w:val="center"/>
            </w:pPr>
            <w:r w:rsidRPr="00DD7098">
              <w:t xml:space="preserve">Number of </w:t>
            </w:r>
            <w:r w:rsidR="00CA3BDD">
              <w:t>transported incidents</w:t>
            </w:r>
          </w:p>
        </w:tc>
        <w:tc>
          <w:tcPr>
            <w:tcW w:w="567" w:type="dxa"/>
            <w:shd w:val="clear" w:color="auto" w:fill="auto"/>
            <w:vAlign w:val="center"/>
          </w:tcPr>
          <w:p w14:paraId="491E3A63" w14:textId="1DD946E3" w:rsidR="00975A30" w:rsidRPr="00DD7098" w:rsidRDefault="00B56703" w:rsidP="002F46D6">
            <w:pPr>
              <w:pStyle w:val="BodyText3"/>
            </w:pPr>
            <w:r>
              <w:t>2</w:t>
            </w:r>
            <w:r w:rsidR="002F46D6">
              <w:t>0</w:t>
            </w:r>
          </w:p>
        </w:tc>
      </w:tr>
    </w:tbl>
    <w:p w14:paraId="67443F62" w14:textId="76FDC6E1" w:rsidR="002D0D1B" w:rsidRDefault="002D0D1B" w:rsidP="0066120E">
      <w:pPr>
        <w:pStyle w:val="Heading2"/>
      </w:pPr>
      <w:proofErr w:type="gramStart"/>
      <w:r w:rsidRPr="00E658A1">
        <w:lastRenderedPageBreak/>
        <w:t>Part 2</w:t>
      </w:r>
      <w:r w:rsidR="00ED59F5">
        <w:t xml:space="preserve"> – </w:t>
      </w:r>
      <w:r w:rsidRPr="00E658A1">
        <w:t>Clinical Indicators</w:t>
      </w:r>
      <w:r w:rsidR="0035210D">
        <w:t xml:space="preserve"> (N.B.</w:t>
      </w:r>
      <w:proofErr w:type="gramEnd"/>
      <w:r w:rsidR="0035210D">
        <w:t xml:space="preserve">  Accelerated indicators shown 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7139"/>
        <w:gridCol w:w="567"/>
      </w:tblGrid>
      <w:tr w:rsidR="005E46D5" w:rsidRPr="00DD7098" w14:paraId="35E05946" w14:textId="77777777" w:rsidTr="005E46D5">
        <w:trPr>
          <w:cantSplit/>
          <w:trHeight w:val="680"/>
        </w:trPr>
        <w:tc>
          <w:tcPr>
            <w:tcW w:w="1645" w:type="dxa"/>
            <w:shd w:val="clear" w:color="auto" w:fill="auto"/>
            <w:vAlign w:val="center"/>
          </w:tcPr>
          <w:p w14:paraId="03923092" w14:textId="7ACD95DD" w:rsidR="005E46D5" w:rsidRDefault="005E46D5" w:rsidP="0065367C">
            <w:pPr>
              <w:pStyle w:val="BodyText"/>
              <w:jc w:val="center"/>
            </w:pPr>
            <w:r>
              <w:t>SQU03_3_1_1</w:t>
            </w:r>
          </w:p>
        </w:tc>
        <w:tc>
          <w:tcPr>
            <w:tcW w:w="7139" w:type="dxa"/>
            <w:shd w:val="clear" w:color="auto" w:fill="auto"/>
            <w:vAlign w:val="center"/>
          </w:tcPr>
          <w:p w14:paraId="1A5E11B4" w14:textId="31AFD61A" w:rsidR="005E46D5" w:rsidRPr="00DD7098" w:rsidRDefault="005E46D5" w:rsidP="0065367C">
            <w:pPr>
              <w:pStyle w:val="BodyText"/>
              <w:jc w:val="center"/>
              <w:rPr>
                <w:rFonts w:cs="Arial"/>
                <w:szCs w:val="20"/>
              </w:rPr>
            </w:pPr>
            <w:r>
              <w:rPr>
                <w:rFonts w:cs="Arial"/>
                <w:szCs w:val="20"/>
              </w:rPr>
              <w:t>Of the patients included in the denominator, the median time between T0 and the time when chest compressions are first commenced</w:t>
            </w:r>
          </w:p>
        </w:tc>
        <w:tc>
          <w:tcPr>
            <w:tcW w:w="567" w:type="dxa"/>
            <w:shd w:val="clear" w:color="auto" w:fill="auto"/>
            <w:vAlign w:val="center"/>
          </w:tcPr>
          <w:p w14:paraId="25D9F6DE" w14:textId="7CB997B4" w:rsidR="005E46D5" w:rsidRDefault="005E46D5" w:rsidP="00103121">
            <w:pPr>
              <w:pStyle w:val="BodyText3"/>
            </w:pPr>
            <w:r>
              <w:t>2</w:t>
            </w:r>
            <w:r w:rsidR="0035210D">
              <w:t>3</w:t>
            </w:r>
          </w:p>
        </w:tc>
      </w:tr>
      <w:tr w:rsidR="005E46D5" w:rsidRPr="00DD7098" w14:paraId="1820503E" w14:textId="77777777" w:rsidTr="005E46D5">
        <w:trPr>
          <w:cantSplit/>
          <w:trHeight w:val="680"/>
        </w:trPr>
        <w:tc>
          <w:tcPr>
            <w:tcW w:w="1645" w:type="dxa"/>
            <w:shd w:val="clear" w:color="auto" w:fill="auto"/>
            <w:vAlign w:val="center"/>
          </w:tcPr>
          <w:p w14:paraId="6594AE80" w14:textId="66137F0D" w:rsidR="005E46D5" w:rsidRDefault="005E46D5" w:rsidP="0065367C">
            <w:pPr>
              <w:pStyle w:val="BodyText"/>
              <w:jc w:val="center"/>
            </w:pPr>
            <w:r>
              <w:t>SQU03_3_1_2</w:t>
            </w:r>
          </w:p>
        </w:tc>
        <w:tc>
          <w:tcPr>
            <w:tcW w:w="7139" w:type="dxa"/>
            <w:shd w:val="clear" w:color="auto" w:fill="auto"/>
            <w:vAlign w:val="center"/>
          </w:tcPr>
          <w:p w14:paraId="13F74EC0" w14:textId="5342827C" w:rsidR="005E46D5" w:rsidRPr="00DD7098" w:rsidRDefault="005E46D5" w:rsidP="0065367C">
            <w:pPr>
              <w:pStyle w:val="BodyText"/>
              <w:jc w:val="center"/>
              <w:rPr>
                <w:rFonts w:cs="Arial"/>
                <w:szCs w:val="20"/>
              </w:rPr>
            </w:pPr>
            <w:r>
              <w:rPr>
                <w:rFonts w:cs="Arial"/>
                <w:szCs w:val="20"/>
              </w:rPr>
              <w:t>Of the patients included in the denominator, the median time between T0 and the time when the first defibrillating shock is delivered</w:t>
            </w:r>
          </w:p>
        </w:tc>
        <w:tc>
          <w:tcPr>
            <w:tcW w:w="567" w:type="dxa"/>
            <w:shd w:val="clear" w:color="auto" w:fill="auto"/>
            <w:vAlign w:val="center"/>
          </w:tcPr>
          <w:p w14:paraId="1194E4F5" w14:textId="09FD01BF" w:rsidR="005E46D5" w:rsidRDefault="005E46D5" w:rsidP="00103121">
            <w:pPr>
              <w:pStyle w:val="BodyText3"/>
            </w:pPr>
            <w:r>
              <w:t>2</w:t>
            </w:r>
            <w:r w:rsidR="0035210D">
              <w:t>3</w:t>
            </w:r>
          </w:p>
        </w:tc>
      </w:tr>
      <w:tr w:rsidR="002D0D1B" w:rsidRPr="00DD7098" w14:paraId="10F697BB" w14:textId="77777777" w:rsidTr="005E46D5">
        <w:trPr>
          <w:cantSplit/>
          <w:trHeight w:val="680"/>
        </w:trPr>
        <w:tc>
          <w:tcPr>
            <w:tcW w:w="1645" w:type="dxa"/>
            <w:shd w:val="clear" w:color="auto" w:fill="auto"/>
            <w:vAlign w:val="center"/>
          </w:tcPr>
          <w:p w14:paraId="40407894" w14:textId="53AFE970" w:rsidR="002D0D1B" w:rsidRPr="0035210D" w:rsidRDefault="00666099" w:rsidP="005E46D5">
            <w:pPr>
              <w:pStyle w:val="BodyText"/>
              <w:jc w:val="center"/>
              <w:rPr>
                <w:color w:val="FF0000"/>
              </w:rPr>
            </w:pPr>
            <w:hyperlink w:anchor="SQU03_3_1_1" w:history="1">
              <w:r w:rsidR="0065367C" w:rsidRPr="0035210D">
                <w:rPr>
                  <w:rStyle w:val="Hyperlink"/>
                  <w:color w:val="FF0000"/>
                  <w:u w:val="none"/>
                </w:rPr>
                <w:t>SQU03_3_1_</w:t>
              </w:r>
            </w:hyperlink>
            <w:r w:rsidR="005E46D5" w:rsidRPr="0035210D">
              <w:rPr>
                <w:rStyle w:val="Hyperlink"/>
                <w:color w:val="FF0000"/>
                <w:u w:val="none"/>
              </w:rPr>
              <w:t>3</w:t>
            </w:r>
          </w:p>
        </w:tc>
        <w:tc>
          <w:tcPr>
            <w:tcW w:w="7139" w:type="dxa"/>
            <w:shd w:val="clear" w:color="auto" w:fill="auto"/>
            <w:vAlign w:val="center"/>
          </w:tcPr>
          <w:p w14:paraId="045EA7C7" w14:textId="77777777" w:rsidR="002D0D1B" w:rsidRPr="0035210D" w:rsidRDefault="002D0D1B" w:rsidP="0065367C">
            <w:pPr>
              <w:pStyle w:val="BodyText"/>
              <w:jc w:val="center"/>
              <w:rPr>
                <w:rFonts w:cs="Arial"/>
                <w:color w:val="FF0000"/>
                <w:szCs w:val="20"/>
              </w:rPr>
            </w:pPr>
            <w:r w:rsidRPr="0035210D">
              <w:rPr>
                <w:rFonts w:cs="Arial"/>
                <w:color w:val="FF0000"/>
                <w:szCs w:val="20"/>
              </w:rPr>
              <w:t>Of the patients included in the denominator, the number of patients</w:t>
            </w:r>
          </w:p>
          <w:p w14:paraId="3E5720E2" w14:textId="77777777" w:rsidR="002D0D1B" w:rsidRPr="0035210D" w:rsidRDefault="002D0D1B" w:rsidP="0065367C">
            <w:pPr>
              <w:pStyle w:val="BodyText"/>
              <w:jc w:val="center"/>
              <w:rPr>
                <w:rFonts w:cs="Arial"/>
                <w:color w:val="FF0000"/>
                <w:szCs w:val="20"/>
              </w:rPr>
            </w:pPr>
            <w:r w:rsidRPr="0035210D">
              <w:rPr>
                <w:rFonts w:cs="Arial"/>
                <w:color w:val="FF0000"/>
                <w:szCs w:val="20"/>
              </w:rPr>
              <w:t>who had return of spontaneous circulation on arrival at hospital</w:t>
            </w:r>
          </w:p>
        </w:tc>
        <w:tc>
          <w:tcPr>
            <w:tcW w:w="567" w:type="dxa"/>
            <w:shd w:val="clear" w:color="auto" w:fill="auto"/>
            <w:vAlign w:val="center"/>
          </w:tcPr>
          <w:p w14:paraId="2F9562A8" w14:textId="71839EB2" w:rsidR="002D0D1B" w:rsidRPr="00DD7098" w:rsidRDefault="002D0D1B" w:rsidP="005E46D5">
            <w:pPr>
              <w:pStyle w:val="BodyText3"/>
            </w:pPr>
            <w:r>
              <w:fldChar w:fldCharType="begin"/>
            </w:r>
            <w:r>
              <w:instrText xml:space="preserve"> PAGEREF SQU03_3_1_1 \h </w:instrText>
            </w:r>
            <w:r>
              <w:fldChar w:fldCharType="separate"/>
            </w:r>
            <w:r w:rsidR="003E6ABA">
              <w:rPr>
                <w:noProof/>
              </w:rPr>
              <w:t>2</w:t>
            </w:r>
            <w:r>
              <w:fldChar w:fldCharType="end"/>
            </w:r>
            <w:r w:rsidR="0035210D">
              <w:t>3</w:t>
            </w:r>
          </w:p>
        </w:tc>
      </w:tr>
      <w:tr w:rsidR="002D0D1B" w:rsidRPr="00DD7098" w14:paraId="25A8C4DF" w14:textId="77777777" w:rsidTr="005E46D5">
        <w:trPr>
          <w:cantSplit/>
          <w:trHeight w:val="680"/>
        </w:trPr>
        <w:tc>
          <w:tcPr>
            <w:tcW w:w="1645" w:type="dxa"/>
            <w:shd w:val="clear" w:color="auto" w:fill="auto"/>
            <w:vAlign w:val="center"/>
          </w:tcPr>
          <w:p w14:paraId="5F27AC76" w14:textId="70088031" w:rsidR="002D0D1B" w:rsidRPr="0065367C" w:rsidRDefault="00666099" w:rsidP="005E46D5">
            <w:pPr>
              <w:pStyle w:val="BodyText"/>
              <w:jc w:val="center"/>
            </w:pPr>
            <w:hyperlink w:anchor="SQU03_3_1_2" w:history="1">
              <w:r w:rsidR="0065367C" w:rsidRPr="0065367C">
                <w:rPr>
                  <w:rStyle w:val="Hyperlink"/>
                  <w:color w:val="auto"/>
                  <w:u w:val="none"/>
                </w:rPr>
                <w:t>SQU03_3_1_</w:t>
              </w:r>
            </w:hyperlink>
            <w:r w:rsidR="005E46D5">
              <w:rPr>
                <w:rStyle w:val="Hyperlink"/>
                <w:color w:val="auto"/>
                <w:u w:val="none"/>
              </w:rPr>
              <w:t>4</w:t>
            </w:r>
          </w:p>
        </w:tc>
        <w:tc>
          <w:tcPr>
            <w:tcW w:w="7139" w:type="dxa"/>
            <w:shd w:val="clear" w:color="auto" w:fill="auto"/>
            <w:vAlign w:val="center"/>
          </w:tcPr>
          <w:p w14:paraId="521B5F38" w14:textId="602E3573" w:rsidR="002D0D1B" w:rsidRPr="00DD7098" w:rsidRDefault="002D0D1B" w:rsidP="005E46D5">
            <w:pPr>
              <w:pStyle w:val="BodyText"/>
              <w:jc w:val="center"/>
              <w:rPr>
                <w:rFonts w:cs="Arial"/>
                <w:szCs w:val="20"/>
              </w:rPr>
            </w:pPr>
            <w:r w:rsidRPr="00DD7098">
              <w:rPr>
                <w:rFonts w:cs="Arial"/>
                <w:szCs w:val="20"/>
              </w:rPr>
              <w:t>All patients who had resuscitation commenced</w:t>
            </w:r>
            <w:r w:rsidR="00C01824">
              <w:rPr>
                <w:rFonts w:cs="Arial"/>
                <w:szCs w:val="20"/>
              </w:rPr>
              <w:t xml:space="preserve"> </w:t>
            </w:r>
            <w:r>
              <w:rPr>
                <w:rFonts w:cs="Arial"/>
                <w:szCs w:val="20"/>
              </w:rPr>
              <w:t>/</w:t>
            </w:r>
            <w:r w:rsidR="00C01824">
              <w:rPr>
                <w:rFonts w:cs="Arial"/>
                <w:szCs w:val="20"/>
              </w:rPr>
              <w:t xml:space="preserve"> </w:t>
            </w:r>
            <w:r>
              <w:rPr>
                <w:rFonts w:cs="Arial"/>
                <w:szCs w:val="20"/>
              </w:rPr>
              <w:t>continued by ambulance service</w:t>
            </w:r>
            <w:r w:rsidR="00666099">
              <w:rPr>
                <w:rFonts w:cs="Arial"/>
                <w:szCs w:val="20"/>
              </w:rPr>
              <w:t xml:space="preserve"> </w:t>
            </w:r>
            <w:r w:rsidRPr="00DD7098">
              <w:rPr>
                <w:rFonts w:cs="Arial"/>
                <w:szCs w:val="20"/>
              </w:rPr>
              <w:t>following an out-of-hospital cardiac arrest</w:t>
            </w:r>
          </w:p>
        </w:tc>
        <w:tc>
          <w:tcPr>
            <w:tcW w:w="567" w:type="dxa"/>
            <w:shd w:val="clear" w:color="auto" w:fill="auto"/>
            <w:vAlign w:val="center"/>
          </w:tcPr>
          <w:p w14:paraId="7F20BABC" w14:textId="069B833E" w:rsidR="002D0D1B" w:rsidRPr="00DD7098" w:rsidRDefault="005E46D5" w:rsidP="00103121">
            <w:pPr>
              <w:pStyle w:val="BodyText3"/>
            </w:pPr>
            <w:r>
              <w:t>2</w:t>
            </w:r>
            <w:r w:rsidR="0035210D">
              <w:t>3</w:t>
            </w:r>
          </w:p>
        </w:tc>
      </w:tr>
      <w:tr w:rsidR="002D0D1B" w:rsidRPr="00DD7098" w14:paraId="2B6E888E" w14:textId="77777777" w:rsidTr="005E46D5">
        <w:trPr>
          <w:cantSplit/>
          <w:trHeight w:val="680"/>
        </w:trPr>
        <w:tc>
          <w:tcPr>
            <w:tcW w:w="1645" w:type="dxa"/>
            <w:shd w:val="clear" w:color="auto" w:fill="auto"/>
            <w:vAlign w:val="center"/>
          </w:tcPr>
          <w:p w14:paraId="56955B2E" w14:textId="77777777" w:rsidR="002D0D1B" w:rsidRPr="0065367C" w:rsidRDefault="00666099" w:rsidP="0065367C">
            <w:pPr>
              <w:pStyle w:val="BodyText"/>
              <w:jc w:val="center"/>
            </w:pPr>
            <w:hyperlink w:anchor="SQU03_3_2_1" w:history="1">
              <w:r w:rsidR="0065367C" w:rsidRPr="0065367C">
                <w:rPr>
                  <w:rStyle w:val="Hyperlink"/>
                  <w:color w:val="auto"/>
                  <w:u w:val="none"/>
                </w:rPr>
                <w:t>SQU03_3_2_1</w:t>
              </w:r>
            </w:hyperlink>
          </w:p>
        </w:tc>
        <w:tc>
          <w:tcPr>
            <w:tcW w:w="7139" w:type="dxa"/>
            <w:shd w:val="clear" w:color="auto" w:fill="auto"/>
            <w:vAlign w:val="center"/>
          </w:tcPr>
          <w:p w14:paraId="3AD7C815" w14:textId="77777777" w:rsidR="002D0D1B" w:rsidRDefault="002D0D1B" w:rsidP="0065367C">
            <w:pPr>
              <w:pStyle w:val="BodyText"/>
              <w:jc w:val="center"/>
              <w:rPr>
                <w:rFonts w:cs="Arial"/>
                <w:szCs w:val="20"/>
              </w:rPr>
            </w:pPr>
            <w:r w:rsidRPr="00DD7098">
              <w:rPr>
                <w:rFonts w:cs="Arial"/>
                <w:szCs w:val="20"/>
              </w:rPr>
              <w:t>Of the patients included in the deno</w:t>
            </w:r>
            <w:r>
              <w:rPr>
                <w:rFonts w:cs="Arial"/>
                <w:szCs w:val="20"/>
              </w:rPr>
              <w:t>minator, the number of patients</w:t>
            </w:r>
          </w:p>
          <w:p w14:paraId="03239557" w14:textId="77777777" w:rsidR="002D0D1B" w:rsidRPr="00DD7098" w:rsidRDefault="002D0D1B" w:rsidP="0065367C">
            <w:pPr>
              <w:pStyle w:val="BodyText"/>
              <w:jc w:val="center"/>
              <w:rPr>
                <w:rFonts w:cs="Arial"/>
                <w:szCs w:val="20"/>
              </w:rPr>
            </w:pPr>
            <w:r w:rsidRPr="00DD7098">
              <w:rPr>
                <w:rFonts w:cs="Arial"/>
                <w:szCs w:val="20"/>
              </w:rPr>
              <w:t>who had return of spontaneous circulation on arrival at hospital</w:t>
            </w:r>
          </w:p>
        </w:tc>
        <w:tc>
          <w:tcPr>
            <w:tcW w:w="567" w:type="dxa"/>
            <w:shd w:val="clear" w:color="auto" w:fill="auto"/>
            <w:vAlign w:val="center"/>
          </w:tcPr>
          <w:p w14:paraId="0724D791" w14:textId="6B628EB9" w:rsidR="002D0D1B" w:rsidRPr="00DD7098" w:rsidRDefault="0065367C" w:rsidP="005E46D5">
            <w:pPr>
              <w:pStyle w:val="BodyText3"/>
            </w:pPr>
            <w:r>
              <w:fldChar w:fldCharType="begin"/>
            </w:r>
            <w:r>
              <w:instrText xml:space="preserve"> PAGEREF SQU03_3_2_1 \h </w:instrText>
            </w:r>
            <w:r>
              <w:fldChar w:fldCharType="separate"/>
            </w:r>
            <w:r w:rsidR="003E6ABA">
              <w:rPr>
                <w:noProof/>
              </w:rPr>
              <w:t>2</w:t>
            </w:r>
            <w:r>
              <w:fldChar w:fldCharType="end"/>
            </w:r>
            <w:r w:rsidR="0035210D">
              <w:t>3</w:t>
            </w:r>
          </w:p>
        </w:tc>
      </w:tr>
      <w:tr w:rsidR="005E46D5" w:rsidRPr="00DD7098" w14:paraId="3E6D09BC" w14:textId="77777777" w:rsidTr="005E46D5">
        <w:trPr>
          <w:cantSplit/>
          <w:trHeight w:val="68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0DF0FF7F" w14:textId="77777777" w:rsidR="005E46D5" w:rsidRPr="005E46D5" w:rsidRDefault="00666099" w:rsidP="009008F7">
            <w:pPr>
              <w:pStyle w:val="BodyText"/>
              <w:jc w:val="center"/>
            </w:pPr>
            <w:hyperlink w:anchor="SQU03_3_2_2" w:history="1">
              <w:r w:rsidR="005E46D5" w:rsidRPr="005E46D5">
                <w:rPr>
                  <w:rStyle w:val="Hyperlink"/>
                  <w:color w:val="000000" w:themeColor="text1"/>
                  <w:u w:val="none"/>
                </w:rPr>
                <w:t>SQU03_3_2_2</w:t>
              </w:r>
            </w:hyperlink>
          </w:p>
        </w:tc>
        <w:tc>
          <w:tcPr>
            <w:tcW w:w="7139" w:type="dxa"/>
            <w:tcBorders>
              <w:top w:val="single" w:sz="4" w:space="0" w:color="auto"/>
              <w:left w:val="single" w:sz="4" w:space="0" w:color="auto"/>
              <w:bottom w:val="single" w:sz="4" w:space="0" w:color="auto"/>
              <w:right w:val="single" w:sz="4" w:space="0" w:color="auto"/>
            </w:tcBorders>
            <w:shd w:val="clear" w:color="auto" w:fill="auto"/>
            <w:vAlign w:val="center"/>
          </w:tcPr>
          <w:p w14:paraId="718667E7" w14:textId="77777777" w:rsidR="005E46D5" w:rsidRPr="00DD7098" w:rsidRDefault="005E46D5" w:rsidP="009008F7">
            <w:pPr>
              <w:pStyle w:val="BodyText"/>
              <w:jc w:val="center"/>
              <w:rPr>
                <w:rFonts w:cs="Arial"/>
                <w:szCs w:val="20"/>
              </w:rPr>
            </w:pPr>
            <w:r w:rsidRPr="00DD7098">
              <w:rPr>
                <w:rFonts w:cs="Arial"/>
                <w:szCs w:val="20"/>
              </w:rPr>
              <w:t>All patients who had resuscitation commenced</w:t>
            </w:r>
            <w:r>
              <w:rPr>
                <w:rFonts w:cs="Arial"/>
                <w:szCs w:val="20"/>
              </w:rPr>
              <w:t xml:space="preserve"> </w:t>
            </w:r>
            <w:r w:rsidRPr="00DD7098">
              <w:rPr>
                <w:rFonts w:cs="Arial"/>
                <w:szCs w:val="20"/>
              </w:rPr>
              <w:t>/</w:t>
            </w:r>
            <w:r>
              <w:rPr>
                <w:rFonts w:cs="Arial"/>
                <w:szCs w:val="20"/>
              </w:rPr>
              <w:t xml:space="preserve"> </w:t>
            </w:r>
            <w:r w:rsidRPr="00DD7098">
              <w:rPr>
                <w:rFonts w:cs="Arial"/>
                <w:szCs w:val="20"/>
              </w:rPr>
              <w:t xml:space="preserve">continued by ambulance service following an out-of-hospital cardiac arrest of presumed cardiac </w:t>
            </w:r>
            <w:r>
              <w:rPr>
                <w:rFonts w:cs="Arial"/>
                <w:szCs w:val="20"/>
              </w:rPr>
              <w:t>cause</w:t>
            </w:r>
            <w:r w:rsidRPr="00DD7098">
              <w:rPr>
                <w:rFonts w:cs="Arial"/>
                <w:szCs w:val="20"/>
              </w:rPr>
              <w:t>, where the arrest was bystander witnessed and initial rhythm was VF</w:t>
            </w:r>
            <w:r>
              <w:rPr>
                <w:rFonts w:cs="Arial"/>
                <w:szCs w:val="20"/>
              </w:rPr>
              <w:t>/</w:t>
            </w:r>
            <w:r w:rsidRPr="00DD7098">
              <w:rPr>
                <w:rFonts w:cs="Arial"/>
                <w:szCs w:val="20"/>
              </w:rPr>
              <w:t>V</w:t>
            </w:r>
            <w:r>
              <w:rPr>
                <w:rFonts w:cs="Arial"/>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CEEAC" w14:textId="77777777" w:rsidR="005E46D5" w:rsidRPr="00DD7098" w:rsidRDefault="005E46D5" w:rsidP="009008F7">
            <w:pPr>
              <w:pStyle w:val="BodyText3"/>
            </w:pPr>
            <w:r>
              <w:t>24</w:t>
            </w:r>
          </w:p>
        </w:tc>
      </w:tr>
      <w:tr w:rsidR="005E46D5" w:rsidRPr="00DD7098" w14:paraId="5EF00BE7" w14:textId="77777777" w:rsidTr="005E46D5">
        <w:trPr>
          <w:cantSplit/>
          <w:trHeight w:val="807"/>
        </w:trPr>
        <w:tc>
          <w:tcPr>
            <w:tcW w:w="1645" w:type="dxa"/>
            <w:shd w:val="clear" w:color="auto" w:fill="auto"/>
            <w:vAlign w:val="center"/>
          </w:tcPr>
          <w:p w14:paraId="1F2451A7" w14:textId="3A057795" w:rsidR="005E46D5" w:rsidRPr="0035210D" w:rsidRDefault="005E46D5" w:rsidP="0065367C">
            <w:pPr>
              <w:pStyle w:val="BodyText"/>
              <w:jc w:val="center"/>
              <w:rPr>
                <w:color w:val="FF0000"/>
              </w:rPr>
            </w:pPr>
            <w:r w:rsidRPr="0035210D">
              <w:rPr>
                <w:color w:val="FF0000"/>
              </w:rPr>
              <w:t>SQU03</w:t>
            </w:r>
            <w:r w:rsidRPr="0035210D">
              <w:rPr>
                <w:color w:val="FF0000"/>
              </w:rPr>
              <w:softHyphen/>
              <w:t>_5_2_1</w:t>
            </w:r>
          </w:p>
        </w:tc>
        <w:tc>
          <w:tcPr>
            <w:tcW w:w="7139" w:type="dxa"/>
            <w:shd w:val="clear" w:color="auto" w:fill="auto"/>
            <w:vAlign w:val="center"/>
          </w:tcPr>
          <w:p w14:paraId="4F5D38FA" w14:textId="74ACF010" w:rsidR="005E46D5" w:rsidRPr="0035210D" w:rsidRDefault="005E46D5" w:rsidP="005E46D5">
            <w:pPr>
              <w:pStyle w:val="BodyText"/>
              <w:jc w:val="center"/>
              <w:rPr>
                <w:rFonts w:cs="Arial"/>
                <w:color w:val="FF0000"/>
                <w:szCs w:val="20"/>
              </w:rPr>
            </w:pPr>
            <w:r w:rsidRPr="0035210D">
              <w:rPr>
                <w:rFonts w:cs="Arial"/>
                <w:color w:val="FF0000"/>
                <w:szCs w:val="20"/>
              </w:rPr>
              <w:t>Of the patients included in the denominator, the time between T0 and the time when the patient arrives at a designated PPCI centre as locally agreed</w:t>
            </w:r>
          </w:p>
        </w:tc>
        <w:tc>
          <w:tcPr>
            <w:tcW w:w="567" w:type="dxa"/>
            <w:shd w:val="clear" w:color="auto" w:fill="auto"/>
            <w:vAlign w:val="center"/>
          </w:tcPr>
          <w:p w14:paraId="465FA955" w14:textId="7EDD2D5D" w:rsidR="005E46D5" w:rsidRDefault="005E46D5" w:rsidP="005E46D5">
            <w:pPr>
              <w:pStyle w:val="BodyText3"/>
            </w:pPr>
            <w:r>
              <w:t>2</w:t>
            </w:r>
            <w:r w:rsidR="0035210D">
              <w:t>4</w:t>
            </w:r>
          </w:p>
        </w:tc>
      </w:tr>
      <w:tr w:rsidR="002D0D1B" w:rsidRPr="00DD7098" w14:paraId="16829CEB" w14:textId="77777777" w:rsidTr="005E46D5">
        <w:trPr>
          <w:cantSplit/>
        </w:trPr>
        <w:tc>
          <w:tcPr>
            <w:tcW w:w="1645" w:type="dxa"/>
            <w:shd w:val="clear" w:color="auto" w:fill="auto"/>
            <w:vAlign w:val="center"/>
          </w:tcPr>
          <w:p w14:paraId="35546544" w14:textId="1117B285" w:rsidR="002D0D1B" w:rsidRPr="0065367C" w:rsidRDefault="00666099" w:rsidP="0035210D">
            <w:pPr>
              <w:pStyle w:val="BodyText"/>
              <w:jc w:val="center"/>
            </w:pPr>
            <w:hyperlink w:anchor="SQU03_5_2_1" w:history="1">
              <w:r w:rsidR="0065367C" w:rsidRPr="0065367C">
                <w:rPr>
                  <w:rStyle w:val="Hyperlink"/>
                  <w:color w:val="auto"/>
                  <w:u w:val="none"/>
                </w:rPr>
                <w:t>SQU03_5_2_</w:t>
              </w:r>
            </w:hyperlink>
            <w:r w:rsidR="0035210D">
              <w:rPr>
                <w:rStyle w:val="Hyperlink"/>
                <w:color w:val="auto"/>
                <w:u w:val="none"/>
              </w:rPr>
              <w:t>2</w:t>
            </w:r>
          </w:p>
        </w:tc>
        <w:tc>
          <w:tcPr>
            <w:tcW w:w="7139" w:type="dxa"/>
            <w:shd w:val="clear" w:color="auto" w:fill="auto"/>
            <w:vAlign w:val="center"/>
          </w:tcPr>
          <w:p w14:paraId="01BDB2B4" w14:textId="317F8CD2" w:rsidR="002D0D1B" w:rsidRPr="00DD7098" w:rsidRDefault="002D0D1B" w:rsidP="0035210D">
            <w:pPr>
              <w:pStyle w:val="BodyText"/>
              <w:jc w:val="center"/>
              <w:rPr>
                <w:rFonts w:cs="Arial"/>
                <w:szCs w:val="20"/>
              </w:rPr>
            </w:pPr>
            <w:r w:rsidRPr="00DD7098">
              <w:rPr>
                <w:rFonts w:cs="Arial"/>
                <w:szCs w:val="20"/>
              </w:rPr>
              <w:t>Patients with initial diagnosis of ‘definite myocardial infarction’ for whom primary angioplasty balloon inflation occurred within 150 minutes of emergency call connected to ambulance service</w:t>
            </w:r>
          </w:p>
        </w:tc>
        <w:tc>
          <w:tcPr>
            <w:tcW w:w="567" w:type="dxa"/>
            <w:shd w:val="clear" w:color="auto" w:fill="auto"/>
            <w:vAlign w:val="center"/>
          </w:tcPr>
          <w:p w14:paraId="657D646D" w14:textId="430CB1E2" w:rsidR="002D0D1B" w:rsidRPr="00DD7098" w:rsidRDefault="0035210D" w:rsidP="00103121">
            <w:pPr>
              <w:pStyle w:val="BodyText3"/>
            </w:pPr>
            <w:r>
              <w:t>24</w:t>
            </w:r>
          </w:p>
        </w:tc>
      </w:tr>
      <w:tr w:rsidR="002D0D1B" w:rsidRPr="00DD7098" w14:paraId="48785298" w14:textId="77777777" w:rsidTr="005E46D5">
        <w:trPr>
          <w:cantSplit/>
        </w:trPr>
        <w:tc>
          <w:tcPr>
            <w:tcW w:w="1645" w:type="dxa"/>
            <w:shd w:val="clear" w:color="auto" w:fill="auto"/>
            <w:vAlign w:val="center"/>
          </w:tcPr>
          <w:p w14:paraId="2BCA9C65" w14:textId="0DFBD4E6" w:rsidR="002D0D1B" w:rsidRPr="0065367C" w:rsidRDefault="00666099" w:rsidP="0035210D">
            <w:pPr>
              <w:pStyle w:val="BodyText"/>
              <w:jc w:val="center"/>
            </w:pPr>
            <w:hyperlink w:anchor="SQU03_5_2_2" w:history="1">
              <w:r w:rsidR="0065367C" w:rsidRPr="0065367C">
                <w:rPr>
                  <w:rStyle w:val="Hyperlink"/>
                  <w:color w:val="auto"/>
                  <w:u w:val="none"/>
                </w:rPr>
                <w:t>SQU03_5_2_</w:t>
              </w:r>
            </w:hyperlink>
            <w:r w:rsidR="0035210D">
              <w:rPr>
                <w:rStyle w:val="Hyperlink"/>
                <w:color w:val="auto"/>
                <w:u w:val="none"/>
              </w:rPr>
              <w:t>3</w:t>
            </w:r>
          </w:p>
        </w:tc>
        <w:tc>
          <w:tcPr>
            <w:tcW w:w="7139" w:type="dxa"/>
            <w:shd w:val="clear" w:color="auto" w:fill="auto"/>
            <w:vAlign w:val="center"/>
          </w:tcPr>
          <w:p w14:paraId="16DE8AF0" w14:textId="77777777" w:rsidR="002D0D1B" w:rsidRDefault="002D0D1B" w:rsidP="0065367C">
            <w:pPr>
              <w:pStyle w:val="BodyText"/>
              <w:jc w:val="center"/>
              <w:rPr>
                <w:rFonts w:cs="Arial"/>
                <w:szCs w:val="20"/>
              </w:rPr>
            </w:pPr>
            <w:r w:rsidRPr="00DD7098">
              <w:rPr>
                <w:rFonts w:cs="Arial"/>
                <w:szCs w:val="20"/>
              </w:rPr>
              <w:t>Patients with initial diagnosis of ‘</w:t>
            </w:r>
            <w:r>
              <w:rPr>
                <w:rFonts w:cs="Arial"/>
                <w:szCs w:val="20"/>
              </w:rPr>
              <w:t>definite myocardial infarction’</w:t>
            </w:r>
          </w:p>
          <w:p w14:paraId="7284CE29" w14:textId="77777777" w:rsidR="002D0D1B" w:rsidRDefault="002D0D1B" w:rsidP="0065367C">
            <w:pPr>
              <w:pStyle w:val="BodyText"/>
              <w:jc w:val="center"/>
              <w:rPr>
                <w:rFonts w:cs="Arial"/>
                <w:szCs w:val="20"/>
              </w:rPr>
            </w:pPr>
            <w:r w:rsidRPr="00DD7098">
              <w:rPr>
                <w:rFonts w:cs="Arial"/>
                <w:szCs w:val="20"/>
              </w:rPr>
              <w:t>who received primary angioplasty, where</w:t>
            </w:r>
            <w:r>
              <w:rPr>
                <w:rFonts w:cs="Arial"/>
                <w:szCs w:val="20"/>
              </w:rPr>
              <w:t xml:space="preserve"> first diagnostic ECG performed</w:t>
            </w:r>
          </w:p>
          <w:p w14:paraId="6D890650" w14:textId="4B9B2C90" w:rsidR="002D0D1B" w:rsidRPr="00DD7098" w:rsidRDefault="002D0D1B" w:rsidP="0035210D">
            <w:pPr>
              <w:pStyle w:val="BodyText"/>
              <w:jc w:val="center"/>
              <w:rPr>
                <w:rFonts w:cs="Arial"/>
                <w:szCs w:val="20"/>
              </w:rPr>
            </w:pPr>
            <w:r w:rsidRPr="00DD7098">
              <w:rPr>
                <w:rFonts w:cs="Arial"/>
                <w:szCs w:val="20"/>
              </w:rPr>
              <w:t>is by ambulance personnel</w:t>
            </w:r>
          </w:p>
        </w:tc>
        <w:tc>
          <w:tcPr>
            <w:tcW w:w="567" w:type="dxa"/>
            <w:shd w:val="clear" w:color="auto" w:fill="auto"/>
            <w:vAlign w:val="center"/>
          </w:tcPr>
          <w:p w14:paraId="3CC40ECB" w14:textId="6CB06EA7" w:rsidR="002D0D1B" w:rsidRPr="00DD7098" w:rsidRDefault="0035210D" w:rsidP="00103121">
            <w:pPr>
              <w:pStyle w:val="BodyText3"/>
            </w:pPr>
            <w:r>
              <w:t>24</w:t>
            </w:r>
          </w:p>
        </w:tc>
      </w:tr>
      <w:tr w:rsidR="002D0D1B" w:rsidRPr="00DD7098" w14:paraId="69CB79E1" w14:textId="77777777" w:rsidTr="005E46D5">
        <w:trPr>
          <w:cantSplit/>
          <w:trHeight w:val="680"/>
        </w:trPr>
        <w:tc>
          <w:tcPr>
            <w:tcW w:w="1645" w:type="dxa"/>
            <w:shd w:val="clear" w:color="auto" w:fill="auto"/>
            <w:vAlign w:val="center"/>
          </w:tcPr>
          <w:p w14:paraId="4B056AAF" w14:textId="77777777" w:rsidR="002D0D1B" w:rsidRPr="0065367C" w:rsidRDefault="00666099" w:rsidP="0065367C">
            <w:pPr>
              <w:pStyle w:val="BodyText"/>
              <w:jc w:val="center"/>
            </w:pPr>
            <w:hyperlink w:anchor="SQU03_5_3_1" w:history="1">
              <w:r w:rsidR="0065367C" w:rsidRPr="0065367C">
                <w:rPr>
                  <w:rStyle w:val="Hyperlink"/>
                  <w:color w:val="auto"/>
                  <w:u w:val="none"/>
                </w:rPr>
                <w:t>SQU03_5_3_1</w:t>
              </w:r>
            </w:hyperlink>
          </w:p>
        </w:tc>
        <w:tc>
          <w:tcPr>
            <w:tcW w:w="7139" w:type="dxa"/>
            <w:shd w:val="clear" w:color="auto" w:fill="auto"/>
            <w:vAlign w:val="center"/>
          </w:tcPr>
          <w:p w14:paraId="29DA90C5" w14:textId="77777777" w:rsidR="002D0D1B" w:rsidRPr="00DD7098" w:rsidRDefault="002D0D1B" w:rsidP="00CA3BDD">
            <w:pPr>
              <w:pStyle w:val="BodyText"/>
              <w:jc w:val="center"/>
              <w:rPr>
                <w:rFonts w:cs="Arial"/>
                <w:szCs w:val="20"/>
              </w:rPr>
            </w:pPr>
            <w:r w:rsidRPr="00DD7098">
              <w:rPr>
                <w:rFonts w:cs="Arial"/>
                <w:szCs w:val="20"/>
              </w:rPr>
              <w:t xml:space="preserve">Patients with a pre-hospital diagnosis of suspected </w:t>
            </w:r>
            <w:r w:rsidR="00CA3BDD">
              <w:rPr>
                <w:rFonts w:cs="Arial"/>
                <w:szCs w:val="20"/>
              </w:rPr>
              <w:t>STEMI</w:t>
            </w:r>
            <w:r w:rsidRPr="00DD7098">
              <w:rPr>
                <w:rFonts w:cs="Arial"/>
                <w:szCs w:val="20"/>
              </w:rPr>
              <w:t xml:space="preserve"> confirmed on</w:t>
            </w:r>
            <w:r>
              <w:rPr>
                <w:rFonts w:cs="Arial"/>
                <w:szCs w:val="20"/>
              </w:rPr>
              <w:t xml:space="preserve"> </w:t>
            </w:r>
            <w:r w:rsidRPr="00DD7098">
              <w:rPr>
                <w:rFonts w:cs="Arial"/>
                <w:szCs w:val="20"/>
              </w:rPr>
              <w:t>ECG who received an appropriate care bundle</w:t>
            </w:r>
          </w:p>
        </w:tc>
        <w:tc>
          <w:tcPr>
            <w:tcW w:w="567" w:type="dxa"/>
            <w:shd w:val="clear" w:color="auto" w:fill="auto"/>
            <w:vAlign w:val="center"/>
          </w:tcPr>
          <w:p w14:paraId="40F09D33" w14:textId="60FF053F" w:rsidR="002D0D1B" w:rsidRPr="00DD7098" w:rsidRDefault="0035210D" w:rsidP="0035210D">
            <w:pPr>
              <w:pStyle w:val="BodyText3"/>
            </w:pPr>
            <w:r>
              <w:t>25</w:t>
            </w:r>
          </w:p>
        </w:tc>
      </w:tr>
      <w:tr w:rsidR="002D0D1B" w:rsidRPr="00DD7098" w14:paraId="249D3606" w14:textId="77777777" w:rsidTr="005E46D5">
        <w:trPr>
          <w:cantSplit/>
          <w:trHeight w:val="680"/>
        </w:trPr>
        <w:tc>
          <w:tcPr>
            <w:tcW w:w="1645" w:type="dxa"/>
            <w:shd w:val="clear" w:color="auto" w:fill="auto"/>
            <w:vAlign w:val="center"/>
          </w:tcPr>
          <w:p w14:paraId="3E0F8A19" w14:textId="77777777" w:rsidR="002D0D1B" w:rsidRPr="0065367C" w:rsidRDefault="00666099" w:rsidP="0065367C">
            <w:pPr>
              <w:pStyle w:val="BodyText"/>
              <w:jc w:val="center"/>
            </w:pPr>
            <w:hyperlink w:anchor="SQU03_5_3_2" w:history="1">
              <w:r w:rsidR="0065367C" w:rsidRPr="0065367C">
                <w:rPr>
                  <w:rStyle w:val="Hyperlink"/>
                  <w:color w:val="auto"/>
                  <w:u w:val="none"/>
                </w:rPr>
                <w:t>SQU03_5_3_2</w:t>
              </w:r>
            </w:hyperlink>
          </w:p>
        </w:tc>
        <w:tc>
          <w:tcPr>
            <w:tcW w:w="7139" w:type="dxa"/>
            <w:shd w:val="clear" w:color="auto" w:fill="auto"/>
            <w:vAlign w:val="center"/>
          </w:tcPr>
          <w:p w14:paraId="7531C75B" w14:textId="77777777" w:rsidR="002D0D1B" w:rsidRPr="00DD7098" w:rsidRDefault="002D0D1B" w:rsidP="00CA3BDD">
            <w:pPr>
              <w:pStyle w:val="BodyText"/>
              <w:jc w:val="center"/>
              <w:rPr>
                <w:rFonts w:cs="Arial"/>
                <w:szCs w:val="20"/>
              </w:rPr>
            </w:pPr>
            <w:r w:rsidRPr="00DD7098">
              <w:rPr>
                <w:rFonts w:cs="Arial"/>
                <w:szCs w:val="20"/>
              </w:rPr>
              <w:t>Patients with a pre-hospital diag</w:t>
            </w:r>
            <w:r>
              <w:rPr>
                <w:rFonts w:cs="Arial"/>
                <w:szCs w:val="20"/>
              </w:rPr>
              <w:t xml:space="preserve">nosis of suspected </w:t>
            </w:r>
            <w:r w:rsidR="00CA3BDD">
              <w:rPr>
                <w:rFonts w:cs="Arial"/>
                <w:szCs w:val="20"/>
              </w:rPr>
              <w:t>STEMI</w:t>
            </w:r>
            <w:r w:rsidRPr="00DD7098">
              <w:rPr>
                <w:rFonts w:cs="Arial"/>
                <w:szCs w:val="20"/>
              </w:rPr>
              <w:t xml:space="preserve"> confirmed on</w:t>
            </w:r>
            <w:r>
              <w:rPr>
                <w:rFonts w:cs="Arial"/>
                <w:szCs w:val="20"/>
              </w:rPr>
              <w:t xml:space="preserve"> </w:t>
            </w:r>
            <w:r w:rsidRPr="00DD7098">
              <w:rPr>
                <w:rFonts w:cs="Arial"/>
                <w:szCs w:val="20"/>
              </w:rPr>
              <w:t>ECG</w:t>
            </w:r>
          </w:p>
        </w:tc>
        <w:tc>
          <w:tcPr>
            <w:tcW w:w="567" w:type="dxa"/>
            <w:shd w:val="clear" w:color="auto" w:fill="auto"/>
            <w:vAlign w:val="center"/>
          </w:tcPr>
          <w:p w14:paraId="11B9EBF1" w14:textId="39DA464E" w:rsidR="002D0D1B" w:rsidRPr="00DD7098" w:rsidRDefault="0035210D" w:rsidP="0035210D">
            <w:pPr>
              <w:pStyle w:val="BodyText3"/>
            </w:pPr>
            <w:r>
              <w:t>25</w:t>
            </w:r>
          </w:p>
        </w:tc>
      </w:tr>
      <w:tr w:rsidR="002D0D1B" w:rsidRPr="00DD7098" w14:paraId="74517549" w14:textId="77777777" w:rsidTr="005E46D5">
        <w:trPr>
          <w:cantSplit/>
        </w:trPr>
        <w:tc>
          <w:tcPr>
            <w:tcW w:w="1645" w:type="dxa"/>
            <w:shd w:val="clear" w:color="auto" w:fill="auto"/>
            <w:vAlign w:val="center"/>
          </w:tcPr>
          <w:p w14:paraId="3E2E43DF" w14:textId="77777777" w:rsidR="002D0D1B" w:rsidRPr="0096026E" w:rsidRDefault="00666099" w:rsidP="0065367C">
            <w:pPr>
              <w:pStyle w:val="BodyText"/>
              <w:jc w:val="center"/>
              <w:rPr>
                <w:color w:val="FF0000"/>
              </w:rPr>
            </w:pPr>
            <w:hyperlink w:anchor="SQU03_6_1_1" w:history="1">
              <w:r w:rsidR="0065367C" w:rsidRPr="0096026E">
                <w:rPr>
                  <w:rStyle w:val="Hyperlink"/>
                  <w:color w:val="FF0000"/>
                  <w:u w:val="none"/>
                </w:rPr>
                <w:t>SQU03_6_1_1</w:t>
              </w:r>
            </w:hyperlink>
          </w:p>
        </w:tc>
        <w:tc>
          <w:tcPr>
            <w:tcW w:w="7139" w:type="dxa"/>
            <w:shd w:val="clear" w:color="auto" w:fill="auto"/>
            <w:vAlign w:val="center"/>
          </w:tcPr>
          <w:p w14:paraId="0FEE84A0" w14:textId="77777777" w:rsidR="002D0D1B" w:rsidRPr="0096026E" w:rsidRDefault="002D0D1B" w:rsidP="0065367C">
            <w:pPr>
              <w:pStyle w:val="BodyText"/>
              <w:jc w:val="center"/>
              <w:rPr>
                <w:rFonts w:cs="Arial"/>
                <w:color w:val="FF0000"/>
                <w:szCs w:val="20"/>
              </w:rPr>
            </w:pPr>
            <w:r w:rsidRPr="0096026E">
              <w:rPr>
                <w:rFonts w:cs="Arial"/>
                <w:color w:val="FF0000"/>
                <w:szCs w:val="20"/>
              </w:rPr>
              <w:t>FAST positive patients (assessed face to face)</w:t>
            </w:r>
          </w:p>
          <w:p w14:paraId="019EA2F0" w14:textId="74DD4D76" w:rsidR="002D0D1B" w:rsidRPr="0096026E" w:rsidRDefault="002D0D1B" w:rsidP="0035210D">
            <w:pPr>
              <w:pStyle w:val="BodyText"/>
              <w:jc w:val="center"/>
              <w:rPr>
                <w:rFonts w:cs="Arial"/>
                <w:color w:val="FF0000"/>
                <w:szCs w:val="20"/>
              </w:rPr>
            </w:pPr>
            <w:r w:rsidRPr="0096026E">
              <w:rPr>
                <w:rFonts w:cs="Arial"/>
                <w:color w:val="FF0000"/>
                <w:szCs w:val="20"/>
              </w:rPr>
              <w:t xml:space="preserve">potentially eligible for stroke thrombolysis </w:t>
            </w:r>
            <w:r w:rsidR="0035210D" w:rsidRPr="0096026E">
              <w:rPr>
                <w:rFonts w:cs="Arial"/>
                <w:color w:val="FF0000"/>
                <w:szCs w:val="20"/>
              </w:rPr>
              <w:t>g</w:t>
            </w:r>
            <w:r w:rsidRPr="0096026E">
              <w:rPr>
                <w:rFonts w:cs="Arial"/>
                <w:color w:val="FF0000"/>
                <w:szCs w:val="20"/>
              </w:rPr>
              <w:t xml:space="preserve">uidelines arriving at hospitals with a </w:t>
            </w:r>
            <w:proofErr w:type="spellStart"/>
            <w:r w:rsidRPr="0096026E">
              <w:rPr>
                <w:rFonts w:cs="Arial"/>
                <w:color w:val="FF0000"/>
                <w:szCs w:val="20"/>
              </w:rPr>
              <w:t>hyperacute</w:t>
            </w:r>
            <w:proofErr w:type="spellEnd"/>
            <w:r w:rsidRPr="0096026E">
              <w:rPr>
                <w:rFonts w:cs="Arial"/>
                <w:color w:val="FF0000"/>
                <w:szCs w:val="20"/>
              </w:rPr>
              <w:t xml:space="preserve"> stroke centre</w:t>
            </w:r>
            <w:r w:rsidR="0035210D" w:rsidRPr="0096026E">
              <w:rPr>
                <w:rFonts w:cs="Arial"/>
                <w:color w:val="FF0000"/>
                <w:szCs w:val="20"/>
              </w:rPr>
              <w:t xml:space="preserve"> </w:t>
            </w:r>
            <w:r w:rsidRPr="0096026E">
              <w:rPr>
                <w:rFonts w:cs="Arial"/>
                <w:color w:val="FF0000"/>
                <w:szCs w:val="20"/>
              </w:rPr>
              <w:t>within 60 minutes of emergency call</w:t>
            </w:r>
            <w:r w:rsidR="002A734B">
              <w:rPr>
                <w:rFonts w:cs="Arial"/>
                <w:color w:val="FF0000"/>
                <w:szCs w:val="20"/>
              </w:rPr>
              <w:t xml:space="preserve"> (T0)</w:t>
            </w:r>
          </w:p>
        </w:tc>
        <w:tc>
          <w:tcPr>
            <w:tcW w:w="567" w:type="dxa"/>
            <w:shd w:val="clear" w:color="auto" w:fill="auto"/>
            <w:vAlign w:val="center"/>
          </w:tcPr>
          <w:p w14:paraId="3DDD7800" w14:textId="2135D134" w:rsidR="002D0D1B" w:rsidRPr="00DD7098" w:rsidRDefault="0065367C" w:rsidP="0035210D">
            <w:pPr>
              <w:pStyle w:val="BodyText3"/>
            </w:pPr>
            <w:r>
              <w:fldChar w:fldCharType="begin"/>
            </w:r>
            <w:r>
              <w:instrText xml:space="preserve"> PAGEREF SQU03_6_1_1 \h </w:instrText>
            </w:r>
            <w:r>
              <w:fldChar w:fldCharType="separate"/>
            </w:r>
            <w:r w:rsidR="003E6ABA">
              <w:rPr>
                <w:noProof/>
              </w:rPr>
              <w:t>2</w:t>
            </w:r>
            <w:r>
              <w:fldChar w:fldCharType="end"/>
            </w:r>
            <w:r w:rsidR="0035210D">
              <w:t>6</w:t>
            </w:r>
          </w:p>
        </w:tc>
      </w:tr>
      <w:tr w:rsidR="002D0D1B" w:rsidRPr="00DD7098" w14:paraId="3D91B44B" w14:textId="77777777" w:rsidTr="005E46D5">
        <w:trPr>
          <w:cantSplit/>
          <w:trHeight w:val="680"/>
        </w:trPr>
        <w:tc>
          <w:tcPr>
            <w:tcW w:w="1645" w:type="dxa"/>
            <w:shd w:val="clear" w:color="auto" w:fill="auto"/>
            <w:vAlign w:val="center"/>
          </w:tcPr>
          <w:p w14:paraId="740D5C4A" w14:textId="77777777" w:rsidR="002D0D1B" w:rsidRPr="0065367C" w:rsidRDefault="00666099" w:rsidP="0065367C">
            <w:pPr>
              <w:pStyle w:val="BodyText"/>
              <w:jc w:val="center"/>
            </w:pPr>
            <w:hyperlink w:anchor="SQU03_6_1_2" w:history="1">
              <w:r w:rsidR="0065367C" w:rsidRPr="0065367C">
                <w:rPr>
                  <w:rStyle w:val="Hyperlink"/>
                  <w:color w:val="auto"/>
                  <w:u w:val="none"/>
                </w:rPr>
                <w:t>SQU03_6_1_2</w:t>
              </w:r>
            </w:hyperlink>
          </w:p>
        </w:tc>
        <w:tc>
          <w:tcPr>
            <w:tcW w:w="7139" w:type="dxa"/>
            <w:shd w:val="clear" w:color="auto" w:fill="auto"/>
            <w:vAlign w:val="center"/>
          </w:tcPr>
          <w:p w14:paraId="3F9A7CF1" w14:textId="77777777" w:rsidR="002D0D1B" w:rsidRDefault="002D0D1B" w:rsidP="0065367C">
            <w:pPr>
              <w:pStyle w:val="BodyText"/>
              <w:jc w:val="center"/>
              <w:rPr>
                <w:rFonts w:cs="Arial"/>
                <w:szCs w:val="20"/>
              </w:rPr>
            </w:pPr>
            <w:r w:rsidRPr="00DD7098">
              <w:rPr>
                <w:rFonts w:cs="Arial"/>
                <w:szCs w:val="20"/>
              </w:rPr>
              <w:t>FAST positive patients (assessed face to face) potentially eligible</w:t>
            </w:r>
          </w:p>
          <w:p w14:paraId="24B7FF58" w14:textId="77777777" w:rsidR="002D0D1B" w:rsidRPr="00DD7098" w:rsidRDefault="002D0D1B" w:rsidP="0065367C">
            <w:pPr>
              <w:pStyle w:val="BodyText"/>
              <w:jc w:val="center"/>
              <w:rPr>
                <w:rFonts w:cs="Arial"/>
                <w:szCs w:val="20"/>
              </w:rPr>
            </w:pPr>
            <w:r w:rsidRPr="00DD7098">
              <w:rPr>
                <w:rFonts w:cs="Arial"/>
                <w:szCs w:val="20"/>
              </w:rPr>
              <w:t>for stroke thrombolysis within agreed local guidelines</w:t>
            </w:r>
          </w:p>
        </w:tc>
        <w:tc>
          <w:tcPr>
            <w:tcW w:w="567" w:type="dxa"/>
            <w:shd w:val="clear" w:color="auto" w:fill="auto"/>
            <w:vAlign w:val="center"/>
          </w:tcPr>
          <w:p w14:paraId="41CBABFC" w14:textId="6738ABAA" w:rsidR="002D0D1B" w:rsidRPr="00DD7098" w:rsidRDefault="0035210D" w:rsidP="00103121">
            <w:pPr>
              <w:pStyle w:val="BodyText3"/>
            </w:pPr>
            <w:r>
              <w:t>26</w:t>
            </w:r>
          </w:p>
        </w:tc>
      </w:tr>
      <w:tr w:rsidR="002D0D1B" w:rsidRPr="00DD7098" w14:paraId="412014AC" w14:textId="77777777" w:rsidTr="005E46D5">
        <w:trPr>
          <w:cantSplit/>
          <w:trHeight w:val="680"/>
        </w:trPr>
        <w:tc>
          <w:tcPr>
            <w:tcW w:w="1645" w:type="dxa"/>
            <w:shd w:val="clear" w:color="auto" w:fill="auto"/>
            <w:vAlign w:val="center"/>
          </w:tcPr>
          <w:p w14:paraId="19BE819B" w14:textId="77777777" w:rsidR="002D0D1B" w:rsidRPr="0065367C" w:rsidRDefault="00666099" w:rsidP="0065367C">
            <w:pPr>
              <w:pStyle w:val="BodyText"/>
              <w:jc w:val="center"/>
            </w:pPr>
            <w:hyperlink w:anchor="SQU03_6_2_1" w:history="1">
              <w:r w:rsidR="0065367C" w:rsidRPr="0065367C">
                <w:rPr>
                  <w:rStyle w:val="Hyperlink"/>
                  <w:color w:val="auto"/>
                  <w:u w:val="none"/>
                </w:rPr>
                <w:t>SQU03_6_2_1</w:t>
              </w:r>
            </w:hyperlink>
          </w:p>
        </w:tc>
        <w:tc>
          <w:tcPr>
            <w:tcW w:w="7139" w:type="dxa"/>
            <w:shd w:val="clear" w:color="auto" w:fill="auto"/>
            <w:vAlign w:val="center"/>
          </w:tcPr>
          <w:p w14:paraId="3C7EE16A" w14:textId="77777777" w:rsidR="002D0D1B" w:rsidRPr="00DD7098" w:rsidRDefault="002D0D1B" w:rsidP="004111D0">
            <w:pPr>
              <w:pStyle w:val="BodyText"/>
              <w:jc w:val="center"/>
              <w:rPr>
                <w:rFonts w:cs="Arial"/>
                <w:szCs w:val="20"/>
              </w:rPr>
            </w:pPr>
            <w:r w:rsidRPr="00DD7098">
              <w:rPr>
                <w:rFonts w:cs="Arial"/>
                <w:szCs w:val="20"/>
              </w:rPr>
              <w:t xml:space="preserve">The number of suspected stroke </w:t>
            </w:r>
            <w:r w:rsidR="004111D0" w:rsidRPr="004111D0">
              <w:rPr>
                <w:rFonts w:cs="Arial"/>
                <w:szCs w:val="20"/>
              </w:rPr>
              <w:t xml:space="preserve">or unresolved transient ischaemic attack patients </w:t>
            </w:r>
            <w:r w:rsidRPr="00DD7098">
              <w:rPr>
                <w:rFonts w:cs="Arial"/>
                <w:szCs w:val="20"/>
              </w:rPr>
              <w:t>assessed face to face</w:t>
            </w:r>
            <w:r w:rsidR="004111D0">
              <w:rPr>
                <w:rFonts w:cs="Arial"/>
                <w:szCs w:val="20"/>
              </w:rPr>
              <w:t xml:space="preserve"> </w:t>
            </w:r>
            <w:r w:rsidRPr="00DD7098">
              <w:rPr>
                <w:rFonts w:cs="Arial"/>
                <w:szCs w:val="20"/>
              </w:rPr>
              <w:t>who received an appropriate care bundle</w:t>
            </w:r>
          </w:p>
        </w:tc>
        <w:tc>
          <w:tcPr>
            <w:tcW w:w="567" w:type="dxa"/>
            <w:shd w:val="clear" w:color="auto" w:fill="auto"/>
            <w:vAlign w:val="center"/>
          </w:tcPr>
          <w:p w14:paraId="6A9A6BA2" w14:textId="0F70A683" w:rsidR="002D0D1B" w:rsidRPr="00DD7098" w:rsidRDefault="0035210D" w:rsidP="00103121">
            <w:pPr>
              <w:pStyle w:val="BodyText3"/>
            </w:pPr>
            <w:r>
              <w:t>27</w:t>
            </w:r>
          </w:p>
        </w:tc>
      </w:tr>
      <w:tr w:rsidR="002D0D1B" w:rsidRPr="00DD7098" w14:paraId="51DFD485" w14:textId="77777777" w:rsidTr="005E46D5">
        <w:trPr>
          <w:cantSplit/>
          <w:trHeight w:val="680"/>
        </w:trPr>
        <w:tc>
          <w:tcPr>
            <w:tcW w:w="1645" w:type="dxa"/>
            <w:shd w:val="clear" w:color="auto" w:fill="auto"/>
            <w:vAlign w:val="center"/>
          </w:tcPr>
          <w:p w14:paraId="06C5D6C4" w14:textId="77777777" w:rsidR="002D0D1B" w:rsidRPr="0065367C" w:rsidRDefault="00666099" w:rsidP="0065367C">
            <w:pPr>
              <w:pStyle w:val="BodyText"/>
              <w:jc w:val="center"/>
            </w:pPr>
            <w:hyperlink w:anchor="SQU03_6_2_2" w:history="1">
              <w:r w:rsidR="0065367C" w:rsidRPr="0065367C">
                <w:rPr>
                  <w:rStyle w:val="Hyperlink"/>
                  <w:color w:val="auto"/>
                  <w:u w:val="none"/>
                </w:rPr>
                <w:t>SQU03_6_2_2</w:t>
              </w:r>
            </w:hyperlink>
          </w:p>
        </w:tc>
        <w:tc>
          <w:tcPr>
            <w:tcW w:w="7139" w:type="dxa"/>
            <w:shd w:val="clear" w:color="auto" w:fill="auto"/>
            <w:vAlign w:val="center"/>
          </w:tcPr>
          <w:p w14:paraId="6ECCCD3B" w14:textId="77777777" w:rsidR="002D0D1B" w:rsidRPr="00DD7098" w:rsidRDefault="002D0D1B" w:rsidP="004111D0">
            <w:pPr>
              <w:pStyle w:val="BodyText"/>
              <w:jc w:val="center"/>
              <w:rPr>
                <w:rFonts w:cs="Arial"/>
                <w:szCs w:val="20"/>
              </w:rPr>
            </w:pPr>
            <w:r w:rsidRPr="00DD7098">
              <w:rPr>
                <w:rFonts w:cs="Arial"/>
                <w:szCs w:val="20"/>
              </w:rPr>
              <w:t xml:space="preserve">The number of suspected stroke </w:t>
            </w:r>
            <w:r w:rsidR="004111D0" w:rsidRPr="004111D0">
              <w:rPr>
                <w:rFonts w:cs="Arial"/>
                <w:szCs w:val="20"/>
              </w:rPr>
              <w:t>or unresolved transient ischaemic attack patients</w:t>
            </w:r>
            <w:r w:rsidRPr="00DD7098">
              <w:rPr>
                <w:rFonts w:cs="Arial"/>
                <w:szCs w:val="20"/>
              </w:rPr>
              <w:t xml:space="preserve"> assessed face to face</w:t>
            </w:r>
          </w:p>
        </w:tc>
        <w:tc>
          <w:tcPr>
            <w:tcW w:w="567" w:type="dxa"/>
            <w:shd w:val="clear" w:color="auto" w:fill="auto"/>
            <w:vAlign w:val="center"/>
          </w:tcPr>
          <w:p w14:paraId="41EA3AD5" w14:textId="32C057F3" w:rsidR="002D0D1B" w:rsidRPr="00DD7098" w:rsidRDefault="0035210D" w:rsidP="00103121">
            <w:pPr>
              <w:pStyle w:val="BodyText3"/>
            </w:pPr>
            <w:r>
              <w:t>27</w:t>
            </w:r>
          </w:p>
        </w:tc>
      </w:tr>
      <w:tr w:rsidR="002D0D1B" w:rsidRPr="00DD7098" w14:paraId="5D51EB37" w14:textId="77777777" w:rsidTr="005E46D5">
        <w:trPr>
          <w:cantSplit/>
          <w:trHeight w:val="680"/>
        </w:trPr>
        <w:tc>
          <w:tcPr>
            <w:tcW w:w="1645" w:type="dxa"/>
            <w:shd w:val="clear" w:color="auto" w:fill="auto"/>
            <w:vAlign w:val="center"/>
          </w:tcPr>
          <w:p w14:paraId="12E8D5AD" w14:textId="532FB276" w:rsidR="002D0D1B" w:rsidRPr="0065367C" w:rsidRDefault="002D0D1B" w:rsidP="0065367C">
            <w:pPr>
              <w:pStyle w:val="BodyText"/>
              <w:jc w:val="center"/>
            </w:pPr>
            <w:r w:rsidRPr="0065367C">
              <w:fldChar w:fldCharType="begin"/>
            </w:r>
            <w:r w:rsidRPr="0065367C">
              <w:instrText xml:space="preserve"> REF SQU03_7_1_1 \h  \* MERGEFORMAT </w:instrText>
            </w:r>
            <w:r w:rsidRPr="0065367C">
              <w:fldChar w:fldCharType="separate"/>
            </w:r>
            <w:r w:rsidR="003E6ABA" w:rsidRPr="00F27E98">
              <w:t>SQU03_7_1_1</w:t>
            </w:r>
            <w:r w:rsidRPr="0065367C">
              <w:fldChar w:fldCharType="end"/>
            </w:r>
          </w:p>
        </w:tc>
        <w:tc>
          <w:tcPr>
            <w:tcW w:w="7139" w:type="dxa"/>
            <w:shd w:val="clear" w:color="auto" w:fill="auto"/>
            <w:vAlign w:val="center"/>
          </w:tcPr>
          <w:p w14:paraId="0959FBC8" w14:textId="77777777" w:rsidR="002D0D1B" w:rsidRDefault="002D0D1B" w:rsidP="0065367C">
            <w:pPr>
              <w:pStyle w:val="BodyText"/>
              <w:jc w:val="center"/>
              <w:rPr>
                <w:rFonts w:cs="Arial"/>
                <w:szCs w:val="20"/>
              </w:rPr>
            </w:pPr>
            <w:r w:rsidRPr="00DD7098">
              <w:rPr>
                <w:rFonts w:cs="Arial"/>
                <w:szCs w:val="20"/>
              </w:rPr>
              <w:t xml:space="preserve">Of the patients included in </w:t>
            </w:r>
            <w:r w:rsidR="004111D0">
              <w:rPr>
                <w:rFonts w:cs="Arial"/>
                <w:szCs w:val="20"/>
              </w:rPr>
              <w:t>SQU03_7_1_2</w:t>
            </w:r>
            <w:r>
              <w:rPr>
                <w:rFonts w:cs="Arial"/>
                <w:szCs w:val="20"/>
              </w:rPr>
              <w:t>,</w:t>
            </w:r>
          </w:p>
          <w:p w14:paraId="5C1CE865" w14:textId="77777777" w:rsidR="002D0D1B" w:rsidRPr="00DD7098" w:rsidRDefault="002D0D1B"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14:paraId="5C0C4222" w14:textId="1323F638" w:rsidR="002D0D1B" w:rsidRPr="00DD7098" w:rsidRDefault="0035210D" w:rsidP="00103121">
            <w:pPr>
              <w:pStyle w:val="BodyText3"/>
            </w:pPr>
            <w:r>
              <w:t>28</w:t>
            </w:r>
          </w:p>
        </w:tc>
      </w:tr>
      <w:tr w:rsidR="002D0D1B" w:rsidRPr="00DD7098" w14:paraId="38C434BC" w14:textId="77777777" w:rsidTr="005E46D5">
        <w:trPr>
          <w:cantSplit/>
        </w:trPr>
        <w:tc>
          <w:tcPr>
            <w:tcW w:w="1645" w:type="dxa"/>
            <w:shd w:val="clear" w:color="auto" w:fill="auto"/>
            <w:vAlign w:val="center"/>
          </w:tcPr>
          <w:p w14:paraId="2AB98728" w14:textId="2B004EE8" w:rsidR="002D0D1B" w:rsidRPr="0065367C" w:rsidRDefault="002D0D1B" w:rsidP="0065367C">
            <w:pPr>
              <w:pStyle w:val="BodyText"/>
              <w:jc w:val="center"/>
            </w:pPr>
            <w:r w:rsidRPr="0065367C">
              <w:fldChar w:fldCharType="begin"/>
            </w:r>
            <w:r w:rsidRPr="0065367C">
              <w:instrText xml:space="preserve"> REF SQU03_7_1_2 \h  \* MERGEFORMAT </w:instrText>
            </w:r>
            <w:r w:rsidRPr="0065367C">
              <w:fldChar w:fldCharType="separate"/>
            </w:r>
            <w:r w:rsidR="003E6ABA" w:rsidRPr="00F27E98">
              <w:t>SQU03_7_1_2</w:t>
            </w:r>
            <w:r w:rsidRPr="0065367C">
              <w:fldChar w:fldCharType="end"/>
            </w:r>
          </w:p>
        </w:tc>
        <w:tc>
          <w:tcPr>
            <w:tcW w:w="7139" w:type="dxa"/>
            <w:shd w:val="clear" w:color="auto" w:fill="auto"/>
            <w:vAlign w:val="center"/>
          </w:tcPr>
          <w:p w14:paraId="76D00DEB" w14:textId="2D859E1D" w:rsidR="002D0D1B" w:rsidRPr="00DD7098" w:rsidRDefault="002D0D1B" w:rsidP="0035210D">
            <w:pPr>
              <w:pStyle w:val="BodyText"/>
              <w:jc w:val="center"/>
              <w:rPr>
                <w:rFonts w:cs="Arial"/>
                <w:szCs w:val="20"/>
              </w:rPr>
            </w:pPr>
            <w:r w:rsidRPr="00DD7098">
              <w:rPr>
                <w:rFonts w:cs="Arial"/>
                <w:szCs w:val="20"/>
              </w:rPr>
              <w:t>All patients who had resuscitation commenced</w:t>
            </w:r>
            <w:r w:rsidR="00C01824">
              <w:rPr>
                <w:rFonts w:cs="Arial"/>
                <w:szCs w:val="20"/>
              </w:rPr>
              <w:t xml:space="preserve"> </w:t>
            </w:r>
            <w:r>
              <w:rPr>
                <w:rFonts w:cs="Arial"/>
                <w:szCs w:val="20"/>
              </w:rPr>
              <w:t>/</w:t>
            </w:r>
            <w:r w:rsidR="00C01824">
              <w:rPr>
                <w:rFonts w:cs="Arial"/>
                <w:szCs w:val="20"/>
              </w:rPr>
              <w:t xml:space="preserve"> </w:t>
            </w:r>
            <w:r>
              <w:rPr>
                <w:rFonts w:cs="Arial"/>
                <w:szCs w:val="20"/>
              </w:rPr>
              <w:t>continued by ambulance service</w:t>
            </w:r>
            <w:r w:rsidR="0035210D">
              <w:rPr>
                <w:rFonts w:cs="Arial"/>
                <w:szCs w:val="20"/>
              </w:rPr>
              <w:t xml:space="preserve"> </w:t>
            </w:r>
            <w:r w:rsidRPr="00DD7098">
              <w:rPr>
                <w:rFonts w:cs="Arial"/>
                <w:szCs w:val="20"/>
              </w:rPr>
              <w:t>following an out-of-hospital cardiac arrest</w:t>
            </w:r>
          </w:p>
        </w:tc>
        <w:tc>
          <w:tcPr>
            <w:tcW w:w="567" w:type="dxa"/>
            <w:shd w:val="clear" w:color="auto" w:fill="auto"/>
            <w:vAlign w:val="center"/>
          </w:tcPr>
          <w:p w14:paraId="26B2E9E8" w14:textId="48EBDF9A" w:rsidR="002D0D1B" w:rsidRPr="00DD7098" w:rsidRDefault="0035210D" w:rsidP="00103121">
            <w:pPr>
              <w:pStyle w:val="BodyText3"/>
            </w:pPr>
            <w:r>
              <w:t>28</w:t>
            </w:r>
          </w:p>
        </w:tc>
      </w:tr>
      <w:tr w:rsidR="002D0D1B" w:rsidRPr="00DD7098" w14:paraId="3DB8AEAB" w14:textId="77777777" w:rsidTr="005E46D5">
        <w:trPr>
          <w:cantSplit/>
          <w:trHeight w:val="680"/>
        </w:trPr>
        <w:tc>
          <w:tcPr>
            <w:tcW w:w="1645" w:type="dxa"/>
            <w:shd w:val="clear" w:color="auto" w:fill="auto"/>
            <w:vAlign w:val="center"/>
          </w:tcPr>
          <w:p w14:paraId="5A27E6C3" w14:textId="4A9433B0" w:rsidR="002D0D1B" w:rsidRPr="0065367C" w:rsidRDefault="002D0D1B" w:rsidP="0065367C">
            <w:pPr>
              <w:pStyle w:val="BodyText"/>
              <w:jc w:val="center"/>
            </w:pPr>
            <w:r w:rsidRPr="0065367C">
              <w:fldChar w:fldCharType="begin"/>
            </w:r>
            <w:r w:rsidRPr="0065367C">
              <w:instrText xml:space="preserve"> REF SQU03_7_2_1 \h  \* MERGEFORMAT </w:instrText>
            </w:r>
            <w:r w:rsidRPr="0065367C">
              <w:fldChar w:fldCharType="separate"/>
            </w:r>
            <w:r w:rsidR="003E6ABA" w:rsidRPr="00F27E98">
              <w:t>SQU03_7_2_1</w:t>
            </w:r>
            <w:r w:rsidRPr="0065367C">
              <w:fldChar w:fldCharType="end"/>
            </w:r>
          </w:p>
        </w:tc>
        <w:tc>
          <w:tcPr>
            <w:tcW w:w="7139" w:type="dxa"/>
            <w:shd w:val="clear" w:color="auto" w:fill="auto"/>
            <w:vAlign w:val="center"/>
          </w:tcPr>
          <w:p w14:paraId="47CCB835" w14:textId="77777777" w:rsidR="002D0D1B" w:rsidRDefault="002D0D1B" w:rsidP="0065367C">
            <w:pPr>
              <w:pStyle w:val="BodyText"/>
              <w:jc w:val="center"/>
              <w:rPr>
                <w:rFonts w:cs="Arial"/>
                <w:szCs w:val="20"/>
              </w:rPr>
            </w:pPr>
            <w:r w:rsidRPr="00DD7098">
              <w:rPr>
                <w:rFonts w:cs="Arial"/>
                <w:szCs w:val="20"/>
              </w:rPr>
              <w:t>Of the patien</w:t>
            </w:r>
            <w:r>
              <w:rPr>
                <w:rFonts w:cs="Arial"/>
                <w:szCs w:val="20"/>
              </w:rPr>
              <w:t xml:space="preserve">ts included in </w:t>
            </w:r>
            <w:r w:rsidR="004111D0" w:rsidRPr="004111D0">
              <w:rPr>
                <w:rFonts w:cs="Arial"/>
                <w:szCs w:val="20"/>
              </w:rPr>
              <w:t>SQU03_7_2_2</w:t>
            </w:r>
            <w:r>
              <w:rPr>
                <w:rFonts w:cs="Arial"/>
                <w:szCs w:val="20"/>
              </w:rPr>
              <w:t>,</w:t>
            </w:r>
          </w:p>
          <w:p w14:paraId="13C39C47" w14:textId="77777777" w:rsidR="002D0D1B" w:rsidRPr="00DD7098" w:rsidRDefault="002D0D1B"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14:paraId="524F0D29" w14:textId="1AE8DF61" w:rsidR="002D0D1B" w:rsidRPr="00DD7098" w:rsidRDefault="002D0D1B" w:rsidP="0035210D">
            <w:pPr>
              <w:pStyle w:val="BodyText3"/>
            </w:pPr>
            <w:r>
              <w:fldChar w:fldCharType="begin"/>
            </w:r>
            <w:r>
              <w:instrText xml:space="preserve"> PAGEREF  SQU03_7_2_1 \h  \* MERGEFORMAT </w:instrText>
            </w:r>
            <w:r>
              <w:fldChar w:fldCharType="separate"/>
            </w:r>
            <w:r w:rsidR="003E6ABA">
              <w:rPr>
                <w:noProof/>
              </w:rPr>
              <w:t>2</w:t>
            </w:r>
            <w:r>
              <w:fldChar w:fldCharType="end"/>
            </w:r>
            <w:r w:rsidR="0035210D">
              <w:t>8</w:t>
            </w:r>
          </w:p>
        </w:tc>
      </w:tr>
      <w:tr w:rsidR="002D0D1B" w:rsidRPr="00DD7098" w14:paraId="29892789" w14:textId="77777777" w:rsidTr="005E46D5">
        <w:trPr>
          <w:cantSplit/>
        </w:trPr>
        <w:tc>
          <w:tcPr>
            <w:tcW w:w="1645" w:type="dxa"/>
            <w:shd w:val="clear" w:color="auto" w:fill="auto"/>
            <w:vAlign w:val="center"/>
          </w:tcPr>
          <w:p w14:paraId="7111A89D" w14:textId="607A4370" w:rsidR="002D0D1B" w:rsidRPr="0065367C" w:rsidRDefault="002D0D1B" w:rsidP="0065367C">
            <w:pPr>
              <w:pStyle w:val="BodyText"/>
              <w:jc w:val="center"/>
            </w:pPr>
            <w:r w:rsidRPr="0065367C">
              <w:fldChar w:fldCharType="begin"/>
            </w:r>
            <w:r w:rsidRPr="0065367C">
              <w:instrText xml:space="preserve"> REF SQU03_7_2_2 \h  \* MERGEFORMAT </w:instrText>
            </w:r>
            <w:r w:rsidRPr="0065367C">
              <w:fldChar w:fldCharType="separate"/>
            </w:r>
            <w:r w:rsidR="003E6ABA" w:rsidRPr="00F27E98">
              <w:t>SQU03_7_2_2</w:t>
            </w:r>
            <w:r w:rsidRPr="0065367C">
              <w:fldChar w:fldCharType="end"/>
            </w:r>
          </w:p>
        </w:tc>
        <w:tc>
          <w:tcPr>
            <w:tcW w:w="7139" w:type="dxa"/>
            <w:shd w:val="clear" w:color="auto" w:fill="auto"/>
            <w:vAlign w:val="center"/>
          </w:tcPr>
          <w:p w14:paraId="4D7E8EB6" w14:textId="03AE3903" w:rsidR="002D0D1B" w:rsidRPr="00DD7098" w:rsidRDefault="002D0D1B" w:rsidP="0035210D">
            <w:pPr>
              <w:pStyle w:val="BodyText"/>
              <w:jc w:val="center"/>
              <w:rPr>
                <w:rFonts w:cs="Arial"/>
                <w:szCs w:val="20"/>
              </w:rPr>
            </w:pPr>
            <w:r w:rsidRPr="00DD7098">
              <w:rPr>
                <w:rFonts w:cs="Arial"/>
                <w:szCs w:val="20"/>
              </w:rPr>
              <w:t>All patients who had resuscitation commenced</w:t>
            </w:r>
            <w:r w:rsidR="00C01824">
              <w:rPr>
                <w:rFonts w:cs="Arial"/>
                <w:szCs w:val="20"/>
              </w:rPr>
              <w:t xml:space="preserve"> </w:t>
            </w:r>
            <w:r w:rsidRPr="00DD7098">
              <w:rPr>
                <w:rFonts w:cs="Arial"/>
                <w:szCs w:val="20"/>
              </w:rPr>
              <w:t>/</w:t>
            </w:r>
            <w:r w:rsidR="00C01824">
              <w:rPr>
                <w:rFonts w:cs="Arial"/>
                <w:szCs w:val="20"/>
              </w:rPr>
              <w:t xml:space="preserve"> </w:t>
            </w:r>
            <w:r w:rsidRPr="00DD7098">
              <w:rPr>
                <w:rFonts w:cs="Arial"/>
                <w:szCs w:val="20"/>
              </w:rPr>
              <w:t>continued by ambulance service following an out-of-hospital cardiac arrest of presumed cardiac origin, where the arrest was bystander witnessed and the initial rhythm was VF or VT</w:t>
            </w:r>
          </w:p>
        </w:tc>
        <w:tc>
          <w:tcPr>
            <w:tcW w:w="567" w:type="dxa"/>
            <w:shd w:val="clear" w:color="auto" w:fill="auto"/>
            <w:vAlign w:val="center"/>
          </w:tcPr>
          <w:p w14:paraId="0B35C9BE" w14:textId="5EF3FAE9" w:rsidR="002D0D1B" w:rsidRPr="00DD7098" w:rsidRDefault="0035210D" w:rsidP="00103121">
            <w:pPr>
              <w:pStyle w:val="BodyText3"/>
            </w:pPr>
            <w:r>
              <w:t>28</w:t>
            </w:r>
          </w:p>
        </w:tc>
      </w:tr>
    </w:tbl>
    <w:p w14:paraId="0DBE7E60" w14:textId="77777777" w:rsidR="00851F6D" w:rsidRDefault="00851F6D" w:rsidP="0066120E">
      <w:pPr>
        <w:pStyle w:val="Heading2"/>
      </w:pPr>
      <w:r>
        <w:br w:type="page"/>
      </w:r>
      <w:r w:rsidRPr="00233264">
        <w:lastRenderedPageBreak/>
        <w:t>Version control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30"/>
        <w:gridCol w:w="6237"/>
      </w:tblGrid>
      <w:tr w:rsidR="00851F6D" w:rsidRPr="00DD7098" w14:paraId="199805F3" w14:textId="77777777" w:rsidTr="00FF4605">
        <w:tc>
          <w:tcPr>
            <w:tcW w:w="959" w:type="dxa"/>
            <w:shd w:val="clear" w:color="auto" w:fill="auto"/>
          </w:tcPr>
          <w:p w14:paraId="6002E6EA" w14:textId="77777777" w:rsidR="00851F6D" w:rsidRPr="00DD7098" w:rsidRDefault="00851F6D" w:rsidP="002627BA">
            <w:pPr>
              <w:pStyle w:val="Heading6"/>
            </w:pPr>
            <w:r w:rsidRPr="00DD7098">
              <w:t>Version</w:t>
            </w:r>
          </w:p>
        </w:tc>
        <w:tc>
          <w:tcPr>
            <w:tcW w:w="1730" w:type="dxa"/>
            <w:shd w:val="clear" w:color="auto" w:fill="auto"/>
          </w:tcPr>
          <w:p w14:paraId="6A618821" w14:textId="77777777" w:rsidR="00851F6D" w:rsidRPr="00DD7098" w:rsidRDefault="00851F6D" w:rsidP="002627BA">
            <w:pPr>
              <w:pStyle w:val="Heading6"/>
            </w:pPr>
            <w:r w:rsidRPr="00DD7098">
              <w:t>Date issued</w:t>
            </w:r>
          </w:p>
        </w:tc>
        <w:tc>
          <w:tcPr>
            <w:tcW w:w="6237" w:type="dxa"/>
            <w:shd w:val="clear" w:color="auto" w:fill="auto"/>
          </w:tcPr>
          <w:p w14:paraId="3AB0541F" w14:textId="77777777" w:rsidR="00851F6D" w:rsidRPr="00DD7098" w:rsidRDefault="00851F6D" w:rsidP="002627BA">
            <w:pPr>
              <w:pStyle w:val="Heading6"/>
            </w:pPr>
            <w:r w:rsidRPr="00DD7098">
              <w:t>Changes made</w:t>
            </w:r>
          </w:p>
        </w:tc>
      </w:tr>
      <w:tr w:rsidR="00851F6D" w:rsidRPr="00DD7098" w14:paraId="0AD124D2" w14:textId="77777777" w:rsidTr="00FF4605">
        <w:tc>
          <w:tcPr>
            <w:tcW w:w="959" w:type="dxa"/>
            <w:shd w:val="clear" w:color="auto" w:fill="auto"/>
          </w:tcPr>
          <w:p w14:paraId="78290933" w14:textId="1F7F3351" w:rsidR="00851F6D" w:rsidRPr="00DD7098" w:rsidRDefault="00851F6D" w:rsidP="002D226C">
            <w:pPr>
              <w:pStyle w:val="BodyText"/>
            </w:pPr>
            <w:r w:rsidRPr="00DD7098">
              <w:t>V0.</w:t>
            </w:r>
            <w:r w:rsidR="00F27E98">
              <w:t>1</w:t>
            </w:r>
          </w:p>
        </w:tc>
        <w:tc>
          <w:tcPr>
            <w:tcW w:w="1730" w:type="dxa"/>
            <w:shd w:val="clear" w:color="auto" w:fill="auto"/>
          </w:tcPr>
          <w:p w14:paraId="5952E622" w14:textId="174EE41E" w:rsidR="00851F6D" w:rsidRPr="00DD7098" w:rsidRDefault="00F27E98" w:rsidP="002D226C">
            <w:pPr>
              <w:pStyle w:val="BodyText"/>
            </w:pPr>
            <w:r>
              <w:t>2</w:t>
            </w:r>
            <w:r w:rsidRPr="00F27E98">
              <w:rPr>
                <w:vertAlign w:val="superscript"/>
              </w:rPr>
              <w:t>nd</w:t>
            </w:r>
            <w:r>
              <w:t xml:space="preserve"> March 2016</w:t>
            </w:r>
          </w:p>
        </w:tc>
        <w:tc>
          <w:tcPr>
            <w:tcW w:w="6237" w:type="dxa"/>
            <w:shd w:val="clear" w:color="auto" w:fill="auto"/>
          </w:tcPr>
          <w:p w14:paraId="5C5382E3" w14:textId="6492AB5E" w:rsidR="00851F6D" w:rsidRPr="00DD7098" w:rsidRDefault="00851F6D" w:rsidP="002D226C">
            <w:pPr>
              <w:pStyle w:val="BodyText"/>
            </w:pPr>
            <w:r w:rsidRPr="00DD7098">
              <w:t>Original Guidance</w:t>
            </w:r>
            <w:r w:rsidR="00F27E98">
              <w:t xml:space="preserve"> Drafted</w:t>
            </w:r>
          </w:p>
        </w:tc>
      </w:tr>
      <w:tr w:rsidR="00851F6D" w:rsidRPr="00DD7098" w14:paraId="697D06FF" w14:textId="77777777" w:rsidTr="00FF4605">
        <w:tc>
          <w:tcPr>
            <w:tcW w:w="959" w:type="dxa"/>
            <w:shd w:val="clear" w:color="auto" w:fill="auto"/>
          </w:tcPr>
          <w:p w14:paraId="147E446A" w14:textId="3399608C" w:rsidR="00851F6D" w:rsidRPr="00DD7098" w:rsidRDefault="00647B8B" w:rsidP="002D226C">
            <w:pPr>
              <w:pStyle w:val="BodyText"/>
            </w:pPr>
            <w:r>
              <w:t>V0.2</w:t>
            </w:r>
          </w:p>
        </w:tc>
        <w:tc>
          <w:tcPr>
            <w:tcW w:w="1730" w:type="dxa"/>
            <w:shd w:val="clear" w:color="auto" w:fill="auto"/>
          </w:tcPr>
          <w:p w14:paraId="4B134BDB" w14:textId="42DEEF43" w:rsidR="00851F6D" w:rsidRPr="00DD7098" w:rsidRDefault="00647B8B" w:rsidP="002D226C">
            <w:pPr>
              <w:pStyle w:val="BodyText"/>
            </w:pPr>
            <w:r>
              <w:t>2</w:t>
            </w:r>
            <w:r w:rsidRPr="003A3CD8">
              <w:rPr>
                <w:vertAlign w:val="superscript"/>
              </w:rPr>
              <w:t>nd</w:t>
            </w:r>
            <w:r>
              <w:t xml:space="preserve"> March 2016</w:t>
            </w:r>
          </w:p>
        </w:tc>
        <w:tc>
          <w:tcPr>
            <w:tcW w:w="6237" w:type="dxa"/>
            <w:shd w:val="clear" w:color="auto" w:fill="auto"/>
          </w:tcPr>
          <w:p w14:paraId="3E51F6FC" w14:textId="07EDD671" w:rsidR="00851F6D" w:rsidRPr="00DD7098" w:rsidRDefault="00647B8B" w:rsidP="002D226C">
            <w:pPr>
              <w:pStyle w:val="BodyText"/>
            </w:pPr>
            <w:r>
              <w:t>Amendments to Red 19 transport</w:t>
            </w:r>
          </w:p>
        </w:tc>
      </w:tr>
      <w:tr w:rsidR="00851F6D" w:rsidRPr="00DD7098" w14:paraId="71C4C5B7" w14:textId="77777777" w:rsidTr="00FF4605">
        <w:tc>
          <w:tcPr>
            <w:tcW w:w="959" w:type="dxa"/>
            <w:shd w:val="clear" w:color="auto" w:fill="auto"/>
          </w:tcPr>
          <w:p w14:paraId="7C826296" w14:textId="56552D89" w:rsidR="00851F6D" w:rsidRPr="00DD7098" w:rsidRDefault="003A3CD8" w:rsidP="002D226C">
            <w:pPr>
              <w:pStyle w:val="BodyText"/>
            </w:pPr>
            <w:r>
              <w:t>V0.3</w:t>
            </w:r>
          </w:p>
        </w:tc>
        <w:tc>
          <w:tcPr>
            <w:tcW w:w="1730" w:type="dxa"/>
            <w:shd w:val="clear" w:color="auto" w:fill="auto"/>
          </w:tcPr>
          <w:p w14:paraId="310D21A9" w14:textId="56BB0808" w:rsidR="00851F6D" w:rsidRPr="00DD7098" w:rsidRDefault="003A3CD8" w:rsidP="002D226C">
            <w:pPr>
              <w:pStyle w:val="BodyText"/>
            </w:pPr>
            <w:r>
              <w:t>4</w:t>
            </w:r>
            <w:r w:rsidRPr="003A3CD8">
              <w:rPr>
                <w:vertAlign w:val="superscript"/>
              </w:rPr>
              <w:t>th</w:t>
            </w:r>
            <w:r>
              <w:t xml:space="preserve"> March 2016</w:t>
            </w:r>
          </w:p>
        </w:tc>
        <w:tc>
          <w:tcPr>
            <w:tcW w:w="6237" w:type="dxa"/>
            <w:shd w:val="clear" w:color="auto" w:fill="auto"/>
          </w:tcPr>
          <w:p w14:paraId="5FD10BF6" w14:textId="1033D563" w:rsidR="00851F6D" w:rsidRPr="00DD7098" w:rsidRDefault="003A3CD8" w:rsidP="00211B7C">
            <w:pPr>
              <w:pStyle w:val="BodyText"/>
              <w:rPr>
                <w:color w:val="000000"/>
              </w:rPr>
            </w:pPr>
            <w:r>
              <w:rPr>
                <w:color w:val="000000"/>
              </w:rPr>
              <w:t xml:space="preserve">Amendments to Amber </w:t>
            </w:r>
          </w:p>
        </w:tc>
      </w:tr>
      <w:tr w:rsidR="00851F6D" w:rsidRPr="00DD7098" w14:paraId="4AB0F23D" w14:textId="77777777" w:rsidTr="00FF4605">
        <w:tc>
          <w:tcPr>
            <w:tcW w:w="959" w:type="dxa"/>
            <w:shd w:val="clear" w:color="auto" w:fill="auto"/>
          </w:tcPr>
          <w:p w14:paraId="24E1E628" w14:textId="752F22F9" w:rsidR="00851F6D" w:rsidRPr="00DD7098" w:rsidRDefault="00FF4605" w:rsidP="002D226C">
            <w:pPr>
              <w:pStyle w:val="BodyText"/>
            </w:pPr>
            <w:r>
              <w:t>V1.0</w:t>
            </w:r>
          </w:p>
        </w:tc>
        <w:tc>
          <w:tcPr>
            <w:tcW w:w="1730" w:type="dxa"/>
            <w:shd w:val="clear" w:color="auto" w:fill="auto"/>
          </w:tcPr>
          <w:p w14:paraId="09475CEF" w14:textId="1D49CB19" w:rsidR="00851F6D" w:rsidRPr="00DD7098" w:rsidRDefault="00FF4605" w:rsidP="002D226C">
            <w:pPr>
              <w:pStyle w:val="BodyText"/>
            </w:pPr>
            <w:r>
              <w:t>7</w:t>
            </w:r>
            <w:r w:rsidRPr="00FF4605">
              <w:rPr>
                <w:vertAlign w:val="superscript"/>
              </w:rPr>
              <w:t>th</w:t>
            </w:r>
            <w:r>
              <w:t xml:space="preserve"> March 2016</w:t>
            </w:r>
          </w:p>
        </w:tc>
        <w:tc>
          <w:tcPr>
            <w:tcW w:w="6237" w:type="dxa"/>
            <w:shd w:val="clear" w:color="auto" w:fill="auto"/>
          </w:tcPr>
          <w:p w14:paraId="11C4EC7B" w14:textId="1698A0FB" w:rsidR="00851F6D" w:rsidRPr="00DD7098" w:rsidRDefault="00FF4605" w:rsidP="00FF4605">
            <w:pPr>
              <w:pStyle w:val="BodyText"/>
              <w:rPr>
                <w:color w:val="000000"/>
              </w:rPr>
            </w:pPr>
            <w:r>
              <w:rPr>
                <w:color w:val="000000"/>
              </w:rPr>
              <w:t>Amendments following discussion at ARP Expert Reference Group</w:t>
            </w:r>
          </w:p>
        </w:tc>
      </w:tr>
      <w:tr w:rsidR="00851F6D" w:rsidRPr="00DD7098" w14:paraId="661DAF90" w14:textId="77777777" w:rsidTr="00FF4605">
        <w:tc>
          <w:tcPr>
            <w:tcW w:w="959" w:type="dxa"/>
            <w:shd w:val="clear" w:color="auto" w:fill="auto"/>
          </w:tcPr>
          <w:p w14:paraId="0149F9E9" w14:textId="1C286DB6" w:rsidR="00851F6D" w:rsidRPr="00DD7098" w:rsidRDefault="002741F0" w:rsidP="002D226C">
            <w:pPr>
              <w:pStyle w:val="BodyText"/>
            </w:pPr>
            <w:r>
              <w:t>V1.1</w:t>
            </w:r>
          </w:p>
        </w:tc>
        <w:tc>
          <w:tcPr>
            <w:tcW w:w="1730" w:type="dxa"/>
            <w:shd w:val="clear" w:color="auto" w:fill="auto"/>
          </w:tcPr>
          <w:p w14:paraId="0E051AC4" w14:textId="2FDB3720" w:rsidR="00851F6D" w:rsidRPr="00DD7098" w:rsidRDefault="002741F0" w:rsidP="002D226C">
            <w:pPr>
              <w:pStyle w:val="BodyText"/>
            </w:pPr>
            <w:r>
              <w:t>16</w:t>
            </w:r>
            <w:r w:rsidRPr="002741F0">
              <w:rPr>
                <w:vertAlign w:val="superscript"/>
              </w:rPr>
              <w:t>th</w:t>
            </w:r>
            <w:r>
              <w:t xml:space="preserve"> March 2016</w:t>
            </w:r>
          </w:p>
        </w:tc>
        <w:tc>
          <w:tcPr>
            <w:tcW w:w="6237" w:type="dxa"/>
            <w:shd w:val="clear" w:color="auto" w:fill="auto"/>
          </w:tcPr>
          <w:p w14:paraId="74E090BE" w14:textId="18FD588C" w:rsidR="00851F6D" w:rsidRPr="00DD7098" w:rsidRDefault="002741F0" w:rsidP="002D226C">
            <w:pPr>
              <w:pStyle w:val="BodyText"/>
              <w:rPr>
                <w:color w:val="000000"/>
              </w:rPr>
            </w:pPr>
            <w:r>
              <w:rPr>
                <w:color w:val="000000"/>
              </w:rPr>
              <w:t>Amendments following d</w:t>
            </w:r>
            <w:r w:rsidR="00666099">
              <w:rPr>
                <w:color w:val="000000"/>
              </w:rPr>
              <w:t>iscussion at SWAST/YAS coding m</w:t>
            </w:r>
            <w:bookmarkStart w:id="0" w:name="_GoBack"/>
            <w:bookmarkEnd w:id="0"/>
            <w:r>
              <w:rPr>
                <w:color w:val="000000"/>
              </w:rPr>
              <w:t>eeting</w:t>
            </w:r>
          </w:p>
        </w:tc>
      </w:tr>
      <w:tr w:rsidR="002A734B" w:rsidRPr="00DD7098" w14:paraId="159E417A" w14:textId="77777777" w:rsidTr="00FF4605">
        <w:tc>
          <w:tcPr>
            <w:tcW w:w="959" w:type="dxa"/>
            <w:shd w:val="clear" w:color="auto" w:fill="auto"/>
          </w:tcPr>
          <w:p w14:paraId="1BE50427" w14:textId="02B0F79B" w:rsidR="002A734B" w:rsidRPr="00DD7098" w:rsidRDefault="002A734B" w:rsidP="002A734B">
            <w:pPr>
              <w:pStyle w:val="BodyText"/>
            </w:pPr>
            <w:r w:rsidRPr="0084131F">
              <w:t>V2.0</w:t>
            </w:r>
          </w:p>
        </w:tc>
        <w:tc>
          <w:tcPr>
            <w:tcW w:w="1730" w:type="dxa"/>
            <w:shd w:val="clear" w:color="auto" w:fill="auto"/>
          </w:tcPr>
          <w:p w14:paraId="3BDD01AB" w14:textId="715F4E9E" w:rsidR="002A734B" w:rsidRPr="00DD7098" w:rsidRDefault="002A734B" w:rsidP="006B65BB">
            <w:pPr>
              <w:pStyle w:val="BodyText"/>
            </w:pPr>
            <w:r w:rsidRPr="0084131F">
              <w:t>22</w:t>
            </w:r>
            <w:r w:rsidRPr="006B65BB">
              <w:rPr>
                <w:vertAlign w:val="superscript"/>
              </w:rPr>
              <w:t>nd</w:t>
            </w:r>
            <w:r w:rsidR="006B65BB">
              <w:t xml:space="preserve"> </w:t>
            </w:r>
            <w:r w:rsidRPr="0084131F">
              <w:t>March 2016</w:t>
            </w:r>
          </w:p>
        </w:tc>
        <w:tc>
          <w:tcPr>
            <w:tcW w:w="6237" w:type="dxa"/>
            <w:shd w:val="clear" w:color="auto" w:fill="auto"/>
          </w:tcPr>
          <w:p w14:paraId="2895CB20" w14:textId="573D4981" w:rsidR="002A734B" w:rsidRPr="00DD7098" w:rsidRDefault="002A734B" w:rsidP="002A734B">
            <w:pPr>
              <w:pStyle w:val="BodyText"/>
              <w:rPr>
                <w:color w:val="000000"/>
              </w:rPr>
            </w:pPr>
            <w:r w:rsidRPr="0084131F">
              <w:t>Amendments following discussion at ARP Code Trial OG and ERG</w:t>
            </w:r>
          </w:p>
        </w:tc>
      </w:tr>
      <w:tr w:rsidR="00851F6D" w:rsidRPr="00DD7098" w14:paraId="7CA921A5" w14:textId="77777777" w:rsidTr="00FF4605">
        <w:tc>
          <w:tcPr>
            <w:tcW w:w="959" w:type="dxa"/>
            <w:shd w:val="clear" w:color="auto" w:fill="auto"/>
          </w:tcPr>
          <w:p w14:paraId="7342974B" w14:textId="6C41D777" w:rsidR="00851F6D" w:rsidRPr="00DD7098" w:rsidRDefault="00851F6D" w:rsidP="002D226C">
            <w:pPr>
              <w:pStyle w:val="BodyText"/>
            </w:pPr>
          </w:p>
        </w:tc>
        <w:tc>
          <w:tcPr>
            <w:tcW w:w="1730" w:type="dxa"/>
            <w:shd w:val="clear" w:color="auto" w:fill="auto"/>
          </w:tcPr>
          <w:p w14:paraId="5CB31E5E" w14:textId="05E44C71" w:rsidR="00851F6D" w:rsidRPr="00DD7098" w:rsidRDefault="00851F6D" w:rsidP="002D226C">
            <w:pPr>
              <w:pStyle w:val="BodyText"/>
            </w:pPr>
          </w:p>
        </w:tc>
        <w:tc>
          <w:tcPr>
            <w:tcW w:w="6237" w:type="dxa"/>
            <w:shd w:val="clear" w:color="auto" w:fill="auto"/>
          </w:tcPr>
          <w:p w14:paraId="5C0D1345" w14:textId="0104E8E9" w:rsidR="00851F6D" w:rsidRPr="00DD7098" w:rsidRDefault="00851F6D" w:rsidP="002D226C">
            <w:pPr>
              <w:pStyle w:val="BodyText"/>
              <w:rPr>
                <w:color w:val="000000"/>
              </w:rPr>
            </w:pPr>
          </w:p>
        </w:tc>
      </w:tr>
      <w:tr w:rsidR="00851F6D" w:rsidRPr="00DD7098" w14:paraId="79672C39" w14:textId="77777777" w:rsidTr="00FF4605">
        <w:tc>
          <w:tcPr>
            <w:tcW w:w="959" w:type="dxa"/>
            <w:shd w:val="clear" w:color="auto" w:fill="auto"/>
          </w:tcPr>
          <w:p w14:paraId="7F7CA023" w14:textId="515CF528" w:rsidR="00851F6D" w:rsidRPr="00DD7098" w:rsidRDefault="00851F6D" w:rsidP="002D226C">
            <w:pPr>
              <w:pStyle w:val="BodyText"/>
            </w:pPr>
          </w:p>
        </w:tc>
        <w:tc>
          <w:tcPr>
            <w:tcW w:w="1730" w:type="dxa"/>
            <w:shd w:val="clear" w:color="auto" w:fill="auto"/>
          </w:tcPr>
          <w:p w14:paraId="2120AD91" w14:textId="77777777" w:rsidR="00851F6D" w:rsidRPr="00DD7098" w:rsidRDefault="00851F6D" w:rsidP="002D226C">
            <w:pPr>
              <w:pStyle w:val="BodyText"/>
            </w:pPr>
          </w:p>
        </w:tc>
        <w:tc>
          <w:tcPr>
            <w:tcW w:w="6237" w:type="dxa"/>
            <w:shd w:val="clear" w:color="auto" w:fill="auto"/>
          </w:tcPr>
          <w:p w14:paraId="4D5CBA62" w14:textId="31387844" w:rsidR="00851F6D" w:rsidRPr="00DD7098" w:rsidRDefault="00851F6D" w:rsidP="002D226C">
            <w:pPr>
              <w:pStyle w:val="BodyText"/>
              <w:rPr>
                <w:color w:val="000000"/>
              </w:rPr>
            </w:pPr>
          </w:p>
        </w:tc>
      </w:tr>
      <w:tr w:rsidR="00851F6D" w:rsidRPr="00DD7098" w14:paraId="31DE43CF" w14:textId="77777777" w:rsidTr="00FF4605">
        <w:tc>
          <w:tcPr>
            <w:tcW w:w="959" w:type="dxa"/>
            <w:shd w:val="clear" w:color="auto" w:fill="auto"/>
          </w:tcPr>
          <w:p w14:paraId="061872C2" w14:textId="7F68125E" w:rsidR="00851F6D" w:rsidRPr="00DD7098" w:rsidRDefault="00851F6D" w:rsidP="002D226C">
            <w:pPr>
              <w:pStyle w:val="BodyText"/>
            </w:pPr>
          </w:p>
        </w:tc>
        <w:tc>
          <w:tcPr>
            <w:tcW w:w="1730" w:type="dxa"/>
            <w:shd w:val="clear" w:color="auto" w:fill="auto"/>
          </w:tcPr>
          <w:p w14:paraId="0F8FF9F9" w14:textId="3C788A98" w:rsidR="00851F6D" w:rsidRPr="00DD7098" w:rsidRDefault="00851F6D" w:rsidP="002D226C">
            <w:pPr>
              <w:pStyle w:val="BodyText"/>
            </w:pPr>
          </w:p>
        </w:tc>
        <w:tc>
          <w:tcPr>
            <w:tcW w:w="6237" w:type="dxa"/>
            <w:shd w:val="clear" w:color="auto" w:fill="auto"/>
          </w:tcPr>
          <w:p w14:paraId="2175738A" w14:textId="5A65EBE7" w:rsidR="00851F6D" w:rsidRPr="00DD7098" w:rsidRDefault="00851F6D" w:rsidP="002D226C">
            <w:pPr>
              <w:pStyle w:val="BodyText"/>
              <w:rPr>
                <w:color w:val="000000"/>
              </w:rPr>
            </w:pPr>
          </w:p>
        </w:tc>
      </w:tr>
      <w:tr w:rsidR="00717F90" w:rsidRPr="00DD7098" w14:paraId="6D2007E1" w14:textId="77777777" w:rsidTr="00FF4605">
        <w:tc>
          <w:tcPr>
            <w:tcW w:w="959" w:type="dxa"/>
            <w:tcBorders>
              <w:top w:val="single" w:sz="4" w:space="0" w:color="auto"/>
              <w:left w:val="single" w:sz="4" w:space="0" w:color="auto"/>
              <w:bottom w:val="single" w:sz="4" w:space="0" w:color="auto"/>
              <w:right w:val="single" w:sz="4" w:space="0" w:color="auto"/>
            </w:tcBorders>
            <w:shd w:val="clear" w:color="auto" w:fill="auto"/>
          </w:tcPr>
          <w:p w14:paraId="58B50B0B" w14:textId="00204B4C" w:rsidR="00717F90" w:rsidRPr="00DD7098" w:rsidRDefault="00717F90" w:rsidP="002D226C">
            <w:pPr>
              <w:pStyle w:val="BodyText"/>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E38BF42" w14:textId="77777777" w:rsidR="00717F90" w:rsidRPr="00DD7098" w:rsidRDefault="00717F90" w:rsidP="002D226C">
            <w:pPr>
              <w:pStyle w:val="BodyText"/>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0DF942" w14:textId="5D1F32F8" w:rsidR="00717F90" w:rsidRPr="00DD7098" w:rsidRDefault="00717F90" w:rsidP="002D226C">
            <w:pPr>
              <w:pStyle w:val="BodyText"/>
              <w:rPr>
                <w:color w:val="000000"/>
              </w:rPr>
            </w:pPr>
          </w:p>
        </w:tc>
      </w:tr>
      <w:tr w:rsidR="00D44B42" w:rsidRPr="00DD7098" w14:paraId="36E5AB79" w14:textId="77777777" w:rsidTr="00FF4605">
        <w:tc>
          <w:tcPr>
            <w:tcW w:w="959" w:type="dxa"/>
            <w:tcBorders>
              <w:top w:val="single" w:sz="4" w:space="0" w:color="auto"/>
              <w:left w:val="single" w:sz="4" w:space="0" w:color="auto"/>
              <w:bottom w:val="single" w:sz="4" w:space="0" w:color="auto"/>
              <w:right w:val="single" w:sz="4" w:space="0" w:color="auto"/>
            </w:tcBorders>
            <w:shd w:val="clear" w:color="auto" w:fill="auto"/>
          </w:tcPr>
          <w:p w14:paraId="00DB37B5" w14:textId="1E4E15BD" w:rsidR="00D44B42" w:rsidRDefault="00D44B42" w:rsidP="002D226C">
            <w:pPr>
              <w:pStyle w:val="BodyText"/>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4F4D39F" w14:textId="4A140E29" w:rsidR="00D44B42" w:rsidRDefault="00D44B42" w:rsidP="002D226C">
            <w:pPr>
              <w:pStyle w:val="BodyText"/>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D97837" w14:textId="77777777" w:rsidR="00400364" w:rsidRPr="00002A81" w:rsidRDefault="00400364" w:rsidP="00400364">
            <w:pPr>
              <w:pStyle w:val="BodyText"/>
            </w:pPr>
          </w:p>
        </w:tc>
      </w:tr>
    </w:tbl>
    <w:p w14:paraId="6E658BBD" w14:textId="77777777" w:rsidR="00851F6D" w:rsidRDefault="00C03D54" w:rsidP="00ED59F5">
      <w:pPr>
        <w:pStyle w:val="Heading3"/>
      </w:pPr>
      <w:r>
        <w:br w:type="page"/>
      </w:r>
      <w:r w:rsidR="00851F6D">
        <w:t>Introduction</w:t>
      </w:r>
    </w:p>
    <w:p w14:paraId="48AEC9D8" w14:textId="11C61CD9" w:rsidR="006967CA" w:rsidRDefault="006967CA" w:rsidP="00ED59F5">
      <w:pPr>
        <w:pStyle w:val="ListNumber"/>
        <w:rPr>
          <w:rFonts w:eastAsiaTheme="minorHAnsi"/>
          <w:lang w:eastAsia="en-US"/>
        </w:rPr>
      </w:pPr>
      <w:r w:rsidRPr="00ED59F5">
        <w:rPr>
          <w:rFonts w:eastAsiaTheme="minorHAnsi"/>
          <w:lang w:eastAsia="en-US"/>
        </w:rPr>
        <w:t xml:space="preserve">Ambulance Quality Indicators (AQI) </w:t>
      </w:r>
      <w:proofErr w:type="gramStart"/>
      <w:r w:rsidRPr="00ED59F5">
        <w:rPr>
          <w:rFonts w:eastAsiaTheme="minorHAnsi"/>
          <w:lang w:eastAsia="en-US"/>
        </w:rPr>
        <w:t>were</w:t>
      </w:r>
      <w:proofErr w:type="gramEnd"/>
      <w:r w:rsidRPr="00ED59F5">
        <w:rPr>
          <w:rFonts w:eastAsiaTheme="minorHAnsi"/>
          <w:lang w:eastAsia="en-US"/>
        </w:rPr>
        <w:t xml:space="preserve"> introduced in April 2011 to indicate the quality delivered by an Ambulance Service, and to assess on-going service improvement.</w:t>
      </w:r>
    </w:p>
    <w:p w14:paraId="784D674D" w14:textId="431174BC" w:rsidR="000C4F5D" w:rsidRDefault="000C4F5D" w:rsidP="00ED59F5">
      <w:pPr>
        <w:pStyle w:val="ListNumber"/>
        <w:rPr>
          <w:rFonts w:eastAsiaTheme="minorHAnsi"/>
          <w:lang w:eastAsia="en-US"/>
        </w:rPr>
      </w:pPr>
      <w:r>
        <w:rPr>
          <w:rFonts w:eastAsiaTheme="minorHAnsi"/>
          <w:lang w:eastAsia="en-US"/>
        </w:rPr>
        <w:t>This document has been developed to provide an amended AQI framework for the governance of ambulance trusts involved in the coding trial phase of the Ambulance Response Programme (ARP)</w:t>
      </w:r>
      <w:r w:rsidR="00FF4605">
        <w:rPr>
          <w:rFonts w:eastAsiaTheme="minorHAnsi"/>
          <w:lang w:eastAsia="en-US"/>
        </w:rPr>
        <w:t xml:space="preserve"> during 2016</w:t>
      </w:r>
      <w:r>
        <w:rPr>
          <w:rFonts w:eastAsiaTheme="minorHAnsi"/>
          <w:lang w:eastAsia="en-US"/>
        </w:rPr>
        <w:t>.  Trusts involved in this pilot will be operating pre-triage sieve and Dispatch on Disposition (</w:t>
      </w:r>
      <w:proofErr w:type="gramStart"/>
      <w:r>
        <w:rPr>
          <w:rFonts w:eastAsiaTheme="minorHAnsi"/>
          <w:lang w:eastAsia="en-US"/>
        </w:rPr>
        <w:t>DoD</w:t>
      </w:r>
      <w:proofErr w:type="gramEnd"/>
      <w:r>
        <w:rPr>
          <w:rFonts w:eastAsiaTheme="minorHAnsi"/>
          <w:lang w:eastAsia="en-US"/>
        </w:rPr>
        <w:t>) arrangements</w:t>
      </w:r>
      <w:r w:rsidR="00FF4605">
        <w:rPr>
          <w:rFonts w:eastAsiaTheme="minorHAnsi"/>
          <w:lang w:eastAsia="en-US"/>
        </w:rPr>
        <w:t>,</w:t>
      </w:r>
      <w:r>
        <w:rPr>
          <w:rFonts w:eastAsiaTheme="minorHAnsi"/>
          <w:lang w:eastAsia="en-US"/>
        </w:rPr>
        <w:t xml:space="preserve"> and will be using a code set and response categories that differ from those in use by other ambulance trusts in England.  </w:t>
      </w:r>
    </w:p>
    <w:p w14:paraId="2D4FCF3E" w14:textId="0FB82F3C" w:rsidR="000C4F5D" w:rsidRPr="00ED59F5" w:rsidRDefault="000C4F5D" w:rsidP="00ED59F5">
      <w:pPr>
        <w:pStyle w:val="ListNumber"/>
        <w:rPr>
          <w:rFonts w:eastAsiaTheme="minorHAnsi"/>
          <w:lang w:eastAsia="en-US"/>
        </w:rPr>
      </w:pPr>
      <w:r>
        <w:rPr>
          <w:rFonts w:eastAsiaTheme="minorHAnsi"/>
          <w:lang w:eastAsia="en-US"/>
        </w:rPr>
        <w:t>The ARP AQIs have retained consistency with other ambulance tru</w:t>
      </w:r>
      <w:r w:rsidR="005E23A4">
        <w:rPr>
          <w:rFonts w:eastAsiaTheme="minorHAnsi"/>
          <w:lang w:eastAsia="en-US"/>
        </w:rPr>
        <w:t>sts where this is possible.  F</w:t>
      </w:r>
      <w:r>
        <w:rPr>
          <w:rFonts w:eastAsiaTheme="minorHAnsi"/>
          <w:lang w:eastAsia="en-US"/>
        </w:rPr>
        <w:t xml:space="preserve">or </w:t>
      </w:r>
      <w:r w:rsidR="005E23A4">
        <w:rPr>
          <w:rFonts w:eastAsiaTheme="minorHAnsi"/>
          <w:lang w:eastAsia="en-US"/>
        </w:rPr>
        <w:t>some</w:t>
      </w:r>
      <w:r>
        <w:rPr>
          <w:rFonts w:eastAsiaTheme="minorHAnsi"/>
          <w:lang w:eastAsia="en-US"/>
        </w:rPr>
        <w:t xml:space="preserve"> measures the existing AQIs </w:t>
      </w:r>
      <w:r w:rsidR="00F14F45">
        <w:rPr>
          <w:rFonts w:eastAsiaTheme="minorHAnsi"/>
          <w:lang w:eastAsia="en-US"/>
        </w:rPr>
        <w:t>do not fit the ARP deployment and response arrangements</w:t>
      </w:r>
      <w:r w:rsidR="00FF4605">
        <w:rPr>
          <w:rFonts w:eastAsiaTheme="minorHAnsi"/>
          <w:lang w:eastAsia="en-US"/>
        </w:rPr>
        <w:t>,</w:t>
      </w:r>
      <w:r w:rsidR="005E23A4">
        <w:rPr>
          <w:rFonts w:eastAsiaTheme="minorHAnsi"/>
          <w:lang w:eastAsia="en-US"/>
        </w:rPr>
        <w:t xml:space="preserve"> and hence it is not possible to report against those standards</w:t>
      </w:r>
      <w:r w:rsidR="00F14F45">
        <w:rPr>
          <w:rFonts w:eastAsiaTheme="minorHAnsi"/>
          <w:lang w:eastAsia="en-US"/>
        </w:rPr>
        <w:t>.</w:t>
      </w:r>
    </w:p>
    <w:p w14:paraId="74824ACB" w14:textId="77777777" w:rsidR="00851F6D" w:rsidRPr="00D44B42" w:rsidRDefault="00851F6D" w:rsidP="00ED59F5">
      <w:pPr>
        <w:pStyle w:val="ListNumber"/>
      </w:pPr>
      <w:r>
        <w:t xml:space="preserve">The data for the Ambulance Quality Indicators will be </w:t>
      </w:r>
      <w:r w:rsidRPr="00D44B42">
        <w:t>collected on two separate forms</w:t>
      </w:r>
      <w:r w:rsidR="0066120E">
        <w:t>:</w:t>
      </w:r>
    </w:p>
    <w:p w14:paraId="457C3A18" w14:textId="77777777" w:rsidR="00851F6D" w:rsidRDefault="00851F6D" w:rsidP="00ED59F5">
      <w:pPr>
        <w:pStyle w:val="ListBullet"/>
      </w:pPr>
      <w:r>
        <w:t>Part 1 – System Indicators (</w:t>
      </w:r>
      <w:proofErr w:type="spellStart"/>
      <w:r>
        <w:t>AmbSYS</w:t>
      </w:r>
      <w:proofErr w:type="spellEnd"/>
      <w:r>
        <w:t>)</w:t>
      </w:r>
    </w:p>
    <w:p w14:paraId="49CD775F" w14:textId="77777777" w:rsidR="00851F6D" w:rsidRDefault="00851F6D" w:rsidP="00ED59F5">
      <w:pPr>
        <w:pStyle w:val="ListBullet"/>
      </w:pPr>
      <w:r>
        <w:t>Part 2 – Clinical Outcomes (</w:t>
      </w:r>
      <w:proofErr w:type="spellStart"/>
      <w:r>
        <w:t>AmbCO</w:t>
      </w:r>
      <w:proofErr w:type="spellEnd"/>
      <w:r>
        <w:t>)</w:t>
      </w:r>
    </w:p>
    <w:p w14:paraId="6A694A61" w14:textId="77777777" w:rsidR="00851F6D" w:rsidRDefault="00851F6D" w:rsidP="00ED59F5">
      <w:pPr>
        <w:pStyle w:val="ListNumber"/>
      </w:pPr>
      <w:r>
        <w:t>Data for</w:t>
      </w:r>
      <w:r w:rsidR="00D44B42">
        <w:t xml:space="preserve"> </w:t>
      </w:r>
      <w:r>
        <w:t xml:space="preserve">Systems Indicators should be available from Ambulance </w:t>
      </w:r>
      <w:r w:rsidR="00E103E6">
        <w:t>Services’</w:t>
      </w:r>
      <w:r>
        <w:t xml:space="preserve"> own information system and relate to the initial call. Therefore, data should be readily available</w:t>
      </w:r>
      <w:r w:rsidR="00D44B42">
        <w:t>.</w:t>
      </w:r>
    </w:p>
    <w:p w14:paraId="64576764" w14:textId="27F8C998" w:rsidR="00851F6D" w:rsidRDefault="00851F6D" w:rsidP="00ED59F5">
      <w:pPr>
        <w:pStyle w:val="ListNumber"/>
      </w:pPr>
      <w:r>
        <w:t xml:space="preserve">Data for </w:t>
      </w:r>
      <w:r w:rsidR="00FF4605">
        <w:t xml:space="preserve">some </w:t>
      </w:r>
      <w:r>
        <w:t>Clinical Outcomes will need information passed back from other organisations (</w:t>
      </w:r>
      <w:r w:rsidR="0048603A">
        <w:t xml:space="preserve">for example, </w:t>
      </w:r>
      <w:r>
        <w:t>Acute Trusts), for the outcome to be determined. To allow for this, data for the same period as that for Part 1 will be collected on a second form to a slower timetable</w:t>
      </w:r>
      <w:r w:rsidR="002D0D1B">
        <w:t>.</w:t>
      </w:r>
    </w:p>
    <w:p w14:paraId="0E5A99EC" w14:textId="304252F9" w:rsidR="00FF4605" w:rsidRDefault="00FF4605" w:rsidP="00ED59F5">
      <w:pPr>
        <w:pStyle w:val="ListNumber"/>
      </w:pPr>
      <w:r>
        <w:t>However, to provide additional assurance regarding clinical safety a set of accelerated clinical outcome data will be collected from ambulance systems alone. Whilst these are proxy measures for established clinical outcomes, they provide earlier assurance</w:t>
      </w:r>
      <w:r w:rsidR="008A0E62">
        <w:t>,</w:t>
      </w:r>
      <w:r>
        <w:t xml:space="preserve"> and are expected to be provided within two weeks of the incident</w:t>
      </w:r>
      <w:r w:rsidR="008A0E62">
        <w:t>.</w:t>
      </w:r>
    </w:p>
    <w:p w14:paraId="082666B6" w14:textId="77777777" w:rsidR="00851F6D" w:rsidRDefault="00851F6D" w:rsidP="00ED59F5">
      <w:pPr>
        <w:pStyle w:val="ListNumber"/>
      </w:pPr>
      <w:r>
        <w:t xml:space="preserve">For all of the lines on these forms, </w:t>
      </w:r>
      <w:proofErr w:type="spellStart"/>
      <w:r>
        <w:t>AmbSYS</w:t>
      </w:r>
      <w:proofErr w:type="spellEnd"/>
      <w:r>
        <w:t xml:space="preserve"> and </w:t>
      </w:r>
      <w:proofErr w:type="spellStart"/>
      <w:r>
        <w:t>AmbCO</w:t>
      </w:r>
      <w:proofErr w:type="spellEnd"/>
      <w:r>
        <w:t>, the basis for collection are set out below</w:t>
      </w:r>
      <w:r w:rsidR="00D44B42">
        <w:t>.</w:t>
      </w:r>
    </w:p>
    <w:p w14:paraId="443EFF80" w14:textId="77777777" w:rsidR="00851F6D" w:rsidRPr="00307DC1" w:rsidRDefault="00851F6D" w:rsidP="002627BA">
      <w:pPr>
        <w:pStyle w:val="Heading5"/>
      </w:pPr>
      <w:r w:rsidRPr="00052CA2">
        <w:t>Collection Information</w:t>
      </w:r>
    </w:p>
    <w:p w14:paraId="3FDCB1DC" w14:textId="77777777" w:rsidR="00851F6D" w:rsidRPr="003F2ACF" w:rsidRDefault="00851F6D" w:rsidP="000D0A75">
      <w:pPr>
        <w:pStyle w:val="ListNumber"/>
      </w:pPr>
      <w:r w:rsidRPr="003F2ACF">
        <w:t>Level: Ambulance Trusts</w:t>
      </w:r>
    </w:p>
    <w:p w14:paraId="10A00F07" w14:textId="77777777" w:rsidR="00851F6D" w:rsidRPr="003F2ACF" w:rsidRDefault="00851F6D" w:rsidP="000D0A75">
      <w:pPr>
        <w:pStyle w:val="ListNumber"/>
      </w:pPr>
      <w:r w:rsidRPr="003F2ACF">
        <w:t>Basis: Provider</w:t>
      </w:r>
    </w:p>
    <w:p w14:paraId="676D4BAB" w14:textId="633F7566" w:rsidR="00851F6D" w:rsidRPr="003F2ACF" w:rsidRDefault="00851F6D" w:rsidP="000D0A75">
      <w:pPr>
        <w:pStyle w:val="ListNumber"/>
      </w:pPr>
      <w:r w:rsidRPr="003F2ACF">
        <w:t>Returns</w:t>
      </w:r>
      <w:r w:rsidR="00E103E6">
        <w:t>:</w:t>
      </w:r>
      <w:r w:rsidRPr="003F2ACF">
        <w:t xml:space="preserve"> </w:t>
      </w:r>
      <w:r w:rsidR="00FF4605">
        <w:t>Weekly</w:t>
      </w:r>
      <w:r w:rsidRPr="003F2ACF">
        <w:t xml:space="preserve"> Actual</w:t>
      </w:r>
    </w:p>
    <w:p w14:paraId="66FCCDF0" w14:textId="77777777" w:rsidR="00851F6D" w:rsidRPr="003F2ACF" w:rsidRDefault="00851F6D" w:rsidP="00ED59F5">
      <w:pPr>
        <w:pStyle w:val="ListNumber"/>
      </w:pPr>
      <w:r>
        <w:t>All d</w:t>
      </w:r>
      <w:r w:rsidRPr="003F2ACF">
        <w:t xml:space="preserve">ata </w:t>
      </w:r>
      <w:r>
        <w:t xml:space="preserve">will be </w:t>
      </w:r>
      <w:r w:rsidRPr="003F2ACF">
        <w:t xml:space="preserve">submitted centrally via </w:t>
      </w:r>
      <w:r w:rsidR="00434BC2">
        <w:t>Unify</w:t>
      </w:r>
      <w:r w:rsidRPr="003F2ACF">
        <w:t>2</w:t>
      </w:r>
      <w:r w:rsidR="00E103E6">
        <w:t>.</w:t>
      </w:r>
    </w:p>
    <w:p w14:paraId="0B7562D5" w14:textId="77777777" w:rsidR="00851F6D" w:rsidRPr="00233264" w:rsidRDefault="00C03D54" w:rsidP="00E658A1">
      <w:pPr>
        <w:pStyle w:val="Heading2"/>
      </w:pPr>
      <w:r>
        <w:br w:type="page"/>
      </w:r>
      <w:r w:rsidR="00851F6D" w:rsidRPr="00233264">
        <w:t>Part 1 – Systems Indicators</w:t>
      </w:r>
    </w:p>
    <w:p w14:paraId="315D3569" w14:textId="62222F4D" w:rsidR="00851F6D" w:rsidRDefault="00851F6D" w:rsidP="002627BA">
      <w:pPr>
        <w:pStyle w:val="Heading3"/>
      </w:pPr>
      <w:r w:rsidRPr="00484852">
        <w:t>HQU03_01</w:t>
      </w:r>
      <w:r>
        <w:t>a</w:t>
      </w:r>
      <w:r w:rsidRPr="00484852">
        <w:t xml:space="preserve">: 8 </w:t>
      </w:r>
      <w:r w:rsidR="0087096D">
        <w:t>m</w:t>
      </w:r>
      <w:r w:rsidRPr="00484852">
        <w:t xml:space="preserve">inute </w:t>
      </w:r>
      <w:r w:rsidR="006967CA">
        <w:t>Red</w:t>
      </w:r>
      <w:r w:rsidR="003E6ABA">
        <w:t xml:space="preserve"> </w:t>
      </w:r>
      <w:r w:rsidR="0087096D">
        <w:t>response</w:t>
      </w:r>
      <w:r w:rsidR="006967CA">
        <w:t xml:space="preserve"> </w:t>
      </w:r>
    </w:p>
    <w:p w14:paraId="5FD6C12E" w14:textId="77777777" w:rsidR="00851F6D" w:rsidRPr="00484852" w:rsidRDefault="00851F6D" w:rsidP="002627BA">
      <w:pPr>
        <w:pStyle w:val="Heading5"/>
      </w:pPr>
      <w:r w:rsidRPr="00484852">
        <w:t xml:space="preserve">Detailed </w:t>
      </w:r>
      <w:r w:rsidR="0026609E">
        <w:t>Descriptor</w:t>
      </w:r>
    </w:p>
    <w:p w14:paraId="4CBDD8DA" w14:textId="5871D5C3" w:rsidR="00851F6D" w:rsidRDefault="00851F6D" w:rsidP="00ED59F5">
      <w:pPr>
        <w:pStyle w:val="ListNumber"/>
      </w:pPr>
      <w:r w:rsidRPr="00484852">
        <w:t xml:space="preserve">Improved health outcomes from ensuring a timely </w:t>
      </w:r>
      <w:r w:rsidR="008A0E62">
        <w:t xml:space="preserve">and appropriate </w:t>
      </w:r>
      <w:r w:rsidRPr="00484852">
        <w:t>response to immediately life-threaten</w:t>
      </w:r>
      <w:r w:rsidR="001355E7">
        <w:t>ing ambulance calls.</w:t>
      </w:r>
    </w:p>
    <w:p w14:paraId="2A35068D" w14:textId="77777777" w:rsidR="00851F6D" w:rsidRPr="00484852" w:rsidRDefault="00851F6D" w:rsidP="002627BA">
      <w:pPr>
        <w:pStyle w:val="Heading5"/>
      </w:pPr>
      <w:r w:rsidRPr="00484852">
        <w:t xml:space="preserve">Data </w:t>
      </w:r>
      <w:r w:rsidR="0026609E">
        <w:t>Definition</w:t>
      </w:r>
    </w:p>
    <w:p w14:paraId="4F492384" w14:textId="62B9686F" w:rsidR="005C73FF" w:rsidRPr="00237BBF" w:rsidRDefault="00851F6D" w:rsidP="00ED59F5">
      <w:pPr>
        <w:pStyle w:val="ListNumber"/>
      </w:pPr>
      <w:bookmarkStart w:id="1" w:name="HQU03_1_1_3"/>
      <w:r w:rsidRPr="00237BBF">
        <w:rPr>
          <w:b/>
        </w:rPr>
        <w:t>HQU03_1_1_3</w:t>
      </w:r>
      <w:bookmarkEnd w:id="1"/>
      <w:r w:rsidRPr="00237BBF">
        <w:rPr>
          <w:b/>
        </w:rPr>
        <w:t>:</w:t>
      </w:r>
      <w:r w:rsidR="00E94657" w:rsidRPr="00237BBF">
        <w:t xml:space="preserve"> </w:t>
      </w:r>
      <w:r w:rsidRPr="00237BBF">
        <w:t>The number of Red calls resulting in an emergency response arriving at the scene of the incident within 8 minutes</w:t>
      </w:r>
      <w:r w:rsidR="002C6FC8">
        <w:t>:</w:t>
      </w:r>
      <w:r w:rsidRPr="00237BBF">
        <w:t xml:space="preserve"> A response within eight minutes means eight minutes zero seconds or less.</w:t>
      </w:r>
    </w:p>
    <w:p w14:paraId="43E4660E" w14:textId="17A53A39" w:rsidR="002C6FC8" w:rsidRDefault="00851F6D" w:rsidP="00ED59F5">
      <w:pPr>
        <w:pStyle w:val="ListNumber"/>
      </w:pPr>
      <w:bookmarkStart w:id="2" w:name="HQU03_1_1_4"/>
      <w:r w:rsidRPr="00237BBF">
        <w:rPr>
          <w:b/>
        </w:rPr>
        <w:t>HQU03_1_1_4</w:t>
      </w:r>
      <w:bookmarkEnd w:id="2"/>
      <w:r w:rsidRPr="00237BBF">
        <w:rPr>
          <w:b/>
        </w:rPr>
        <w:t xml:space="preserve">: </w:t>
      </w:r>
      <w:r w:rsidRPr="00237BBF">
        <w:t>The number of Red calls resulting in an emergency response arrivin</w:t>
      </w:r>
      <w:r w:rsidR="002C6FC8">
        <w:t>g at the scene of the incident:</w:t>
      </w:r>
      <w:r w:rsidR="002C6FC8" w:rsidRPr="002C6FC8">
        <w:t xml:space="preserve"> </w:t>
      </w:r>
      <w:r w:rsidR="002C6FC8" w:rsidRPr="00237BBF">
        <w:t>If there have been multiple calls to a single incident, only one incident should be recorded</w:t>
      </w:r>
      <w:r w:rsidR="002C6FC8">
        <w:t>.</w:t>
      </w:r>
    </w:p>
    <w:p w14:paraId="2C2BFE87" w14:textId="4F7938B9" w:rsidR="001355E7" w:rsidRDefault="00851F6D" w:rsidP="00ED59F5">
      <w:pPr>
        <w:pStyle w:val="ListNumber"/>
      </w:pPr>
      <w:r w:rsidRPr="00484852">
        <w:t>Red incidents: presenting conditions which may be immediately life</w:t>
      </w:r>
      <w:r w:rsidR="00E274B3">
        <w:t>-</w:t>
      </w:r>
      <w:r w:rsidRPr="00484852">
        <w:t>threatening and should receive an emergency response within 8 minutes irrespecti</w:t>
      </w:r>
      <w:r w:rsidR="00385DD5">
        <w:t>ve of location in 75% of cases.</w:t>
      </w:r>
      <w:r w:rsidR="00B52AB4">
        <w:t xml:space="preserve">  </w:t>
      </w:r>
    </w:p>
    <w:p w14:paraId="2ED059E9" w14:textId="77777777" w:rsidR="00385DD5" w:rsidRPr="00484852" w:rsidRDefault="00385DD5" w:rsidP="002627BA">
      <w:pPr>
        <w:pStyle w:val="Heading5"/>
      </w:pPr>
      <w:r>
        <w:t>Clock start</w:t>
      </w:r>
    </w:p>
    <w:p w14:paraId="0A160375" w14:textId="6D1190FC" w:rsidR="00851F6D" w:rsidRPr="00237095" w:rsidRDefault="00851F6D" w:rsidP="00ED59F5">
      <w:pPr>
        <w:pStyle w:val="ListNumber"/>
      </w:pPr>
      <w:r w:rsidRPr="00237095">
        <w:t>For</w:t>
      </w:r>
      <w:r w:rsidR="006967CA">
        <w:t xml:space="preserve"> </w:t>
      </w:r>
      <w:r w:rsidRPr="00237095">
        <w:t xml:space="preserve">Red </w:t>
      </w:r>
      <w:r w:rsidR="005C73FF">
        <w:t xml:space="preserve">calls (the most </w:t>
      </w:r>
      <w:r w:rsidR="000F1DC0" w:rsidRPr="001C1D3A">
        <w:t>seriously ill patients, those in</w:t>
      </w:r>
      <w:r w:rsidR="000F1DC0">
        <w:t xml:space="preserve"> a cardiac arrest or a state of </w:t>
      </w:r>
      <w:proofErr w:type="spellStart"/>
      <w:r w:rsidR="000F1DC0" w:rsidRPr="001C1D3A">
        <w:t>peri</w:t>
      </w:r>
      <w:proofErr w:type="spellEnd"/>
      <w:r w:rsidR="000F1DC0" w:rsidRPr="001C1D3A">
        <w:t>-arrest</w:t>
      </w:r>
      <w:r w:rsidR="000F1DC0">
        <w:t xml:space="preserve">), the </w:t>
      </w:r>
      <w:r w:rsidR="000F1DC0" w:rsidRPr="00237095">
        <w:t xml:space="preserve">clock </w:t>
      </w:r>
      <w:r w:rsidR="000F1DC0">
        <w:t xml:space="preserve">will start at T0, </w:t>
      </w:r>
      <w:r w:rsidR="000F1DC0" w:rsidRPr="001C1D3A">
        <w:t>the point the call is connected to the Emergency Operations Centre (EOC) telephony switch</w:t>
      </w:r>
      <w:r w:rsidR="005C73FF" w:rsidRPr="001C1D3A">
        <w:t xml:space="preserve">. </w:t>
      </w:r>
      <w:r w:rsidR="005C73FF" w:rsidRPr="00F43520">
        <w:t>This will be the case for all calls received on control room telephone lines; from dedicated emergency lines, or otherwise.</w:t>
      </w:r>
      <w:r w:rsidR="005C73FF" w:rsidRPr="001C1D3A">
        <w:t xml:space="preserve"> For all calls that are </w:t>
      </w:r>
      <w:r w:rsidR="000F1DC0" w:rsidRPr="001C1D3A">
        <w:t>connected electr</w:t>
      </w:r>
      <w:r w:rsidR="000F1DC0">
        <w:t xml:space="preserve">onically, including NHS 111 calls through Interoperability Toolkit (ITK), and calls electronically transferred from another Trust’s Computer-Aided Dispatch (CAD) system, </w:t>
      </w:r>
      <w:r w:rsidR="000F1DC0" w:rsidRPr="001C1D3A">
        <w:t xml:space="preserve">the clock will start immediately at the point that the call presents to the </w:t>
      </w:r>
      <w:r w:rsidR="000F1DC0">
        <w:t xml:space="preserve">Trust’s </w:t>
      </w:r>
      <w:r w:rsidR="000F1DC0" w:rsidRPr="001C1D3A">
        <w:t>EOC C</w:t>
      </w:r>
      <w:r w:rsidR="000F1DC0">
        <w:t>AD</w:t>
      </w:r>
      <w:r w:rsidRPr="00237095">
        <w:t>.</w:t>
      </w:r>
    </w:p>
    <w:p w14:paraId="098F61BF" w14:textId="77777777" w:rsidR="00385DD5" w:rsidRDefault="00385DD5" w:rsidP="002627BA">
      <w:pPr>
        <w:pStyle w:val="Heading5"/>
      </w:pPr>
      <w:r>
        <w:t>Clock stop</w:t>
      </w:r>
    </w:p>
    <w:p w14:paraId="5CA57F60" w14:textId="77777777" w:rsidR="005C73FF" w:rsidRDefault="005C73FF" w:rsidP="00ED59F5">
      <w:pPr>
        <w:pStyle w:val="ListNumber"/>
      </w:pPr>
      <w:r>
        <w:t xml:space="preserve">The </w:t>
      </w:r>
      <w:r w:rsidR="00851F6D" w:rsidRPr="00237095">
        <w:t xml:space="preserve">clock stops when the first </w:t>
      </w:r>
      <w:r w:rsidR="008A5FB2" w:rsidRPr="00237095">
        <w:t>ambulance service-dispatched emergency responder</w:t>
      </w:r>
      <w:r w:rsidR="00E94657">
        <w:t xml:space="preserve"> </w:t>
      </w:r>
      <w:r w:rsidR="00851F6D" w:rsidRPr="00237095">
        <w:t>arrives at the scene of the incident.</w:t>
      </w:r>
    </w:p>
    <w:p w14:paraId="54147F68" w14:textId="77777777" w:rsidR="00851F6D" w:rsidRPr="00237095" w:rsidRDefault="00851F6D" w:rsidP="00ED59F5">
      <w:pPr>
        <w:pStyle w:val="ListNumber"/>
      </w:pPr>
      <w:r w:rsidRPr="00237095">
        <w:t>A legitimate clock stop position can include the response arriving at a pre-arrival rendezvous point when one has been determined as appropriate for the safety of ambulance staff in agreement with the control room.</w:t>
      </w:r>
      <w:r w:rsidR="00E94657">
        <w:t xml:space="preserve"> </w:t>
      </w:r>
      <w:r w:rsidRPr="00237095">
        <w:t>For example, a rendezvous point could be agreed for the following situations:</w:t>
      </w:r>
    </w:p>
    <w:p w14:paraId="3168AA73" w14:textId="61B27249" w:rsidR="00851F6D" w:rsidRPr="00237095" w:rsidRDefault="00851F6D" w:rsidP="00273810">
      <w:pPr>
        <w:pStyle w:val="ListBullet"/>
      </w:pPr>
      <w:r w:rsidRPr="00237095">
        <w:t>Information has been received relating to the given location that</w:t>
      </w:r>
      <w:r w:rsidR="000817FC">
        <w:t xml:space="preserve"> a </w:t>
      </w:r>
      <w:r w:rsidRPr="00237095">
        <w:t>patient</w:t>
      </w:r>
      <w:r w:rsidR="005C73FF" w:rsidRPr="00E34454">
        <w:t xml:space="preserve"> or </w:t>
      </w:r>
      <w:r w:rsidR="000817FC" w:rsidRPr="00E34454">
        <w:t>bystander</w:t>
      </w:r>
      <w:r w:rsidR="000817FC" w:rsidRPr="00237095">
        <w:t xml:space="preserve"> </w:t>
      </w:r>
      <w:r w:rsidRPr="00237095">
        <w:t>is violent</w:t>
      </w:r>
      <w:r w:rsidR="005C73FF">
        <w:t>,</w:t>
      </w:r>
      <w:r w:rsidRPr="00237095">
        <w:t xml:space="preserve"> and police or other</w:t>
      </w:r>
      <w:r w:rsidR="005C1483">
        <w:t xml:space="preserve"> further assistance is required;</w:t>
      </w:r>
    </w:p>
    <w:p w14:paraId="175FC650" w14:textId="77777777" w:rsidR="00851F6D" w:rsidRPr="00237095" w:rsidRDefault="00851F6D" w:rsidP="00273810">
      <w:pPr>
        <w:pStyle w:val="ListBullet"/>
      </w:pPr>
      <w:r w:rsidRPr="00237095">
        <w:t>Information has been received that the operational incident</w:t>
      </w:r>
      <w:r w:rsidR="005C73FF">
        <w:t>,</w:t>
      </w:r>
      <w:r w:rsidRPr="00237095">
        <w:t xml:space="preserve"> because of its nature</w:t>
      </w:r>
      <w:r w:rsidR="005C73FF">
        <w:t>,</w:t>
      </w:r>
      <w:r w:rsidRPr="00237095">
        <w:t xml:space="preserve"> is unsafe for ambulance staff to enter.</w:t>
      </w:r>
    </w:p>
    <w:p w14:paraId="504797F2" w14:textId="41735A4B" w:rsidR="000817FC" w:rsidRPr="00237095" w:rsidRDefault="00851F6D" w:rsidP="00ED59F5">
      <w:pPr>
        <w:pStyle w:val="ListNumber"/>
      </w:pPr>
      <w:r w:rsidRPr="00237095">
        <w:t>For the purposes of the 8</w:t>
      </w:r>
      <w:r w:rsidR="000817FC">
        <w:t xml:space="preserve"> </w:t>
      </w:r>
      <w:r w:rsidRPr="00237095">
        <w:t xml:space="preserve">minute </w:t>
      </w:r>
      <w:r w:rsidR="00E274B3">
        <w:t xml:space="preserve">Red </w:t>
      </w:r>
      <w:r w:rsidRPr="00237095">
        <w:t>standard, an emergency response</w:t>
      </w:r>
      <w:r w:rsidR="000817FC">
        <w:t xml:space="preserve"> that will stop the clock occurs when</w:t>
      </w:r>
      <w:r w:rsidR="000817FC" w:rsidRPr="00237095">
        <w:t>:</w:t>
      </w:r>
    </w:p>
    <w:p w14:paraId="659CF12F" w14:textId="1F9A01ED" w:rsidR="0013602D" w:rsidRDefault="0013602D" w:rsidP="0013602D">
      <w:pPr>
        <w:pStyle w:val="ListBullet"/>
      </w:pPr>
      <w:r>
        <w:t xml:space="preserve">A fully equipped Trust Ambulance (Land or Air), with </w:t>
      </w:r>
      <w:r w:rsidRPr="0013602D">
        <w:t>ambulance staff</w:t>
      </w:r>
      <w:r>
        <w:t xml:space="preserve"> </w:t>
      </w:r>
      <w:r w:rsidRPr="0013602D">
        <w:t>trained to deliver clinical care to patient(s) at the scene of an incident</w:t>
      </w:r>
      <w:r>
        <w:t>, arrives within a 200 metre geo-fence of the patient (if tracked); or such an ambulance confirms arrival at scene through an updated status message via the Mobile Data Terminal (MDT) in the vehicle, or a clinician confirming verbally to the EOC that they are on scene;</w:t>
      </w:r>
    </w:p>
    <w:p w14:paraId="50DD82D9" w14:textId="77777777" w:rsidR="000817FC" w:rsidRDefault="000817FC" w:rsidP="000817FC">
      <w:pPr>
        <w:pStyle w:val="ListBullet"/>
      </w:pPr>
      <w:r>
        <w:t>A fully equipped Rapid Response Vehicle (RRV), motorbike or cycle, or Blue Light Response Officer, if tracked, arrives within a 200 metre geo-fence of the patient</w:t>
      </w:r>
      <w:r w:rsidR="00880711">
        <w:t xml:space="preserve">; </w:t>
      </w:r>
      <w:r>
        <w:t xml:space="preserve">or the RRV confirms arrival at scene through an updated status message via the MDT in the vehicle, or </w:t>
      </w:r>
      <w:r w:rsidR="00880711">
        <w:t>a clinician confirming</w:t>
      </w:r>
      <w:r>
        <w:t xml:space="preserve"> verbally to</w:t>
      </w:r>
      <w:r w:rsidR="0013602D">
        <w:t xml:space="preserve"> the EOC that they are on scene;</w:t>
      </w:r>
    </w:p>
    <w:p w14:paraId="5CF19273" w14:textId="77777777" w:rsidR="000817FC" w:rsidRDefault="000817FC" w:rsidP="000817FC">
      <w:pPr>
        <w:pStyle w:val="ListBullet"/>
      </w:pPr>
      <w:r>
        <w:t>An approved Community First Responder (CFR) or an approved Co-Responder (for example, Fire Service Responder, Mountain Rescue) equipped with a defibrillator arrives within a 200 metre geo-fen</w:t>
      </w:r>
      <w:r w:rsidR="00880711">
        <w:t xml:space="preserve">ce (if tracked) of the patient; </w:t>
      </w:r>
      <w:r>
        <w:t xml:space="preserve">or the CFR confirms arrival at scene through an updated status message </w:t>
      </w:r>
      <w:r w:rsidR="00880711">
        <w:t xml:space="preserve">via the MDT </w:t>
      </w:r>
      <w:r>
        <w:t xml:space="preserve">in the vehicle, or </w:t>
      </w:r>
      <w:r w:rsidR="00880711">
        <w:t>a CFR confirming</w:t>
      </w:r>
      <w:r>
        <w:t xml:space="preserve"> verbally to</w:t>
      </w:r>
      <w:r w:rsidR="00880711">
        <w:t xml:space="preserve"> the EOC that they are on scene;</w:t>
      </w:r>
    </w:p>
    <w:p w14:paraId="3A8C3AE4" w14:textId="5E855595" w:rsidR="000817FC" w:rsidRDefault="000817FC" w:rsidP="000817FC">
      <w:pPr>
        <w:pStyle w:val="ListBullet"/>
      </w:pPr>
      <w:r>
        <w:t xml:space="preserve">An ambulance resource commissioned to work on behalf of the Trust, who is deployed by the Trust, working to the Trust Policies and Procedures, on a fully equipped ambulance with qualified staff on board (for example, </w:t>
      </w:r>
      <w:r w:rsidR="00042044">
        <w:t xml:space="preserve">Private </w:t>
      </w:r>
      <w:r>
        <w:t>Ambulance Service (PAS) or Voluntary Ambulance Service (VAS))</w:t>
      </w:r>
      <w:r w:rsidR="00880711">
        <w:t>,</w:t>
      </w:r>
      <w:r>
        <w:t xml:space="preserve"> arrives within a 200 metre geo-fen</w:t>
      </w:r>
      <w:r w:rsidR="00880711">
        <w:t xml:space="preserve">ce (if tracked) of the patient; </w:t>
      </w:r>
      <w:r>
        <w:t xml:space="preserve">or the clinician confirms arrival at scene through an updated status message via the MDT in the vehicle, or </w:t>
      </w:r>
      <w:r w:rsidR="00880711">
        <w:t xml:space="preserve">a clinician confirming </w:t>
      </w:r>
      <w:r>
        <w:t>verbally to</w:t>
      </w:r>
      <w:r w:rsidR="00880711">
        <w:t xml:space="preserve"> the EOC that they are on scene;</w:t>
      </w:r>
    </w:p>
    <w:p w14:paraId="30BC12FF" w14:textId="1330F9A7" w:rsidR="000817FC" w:rsidRDefault="000817FC" w:rsidP="000817FC">
      <w:pPr>
        <w:pStyle w:val="ListBullet"/>
      </w:pPr>
      <w:r>
        <w:t>A static site defibrillator (formerly known as static Pu</w:t>
      </w:r>
      <w:r w:rsidR="00880711">
        <w:t xml:space="preserve">blic Access Defibrillator, PAD), </w:t>
      </w:r>
      <w:r>
        <w:t>located at the address of the Red incident</w:t>
      </w:r>
      <w:r w:rsidR="00880711">
        <w:t>,</w:t>
      </w:r>
      <w:r>
        <w:t xml:space="preserve"> is confirmed as being on site, </w:t>
      </w:r>
      <w:r w:rsidR="005C1483">
        <w:t xml:space="preserve">at the patient’s side, </w:t>
      </w:r>
      <w:r>
        <w:t xml:space="preserve">with someone there who is willing to use it, </w:t>
      </w:r>
      <w:r w:rsidRPr="00A96622">
        <w:t xml:space="preserve">where both questions are </w:t>
      </w:r>
      <w:r>
        <w:t>co</w:t>
      </w:r>
      <w:r w:rsidR="00880711">
        <w:t>nfirmed by an EOC Call Assessor;</w:t>
      </w:r>
    </w:p>
    <w:p w14:paraId="3A319621" w14:textId="256D61DA" w:rsidR="000817FC" w:rsidRDefault="000817FC" w:rsidP="000817FC">
      <w:pPr>
        <w:pStyle w:val="ListBullet"/>
      </w:pPr>
      <w:r>
        <w:t xml:space="preserve">A Community Public Access Defibrillator (CPAD) is confirmed as having been brought to the patient’s side with someone there </w:t>
      </w:r>
      <w:proofErr w:type="gramStart"/>
      <w:r>
        <w:t>who</w:t>
      </w:r>
      <w:proofErr w:type="gramEnd"/>
      <w:r>
        <w:t xml:space="preserve"> is willing to use it, with both questions con</w:t>
      </w:r>
      <w:r w:rsidR="00880711">
        <w:t xml:space="preserve">firmed </w:t>
      </w:r>
      <w:r w:rsidR="003E6ABA">
        <w:t xml:space="preserve">either verbally by </w:t>
      </w:r>
      <w:r w:rsidR="00880711">
        <w:t>EOC</w:t>
      </w:r>
      <w:r w:rsidR="003E6ABA">
        <w:t xml:space="preserve"> staff or by appropriate technical methods that offer the same degree of assurance.  </w:t>
      </w:r>
      <w:r w:rsidR="00880711">
        <w:t>(</w:t>
      </w:r>
      <w:r w:rsidR="003E6ABA">
        <w:t>I</w:t>
      </w:r>
      <w:r>
        <w:t>f only a single rescuer is with the patient, they must stay with the patient, and not leave the patient unattend</w:t>
      </w:r>
      <w:r w:rsidR="00880711">
        <w:t>ed to collect the defibrillator);</w:t>
      </w:r>
    </w:p>
    <w:p w14:paraId="1B59537F" w14:textId="3C311DE1" w:rsidR="003A7DE5" w:rsidRDefault="000817FC" w:rsidP="000817FC">
      <w:pPr>
        <w:pStyle w:val="ListBullet"/>
      </w:pPr>
      <w:r>
        <w:t xml:space="preserve">An approved first responder such as a </w:t>
      </w:r>
      <w:r w:rsidR="00042044">
        <w:t xml:space="preserve">Doctor </w:t>
      </w:r>
      <w:r>
        <w:t>or other healthcare professional (HCP) is with the patient, and is equipped with a defibrillator, where the question is confirmed by the EOC Call Assessor.</w:t>
      </w:r>
    </w:p>
    <w:p w14:paraId="4CE4EB01" w14:textId="70217B65" w:rsidR="00851F6D" w:rsidRPr="00237095" w:rsidRDefault="00851F6D" w:rsidP="00ED59F5">
      <w:pPr>
        <w:pStyle w:val="ListNumber"/>
      </w:pPr>
      <w:r w:rsidRPr="00237095">
        <w:t xml:space="preserve">Once a category (Red </w:t>
      </w:r>
      <w:r w:rsidR="004677AD">
        <w:t xml:space="preserve">Amber </w:t>
      </w:r>
      <w:r w:rsidRPr="00237095">
        <w:t xml:space="preserve">or Green) is determined, reporting </w:t>
      </w:r>
      <w:r w:rsidR="00A96622">
        <w:t xml:space="preserve">must </w:t>
      </w:r>
      <w:r w:rsidRPr="00237095">
        <w:t xml:space="preserve">remain against the code that was in place within the CAD record prior to the arrival of a first response on scene. It </w:t>
      </w:r>
      <w:r w:rsidR="000817FC">
        <w:t xml:space="preserve">must </w:t>
      </w:r>
      <w:r w:rsidR="00DA2975">
        <w:t>not</w:t>
      </w:r>
      <w:r w:rsidRPr="00237095">
        <w:t xml:space="preserve"> be changed after a resource has arrived at scene.</w:t>
      </w:r>
    </w:p>
    <w:p w14:paraId="629182BA" w14:textId="57D51004" w:rsidR="00B52AB4" w:rsidRDefault="00B52AB4" w:rsidP="00B52AB4">
      <w:pPr>
        <w:pStyle w:val="ListNumber"/>
      </w:pPr>
      <w:r>
        <w:t xml:space="preserve">All calls that have been passed from NHS 111 as requiring a Red ambulance response, either electronically or </w:t>
      </w:r>
      <w:proofErr w:type="gramStart"/>
      <w:r>
        <w:t>manually,</w:t>
      </w:r>
      <w:proofErr w:type="gramEnd"/>
      <w:r>
        <w:t xml:space="preserve"> should be included in this indicator.  From the point that the call is received from NHS 111 it should be treated in the same manner as a call that was received through 999.</w:t>
      </w:r>
    </w:p>
    <w:p w14:paraId="0518643A" w14:textId="5B7EBE9C" w:rsidR="000817FC" w:rsidRDefault="00AC1836" w:rsidP="00B52AB4">
      <w:pPr>
        <w:pStyle w:val="ListNumber"/>
      </w:pPr>
      <w:r>
        <w:t>Following triage either through 999 or 111 i</w:t>
      </w:r>
      <w:r w:rsidR="00B52AB4">
        <w:t>t may be appropriate for some 999 and 111 calls to receive additional clinical assessment that may result in an alternative category, prior to the arrival of the responding resource. This additional assessment must not delay dispatch and must be undertaken by a registered HCP (paramedic, specialist paramedic, Nurse Practitioner or Doctor) within the clinical Hub or EOC.</w:t>
      </w:r>
    </w:p>
    <w:p w14:paraId="6D5B7C63" w14:textId="071F787A" w:rsidR="00B94060" w:rsidRDefault="00B94060" w:rsidP="00B94060">
      <w:pPr>
        <w:pStyle w:val="ListNumber"/>
      </w:pPr>
      <w:r w:rsidRPr="00B94060">
        <w:t>If a responding resource is asked to head towards the location of an incident, it must be allocated to the incident on the CAD, therefore registering the correct clock start point.</w:t>
      </w:r>
    </w:p>
    <w:p w14:paraId="13C9B6E7" w14:textId="5A5E7170" w:rsidR="00DA2975" w:rsidRDefault="0048603A" w:rsidP="00ED59F5">
      <w:pPr>
        <w:pStyle w:val="ListNumber"/>
      </w:pPr>
      <w:r w:rsidRPr="00237095">
        <w:t>All calls that have been</w:t>
      </w:r>
      <w:r>
        <w:t xml:space="preserve"> passed from </w:t>
      </w:r>
      <w:r w:rsidR="00C01824">
        <w:t xml:space="preserve">NHS </w:t>
      </w:r>
      <w:r>
        <w:t>111 as requiring a</w:t>
      </w:r>
      <w:r w:rsidRPr="00237095">
        <w:t xml:space="preserve"> Red ambulance response</w:t>
      </w:r>
      <w:r w:rsidR="00A96622">
        <w:t>,</w:t>
      </w:r>
      <w:r w:rsidRPr="00237095">
        <w:t xml:space="preserve"> either electronically or </w:t>
      </w:r>
      <w:proofErr w:type="gramStart"/>
      <w:r w:rsidRPr="00237095">
        <w:t>manually</w:t>
      </w:r>
      <w:r w:rsidR="00A96622">
        <w:t>,</w:t>
      </w:r>
      <w:proofErr w:type="gramEnd"/>
      <w:r w:rsidR="00002EEF">
        <w:t xml:space="preserve"> </w:t>
      </w:r>
      <w:r w:rsidRPr="00237095">
        <w:t>shou</w:t>
      </w:r>
      <w:r w:rsidR="00DA2975">
        <w:t>ld be included in this indicator</w:t>
      </w:r>
      <w:r w:rsidR="00042044">
        <w:t>.</w:t>
      </w:r>
    </w:p>
    <w:p w14:paraId="3C7A6760" w14:textId="77777777" w:rsidR="000817FC" w:rsidRPr="00DA2975" w:rsidRDefault="000817FC" w:rsidP="00ED59F5">
      <w:pPr>
        <w:pStyle w:val="ListNumber"/>
      </w:pPr>
      <w:r w:rsidRPr="00176561">
        <w:rPr>
          <w:rFonts w:cs="Arial"/>
        </w:rPr>
        <w:t xml:space="preserve">No CPAD or </w:t>
      </w:r>
      <w:r>
        <w:rPr>
          <w:rFonts w:cs="Arial"/>
        </w:rPr>
        <w:t>s</w:t>
      </w:r>
      <w:r w:rsidRPr="00176561">
        <w:rPr>
          <w:rFonts w:cs="Arial"/>
        </w:rPr>
        <w:t xml:space="preserve">tatic </w:t>
      </w:r>
      <w:r>
        <w:rPr>
          <w:rFonts w:cs="Arial"/>
        </w:rPr>
        <w:t>site d</w:t>
      </w:r>
      <w:r w:rsidRPr="00176561">
        <w:rPr>
          <w:rFonts w:cs="Arial"/>
        </w:rPr>
        <w:t>efib</w:t>
      </w:r>
      <w:r>
        <w:rPr>
          <w:rFonts w:cs="Arial"/>
        </w:rPr>
        <w:t>rillator</w:t>
      </w:r>
      <w:r w:rsidRPr="00176561">
        <w:rPr>
          <w:rFonts w:cs="Arial"/>
        </w:rPr>
        <w:t xml:space="preserve"> </w:t>
      </w:r>
      <w:r>
        <w:rPr>
          <w:rFonts w:cs="Arial"/>
        </w:rPr>
        <w:t xml:space="preserve">can </w:t>
      </w:r>
      <w:r w:rsidRPr="00176561">
        <w:rPr>
          <w:rFonts w:cs="Arial"/>
        </w:rPr>
        <w:t xml:space="preserve">automatically </w:t>
      </w:r>
      <w:r>
        <w:rPr>
          <w:rFonts w:cs="Arial"/>
        </w:rPr>
        <w:t>stop the clock</w:t>
      </w:r>
      <w:r w:rsidRPr="00176561">
        <w:rPr>
          <w:rFonts w:cs="Arial"/>
        </w:rPr>
        <w:t xml:space="preserve"> (</w:t>
      </w:r>
      <w:r w:rsidR="002C6FC8">
        <w:rPr>
          <w:rFonts w:cs="Arial"/>
        </w:rPr>
        <w:t>that is,</w:t>
      </w:r>
      <w:r w:rsidRPr="00176561">
        <w:rPr>
          <w:rFonts w:cs="Arial"/>
        </w:rPr>
        <w:t xml:space="preserve"> no auto assign / </w:t>
      </w:r>
      <w:proofErr w:type="spellStart"/>
      <w:r w:rsidRPr="00176561">
        <w:rPr>
          <w:rFonts w:cs="Arial"/>
        </w:rPr>
        <w:t>geofenced</w:t>
      </w:r>
      <w:proofErr w:type="spellEnd"/>
      <w:r w:rsidRPr="00176561">
        <w:rPr>
          <w:rFonts w:cs="Arial"/>
        </w:rPr>
        <w:t xml:space="preserve"> allocation functions).</w:t>
      </w:r>
    </w:p>
    <w:p w14:paraId="3EDCB534" w14:textId="77777777" w:rsidR="00AF31FB" w:rsidRDefault="00AF31FB" w:rsidP="00ED59F5">
      <w:pPr>
        <w:pStyle w:val="ListNumber"/>
        <w:rPr>
          <w:rFonts w:cs="Arial"/>
        </w:rPr>
      </w:pPr>
      <w:r w:rsidRPr="002A279F">
        <w:rPr>
          <w:rFonts w:cs="Arial"/>
        </w:rPr>
        <w:t xml:space="preserve">Where no call connect time is recorded, the earliest available time should be used </w:t>
      </w:r>
      <w:r>
        <w:rPr>
          <w:rFonts w:cs="Arial"/>
        </w:rPr>
        <w:t xml:space="preserve">for </w:t>
      </w:r>
      <w:r w:rsidRPr="002A279F">
        <w:rPr>
          <w:rFonts w:cs="Arial"/>
        </w:rPr>
        <w:t>the clock start</w:t>
      </w:r>
      <w:r>
        <w:rPr>
          <w:rFonts w:cs="Arial"/>
        </w:rPr>
        <w:t>, such as the first key stroke of the keyboard.</w:t>
      </w:r>
    </w:p>
    <w:p w14:paraId="342051E0" w14:textId="77777777" w:rsidR="000817FC" w:rsidRDefault="000817FC" w:rsidP="00ED59F5">
      <w:pPr>
        <w:pStyle w:val="ListNumber"/>
        <w:rPr>
          <w:rFonts w:cs="Arial"/>
        </w:rPr>
      </w:pPr>
      <w:r w:rsidRPr="00DA2975">
        <w:rPr>
          <w:rFonts w:cs="Arial"/>
        </w:rPr>
        <w:t>It is recommended that all Trusts achieve a minimum call connect capture of 85% on public 999 calls</w:t>
      </w:r>
      <w:r>
        <w:rPr>
          <w:rFonts w:cs="Arial"/>
        </w:rPr>
        <w:t>.</w:t>
      </w:r>
    </w:p>
    <w:p w14:paraId="29A86420" w14:textId="3FBC27C2" w:rsidR="00002EEF" w:rsidRDefault="00002EEF" w:rsidP="00002EEF">
      <w:pPr>
        <w:pStyle w:val="Heading3"/>
      </w:pPr>
      <w:bookmarkStart w:id="3" w:name="_Ref438542750"/>
      <w:r>
        <w:t xml:space="preserve">HQU03_1_1_5: Red </w:t>
      </w:r>
      <w:r w:rsidR="0044406D">
        <w:t>r</w:t>
      </w:r>
      <w:r>
        <w:t>esponse time</w:t>
      </w:r>
      <w:bookmarkEnd w:id="3"/>
      <w:r>
        <w:t xml:space="preserve"> </w:t>
      </w:r>
      <w:r w:rsidR="0044406D">
        <w:t>(all calls)</w:t>
      </w:r>
    </w:p>
    <w:p w14:paraId="3C15E6E2" w14:textId="77777777" w:rsidR="00002EEF" w:rsidRDefault="00002EEF" w:rsidP="00002EEF">
      <w:pPr>
        <w:pStyle w:val="Heading5"/>
      </w:pPr>
      <w:r>
        <w:t>Detailed Descriptor</w:t>
      </w:r>
    </w:p>
    <w:p w14:paraId="2F473BFA" w14:textId="7072C6AB" w:rsidR="00002EEF" w:rsidRDefault="00002EEF" w:rsidP="00ED59F5">
      <w:pPr>
        <w:pStyle w:val="ListNumber"/>
      </w:pPr>
      <w:r>
        <w:t xml:space="preserve">The time to respond to </w:t>
      </w:r>
      <w:r w:rsidR="00361EB9">
        <w:t>all</w:t>
      </w:r>
      <w:r w:rsidR="0044406D">
        <w:t xml:space="preserve"> </w:t>
      </w:r>
      <w:r>
        <w:t>Red calls.</w:t>
      </w:r>
    </w:p>
    <w:p w14:paraId="5AD4B16C" w14:textId="77777777" w:rsidR="00002EEF" w:rsidRDefault="00002EEF" w:rsidP="00002EEF">
      <w:pPr>
        <w:pStyle w:val="Heading5"/>
      </w:pPr>
      <w:r>
        <w:t>Data Definition</w:t>
      </w:r>
    </w:p>
    <w:p w14:paraId="2CA760A4" w14:textId="176B0780" w:rsidR="00002EEF" w:rsidRDefault="00002EEF" w:rsidP="00ED59F5">
      <w:pPr>
        <w:pStyle w:val="ListNumber"/>
      </w:pPr>
      <w:r>
        <w:t>The time from Call Connect to an emergency response arriving at the scene of the incident</w:t>
      </w:r>
      <w:r w:rsidR="0044406D">
        <w:t xml:space="preserve"> for all Red calls</w:t>
      </w:r>
      <w:r>
        <w:t>.</w:t>
      </w:r>
      <w:r w:rsidR="00361EB9">
        <w:t xml:space="preserve"> This will allow the 50</w:t>
      </w:r>
      <w:r w:rsidR="00361EB9" w:rsidRPr="00361EB9">
        <w:rPr>
          <w:vertAlign w:val="superscript"/>
        </w:rPr>
        <w:t>th</w:t>
      </w:r>
      <w:r w:rsidR="00361EB9">
        <w:t xml:space="preserve">, </w:t>
      </w:r>
      <w:r w:rsidR="002A734B">
        <w:t>75</w:t>
      </w:r>
      <w:r w:rsidR="002A734B" w:rsidRPr="006B65BB">
        <w:rPr>
          <w:vertAlign w:val="superscript"/>
        </w:rPr>
        <w:t>th</w:t>
      </w:r>
      <w:r w:rsidR="002A734B">
        <w:t xml:space="preserve">, </w:t>
      </w:r>
      <w:r w:rsidR="00361EB9">
        <w:t>90</w:t>
      </w:r>
      <w:r w:rsidR="00361EB9" w:rsidRPr="00361EB9">
        <w:rPr>
          <w:vertAlign w:val="superscript"/>
        </w:rPr>
        <w:t>th</w:t>
      </w:r>
      <w:r w:rsidR="00361EB9">
        <w:t>, 95</w:t>
      </w:r>
      <w:r w:rsidR="00361EB9" w:rsidRPr="00361EB9">
        <w:rPr>
          <w:vertAlign w:val="superscript"/>
        </w:rPr>
        <w:t>th</w:t>
      </w:r>
      <w:r w:rsidR="00361EB9">
        <w:t xml:space="preserve"> and 99</w:t>
      </w:r>
      <w:r w:rsidR="00361EB9" w:rsidRPr="00361EB9">
        <w:rPr>
          <w:vertAlign w:val="superscript"/>
        </w:rPr>
        <w:t>th</w:t>
      </w:r>
      <w:r w:rsidR="00361EB9">
        <w:t xml:space="preserve"> centiles to be calculated and response times to be displayed graphically for all Red Calls</w:t>
      </w:r>
      <w:r w:rsidR="0037442D">
        <w:t>.</w:t>
      </w:r>
      <w:r w:rsidR="00361EB9">
        <w:t xml:space="preserve">  </w:t>
      </w:r>
    </w:p>
    <w:p w14:paraId="1761EE90" w14:textId="5F887B11" w:rsidR="00002EEF" w:rsidRDefault="00002EEF" w:rsidP="00ED59F5">
      <w:pPr>
        <w:pStyle w:val="ListNumber"/>
      </w:pPr>
      <w:r>
        <w:t xml:space="preserve">The Red </w:t>
      </w:r>
      <w:proofErr w:type="gramStart"/>
      <w:r>
        <w:t>definition,</w:t>
      </w:r>
      <w:proofErr w:type="gramEnd"/>
      <w:r>
        <w:t xml:space="preserve"> and clock start and stop times, are the same as for HQU03_01a above.</w:t>
      </w:r>
    </w:p>
    <w:p w14:paraId="3D4619FF" w14:textId="06F1E29A" w:rsidR="00851F6D" w:rsidRPr="00484852" w:rsidRDefault="00851F6D" w:rsidP="00002EEF">
      <w:pPr>
        <w:pStyle w:val="Heading3"/>
      </w:pPr>
      <w:r w:rsidRPr="00484852">
        <w:t>HQU03_</w:t>
      </w:r>
      <w:r>
        <w:t>01b</w:t>
      </w:r>
      <w:r w:rsidRPr="00484852">
        <w:t xml:space="preserve">: </w:t>
      </w:r>
      <w:r w:rsidR="004677AD">
        <w:t>19</w:t>
      </w:r>
      <w:r w:rsidR="0087096D">
        <w:t xml:space="preserve"> minute </w:t>
      </w:r>
      <w:r w:rsidR="004677AD">
        <w:t>Amber</w:t>
      </w:r>
      <w:r w:rsidR="0087096D">
        <w:t xml:space="preserve"> response</w:t>
      </w:r>
    </w:p>
    <w:p w14:paraId="4560107F" w14:textId="77777777" w:rsidR="00851F6D" w:rsidRPr="00484852" w:rsidRDefault="00851F6D" w:rsidP="002627BA">
      <w:pPr>
        <w:pStyle w:val="Heading5"/>
      </w:pPr>
      <w:r w:rsidRPr="00484852">
        <w:t xml:space="preserve">Detailed </w:t>
      </w:r>
      <w:r w:rsidR="0026609E">
        <w:t>Descriptor</w:t>
      </w:r>
    </w:p>
    <w:p w14:paraId="4D65CB7F" w14:textId="77777777" w:rsidR="00D87A96" w:rsidRDefault="00D87A96" w:rsidP="00ED59F5">
      <w:pPr>
        <w:pStyle w:val="ListNumber"/>
      </w:pPr>
      <w:r>
        <w:t>Amber calls break down into three sub-categories:</w:t>
      </w:r>
    </w:p>
    <w:p w14:paraId="56323B6F" w14:textId="7057FEA7" w:rsidR="00D87A96" w:rsidRDefault="00D87A96" w:rsidP="002034E1">
      <w:pPr>
        <w:pStyle w:val="ListNumber"/>
        <w:numPr>
          <w:ilvl w:val="2"/>
          <w:numId w:val="9"/>
        </w:numPr>
      </w:pPr>
      <w:r w:rsidRPr="00D87A96">
        <w:t>Amber R – a patient who does not have an immediately life threatening condition but requires an emergency response.  Their condition/problem requires assessment/management on scene and it is likely that they will require conveyance to hospital.  Example – patients having a heart attack (MI) require on scene management by a clinician AND conveyance to an appropriate facility (PPCI).</w:t>
      </w:r>
    </w:p>
    <w:p w14:paraId="63B97FD6" w14:textId="7AD14539" w:rsidR="00D87A96" w:rsidRDefault="00D87A96" w:rsidP="00D87A96">
      <w:pPr>
        <w:pStyle w:val="ListParagraph"/>
        <w:numPr>
          <w:ilvl w:val="2"/>
          <w:numId w:val="9"/>
        </w:numPr>
      </w:pPr>
      <w:r w:rsidRPr="00D87A96">
        <w:t>Amber T – a patient who does not have an immediate life threatening condition but requires an emergency response.  Their condition/problem is time dependant on reaching definitive care and therefore a conveying resource is the most important.  Example Stroke (CVA) patients require rapid transport to a hyper-acute stroke unit or other appropriate facility.</w:t>
      </w:r>
    </w:p>
    <w:p w14:paraId="5A69AA4B" w14:textId="77777777" w:rsidR="00D87A96" w:rsidRPr="00D87A96" w:rsidRDefault="00D87A96" w:rsidP="002034E1">
      <w:pPr>
        <w:pStyle w:val="ListParagraph"/>
        <w:ind w:left="0"/>
      </w:pPr>
    </w:p>
    <w:p w14:paraId="1165AF35" w14:textId="0F403A11" w:rsidR="00851F6D" w:rsidRDefault="00D87A96" w:rsidP="00D87A96">
      <w:pPr>
        <w:pStyle w:val="ListParagraph"/>
        <w:numPr>
          <w:ilvl w:val="2"/>
          <w:numId w:val="9"/>
        </w:numPr>
      </w:pPr>
      <w:r w:rsidRPr="00D87A96">
        <w:t>Amber F – a patient who does not have an immediate life threatening condition but does require an emergency response.  Their condition/problem may well be managed on scene by a clinician and may or may not require onward referral.  Example – hypoglycaemia.</w:t>
      </w:r>
    </w:p>
    <w:p w14:paraId="04FF3A48" w14:textId="77777777" w:rsidR="00851F6D" w:rsidRPr="00484852" w:rsidRDefault="00851F6D" w:rsidP="002627BA">
      <w:pPr>
        <w:pStyle w:val="Heading5"/>
      </w:pPr>
      <w:r w:rsidRPr="00484852">
        <w:t xml:space="preserve">Data </w:t>
      </w:r>
      <w:r w:rsidR="0026609E">
        <w:t>Definition</w:t>
      </w:r>
    </w:p>
    <w:p w14:paraId="4E6B8E35" w14:textId="47A7FDF5" w:rsidR="00A418EF" w:rsidRPr="00DA2975" w:rsidRDefault="00851F6D" w:rsidP="00ED59F5">
      <w:pPr>
        <w:pStyle w:val="ListNumber"/>
      </w:pPr>
      <w:bookmarkStart w:id="4" w:name="HQU03_1_1_6"/>
      <w:r w:rsidRPr="00DA2975">
        <w:rPr>
          <w:b/>
        </w:rPr>
        <w:t>HQU03_1_1_6</w:t>
      </w:r>
      <w:bookmarkEnd w:id="4"/>
      <w:r w:rsidRPr="00DA2975">
        <w:rPr>
          <w:b/>
        </w:rPr>
        <w:t>:</w:t>
      </w:r>
      <w:r w:rsidR="00E94657" w:rsidRPr="00DA2975">
        <w:t xml:space="preserve"> </w:t>
      </w:r>
      <w:r w:rsidRPr="00DA2975">
        <w:t xml:space="preserve">The number of </w:t>
      </w:r>
      <w:r w:rsidR="004677AD">
        <w:t>Amber</w:t>
      </w:r>
      <w:r w:rsidRPr="00DA2975">
        <w:t xml:space="preserve"> calls resulting in an emergency response arriving at the scene of the incident within </w:t>
      </w:r>
      <w:r w:rsidR="004677AD">
        <w:t>19</w:t>
      </w:r>
      <w:r w:rsidRPr="00DA2975">
        <w:t xml:space="preserve"> minutes</w:t>
      </w:r>
      <w:r w:rsidR="002C6FC8">
        <w:t>:</w:t>
      </w:r>
      <w:r w:rsidRPr="00DA2975">
        <w:t xml:space="preserve"> A response within </w:t>
      </w:r>
      <w:r w:rsidR="004677AD">
        <w:t>nineteen</w:t>
      </w:r>
      <w:r w:rsidRPr="00DA2975">
        <w:t xml:space="preserve"> minutes means </w:t>
      </w:r>
      <w:r w:rsidR="004677AD">
        <w:t>nineteen</w:t>
      </w:r>
      <w:r w:rsidRPr="00DA2975">
        <w:t xml:space="preserve"> minutes zero seconds or less.</w:t>
      </w:r>
    </w:p>
    <w:p w14:paraId="0F3B6DFC" w14:textId="6ED9D648" w:rsidR="00851F6D" w:rsidRPr="00DA2975" w:rsidRDefault="00851F6D" w:rsidP="00ED59F5">
      <w:pPr>
        <w:pStyle w:val="ListNumber"/>
      </w:pPr>
      <w:bookmarkStart w:id="5" w:name="HQU03_1_1_7"/>
      <w:r w:rsidRPr="00DA2975">
        <w:rPr>
          <w:b/>
        </w:rPr>
        <w:t>HQU03_1_1_7</w:t>
      </w:r>
      <w:bookmarkEnd w:id="5"/>
      <w:r w:rsidRPr="00DA2975">
        <w:rPr>
          <w:b/>
        </w:rPr>
        <w:t xml:space="preserve">: </w:t>
      </w:r>
      <w:r w:rsidRPr="00DA2975">
        <w:t xml:space="preserve">The number of </w:t>
      </w:r>
      <w:r w:rsidR="004677AD">
        <w:t>Amber</w:t>
      </w:r>
      <w:r w:rsidRPr="00DA2975">
        <w:t xml:space="preserve"> calls resulting in an emergency response arrivi</w:t>
      </w:r>
      <w:r w:rsidR="002C6FC8">
        <w:t>ng at the scene of the incident:</w:t>
      </w:r>
      <w:r w:rsidRPr="00DA2975">
        <w:t xml:space="preserve"> If there have been multiple calls to a single incident, only one incident should be recorded</w:t>
      </w:r>
      <w:r w:rsidR="002D0D1B">
        <w:t>.</w:t>
      </w:r>
    </w:p>
    <w:p w14:paraId="75F71125" w14:textId="75214F74" w:rsidR="00E274B3" w:rsidRDefault="00E2715C" w:rsidP="00ED59F5">
      <w:pPr>
        <w:pStyle w:val="ListNumber"/>
      </w:pPr>
      <w:r>
        <w:t xml:space="preserve">Incidents </w:t>
      </w:r>
      <w:r w:rsidR="00902DCB">
        <w:t>involving</w:t>
      </w:r>
      <w:r w:rsidR="00042044">
        <w:t xml:space="preserve"> patients </w:t>
      </w:r>
      <w:r w:rsidR="00042044" w:rsidRPr="00C0106D">
        <w:t>with</w:t>
      </w:r>
      <w:r w:rsidR="00042044">
        <w:t xml:space="preserve"> </w:t>
      </w:r>
      <w:r w:rsidR="00E274B3" w:rsidRPr="00C0106D">
        <w:t xml:space="preserve">conditions </w:t>
      </w:r>
      <w:r>
        <w:t>that are</w:t>
      </w:r>
      <w:r w:rsidR="00E274B3" w:rsidRPr="00C0106D">
        <w:t xml:space="preserve"> less time</w:t>
      </w:r>
      <w:r w:rsidR="00E274B3">
        <w:t>-</w:t>
      </w:r>
      <w:r w:rsidR="00E274B3" w:rsidRPr="00C0106D">
        <w:t xml:space="preserve">critical than </w:t>
      </w:r>
      <w:r>
        <w:t xml:space="preserve">those </w:t>
      </w:r>
      <w:r w:rsidR="00E274B3" w:rsidRPr="00C0106D">
        <w:t>categorised as a Red</w:t>
      </w:r>
      <w:r w:rsidR="00E274B3">
        <w:t>,</w:t>
      </w:r>
      <w:r w:rsidR="00E274B3" w:rsidRPr="00C0106D">
        <w:t xml:space="preserve"> are </w:t>
      </w:r>
      <w:r>
        <w:t>categorised</w:t>
      </w:r>
      <w:r w:rsidR="00E274B3" w:rsidRPr="00C0106D">
        <w:t xml:space="preserve"> as </w:t>
      </w:r>
      <w:r w:rsidR="004677AD">
        <w:t xml:space="preserve">Amber </w:t>
      </w:r>
      <w:r w:rsidR="00E274B3" w:rsidRPr="00C0106D">
        <w:t xml:space="preserve">incidents. They require an emergency response arriving at the scene of the incident within </w:t>
      </w:r>
      <w:r w:rsidR="004677AD">
        <w:t>19</w:t>
      </w:r>
      <w:r w:rsidR="00E274B3" w:rsidRPr="00C0106D">
        <w:t xml:space="preserve"> minutes and zero seconds of clock start.</w:t>
      </w:r>
    </w:p>
    <w:p w14:paraId="2259A5EA" w14:textId="77777777" w:rsidR="00385DD5" w:rsidRDefault="00385DD5" w:rsidP="002627BA">
      <w:pPr>
        <w:pStyle w:val="Heading5"/>
      </w:pPr>
      <w:r>
        <w:t>Clock start</w:t>
      </w:r>
    </w:p>
    <w:p w14:paraId="643EC405" w14:textId="77E25468" w:rsidR="00E274B3" w:rsidRDefault="00E274B3" w:rsidP="00103121">
      <w:pPr>
        <w:pStyle w:val="ListNumber"/>
      </w:pPr>
      <w:r w:rsidRPr="00A418EF">
        <w:t>For</w:t>
      </w:r>
      <w:r>
        <w:t xml:space="preserve"> </w:t>
      </w:r>
      <w:r w:rsidR="001373FB">
        <w:t>Amber</w:t>
      </w:r>
      <w:r w:rsidR="000046EE">
        <w:t xml:space="preserve"> </w:t>
      </w:r>
      <w:r w:rsidRPr="00A418EF">
        <w:t xml:space="preserve">calls, the </w:t>
      </w:r>
      <w:r>
        <w:t>clock starts the earliest of:</w:t>
      </w:r>
    </w:p>
    <w:p w14:paraId="56F2CEA1" w14:textId="253F5619" w:rsidR="00E274B3" w:rsidRDefault="00E274B3" w:rsidP="00E274B3">
      <w:pPr>
        <w:pStyle w:val="ListBullet"/>
      </w:pPr>
      <w:r>
        <w:t>The call is coded as a</w:t>
      </w:r>
      <w:r w:rsidR="001373FB">
        <w:t>n Amber</w:t>
      </w:r>
      <w:r>
        <w:t xml:space="preserve"> incident (following establishment of </w:t>
      </w:r>
      <w:r w:rsidR="008E1679">
        <w:t>chief complaint</w:t>
      </w:r>
      <w:r>
        <w:t xml:space="preserve"> or disposition) or;</w:t>
      </w:r>
    </w:p>
    <w:p w14:paraId="3BEDD606" w14:textId="77777777" w:rsidR="00E274B3" w:rsidRDefault="00E274B3" w:rsidP="00E274B3">
      <w:pPr>
        <w:pStyle w:val="ListBullet"/>
      </w:pPr>
      <w:r>
        <w:t>The first resource is assigned or;</w:t>
      </w:r>
    </w:p>
    <w:p w14:paraId="2E386E5C" w14:textId="2C07C729" w:rsidR="00E274B3" w:rsidRDefault="001373FB" w:rsidP="00E274B3">
      <w:pPr>
        <w:pStyle w:val="ListBullet"/>
      </w:pPr>
      <w:r>
        <w:t>240</w:t>
      </w:r>
      <w:r w:rsidR="00E274B3">
        <w:t xml:space="preserve"> seconds from the point that the call is connected to the Emergency Operations Centre (EOC) telephony switch (T0)</w:t>
      </w:r>
      <w:r w:rsidR="002D0D1B">
        <w:t>.</w:t>
      </w:r>
    </w:p>
    <w:p w14:paraId="45EE9284" w14:textId="6432CBBF" w:rsidR="00851F6D" w:rsidRDefault="00A04A84" w:rsidP="00ED59F5">
      <w:pPr>
        <w:pStyle w:val="ListNumber"/>
      </w:pPr>
      <w:r w:rsidRPr="00A04A84">
        <w:t xml:space="preserve">For </w:t>
      </w:r>
      <w:r w:rsidR="001373FB">
        <w:t>Amber</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rsidR="008E1679">
        <w:t>.</w:t>
      </w:r>
    </w:p>
    <w:p w14:paraId="6C77BCA6" w14:textId="77777777" w:rsidR="00385DD5" w:rsidRPr="00484852" w:rsidRDefault="00385DD5" w:rsidP="002627BA">
      <w:pPr>
        <w:pStyle w:val="Heading5"/>
        <w:rPr>
          <w:rFonts w:cs="Arial"/>
        </w:rPr>
      </w:pPr>
      <w:r>
        <w:t>Clock stop</w:t>
      </w:r>
    </w:p>
    <w:p w14:paraId="488D1F52" w14:textId="2C5B05A5" w:rsidR="00E274B3" w:rsidRDefault="00C0106D" w:rsidP="00ED59F5">
      <w:pPr>
        <w:pStyle w:val="ListNumber"/>
      </w:pPr>
      <w:r>
        <w:t xml:space="preserve">The </w:t>
      </w:r>
      <w:r w:rsidR="00851F6D" w:rsidRPr="00237095">
        <w:t xml:space="preserve">clock stops when the first </w:t>
      </w:r>
      <w:r w:rsidR="00C3353B">
        <w:t xml:space="preserve">appropriate (as listed in para 4.9) </w:t>
      </w:r>
      <w:r>
        <w:t>A</w:t>
      </w:r>
      <w:r w:rsidR="008A5FB2" w:rsidRPr="00237095">
        <w:t xml:space="preserve">mbulance </w:t>
      </w:r>
      <w:r>
        <w:t>S</w:t>
      </w:r>
      <w:r w:rsidR="008A5FB2" w:rsidRPr="00237095">
        <w:t>ervice-dispatched emergency responder</w:t>
      </w:r>
      <w:r w:rsidR="00E94657">
        <w:t xml:space="preserve"> </w:t>
      </w:r>
      <w:r w:rsidR="00851F6D" w:rsidRPr="00237095">
        <w:t>arrives at the scene of the incident</w:t>
      </w:r>
      <w:r w:rsidR="002D0D1B">
        <w:t>.</w:t>
      </w:r>
    </w:p>
    <w:p w14:paraId="68F75FBC" w14:textId="77777777" w:rsidR="00851F6D" w:rsidRPr="00237095" w:rsidRDefault="00851F6D" w:rsidP="00ED59F5">
      <w:pPr>
        <w:pStyle w:val="ListNumber"/>
      </w:pPr>
      <w:r w:rsidRPr="00237095">
        <w:t>A legitimate clock stop position can include the response arriving at a pre-arrival rendezvous point when one has been determined as appropriate for the safety of ambulance staff in agreement with the control room.</w:t>
      </w:r>
      <w:r w:rsidR="00E94657">
        <w:t xml:space="preserve"> </w:t>
      </w:r>
      <w:r w:rsidRPr="00237095">
        <w:t>For example, a rendezvous point could be agreed for the following situations:</w:t>
      </w:r>
    </w:p>
    <w:p w14:paraId="75208C0E" w14:textId="5F17D943" w:rsidR="00851F6D" w:rsidRPr="00237095" w:rsidRDefault="00851F6D" w:rsidP="00C0106D">
      <w:pPr>
        <w:pStyle w:val="ListBullet"/>
      </w:pPr>
      <w:r w:rsidRPr="00237095">
        <w:t xml:space="preserve">Information has been received relating to the given location that </w:t>
      </w:r>
      <w:r w:rsidR="00E274B3">
        <w:t xml:space="preserve">a </w:t>
      </w:r>
      <w:r w:rsidR="00C0106D" w:rsidRPr="00C0106D">
        <w:t xml:space="preserve">patient </w:t>
      </w:r>
      <w:r w:rsidR="00E274B3">
        <w:t xml:space="preserve">or </w:t>
      </w:r>
      <w:r w:rsidR="00E274B3" w:rsidRPr="00C0106D">
        <w:t xml:space="preserve">bystander </w:t>
      </w:r>
      <w:r w:rsidRPr="00237095">
        <w:t>is violent</w:t>
      </w:r>
      <w:r w:rsidR="00C0106D">
        <w:t>,</w:t>
      </w:r>
      <w:r w:rsidRPr="00237095">
        <w:t xml:space="preserve"> and police or other further assistance is required</w:t>
      </w:r>
      <w:r w:rsidR="000D0A75">
        <w:t>;</w:t>
      </w:r>
    </w:p>
    <w:p w14:paraId="7CA9F057" w14:textId="77777777" w:rsidR="00851F6D" w:rsidRDefault="00851F6D" w:rsidP="00273810">
      <w:pPr>
        <w:pStyle w:val="ListBullet"/>
      </w:pPr>
      <w:r w:rsidRPr="00237095">
        <w:t>Information has been received that the operational incident</w:t>
      </w:r>
      <w:r w:rsidR="00C0106D">
        <w:t>,</w:t>
      </w:r>
      <w:r w:rsidRPr="00237095">
        <w:t xml:space="preserve"> because of its nature</w:t>
      </w:r>
      <w:r w:rsidR="00C0106D">
        <w:t>,</w:t>
      </w:r>
      <w:r w:rsidRPr="00237095">
        <w:t xml:space="preserve"> is unsafe for ambulance staff to enter</w:t>
      </w:r>
      <w:r w:rsidR="002D0D1B">
        <w:t>.</w:t>
      </w:r>
    </w:p>
    <w:p w14:paraId="1E76322B" w14:textId="3F900FA0" w:rsidR="00830A1D" w:rsidRDefault="00830A1D" w:rsidP="005E4A1E">
      <w:pPr>
        <w:pStyle w:val="ListNumber"/>
      </w:pPr>
      <w:r w:rsidRPr="007B4620">
        <w:t xml:space="preserve">For the purposes of the </w:t>
      </w:r>
      <w:r w:rsidR="0058419A">
        <w:t>19</w:t>
      </w:r>
      <w:r w:rsidR="00DB38A5">
        <w:t xml:space="preserve"> </w:t>
      </w:r>
      <w:r w:rsidR="00DB38A5" w:rsidRPr="007B4620">
        <w:t xml:space="preserve">minute </w:t>
      </w:r>
      <w:r w:rsidR="0058419A">
        <w:t>Amber</w:t>
      </w:r>
      <w:r w:rsidRPr="007B4620">
        <w:t xml:space="preserve"> standard, an emergency response that will achieve clock stop occurs when:</w:t>
      </w:r>
    </w:p>
    <w:p w14:paraId="38658569" w14:textId="2E004909" w:rsidR="00C3353B" w:rsidRDefault="00474547" w:rsidP="009B79CA">
      <w:pPr>
        <w:pStyle w:val="ListNumber"/>
        <w:numPr>
          <w:ilvl w:val="2"/>
          <w:numId w:val="9"/>
        </w:numPr>
      </w:pPr>
      <w:r>
        <w:t xml:space="preserve">For </w:t>
      </w:r>
      <w:r w:rsidRPr="00474547">
        <w:t>Amber R</w:t>
      </w:r>
      <w:r w:rsidR="008A0E62">
        <w:t xml:space="preserve"> - </w:t>
      </w:r>
    </w:p>
    <w:p w14:paraId="25E98AB6" w14:textId="1B2C7EFB" w:rsidR="001F7AFD" w:rsidRDefault="001F7AFD" w:rsidP="001F7AFD">
      <w:pPr>
        <w:pStyle w:val="ListBullet"/>
      </w:pPr>
      <w:r>
        <w:t>A fully equipped ambulance vehicle with ambulance staff trained to delivered clinical care to patient(s) at the scene of an incident arrives within a 200 metre geo-fence of the patient (if tracked); or such a</w:t>
      </w:r>
      <w:r w:rsidR="00EB6D30">
        <w:t xml:space="preserve"> vehicle</w:t>
      </w:r>
      <w:r>
        <w:t xml:space="preserve"> confirms arrival at scene through an updated status message via the MDT in the vehicle, or a clinician confirming verbally to the EOC that they are on scene.</w:t>
      </w:r>
    </w:p>
    <w:p w14:paraId="5806C2BC" w14:textId="77777777" w:rsidR="002A734B" w:rsidRDefault="002A734B" w:rsidP="002A734B">
      <w:pPr>
        <w:pStyle w:val="ListBullet"/>
        <w:numPr>
          <w:ilvl w:val="0"/>
          <w:numId w:val="0"/>
        </w:numPr>
        <w:ind w:left="284"/>
      </w:pPr>
    </w:p>
    <w:p w14:paraId="08306162" w14:textId="7044F791" w:rsidR="002A734B" w:rsidRDefault="002A734B" w:rsidP="002A734B">
      <w:pPr>
        <w:pStyle w:val="ListBullet"/>
      </w:pPr>
      <w:r w:rsidRPr="002A734B">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14:paraId="1FADB2EC" w14:textId="21900E79" w:rsidR="001F7AFD" w:rsidRDefault="001F7AFD" w:rsidP="001F7AFD">
      <w:pPr>
        <w:pStyle w:val="ListBullet"/>
        <w:numPr>
          <w:ilvl w:val="0"/>
          <w:numId w:val="0"/>
        </w:numPr>
      </w:pPr>
    </w:p>
    <w:p w14:paraId="073B79AA" w14:textId="37BF3520" w:rsidR="001F7AFD" w:rsidRDefault="001F7AFD" w:rsidP="001F7AFD">
      <w:pPr>
        <w:pStyle w:val="ListBullet"/>
      </w:pPr>
      <w:r>
        <w:t xml:space="preserve">For Amber </w:t>
      </w:r>
      <w:r w:rsidR="00A0749A">
        <w:t xml:space="preserve">R </w:t>
      </w:r>
      <w:r>
        <w:t>incidents where conveyance is required the clock is stopped only by the vehicle that conveys the patient.</w:t>
      </w:r>
    </w:p>
    <w:p w14:paraId="0B1E08BA" w14:textId="6C0E76E3" w:rsidR="001F7AFD" w:rsidRDefault="001F7AFD" w:rsidP="001F7AFD">
      <w:pPr>
        <w:pStyle w:val="ListBullet"/>
        <w:numPr>
          <w:ilvl w:val="0"/>
          <w:numId w:val="0"/>
        </w:numPr>
      </w:pPr>
    </w:p>
    <w:p w14:paraId="0B7B1C45" w14:textId="238609D3" w:rsidR="001F7AFD" w:rsidRDefault="001F7AFD" w:rsidP="001F7AFD">
      <w:pPr>
        <w:pStyle w:val="ListBullet"/>
      </w:pPr>
      <w:r>
        <w:t xml:space="preserve">For Amber </w:t>
      </w:r>
      <w:r w:rsidR="00A0749A">
        <w:t xml:space="preserve">R </w:t>
      </w:r>
      <w:r>
        <w:t xml:space="preserve">incidents where the initial response is from a resource that </w:t>
      </w:r>
      <w:r w:rsidR="00EB6D30">
        <w:t>does</w:t>
      </w:r>
      <w:r>
        <w:t xml:space="preserve"> not convey the patient </w:t>
      </w:r>
      <w:r w:rsidR="00D8647B">
        <w:t>and the responder</w:t>
      </w:r>
      <w:r>
        <w:t xml:space="preserve"> subsequently determines that conveyance is not required, the clock shall be stopped by the initial resource on scene.</w:t>
      </w:r>
    </w:p>
    <w:p w14:paraId="45F5C2F5" w14:textId="77777777" w:rsidR="001F7AFD" w:rsidRDefault="001F7AFD" w:rsidP="001F7AFD">
      <w:pPr>
        <w:pStyle w:val="ListBullet"/>
        <w:numPr>
          <w:ilvl w:val="0"/>
          <w:numId w:val="0"/>
        </w:numPr>
        <w:ind w:left="738"/>
      </w:pPr>
    </w:p>
    <w:p w14:paraId="68866E77" w14:textId="5BFEB436" w:rsidR="00F02E08" w:rsidRDefault="000046EE" w:rsidP="00AC1836">
      <w:pPr>
        <w:pStyle w:val="ListNumber"/>
        <w:numPr>
          <w:ilvl w:val="2"/>
          <w:numId w:val="9"/>
        </w:numPr>
      </w:pPr>
      <w:r>
        <w:t>For</w:t>
      </w:r>
      <w:r w:rsidR="00F02E08">
        <w:t xml:space="preserve"> </w:t>
      </w:r>
      <w:r w:rsidR="00474547" w:rsidRPr="00474547">
        <w:t>Amber T –</w:t>
      </w:r>
    </w:p>
    <w:p w14:paraId="12099865" w14:textId="772B63A5" w:rsidR="00F02E08" w:rsidRDefault="00F02E08" w:rsidP="005E4A1E">
      <w:pPr>
        <w:pStyle w:val="ListNumber"/>
        <w:numPr>
          <w:ilvl w:val="0"/>
          <w:numId w:val="16"/>
        </w:numPr>
      </w:pPr>
      <w:r>
        <w:t>A</w:t>
      </w:r>
      <w:r w:rsidRPr="00F02E08">
        <w:t xml:space="preserve"> fully equipped ambulance vehicle </w:t>
      </w:r>
      <w:r w:rsidR="00F9590C" w:rsidRPr="00F9590C">
        <w:t>with ambulance staff trained to delivered clinical care to patient</w:t>
      </w:r>
      <w:r w:rsidR="00F9590C">
        <w:t xml:space="preserve">(s) at the scene of an incident </w:t>
      </w:r>
      <w:r w:rsidR="00F9590C" w:rsidRPr="00F9590C">
        <w:t>arrives within a 200 metre geo-fence of the patient (if tracked); or such a</w:t>
      </w:r>
      <w:r w:rsidR="00EB6D30">
        <w:t xml:space="preserve"> vehicle</w:t>
      </w:r>
      <w:r w:rsidR="00F9590C" w:rsidRPr="00F9590C">
        <w:t xml:space="preserve"> confirms arrival at scene through an updated status message via the MDT in the vehicle, or a clinician confirming verbally to the EOC that they are on</w:t>
      </w:r>
      <w:r w:rsidR="00F9590C">
        <w:t xml:space="preserve"> scene</w:t>
      </w:r>
      <w:r>
        <w:t>.</w:t>
      </w:r>
    </w:p>
    <w:p w14:paraId="5523792B" w14:textId="7BC3235B" w:rsidR="002A734B" w:rsidRDefault="002A734B" w:rsidP="002A734B">
      <w:pPr>
        <w:pStyle w:val="ListParagraph"/>
        <w:numPr>
          <w:ilvl w:val="0"/>
          <w:numId w:val="16"/>
        </w:numPr>
      </w:pPr>
      <w:r w:rsidRPr="002A734B">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14:paraId="6EA567F6" w14:textId="77777777" w:rsidR="00EB6D30" w:rsidRDefault="00F9590C" w:rsidP="005E4A1E">
      <w:pPr>
        <w:pStyle w:val="ListNumber"/>
        <w:numPr>
          <w:ilvl w:val="0"/>
          <w:numId w:val="16"/>
        </w:numPr>
      </w:pPr>
      <w:r>
        <w:t xml:space="preserve">For Amber </w:t>
      </w:r>
      <w:r w:rsidR="00EB6D30">
        <w:t>T</w:t>
      </w:r>
      <w:r>
        <w:t xml:space="preserve"> incidents </w:t>
      </w:r>
      <w:r w:rsidR="009B79CA">
        <w:t xml:space="preserve">where conveyance is required </w:t>
      </w:r>
      <w:r>
        <w:t>the clock is stopped only by the vehicle that conveys the patient.</w:t>
      </w:r>
      <w:r w:rsidR="00B93E92">
        <w:t xml:space="preserve"> </w:t>
      </w:r>
    </w:p>
    <w:p w14:paraId="3DAE7CDB" w14:textId="050CB0D4" w:rsidR="009B79CA" w:rsidRDefault="009B79CA" w:rsidP="00EB6D30">
      <w:pPr>
        <w:pStyle w:val="ListParagraph"/>
        <w:numPr>
          <w:ilvl w:val="0"/>
          <w:numId w:val="16"/>
        </w:numPr>
      </w:pPr>
      <w:r>
        <w:t xml:space="preserve">For Amber </w:t>
      </w:r>
      <w:r w:rsidR="00EB6D30">
        <w:t>T</w:t>
      </w:r>
      <w:r>
        <w:t xml:space="preserve"> </w:t>
      </w:r>
      <w:r w:rsidR="00EB6D30" w:rsidRPr="00EB6D30">
        <w:t>incidents where the initial response is from a resource that does not convey the patient and the responder subsequently determines that conveyance is not required, the clock shall be stopped b</w:t>
      </w:r>
      <w:r w:rsidR="00EB6D30">
        <w:t>y the initial resource on scene</w:t>
      </w:r>
      <w:r>
        <w:t>.</w:t>
      </w:r>
    </w:p>
    <w:p w14:paraId="4416CFF0" w14:textId="77777777" w:rsidR="00F02E08" w:rsidRDefault="00F02E08" w:rsidP="00474547">
      <w:pPr>
        <w:pStyle w:val="ListNumber"/>
        <w:numPr>
          <w:ilvl w:val="0"/>
          <w:numId w:val="0"/>
        </w:numPr>
      </w:pPr>
    </w:p>
    <w:p w14:paraId="5D487CD9" w14:textId="55546291" w:rsidR="00F02E08" w:rsidRDefault="00F02E08" w:rsidP="00474547">
      <w:pPr>
        <w:pStyle w:val="ListNumber"/>
        <w:numPr>
          <w:ilvl w:val="2"/>
          <w:numId w:val="9"/>
        </w:numPr>
      </w:pPr>
      <w:r>
        <w:t xml:space="preserve">For </w:t>
      </w:r>
      <w:r w:rsidR="00474547" w:rsidRPr="00474547">
        <w:t>Amber F –</w:t>
      </w:r>
    </w:p>
    <w:p w14:paraId="73283929" w14:textId="0554066A" w:rsidR="00F9590C" w:rsidRDefault="00F9590C" w:rsidP="00F9590C">
      <w:pPr>
        <w:pStyle w:val="ListNumber"/>
        <w:numPr>
          <w:ilvl w:val="0"/>
          <w:numId w:val="17"/>
        </w:numPr>
      </w:pPr>
      <w:r>
        <w:t xml:space="preserve">A fully equipped </w:t>
      </w:r>
      <w:r w:rsidR="00EB6D30">
        <w:t>a</w:t>
      </w:r>
      <w:r>
        <w:t xml:space="preserve">mbulance </w:t>
      </w:r>
      <w:r w:rsidR="00EB6D30">
        <w:t>vehicle</w:t>
      </w:r>
      <w:r>
        <w:t xml:space="preserve"> with ambulance staff trained to delivered clinical care to patient(s) at the scene of an incident arrives within a 200 metre geo-fence of the patient (if tracked); or such a</w:t>
      </w:r>
      <w:r w:rsidR="00EB6D30">
        <w:t xml:space="preserve"> vehicle</w:t>
      </w:r>
      <w:r>
        <w:t xml:space="preserve"> confirms arrival at scene through an updated status message via the MDT in the vehicle, or a clinician confirming verbally to the EOC that they are on scene</w:t>
      </w:r>
      <w:r w:rsidR="00EB6D30">
        <w:t>.</w:t>
      </w:r>
    </w:p>
    <w:p w14:paraId="6925C6B0" w14:textId="101C7C10" w:rsidR="00F9590C" w:rsidRDefault="00F9590C" w:rsidP="00F9590C">
      <w:pPr>
        <w:pStyle w:val="ListNumber"/>
        <w:numPr>
          <w:ilvl w:val="0"/>
          <w:numId w:val="17"/>
        </w:numPr>
      </w:pPr>
      <w:r>
        <w:t>A fully equipped RRV, motorbike or cycle, or Blue Light Response Officer, if tracked, arrives within a 200 metre geo-fence of the patient; or the RRV confirms arrival at scene through an updated status message via the MDT in the vehicle, or a clinician confirming verbally to the EOC that they are on scene or;</w:t>
      </w:r>
    </w:p>
    <w:p w14:paraId="48146590" w14:textId="77777777" w:rsidR="005E4A1E" w:rsidRPr="005E4A1E" w:rsidRDefault="005E4A1E" w:rsidP="005E4A1E">
      <w:pPr>
        <w:pStyle w:val="ListParagraph"/>
        <w:numPr>
          <w:ilvl w:val="0"/>
          <w:numId w:val="17"/>
        </w:numPr>
      </w:pPr>
      <w:r w:rsidRPr="005E4A1E">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14:paraId="05782EFE" w14:textId="2910F658" w:rsidR="00851F6D" w:rsidRDefault="00851F6D" w:rsidP="008C0881">
      <w:pPr>
        <w:pStyle w:val="ListNumber"/>
      </w:pPr>
      <w:r w:rsidRPr="00237095">
        <w:t>Once a category (Red</w:t>
      </w:r>
      <w:r w:rsidR="005455DD">
        <w:t>,</w:t>
      </w:r>
      <w:r w:rsidRPr="00237095">
        <w:t xml:space="preserve"> </w:t>
      </w:r>
      <w:r w:rsidR="001373FB">
        <w:t xml:space="preserve">Amber </w:t>
      </w:r>
      <w:r w:rsidRPr="00237095">
        <w:t xml:space="preserve">or Green) is determined, reporting </w:t>
      </w:r>
      <w:r w:rsidR="00A96622">
        <w:t>must</w:t>
      </w:r>
      <w:r w:rsidRPr="00237095">
        <w:t xml:space="preserve"> remain against the code that was in place within the CAD record prior to the arrival of a first response on scene. It </w:t>
      </w:r>
      <w:r w:rsidR="00A96622">
        <w:t>must not</w:t>
      </w:r>
      <w:r w:rsidRPr="00237095">
        <w:t xml:space="preserve"> be changed after a resource has arrived at scene</w:t>
      </w:r>
      <w:r w:rsidR="002D0D1B">
        <w:t>.</w:t>
      </w:r>
    </w:p>
    <w:p w14:paraId="5D7AA311" w14:textId="1B9D61BA" w:rsidR="0088158F" w:rsidRDefault="0088158F" w:rsidP="0088158F">
      <w:pPr>
        <w:pStyle w:val="ListNumber"/>
      </w:pPr>
      <w:r w:rsidRPr="0088158F">
        <w:t xml:space="preserve">All calls that have been passed from NHS 111 as requiring an Amber ambulance response, either electronically or </w:t>
      </w:r>
      <w:proofErr w:type="gramStart"/>
      <w:r w:rsidRPr="0088158F">
        <w:t>manually,</w:t>
      </w:r>
      <w:proofErr w:type="gramEnd"/>
      <w:r w:rsidRPr="0088158F">
        <w:t xml:space="preserve"> should be included in this indicator</w:t>
      </w:r>
      <w:r w:rsidR="008A0E62">
        <w:t>.</w:t>
      </w:r>
      <w:r>
        <w:t xml:space="preserve">  From the point that the call is received from NHS 111 it should be treated in the same manner as a call that was received through 999.</w:t>
      </w:r>
    </w:p>
    <w:p w14:paraId="5CB1E248" w14:textId="11DEDAD5" w:rsidR="00830A1D" w:rsidRDefault="00C949BA" w:rsidP="008C0881">
      <w:pPr>
        <w:pStyle w:val="ListNumber"/>
      </w:pPr>
      <w:r>
        <w:t>Following triage either through 999 or 111 i</w:t>
      </w:r>
      <w:r w:rsidR="00830A1D" w:rsidRPr="00A96622">
        <w:t xml:space="preserve">t may be appropriate for some </w:t>
      </w:r>
      <w:r w:rsidR="005C1483">
        <w:t xml:space="preserve">999 </w:t>
      </w:r>
      <w:r w:rsidR="0088158F">
        <w:t xml:space="preserve">and 111 </w:t>
      </w:r>
      <w:r w:rsidR="00830A1D" w:rsidRPr="00A96622">
        <w:t xml:space="preserve">calls to receive additional clinical assessment that may result in an alternative </w:t>
      </w:r>
      <w:r w:rsidR="00B548FD">
        <w:t>category</w:t>
      </w:r>
      <w:r w:rsidR="00830A1D" w:rsidRPr="00A96622">
        <w:t xml:space="preserve">, prior to the arrival of the responding resource. This additional assessment </w:t>
      </w:r>
      <w:r w:rsidR="00D87A96">
        <w:t xml:space="preserve">must not delay despatch and </w:t>
      </w:r>
      <w:r w:rsidR="00830A1D" w:rsidRPr="00A96622">
        <w:t xml:space="preserve">must be undertaken by a registered </w:t>
      </w:r>
      <w:r w:rsidR="00830A1D">
        <w:t>HCP</w:t>
      </w:r>
      <w:r w:rsidR="00830A1D" w:rsidRPr="00A96622">
        <w:t xml:space="preserve"> (paramedic, specialist paramedic, Nurse Practitioner or </w:t>
      </w:r>
      <w:r w:rsidR="00BC5F17">
        <w:t>Doctor</w:t>
      </w:r>
      <w:r w:rsidR="00830A1D" w:rsidRPr="00A96622">
        <w:t>) within the clinical Hub or EOC</w:t>
      </w:r>
      <w:r w:rsidR="002D0D1B">
        <w:t>.</w:t>
      </w:r>
    </w:p>
    <w:p w14:paraId="2F42C81D" w14:textId="77777777" w:rsidR="00830A1D" w:rsidRDefault="00830A1D" w:rsidP="00ED59F5">
      <w:pPr>
        <w:pStyle w:val="ListNumber"/>
      </w:pPr>
      <w:r>
        <w:t>If a responding resource is asked to head towards the location of an incident, it must be allocated to the incident on the CAD, therefore registering the correct clock start point</w:t>
      </w:r>
      <w:r w:rsidR="002D0D1B">
        <w:t>.</w:t>
      </w:r>
    </w:p>
    <w:p w14:paraId="3003BFDA" w14:textId="77777777" w:rsidR="00851F6D" w:rsidRDefault="00851F6D" w:rsidP="00ED59F5">
      <w:pPr>
        <w:pStyle w:val="ListNumber"/>
        <w:rPr>
          <w:rFonts w:cs="Arial"/>
        </w:rPr>
      </w:pPr>
      <w:r w:rsidRPr="002A279F">
        <w:rPr>
          <w:rFonts w:cs="Arial"/>
        </w:rPr>
        <w:t>Where no call connect time is recorded, the earliest available time should be used in the calculation of the clock start</w:t>
      </w:r>
      <w:r w:rsidR="00A96622">
        <w:rPr>
          <w:rFonts w:cs="Arial"/>
        </w:rPr>
        <w:t>, such as the first key stroke of the keyboard</w:t>
      </w:r>
      <w:r w:rsidR="002D0D1B">
        <w:rPr>
          <w:rFonts w:cs="Arial"/>
        </w:rPr>
        <w:t>.</w:t>
      </w:r>
    </w:p>
    <w:p w14:paraId="1AE3D455" w14:textId="77777777" w:rsidR="00E2715C" w:rsidRDefault="00E2715C" w:rsidP="00ED59F5">
      <w:pPr>
        <w:pStyle w:val="ListNumber"/>
      </w:pPr>
      <w:r w:rsidRPr="00E34454">
        <w:t>It is recommended that all Trusts achieve a minimum call connect capture of 85% on public 999 calls</w:t>
      </w:r>
      <w:r w:rsidR="002D0D1B">
        <w:t>.</w:t>
      </w:r>
    </w:p>
    <w:p w14:paraId="62AAE7DE" w14:textId="4B76CBB3" w:rsidR="00B56E4D" w:rsidRDefault="00B56E4D" w:rsidP="006B65BB">
      <w:pPr>
        <w:pStyle w:val="ListNumber"/>
      </w:pPr>
      <w:r w:rsidDel="00B56E4D">
        <w:t xml:space="preserve"> </w:t>
      </w:r>
      <w:r w:rsidR="006A7142">
        <w:t>“</w:t>
      </w:r>
      <w:r w:rsidR="00830A1D">
        <w:t>Running calls</w:t>
      </w:r>
      <w:r w:rsidR="006A7142">
        <w:t xml:space="preserve">” occur when </w:t>
      </w:r>
      <w:r w:rsidR="00064335">
        <w:t>Trust resources or clinicians come across an incident and are immediately on scene with that patient</w:t>
      </w:r>
      <w:r w:rsidR="006A7142">
        <w:t>.</w:t>
      </w:r>
    </w:p>
    <w:p w14:paraId="743D716C" w14:textId="60232B71" w:rsidR="00064335" w:rsidRDefault="00064335" w:rsidP="006B65BB">
      <w:pPr>
        <w:pStyle w:val="ListNumber"/>
      </w:pPr>
      <w:r>
        <w:t xml:space="preserve">All running calls are categorised as Amber </w:t>
      </w:r>
      <w:r w:rsidR="00B97581">
        <w:t xml:space="preserve">R </w:t>
      </w:r>
      <w:r>
        <w:t xml:space="preserve">and have the same parameters that start and stop the clock as for Amber </w:t>
      </w:r>
      <w:r w:rsidR="00B97581">
        <w:t xml:space="preserve">R </w:t>
      </w:r>
      <w:r>
        <w:t>incidents detailed above.</w:t>
      </w:r>
    </w:p>
    <w:p w14:paraId="35FB2D70" w14:textId="40468796" w:rsidR="00064335" w:rsidRDefault="00B56E4D" w:rsidP="006A7142">
      <w:pPr>
        <w:pStyle w:val="ListBullet"/>
        <w:numPr>
          <w:ilvl w:val="0"/>
          <w:numId w:val="0"/>
        </w:numPr>
      </w:pPr>
      <w:r>
        <w:t>4.18</w:t>
      </w:r>
      <w:r w:rsidR="00064335">
        <w:t xml:space="preserve">    Where a Trust resource arrives on scene before triage is complete and the call is not coded the incident will be dealt with in the following way</w:t>
      </w:r>
      <w:r w:rsidR="00B97581">
        <w:t>:</w:t>
      </w:r>
    </w:p>
    <w:p w14:paraId="000AEF8B" w14:textId="77777777" w:rsidR="00064335" w:rsidRDefault="00064335" w:rsidP="006A7142">
      <w:pPr>
        <w:pStyle w:val="ListBullet"/>
        <w:numPr>
          <w:ilvl w:val="0"/>
          <w:numId w:val="0"/>
        </w:numPr>
      </w:pPr>
    </w:p>
    <w:p w14:paraId="3E945068" w14:textId="0E2F3ECD" w:rsidR="00064335" w:rsidRDefault="00064335" w:rsidP="00064335">
      <w:pPr>
        <w:pStyle w:val="ListBullet"/>
      </w:pPr>
      <w:r>
        <w:t xml:space="preserve">If the patient was identified as a life threatening emergency during the </w:t>
      </w:r>
      <w:r w:rsidR="006B65BB">
        <w:t>“Nature of Call” or equivalent process</w:t>
      </w:r>
      <w:r>
        <w:t xml:space="preserve"> and </w:t>
      </w:r>
      <w:r w:rsidR="006B65BB">
        <w:t xml:space="preserve">a </w:t>
      </w:r>
      <w:r>
        <w:t xml:space="preserve">resource arrives before coding the incident will be recorded as </w:t>
      </w:r>
      <w:r w:rsidR="00B97581">
        <w:t>R</w:t>
      </w:r>
      <w:r>
        <w:t>ed</w:t>
      </w:r>
      <w:r w:rsidR="006B65BB">
        <w:t>.</w:t>
      </w:r>
      <w:r w:rsidR="006B65BB">
        <w:br/>
      </w:r>
    </w:p>
    <w:p w14:paraId="7F788A6D" w14:textId="126C2343" w:rsidR="00064335" w:rsidRDefault="00064335" w:rsidP="00064335">
      <w:pPr>
        <w:pStyle w:val="ListBullet"/>
      </w:pPr>
      <w:r>
        <w:t xml:space="preserve">If </w:t>
      </w:r>
      <w:r w:rsidR="006B65BB">
        <w:t>a</w:t>
      </w:r>
      <w:r>
        <w:t xml:space="preserve"> resource arrives before coding but it has not </w:t>
      </w:r>
      <w:r w:rsidR="006B65BB">
        <w:t xml:space="preserve">been identified as a </w:t>
      </w:r>
      <w:r w:rsidR="00B97581">
        <w:t xml:space="preserve">life threatening emergency </w:t>
      </w:r>
      <w:r>
        <w:t xml:space="preserve">at the </w:t>
      </w:r>
      <w:r w:rsidR="006B65BB">
        <w:t xml:space="preserve">“Nature of Call” or equivalent pre-triage </w:t>
      </w:r>
      <w:r>
        <w:t xml:space="preserve">phase it will be reported as </w:t>
      </w:r>
      <w:proofErr w:type="gramStart"/>
      <w:r>
        <w:t>an Amber</w:t>
      </w:r>
      <w:proofErr w:type="gramEnd"/>
      <w:r>
        <w:t xml:space="preserve"> R</w:t>
      </w:r>
      <w:r w:rsidR="00575614">
        <w:t>.</w:t>
      </w:r>
    </w:p>
    <w:p w14:paraId="4E638656" w14:textId="77777777" w:rsidR="00064335" w:rsidRDefault="00064335" w:rsidP="006B65BB">
      <w:pPr>
        <w:pStyle w:val="ListBullet"/>
        <w:numPr>
          <w:ilvl w:val="0"/>
          <w:numId w:val="0"/>
        </w:numPr>
        <w:ind w:left="738"/>
      </w:pPr>
    </w:p>
    <w:p w14:paraId="46BF1C12" w14:textId="7B1BEDCC" w:rsidR="0044406D" w:rsidRDefault="00064335" w:rsidP="0044406D">
      <w:pPr>
        <w:pStyle w:val="Heading3"/>
      </w:pPr>
      <w:r>
        <w:t xml:space="preserve"> </w:t>
      </w:r>
      <w:r w:rsidR="0044406D">
        <w:t>HQU03_1_1_</w:t>
      </w:r>
      <w:r w:rsidR="008E7659">
        <w:t>8</w:t>
      </w:r>
      <w:r w:rsidR="0044406D">
        <w:t xml:space="preserve">: </w:t>
      </w:r>
      <w:r w:rsidR="008E7659">
        <w:t>Amber</w:t>
      </w:r>
      <w:r w:rsidR="0044406D">
        <w:t xml:space="preserve"> response time (all calls)</w:t>
      </w:r>
    </w:p>
    <w:p w14:paraId="2CA4BAED" w14:textId="77777777" w:rsidR="0044406D" w:rsidRDefault="0044406D" w:rsidP="0044406D">
      <w:pPr>
        <w:pStyle w:val="Heading5"/>
      </w:pPr>
      <w:r>
        <w:t>Detailed Descriptor</w:t>
      </w:r>
    </w:p>
    <w:p w14:paraId="46A3EE83" w14:textId="3F0B2CBA" w:rsidR="0044406D" w:rsidRDefault="0044406D" w:rsidP="0044406D">
      <w:pPr>
        <w:pStyle w:val="ListNumber"/>
      </w:pPr>
      <w:r>
        <w:t xml:space="preserve">The time to respond to all </w:t>
      </w:r>
      <w:r w:rsidR="008E7659">
        <w:t>Amber</w:t>
      </w:r>
      <w:r>
        <w:t xml:space="preserve"> calls.</w:t>
      </w:r>
    </w:p>
    <w:p w14:paraId="1A01FE52" w14:textId="77777777" w:rsidR="0044406D" w:rsidRDefault="0044406D" w:rsidP="0044406D">
      <w:pPr>
        <w:pStyle w:val="Heading5"/>
      </w:pPr>
      <w:r>
        <w:t>Data Definition</w:t>
      </w:r>
    </w:p>
    <w:p w14:paraId="59864463" w14:textId="67B26DF8" w:rsidR="0044406D" w:rsidRDefault="0044406D" w:rsidP="0037442D">
      <w:pPr>
        <w:pStyle w:val="ListNumber"/>
      </w:pPr>
      <w:r>
        <w:t xml:space="preserve">The time from </w:t>
      </w:r>
      <w:r w:rsidR="005455DD">
        <w:t xml:space="preserve">clock start </w:t>
      </w:r>
      <w:r>
        <w:t>of a</w:t>
      </w:r>
      <w:r w:rsidR="0037442D">
        <w:t>n</w:t>
      </w:r>
      <w:r>
        <w:t xml:space="preserve"> </w:t>
      </w:r>
      <w:r w:rsidR="0037442D">
        <w:t xml:space="preserve">Amber </w:t>
      </w:r>
      <w:r>
        <w:t xml:space="preserve">call to an emergency response arriving at the scene of the incident for all </w:t>
      </w:r>
      <w:r w:rsidR="0037442D">
        <w:t>Amber</w:t>
      </w:r>
      <w:r>
        <w:t xml:space="preserve"> calls.</w:t>
      </w:r>
      <w:r w:rsidR="0037442D">
        <w:t xml:space="preserve"> </w:t>
      </w:r>
      <w:r w:rsidR="0037442D" w:rsidRPr="0037442D">
        <w:t xml:space="preserve">This will allow the 50th, 90th, 95th and 99th centiles to be calculated and response times to be displayed graphically for all </w:t>
      </w:r>
      <w:r w:rsidR="005455DD">
        <w:t>Amber</w:t>
      </w:r>
      <w:r w:rsidR="0037442D" w:rsidRPr="0037442D">
        <w:t xml:space="preserve"> Calls.  </w:t>
      </w:r>
    </w:p>
    <w:p w14:paraId="0EFA7770" w14:textId="5880D94C" w:rsidR="0044406D" w:rsidRDefault="0044406D" w:rsidP="0044406D">
      <w:pPr>
        <w:pStyle w:val="ListNumber"/>
      </w:pPr>
      <w:r>
        <w:t xml:space="preserve">The </w:t>
      </w:r>
      <w:r w:rsidR="0037442D">
        <w:t>A</w:t>
      </w:r>
      <w:r w:rsidR="00A50A1C">
        <w:t>10</w:t>
      </w:r>
      <w:r w:rsidR="0037442D">
        <w:t xml:space="preserve">mber </w:t>
      </w:r>
      <w:r>
        <w:t>definition</w:t>
      </w:r>
      <w:r w:rsidR="005455DD">
        <w:t>, clock start</w:t>
      </w:r>
      <w:r>
        <w:t xml:space="preserve"> and clock stop times are the same as for HQU03_01</w:t>
      </w:r>
      <w:r w:rsidR="0037442D">
        <w:t>b</w:t>
      </w:r>
      <w:r>
        <w:t xml:space="preserve"> above.</w:t>
      </w:r>
    </w:p>
    <w:p w14:paraId="68585DA5" w14:textId="77777777" w:rsidR="0044406D" w:rsidRDefault="0044406D" w:rsidP="0044406D">
      <w:pPr>
        <w:pStyle w:val="ListNumber"/>
        <w:numPr>
          <w:ilvl w:val="0"/>
          <w:numId w:val="0"/>
        </w:numPr>
      </w:pPr>
    </w:p>
    <w:p w14:paraId="4F0C71BD" w14:textId="01984E9F" w:rsidR="00F9590C" w:rsidRPr="00F9590C" w:rsidRDefault="00851F6D" w:rsidP="00F9590C">
      <w:pPr>
        <w:pStyle w:val="Heading3"/>
      </w:pPr>
      <w:r w:rsidRPr="00052CA2">
        <w:t>HQU03_0</w:t>
      </w:r>
      <w:r w:rsidR="0067036F">
        <w:t>1c</w:t>
      </w:r>
      <w:r w:rsidRPr="00052CA2">
        <w:t>:</w:t>
      </w:r>
      <w:r w:rsidR="00A31774">
        <w:t xml:space="preserve"> </w:t>
      </w:r>
      <w:r w:rsidR="0087096D">
        <w:t xml:space="preserve">19 minute </w:t>
      </w:r>
      <w:r w:rsidR="00BC5F17">
        <w:t xml:space="preserve">Red </w:t>
      </w:r>
      <w:r w:rsidR="0087096D">
        <w:t>transportation response</w:t>
      </w:r>
      <w:r w:rsidR="00AB0D4F">
        <w:t>.</w:t>
      </w:r>
    </w:p>
    <w:p w14:paraId="3BA2565E" w14:textId="77777777" w:rsidR="00851F6D" w:rsidRPr="008D3B9D" w:rsidRDefault="00851F6D" w:rsidP="002627BA">
      <w:pPr>
        <w:pStyle w:val="Heading5"/>
      </w:pPr>
      <w:r w:rsidRPr="008D3B9D">
        <w:t xml:space="preserve">Detailed </w:t>
      </w:r>
      <w:r w:rsidR="0026609E">
        <w:t>Descriptor</w:t>
      </w:r>
    </w:p>
    <w:p w14:paraId="5DD83541" w14:textId="1C7B8A8C" w:rsidR="00851F6D" w:rsidRPr="003F2ACF" w:rsidRDefault="00851F6D" w:rsidP="00ED59F5">
      <w:pPr>
        <w:pStyle w:val="ListNumber"/>
      </w:pPr>
      <w:r w:rsidRPr="003F2ACF">
        <w:t>Patient outcomes can be improved by ensuring patients with immediately life-threatening conditions receive a response at the scene</w:t>
      </w:r>
      <w:r>
        <w:t>,</w:t>
      </w:r>
      <w:r w:rsidRPr="003F2ACF">
        <w:t xml:space="preserve"> which is able to transport the patient</w:t>
      </w:r>
      <w:r w:rsidR="00385DD5">
        <w:t>,</w:t>
      </w:r>
      <w:r w:rsidRPr="003F2ACF">
        <w:t xml:space="preserve"> in a clinically safe manner, if they require such a response</w:t>
      </w:r>
      <w:r w:rsidR="002D0D1B">
        <w:t>.</w:t>
      </w:r>
    </w:p>
    <w:p w14:paraId="4A7FE809" w14:textId="77777777" w:rsidR="00851F6D" w:rsidRPr="008D3B9D" w:rsidRDefault="00851F6D" w:rsidP="002627BA">
      <w:pPr>
        <w:pStyle w:val="Heading5"/>
      </w:pPr>
      <w:r w:rsidRPr="008D3B9D">
        <w:t xml:space="preserve">Data </w:t>
      </w:r>
      <w:r w:rsidR="0026609E">
        <w:t>Definition</w:t>
      </w:r>
    </w:p>
    <w:p w14:paraId="35D0CA20" w14:textId="1E9F9A2C" w:rsidR="0058419A" w:rsidRPr="0058419A" w:rsidRDefault="00851F6D" w:rsidP="0058419A">
      <w:pPr>
        <w:pStyle w:val="ListNumber"/>
        <w:rPr>
          <w:rFonts w:cs="Arial"/>
        </w:rPr>
      </w:pPr>
      <w:bookmarkStart w:id="6" w:name="HQU03_1_2_1"/>
      <w:r w:rsidRPr="00E658A1">
        <w:rPr>
          <w:b/>
          <w:bCs/>
        </w:rPr>
        <w:t>HQU03_1_2_1</w:t>
      </w:r>
      <w:bookmarkEnd w:id="6"/>
      <w:r w:rsidRPr="00237095">
        <w:t xml:space="preserve">: </w:t>
      </w:r>
      <w:r w:rsidR="009E6984" w:rsidRPr="009E6984">
        <w:t xml:space="preserve">The number of </w:t>
      </w:r>
      <w:r w:rsidR="00BC5F17">
        <w:t>Red</w:t>
      </w:r>
      <w:r w:rsidR="009E6984" w:rsidRPr="009E6984">
        <w:t xml:space="preserve"> calls resulting in an ambulance arriving at the scene of the incident within 19 minutes</w:t>
      </w:r>
      <w:r w:rsidR="009E6984">
        <w:t>:</w:t>
      </w:r>
      <w:r w:rsidR="009E6984" w:rsidRPr="009E6984">
        <w:t xml:space="preserve"> </w:t>
      </w:r>
      <w:r w:rsidRPr="00237095">
        <w:t>The</w:t>
      </w:r>
      <w:r w:rsidRPr="00674218">
        <w:rPr>
          <w:rFonts w:cs="Arial"/>
        </w:rPr>
        <w:t xml:space="preserve"> total number of Red </w:t>
      </w:r>
      <w:r w:rsidR="0091457E">
        <w:rPr>
          <w:rFonts w:cs="Arial"/>
        </w:rPr>
        <w:t xml:space="preserve">incidents that </w:t>
      </w:r>
      <w:r w:rsidRPr="00674218">
        <w:rPr>
          <w:rFonts w:cs="Arial"/>
        </w:rPr>
        <w:t xml:space="preserve">resulted in a fully equipped ambulance vehicle </w:t>
      </w:r>
      <w:r w:rsidR="00804976">
        <w:rPr>
          <w:rFonts w:cs="Arial"/>
        </w:rPr>
        <w:t>t</w:t>
      </w:r>
      <w:r w:rsidR="0058419A">
        <w:rPr>
          <w:rFonts w:cs="Arial"/>
        </w:rPr>
        <w:t xml:space="preserve">hat </w:t>
      </w:r>
      <w:r w:rsidRPr="00095AF0">
        <w:rPr>
          <w:rFonts w:cs="Arial"/>
        </w:rPr>
        <w:t>transport</w:t>
      </w:r>
      <w:r w:rsidR="00804976">
        <w:rPr>
          <w:rFonts w:cs="Arial"/>
        </w:rPr>
        <w:t>ed</w:t>
      </w:r>
      <w:r w:rsidRPr="00095AF0">
        <w:rPr>
          <w:rFonts w:cs="Arial"/>
        </w:rPr>
        <w:t xml:space="preserve"> </w:t>
      </w:r>
      <w:r w:rsidR="0058419A">
        <w:rPr>
          <w:rFonts w:cs="Arial"/>
        </w:rPr>
        <w:t>the</w:t>
      </w:r>
      <w:r w:rsidRPr="00095AF0">
        <w:rPr>
          <w:rFonts w:cs="Arial"/>
        </w:rPr>
        <w:t xml:space="preserve"> patient</w:t>
      </w:r>
      <w:r w:rsidR="001F636F">
        <w:rPr>
          <w:rFonts w:cs="Arial"/>
        </w:rPr>
        <w:t>,</w:t>
      </w:r>
      <w:r w:rsidRPr="00095AF0">
        <w:rPr>
          <w:rFonts w:cs="Arial"/>
        </w:rPr>
        <w:t xml:space="preserve"> in a clinically safe manner</w:t>
      </w:r>
      <w:r w:rsidR="0091457E">
        <w:rPr>
          <w:rFonts w:cs="Arial"/>
        </w:rPr>
        <w:t>,</w:t>
      </w:r>
      <w:r w:rsidRPr="00674218">
        <w:rPr>
          <w:rFonts w:cs="Arial"/>
        </w:rPr>
        <w:t xml:space="preserve"> arriving at the scene</w:t>
      </w:r>
      <w:r w:rsidR="00757107">
        <w:rPr>
          <w:rFonts w:cs="Arial"/>
        </w:rPr>
        <w:t xml:space="preserve"> of the incident</w:t>
      </w:r>
      <w:r w:rsidR="0091457E">
        <w:rPr>
          <w:rFonts w:cs="Arial"/>
        </w:rPr>
        <w:t>,</w:t>
      </w:r>
      <w:r w:rsidRPr="00674218">
        <w:rPr>
          <w:rFonts w:cs="Arial"/>
        </w:rPr>
        <w:t xml:space="preserve"> within 19 minutes of the request being made</w:t>
      </w:r>
      <w:r w:rsidR="002D0D1B">
        <w:rPr>
          <w:rFonts w:cs="Arial"/>
        </w:rPr>
        <w:t>.</w:t>
      </w:r>
      <w:r w:rsidR="00C01824" w:rsidRPr="00C01824">
        <w:t xml:space="preserve"> </w:t>
      </w:r>
      <w:r w:rsidR="00C01824" w:rsidRPr="00237095">
        <w:t>A response within 19 minutes means 19 minutes 0 seconds or less.</w:t>
      </w:r>
    </w:p>
    <w:p w14:paraId="482906DA" w14:textId="3E4F8674" w:rsidR="0058419A" w:rsidRPr="0088158F" w:rsidRDefault="00851F6D" w:rsidP="0088158F">
      <w:pPr>
        <w:pStyle w:val="ListNumber"/>
        <w:rPr>
          <w:rFonts w:cs="Arial"/>
        </w:rPr>
      </w:pPr>
      <w:bookmarkStart w:id="7" w:name="HQU03_1_2_2"/>
      <w:r w:rsidRPr="00757107">
        <w:rPr>
          <w:rFonts w:cs="Arial"/>
          <w:b/>
        </w:rPr>
        <w:t>HQU03_1_2_2</w:t>
      </w:r>
      <w:bookmarkEnd w:id="7"/>
      <w:r w:rsidRPr="00757107">
        <w:rPr>
          <w:rFonts w:cs="Arial"/>
          <w:b/>
        </w:rPr>
        <w:t>:</w:t>
      </w:r>
      <w:r w:rsidRPr="00757107">
        <w:rPr>
          <w:rFonts w:cs="Arial"/>
        </w:rPr>
        <w:t xml:space="preserve"> </w:t>
      </w:r>
      <w:r w:rsidR="009E6984" w:rsidRPr="009E6984">
        <w:rPr>
          <w:rFonts w:cs="Arial"/>
        </w:rPr>
        <w:t xml:space="preserve">The number of </w:t>
      </w:r>
      <w:r w:rsidR="00BC5F17">
        <w:rPr>
          <w:rFonts w:cs="Arial"/>
        </w:rPr>
        <w:t>Red</w:t>
      </w:r>
      <w:r w:rsidR="009E6984" w:rsidRPr="009E6984">
        <w:rPr>
          <w:rFonts w:cs="Arial"/>
        </w:rPr>
        <w:t xml:space="preserve"> </w:t>
      </w:r>
      <w:r w:rsidR="001355E7">
        <w:rPr>
          <w:rFonts w:cs="Arial"/>
        </w:rPr>
        <w:t>calls</w:t>
      </w:r>
      <w:r w:rsidR="009E6984" w:rsidRPr="009E6984">
        <w:rPr>
          <w:rFonts w:cs="Arial"/>
        </w:rPr>
        <w:t xml:space="preserve"> resulting in an ambulance</w:t>
      </w:r>
      <w:r w:rsidR="001F636F">
        <w:rPr>
          <w:rFonts w:cs="Arial"/>
        </w:rPr>
        <w:t xml:space="preserve"> </w:t>
      </w:r>
      <w:r w:rsidR="009E6984" w:rsidRPr="009E6984">
        <w:rPr>
          <w:rFonts w:cs="Arial"/>
        </w:rPr>
        <w:t>arriving at the scene of the incident</w:t>
      </w:r>
      <w:r w:rsidR="009E6984">
        <w:rPr>
          <w:rFonts w:cs="Arial"/>
        </w:rPr>
        <w:t>:</w:t>
      </w:r>
      <w:r w:rsidR="009E6984" w:rsidRPr="009E6984">
        <w:rPr>
          <w:rFonts w:cs="Arial"/>
        </w:rPr>
        <w:t xml:space="preserve"> </w:t>
      </w:r>
      <w:r w:rsidRPr="00757107">
        <w:rPr>
          <w:rFonts w:cs="Arial"/>
        </w:rPr>
        <w:t xml:space="preserve">The </w:t>
      </w:r>
      <w:r w:rsidRPr="003F2ACF">
        <w:rPr>
          <w:rFonts w:cs="Arial"/>
        </w:rPr>
        <w:t xml:space="preserve">total number of </w:t>
      </w:r>
      <w:r>
        <w:rPr>
          <w:rFonts w:cs="Arial"/>
        </w:rPr>
        <w:t xml:space="preserve">Red </w:t>
      </w:r>
      <w:r w:rsidR="00757107">
        <w:rPr>
          <w:rFonts w:cs="Arial"/>
        </w:rPr>
        <w:t>incidents</w:t>
      </w:r>
      <w:r w:rsidRPr="003F2ACF">
        <w:rPr>
          <w:rFonts w:cs="Arial"/>
        </w:rPr>
        <w:t xml:space="preserve"> </w:t>
      </w:r>
      <w:r w:rsidR="00804976">
        <w:rPr>
          <w:rFonts w:cs="Arial"/>
        </w:rPr>
        <w:t>that</w:t>
      </w:r>
      <w:r w:rsidRPr="003F2ACF">
        <w:rPr>
          <w:rFonts w:cs="Arial"/>
        </w:rPr>
        <w:t xml:space="preserve"> resulted in a fully equipped ambulance vehicle </w:t>
      </w:r>
      <w:r w:rsidR="00804976">
        <w:rPr>
          <w:rFonts w:cs="Arial"/>
        </w:rPr>
        <w:t xml:space="preserve">that </w:t>
      </w:r>
      <w:r w:rsidRPr="00095AF0">
        <w:rPr>
          <w:rFonts w:cs="Arial"/>
        </w:rPr>
        <w:t>transport</w:t>
      </w:r>
      <w:r w:rsidR="00804976">
        <w:rPr>
          <w:rFonts w:cs="Arial"/>
        </w:rPr>
        <w:t>ed</w:t>
      </w:r>
      <w:r w:rsidRPr="00095AF0">
        <w:rPr>
          <w:rFonts w:cs="Arial"/>
        </w:rPr>
        <w:t xml:space="preserve"> </w:t>
      </w:r>
      <w:r w:rsidR="00804976">
        <w:rPr>
          <w:rFonts w:cs="Arial"/>
        </w:rPr>
        <w:t>the</w:t>
      </w:r>
      <w:r w:rsidRPr="00095AF0">
        <w:rPr>
          <w:rFonts w:cs="Arial"/>
        </w:rPr>
        <w:t xml:space="preserve"> patient</w:t>
      </w:r>
      <w:r w:rsidR="00385DD5">
        <w:rPr>
          <w:rFonts w:cs="Arial"/>
        </w:rPr>
        <w:t>,</w:t>
      </w:r>
      <w:r w:rsidRPr="00095AF0">
        <w:rPr>
          <w:rFonts w:cs="Arial"/>
        </w:rPr>
        <w:t xml:space="preserve"> in a clinically safe manner</w:t>
      </w:r>
      <w:r w:rsidR="00757107">
        <w:rPr>
          <w:rFonts w:cs="Arial"/>
        </w:rPr>
        <w:t>,</w:t>
      </w:r>
      <w:r w:rsidRPr="003F2ACF">
        <w:rPr>
          <w:rFonts w:cs="Arial"/>
        </w:rPr>
        <w:t xml:space="preserve"> arriving at the scene</w:t>
      </w:r>
      <w:r>
        <w:rPr>
          <w:rFonts w:cs="Arial"/>
        </w:rPr>
        <w:t xml:space="preserve"> of the incident</w:t>
      </w:r>
      <w:r w:rsidR="002D0D1B">
        <w:rPr>
          <w:rFonts w:cs="Arial"/>
        </w:rPr>
        <w:t>.</w:t>
      </w:r>
    </w:p>
    <w:p w14:paraId="3164400B" w14:textId="72AB0BE7" w:rsidR="00191F44" w:rsidRPr="003F2ACF" w:rsidRDefault="00647B8B" w:rsidP="00ED59F5">
      <w:pPr>
        <w:pStyle w:val="ListNumber"/>
        <w:rPr>
          <w:rFonts w:cs="Arial"/>
        </w:rPr>
      </w:pPr>
      <w:r>
        <w:rPr>
          <w:rFonts w:cs="Arial"/>
        </w:rPr>
        <w:t xml:space="preserve">During the trial </w:t>
      </w:r>
      <w:r w:rsidR="00191F44" w:rsidRPr="00757107">
        <w:rPr>
          <w:rFonts w:cs="Arial"/>
        </w:rPr>
        <w:t xml:space="preserve">19 </w:t>
      </w:r>
      <w:r w:rsidR="00191F44">
        <w:rPr>
          <w:rFonts w:cs="Arial"/>
        </w:rPr>
        <w:t xml:space="preserve">minute </w:t>
      </w:r>
      <w:r w:rsidR="00002EEF">
        <w:rPr>
          <w:rFonts w:cs="Arial"/>
        </w:rPr>
        <w:t xml:space="preserve">Red </w:t>
      </w:r>
      <w:r w:rsidR="00191F44" w:rsidRPr="00757107">
        <w:rPr>
          <w:rFonts w:cs="Arial"/>
        </w:rPr>
        <w:t xml:space="preserve">transportation </w:t>
      </w:r>
      <w:r w:rsidR="00191F44">
        <w:rPr>
          <w:rFonts w:cs="Arial"/>
        </w:rPr>
        <w:t>standard</w:t>
      </w:r>
      <w:r w:rsidR="00191F44" w:rsidRPr="00757107">
        <w:rPr>
          <w:rFonts w:cs="Arial"/>
        </w:rPr>
        <w:t xml:space="preserve"> </w:t>
      </w:r>
      <w:r>
        <w:rPr>
          <w:rFonts w:cs="Arial"/>
        </w:rPr>
        <w:t>will be measured against the median, 50</w:t>
      </w:r>
      <w:r w:rsidRPr="005E23A4">
        <w:rPr>
          <w:rFonts w:cs="Arial"/>
          <w:vertAlign w:val="superscript"/>
        </w:rPr>
        <w:t>th</w:t>
      </w:r>
      <w:r>
        <w:rPr>
          <w:rFonts w:cs="Arial"/>
        </w:rPr>
        <w:t>, 75</w:t>
      </w:r>
      <w:r w:rsidRPr="005E23A4">
        <w:rPr>
          <w:rFonts w:cs="Arial"/>
          <w:vertAlign w:val="superscript"/>
        </w:rPr>
        <w:t>th</w:t>
      </w:r>
      <w:r w:rsidR="005455DD">
        <w:rPr>
          <w:rFonts w:cs="Arial"/>
        </w:rPr>
        <w:t>,</w:t>
      </w:r>
      <w:r>
        <w:rPr>
          <w:rFonts w:cs="Arial"/>
        </w:rPr>
        <w:t xml:space="preserve"> </w:t>
      </w:r>
      <w:r w:rsidR="00191F44" w:rsidRPr="003F2ACF">
        <w:rPr>
          <w:rFonts w:cs="Arial"/>
        </w:rPr>
        <w:t>95</w:t>
      </w:r>
      <w:r w:rsidRPr="005E23A4">
        <w:rPr>
          <w:rFonts w:cs="Arial"/>
          <w:vertAlign w:val="superscript"/>
        </w:rPr>
        <w:t>th</w:t>
      </w:r>
      <w:r>
        <w:rPr>
          <w:rFonts w:cs="Arial"/>
        </w:rPr>
        <w:t xml:space="preserve"> </w:t>
      </w:r>
      <w:r w:rsidR="005455DD">
        <w:rPr>
          <w:rFonts w:cs="Arial"/>
        </w:rPr>
        <w:t>and 99</w:t>
      </w:r>
      <w:r w:rsidR="005455DD" w:rsidRPr="005455DD">
        <w:rPr>
          <w:rFonts w:cs="Arial"/>
          <w:vertAlign w:val="superscript"/>
        </w:rPr>
        <w:t>th</w:t>
      </w:r>
      <w:r w:rsidR="005455DD">
        <w:rPr>
          <w:rFonts w:cs="Arial"/>
        </w:rPr>
        <w:t xml:space="preserve"> c</w:t>
      </w:r>
      <w:r>
        <w:rPr>
          <w:rFonts w:cs="Arial"/>
        </w:rPr>
        <w:t>entiles</w:t>
      </w:r>
      <w:r w:rsidR="005455DD">
        <w:rPr>
          <w:rFonts w:cs="Arial"/>
        </w:rPr>
        <w:t>.</w:t>
      </w:r>
    </w:p>
    <w:p w14:paraId="6DF9AE26" w14:textId="77777777" w:rsidR="00385DD5" w:rsidRDefault="00385DD5" w:rsidP="002627BA">
      <w:pPr>
        <w:pStyle w:val="Heading5"/>
      </w:pPr>
      <w:r>
        <w:t>Clock start</w:t>
      </w:r>
    </w:p>
    <w:p w14:paraId="1E9AE4F0" w14:textId="5D87D888" w:rsidR="006F1ED7" w:rsidRDefault="006F1ED7" w:rsidP="00ED59F5">
      <w:pPr>
        <w:pStyle w:val="ListNumber"/>
      </w:pPr>
      <w:r>
        <w:t>I</w:t>
      </w:r>
      <w:r w:rsidRPr="00663415">
        <w:t>f</w:t>
      </w:r>
      <w:r>
        <w:t xml:space="preserve"> a non-conveying vehicle arrives on the scene and requests backup </w:t>
      </w:r>
      <w:r w:rsidR="00BC5F17">
        <w:t xml:space="preserve">from a </w:t>
      </w:r>
      <w:r w:rsidRPr="00674218">
        <w:rPr>
          <w:rFonts w:cs="Arial"/>
        </w:rPr>
        <w:t xml:space="preserve">fully equipped ambulance vehicle </w:t>
      </w:r>
      <w:r w:rsidR="00804976">
        <w:rPr>
          <w:rFonts w:cs="Arial"/>
        </w:rPr>
        <w:t xml:space="preserve">that </w:t>
      </w:r>
      <w:r w:rsidRPr="00095AF0">
        <w:rPr>
          <w:rFonts w:cs="Arial"/>
        </w:rPr>
        <w:t>transport</w:t>
      </w:r>
      <w:r w:rsidR="00804976">
        <w:rPr>
          <w:rFonts w:cs="Arial"/>
        </w:rPr>
        <w:t>s</w:t>
      </w:r>
      <w:r w:rsidRPr="00095AF0">
        <w:rPr>
          <w:rFonts w:cs="Arial"/>
        </w:rPr>
        <w:t xml:space="preserve"> the patient</w:t>
      </w:r>
      <w:r w:rsidR="00385DD5">
        <w:rPr>
          <w:rFonts w:cs="Arial"/>
        </w:rPr>
        <w:t>,</w:t>
      </w:r>
      <w:r w:rsidRPr="00095AF0">
        <w:rPr>
          <w:rFonts w:cs="Arial"/>
        </w:rPr>
        <w:t xml:space="preserve"> in a clinically safe manner</w:t>
      </w:r>
      <w:r>
        <w:rPr>
          <w:rFonts w:cs="Arial"/>
        </w:rPr>
        <w:t xml:space="preserve">, </w:t>
      </w:r>
      <w:r>
        <w:t>when none has yet been assigned, the clock starts at the point of this request</w:t>
      </w:r>
      <w:r w:rsidR="002D0D1B">
        <w:t>.</w:t>
      </w:r>
    </w:p>
    <w:p w14:paraId="374D8BDA" w14:textId="4FA4BC8C" w:rsidR="006F1ED7" w:rsidRDefault="00C01824" w:rsidP="00ED59F5">
      <w:pPr>
        <w:pStyle w:val="ListNumber"/>
      </w:pPr>
      <w:r>
        <w:t xml:space="preserve">Otherwise, the clock start is </w:t>
      </w:r>
      <w:r w:rsidR="006F1ED7">
        <w:rPr>
          <w:rFonts w:cs="Arial"/>
        </w:rPr>
        <w:t xml:space="preserve">according to the appropriate Red (HQU03_01a) or (HQU03_01b) </w:t>
      </w:r>
      <w:r w:rsidR="006F1ED7" w:rsidRPr="00663415">
        <w:t>rules above</w:t>
      </w:r>
      <w:r w:rsidR="002D0D1B">
        <w:t>.</w:t>
      </w:r>
    </w:p>
    <w:p w14:paraId="1385F59F" w14:textId="62250A96" w:rsidR="00117210" w:rsidRPr="00117210" w:rsidRDefault="00117210" w:rsidP="00117210">
      <w:pPr>
        <w:pStyle w:val="ListNumber"/>
      </w:pPr>
      <w:r w:rsidRPr="00117210">
        <w:t>Incidents will be exc</w:t>
      </w:r>
      <w:r w:rsidR="00804976">
        <w:t>luded from this measure where a resource</w:t>
      </w:r>
      <w:r w:rsidRPr="00117210">
        <w:t xml:space="preserve"> arrives on scene and establishes that the patient does not require a transportation response</w:t>
      </w:r>
      <w:r w:rsidR="00B93E92">
        <w:t>; i.</w:t>
      </w:r>
      <w:r w:rsidR="005E23A4">
        <w:t>e</w:t>
      </w:r>
      <w:r w:rsidR="00B93E92">
        <w:t>.</w:t>
      </w:r>
      <w:r w:rsidR="005E23A4">
        <w:t xml:space="preserve"> patient referred to primary care or not transported to A&amp;E.</w:t>
      </w:r>
    </w:p>
    <w:p w14:paraId="34FAFAAB" w14:textId="77777777" w:rsidR="00385DD5" w:rsidRDefault="00385DD5" w:rsidP="002627BA">
      <w:pPr>
        <w:pStyle w:val="Heading5"/>
        <w:rPr>
          <w:rFonts w:cs="Arial"/>
        </w:rPr>
      </w:pPr>
      <w:r>
        <w:t>Clock stop</w:t>
      </w:r>
    </w:p>
    <w:p w14:paraId="00F90FED" w14:textId="3B7184E2" w:rsidR="006F1ED7" w:rsidRDefault="004D1302" w:rsidP="004D1302">
      <w:pPr>
        <w:pStyle w:val="ListNumber"/>
        <w:rPr>
          <w:rFonts w:cs="Arial"/>
        </w:rPr>
      </w:pPr>
      <w:r w:rsidRPr="004D1302">
        <w:t xml:space="preserve">For </w:t>
      </w:r>
      <w:r>
        <w:t>Red</w:t>
      </w:r>
      <w:r w:rsidRPr="004D1302">
        <w:t xml:space="preserve"> incidents where conveyance is required the </w:t>
      </w:r>
      <w:r w:rsidR="00CF39F3">
        <w:t xml:space="preserve">19 minute Red transportation response </w:t>
      </w:r>
      <w:r w:rsidRPr="004D1302">
        <w:t>clock is stopped only by the vehicle that conveys the patient.</w:t>
      </w:r>
      <w:r>
        <w:t xml:space="preserve"> </w:t>
      </w:r>
    </w:p>
    <w:p w14:paraId="3FF5DF91" w14:textId="6A2EB954" w:rsidR="00B4400F" w:rsidRDefault="00B4400F" w:rsidP="00B4400F">
      <w:pPr>
        <w:pStyle w:val="ListNumber"/>
      </w:pPr>
      <w:r>
        <w:t xml:space="preserve">A legitimate clock stop position can include </w:t>
      </w:r>
      <w:r w:rsidR="004D1302">
        <w:t xml:space="preserve">the conveying vehicle </w:t>
      </w:r>
      <w:r>
        <w:t>arriving at a pre-arrival rendezvous point when one has been determined as appropriate for the safety of ambulance staff in agreement with the control room. For example, a rendezvous point could be agreed for the following situations:</w:t>
      </w:r>
    </w:p>
    <w:p w14:paraId="568E84B5" w14:textId="243119D2" w:rsidR="00B4400F" w:rsidRDefault="00B4400F" w:rsidP="00B4400F">
      <w:pPr>
        <w:pStyle w:val="ListBullet"/>
      </w:pPr>
      <w:r>
        <w:t>Information has been received relating to the given location that a patient or bystander is violent, and police or other further assistance is required;</w:t>
      </w:r>
    </w:p>
    <w:p w14:paraId="4205CB89" w14:textId="0AB849C3" w:rsidR="00B4400F" w:rsidRDefault="00B4400F" w:rsidP="00B4400F">
      <w:pPr>
        <w:pStyle w:val="ListBullet"/>
      </w:pPr>
      <w:r>
        <w:t>Information has been received that the operational incident, because of its nature, is unsafe for ambulance staff to enter.</w:t>
      </w:r>
    </w:p>
    <w:p w14:paraId="7728E9D1" w14:textId="77777777" w:rsidR="00851F6D" w:rsidRPr="00237095" w:rsidRDefault="00851F6D" w:rsidP="00ED59F5">
      <w:pPr>
        <w:pStyle w:val="ListNumber"/>
      </w:pPr>
      <w:r w:rsidRPr="00237095">
        <w:t xml:space="preserve">Once </w:t>
      </w:r>
      <w:r w:rsidR="00AD3B2F">
        <w:t xml:space="preserve">the category </w:t>
      </w:r>
      <w:r w:rsidRPr="00237095">
        <w:t>Red</w:t>
      </w:r>
      <w:r w:rsidR="00AD3B2F">
        <w:t xml:space="preserve"> </w:t>
      </w:r>
      <w:r w:rsidRPr="00237095">
        <w:t>is determined, reporting</w:t>
      </w:r>
      <w:r w:rsidR="00F43520">
        <w:t xml:space="preserve"> must</w:t>
      </w:r>
      <w:r w:rsidR="00A96622">
        <w:t xml:space="preserve"> </w:t>
      </w:r>
      <w:r w:rsidRPr="00237095">
        <w:t xml:space="preserve">remain against the code that was in place within the CAD record prior to the arrival of a first response on scene. It </w:t>
      </w:r>
      <w:r w:rsidR="00F43520">
        <w:t xml:space="preserve">must </w:t>
      </w:r>
      <w:r w:rsidR="00A96622">
        <w:t>not</w:t>
      </w:r>
      <w:r w:rsidRPr="00237095">
        <w:t xml:space="preserve"> be changed after a resource has arrived at scene</w:t>
      </w:r>
      <w:r w:rsidR="002D0D1B">
        <w:t>.</w:t>
      </w:r>
    </w:p>
    <w:p w14:paraId="779EE54B" w14:textId="55E3E36C" w:rsidR="00AD3B2F" w:rsidRDefault="00851F6D" w:rsidP="00ED59F5">
      <w:pPr>
        <w:pStyle w:val="ListNumber"/>
      </w:pPr>
      <w:r w:rsidRPr="00237095">
        <w:t xml:space="preserve">All calls that have been passed from </w:t>
      </w:r>
      <w:r w:rsidR="00C01824">
        <w:t xml:space="preserve">NHS </w:t>
      </w:r>
      <w:r w:rsidRPr="00237095">
        <w:t>111 as requiring a Red ambulance response either electronically or manually should be included in this indicator</w:t>
      </w:r>
      <w:r w:rsidR="002D0D1B">
        <w:t>.</w:t>
      </w:r>
    </w:p>
    <w:p w14:paraId="25CF5D84" w14:textId="77777777" w:rsidR="00F43520" w:rsidRPr="00237095" w:rsidRDefault="00F43520" w:rsidP="00ED59F5">
      <w:pPr>
        <w:pStyle w:val="ListNumber"/>
      </w:pPr>
      <w:r w:rsidRPr="00771236">
        <w:rPr>
          <w:rFonts w:eastAsiaTheme="minorHAnsi"/>
          <w:lang w:eastAsia="en-US"/>
        </w:rPr>
        <w:t>It is recommended that all Trusts achieve a minimum call connect capture of 85% on public 999 calls</w:t>
      </w:r>
      <w:r w:rsidR="002D0D1B">
        <w:t>.</w:t>
      </w:r>
    </w:p>
    <w:p w14:paraId="1F4360C1" w14:textId="77777777" w:rsidR="00AF31FB" w:rsidRDefault="00AF31FB" w:rsidP="00ED59F5">
      <w:pPr>
        <w:pStyle w:val="ListNumber"/>
      </w:pPr>
      <w:r w:rsidRPr="002A279F">
        <w:t xml:space="preserve">Where no call connect time is recorded, the earliest available time should be used </w:t>
      </w:r>
      <w:r>
        <w:t xml:space="preserve">for </w:t>
      </w:r>
      <w:r w:rsidRPr="002A279F">
        <w:t>the clock start</w:t>
      </w:r>
      <w:r>
        <w:t>, such as the first key stroke of the keyboard</w:t>
      </w:r>
      <w:r w:rsidR="002D0D1B">
        <w:t>.</w:t>
      </w:r>
    </w:p>
    <w:p w14:paraId="76E390BF" w14:textId="77777777" w:rsidR="00851F6D" w:rsidRPr="00052CA2" w:rsidRDefault="00851F6D" w:rsidP="002627BA">
      <w:pPr>
        <w:pStyle w:val="Heading5"/>
      </w:pPr>
      <w:r w:rsidRPr="00052CA2">
        <w:t xml:space="preserve">Monitoring Data </w:t>
      </w:r>
      <w:r w:rsidR="0026609E">
        <w:t>Source</w:t>
      </w:r>
    </w:p>
    <w:p w14:paraId="1334D7EA" w14:textId="77777777" w:rsidR="00851F6D" w:rsidRDefault="0065367C" w:rsidP="00ED59F5">
      <w:pPr>
        <w:pStyle w:val="ListNumber"/>
      </w:pPr>
      <w:r>
        <w:t>Ambulance CAD system.</w:t>
      </w:r>
    </w:p>
    <w:p w14:paraId="447DCF0A" w14:textId="5C987347" w:rsidR="004D1302" w:rsidRDefault="004D1302" w:rsidP="00C3299E">
      <w:pPr>
        <w:pStyle w:val="Heading3"/>
      </w:pPr>
      <w:r w:rsidRPr="004D1302">
        <w:t>HQU03_01</w:t>
      </w:r>
      <w:r>
        <w:t>d</w:t>
      </w:r>
      <w:r w:rsidRPr="004D1302">
        <w:t xml:space="preserve">: </w:t>
      </w:r>
      <w:r>
        <w:t>60</w:t>
      </w:r>
      <w:r w:rsidRPr="004D1302">
        <w:t xml:space="preserve"> minute </w:t>
      </w:r>
      <w:r>
        <w:t xml:space="preserve">Green </w:t>
      </w:r>
      <w:r w:rsidR="00C3299E">
        <w:t>F R</w:t>
      </w:r>
      <w:r w:rsidRPr="004D1302">
        <w:t>esponse</w:t>
      </w:r>
    </w:p>
    <w:p w14:paraId="79673D3E" w14:textId="77777777" w:rsidR="00C3299E" w:rsidRPr="00484852" w:rsidRDefault="00C3299E" w:rsidP="00C3299E">
      <w:pPr>
        <w:pStyle w:val="Heading5"/>
      </w:pPr>
      <w:r w:rsidRPr="00484852">
        <w:t xml:space="preserve">Data </w:t>
      </w:r>
      <w:r>
        <w:t>Definition</w:t>
      </w:r>
    </w:p>
    <w:p w14:paraId="08A56797" w14:textId="27054EBE" w:rsidR="00C3299E" w:rsidRPr="00DA2975" w:rsidRDefault="00C3299E" w:rsidP="00C3299E">
      <w:pPr>
        <w:pStyle w:val="ListNumber"/>
      </w:pPr>
      <w:r w:rsidRPr="00DA2975">
        <w:rPr>
          <w:b/>
        </w:rPr>
        <w:t>HQU03_1_</w:t>
      </w:r>
      <w:r w:rsidR="005E6313">
        <w:rPr>
          <w:b/>
        </w:rPr>
        <w:t>3</w:t>
      </w:r>
      <w:r w:rsidRPr="00DA2975">
        <w:rPr>
          <w:b/>
        </w:rPr>
        <w:t>_</w:t>
      </w:r>
      <w:r w:rsidR="005E6313">
        <w:rPr>
          <w:b/>
        </w:rPr>
        <w:t>1</w:t>
      </w:r>
      <w:r w:rsidRPr="00DA2975">
        <w:rPr>
          <w:b/>
        </w:rPr>
        <w:t>:</w:t>
      </w:r>
      <w:r w:rsidRPr="00DA2975">
        <w:t xml:space="preserve"> The number of </w:t>
      </w:r>
      <w:r w:rsidR="005E6313">
        <w:t>Green F</w:t>
      </w:r>
      <w:r w:rsidRPr="00DA2975">
        <w:t xml:space="preserve"> calls resulting in an emergency response arriving at the scene of the incident within </w:t>
      </w:r>
      <w:r w:rsidR="005E6313">
        <w:t>60</w:t>
      </w:r>
      <w:r w:rsidRPr="00DA2975">
        <w:t xml:space="preserve"> minutes</w:t>
      </w:r>
      <w:r>
        <w:t>:</w:t>
      </w:r>
      <w:r w:rsidRPr="00DA2975">
        <w:t xml:space="preserve"> A response within </w:t>
      </w:r>
      <w:r w:rsidR="005E6313">
        <w:t xml:space="preserve">sixty </w:t>
      </w:r>
      <w:r w:rsidRPr="00DA2975">
        <w:t xml:space="preserve">minutes means </w:t>
      </w:r>
      <w:r w:rsidR="005E6313">
        <w:t>sixty</w:t>
      </w:r>
      <w:r w:rsidRPr="00DA2975">
        <w:t xml:space="preserve"> minutes zero seconds or less.</w:t>
      </w:r>
    </w:p>
    <w:p w14:paraId="4C83CD44" w14:textId="471F7B65" w:rsidR="00C3299E" w:rsidRPr="00DA2975" w:rsidRDefault="00C3299E" w:rsidP="00C3299E">
      <w:pPr>
        <w:pStyle w:val="ListNumber"/>
      </w:pPr>
      <w:r w:rsidRPr="00DA2975">
        <w:rPr>
          <w:b/>
        </w:rPr>
        <w:t>HQU03_1_</w:t>
      </w:r>
      <w:r w:rsidR="005E6313">
        <w:rPr>
          <w:b/>
        </w:rPr>
        <w:t>3</w:t>
      </w:r>
      <w:r w:rsidRPr="00DA2975">
        <w:rPr>
          <w:b/>
        </w:rPr>
        <w:t>_</w:t>
      </w:r>
      <w:r w:rsidR="005E6313">
        <w:rPr>
          <w:b/>
        </w:rPr>
        <w:t>2</w:t>
      </w:r>
      <w:r w:rsidRPr="00DA2975">
        <w:rPr>
          <w:b/>
        </w:rPr>
        <w:t xml:space="preserve">: </w:t>
      </w:r>
      <w:r w:rsidRPr="00DA2975">
        <w:t xml:space="preserve">The number of </w:t>
      </w:r>
      <w:r w:rsidR="005E6313">
        <w:t>Green F</w:t>
      </w:r>
      <w:r w:rsidRPr="00DA2975">
        <w:t xml:space="preserve"> calls resulting in an emergency response arrivi</w:t>
      </w:r>
      <w:r>
        <w:t>ng at the scene of the incident:</w:t>
      </w:r>
      <w:r w:rsidRPr="00DA2975">
        <w:t xml:space="preserve"> If there have been multiple calls to a single incident, only one incident should be recorded</w:t>
      </w:r>
      <w:r>
        <w:t>.</w:t>
      </w:r>
    </w:p>
    <w:p w14:paraId="7766997E" w14:textId="2AA58F60" w:rsidR="00C3299E" w:rsidRDefault="00C3299E" w:rsidP="00C3299E">
      <w:pPr>
        <w:pStyle w:val="ListNumber"/>
      </w:pPr>
      <w:r>
        <w:t xml:space="preserve">Incidents involving patients </w:t>
      </w:r>
      <w:r w:rsidRPr="00C0106D">
        <w:t>with</w:t>
      </w:r>
      <w:r>
        <w:t xml:space="preserve"> </w:t>
      </w:r>
      <w:r w:rsidRPr="00C0106D">
        <w:t xml:space="preserve">conditions </w:t>
      </w:r>
      <w:r>
        <w:t>that are</w:t>
      </w:r>
      <w:r w:rsidRPr="00C0106D">
        <w:t xml:space="preserve"> </w:t>
      </w:r>
      <w:r w:rsidR="005E6313">
        <w:t xml:space="preserve">urgent, but </w:t>
      </w:r>
      <w:r w:rsidRPr="00C0106D">
        <w:t>less time</w:t>
      </w:r>
      <w:r>
        <w:t>-</w:t>
      </w:r>
      <w:r w:rsidRPr="00C0106D">
        <w:t xml:space="preserve">critical than </w:t>
      </w:r>
      <w:r>
        <w:t xml:space="preserve">those </w:t>
      </w:r>
      <w:r w:rsidRPr="00C0106D">
        <w:t xml:space="preserve">categorised as </w:t>
      </w:r>
      <w:r w:rsidR="005E6313">
        <w:t>Amber</w:t>
      </w:r>
      <w:r>
        <w:t>,</w:t>
      </w:r>
      <w:r w:rsidRPr="00C0106D">
        <w:t xml:space="preserve"> are </w:t>
      </w:r>
      <w:r>
        <w:t>categorised</w:t>
      </w:r>
      <w:r w:rsidRPr="00C0106D">
        <w:t xml:space="preserve"> as </w:t>
      </w:r>
      <w:r w:rsidR="005E6313">
        <w:t>Green</w:t>
      </w:r>
      <w:r>
        <w:t xml:space="preserve"> </w:t>
      </w:r>
      <w:r w:rsidRPr="00C0106D">
        <w:t xml:space="preserve">incidents. </w:t>
      </w:r>
      <w:r w:rsidR="005E6313">
        <w:t xml:space="preserve">Green F incidents require a face to face response from the ambulance service, </w:t>
      </w:r>
      <w:r w:rsidRPr="00C0106D">
        <w:t xml:space="preserve">arriving at the scene of the incident within </w:t>
      </w:r>
      <w:r w:rsidR="005E6313">
        <w:t>60</w:t>
      </w:r>
      <w:r w:rsidRPr="00C0106D">
        <w:t xml:space="preserve"> minutes and zero seconds of clock start.</w:t>
      </w:r>
    </w:p>
    <w:p w14:paraId="361B7747" w14:textId="77777777" w:rsidR="00C3299E" w:rsidRDefault="00C3299E" w:rsidP="00C3299E">
      <w:pPr>
        <w:pStyle w:val="Heading5"/>
      </w:pPr>
      <w:r>
        <w:t>Clock start</w:t>
      </w:r>
    </w:p>
    <w:p w14:paraId="56BBA60C" w14:textId="0EAC0F90" w:rsidR="00C3299E" w:rsidRDefault="00C3299E" w:rsidP="00C3299E">
      <w:pPr>
        <w:pStyle w:val="ListNumber"/>
      </w:pPr>
      <w:r w:rsidRPr="00A418EF">
        <w:t>For</w:t>
      </w:r>
      <w:r>
        <w:t xml:space="preserve"> </w:t>
      </w:r>
      <w:r w:rsidR="005E6313">
        <w:t xml:space="preserve">Green F </w:t>
      </w:r>
      <w:r w:rsidRPr="00A418EF">
        <w:t xml:space="preserve">calls, the </w:t>
      </w:r>
      <w:r>
        <w:t>clock starts the earliest of:</w:t>
      </w:r>
    </w:p>
    <w:p w14:paraId="77DE1098" w14:textId="54BA61E3" w:rsidR="00C3299E" w:rsidRDefault="00C3299E" w:rsidP="00C3299E">
      <w:pPr>
        <w:pStyle w:val="ListBullet"/>
      </w:pPr>
      <w:r>
        <w:t xml:space="preserve">The call is coded as an </w:t>
      </w:r>
      <w:r w:rsidR="005E6313">
        <w:t>Green F</w:t>
      </w:r>
      <w:r>
        <w:t xml:space="preserve"> incident (following establishment of chief complaint or disposition) or;</w:t>
      </w:r>
    </w:p>
    <w:p w14:paraId="1D2F8930" w14:textId="77777777" w:rsidR="00C3299E" w:rsidRDefault="00C3299E" w:rsidP="00C3299E">
      <w:pPr>
        <w:pStyle w:val="ListBullet"/>
      </w:pPr>
      <w:r>
        <w:t>The first resource is assigned or;</w:t>
      </w:r>
    </w:p>
    <w:p w14:paraId="43AEB48E" w14:textId="77777777" w:rsidR="00C3299E" w:rsidRDefault="00C3299E" w:rsidP="00C3299E">
      <w:pPr>
        <w:pStyle w:val="ListBullet"/>
      </w:pPr>
      <w:r>
        <w:t>240 seconds from the point that the call is connected to the Emergency Operations Centre (EOC) telephony switch (T0).</w:t>
      </w:r>
    </w:p>
    <w:p w14:paraId="20517551" w14:textId="4F226299" w:rsidR="00C3299E" w:rsidRDefault="00C3299E" w:rsidP="00C3299E">
      <w:pPr>
        <w:pStyle w:val="ListNumber"/>
      </w:pPr>
      <w:r w:rsidRPr="00A04A84">
        <w:t xml:space="preserve">For </w:t>
      </w:r>
      <w:r w:rsidR="005E6313">
        <w:t>Green F</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t>.</w:t>
      </w:r>
    </w:p>
    <w:p w14:paraId="700E7412" w14:textId="77777777" w:rsidR="00C3299E" w:rsidRPr="00484852" w:rsidRDefault="00C3299E" w:rsidP="00C3299E">
      <w:pPr>
        <w:pStyle w:val="Heading5"/>
        <w:rPr>
          <w:rFonts w:cs="Arial"/>
        </w:rPr>
      </w:pPr>
      <w:r>
        <w:t>Clock stop</w:t>
      </w:r>
    </w:p>
    <w:p w14:paraId="7587D9F6" w14:textId="758E730A" w:rsidR="00C3299E" w:rsidRDefault="00C3299E" w:rsidP="00C3299E">
      <w:pPr>
        <w:pStyle w:val="ListNumber"/>
      </w:pPr>
      <w:r>
        <w:t xml:space="preserve">The </w:t>
      </w:r>
      <w:r w:rsidRPr="00237095">
        <w:t xml:space="preserve">clock stops when the first </w:t>
      </w:r>
      <w:r>
        <w:t xml:space="preserve">appropriate (as listed in para </w:t>
      </w:r>
      <w:r w:rsidR="005E6313">
        <w:t>6</w:t>
      </w:r>
      <w:r>
        <w:t>.</w:t>
      </w:r>
      <w:r w:rsidR="005E6313">
        <w:t>8</w:t>
      </w:r>
      <w:r>
        <w:t>) A</w:t>
      </w:r>
      <w:r w:rsidRPr="00237095">
        <w:t xml:space="preserve">mbulance </w:t>
      </w:r>
      <w:r>
        <w:t>S</w:t>
      </w:r>
      <w:r w:rsidRPr="00237095">
        <w:t>ervice-dispatched emergency responder</w:t>
      </w:r>
      <w:r>
        <w:t xml:space="preserve"> </w:t>
      </w:r>
      <w:r w:rsidRPr="00237095">
        <w:t>arrives at the scene of the incident</w:t>
      </w:r>
      <w:r>
        <w:t>.</w:t>
      </w:r>
    </w:p>
    <w:p w14:paraId="77C1A348" w14:textId="77777777" w:rsidR="00C3299E" w:rsidRPr="00237095" w:rsidRDefault="00C3299E" w:rsidP="00C3299E">
      <w:pPr>
        <w:pStyle w:val="ListNumber"/>
      </w:pPr>
      <w:r w:rsidRPr="00237095">
        <w:t>A legitimate clock stop position can include the response arriving at a pre-arrival rendezvous point when one has been determined as appropriate for the safety of ambulance staff in agreement with the control room.</w:t>
      </w:r>
      <w:r>
        <w:t xml:space="preserve"> </w:t>
      </w:r>
      <w:r w:rsidRPr="00237095">
        <w:t>For example, a rendezvous point could be agreed for the following situations:</w:t>
      </w:r>
    </w:p>
    <w:p w14:paraId="5AA1F72B" w14:textId="77777777" w:rsidR="00C3299E" w:rsidRPr="00237095" w:rsidRDefault="00C3299E" w:rsidP="00C3299E">
      <w:pPr>
        <w:pStyle w:val="ListBullet"/>
      </w:pPr>
      <w:r w:rsidRPr="00237095">
        <w:t xml:space="preserve">Information has been received relating to the given location that </w:t>
      </w:r>
      <w:r>
        <w:t xml:space="preserve">a </w:t>
      </w:r>
      <w:r w:rsidRPr="00C0106D">
        <w:t xml:space="preserve">patient </w:t>
      </w:r>
      <w:r>
        <w:t xml:space="preserve">or </w:t>
      </w:r>
      <w:r w:rsidRPr="00C0106D">
        <w:t xml:space="preserve">bystander </w:t>
      </w:r>
      <w:r w:rsidRPr="00237095">
        <w:t>is violent</w:t>
      </w:r>
      <w:r>
        <w:t>,</w:t>
      </w:r>
      <w:r w:rsidRPr="00237095">
        <w:t xml:space="preserve"> and police or other further assistance is required</w:t>
      </w:r>
      <w:r>
        <w:t>;</w:t>
      </w:r>
    </w:p>
    <w:p w14:paraId="129409C3" w14:textId="77777777" w:rsidR="00C3299E" w:rsidRDefault="00C3299E" w:rsidP="00C3299E">
      <w:pPr>
        <w:pStyle w:val="ListBullet"/>
      </w:pPr>
      <w:r w:rsidRPr="00237095">
        <w:t>Information has been received that the operational incident</w:t>
      </w:r>
      <w:r>
        <w:t>,</w:t>
      </w:r>
      <w:r w:rsidRPr="00237095">
        <w:t xml:space="preserve"> because of its nature</w:t>
      </w:r>
      <w:r>
        <w:t>,</w:t>
      </w:r>
      <w:r w:rsidRPr="00237095">
        <w:t xml:space="preserve"> is unsafe for ambulance staff to enter</w:t>
      </w:r>
      <w:r>
        <w:t>.</w:t>
      </w:r>
    </w:p>
    <w:p w14:paraId="544728D9" w14:textId="32A4F283" w:rsidR="00C3299E" w:rsidRDefault="00C3299E" w:rsidP="00C3299E">
      <w:pPr>
        <w:pStyle w:val="ListNumber"/>
      </w:pPr>
      <w:r w:rsidRPr="007B4620">
        <w:t xml:space="preserve">For the purposes of the </w:t>
      </w:r>
      <w:r w:rsidR="005E6313">
        <w:t xml:space="preserve">60 </w:t>
      </w:r>
      <w:r w:rsidRPr="007B4620">
        <w:t xml:space="preserve">minute </w:t>
      </w:r>
      <w:r w:rsidR="005E6313">
        <w:t>Green F</w:t>
      </w:r>
      <w:r w:rsidRPr="007B4620">
        <w:t xml:space="preserve"> standard, an emergency response that will achieve clock stop occurs when:</w:t>
      </w:r>
    </w:p>
    <w:p w14:paraId="447D54D4" w14:textId="77FD0284" w:rsidR="00C3299E" w:rsidRDefault="00C3299E" w:rsidP="00C3299E">
      <w:pPr>
        <w:pStyle w:val="ListBullet"/>
      </w:pPr>
      <w:r>
        <w:t>A fully equipped ambulance vehicle (car or ambulance) with ambulance staff trained to delivered clinical care to patient(s) at the scene of an incident</w:t>
      </w:r>
      <w:r w:rsidR="005E6313">
        <w:t>,</w:t>
      </w:r>
      <w:r>
        <w:t xml:space="preserve"> arrives within a 200 metre geo-fence of the patient (if tracked); or such an ambulance confirms arrival at scene through an updated status message via the MDT in the vehicle, or a clinician confirming verbally to the EOC that they are on scene</w:t>
      </w:r>
      <w:r w:rsidR="005E6313">
        <w:t xml:space="preserve"> or;</w:t>
      </w:r>
    </w:p>
    <w:p w14:paraId="162785CB" w14:textId="77777777" w:rsidR="005E6313" w:rsidRDefault="005E6313" w:rsidP="005E6313">
      <w:pPr>
        <w:pStyle w:val="ListBullet"/>
        <w:numPr>
          <w:ilvl w:val="0"/>
          <w:numId w:val="0"/>
        </w:numPr>
        <w:ind w:left="738"/>
      </w:pPr>
    </w:p>
    <w:p w14:paraId="10229ABD" w14:textId="77777777" w:rsidR="005E6313" w:rsidRDefault="005E6313" w:rsidP="005E6313">
      <w:pPr>
        <w:pStyle w:val="ListBullet"/>
      </w:pPr>
      <w:r>
        <w:t>A fully equipped RRV, motorbike or cycle, or Blue Light Response Officer, if tracked, arrives within a 200 metre geo-fence of the patient; or the RRV confirms arrival at scene through an updated status message via the MDT in the vehicle, or a clinician confirming verbally to the EOC that they are on scene or;</w:t>
      </w:r>
    </w:p>
    <w:p w14:paraId="05447B3D" w14:textId="77777777" w:rsidR="005E6313" w:rsidRDefault="005E6313" w:rsidP="005E6313">
      <w:pPr>
        <w:pStyle w:val="ListBullet"/>
        <w:numPr>
          <w:ilvl w:val="0"/>
          <w:numId w:val="0"/>
        </w:numPr>
      </w:pPr>
    </w:p>
    <w:p w14:paraId="1A970613" w14:textId="77777777" w:rsidR="005E6313" w:rsidRDefault="005E6313" w:rsidP="005E6313">
      <w:pPr>
        <w:pStyle w:val="ListBullet"/>
      </w:pPr>
      <w:r w:rsidRPr="005E4A1E">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14:paraId="4F44EA4D" w14:textId="7ACAE72A" w:rsidR="005455DD" w:rsidRDefault="005455DD" w:rsidP="005455DD">
      <w:pPr>
        <w:pStyle w:val="Heading3"/>
      </w:pPr>
      <w:r>
        <w:t>HQU03_1_3_3 Green F response time (all calls)</w:t>
      </w:r>
    </w:p>
    <w:p w14:paraId="21DD7E8A" w14:textId="77777777" w:rsidR="005455DD" w:rsidRDefault="005455DD" w:rsidP="005455DD">
      <w:pPr>
        <w:pStyle w:val="Heading5"/>
      </w:pPr>
      <w:r>
        <w:t>Detailed Descriptor</w:t>
      </w:r>
    </w:p>
    <w:p w14:paraId="494C438E" w14:textId="3B811A72" w:rsidR="005455DD" w:rsidRDefault="005455DD" w:rsidP="005455DD">
      <w:pPr>
        <w:pStyle w:val="ListNumber"/>
      </w:pPr>
      <w:r>
        <w:t>The time to respond to all Green F calls.</w:t>
      </w:r>
    </w:p>
    <w:p w14:paraId="0DC88D1C" w14:textId="77777777" w:rsidR="005455DD" w:rsidRDefault="005455DD" w:rsidP="005455DD">
      <w:pPr>
        <w:pStyle w:val="Heading5"/>
      </w:pPr>
      <w:r>
        <w:t>Data Definition</w:t>
      </w:r>
    </w:p>
    <w:p w14:paraId="61DA1B93" w14:textId="2372CD40" w:rsidR="005455DD" w:rsidRDefault="005455DD" w:rsidP="005455DD">
      <w:pPr>
        <w:pStyle w:val="ListNumber"/>
      </w:pPr>
      <w:r>
        <w:t xml:space="preserve">The time from clock start of a Green F call to an emergency response arriving at the scene of the incident for all Green F calls. </w:t>
      </w:r>
      <w:r w:rsidRPr="0037442D">
        <w:t xml:space="preserve">This will allow the 50th, 90th, 95th and 99th centiles to be calculated and response times to be displayed graphically for all </w:t>
      </w:r>
      <w:r>
        <w:t>Green F</w:t>
      </w:r>
      <w:r w:rsidRPr="0037442D">
        <w:t xml:space="preserve"> Calls.  </w:t>
      </w:r>
    </w:p>
    <w:p w14:paraId="0760BD48" w14:textId="5703D2E5" w:rsidR="005455DD" w:rsidRDefault="005455DD" w:rsidP="005455DD">
      <w:pPr>
        <w:pStyle w:val="ListNumber"/>
      </w:pPr>
      <w:r>
        <w:t>The Green F definition, clock start and clock stop times are the same as for HQU03_01d above.</w:t>
      </w:r>
    </w:p>
    <w:p w14:paraId="6D4BEE77" w14:textId="77777777" w:rsidR="00851F6D" w:rsidRPr="00111A9F" w:rsidRDefault="00851F6D" w:rsidP="002627BA">
      <w:pPr>
        <w:pStyle w:val="Heading3"/>
      </w:pPr>
      <w:r w:rsidRPr="00111A9F">
        <w:t>SQU03_01:</w:t>
      </w:r>
      <w:r w:rsidR="00A31774">
        <w:t xml:space="preserve"> </w:t>
      </w:r>
      <w:r w:rsidRPr="00111A9F">
        <w:t>Call Abandonment Rate</w:t>
      </w:r>
    </w:p>
    <w:p w14:paraId="15084FDB" w14:textId="77777777" w:rsidR="00851F6D" w:rsidRPr="009E5961" w:rsidRDefault="00851F6D" w:rsidP="002627BA">
      <w:pPr>
        <w:pStyle w:val="Heading5"/>
      </w:pPr>
      <w:r w:rsidRPr="009E5961">
        <w:t xml:space="preserve">Detailed </w:t>
      </w:r>
      <w:r w:rsidR="0026609E">
        <w:t>Descriptor</w:t>
      </w:r>
    </w:p>
    <w:p w14:paraId="7AEC4B83" w14:textId="77777777" w:rsidR="00851F6D" w:rsidRPr="003F2ACF" w:rsidRDefault="00A51B92" w:rsidP="00ED59F5">
      <w:pPr>
        <w:pStyle w:val="ListNumber"/>
      </w:pPr>
      <w:r w:rsidRPr="00A51B92">
        <w:t>The percentage of emergency and urgent calls abandoned before the call was answered</w:t>
      </w:r>
      <w:r w:rsidR="00F43520" w:rsidRPr="00F43520">
        <w:t xml:space="preserve"> </w:t>
      </w:r>
      <w:r w:rsidR="00F43520" w:rsidRPr="00A51B92">
        <w:t xml:space="preserve">and rings for more than 5 seconds. This will ensure that abandonment </w:t>
      </w:r>
      <w:r w:rsidR="00F43520">
        <w:t xml:space="preserve">before </w:t>
      </w:r>
      <w:r w:rsidR="00F43520" w:rsidRPr="008429A5">
        <w:t>automatic call distribution</w:t>
      </w:r>
      <w:r w:rsidR="00F43520" w:rsidRPr="00A51B92">
        <w:t xml:space="preserve"> does not distort the reporting of patient experience</w:t>
      </w:r>
      <w:r w:rsidR="002D0D1B">
        <w:t>.</w:t>
      </w:r>
    </w:p>
    <w:p w14:paraId="5619E151" w14:textId="77777777" w:rsidR="00851F6D" w:rsidRPr="009E5961" w:rsidRDefault="00851F6D" w:rsidP="002627BA">
      <w:pPr>
        <w:pStyle w:val="Heading5"/>
      </w:pPr>
      <w:r w:rsidRPr="009E5961">
        <w:t xml:space="preserve">Data </w:t>
      </w:r>
      <w:r w:rsidR="0026609E">
        <w:t>Definition</w:t>
      </w:r>
    </w:p>
    <w:p w14:paraId="39E5BCAA" w14:textId="77777777" w:rsidR="00851F6D" w:rsidRPr="003F2ACF" w:rsidRDefault="00851F6D" w:rsidP="00ED59F5">
      <w:pPr>
        <w:pStyle w:val="ListNumber"/>
      </w:pPr>
      <w:bookmarkStart w:id="8" w:name="SQU03_1_1_1"/>
      <w:r w:rsidRPr="000F323B">
        <w:rPr>
          <w:b/>
        </w:rPr>
        <w:t>SQU03_1_1_1</w:t>
      </w:r>
      <w:bookmarkEnd w:id="8"/>
      <w:r w:rsidRPr="000F323B">
        <w:rPr>
          <w:b/>
        </w:rPr>
        <w:t xml:space="preserve">: </w:t>
      </w:r>
      <w:r w:rsidRPr="00111A9F">
        <w:t xml:space="preserve">Number of </w:t>
      </w:r>
      <w:r>
        <w:t xml:space="preserve">emergency </w:t>
      </w:r>
      <w:r w:rsidRPr="00111A9F">
        <w:t xml:space="preserve">calls abandoned before </w:t>
      </w:r>
      <w:r>
        <w:t>the call was</w:t>
      </w:r>
      <w:r w:rsidRPr="00111A9F">
        <w:t xml:space="preserve"> answered</w:t>
      </w:r>
      <w:r w:rsidR="00F43520" w:rsidRPr="00F43520">
        <w:t xml:space="preserve"> </w:t>
      </w:r>
      <w:r w:rsidR="00F43520">
        <w:t>and rings for more than 5 seconds</w:t>
      </w:r>
      <w:r w:rsidR="002D0D1B">
        <w:t>.</w:t>
      </w:r>
    </w:p>
    <w:p w14:paraId="3D83903D" w14:textId="77777777" w:rsidR="00851F6D" w:rsidRDefault="00851F6D" w:rsidP="00ED59F5">
      <w:pPr>
        <w:pStyle w:val="ListNumber"/>
      </w:pPr>
      <w:bookmarkStart w:id="9" w:name="SQU03_1_1_2"/>
      <w:r w:rsidRPr="000F323B">
        <w:rPr>
          <w:b/>
        </w:rPr>
        <w:t>SQU03_1_1_2</w:t>
      </w:r>
      <w:bookmarkEnd w:id="9"/>
      <w:r w:rsidRPr="000F323B">
        <w:rPr>
          <w:b/>
        </w:rPr>
        <w:t>:</w:t>
      </w:r>
      <w:r w:rsidRPr="003F2ACF">
        <w:t xml:space="preserve"> </w:t>
      </w:r>
      <w:r w:rsidRPr="009E5961">
        <w:t>Total number of</w:t>
      </w:r>
      <w:r w:rsidRPr="00763E04">
        <w:t xml:space="preserve"> </w:t>
      </w:r>
      <w:r>
        <w:t>emergency and urgent</w:t>
      </w:r>
      <w:r w:rsidR="004F0D07">
        <w:t xml:space="preserve"> calls </w:t>
      </w:r>
      <w:r w:rsidRPr="00763E04">
        <w:t>presented to switchboard</w:t>
      </w:r>
      <w:r w:rsidR="002D0D1B">
        <w:t>.</w:t>
      </w:r>
    </w:p>
    <w:p w14:paraId="7B413CC3" w14:textId="77777777" w:rsidR="00AA53F5" w:rsidRDefault="00851F6D" w:rsidP="00ED59F5">
      <w:pPr>
        <w:pStyle w:val="ListNumber"/>
        <w:rPr>
          <w:rFonts w:cs="Arial"/>
        </w:rPr>
      </w:pPr>
      <w:r w:rsidRPr="00763E04">
        <w:rPr>
          <w:rFonts w:cs="Arial"/>
        </w:rPr>
        <w:t>If there have been multiple calls to an incident, all calls should be recor</w:t>
      </w:r>
      <w:r w:rsidR="005A703E">
        <w:rPr>
          <w:rFonts w:cs="Arial"/>
        </w:rPr>
        <w:t>ded in this line</w:t>
      </w:r>
      <w:r w:rsidR="002D0D1B">
        <w:rPr>
          <w:rFonts w:cs="Arial"/>
        </w:rPr>
        <w:t>.</w:t>
      </w:r>
    </w:p>
    <w:p w14:paraId="10C5056C" w14:textId="77777777" w:rsidR="00851F6D" w:rsidRDefault="00851F6D" w:rsidP="00ED59F5">
      <w:pPr>
        <w:pStyle w:val="ListNumber"/>
        <w:rPr>
          <w:rFonts w:cs="Arial"/>
        </w:rPr>
      </w:pPr>
      <w:r>
        <w:rPr>
          <w:rFonts w:cs="Arial"/>
        </w:rPr>
        <w:t xml:space="preserve">From 01 April 2007, all “urgent” calls have been prioritised and </w:t>
      </w:r>
      <w:r w:rsidR="00E2715C">
        <w:rPr>
          <w:rFonts w:cs="Arial"/>
        </w:rPr>
        <w:t>categorised</w:t>
      </w:r>
      <w:r>
        <w:rPr>
          <w:rFonts w:cs="Arial"/>
        </w:rPr>
        <w:t xml:space="preserve"> in the same way as emergency calls. These “urgent” calls should be included in both the numerator and denominator for this indicator</w:t>
      </w:r>
      <w:r w:rsidR="002D0D1B">
        <w:rPr>
          <w:rFonts w:cs="Arial"/>
        </w:rPr>
        <w:t>.</w:t>
      </w:r>
    </w:p>
    <w:p w14:paraId="716DA805" w14:textId="77777777" w:rsidR="00851F6D" w:rsidRPr="00237095" w:rsidRDefault="00851F6D" w:rsidP="00ED59F5">
      <w:pPr>
        <w:pStyle w:val="ListNumber"/>
      </w:pPr>
      <w:r w:rsidRPr="00237095">
        <w:t xml:space="preserve">Calls that have been passed electronically from </w:t>
      </w:r>
      <w:r w:rsidR="00C01824">
        <w:t xml:space="preserve">NHS </w:t>
      </w:r>
      <w:r w:rsidRPr="00237095">
        <w:t>111 as requiring an ambulance response should not be included in this indicator</w:t>
      </w:r>
      <w:r w:rsidR="002D0D1B">
        <w:t>.</w:t>
      </w:r>
    </w:p>
    <w:p w14:paraId="16D3B2F7" w14:textId="77777777" w:rsidR="00851F6D" w:rsidRPr="00237095" w:rsidRDefault="00851F6D" w:rsidP="00ED59F5">
      <w:pPr>
        <w:pStyle w:val="ListNumber"/>
      </w:pPr>
      <w:r w:rsidRPr="00237095">
        <w:t xml:space="preserve">Calls that have been passed manually via telephone from </w:t>
      </w:r>
      <w:r w:rsidR="00C01824">
        <w:t xml:space="preserve">NHS </w:t>
      </w:r>
      <w:r w:rsidRPr="00237095">
        <w:t>111 as requiring an ambulance response should be included in this indicator</w:t>
      </w:r>
      <w:r w:rsidR="002D0D1B">
        <w:t>.</w:t>
      </w:r>
    </w:p>
    <w:p w14:paraId="52857DFA" w14:textId="77777777" w:rsidR="00851F6D" w:rsidRPr="009E5961" w:rsidRDefault="00851F6D" w:rsidP="002627BA">
      <w:pPr>
        <w:pStyle w:val="Heading5"/>
      </w:pPr>
      <w:r w:rsidRPr="009E5961">
        <w:t xml:space="preserve">Monitoring Data </w:t>
      </w:r>
      <w:r w:rsidR="0026609E">
        <w:t>Source</w:t>
      </w:r>
    </w:p>
    <w:p w14:paraId="663ECE43" w14:textId="77777777" w:rsidR="00851F6D" w:rsidRDefault="0065367C" w:rsidP="00ED59F5">
      <w:pPr>
        <w:pStyle w:val="ListNumber"/>
      </w:pPr>
      <w:r>
        <w:t>Ambulance telephony system.</w:t>
      </w:r>
    </w:p>
    <w:p w14:paraId="127BD681" w14:textId="77777777" w:rsidR="00851F6D" w:rsidRPr="009E5961" w:rsidRDefault="00851F6D" w:rsidP="002627BA">
      <w:pPr>
        <w:pStyle w:val="Heading3"/>
      </w:pPr>
      <w:r w:rsidRPr="009E5961">
        <w:t>SQU03_02:</w:t>
      </w:r>
      <w:r w:rsidR="00A31774">
        <w:t xml:space="preserve"> </w:t>
      </w:r>
      <w:r w:rsidRPr="009E5961">
        <w:t>Re-Contact Rate Following Discharge of C</w:t>
      </w:r>
      <w:r w:rsidR="00E658A1">
        <w:t>a</w:t>
      </w:r>
      <w:r w:rsidRPr="009E5961">
        <w:t>re</w:t>
      </w:r>
    </w:p>
    <w:p w14:paraId="33E0D780" w14:textId="77777777" w:rsidR="00851F6D" w:rsidRPr="000055E0" w:rsidRDefault="00851F6D" w:rsidP="002627BA">
      <w:pPr>
        <w:pStyle w:val="Heading5"/>
      </w:pPr>
      <w:r w:rsidRPr="000055E0">
        <w:t xml:space="preserve">Detailed </w:t>
      </w:r>
      <w:r w:rsidR="0026609E">
        <w:t>Descriptor</w:t>
      </w:r>
    </w:p>
    <w:p w14:paraId="53B80BA9" w14:textId="380C484A" w:rsidR="00851F6D" w:rsidRPr="003F2ACF" w:rsidRDefault="00851F6D" w:rsidP="00ED59F5">
      <w:pPr>
        <w:pStyle w:val="ListNumber"/>
      </w:pPr>
      <w:r w:rsidRPr="003F2ACF">
        <w:t>Unplanned re-contact with the ambulance service within 24 hours of discharge of care (discharge by clinical telephone advice, or fo</w:t>
      </w:r>
      <w:r w:rsidR="000D0A75">
        <w:t>llowing treatment at the scene).</w:t>
      </w:r>
    </w:p>
    <w:p w14:paraId="56A43B25" w14:textId="77777777" w:rsidR="009E6984" w:rsidRPr="00DE3224" w:rsidRDefault="009E6984" w:rsidP="002627BA">
      <w:pPr>
        <w:pStyle w:val="Heading5"/>
      </w:pPr>
      <w:r w:rsidRPr="00DE3224">
        <w:t xml:space="preserve">Data </w:t>
      </w:r>
      <w:r w:rsidR="0026609E">
        <w:t>Definition</w:t>
      </w:r>
    </w:p>
    <w:p w14:paraId="757DD1BB" w14:textId="77777777" w:rsidR="00851F6D" w:rsidRPr="003F2ACF" w:rsidRDefault="003A7DE5" w:rsidP="002627BA">
      <w:pPr>
        <w:pStyle w:val="Heading4"/>
      </w:pPr>
      <w:r>
        <w:t>SQU03_2a</w:t>
      </w:r>
      <w:r w:rsidR="005A703E">
        <w:t>:</w:t>
      </w:r>
      <w:r w:rsidR="00851F6D" w:rsidRPr="003F2ACF">
        <w:t xml:space="preserve"> Re-contact rate following discharge of care by telephone</w:t>
      </w:r>
    </w:p>
    <w:p w14:paraId="76E3E439" w14:textId="77777777" w:rsidR="00851F6D" w:rsidRDefault="00851F6D" w:rsidP="00ED59F5">
      <w:pPr>
        <w:pStyle w:val="ListNumber"/>
      </w:pPr>
      <w:bookmarkStart w:id="10" w:name="SQU03_2_1_1"/>
      <w:r w:rsidRPr="00E103E6">
        <w:rPr>
          <w:b/>
        </w:rPr>
        <w:t>SQU03_2_1_1</w:t>
      </w:r>
      <w:bookmarkEnd w:id="10"/>
      <w:r w:rsidRPr="000141B8">
        <w:t xml:space="preserve">: </w:t>
      </w:r>
      <w:r w:rsidR="000141B8" w:rsidRPr="000141B8">
        <w:t>Emergency calls closed with telephone advice where re-contact occurs with</w:t>
      </w:r>
      <w:r w:rsidR="002C6FC8">
        <w:t>in 24 hours:</w:t>
      </w:r>
      <w:r w:rsidR="000141B8" w:rsidRPr="000141B8">
        <w:t xml:space="preserve"> Emergency calls closed with telephone advice where re-contact with the ambulance service via 999 occurs from the same location and patient gender within 24 hours of time of discharge of the initial call.</w:t>
      </w:r>
    </w:p>
    <w:p w14:paraId="1FB75120" w14:textId="5C55AF35" w:rsidR="00851F6D" w:rsidRPr="003F2ACF" w:rsidRDefault="00851F6D" w:rsidP="00ED59F5">
      <w:pPr>
        <w:pStyle w:val="ListNumber"/>
      </w:pPr>
      <w:bookmarkStart w:id="11" w:name="SQU03_2_1_2"/>
      <w:r w:rsidRPr="0024178F">
        <w:rPr>
          <w:b/>
        </w:rPr>
        <w:t>SQU03_2_1_2</w:t>
      </w:r>
      <w:bookmarkEnd w:id="11"/>
      <w:r w:rsidRPr="0024178F">
        <w:rPr>
          <w:b/>
        </w:rPr>
        <w:t>:</w:t>
      </w:r>
      <w:r w:rsidRPr="003F2ACF">
        <w:t xml:space="preserve"> </w:t>
      </w:r>
      <w:r w:rsidRPr="003507E4">
        <w:t>Emergency calls closed with telephone advic</w:t>
      </w:r>
      <w:r w:rsidR="003507E4">
        <w:t>e:</w:t>
      </w:r>
      <w:r w:rsidR="00E94657" w:rsidRPr="003507E4">
        <w:t xml:space="preserve"> </w:t>
      </w:r>
      <w:r w:rsidRPr="003507E4">
        <w:t>Number</w:t>
      </w:r>
      <w:r w:rsidRPr="003F2ACF">
        <w:t xml:space="preserve"> of successfully completed </w:t>
      </w:r>
      <w:r>
        <w:t xml:space="preserve">emergency </w:t>
      </w:r>
      <w:r w:rsidRPr="003F2ACF">
        <w:t>calls that have been resolved (</w:t>
      </w:r>
      <w:r w:rsidR="0048603A">
        <w:t xml:space="preserve">that is, </w:t>
      </w:r>
      <w:r w:rsidRPr="003F2ACF">
        <w:t>where advice has been given with any appropriate action agreed with the patient), with no resource arrived at the scene of the incident, by</w:t>
      </w:r>
      <w:r w:rsidR="008F1414">
        <w:t>:</w:t>
      </w:r>
    </w:p>
    <w:p w14:paraId="744C389D" w14:textId="77777777" w:rsidR="00D7358A" w:rsidRDefault="00851F6D" w:rsidP="009008F7">
      <w:pPr>
        <w:pStyle w:val="Heading3"/>
        <w:numPr>
          <w:ilvl w:val="0"/>
          <w:numId w:val="18"/>
        </w:numPr>
        <w:rPr>
          <w:b w:val="0"/>
        </w:rPr>
      </w:pPr>
      <w:proofErr w:type="gramStart"/>
      <w:r w:rsidRPr="00D7358A">
        <w:rPr>
          <w:b w:val="0"/>
        </w:rPr>
        <w:t>a</w:t>
      </w:r>
      <w:proofErr w:type="gramEnd"/>
      <w:r w:rsidRPr="00D7358A">
        <w:rPr>
          <w:b w:val="0"/>
        </w:rPr>
        <w:t xml:space="preserve"> designated</w:t>
      </w:r>
      <w:r w:rsidR="00FD1943" w:rsidRPr="00D7358A">
        <w:rPr>
          <w:b w:val="0"/>
        </w:rPr>
        <w:t xml:space="preserve"> HCP</w:t>
      </w:r>
      <w:r w:rsidRPr="00D7358A">
        <w:rPr>
          <w:b w:val="0"/>
        </w:rPr>
        <w:t xml:space="preserve"> accountable to the Trust providing telephone advice only, or;</w:t>
      </w:r>
    </w:p>
    <w:p w14:paraId="381DDACE" w14:textId="2B24D906" w:rsidR="00851F6D" w:rsidRPr="00D7358A" w:rsidRDefault="00851F6D" w:rsidP="009008F7">
      <w:pPr>
        <w:pStyle w:val="Heading3"/>
        <w:numPr>
          <w:ilvl w:val="0"/>
          <w:numId w:val="18"/>
        </w:numPr>
        <w:rPr>
          <w:b w:val="0"/>
        </w:rPr>
      </w:pPr>
      <w:proofErr w:type="gramStart"/>
      <w:r w:rsidRPr="00D7358A">
        <w:rPr>
          <w:b w:val="0"/>
        </w:rPr>
        <w:t>calls</w:t>
      </w:r>
      <w:proofErr w:type="gramEnd"/>
      <w:r w:rsidRPr="00D7358A">
        <w:rPr>
          <w:b w:val="0"/>
        </w:rPr>
        <w:t xml:space="preserve"> dealt with by a</w:t>
      </w:r>
      <w:r w:rsidR="00FD1943" w:rsidRPr="00D7358A">
        <w:rPr>
          <w:b w:val="0"/>
        </w:rPr>
        <w:t>n HCP</w:t>
      </w:r>
      <w:r w:rsidRPr="00D7358A">
        <w:rPr>
          <w:b w:val="0"/>
        </w:rPr>
        <w:t xml:space="preserve"> accountable to the Trust, or;</w:t>
      </w:r>
    </w:p>
    <w:p w14:paraId="6C5FE2BB" w14:textId="77777777" w:rsidR="00851F6D" w:rsidRPr="00D7358A" w:rsidRDefault="00851F6D" w:rsidP="00D7358A">
      <w:pPr>
        <w:pStyle w:val="Heading3"/>
        <w:numPr>
          <w:ilvl w:val="0"/>
          <w:numId w:val="18"/>
        </w:numPr>
        <w:rPr>
          <w:b w:val="0"/>
        </w:rPr>
      </w:pPr>
      <w:proofErr w:type="gramStart"/>
      <w:r w:rsidRPr="00D7358A">
        <w:rPr>
          <w:b w:val="0"/>
        </w:rPr>
        <w:t>call</w:t>
      </w:r>
      <w:proofErr w:type="gramEnd"/>
      <w:r w:rsidRPr="00D7358A">
        <w:rPr>
          <w:b w:val="0"/>
        </w:rPr>
        <w:t xml:space="preserve"> dealt with through decisions supported by clinical decision support software, or;</w:t>
      </w:r>
    </w:p>
    <w:p w14:paraId="358A0E3B" w14:textId="77777777" w:rsidR="00851F6D" w:rsidRPr="00D7358A" w:rsidRDefault="00851F6D" w:rsidP="00D7358A">
      <w:pPr>
        <w:pStyle w:val="Heading3"/>
        <w:numPr>
          <w:ilvl w:val="0"/>
          <w:numId w:val="18"/>
        </w:numPr>
        <w:rPr>
          <w:b w:val="0"/>
        </w:rPr>
      </w:pPr>
      <w:proofErr w:type="gramStart"/>
      <w:r w:rsidRPr="00D7358A">
        <w:rPr>
          <w:b w:val="0"/>
        </w:rPr>
        <w:t>calls</w:t>
      </w:r>
      <w:proofErr w:type="gramEnd"/>
      <w:r w:rsidRPr="00D7358A">
        <w:rPr>
          <w:b w:val="0"/>
        </w:rPr>
        <w:t xml:space="preserve"> passed to another organisation working with the Trust through an agreed contract or Service Level Agreement</w:t>
      </w:r>
      <w:r w:rsidR="000141B8" w:rsidRPr="00D7358A">
        <w:rPr>
          <w:b w:val="0"/>
        </w:rPr>
        <w:t>, or Directory of Services</w:t>
      </w:r>
      <w:r w:rsidR="002D0D1B" w:rsidRPr="00D7358A">
        <w:rPr>
          <w:b w:val="0"/>
        </w:rPr>
        <w:t>.</w:t>
      </w:r>
    </w:p>
    <w:p w14:paraId="0C50AF4D" w14:textId="77777777" w:rsidR="00851F6D" w:rsidRPr="002A279F" w:rsidRDefault="00851F6D" w:rsidP="00ED59F5">
      <w:pPr>
        <w:pStyle w:val="ListNumber"/>
      </w:pPr>
      <w:r w:rsidRPr="002A279F">
        <w:t xml:space="preserve">Only count </w:t>
      </w:r>
      <w:r w:rsidR="0048603A">
        <w:t>one</w:t>
      </w:r>
      <w:r w:rsidRPr="002A279F">
        <w:t xml:space="preserve"> re-contact per 24 hours.</w:t>
      </w:r>
      <w:r w:rsidR="00E94657">
        <w:t xml:space="preserve"> </w:t>
      </w:r>
      <w:r w:rsidRPr="002A279F">
        <w:t>This indicator should capture the number of individual patients (identified by same location and patient gender) who re-contact 999 within 24 hours of their initial call</w:t>
      </w:r>
      <w:r w:rsidR="002D0D1B">
        <w:t>.</w:t>
      </w:r>
    </w:p>
    <w:p w14:paraId="0E61C37D" w14:textId="77777777" w:rsidR="00851F6D" w:rsidRPr="002A279F" w:rsidRDefault="00851F6D" w:rsidP="00ED59F5">
      <w:pPr>
        <w:pStyle w:val="ListNumber"/>
      </w:pPr>
      <w:r w:rsidRPr="002A279F">
        <w:t>All locations should be captured within this indicator. There should be no exclusions for non-residential addresses or events.</w:t>
      </w:r>
    </w:p>
    <w:p w14:paraId="579553D2" w14:textId="77777777" w:rsidR="00851F6D" w:rsidRPr="002A279F" w:rsidRDefault="00851F6D" w:rsidP="00ED59F5">
      <w:pPr>
        <w:pStyle w:val="ListNumber"/>
      </w:pPr>
      <w:r w:rsidRPr="002A279F">
        <w:t>If the patient’s gender is unknown on the re-contact, it should be included, to ensure no patients are missed.</w:t>
      </w:r>
    </w:p>
    <w:p w14:paraId="16BD8F16" w14:textId="77777777" w:rsidR="00851F6D" w:rsidRPr="002A279F" w:rsidRDefault="00851F6D" w:rsidP="00ED59F5">
      <w:pPr>
        <w:pStyle w:val="ListNumber"/>
      </w:pPr>
      <w:r w:rsidRPr="002A279F">
        <w:t>The second call from the patient (the re-contact) cannot count as the primary contact for a further call</w:t>
      </w:r>
      <w:r w:rsidR="002D0D1B">
        <w:t>.</w:t>
      </w:r>
    </w:p>
    <w:p w14:paraId="0126F2C6" w14:textId="77777777"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4E3C36BF" w14:textId="77777777"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14:paraId="770D2CA7" w14:textId="77777777" w:rsidR="0066120E" w:rsidRPr="002A279F" w:rsidRDefault="0066120E" w:rsidP="002627BA">
      <w:pPr>
        <w:pStyle w:val="Heading5"/>
      </w:pPr>
      <w:r>
        <w:t>Exclusions</w:t>
      </w:r>
      <w:r w:rsidR="003507E4">
        <w:t xml:space="preserve"> for SQU03_2a</w:t>
      </w:r>
    </w:p>
    <w:p w14:paraId="4F770438" w14:textId="77777777" w:rsidR="00851F6D" w:rsidRPr="002A279F" w:rsidRDefault="00851F6D" w:rsidP="00ED59F5">
      <w:pPr>
        <w:pStyle w:val="ListNumber"/>
      </w:pPr>
      <w:r w:rsidRPr="002A279F">
        <w:t xml:space="preserve">This indicator measures patients re-contacting 999 within 24 hours of original emergency call; the following calls should be excluded from the numerator: </w:t>
      </w:r>
    </w:p>
    <w:p w14:paraId="23E9B46F" w14:textId="77777777" w:rsidR="00851F6D" w:rsidRPr="00D7358A" w:rsidRDefault="00851F6D" w:rsidP="00D7358A">
      <w:pPr>
        <w:pStyle w:val="Heading3"/>
        <w:numPr>
          <w:ilvl w:val="0"/>
          <w:numId w:val="19"/>
        </w:numPr>
        <w:rPr>
          <w:b w:val="0"/>
        </w:rPr>
      </w:pPr>
      <w:r w:rsidRPr="00D7358A">
        <w:rPr>
          <w:b w:val="0"/>
        </w:rPr>
        <w:t>Re-contact for different patient</w:t>
      </w:r>
    </w:p>
    <w:p w14:paraId="57BBC2DD" w14:textId="77777777" w:rsidR="00851F6D" w:rsidRPr="00D7358A" w:rsidRDefault="00851F6D" w:rsidP="00D7358A">
      <w:pPr>
        <w:pStyle w:val="Heading3"/>
        <w:numPr>
          <w:ilvl w:val="0"/>
          <w:numId w:val="19"/>
        </w:numPr>
        <w:rPr>
          <w:b w:val="0"/>
        </w:rPr>
      </w:pPr>
      <w:r w:rsidRPr="00D7358A">
        <w:rPr>
          <w:b w:val="0"/>
        </w:rPr>
        <w:t>Patients transported after first attendance on scene</w:t>
      </w:r>
    </w:p>
    <w:p w14:paraId="592F8F7F" w14:textId="77777777"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14:paraId="10A0D49B" w14:textId="77777777" w:rsidR="00851F6D" w:rsidRPr="00D7358A" w:rsidRDefault="00851F6D" w:rsidP="00D7358A">
      <w:pPr>
        <w:pStyle w:val="Heading3"/>
        <w:numPr>
          <w:ilvl w:val="0"/>
          <w:numId w:val="20"/>
        </w:numPr>
        <w:rPr>
          <w:b w:val="0"/>
        </w:rPr>
      </w:pPr>
      <w:proofErr w:type="gramStart"/>
      <w:r w:rsidRPr="00D7358A">
        <w:rPr>
          <w:b w:val="0"/>
        </w:rPr>
        <w:t>patients</w:t>
      </w:r>
      <w:proofErr w:type="gramEnd"/>
      <w:r w:rsidRPr="00D7358A">
        <w:rPr>
          <w:b w:val="0"/>
        </w:rPr>
        <w:t xml:space="preserve"> calling from public places;</w:t>
      </w:r>
    </w:p>
    <w:p w14:paraId="0508ED25" w14:textId="77777777" w:rsidR="00851F6D" w:rsidRPr="00D7358A" w:rsidRDefault="00851F6D" w:rsidP="00D7358A">
      <w:pPr>
        <w:pStyle w:val="Heading3"/>
        <w:numPr>
          <w:ilvl w:val="0"/>
          <w:numId w:val="20"/>
        </w:numPr>
        <w:rPr>
          <w:b w:val="0"/>
        </w:rPr>
      </w:pPr>
      <w:proofErr w:type="gramStart"/>
      <w:r w:rsidRPr="00D7358A">
        <w:rPr>
          <w:b w:val="0"/>
        </w:rPr>
        <w:t>patients</w:t>
      </w:r>
      <w:proofErr w:type="gramEnd"/>
      <w:r w:rsidRPr="00D7358A">
        <w:rPr>
          <w:b w:val="0"/>
        </w:rPr>
        <w:t xml:space="preserve"> calling from locations not in t</w:t>
      </w:r>
      <w:r w:rsidR="0048603A" w:rsidRPr="00D7358A">
        <w:rPr>
          <w:b w:val="0"/>
        </w:rPr>
        <w:t>heir own home for first contact.</w:t>
      </w:r>
    </w:p>
    <w:p w14:paraId="427E45B6" w14:textId="77777777" w:rsidR="00851F6D" w:rsidRPr="003F2ACF" w:rsidRDefault="003A7DE5" w:rsidP="002627BA">
      <w:pPr>
        <w:pStyle w:val="Heading4"/>
      </w:pPr>
      <w:r>
        <w:t>SQU03_2b</w:t>
      </w:r>
      <w:r w:rsidR="005A703E">
        <w:t>:</w:t>
      </w:r>
      <w:r w:rsidR="0066120E" w:rsidRPr="003F2ACF">
        <w:t xml:space="preserve"> </w:t>
      </w:r>
      <w:r w:rsidR="00851F6D" w:rsidRPr="003F2ACF">
        <w:t xml:space="preserve">Re-contact, following discharge of care from treatment at the scene </w:t>
      </w:r>
    </w:p>
    <w:p w14:paraId="01452379" w14:textId="77777777" w:rsidR="001032E7" w:rsidRPr="008901AC" w:rsidRDefault="00851F6D" w:rsidP="00ED59F5">
      <w:pPr>
        <w:pStyle w:val="ListNumber"/>
        <w:rPr>
          <w:szCs w:val="22"/>
        </w:rPr>
      </w:pPr>
      <w:bookmarkStart w:id="12" w:name="SQU03_2_2_1"/>
      <w:r w:rsidRPr="00C253C9">
        <w:rPr>
          <w:b/>
        </w:rPr>
        <w:t>SQU03_2_2_1</w:t>
      </w:r>
      <w:bookmarkEnd w:id="12"/>
      <w:r w:rsidRPr="00C253C9">
        <w:rPr>
          <w:b/>
        </w:rPr>
        <w:t>:</w:t>
      </w:r>
      <w:r w:rsidRPr="003F2ACF">
        <w:t xml:space="preserve"> </w:t>
      </w:r>
      <w:r w:rsidRPr="001452D1">
        <w:t>Patients treated and discharged on scene where re-contact occurs within 24 hours</w:t>
      </w:r>
      <w:r w:rsidR="001452D1">
        <w:t>:</w:t>
      </w:r>
      <w:r w:rsidRPr="001452D1">
        <w:t xml:space="preserve"> </w:t>
      </w:r>
      <w:r w:rsidR="001032E7" w:rsidRPr="001452D1">
        <w:t>Patients treated and discharged on scene where re-contact with the ambulance service</w:t>
      </w:r>
      <w:r w:rsidR="001032E7" w:rsidRPr="001032E7">
        <w:t xml:space="preserve"> via 999 occurs from the same location and patient gender within 24 hours of time of their initial call.</w:t>
      </w:r>
    </w:p>
    <w:p w14:paraId="546E8FF4" w14:textId="77777777" w:rsidR="00851F6D" w:rsidRPr="003F2ACF" w:rsidRDefault="00851F6D" w:rsidP="00ED59F5">
      <w:pPr>
        <w:pStyle w:val="ListNumber"/>
      </w:pPr>
      <w:bookmarkStart w:id="13" w:name="SQU03_2_2_2"/>
      <w:r w:rsidRPr="00C253C9">
        <w:rPr>
          <w:b/>
        </w:rPr>
        <w:t>SQU03_2_2_2</w:t>
      </w:r>
      <w:bookmarkEnd w:id="13"/>
      <w:r w:rsidRPr="00C253C9">
        <w:rPr>
          <w:b/>
        </w:rPr>
        <w:t>:</w:t>
      </w:r>
      <w:r w:rsidRPr="003F2ACF">
        <w:t xml:space="preserve"> </w:t>
      </w:r>
      <w:r w:rsidRPr="00F43520">
        <w:t>Patients treated and discharged on scene</w:t>
      </w:r>
      <w:r w:rsidR="002C6FC8">
        <w:t>:</w:t>
      </w:r>
      <w:r w:rsidRPr="003F2ACF">
        <w:t xml:space="preserve"> Number of patients treated at the scene only</w:t>
      </w:r>
      <w:r w:rsidR="002D0D1B">
        <w:t>.</w:t>
      </w:r>
    </w:p>
    <w:p w14:paraId="309569EC" w14:textId="77777777" w:rsidR="00851F6D" w:rsidRPr="002A279F" w:rsidRDefault="00851F6D" w:rsidP="00ED59F5">
      <w:pPr>
        <w:pStyle w:val="ListNumber"/>
      </w:pPr>
      <w:r w:rsidRPr="002A279F">
        <w:t xml:space="preserve">Only count </w:t>
      </w:r>
      <w:r w:rsidR="001452D1">
        <w:t>one</w:t>
      </w:r>
      <w:r w:rsidRPr="002A279F">
        <w:t xml:space="preserve"> re-contact per 24 hours.</w:t>
      </w:r>
      <w:r w:rsidR="00E94657">
        <w:t xml:space="preserve"> </w:t>
      </w:r>
      <w:r w:rsidRPr="002A279F">
        <w:t>This indicator should capture the number of individual patients (identified by same location and patient gender)</w:t>
      </w:r>
      <w:r w:rsidR="00E94657">
        <w:t xml:space="preserve"> </w:t>
      </w:r>
      <w:r w:rsidRPr="002A279F">
        <w:t>who re-contact 999 within 24 hours of their initial call</w:t>
      </w:r>
      <w:r w:rsidR="002D0D1B">
        <w:t>.</w:t>
      </w:r>
    </w:p>
    <w:p w14:paraId="6F0D3F59" w14:textId="77777777" w:rsidR="00851F6D" w:rsidRPr="002A279F" w:rsidRDefault="00851F6D" w:rsidP="00ED59F5">
      <w:pPr>
        <w:pStyle w:val="ListNumber"/>
      </w:pPr>
      <w:r w:rsidRPr="002A279F">
        <w:t>All addresses should be captured within this indicator. There should be no exclusions for non-residential addresses or events.</w:t>
      </w:r>
    </w:p>
    <w:p w14:paraId="6A443782" w14:textId="77777777" w:rsidR="00851F6D" w:rsidRPr="002A279F" w:rsidRDefault="00851F6D" w:rsidP="00ED59F5">
      <w:pPr>
        <w:pStyle w:val="ListNumber"/>
      </w:pPr>
      <w:r w:rsidRPr="002A279F">
        <w:t>If the patient’s gender is unknown on the re-contact, it should be included, to ensure no patients are missed.</w:t>
      </w:r>
    </w:p>
    <w:p w14:paraId="6DFF6347" w14:textId="77777777" w:rsidR="00D7358A" w:rsidRDefault="00851F6D" w:rsidP="00D7358A">
      <w:pPr>
        <w:pStyle w:val="ListNumber"/>
      </w:pPr>
      <w:r w:rsidRPr="002A279F">
        <w:t>The second call from the patient (the re-contact) cannot count as the primary contact for a further call</w:t>
      </w:r>
      <w:r w:rsidR="002D0D1B">
        <w:t>.</w:t>
      </w:r>
    </w:p>
    <w:p w14:paraId="1CA9B365" w14:textId="7990821E" w:rsidR="00851F6D" w:rsidRPr="00237095" w:rsidRDefault="00851F6D" w:rsidP="00D7358A">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3553EDCD" w14:textId="77777777"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14:paraId="6FD6AF94" w14:textId="77777777" w:rsidR="00851F6D" w:rsidRPr="002A279F" w:rsidRDefault="00851F6D" w:rsidP="002627BA">
      <w:pPr>
        <w:pStyle w:val="Heading5"/>
      </w:pPr>
      <w:r w:rsidRPr="002A279F">
        <w:t>Exclusions</w:t>
      </w:r>
      <w:r w:rsidR="003507E4" w:rsidRPr="003507E4">
        <w:t xml:space="preserve"> </w:t>
      </w:r>
      <w:r w:rsidR="003507E4">
        <w:t>for SQU03_2b</w:t>
      </w:r>
    </w:p>
    <w:p w14:paraId="1A1AC65E" w14:textId="77777777" w:rsidR="00851F6D" w:rsidRPr="002A279F" w:rsidRDefault="00851F6D" w:rsidP="00ED59F5">
      <w:pPr>
        <w:pStyle w:val="ListNumber"/>
      </w:pPr>
      <w:r w:rsidRPr="002A279F">
        <w:t>This indicator measures patients re-contacting 999 within 24 hours of original</w:t>
      </w:r>
      <w:r w:rsidR="00E94657">
        <w:t xml:space="preserve"> </w:t>
      </w:r>
      <w:r w:rsidRPr="002A279F">
        <w:t xml:space="preserve">emergency call; the following calls should be excluded from the numerator: </w:t>
      </w:r>
    </w:p>
    <w:p w14:paraId="1038B288" w14:textId="77777777" w:rsidR="00851F6D" w:rsidRPr="00D7358A" w:rsidRDefault="00851F6D" w:rsidP="00D7358A">
      <w:pPr>
        <w:pStyle w:val="Heading3"/>
        <w:numPr>
          <w:ilvl w:val="0"/>
          <w:numId w:val="21"/>
        </w:numPr>
        <w:rPr>
          <w:b w:val="0"/>
        </w:rPr>
      </w:pPr>
      <w:r w:rsidRPr="00D7358A">
        <w:rPr>
          <w:b w:val="0"/>
        </w:rPr>
        <w:t>Re-contact for different patient</w:t>
      </w:r>
    </w:p>
    <w:p w14:paraId="6A25CF97" w14:textId="77777777" w:rsidR="00851F6D" w:rsidRPr="00D7358A" w:rsidRDefault="00851F6D" w:rsidP="00D7358A">
      <w:pPr>
        <w:pStyle w:val="Heading3"/>
        <w:numPr>
          <w:ilvl w:val="0"/>
          <w:numId w:val="21"/>
        </w:numPr>
        <w:rPr>
          <w:b w:val="0"/>
        </w:rPr>
      </w:pPr>
      <w:r w:rsidRPr="00D7358A">
        <w:rPr>
          <w:b w:val="0"/>
        </w:rPr>
        <w:t>Patients transported after first contact</w:t>
      </w:r>
    </w:p>
    <w:p w14:paraId="4799B8EF" w14:textId="77777777"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14:paraId="6F5883EF" w14:textId="77777777" w:rsidR="00851F6D" w:rsidRPr="00D7358A" w:rsidRDefault="00851F6D" w:rsidP="00D7358A">
      <w:pPr>
        <w:pStyle w:val="Heading3"/>
        <w:numPr>
          <w:ilvl w:val="0"/>
          <w:numId w:val="22"/>
        </w:numPr>
        <w:rPr>
          <w:b w:val="0"/>
        </w:rPr>
      </w:pPr>
      <w:proofErr w:type="gramStart"/>
      <w:r w:rsidRPr="00D7358A">
        <w:rPr>
          <w:b w:val="0"/>
        </w:rPr>
        <w:t>patients</w:t>
      </w:r>
      <w:proofErr w:type="gramEnd"/>
      <w:r w:rsidRPr="00D7358A">
        <w:rPr>
          <w:b w:val="0"/>
        </w:rPr>
        <w:t xml:space="preserve"> calling from public places;</w:t>
      </w:r>
    </w:p>
    <w:p w14:paraId="31CA633B" w14:textId="77777777" w:rsidR="00851F6D" w:rsidRPr="00D7358A" w:rsidRDefault="00851F6D" w:rsidP="00D7358A">
      <w:pPr>
        <w:pStyle w:val="Heading3"/>
        <w:numPr>
          <w:ilvl w:val="0"/>
          <w:numId w:val="22"/>
        </w:numPr>
        <w:rPr>
          <w:rFonts w:cs="Arial"/>
          <w:b w:val="0"/>
        </w:rPr>
      </w:pPr>
      <w:proofErr w:type="gramStart"/>
      <w:r w:rsidRPr="00D7358A">
        <w:rPr>
          <w:b w:val="0"/>
        </w:rPr>
        <w:t>patients</w:t>
      </w:r>
      <w:proofErr w:type="gramEnd"/>
      <w:r w:rsidRPr="00D7358A">
        <w:rPr>
          <w:b w:val="0"/>
        </w:rPr>
        <w:t xml:space="preserve"> calling from locations not in t</w:t>
      </w:r>
      <w:r w:rsidR="0048603A" w:rsidRPr="00D7358A">
        <w:rPr>
          <w:b w:val="0"/>
        </w:rPr>
        <w:t>heir own home for first contact.</w:t>
      </w:r>
    </w:p>
    <w:p w14:paraId="3C4DAE91" w14:textId="77777777" w:rsidR="00851F6D" w:rsidRPr="003F2ACF" w:rsidRDefault="003A7DE5" w:rsidP="002627BA">
      <w:pPr>
        <w:pStyle w:val="Heading4"/>
      </w:pPr>
      <w:r>
        <w:t>SQU03_2c</w:t>
      </w:r>
      <w:r w:rsidR="005A703E">
        <w:t>:</w:t>
      </w:r>
      <w:r w:rsidR="0066120E" w:rsidRPr="003F2ACF">
        <w:t xml:space="preserve"> </w:t>
      </w:r>
      <w:r w:rsidR="00851F6D" w:rsidRPr="003F2ACF">
        <w:t xml:space="preserve">Proportion of </w:t>
      </w:r>
      <w:r w:rsidR="00851F6D">
        <w:t xml:space="preserve">emergency </w:t>
      </w:r>
      <w:r w:rsidR="00851F6D" w:rsidRPr="003F2ACF">
        <w:t>calls from patients for whom a locally agreed frequent caller procedure is in place</w:t>
      </w:r>
    </w:p>
    <w:p w14:paraId="0B2ECC3E" w14:textId="77777777" w:rsidR="00CA7D10" w:rsidRDefault="00851F6D" w:rsidP="00ED59F5">
      <w:pPr>
        <w:pStyle w:val="ListNumber"/>
      </w:pPr>
      <w:bookmarkStart w:id="14" w:name="SQU03_2_3_1"/>
      <w:r w:rsidRPr="00C253C9">
        <w:rPr>
          <w:b/>
        </w:rPr>
        <w:t>SQU03_2_3_1</w:t>
      </w:r>
      <w:bookmarkEnd w:id="14"/>
      <w:r w:rsidRPr="00C253C9">
        <w:rPr>
          <w:b/>
        </w:rPr>
        <w:t>:</w:t>
      </w:r>
      <w:r w:rsidRPr="003F2ACF">
        <w:t xml:space="preserve"> </w:t>
      </w:r>
      <w:r w:rsidRPr="001452D1">
        <w:t>Emergency calls from patients for whom a locally agreed freque</w:t>
      </w:r>
      <w:r w:rsidR="001452D1">
        <w:t>nt caller procedure is in place</w:t>
      </w:r>
      <w:r w:rsidR="002C6FC8">
        <w:t>.</w:t>
      </w:r>
    </w:p>
    <w:p w14:paraId="1D5E18A7" w14:textId="77777777" w:rsidR="00851F6D" w:rsidRPr="003F2ACF" w:rsidRDefault="00851F6D" w:rsidP="00ED59F5">
      <w:pPr>
        <w:pStyle w:val="ListNumber"/>
      </w:pPr>
      <w:r>
        <w:t>Emergency c</w:t>
      </w:r>
      <w:r w:rsidRPr="003F2ACF">
        <w:t>alls from patients for whom a frequent caller procedure is in place should be reported, and the narrative explanation of performance for this component of the indicator should refer to what actions the trust is taking to manage and provide an appropriate clinical service to these frequent callers.</w:t>
      </w:r>
    </w:p>
    <w:p w14:paraId="3DE48600" w14:textId="77777777" w:rsidR="00851F6D" w:rsidRDefault="00851F6D" w:rsidP="00ED59F5">
      <w:pPr>
        <w:pStyle w:val="ListNumber"/>
      </w:pPr>
      <w:r>
        <w:t>Frequent caller procedures should be locally determined; these procedures should relate to individual patients</w:t>
      </w:r>
      <w:r w:rsidR="001452D1">
        <w:t>,</w:t>
      </w:r>
      <w:r>
        <w:t xml:space="preserve"> and be agreed with that individual and the main care provider (</w:t>
      </w:r>
      <w:r w:rsidR="0048603A">
        <w:t xml:space="preserve">for example, </w:t>
      </w:r>
      <w:r>
        <w:t>GP, Mental Health Service)</w:t>
      </w:r>
      <w:r w:rsidR="002D0D1B">
        <w:t>.</w:t>
      </w:r>
    </w:p>
    <w:p w14:paraId="02F584D9" w14:textId="77777777" w:rsidR="00CA7D10" w:rsidRDefault="00CA7D10" w:rsidP="00ED59F5">
      <w:pPr>
        <w:pStyle w:val="ListNumber"/>
      </w:pPr>
      <w:r w:rsidRPr="001452D1">
        <w:t xml:space="preserve">A frequent caller is defined as someone aged 18 or over who makes </w:t>
      </w:r>
      <w:r>
        <w:t>five</w:t>
      </w:r>
      <w:r w:rsidRPr="001452D1">
        <w:t xml:space="preserve"> or more emergency calls related to individual episodes of care in </w:t>
      </w:r>
      <w:r>
        <w:t xml:space="preserve">one </w:t>
      </w:r>
      <w:r w:rsidRPr="001452D1">
        <w:t xml:space="preserve">month, or 12 or more emergency calls related to individual episodes of care in </w:t>
      </w:r>
      <w:r>
        <w:t xml:space="preserve">three </w:t>
      </w:r>
      <w:r w:rsidRPr="001452D1">
        <w:t>months.</w:t>
      </w:r>
    </w:p>
    <w:p w14:paraId="1FF619F4" w14:textId="77777777" w:rsidR="00CA7D10" w:rsidRDefault="00CA7D10" w:rsidP="00ED59F5">
      <w:pPr>
        <w:pStyle w:val="ListNumber"/>
      </w:pPr>
      <w:r w:rsidRPr="001452D1">
        <w:t xml:space="preserve">Individuals aged 17 or under are not included </w:t>
      </w:r>
      <w:r>
        <w:t xml:space="preserve">because </w:t>
      </w:r>
      <w:r w:rsidRPr="001452D1">
        <w:t xml:space="preserve">they should be managed by the relevant safeguarding team. Where services identify a frequent caller who is 17 or under, they should be referred to safeguarding and excluded from </w:t>
      </w:r>
      <w:r>
        <w:t>this indicator because</w:t>
      </w:r>
      <w:r w:rsidRPr="001452D1">
        <w:t xml:space="preserve"> they are likely to require a different risk assessment and management plan</w:t>
      </w:r>
      <w:r>
        <w:t>.</w:t>
      </w:r>
    </w:p>
    <w:p w14:paraId="3F4E640F" w14:textId="77777777" w:rsidR="00851F6D" w:rsidRDefault="00851F6D" w:rsidP="00ED59F5">
      <w:pPr>
        <w:pStyle w:val="ListNumber"/>
      </w:pPr>
      <w:bookmarkStart w:id="15" w:name="SQU03_2_3_2"/>
      <w:r w:rsidRPr="00C253C9">
        <w:rPr>
          <w:b/>
        </w:rPr>
        <w:t>SQU03_2_3_2</w:t>
      </w:r>
      <w:bookmarkEnd w:id="15"/>
      <w:r w:rsidRPr="00C253C9">
        <w:rPr>
          <w:b/>
        </w:rPr>
        <w:t>:</w:t>
      </w:r>
      <w:r w:rsidRPr="003F2ACF">
        <w:t xml:space="preserve"> </w:t>
      </w:r>
      <w:r w:rsidRPr="001452D1">
        <w:t xml:space="preserve">Total number of </w:t>
      </w:r>
      <w:r w:rsidR="001452D1">
        <w:t>emergency calls:</w:t>
      </w:r>
      <w:r w:rsidRPr="001452D1">
        <w:t xml:space="preserve"> Number</w:t>
      </w:r>
      <w:r w:rsidRPr="00763E04">
        <w:t xml:space="preserve"> of emergency</w:t>
      </w:r>
      <w:r w:rsidR="00AA53F5">
        <w:t xml:space="preserve"> calls presented to switchboard</w:t>
      </w:r>
      <w:r w:rsidR="001452D1">
        <w:t>.</w:t>
      </w:r>
    </w:p>
    <w:p w14:paraId="3D6169B1" w14:textId="77777777" w:rsidR="00851F6D" w:rsidRPr="003F2ACF" w:rsidRDefault="00851F6D" w:rsidP="00ED59F5">
      <w:pPr>
        <w:pStyle w:val="ListNumber"/>
      </w:pPr>
      <w:r w:rsidRPr="003F2ACF">
        <w:t xml:space="preserve">The following calls should be excluded from the numerator and denominator of this indicator: </w:t>
      </w:r>
    </w:p>
    <w:p w14:paraId="5D2087C3" w14:textId="77777777" w:rsidR="00851F6D" w:rsidRPr="00D7358A" w:rsidRDefault="00851F6D" w:rsidP="00D7358A">
      <w:pPr>
        <w:pStyle w:val="Heading3"/>
        <w:numPr>
          <w:ilvl w:val="0"/>
          <w:numId w:val="23"/>
        </w:numPr>
        <w:rPr>
          <w:b w:val="0"/>
        </w:rPr>
      </w:pPr>
      <w:r w:rsidRPr="00D7358A">
        <w:rPr>
          <w:b w:val="0"/>
        </w:rPr>
        <w:t xml:space="preserve">Duplicate or multiple calls to an incident where a response has already been activated; </w:t>
      </w:r>
    </w:p>
    <w:p w14:paraId="44052339" w14:textId="77777777" w:rsidR="00851F6D" w:rsidRPr="00D7358A" w:rsidRDefault="00851F6D" w:rsidP="00D7358A">
      <w:pPr>
        <w:pStyle w:val="Heading3"/>
        <w:numPr>
          <w:ilvl w:val="0"/>
          <w:numId w:val="23"/>
        </w:numPr>
        <w:rPr>
          <w:b w:val="0"/>
        </w:rPr>
      </w:pPr>
      <w:r w:rsidRPr="00D7358A">
        <w:rPr>
          <w:b w:val="0"/>
        </w:rPr>
        <w:t>Hang</w:t>
      </w:r>
      <w:r w:rsidR="0066120E" w:rsidRPr="00D7358A">
        <w:rPr>
          <w:b w:val="0"/>
        </w:rPr>
        <w:t>-</w:t>
      </w:r>
      <w:r w:rsidRPr="00D7358A">
        <w:rPr>
          <w:b w:val="0"/>
        </w:rPr>
        <w:t>ups before coding is complete</w:t>
      </w:r>
      <w:r w:rsidR="0048603A" w:rsidRPr="00D7358A">
        <w:rPr>
          <w:b w:val="0"/>
        </w:rPr>
        <w:t>;</w:t>
      </w:r>
    </w:p>
    <w:p w14:paraId="14252451" w14:textId="77777777" w:rsidR="00851F6D" w:rsidRPr="00D7358A" w:rsidRDefault="00851F6D" w:rsidP="00D7358A">
      <w:pPr>
        <w:pStyle w:val="Heading3"/>
        <w:numPr>
          <w:ilvl w:val="0"/>
          <w:numId w:val="23"/>
        </w:numPr>
        <w:rPr>
          <w:b w:val="0"/>
        </w:rPr>
      </w:pPr>
      <w:r w:rsidRPr="00D7358A">
        <w:rPr>
          <w:b w:val="0"/>
        </w:rPr>
        <w:t>Caller not with patient and unable to give details</w:t>
      </w:r>
      <w:r w:rsidR="0048603A" w:rsidRPr="00D7358A">
        <w:rPr>
          <w:b w:val="0"/>
        </w:rPr>
        <w:t>;</w:t>
      </w:r>
    </w:p>
    <w:p w14:paraId="6FEEEC66" w14:textId="77777777" w:rsidR="00851F6D" w:rsidRPr="00D7358A" w:rsidRDefault="00851F6D" w:rsidP="00D7358A">
      <w:pPr>
        <w:pStyle w:val="Heading3"/>
        <w:numPr>
          <w:ilvl w:val="0"/>
          <w:numId w:val="23"/>
        </w:numPr>
        <w:rPr>
          <w:b w:val="0"/>
        </w:rPr>
      </w:pPr>
      <w:r w:rsidRPr="00D7358A">
        <w:rPr>
          <w:b w:val="0"/>
        </w:rPr>
        <w:t>Caller refuses to give details</w:t>
      </w:r>
      <w:r w:rsidR="0048603A" w:rsidRPr="00D7358A">
        <w:rPr>
          <w:b w:val="0"/>
        </w:rPr>
        <w:t>;</w:t>
      </w:r>
    </w:p>
    <w:p w14:paraId="3BEFEF01" w14:textId="77777777" w:rsidR="00851F6D" w:rsidRPr="00D7358A" w:rsidRDefault="00851F6D" w:rsidP="00D7358A">
      <w:pPr>
        <w:pStyle w:val="Heading3"/>
        <w:numPr>
          <w:ilvl w:val="0"/>
          <w:numId w:val="23"/>
        </w:numPr>
        <w:rPr>
          <w:b w:val="0"/>
        </w:rPr>
      </w:pPr>
      <w:r w:rsidRPr="00D7358A">
        <w:rPr>
          <w:b w:val="0"/>
        </w:rPr>
        <w:t>Hoax calls where response not activated</w:t>
      </w:r>
      <w:r w:rsidR="0048603A" w:rsidRPr="00D7358A">
        <w:rPr>
          <w:b w:val="0"/>
        </w:rPr>
        <w:t>;</w:t>
      </w:r>
    </w:p>
    <w:p w14:paraId="7EB0CD34" w14:textId="77777777" w:rsidR="00851F6D" w:rsidRPr="00D7358A" w:rsidRDefault="00851F6D" w:rsidP="00D7358A">
      <w:pPr>
        <w:pStyle w:val="Heading3"/>
        <w:numPr>
          <w:ilvl w:val="0"/>
          <w:numId w:val="23"/>
        </w:numPr>
        <w:rPr>
          <w:b w:val="0"/>
        </w:rPr>
      </w:pPr>
      <w:r w:rsidRPr="00D7358A">
        <w:rPr>
          <w:b w:val="0"/>
        </w:rPr>
        <w:t>Response cancelled before coding is complete (</w:t>
      </w:r>
      <w:r w:rsidR="0048603A" w:rsidRPr="00D7358A">
        <w:rPr>
          <w:b w:val="0"/>
        </w:rPr>
        <w:t xml:space="preserve">for example, </w:t>
      </w:r>
      <w:r w:rsidRPr="00D7358A">
        <w:rPr>
          <w:b w:val="0"/>
        </w:rPr>
        <w:t>patient recovers)</w:t>
      </w:r>
      <w:r w:rsidR="0048603A" w:rsidRPr="00D7358A">
        <w:rPr>
          <w:b w:val="0"/>
        </w:rPr>
        <w:t>.</w:t>
      </w:r>
    </w:p>
    <w:p w14:paraId="7C62AD98" w14:textId="77777777" w:rsidR="00851F6D" w:rsidRPr="00C253C9" w:rsidRDefault="00851F6D" w:rsidP="002627BA">
      <w:pPr>
        <w:pStyle w:val="Heading5"/>
      </w:pPr>
      <w:r w:rsidRPr="00C253C9">
        <w:t>Monitoring D</w:t>
      </w:r>
      <w:r w:rsidR="00E658A1">
        <w:t>a</w:t>
      </w:r>
      <w:r w:rsidRPr="00C253C9">
        <w:t xml:space="preserve">ta </w:t>
      </w:r>
      <w:r w:rsidR="0026609E">
        <w:t>Source</w:t>
      </w:r>
    </w:p>
    <w:p w14:paraId="70AAAB22" w14:textId="77777777" w:rsidR="00851F6D" w:rsidRPr="003F2ACF" w:rsidRDefault="0065367C" w:rsidP="00103121">
      <w:pPr>
        <w:pStyle w:val="ListNumber"/>
      </w:pPr>
      <w:r>
        <w:t>Ambulance CAD system.</w:t>
      </w:r>
    </w:p>
    <w:p w14:paraId="5E742E90" w14:textId="77777777" w:rsidR="00851F6D" w:rsidRPr="009F4C2A" w:rsidRDefault="00851F6D" w:rsidP="002627BA">
      <w:pPr>
        <w:pStyle w:val="Heading3"/>
      </w:pPr>
      <w:r w:rsidRPr="009F4C2A">
        <w:t>SQU03_08: Time to Answer Call</w:t>
      </w:r>
    </w:p>
    <w:p w14:paraId="2A2B23DA" w14:textId="77777777" w:rsidR="00851F6D" w:rsidRPr="009F4C2A" w:rsidRDefault="00851F6D" w:rsidP="002627BA">
      <w:pPr>
        <w:pStyle w:val="Heading5"/>
      </w:pPr>
      <w:r w:rsidRPr="009F4C2A">
        <w:t xml:space="preserve">Detailed </w:t>
      </w:r>
      <w:r w:rsidR="0026609E">
        <w:t>Descriptor</w:t>
      </w:r>
    </w:p>
    <w:p w14:paraId="540B3E5B" w14:textId="77777777" w:rsidR="00851F6D" w:rsidRPr="003F2ACF" w:rsidRDefault="00851F6D" w:rsidP="00ED59F5">
      <w:pPr>
        <w:pStyle w:val="ListNumber"/>
      </w:pPr>
      <w:r w:rsidRPr="003F2ACF">
        <w:t>The time to answer calls</w:t>
      </w:r>
      <w:r>
        <w:t xml:space="preserve"> (emergency and urgent)</w:t>
      </w:r>
      <w:r w:rsidR="001452D1" w:rsidRPr="001452D1">
        <w:t xml:space="preserve"> </w:t>
      </w:r>
      <w:r w:rsidR="001452D1">
        <w:t>in seconds</w:t>
      </w:r>
      <w:r w:rsidR="002C6FC8">
        <w:t>.</w:t>
      </w:r>
    </w:p>
    <w:p w14:paraId="4E6412EF" w14:textId="77777777" w:rsidR="00851F6D" w:rsidRPr="009F4C2A" w:rsidRDefault="00851F6D" w:rsidP="002627BA">
      <w:pPr>
        <w:pStyle w:val="Heading5"/>
      </w:pPr>
      <w:r w:rsidRPr="009F4C2A">
        <w:t xml:space="preserve">Data </w:t>
      </w:r>
      <w:r w:rsidR="0026609E">
        <w:t>Definition</w:t>
      </w:r>
    </w:p>
    <w:p w14:paraId="7037278C" w14:textId="77777777" w:rsidR="00851F6D" w:rsidRPr="003F2ACF" w:rsidRDefault="00851F6D" w:rsidP="00ED59F5">
      <w:pPr>
        <w:pStyle w:val="ListNumber"/>
      </w:pPr>
      <w:bookmarkStart w:id="16" w:name="SQU03_8_1_1"/>
      <w:r w:rsidRPr="009F4C2A">
        <w:rPr>
          <w:b/>
        </w:rPr>
        <w:t>SQU03_8_1_1</w:t>
      </w:r>
      <w:bookmarkEnd w:id="16"/>
      <w:r w:rsidRPr="009F4C2A">
        <w:rPr>
          <w:b/>
        </w:rPr>
        <w:t>:</w:t>
      </w:r>
      <w:r w:rsidR="001452D1">
        <w:t xml:space="preserve"> </w:t>
      </w:r>
      <w:r w:rsidRPr="001452D1">
        <w:t>Time</w:t>
      </w:r>
      <w:r w:rsidR="001452D1">
        <w:t xml:space="preserve"> to call answer</w:t>
      </w:r>
      <w:r w:rsidRPr="003F2ACF">
        <w:t>,</w:t>
      </w:r>
      <w:r w:rsidR="001452D1">
        <w:t xml:space="preserve"> </w:t>
      </w:r>
      <w:r w:rsidRPr="003F2ACF">
        <w:t xml:space="preserve">measured </w:t>
      </w:r>
      <w:r w:rsidR="004F0D07" w:rsidRPr="004F0D07">
        <w:t>by median, 95th centile and 99th centile</w:t>
      </w:r>
      <w:r w:rsidRPr="003F2ACF">
        <w:t>:</w:t>
      </w:r>
    </w:p>
    <w:p w14:paraId="0EF52611" w14:textId="77777777" w:rsidR="00851F6D" w:rsidRPr="00D7358A" w:rsidRDefault="00851F6D" w:rsidP="00D7358A">
      <w:pPr>
        <w:pStyle w:val="Heading3"/>
        <w:numPr>
          <w:ilvl w:val="0"/>
          <w:numId w:val="24"/>
        </w:numPr>
        <w:rPr>
          <w:b w:val="0"/>
        </w:rPr>
      </w:pPr>
      <w:proofErr w:type="gramStart"/>
      <w:r w:rsidRPr="00D7358A">
        <w:rPr>
          <w:b w:val="0"/>
        </w:rPr>
        <w:t>median</w:t>
      </w:r>
      <w:proofErr w:type="gramEnd"/>
      <w:r w:rsidRPr="00D7358A">
        <w:rPr>
          <w:b w:val="0"/>
        </w:rPr>
        <w:t xml:space="preserve"> time spent between C</w:t>
      </w:r>
      <w:r w:rsidR="0048603A" w:rsidRPr="00D7358A">
        <w:rPr>
          <w:b w:val="0"/>
        </w:rPr>
        <w:t>all Connect and call answer (that is,</w:t>
      </w:r>
      <w:r w:rsidRPr="00D7358A">
        <w:rPr>
          <w:b w:val="0"/>
        </w:rPr>
        <w:t xml:space="preserve"> the time below which 50% of calls were answered)</w:t>
      </w:r>
      <w:r w:rsidR="002C6FC8" w:rsidRPr="00D7358A">
        <w:rPr>
          <w:b w:val="0"/>
        </w:rPr>
        <w:t>;</w:t>
      </w:r>
    </w:p>
    <w:p w14:paraId="6DC2058F" w14:textId="77777777" w:rsidR="00851F6D" w:rsidRPr="00D7358A" w:rsidRDefault="00851F6D" w:rsidP="00D7358A">
      <w:pPr>
        <w:pStyle w:val="Heading3"/>
        <w:numPr>
          <w:ilvl w:val="0"/>
          <w:numId w:val="24"/>
        </w:numPr>
        <w:rPr>
          <w:b w:val="0"/>
        </w:rPr>
      </w:pPr>
      <w:r w:rsidRPr="00D7358A">
        <w:rPr>
          <w:b w:val="0"/>
        </w:rPr>
        <w:t>95th centile of times from Call Connect and call answer (</w:t>
      </w:r>
      <w:r w:rsidR="0048603A" w:rsidRPr="00D7358A">
        <w:rPr>
          <w:b w:val="0"/>
        </w:rPr>
        <w:t xml:space="preserve">that is, </w:t>
      </w:r>
      <w:r w:rsidRPr="00D7358A">
        <w:rPr>
          <w:b w:val="0"/>
        </w:rPr>
        <w:t>the time below wh</w:t>
      </w:r>
      <w:r w:rsidR="002C6FC8" w:rsidRPr="00D7358A">
        <w:rPr>
          <w:b w:val="0"/>
        </w:rPr>
        <w:t>ich 95% of calls were answered);</w:t>
      </w:r>
    </w:p>
    <w:p w14:paraId="475C1F4F" w14:textId="77777777" w:rsidR="00851F6D" w:rsidRPr="00D7358A" w:rsidRDefault="00851F6D" w:rsidP="00D7358A">
      <w:pPr>
        <w:pStyle w:val="Heading3"/>
        <w:numPr>
          <w:ilvl w:val="0"/>
          <w:numId w:val="24"/>
        </w:numPr>
        <w:rPr>
          <w:b w:val="0"/>
        </w:rPr>
      </w:pPr>
      <w:proofErr w:type="gramStart"/>
      <w:r w:rsidRPr="00D7358A">
        <w:rPr>
          <w:b w:val="0"/>
        </w:rPr>
        <w:t>99th centile of times from Call Connect and call answer (</w:t>
      </w:r>
      <w:r w:rsidR="0048603A" w:rsidRPr="00D7358A">
        <w:rPr>
          <w:b w:val="0"/>
        </w:rPr>
        <w:t xml:space="preserve">that is, </w:t>
      </w:r>
      <w:r w:rsidRPr="00D7358A">
        <w:rPr>
          <w:b w:val="0"/>
        </w:rPr>
        <w:t>the time below which 99% of calls were answered)</w:t>
      </w:r>
      <w:r w:rsidR="002C6FC8" w:rsidRPr="00D7358A">
        <w:rPr>
          <w:b w:val="0"/>
        </w:rPr>
        <w:t>.</w:t>
      </w:r>
      <w:proofErr w:type="gramEnd"/>
    </w:p>
    <w:p w14:paraId="3429E3F4" w14:textId="77777777" w:rsidR="00851F6D" w:rsidRPr="003F2ACF" w:rsidRDefault="00851F6D" w:rsidP="00ED59F5">
      <w:pPr>
        <w:pStyle w:val="ListNumber"/>
      </w:pPr>
      <w:r w:rsidRPr="003F2ACF">
        <w:t>Call Connect refers to the time at which the call is presented to the control room telephone switch.</w:t>
      </w:r>
    </w:p>
    <w:p w14:paraId="461AE1B4" w14:textId="77777777" w:rsidR="00851F6D" w:rsidRPr="00763E04" w:rsidRDefault="00851F6D" w:rsidP="00ED59F5">
      <w:pPr>
        <w:pStyle w:val="ListNumber"/>
      </w:pPr>
      <w:r>
        <w:t xml:space="preserve">From 01 April 2007, all “urgent” calls have been prioritised and </w:t>
      </w:r>
      <w:r w:rsidR="00E2715C">
        <w:t>categoris</w:t>
      </w:r>
      <w:r>
        <w:t>ed in the same way as emergency calls. These “urgent” calls should be included with data for emergency calls for this indicator</w:t>
      </w:r>
      <w:r w:rsidR="002D0D1B">
        <w:t>.</w:t>
      </w:r>
    </w:p>
    <w:p w14:paraId="10519CF8" w14:textId="77777777" w:rsidR="00851F6D" w:rsidRPr="003F2ACF" w:rsidRDefault="001452D1" w:rsidP="00ED59F5">
      <w:pPr>
        <w:pStyle w:val="ListNumber"/>
      </w:pPr>
      <w:r>
        <w:t>Exclude c</w:t>
      </w:r>
      <w:r w:rsidR="00851F6D" w:rsidRPr="003F2ACF">
        <w:t xml:space="preserve">alls </w:t>
      </w:r>
      <w:r w:rsidR="00796B27">
        <w:t xml:space="preserve">that are </w:t>
      </w:r>
      <w:r w:rsidR="00851F6D" w:rsidRPr="003F2ACF">
        <w:t xml:space="preserve">abandoned before </w:t>
      </w:r>
      <w:r w:rsidR="00796B27">
        <w:t xml:space="preserve">being </w:t>
      </w:r>
      <w:r w:rsidR="00851F6D" w:rsidRPr="003F2ACF">
        <w:t>answer</w:t>
      </w:r>
      <w:r w:rsidR="00796B27">
        <w:t>ed.</w:t>
      </w:r>
    </w:p>
    <w:p w14:paraId="25FFA31F" w14:textId="77777777" w:rsidR="00573FBB" w:rsidRPr="00ED59F5" w:rsidRDefault="00573FBB" w:rsidP="00ED59F5">
      <w:pPr>
        <w:pStyle w:val="ListNumber"/>
      </w:pPr>
      <w:r>
        <w:rPr>
          <w:rFonts w:eastAsiaTheme="minorHAnsi"/>
          <w:lang w:eastAsia="en-US"/>
        </w:rPr>
        <w:t xml:space="preserve">The </w:t>
      </w:r>
      <w:r w:rsidRPr="00ED59F5">
        <w:rPr>
          <w:rFonts w:eastAsiaTheme="minorHAnsi"/>
          <w:lang w:eastAsia="en-US"/>
        </w:rPr>
        <w:t>call answer time is T1, that is, when an operator begins communicating with a caller. Answerphones should not be used on 999 calls.</w:t>
      </w:r>
    </w:p>
    <w:p w14:paraId="5B21AB9C" w14:textId="77777777" w:rsidR="00851F6D" w:rsidRPr="00ED59F5" w:rsidRDefault="00851F6D" w:rsidP="00ED59F5">
      <w:pPr>
        <w:pStyle w:val="ListNumber"/>
      </w:pPr>
      <w:r w:rsidRPr="00ED59F5">
        <w:t xml:space="preserve">Where no call connect time is recorded, the call should be treated as having a </w:t>
      </w:r>
      <w:r w:rsidR="00573FBB" w:rsidRPr="00ED59F5">
        <w:t>t</w:t>
      </w:r>
      <w:r w:rsidRPr="00ED59F5">
        <w:t>ime-to-call-answer of zero seconds</w:t>
      </w:r>
      <w:r w:rsidR="002D0D1B" w:rsidRPr="00ED59F5">
        <w:t>.</w:t>
      </w:r>
    </w:p>
    <w:p w14:paraId="35C16739" w14:textId="77777777" w:rsidR="00851F6D" w:rsidRPr="00ED59F5" w:rsidRDefault="00851F6D" w:rsidP="00ED59F5">
      <w:pPr>
        <w:pStyle w:val="ListNumber"/>
      </w:pPr>
      <w:r w:rsidRPr="00ED59F5">
        <w:t xml:space="preserve">Calls that have been passed electronically from </w:t>
      </w:r>
      <w:r w:rsidR="00C01824" w:rsidRPr="00ED59F5">
        <w:t xml:space="preserve">NHS </w:t>
      </w:r>
      <w:r w:rsidRPr="00ED59F5">
        <w:t>111 as requiring an ambulance response should not be included in this indicator.</w:t>
      </w:r>
    </w:p>
    <w:p w14:paraId="57A1D098" w14:textId="77777777" w:rsidR="00851F6D" w:rsidRDefault="00851F6D" w:rsidP="00ED59F5">
      <w:pPr>
        <w:pStyle w:val="ListNumber"/>
      </w:pPr>
      <w:r w:rsidRPr="00ED59F5">
        <w:t xml:space="preserve">Calls that have been passed manually via telephone from </w:t>
      </w:r>
      <w:r w:rsidR="00C01824" w:rsidRPr="00ED59F5">
        <w:t xml:space="preserve">NHS </w:t>
      </w:r>
      <w:r w:rsidRPr="00ED59F5">
        <w:t>111 as requiring</w:t>
      </w:r>
      <w:r w:rsidRPr="00237095">
        <w:t xml:space="preserve"> an ambulance response should be included in this indicator.</w:t>
      </w:r>
    </w:p>
    <w:p w14:paraId="75CC3DB8" w14:textId="77777777" w:rsidR="00851F6D" w:rsidRPr="009F4C2A" w:rsidRDefault="00851F6D" w:rsidP="002627BA">
      <w:pPr>
        <w:pStyle w:val="Heading5"/>
      </w:pPr>
      <w:r w:rsidRPr="009F4C2A">
        <w:t xml:space="preserve">Monitoring Data </w:t>
      </w:r>
      <w:r w:rsidR="0026609E">
        <w:t>Source</w:t>
      </w:r>
    </w:p>
    <w:p w14:paraId="3768A844" w14:textId="77777777" w:rsidR="00851F6D" w:rsidRPr="003F2ACF" w:rsidRDefault="0065367C" w:rsidP="00ED59F5">
      <w:pPr>
        <w:pStyle w:val="ListNumber"/>
      </w:pPr>
      <w:r>
        <w:t>Ambulance telephony system.</w:t>
      </w:r>
    </w:p>
    <w:p w14:paraId="4D36430F" w14:textId="77777777" w:rsidR="00851F6D" w:rsidRDefault="00851F6D" w:rsidP="002627BA">
      <w:pPr>
        <w:pStyle w:val="Heading3"/>
      </w:pPr>
      <w:r w:rsidRPr="00474523">
        <w:t>SQU03_10:</w:t>
      </w:r>
      <w:r w:rsidR="00A31774">
        <w:t xml:space="preserve"> </w:t>
      </w:r>
      <w:r w:rsidRPr="00474523">
        <w:t>Ambulance calls closed with telephone advice or managed without transport to A&amp;E (where clinically appropriate)</w:t>
      </w:r>
    </w:p>
    <w:p w14:paraId="35B76619" w14:textId="77777777" w:rsidR="00851F6D" w:rsidRPr="003F2ACF" w:rsidRDefault="00851F6D" w:rsidP="002627BA">
      <w:pPr>
        <w:pStyle w:val="Heading5"/>
      </w:pPr>
      <w:r w:rsidRPr="00474523">
        <w:t xml:space="preserve">Detailed </w:t>
      </w:r>
      <w:r w:rsidR="0026609E">
        <w:t>Descriptor</w:t>
      </w:r>
    </w:p>
    <w:p w14:paraId="57D4AA24" w14:textId="6DA5B865" w:rsidR="00851F6D" w:rsidRPr="003F2ACF" w:rsidRDefault="00851F6D" w:rsidP="00ED59F5">
      <w:pPr>
        <w:pStyle w:val="ListNumber"/>
      </w:pPr>
      <w:r w:rsidRPr="003F2ACF">
        <w:t>Measure the proportion of patients managed appropriately without the need for an ambulance response at the sce</w:t>
      </w:r>
      <w:r w:rsidR="00A51581">
        <w:t>ne, or onward transport to Type 1 and</w:t>
      </w:r>
      <w:r w:rsidR="00781483">
        <w:t xml:space="preserve"> Type </w:t>
      </w:r>
      <w:r w:rsidR="00A51581">
        <w:t>2</w:t>
      </w:r>
      <w:r w:rsidRPr="003F2ACF">
        <w:t xml:space="preserve"> </w:t>
      </w:r>
      <w:r w:rsidR="00473A03" w:rsidRPr="003F2ACF">
        <w:t>A&amp;E departments</w:t>
      </w:r>
      <w:r w:rsidR="00473A03">
        <w:t xml:space="preserve"> </w:t>
      </w:r>
      <w:r w:rsidR="008B4CFD">
        <w:t>(</w:t>
      </w:r>
      <w:hyperlink r:id="rId9" w:history="1">
        <w:r w:rsidR="008510F0" w:rsidRPr="00F666AB">
          <w:rPr>
            <w:rStyle w:val="Hyperlink"/>
            <w:rFonts w:cs="Arial"/>
          </w:rPr>
          <w:t>www.datadictionary.nhs.uk/data_dictionary/attributes/a/acc/accident_and_emergency_department_type_de.asp</w:t>
        </w:r>
      </w:hyperlink>
      <w:r w:rsidR="008510F0">
        <w:t>).</w:t>
      </w:r>
    </w:p>
    <w:p w14:paraId="149017D9" w14:textId="77777777" w:rsidR="00851F6D" w:rsidRDefault="00851F6D" w:rsidP="002627BA">
      <w:pPr>
        <w:pStyle w:val="Heading5"/>
      </w:pPr>
      <w:r w:rsidRPr="00474523">
        <w:t xml:space="preserve">Data </w:t>
      </w:r>
      <w:r w:rsidR="0026609E">
        <w:t>Definition</w:t>
      </w:r>
    </w:p>
    <w:p w14:paraId="76EFA177" w14:textId="77777777" w:rsidR="008510F0" w:rsidRPr="008510F0" w:rsidRDefault="008510F0" w:rsidP="008510F0">
      <w:pPr>
        <w:pStyle w:val="Heading4"/>
      </w:pPr>
      <w:bookmarkStart w:id="17" w:name="_SQU03_10a:_Hear_and"/>
      <w:bookmarkStart w:id="18" w:name="SQU03_10_1_1"/>
      <w:bookmarkEnd w:id="17"/>
      <w:r>
        <w:t>SQU03_10a: Hear and Treat</w:t>
      </w:r>
    </w:p>
    <w:p w14:paraId="621256ED" w14:textId="77777777" w:rsidR="00851F6D" w:rsidRPr="003F2ACF" w:rsidRDefault="00851F6D" w:rsidP="00ED59F5">
      <w:pPr>
        <w:pStyle w:val="ListNumber"/>
      </w:pPr>
      <w:r w:rsidRPr="00A23B10">
        <w:rPr>
          <w:b/>
        </w:rPr>
        <w:t>SQU03_10_1_1</w:t>
      </w:r>
      <w:bookmarkEnd w:id="18"/>
      <w:r w:rsidRPr="00A23B10">
        <w:rPr>
          <w:b/>
        </w:rPr>
        <w:t xml:space="preserve">: </w:t>
      </w:r>
      <w:r w:rsidRPr="008D566A">
        <w:t>Number of emergency calls that have been resolved by providing telephone advice</w:t>
      </w:r>
      <w:r w:rsidR="008D566A">
        <w:t xml:space="preserve">: </w:t>
      </w:r>
      <w:r w:rsidRPr="008D566A">
        <w:t>Number</w:t>
      </w:r>
      <w:r w:rsidRPr="003F2ACF">
        <w:t xml:space="preserve"> of successfully completed </w:t>
      </w:r>
      <w:r>
        <w:t xml:space="preserve">emergency </w:t>
      </w:r>
      <w:r w:rsidRPr="003F2ACF">
        <w:t>calls that have been resolved (</w:t>
      </w:r>
      <w:r w:rsidR="0048603A">
        <w:t xml:space="preserve">that is, </w:t>
      </w:r>
      <w:r w:rsidRPr="003F2ACF">
        <w:t xml:space="preserve">where advice has been given with any appropriate action agreed with the patient), with no </w:t>
      </w:r>
      <w:r>
        <w:t xml:space="preserve">face-to-face </w:t>
      </w:r>
      <w:r w:rsidRPr="003F2ACF">
        <w:t>resource, by</w:t>
      </w:r>
    </w:p>
    <w:p w14:paraId="749DB64F" w14:textId="77777777" w:rsidR="00851F6D" w:rsidRPr="00FA3593" w:rsidRDefault="00851F6D" w:rsidP="00FA3593">
      <w:pPr>
        <w:pStyle w:val="Heading3"/>
        <w:numPr>
          <w:ilvl w:val="0"/>
          <w:numId w:val="26"/>
        </w:numPr>
        <w:rPr>
          <w:b w:val="0"/>
        </w:rPr>
      </w:pPr>
      <w:proofErr w:type="gramStart"/>
      <w:r w:rsidRPr="00FA3593">
        <w:rPr>
          <w:b w:val="0"/>
        </w:rPr>
        <w:t>a</w:t>
      </w:r>
      <w:proofErr w:type="gramEnd"/>
      <w:r w:rsidRPr="00FA3593">
        <w:rPr>
          <w:b w:val="0"/>
        </w:rPr>
        <w:t xml:space="preserve"> designated </w:t>
      </w:r>
      <w:r w:rsidR="00975A30" w:rsidRPr="00FA3593">
        <w:rPr>
          <w:b w:val="0"/>
        </w:rPr>
        <w:t>HCP</w:t>
      </w:r>
      <w:r w:rsidRPr="00FA3593">
        <w:rPr>
          <w:b w:val="0"/>
        </w:rPr>
        <w:t xml:space="preserve"> accountable to the Trust providing telephone advice only, or;</w:t>
      </w:r>
    </w:p>
    <w:p w14:paraId="6167EA56" w14:textId="77777777" w:rsidR="00851F6D" w:rsidRPr="00FA3593" w:rsidRDefault="00851F6D" w:rsidP="00FA3593">
      <w:pPr>
        <w:pStyle w:val="Heading3"/>
        <w:numPr>
          <w:ilvl w:val="0"/>
          <w:numId w:val="26"/>
        </w:numPr>
        <w:rPr>
          <w:b w:val="0"/>
        </w:rPr>
      </w:pPr>
      <w:proofErr w:type="gramStart"/>
      <w:r w:rsidRPr="00FA3593">
        <w:rPr>
          <w:b w:val="0"/>
        </w:rPr>
        <w:t>calls</w:t>
      </w:r>
      <w:proofErr w:type="gramEnd"/>
      <w:r w:rsidRPr="00FA3593">
        <w:rPr>
          <w:b w:val="0"/>
        </w:rPr>
        <w:t xml:space="preserve"> dealt with by a</w:t>
      </w:r>
      <w:r w:rsidR="00975A30" w:rsidRPr="00FA3593">
        <w:rPr>
          <w:b w:val="0"/>
        </w:rPr>
        <w:t>n</w:t>
      </w:r>
      <w:r w:rsidRPr="00FA3593">
        <w:rPr>
          <w:b w:val="0"/>
        </w:rPr>
        <w:t xml:space="preserve"> </w:t>
      </w:r>
      <w:r w:rsidR="00975A30" w:rsidRPr="00FA3593">
        <w:rPr>
          <w:b w:val="0"/>
        </w:rPr>
        <w:t>HCP</w:t>
      </w:r>
      <w:r w:rsidRPr="00FA3593">
        <w:rPr>
          <w:b w:val="0"/>
        </w:rPr>
        <w:t xml:space="preserve"> accountable to the Trust, or;</w:t>
      </w:r>
    </w:p>
    <w:p w14:paraId="6A95C5F9" w14:textId="77777777" w:rsidR="00851F6D" w:rsidRPr="00FA3593" w:rsidRDefault="00851F6D" w:rsidP="00FA3593">
      <w:pPr>
        <w:pStyle w:val="Heading3"/>
        <w:numPr>
          <w:ilvl w:val="0"/>
          <w:numId w:val="26"/>
        </w:numPr>
        <w:rPr>
          <w:b w:val="0"/>
        </w:rPr>
      </w:pPr>
      <w:proofErr w:type="gramStart"/>
      <w:r w:rsidRPr="00FA3593">
        <w:rPr>
          <w:b w:val="0"/>
        </w:rPr>
        <w:t>call</w:t>
      </w:r>
      <w:proofErr w:type="gramEnd"/>
      <w:r w:rsidRPr="00FA3593">
        <w:rPr>
          <w:b w:val="0"/>
        </w:rPr>
        <w:t xml:space="preserve"> dealt with through decisions supported by clinical decision support software, or;</w:t>
      </w:r>
    </w:p>
    <w:p w14:paraId="0ED8CE68" w14:textId="77777777" w:rsidR="00851F6D" w:rsidRPr="00FA3593" w:rsidRDefault="00851F6D" w:rsidP="00FA3593">
      <w:pPr>
        <w:pStyle w:val="Heading3"/>
        <w:numPr>
          <w:ilvl w:val="0"/>
          <w:numId w:val="26"/>
        </w:numPr>
        <w:rPr>
          <w:b w:val="0"/>
        </w:rPr>
      </w:pPr>
      <w:proofErr w:type="gramStart"/>
      <w:r w:rsidRPr="00FA3593">
        <w:rPr>
          <w:b w:val="0"/>
        </w:rPr>
        <w:t>calls</w:t>
      </w:r>
      <w:proofErr w:type="gramEnd"/>
      <w:r w:rsidRPr="00FA3593">
        <w:rPr>
          <w:b w:val="0"/>
        </w:rPr>
        <w:t xml:space="preserve"> passed to another organisation working with the Trust through an agreed contract or Service Level Agreement</w:t>
      </w:r>
      <w:r w:rsidR="00A51581" w:rsidRPr="00FA3593">
        <w:rPr>
          <w:b w:val="0"/>
        </w:rPr>
        <w:t>, or Directory of Services</w:t>
      </w:r>
      <w:r w:rsidR="002D0D1B" w:rsidRPr="00FA3593">
        <w:rPr>
          <w:b w:val="0"/>
        </w:rPr>
        <w:t>.</w:t>
      </w:r>
    </w:p>
    <w:p w14:paraId="2E73234E" w14:textId="77777777" w:rsidR="00781483" w:rsidRPr="00781483" w:rsidRDefault="00AD18DA" w:rsidP="00ED59F5">
      <w:pPr>
        <w:pStyle w:val="ListNumber"/>
      </w:pPr>
      <w:r>
        <w:t xml:space="preserve">Include </w:t>
      </w:r>
      <w:r w:rsidR="008A1E69">
        <w:t xml:space="preserve">emergency </w:t>
      </w:r>
      <w:r>
        <w:t>incidents resolved by one of the above options</w:t>
      </w:r>
      <w:r w:rsidRPr="00781483">
        <w:t xml:space="preserve"> </w:t>
      </w:r>
      <w:r>
        <w:t xml:space="preserve">where a </w:t>
      </w:r>
      <w:r w:rsidR="00781483" w:rsidRPr="00781483">
        <w:t>vehicle is d</w:t>
      </w:r>
      <w:r>
        <w:t>i</w:t>
      </w:r>
      <w:r w:rsidR="00781483" w:rsidRPr="00781483">
        <w:t xml:space="preserve">spatched but stood down </w:t>
      </w:r>
      <w:r>
        <w:t xml:space="preserve">before arrival, </w:t>
      </w:r>
      <w:r w:rsidRPr="006633FA">
        <w:rPr>
          <w:b/>
        </w:rPr>
        <w:t>and not</w:t>
      </w:r>
      <w:r>
        <w:t xml:space="preserve"> with a </w:t>
      </w:r>
      <w:r w:rsidR="00781483" w:rsidRPr="00781483">
        <w:t xml:space="preserve">stop </w:t>
      </w:r>
      <w:r>
        <w:t>code of:</w:t>
      </w:r>
    </w:p>
    <w:p w14:paraId="121E31AB" w14:textId="77777777" w:rsidR="00781483" w:rsidRPr="00FA3593" w:rsidRDefault="00781483" w:rsidP="00FA3593">
      <w:pPr>
        <w:pStyle w:val="Heading3"/>
        <w:numPr>
          <w:ilvl w:val="0"/>
          <w:numId w:val="27"/>
        </w:numPr>
        <w:rPr>
          <w:b w:val="0"/>
        </w:rPr>
      </w:pPr>
      <w:r w:rsidRPr="00FA3593">
        <w:rPr>
          <w:b w:val="0"/>
        </w:rPr>
        <w:t>Duplicate</w:t>
      </w:r>
      <w:r w:rsidR="006633FA" w:rsidRPr="00FA3593">
        <w:rPr>
          <w:b w:val="0"/>
        </w:rPr>
        <w:t>;</w:t>
      </w:r>
    </w:p>
    <w:p w14:paraId="2B6427CB" w14:textId="77777777" w:rsidR="00781483" w:rsidRPr="00FA3593" w:rsidRDefault="00781483" w:rsidP="00FA3593">
      <w:pPr>
        <w:pStyle w:val="Heading3"/>
        <w:numPr>
          <w:ilvl w:val="0"/>
          <w:numId w:val="27"/>
        </w:numPr>
        <w:rPr>
          <w:b w:val="0"/>
        </w:rPr>
      </w:pPr>
      <w:r w:rsidRPr="00FA3593">
        <w:rPr>
          <w:b w:val="0"/>
        </w:rPr>
        <w:t>Cancelled</w:t>
      </w:r>
      <w:r w:rsidR="006633FA" w:rsidRPr="00FA3593">
        <w:rPr>
          <w:b w:val="0"/>
        </w:rPr>
        <w:t>;</w:t>
      </w:r>
    </w:p>
    <w:p w14:paraId="3C5752D7" w14:textId="77777777" w:rsidR="00781483" w:rsidRPr="00FA3593" w:rsidRDefault="00781483" w:rsidP="00FA3593">
      <w:pPr>
        <w:pStyle w:val="Heading3"/>
        <w:numPr>
          <w:ilvl w:val="0"/>
          <w:numId w:val="27"/>
        </w:numPr>
        <w:rPr>
          <w:b w:val="0"/>
        </w:rPr>
      </w:pPr>
      <w:r w:rsidRPr="00FA3593">
        <w:rPr>
          <w:b w:val="0"/>
        </w:rPr>
        <w:t>Abandoned</w:t>
      </w:r>
      <w:r w:rsidR="006633FA" w:rsidRPr="00FA3593">
        <w:rPr>
          <w:b w:val="0"/>
        </w:rPr>
        <w:t>; or</w:t>
      </w:r>
    </w:p>
    <w:p w14:paraId="7D11CF81" w14:textId="77777777" w:rsidR="00781483" w:rsidRPr="00FA3593" w:rsidRDefault="00781483" w:rsidP="00FA3593">
      <w:pPr>
        <w:pStyle w:val="Heading3"/>
        <w:numPr>
          <w:ilvl w:val="0"/>
          <w:numId w:val="27"/>
        </w:numPr>
        <w:rPr>
          <w:b w:val="0"/>
        </w:rPr>
      </w:pPr>
      <w:proofErr w:type="gramStart"/>
      <w:r w:rsidRPr="00FA3593">
        <w:rPr>
          <w:b w:val="0"/>
        </w:rPr>
        <w:t>Inform</w:t>
      </w:r>
      <w:r w:rsidR="005A703E" w:rsidRPr="00FA3593">
        <w:rPr>
          <w:b w:val="0"/>
        </w:rPr>
        <w:t>a</w:t>
      </w:r>
      <w:r w:rsidRPr="00FA3593">
        <w:rPr>
          <w:b w:val="0"/>
        </w:rPr>
        <w:t>tion only (no clinical information)</w:t>
      </w:r>
      <w:r w:rsidR="006633FA" w:rsidRPr="00FA3593">
        <w:rPr>
          <w:b w:val="0"/>
        </w:rPr>
        <w:t>.</w:t>
      </w:r>
      <w:proofErr w:type="gramEnd"/>
    </w:p>
    <w:p w14:paraId="2F527A0E" w14:textId="77777777" w:rsidR="00851F6D" w:rsidRPr="008901AC" w:rsidRDefault="00851F6D" w:rsidP="00ED59F5">
      <w:pPr>
        <w:pStyle w:val="ListNumber"/>
        <w:rPr>
          <w:szCs w:val="22"/>
        </w:rPr>
      </w:pPr>
      <w:bookmarkStart w:id="19" w:name="SQU03_10_1_2"/>
      <w:r w:rsidRPr="00A23B10">
        <w:rPr>
          <w:b/>
        </w:rPr>
        <w:t>SQU03_10_1_2</w:t>
      </w:r>
      <w:bookmarkEnd w:id="19"/>
      <w:r w:rsidRPr="00A23B10">
        <w:rPr>
          <w:b/>
        </w:rPr>
        <w:t>:</w:t>
      </w:r>
      <w:r w:rsidRPr="003F2ACF">
        <w:t xml:space="preserve"> </w:t>
      </w:r>
      <w:r w:rsidR="00A51581" w:rsidRPr="00A51581">
        <w:t>All emergency calls that receive a telephone or face-to-face response from the ambulance service at the scene of the incident</w:t>
      </w:r>
    </w:p>
    <w:p w14:paraId="0A213E09" w14:textId="77777777" w:rsidR="00851F6D" w:rsidRPr="00F23826" w:rsidRDefault="00851F6D" w:rsidP="002627BA">
      <w:pPr>
        <w:pStyle w:val="Heading5"/>
      </w:pPr>
      <w:r w:rsidRPr="00F23826">
        <w:t>Exclusions</w:t>
      </w:r>
    </w:p>
    <w:p w14:paraId="385595AB" w14:textId="77777777" w:rsidR="00851F6D" w:rsidRPr="00F23826" w:rsidRDefault="00851F6D" w:rsidP="00ED59F5">
      <w:pPr>
        <w:pStyle w:val="ListNumber"/>
      </w:pPr>
      <w:r w:rsidRPr="00F23826">
        <w:t xml:space="preserve">The following calls should be excluded from the numerator and denominator of this indicator: </w:t>
      </w:r>
    </w:p>
    <w:p w14:paraId="465B9604" w14:textId="77777777" w:rsidR="006633FA" w:rsidRPr="00FA3593" w:rsidRDefault="006633FA" w:rsidP="00FA3593">
      <w:pPr>
        <w:pStyle w:val="Heading3"/>
        <w:numPr>
          <w:ilvl w:val="0"/>
          <w:numId w:val="28"/>
        </w:numPr>
        <w:rPr>
          <w:b w:val="0"/>
        </w:rPr>
      </w:pPr>
      <w:r w:rsidRPr="00FA3593">
        <w:rPr>
          <w:rFonts w:cs="Arial"/>
          <w:b w:val="0"/>
        </w:rPr>
        <w:t xml:space="preserve">Calls where a face-to-face contact and likely transport has been pre-determined, from </w:t>
      </w:r>
      <w:r w:rsidR="00975A30" w:rsidRPr="00FA3593">
        <w:rPr>
          <w:rFonts w:cs="Arial"/>
          <w:b w:val="0"/>
        </w:rPr>
        <w:t>HCP</w:t>
      </w:r>
      <w:r w:rsidRPr="00FA3593">
        <w:rPr>
          <w:rFonts w:cs="Arial"/>
          <w:b w:val="0"/>
        </w:rPr>
        <w:t xml:space="preserve"> calls, whether urgent or immediate (because no such calls can currently be re-triaged for an alternative outcome such as hear and treat);</w:t>
      </w:r>
    </w:p>
    <w:p w14:paraId="4296E993" w14:textId="77777777" w:rsidR="00851F6D" w:rsidRPr="00FA3593" w:rsidRDefault="00851F6D" w:rsidP="00FA3593">
      <w:pPr>
        <w:pStyle w:val="Heading3"/>
        <w:numPr>
          <w:ilvl w:val="0"/>
          <w:numId w:val="28"/>
        </w:numPr>
        <w:rPr>
          <w:b w:val="0"/>
        </w:rPr>
      </w:pPr>
      <w:r w:rsidRPr="00FA3593">
        <w:rPr>
          <w:b w:val="0"/>
        </w:rPr>
        <w:t xml:space="preserve">Duplicate or multiple calls to an incident where a response has already been activated; </w:t>
      </w:r>
    </w:p>
    <w:p w14:paraId="328B893D" w14:textId="77777777" w:rsidR="00851F6D" w:rsidRPr="00FA3593" w:rsidRDefault="00851F6D" w:rsidP="00FA3593">
      <w:pPr>
        <w:pStyle w:val="Heading3"/>
        <w:numPr>
          <w:ilvl w:val="0"/>
          <w:numId w:val="28"/>
        </w:numPr>
        <w:rPr>
          <w:b w:val="0"/>
        </w:rPr>
      </w:pPr>
      <w:r w:rsidRPr="00FA3593">
        <w:rPr>
          <w:b w:val="0"/>
        </w:rPr>
        <w:t>Hang-ups before coding is complete</w:t>
      </w:r>
      <w:r w:rsidR="006633FA" w:rsidRPr="00FA3593">
        <w:rPr>
          <w:b w:val="0"/>
        </w:rPr>
        <w:t>;</w:t>
      </w:r>
    </w:p>
    <w:p w14:paraId="2E1CC506" w14:textId="77777777" w:rsidR="00851F6D" w:rsidRPr="00FA3593" w:rsidRDefault="00851F6D" w:rsidP="00FA3593">
      <w:pPr>
        <w:pStyle w:val="Heading3"/>
        <w:numPr>
          <w:ilvl w:val="0"/>
          <w:numId w:val="28"/>
        </w:numPr>
        <w:rPr>
          <w:b w:val="0"/>
        </w:rPr>
      </w:pPr>
      <w:r w:rsidRPr="00FA3593">
        <w:rPr>
          <w:b w:val="0"/>
        </w:rPr>
        <w:t>Caller not with patient and unable to give details</w:t>
      </w:r>
      <w:r w:rsidR="006633FA" w:rsidRPr="00FA3593">
        <w:rPr>
          <w:b w:val="0"/>
        </w:rPr>
        <w:t>;</w:t>
      </w:r>
    </w:p>
    <w:p w14:paraId="20BF452F" w14:textId="77777777" w:rsidR="00851F6D" w:rsidRPr="00FA3593" w:rsidRDefault="00851F6D" w:rsidP="00FA3593">
      <w:pPr>
        <w:pStyle w:val="Heading3"/>
        <w:numPr>
          <w:ilvl w:val="0"/>
          <w:numId w:val="28"/>
        </w:numPr>
        <w:rPr>
          <w:b w:val="0"/>
        </w:rPr>
      </w:pPr>
      <w:r w:rsidRPr="00FA3593">
        <w:rPr>
          <w:b w:val="0"/>
        </w:rPr>
        <w:t>Caller refuses to give details</w:t>
      </w:r>
      <w:r w:rsidR="006633FA" w:rsidRPr="00FA3593">
        <w:rPr>
          <w:b w:val="0"/>
        </w:rPr>
        <w:t>;</w:t>
      </w:r>
    </w:p>
    <w:p w14:paraId="64CDD2EB" w14:textId="77777777" w:rsidR="00851F6D" w:rsidRPr="00FA3593" w:rsidRDefault="00851F6D" w:rsidP="00FA3593">
      <w:pPr>
        <w:pStyle w:val="Heading3"/>
        <w:numPr>
          <w:ilvl w:val="0"/>
          <w:numId w:val="28"/>
        </w:numPr>
        <w:rPr>
          <w:b w:val="0"/>
        </w:rPr>
      </w:pPr>
      <w:r w:rsidRPr="00FA3593">
        <w:rPr>
          <w:b w:val="0"/>
        </w:rPr>
        <w:t>Hoax calls where response not activated</w:t>
      </w:r>
      <w:r w:rsidR="006633FA" w:rsidRPr="00FA3593">
        <w:rPr>
          <w:b w:val="0"/>
        </w:rPr>
        <w:t>;</w:t>
      </w:r>
    </w:p>
    <w:p w14:paraId="47218013" w14:textId="77777777" w:rsidR="00851F6D" w:rsidRPr="00FA3593" w:rsidRDefault="00851F6D" w:rsidP="00FA3593">
      <w:pPr>
        <w:pStyle w:val="Heading3"/>
        <w:numPr>
          <w:ilvl w:val="0"/>
          <w:numId w:val="28"/>
        </w:numPr>
        <w:rPr>
          <w:b w:val="0"/>
        </w:rPr>
      </w:pPr>
      <w:r w:rsidRPr="00FA3593">
        <w:rPr>
          <w:b w:val="0"/>
        </w:rPr>
        <w:t>Response cancelled before coding is complete (</w:t>
      </w:r>
      <w:r w:rsidR="0048603A" w:rsidRPr="00FA3593">
        <w:rPr>
          <w:b w:val="0"/>
        </w:rPr>
        <w:t xml:space="preserve">for example, </w:t>
      </w:r>
      <w:r w:rsidR="006633FA" w:rsidRPr="00FA3593">
        <w:rPr>
          <w:b w:val="0"/>
        </w:rPr>
        <w:t>patient recovers).</w:t>
      </w:r>
    </w:p>
    <w:p w14:paraId="6B3B38A9" w14:textId="77777777" w:rsidR="00A51581" w:rsidRPr="00237095" w:rsidRDefault="00A51581"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14:paraId="59F98A7A" w14:textId="77777777" w:rsidR="00A51581" w:rsidRDefault="00A51581" w:rsidP="00ED59F5">
      <w:pPr>
        <w:pStyle w:val="ListNumber"/>
        <w:rPr>
          <w:rFonts w:cs="Arial"/>
        </w:rPr>
      </w:pPr>
      <w:r w:rsidRPr="00A51581">
        <w:rPr>
          <w:rFonts w:cs="Arial"/>
        </w:rPr>
        <w:t xml:space="preserve">From 01 April 2007, all “urgent” calls have been prioritised and </w:t>
      </w:r>
      <w:r w:rsidR="00E2715C">
        <w:rPr>
          <w:rFonts w:cs="Arial"/>
        </w:rPr>
        <w:t>categoris</w:t>
      </w:r>
      <w:r w:rsidRPr="00A51581">
        <w:rPr>
          <w:rFonts w:cs="Arial"/>
        </w:rPr>
        <w:t xml:space="preserve">ed in the same way as emergency calls. However, these “urgent” calls should not be included with </w:t>
      </w:r>
      <w:r w:rsidRPr="006633FA">
        <w:rPr>
          <w:rFonts w:cs="Arial"/>
        </w:rPr>
        <w:t>data for emergency calls for this indicator</w:t>
      </w:r>
      <w:r w:rsidR="002D0D1B">
        <w:rPr>
          <w:rFonts w:cs="Arial"/>
        </w:rPr>
        <w:t>.</w:t>
      </w:r>
    </w:p>
    <w:p w14:paraId="5542577D" w14:textId="538A9264" w:rsidR="008510F0" w:rsidRPr="006633FA" w:rsidRDefault="00394117" w:rsidP="008510F0">
      <w:pPr>
        <w:pStyle w:val="Heading4"/>
      </w:pPr>
      <w:r>
        <w:t>SQU03_10b</w:t>
      </w:r>
    </w:p>
    <w:p w14:paraId="6D234933" w14:textId="77777777" w:rsidR="005B32B5" w:rsidRPr="006633FA" w:rsidRDefault="00851F6D" w:rsidP="00ED59F5">
      <w:pPr>
        <w:pStyle w:val="ListNumber"/>
        <w:rPr>
          <w:szCs w:val="22"/>
        </w:rPr>
      </w:pPr>
      <w:bookmarkStart w:id="20" w:name="SQU03_10_2_1"/>
      <w:r w:rsidRPr="006633FA">
        <w:rPr>
          <w:b/>
        </w:rPr>
        <w:t>SQU03_10_2_1</w:t>
      </w:r>
      <w:bookmarkEnd w:id="20"/>
      <w:r w:rsidRPr="006633FA">
        <w:rPr>
          <w:b/>
          <w:bCs/>
        </w:rPr>
        <w:t>:</w:t>
      </w:r>
      <w:r w:rsidRPr="006633FA">
        <w:t xml:space="preserve"> </w:t>
      </w:r>
      <w:r w:rsidR="00FC7B2B">
        <w:t>P</w:t>
      </w:r>
      <w:r w:rsidR="00385DD5">
        <w:t>atient journey</w:t>
      </w:r>
      <w:r w:rsidR="00FC7B2B">
        <w:t>s</w:t>
      </w:r>
      <w:r w:rsidRPr="006633FA">
        <w:t xml:space="preserve"> to a destination other than Type 1 and </w:t>
      </w:r>
      <w:r w:rsidR="006633FA">
        <w:t xml:space="preserve">Type </w:t>
      </w:r>
      <w:r w:rsidRPr="006633FA">
        <w:t>2 A&amp;E</w:t>
      </w:r>
      <w:r w:rsidR="006633FA">
        <w:t>,</w:t>
      </w:r>
      <w:r w:rsidR="00E94657" w:rsidRPr="006633FA">
        <w:t xml:space="preserve"> </w:t>
      </w:r>
      <w:r w:rsidR="00FC7B2B">
        <w:t>plus</w:t>
      </w:r>
      <w:r w:rsidR="00E94657" w:rsidRPr="006633FA">
        <w:t xml:space="preserve"> </w:t>
      </w:r>
      <w:r w:rsidRPr="006633FA">
        <w:t>number of patients discharged after treatment at the scene or onward referral to an alternative care pathway</w:t>
      </w:r>
      <w:r w:rsidR="002C6FC8">
        <w:t>:</w:t>
      </w:r>
      <w:r w:rsidR="006633FA">
        <w:t xml:space="preserve"> </w:t>
      </w:r>
      <w:r w:rsidR="005B32B5" w:rsidRPr="006633FA">
        <w:rPr>
          <w:szCs w:val="22"/>
        </w:rPr>
        <w:t>Emergency only.</w:t>
      </w:r>
    </w:p>
    <w:p w14:paraId="7DBC0DDA" w14:textId="77777777" w:rsidR="00851F6D" w:rsidRPr="006633FA" w:rsidRDefault="00851F6D" w:rsidP="00ED59F5">
      <w:pPr>
        <w:pStyle w:val="ListNumber"/>
      </w:pPr>
      <w:bookmarkStart w:id="21" w:name="SQU03_10_2_2"/>
      <w:r w:rsidRPr="006633FA">
        <w:rPr>
          <w:b/>
        </w:rPr>
        <w:t>SQU03_10_2_2</w:t>
      </w:r>
      <w:bookmarkEnd w:id="21"/>
      <w:r w:rsidRPr="006633FA">
        <w:rPr>
          <w:b/>
        </w:rPr>
        <w:t>:</w:t>
      </w:r>
      <w:r w:rsidRPr="006633FA">
        <w:t xml:space="preserve"> All emergency calls that receive a face-to-face response from the ambulance service.</w:t>
      </w:r>
    </w:p>
    <w:p w14:paraId="326C6CCA" w14:textId="77777777" w:rsidR="00851F6D" w:rsidRPr="00D10E8D" w:rsidRDefault="00851F6D" w:rsidP="00ED59F5">
      <w:pPr>
        <w:pStyle w:val="ListNumber"/>
      </w:pPr>
      <w:r w:rsidRPr="00D10E8D">
        <w:t>Each incident conveyed is counted as an individual transport. Number of incidents without requiring onward conveyance is counted as an individual treated at the scene. Trusts should include only those patients conveyed as a result of an emergency call made by a member of the public or organisation.</w:t>
      </w:r>
    </w:p>
    <w:p w14:paraId="04966052" w14:textId="77777777" w:rsidR="00851F6D" w:rsidRPr="00D10E8D" w:rsidRDefault="00851F6D" w:rsidP="00ED59F5">
      <w:pPr>
        <w:pStyle w:val="ListNumber"/>
      </w:pPr>
      <w:r w:rsidRPr="00D10E8D">
        <w:t>It should be noted that the activity currency is a single incident even though it may result in more than one patient journey</w:t>
      </w:r>
      <w:r w:rsidR="002D0D1B">
        <w:t>.</w:t>
      </w:r>
    </w:p>
    <w:p w14:paraId="17F9E296" w14:textId="77777777" w:rsidR="00851F6D" w:rsidRPr="00ED59F5" w:rsidRDefault="00851F6D" w:rsidP="00ED59F5">
      <w:pPr>
        <w:pStyle w:val="ListNumber"/>
      </w:pPr>
      <w:r w:rsidRPr="00D10E8D">
        <w:t xml:space="preserve">Emergency patient journeys to a destination other than Type 1 and </w:t>
      </w:r>
      <w:r w:rsidR="006633FA">
        <w:t xml:space="preserve">Type </w:t>
      </w:r>
      <w:r w:rsidRPr="00D10E8D">
        <w:t>2 A&amp;E</w:t>
      </w:r>
      <w:r w:rsidR="006633FA">
        <w:t>:</w:t>
      </w:r>
      <w:r w:rsidR="008B4CFD">
        <w:t xml:space="preserve"> </w:t>
      </w:r>
      <w:r w:rsidRPr="00D10E8D">
        <w:t xml:space="preserve">Include those incidents which result in an emergency patient journey to all other destinations other than Type 1 or </w:t>
      </w:r>
      <w:r w:rsidR="006633FA">
        <w:t xml:space="preserve">Type </w:t>
      </w:r>
      <w:r w:rsidRPr="00D10E8D">
        <w:t>2 A&amp;E departments. An example of this could be conveying a patient to a minor injuries unit or a Walk</w:t>
      </w:r>
      <w:r w:rsidRPr="00ED59F5">
        <w:t>-in Centre, a specialist stroke or cardiac centre, GP service or any other health or social care service.</w:t>
      </w:r>
    </w:p>
    <w:p w14:paraId="68766231" w14:textId="77777777" w:rsidR="006633FA" w:rsidRPr="00ED59F5" w:rsidRDefault="00851F6D" w:rsidP="00ED59F5">
      <w:pPr>
        <w:pStyle w:val="ListNumber"/>
      </w:pPr>
      <w:r w:rsidRPr="00ED59F5">
        <w:t>Treatment at the scene</w:t>
      </w:r>
      <w:r w:rsidR="006633FA" w:rsidRPr="00ED59F5">
        <w:t>:</w:t>
      </w:r>
    </w:p>
    <w:p w14:paraId="20A1D981" w14:textId="77777777" w:rsidR="00851F6D" w:rsidRPr="00ED59F5" w:rsidRDefault="00851F6D" w:rsidP="00ED59F5">
      <w:pPr>
        <w:pStyle w:val="ListNumber"/>
      </w:pPr>
      <w:r w:rsidRPr="00ED59F5">
        <w:t xml:space="preserve">Include those incidents where patients were treated at the scene by the ambulance service and as a result of that treatment no patients required onward transportation for further treatment. If, as part of that treatment, the </w:t>
      </w:r>
      <w:r w:rsidR="008D566A" w:rsidRPr="00ED59F5">
        <w:t>A</w:t>
      </w:r>
      <w:r w:rsidRPr="00ED59F5">
        <w:t xml:space="preserve">mbulance </w:t>
      </w:r>
      <w:r w:rsidR="008D566A" w:rsidRPr="00ED59F5">
        <w:t>Service</w:t>
      </w:r>
      <w:r w:rsidRPr="00ED59F5">
        <w:t xml:space="preserve"> staff arranged, for example, an appointment for the patient at a GP surgery or a follow-up home visit from a health professional</w:t>
      </w:r>
      <w:r w:rsidR="008D566A" w:rsidRPr="00ED59F5">
        <w:t>,</w:t>
      </w:r>
      <w:r w:rsidRPr="00ED59F5">
        <w:t xml:space="preserve"> that should also be counted as treatment at the scene. Responses where ambulance trust staff attended an incident and advice was given</w:t>
      </w:r>
      <w:r w:rsidR="008D566A" w:rsidRPr="00ED59F5">
        <w:t>,</w:t>
      </w:r>
      <w:r w:rsidRPr="00ED59F5">
        <w:t xml:space="preserve"> but no clinical intervention was necessary with </w:t>
      </w:r>
      <w:proofErr w:type="gramStart"/>
      <w:r w:rsidRPr="00ED59F5">
        <w:t>no</w:t>
      </w:r>
      <w:proofErr w:type="gramEnd"/>
      <w:r w:rsidRPr="00ED59F5">
        <w:t xml:space="preserve"> onward transportation required, should also be included as treatment at the scene.</w:t>
      </w:r>
    </w:p>
    <w:p w14:paraId="7C21EC52" w14:textId="77777777" w:rsidR="00851F6D" w:rsidRDefault="00851F6D" w:rsidP="00ED59F5">
      <w:pPr>
        <w:pStyle w:val="ListNumber"/>
      </w:pPr>
      <w:r w:rsidRPr="00ED59F5">
        <w:t xml:space="preserve">From 01 April 2007, all “urgent” calls have been prioritised and </w:t>
      </w:r>
      <w:r w:rsidR="00E2715C" w:rsidRPr="00ED59F5">
        <w:t>categoris</w:t>
      </w:r>
      <w:r w:rsidRPr="00ED59F5">
        <w:t>ed in the same way as emergency calls. However, these “urgent” calls should not be included</w:t>
      </w:r>
      <w:r w:rsidRPr="00B44EB5">
        <w:t xml:space="preserve"> with data for emer</w:t>
      </w:r>
      <w:r w:rsidR="008D566A">
        <w:t>gency calls for this indicator.</w:t>
      </w:r>
    </w:p>
    <w:p w14:paraId="3C740A6A" w14:textId="77777777" w:rsidR="00851F6D" w:rsidRPr="00B44EB5" w:rsidRDefault="00851F6D" w:rsidP="00ED59F5">
      <w:pPr>
        <w:pStyle w:val="ListNumber"/>
      </w:pPr>
      <w:r w:rsidRPr="00B44EB5">
        <w:t>Calls from a</w:t>
      </w:r>
      <w:r w:rsidR="00975A30">
        <w:t>n</w:t>
      </w:r>
      <w:r w:rsidRPr="00B44EB5">
        <w:t xml:space="preserve"> </w:t>
      </w:r>
      <w:r w:rsidR="00975A30">
        <w:t>HCP</w:t>
      </w:r>
      <w:r w:rsidRPr="00B44EB5">
        <w:t xml:space="preserve"> should be excluded from this indicator </w:t>
      </w:r>
      <w:r w:rsidR="008D566A">
        <w:t>because</w:t>
      </w:r>
      <w:r w:rsidRPr="00B44EB5">
        <w:t xml:space="preserve"> a likely transport and destination has been pre-determined, whether urgent or immediate</w:t>
      </w:r>
      <w:r w:rsidR="008D566A">
        <w:t>,</w:t>
      </w:r>
      <w:r w:rsidRPr="00B44EB5">
        <w:t xml:space="preserve"> as none of these calls can be transported to an alternative destination or treated at scene</w:t>
      </w:r>
      <w:r w:rsidR="002D0D1B">
        <w:t>.</w:t>
      </w:r>
    </w:p>
    <w:p w14:paraId="4AC04B77" w14:textId="77777777" w:rsidR="00851F6D" w:rsidRPr="00B44EB5" w:rsidRDefault="00851F6D" w:rsidP="00ED59F5">
      <w:pPr>
        <w:pStyle w:val="ListNumber"/>
      </w:pPr>
      <w:r w:rsidRPr="00B44EB5">
        <w:t xml:space="preserve">All calls that have been passed from </w:t>
      </w:r>
      <w:r w:rsidR="00C01824">
        <w:t xml:space="preserve">NHS </w:t>
      </w:r>
      <w:r w:rsidRPr="00B44EB5">
        <w:t>111 as requiring an ambulance response either electronically or manually should be included in this indicator</w:t>
      </w:r>
    </w:p>
    <w:p w14:paraId="4E1BEE98" w14:textId="77777777" w:rsidR="00851F6D" w:rsidRPr="003F2ACF" w:rsidRDefault="00851F6D" w:rsidP="002627BA">
      <w:pPr>
        <w:pStyle w:val="Heading5"/>
      </w:pPr>
      <w:r w:rsidRPr="00A23B10">
        <w:t xml:space="preserve">Monitoring Data </w:t>
      </w:r>
      <w:r w:rsidR="0026609E">
        <w:t>Source</w:t>
      </w:r>
    </w:p>
    <w:p w14:paraId="209D194F" w14:textId="77777777" w:rsidR="00851F6D" w:rsidRPr="003F2ACF" w:rsidRDefault="0065367C" w:rsidP="00103121">
      <w:pPr>
        <w:pStyle w:val="ListNumber"/>
      </w:pPr>
      <w:r>
        <w:t>Ambulance CAD system.</w:t>
      </w:r>
    </w:p>
    <w:p w14:paraId="45E0A83E" w14:textId="77777777" w:rsidR="00851F6D" w:rsidRPr="00111A9F" w:rsidRDefault="00851F6D" w:rsidP="002627BA">
      <w:pPr>
        <w:pStyle w:val="Heading3"/>
      </w:pPr>
      <w:bookmarkStart w:id="22" w:name="SRS17_1_1_1"/>
      <w:r w:rsidRPr="00787E4F">
        <w:t>SRS17_1_1_1</w:t>
      </w:r>
      <w:bookmarkEnd w:id="22"/>
      <w:r w:rsidRPr="00787E4F">
        <w:t>: Number of Transported Incidents</w:t>
      </w:r>
    </w:p>
    <w:p w14:paraId="56A3235F" w14:textId="77777777" w:rsidR="00851F6D" w:rsidRPr="009E5961" w:rsidRDefault="00851F6D" w:rsidP="002627BA">
      <w:pPr>
        <w:pStyle w:val="Heading5"/>
      </w:pPr>
      <w:r w:rsidRPr="009E5961">
        <w:t>Detail</w:t>
      </w:r>
      <w:r w:rsidR="00E658A1">
        <w:t>e</w:t>
      </w:r>
      <w:r w:rsidRPr="009E5961">
        <w:t xml:space="preserve">d </w:t>
      </w:r>
      <w:r w:rsidR="0026609E">
        <w:t>Descriptor</w:t>
      </w:r>
    </w:p>
    <w:p w14:paraId="4B90CCFA" w14:textId="77777777" w:rsidR="00851F6D" w:rsidRPr="004D468D" w:rsidRDefault="00851F6D" w:rsidP="00ED59F5">
      <w:pPr>
        <w:pStyle w:val="ListNumber"/>
      </w:pPr>
      <w:r w:rsidRPr="0022049F">
        <w:t xml:space="preserve">The number of emergency and urgent incidents resulting in a patient being transported to Type 1 &amp; </w:t>
      </w:r>
      <w:r w:rsidR="0048603A">
        <w:t xml:space="preserve">Type </w:t>
      </w:r>
      <w:r w:rsidRPr="0022049F">
        <w:t xml:space="preserve">2 </w:t>
      </w:r>
      <w:proofErr w:type="gramStart"/>
      <w:r w:rsidRPr="0022049F">
        <w:t>A&amp;Es</w:t>
      </w:r>
      <w:proofErr w:type="gramEnd"/>
      <w:r w:rsidRPr="0022049F">
        <w:t>.</w:t>
      </w:r>
    </w:p>
    <w:p w14:paraId="0D146804" w14:textId="77777777" w:rsidR="00851F6D" w:rsidRPr="004D468D" w:rsidRDefault="00851F6D" w:rsidP="002627BA">
      <w:pPr>
        <w:pStyle w:val="Heading5"/>
      </w:pPr>
      <w:r w:rsidRPr="004D468D">
        <w:t xml:space="preserve">Data </w:t>
      </w:r>
      <w:r w:rsidR="0026609E">
        <w:t>Definition</w:t>
      </w:r>
    </w:p>
    <w:p w14:paraId="62E72915" w14:textId="77777777" w:rsidR="00851F6D" w:rsidRPr="00787E4F" w:rsidRDefault="00851F6D" w:rsidP="00ED59F5">
      <w:pPr>
        <w:pStyle w:val="ListNumber"/>
      </w:pPr>
      <w:r w:rsidRPr="00787E4F">
        <w:t xml:space="preserve">Include only those incidents which resulted in a patient being conveyed as a result of an emergency call made by a member of the public or organisation, or as a result of being categorised as requiring an emergency response </w:t>
      </w:r>
      <w:r w:rsidR="00975A30">
        <w:t xml:space="preserve">following a referral by an HCP </w:t>
      </w:r>
      <w:r w:rsidRPr="00787E4F">
        <w:t xml:space="preserve">or electronically transferred to the CAD </w:t>
      </w:r>
      <w:r w:rsidR="008D566A">
        <w:t>system from another CAD system.</w:t>
      </w:r>
    </w:p>
    <w:p w14:paraId="591FFD58" w14:textId="77777777" w:rsidR="00851F6D" w:rsidRPr="00787E4F" w:rsidRDefault="00851F6D" w:rsidP="00ED59F5">
      <w:pPr>
        <w:pStyle w:val="ListNumber"/>
      </w:pPr>
      <w:r w:rsidRPr="00787E4F">
        <w:t>Journeys without patients should be excluded</w:t>
      </w:r>
      <w:r w:rsidR="002D0D1B">
        <w:t>.</w:t>
      </w:r>
    </w:p>
    <w:p w14:paraId="3B46F654" w14:textId="77777777"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be included in this indicator.</w:t>
      </w:r>
    </w:p>
    <w:p w14:paraId="2C64DACB" w14:textId="77777777" w:rsidR="00851F6D" w:rsidRPr="004D468D" w:rsidRDefault="00851F6D" w:rsidP="00ED59F5">
      <w:pPr>
        <w:pStyle w:val="ListNumber"/>
      </w:pPr>
      <w:r w:rsidRPr="0022049F">
        <w:t xml:space="preserve">From 01 April 2007, all “urgent” calls have been prioritised and </w:t>
      </w:r>
      <w:r w:rsidR="00E2715C">
        <w:t>categoris</w:t>
      </w:r>
      <w:r w:rsidRPr="0022049F">
        <w:t>ed in the same way as emergency calls. These “urgent” calls should be included with data for emergency journeys for this indicator</w:t>
      </w:r>
      <w:r w:rsidR="002D0D1B">
        <w:t>.</w:t>
      </w:r>
    </w:p>
    <w:p w14:paraId="342A7543" w14:textId="77777777" w:rsidR="00851F6D" w:rsidRPr="009E5961" w:rsidRDefault="00851F6D" w:rsidP="002627BA">
      <w:pPr>
        <w:pStyle w:val="Heading5"/>
      </w:pPr>
      <w:r w:rsidRPr="009E5961">
        <w:t xml:space="preserve">Monitoring Data </w:t>
      </w:r>
      <w:r w:rsidR="0026609E">
        <w:t>Source</w:t>
      </w:r>
    </w:p>
    <w:p w14:paraId="5BE16B2C" w14:textId="77777777" w:rsidR="00851F6D" w:rsidRDefault="0065367C" w:rsidP="00ED59F5">
      <w:pPr>
        <w:pStyle w:val="ListNumber"/>
      </w:pPr>
      <w:r>
        <w:t>Ambulance CAD system.</w:t>
      </w:r>
    </w:p>
    <w:p w14:paraId="44156F5E" w14:textId="77777777" w:rsidR="000D0A75" w:rsidRDefault="000D0A75" w:rsidP="000D0A75">
      <w:pPr>
        <w:pStyle w:val="BodyText"/>
      </w:pPr>
    </w:p>
    <w:p w14:paraId="3AD30B3F" w14:textId="77777777" w:rsidR="00FD1943" w:rsidRDefault="005A703E" w:rsidP="000D0A75">
      <w:pPr>
        <w:pStyle w:val="Heading3"/>
      </w:pPr>
      <w:bookmarkStart w:id="23" w:name="_Additional_Guidance_on"/>
      <w:bookmarkStart w:id="24" w:name="AdditionalSIGuidance"/>
      <w:bookmarkEnd w:id="23"/>
      <w:r>
        <w:t>A</w:t>
      </w:r>
      <w:r w:rsidR="00FD1943">
        <w:t>dditional Guidance on Systems Indicators</w:t>
      </w:r>
    </w:p>
    <w:p w14:paraId="4D6335CB" w14:textId="125F3C17" w:rsidR="008A1E69" w:rsidRDefault="008A1E69" w:rsidP="00ED59F5">
      <w:pPr>
        <w:pStyle w:val="ListNumber"/>
      </w:pPr>
      <w:r w:rsidRPr="00902DCB">
        <w:t>The AQI</w:t>
      </w:r>
      <w:r w:rsidR="00902DCB">
        <w:t>’s</w:t>
      </w:r>
      <w:r w:rsidRPr="00902DCB">
        <w:t xml:space="preserve"> apply equally to calls </w:t>
      </w:r>
      <w:r w:rsidR="00902DCB">
        <w:t>originating via</w:t>
      </w:r>
      <w:r w:rsidR="00902DCB" w:rsidRPr="00902DCB">
        <w:t xml:space="preserve"> </w:t>
      </w:r>
      <w:r w:rsidRPr="00902DCB">
        <w:t xml:space="preserve">999 and </w:t>
      </w:r>
      <w:r w:rsidR="00902DCB">
        <w:t>originating from</w:t>
      </w:r>
      <w:r w:rsidRPr="00902DCB">
        <w:t xml:space="preserve"> 112.</w:t>
      </w:r>
    </w:p>
    <w:bookmarkEnd w:id="24"/>
    <w:p w14:paraId="721398A4" w14:textId="77777777" w:rsidR="00FD1943" w:rsidRDefault="00FD1943" w:rsidP="00ED59F5">
      <w:pPr>
        <w:pStyle w:val="ListNumber"/>
      </w:pPr>
      <w:r>
        <w:t>Ambulance attendance at an event</w:t>
      </w:r>
      <w:r w:rsidR="000A3B5F">
        <w:t>, whereby the activity can be included in the AQI,</w:t>
      </w:r>
      <w:r>
        <w:t xml:space="preserve"> requires:</w:t>
      </w:r>
    </w:p>
    <w:p w14:paraId="74D3BAFE" w14:textId="77777777" w:rsidR="00FD1943" w:rsidRPr="00EC215E" w:rsidRDefault="00FD1943" w:rsidP="00EC215E">
      <w:pPr>
        <w:pStyle w:val="Heading3"/>
        <w:numPr>
          <w:ilvl w:val="0"/>
          <w:numId w:val="29"/>
        </w:numPr>
        <w:rPr>
          <w:b w:val="0"/>
        </w:rPr>
      </w:pPr>
      <w:r w:rsidRPr="00EC215E">
        <w:rPr>
          <w:b w:val="0"/>
        </w:rPr>
        <w:t xml:space="preserve">A partner organisation, in attendance at a planned event at which an incident occurs, with whom the Service has an overarching agreement (such as a Service Level Agreement (SLA), Memorandum of Understanding (MOU) or Event Plan); </w:t>
      </w:r>
    </w:p>
    <w:p w14:paraId="79B9A65E" w14:textId="77777777" w:rsidR="00FD1943" w:rsidRPr="00EC215E" w:rsidRDefault="00FD1943" w:rsidP="00EC215E">
      <w:pPr>
        <w:pStyle w:val="Heading3"/>
        <w:numPr>
          <w:ilvl w:val="0"/>
          <w:numId w:val="29"/>
        </w:numPr>
        <w:rPr>
          <w:b w:val="0"/>
        </w:rPr>
      </w:pPr>
      <w:r w:rsidRPr="00EC215E">
        <w:t xml:space="preserve">Or </w:t>
      </w:r>
      <w:r w:rsidRPr="00EC215E">
        <w:rPr>
          <w:b w:val="0"/>
        </w:rPr>
        <w:t>a partner organisation, in attendance at an incident where the plan for the planned event (for example, a sporting event), has been signed off by the Ambulance Service, and the Ambulance Service have the normal command input in place;</w:t>
      </w:r>
    </w:p>
    <w:p w14:paraId="62306D57" w14:textId="77777777" w:rsidR="00FD1943" w:rsidRPr="00EC215E" w:rsidRDefault="008429A5" w:rsidP="00EC215E">
      <w:pPr>
        <w:pStyle w:val="Heading3"/>
        <w:numPr>
          <w:ilvl w:val="0"/>
          <w:numId w:val="29"/>
        </w:numPr>
        <w:rPr>
          <w:b w:val="0"/>
        </w:rPr>
      </w:pPr>
      <w:r w:rsidRPr="00EC215E">
        <w:t>Or</w:t>
      </w:r>
      <w:r w:rsidRPr="00EC215E">
        <w:rPr>
          <w:b w:val="0"/>
        </w:rPr>
        <w:t xml:space="preserve"> a</w:t>
      </w:r>
      <w:r w:rsidR="00FD1943" w:rsidRPr="00EC215E">
        <w:rPr>
          <w:b w:val="0"/>
        </w:rPr>
        <w:t>n emergency vehicle, belonging to the Trust, or the organisation a SLA / MOU is held with, attends a patient.</w:t>
      </w:r>
    </w:p>
    <w:p w14:paraId="76DF92EC" w14:textId="77777777" w:rsidR="00FD1943" w:rsidRDefault="00FD1943" w:rsidP="00ED59F5">
      <w:pPr>
        <w:pStyle w:val="ListNumber"/>
      </w:pPr>
      <w:r>
        <w:t>Reporting on subsequent calls with a different priority from the original call:</w:t>
      </w:r>
    </w:p>
    <w:p w14:paraId="7A144C49" w14:textId="67F23B10" w:rsidR="00FD1943" w:rsidRPr="00EC215E" w:rsidRDefault="00FD1943" w:rsidP="00EC215E">
      <w:pPr>
        <w:pStyle w:val="Heading3"/>
        <w:numPr>
          <w:ilvl w:val="0"/>
          <w:numId w:val="30"/>
        </w:numPr>
        <w:rPr>
          <w:b w:val="0"/>
        </w:rPr>
      </w:pPr>
      <w:r w:rsidRPr="00EC215E">
        <w:rPr>
          <w:b w:val="0"/>
        </w:rPr>
        <w:t>If a further call is received from any source (HCP or public 999) and is triaged to a higher ca</w:t>
      </w:r>
      <w:r w:rsidR="00DB1311" w:rsidRPr="00EC215E">
        <w:rPr>
          <w:b w:val="0"/>
        </w:rPr>
        <w:t xml:space="preserve">tegory than the original call, </w:t>
      </w:r>
      <w:r w:rsidRPr="00EC215E">
        <w:rPr>
          <w:b w:val="0"/>
        </w:rPr>
        <w:t xml:space="preserve">then the </w:t>
      </w:r>
      <w:r w:rsidR="00554A4D" w:rsidRPr="00EC215E">
        <w:rPr>
          <w:b w:val="0"/>
        </w:rPr>
        <w:t>clock start should be from the upgrading call</w:t>
      </w:r>
      <w:r w:rsidR="000A3B5F" w:rsidRPr="00EC215E">
        <w:rPr>
          <w:b w:val="0"/>
        </w:rPr>
        <w:t xml:space="preserve">. </w:t>
      </w:r>
      <w:r w:rsidR="00554A4D" w:rsidRPr="00EC215E">
        <w:rPr>
          <w:b w:val="0"/>
        </w:rPr>
        <w:t>If</w:t>
      </w:r>
      <w:r w:rsidRPr="00EC215E">
        <w:rPr>
          <w:b w:val="0"/>
        </w:rPr>
        <w:t xml:space="preserve"> a Green call is subsequently upgraded to Red</w:t>
      </w:r>
      <w:r w:rsidR="000A3B5F" w:rsidRPr="00EC215E">
        <w:rPr>
          <w:b w:val="0"/>
        </w:rPr>
        <w:t>,</w:t>
      </w:r>
      <w:r w:rsidRPr="00EC215E">
        <w:rPr>
          <w:b w:val="0"/>
        </w:rPr>
        <w:t xml:space="preserve"> </w:t>
      </w:r>
      <w:r w:rsidR="00554A4D" w:rsidRPr="00EC215E">
        <w:rPr>
          <w:b w:val="0"/>
        </w:rPr>
        <w:t>the clock start from the upgrading call will apply, as stated in HQU03_01a.</w:t>
      </w:r>
    </w:p>
    <w:p w14:paraId="141DB228" w14:textId="462290C2" w:rsidR="009008F7" w:rsidRDefault="009008F7" w:rsidP="009008F7">
      <w:pPr>
        <w:pStyle w:val="Heading3"/>
        <w:numPr>
          <w:ilvl w:val="0"/>
          <w:numId w:val="30"/>
        </w:numPr>
        <w:rPr>
          <w:b w:val="0"/>
        </w:rPr>
      </w:pPr>
      <w:r w:rsidRPr="009008F7">
        <w:rPr>
          <w:b w:val="0"/>
        </w:rPr>
        <w:t>If a further call is received from any source (HCP or public 999) and is triaged to a lower category than the original call, then the clock start should be from the downgrad</w:t>
      </w:r>
      <w:r w:rsidR="001C17DB">
        <w:rPr>
          <w:b w:val="0"/>
        </w:rPr>
        <w:t>ing</w:t>
      </w:r>
      <w:r w:rsidRPr="009008F7">
        <w:rPr>
          <w:b w:val="0"/>
        </w:rPr>
        <w:t xml:space="preserve"> call. Only a registered HCP is able to agree a downgrade of call, through a telephone call to the EOC, and before a resource has arrived on scene</w:t>
      </w:r>
      <w:r w:rsidR="00F572F1">
        <w:rPr>
          <w:b w:val="0"/>
        </w:rPr>
        <w:t>.</w:t>
      </w:r>
      <w:r w:rsidRPr="009008F7">
        <w:rPr>
          <w:b w:val="0"/>
        </w:rPr>
        <w:t xml:space="preserve"> </w:t>
      </w:r>
    </w:p>
    <w:p w14:paraId="092D767A" w14:textId="52486645" w:rsidR="00FD1943" w:rsidRPr="00EC215E" w:rsidRDefault="00FD1943" w:rsidP="009008F7">
      <w:pPr>
        <w:pStyle w:val="Heading3"/>
        <w:numPr>
          <w:ilvl w:val="0"/>
          <w:numId w:val="30"/>
        </w:numPr>
        <w:rPr>
          <w:b w:val="0"/>
        </w:rPr>
      </w:pPr>
      <w:r w:rsidRPr="00EC215E">
        <w:rPr>
          <w:b w:val="0"/>
        </w:rPr>
        <w:t>In both scenarios above</w:t>
      </w:r>
      <w:r w:rsidR="005A703E" w:rsidRPr="00EC215E">
        <w:rPr>
          <w:b w:val="0"/>
        </w:rPr>
        <w:t>,</w:t>
      </w:r>
      <w:r w:rsidRPr="00EC215E">
        <w:rPr>
          <w:b w:val="0"/>
        </w:rPr>
        <w:t xml:space="preserve"> the original call is then closed as a duplicate call to </w:t>
      </w:r>
      <w:r w:rsidR="005A703E" w:rsidRPr="00EC215E">
        <w:rPr>
          <w:b w:val="0"/>
        </w:rPr>
        <w:t xml:space="preserve">avoid </w:t>
      </w:r>
      <w:r w:rsidRPr="00EC215E">
        <w:rPr>
          <w:b w:val="0"/>
        </w:rPr>
        <w:t>double counting.</w:t>
      </w:r>
    </w:p>
    <w:p w14:paraId="3026DC32" w14:textId="77777777" w:rsidR="00FD1943" w:rsidRDefault="00FD1943" w:rsidP="00ED59F5">
      <w:pPr>
        <w:pStyle w:val="ListNumber"/>
      </w:pPr>
      <w:r>
        <w:t>Cross Border Calls</w:t>
      </w:r>
      <w:r w:rsidR="00DB1311">
        <w:t>:</w:t>
      </w:r>
    </w:p>
    <w:p w14:paraId="5DDA34A4" w14:textId="4CA59822" w:rsidR="008A1E69" w:rsidRPr="00EC215E" w:rsidRDefault="00FD1943" w:rsidP="00EC215E">
      <w:pPr>
        <w:pStyle w:val="Heading3"/>
        <w:numPr>
          <w:ilvl w:val="0"/>
          <w:numId w:val="31"/>
        </w:numPr>
        <w:rPr>
          <w:b w:val="0"/>
        </w:rPr>
      </w:pPr>
      <w:r w:rsidRPr="00EC215E">
        <w:rPr>
          <w:b w:val="0"/>
        </w:rPr>
        <w:t>The performance reporting for an incident should sit with the Trust in the are</w:t>
      </w:r>
      <w:r w:rsidR="00DB1311" w:rsidRPr="00EC215E">
        <w:rPr>
          <w:b w:val="0"/>
        </w:rPr>
        <w:t>a in which the incident occurs, u</w:t>
      </w:r>
      <w:r w:rsidRPr="00EC215E">
        <w:rPr>
          <w:b w:val="0"/>
        </w:rPr>
        <w:t>nless there is a reciprocal agreeme</w:t>
      </w:r>
      <w:r w:rsidR="00DB1311" w:rsidRPr="00EC215E">
        <w:rPr>
          <w:b w:val="0"/>
        </w:rPr>
        <w:t>nt around certain border areas.</w:t>
      </w:r>
    </w:p>
    <w:p w14:paraId="7A1421C8" w14:textId="77777777" w:rsidR="00EC215E" w:rsidRDefault="00EC215E">
      <w:pPr>
        <w:spacing w:after="0"/>
        <w:rPr>
          <w:rFonts w:eastAsiaTheme="majorEastAsia" w:cstheme="majorBidi"/>
          <w:b/>
          <w:bCs/>
          <w:iCs/>
          <w:color w:val="0072C6"/>
        </w:rPr>
      </w:pPr>
      <w:r>
        <w:br w:type="page"/>
      </w:r>
    </w:p>
    <w:p w14:paraId="34610878" w14:textId="04743B50" w:rsidR="00F25139" w:rsidRDefault="00F25139" w:rsidP="00BF2491">
      <w:pPr>
        <w:pStyle w:val="Heading4"/>
      </w:pPr>
      <w:r>
        <w:t>Glossary of Terms</w:t>
      </w:r>
    </w:p>
    <w:p w14:paraId="418239F7" w14:textId="77777777" w:rsidR="00F25139" w:rsidRPr="00672F9A" w:rsidRDefault="00F25139" w:rsidP="00BF2491">
      <w:pPr>
        <w:pStyle w:val="Heading5"/>
      </w:pPr>
      <w:r w:rsidRPr="00672F9A">
        <w:t>Static Site</w:t>
      </w:r>
    </w:p>
    <w:p w14:paraId="6E2A13A0" w14:textId="7AF07684" w:rsidR="00F25139" w:rsidRDefault="00F25139" w:rsidP="00BF2491">
      <w:pPr>
        <w:pStyle w:val="ListNumber"/>
      </w:pPr>
      <w:r w:rsidRPr="00672F9A">
        <w:t xml:space="preserve">A location which contains an Automated External Defibrillator </w:t>
      </w:r>
      <w:r w:rsidR="00BF2491">
        <w:t xml:space="preserve">(AED) </w:t>
      </w:r>
      <w:r w:rsidRPr="00672F9A">
        <w:t>and other first responder</w:t>
      </w:r>
      <w:r w:rsidR="00BF2491">
        <w:t xml:space="preserve"> </w:t>
      </w:r>
      <w:r w:rsidRPr="00672F9A">
        <w:t xml:space="preserve">equipment, and where the </w:t>
      </w:r>
      <w:proofErr w:type="gramStart"/>
      <w:r w:rsidRPr="00672F9A">
        <w:t>staff have</w:t>
      </w:r>
      <w:proofErr w:type="gramEnd"/>
      <w:r w:rsidRPr="00672F9A">
        <w:t xml:space="preserve"> been trained by the Ambulance Service. The location is</w:t>
      </w:r>
      <w:r w:rsidR="00BF2491">
        <w:t xml:space="preserve"> </w:t>
      </w:r>
      <w:r w:rsidRPr="00672F9A">
        <w:t>logged in Ambulance Control and these sites are activated by the Ambulance Service for</w:t>
      </w:r>
      <w:r w:rsidR="00BF2491">
        <w:t xml:space="preserve"> </w:t>
      </w:r>
      <w:r w:rsidRPr="00672F9A">
        <w:t>incidents at their location. Some sites can respond outside their main location, depending on</w:t>
      </w:r>
      <w:r w:rsidR="00BF2491">
        <w:t xml:space="preserve"> </w:t>
      </w:r>
      <w:r w:rsidRPr="00672F9A">
        <w:t>the agreement with the Ambulance Service. The Ambulance Service undertakes update</w:t>
      </w:r>
      <w:r w:rsidR="00BF2491">
        <w:t xml:space="preserve"> </w:t>
      </w:r>
      <w:r w:rsidRPr="00672F9A">
        <w:t>training for the staff and manages the governance.</w:t>
      </w:r>
    </w:p>
    <w:p w14:paraId="2D9DA8C1" w14:textId="77777777" w:rsidR="00F25139" w:rsidRPr="00672F9A" w:rsidRDefault="00F25139" w:rsidP="00BF2491">
      <w:pPr>
        <w:pStyle w:val="Heading5"/>
      </w:pPr>
      <w:r w:rsidRPr="00672F9A">
        <w:t>Community Public Access Defibrillator (CPAD)</w:t>
      </w:r>
    </w:p>
    <w:p w14:paraId="1722668D" w14:textId="3F096D2E" w:rsidR="00BF2491" w:rsidRDefault="00F25139" w:rsidP="00BF2491">
      <w:pPr>
        <w:pStyle w:val="ListNumber"/>
      </w:pPr>
      <w:r w:rsidRPr="00672F9A">
        <w:t>An AED at a location which is accessible by the general public</w:t>
      </w:r>
      <w:r w:rsidR="00BF2491">
        <w:t xml:space="preserve">, such as a </w:t>
      </w:r>
      <w:r w:rsidRPr="00672F9A">
        <w:t>train station platform</w:t>
      </w:r>
      <w:r w:rsidR="00BF2491">
        <w:t>,</w:t>
      </w:r>
      <w:r w:rsidRPr="00672F9A">
        <w:t xml:space="preserve"> in</w:t>
      </w:r>
      <w:r w:rsidR="00BF2491">
        <w:t xml:space="preserve"> </w:t>
      </w:r>
      <w:r w:rsidR="00EC215E">
        <w:t xml:space="preserve">an </w:t>
      </w:r>
      <w:r w:rsidRPr="00BF2491">
        <w:t>unlocked</w:t>
      </w:r>
      <w:r w:rsidRPr="00672F9A">
        <w:t xml:space="preserve"> or locked cabinet. These are designed for untrained members of the public to</w:t>
      </w:r>
      <w:r w:rsidR="00BF2491">
        <w:t xml:space="preserve"> a</w:t>
      </w:r>
      <w:r w:rsidRPr="00672F9A">
        <w:t>ccess in the event of an arrest at or near the location</w:t>
      </w:r>
      <w:r w:rsidR="00BF2491">
        <w:t>.</w:t>
      </w:r>
      <w:r w:rsidR="00BF2491">
        <w:br w:type="page"/>
      </w:r>
    </w:p>
    <w:p w14:paraId="1DC4E313" w14:textId="4152A87C" w:rsidR="00851F6D" w:rsidRDefault="00851F6D" w:rsidP="0023451E">
      <w:pPr>
        <w:pStyle w:val="Heading2"/>
      </w:pPr>
      <w:r w:rsidRPr="00233264">
        <w:t>Part 2</w:t>
      </w:r>
      <w:r w:rsidR="00ED59F5">
        <w:t xml:space="preserve"> – </w:t>
      </w:r>
      <w:r w:rsidRPr="00233264">
        <w:t>Clinical Indicators</w:t>
      </w:r>
    </w:p>
    <w:p w14:paraId="5466762D" w14:textId="1F752990" w:rsidR="00767F88" w:rsidRPr="00767F88" w:rsidRDefault="00767F88" w:rsidP="00767F88">
      <w:pPr>
        <w:rPr>
          <w:b/>
        </w:rPr>
      </w:pPr>
      <w:proofErr w:type="gramStart"/>
      <w:r w:rsidRPr="00767F88">
        <w:rPr>
          <w:b/>
        </w:rPr>
        <w:t>N.B.</w:t>
      </w:r>
      <w:proofErr w:type="gramEnd"/>
      <w:r w:rsidRPr="00767F88">
        <w:rPr>
          <w:b/>
        </w:rPr>
        <w:t xml:space="preserve"> During the code set trials the following are considered to be “accelerated clinical indicators”, and should be reported within two weeks of the incident: SQU03_3_1_3; SQU03_5_2_1; SQU03_06a.</w:t>
      </w:r>
    </w:p>
    <w:p w14:paraId="25481E0E" w14:textId="0A3AE655" w:rsidR="005E2B1A" w:rsidRPr="00C34523" w:rsidRDefault="005E2B1A" w:rsidP="002627BA">
      <w:pPr>
        <w:pStyle w:val="Heading3"/>
      </w:pPr>
      <w:r w:rsidRPr="00C34523">
        <w:t xml:space="preserve">SQU03_03: Outcome from Cardiac Arrest – </w:t>
      </w:r>
      <w:r w:rsidR="00E530A3">
        <w:t xml:space="preserve">Time to Treatment and </w:t>
      </w:r>
      <w:r w:rsidRPr="00C34523">
        <w:t>Return of Spontaneous Circulation</w:t>
      </w:r>
      <w:r w:rsidR="00A906B9" w:rsidRPr="00C34523">
        <w:t xml:space="preserve"> </w:t>
      </w:r>
    </w:p>
    <w:p w14:paraId="5AB5C3DE" w14:textId="77777777" w:rsidR="005E2B1A" w:rsidRPr="00C34523" w:rsidRDefault="005E2B1A" w:rsidP="002627BA">
      <w:pPr>
        <w:pStyle w:val="Heading5"/>
      </w:pPr>
      <w:r w:rsidRPr="00C34523">
        <w:t xml:space="preserve">Detailed </w:t>
      </w:r>
      <w:r w:rsidR="0026609E">
        <w:t>Descriptor</w:t>
      </w:r>
    </w:p>
    <w:p w14:paraId="0A28121D" w14:textId="3B2E95E6" w:rsidR="005E2B1A" w:rsidRPr="00C34523" w:rsidRDefault="005E2B1A" w:rsidP="00ED59F5">
      <w:pPr>
        <w:pStyle w:val="ListNumber"/>
      </w:pPr>
      <w:r w:rsidRPr="00C34523">
        <w:t xml:space="preserve">Outcome from cardiac arrest, measured by </w:t>
      </w:r>
      <w:r w:rsidR="00E530A3">
        <w:t xml:space="preserve">time to commence resuscitation, time to first defibrillation and </w:t>
      </w:r>
      <w:r w:rsidRPr="00C34523">
        <w:t>return of spontaneous circulation (ROSC) at point of arrival of the patient at hospital.</w:t>
      </w:r>
      <w:r w:rsidR="00E94657">
        <w:t xml:space="preserve"> </w:t>
      </w:r>
    </w:p>
    <w:p w14:paraId="3E4B9CAE" w14:textId="77777777" w:rsidR="005E2B1A" w:rsidRPr="00C34523" w:rsidRDefault="005E2B1A" w:rsidP="002627BA">
      <w:pPr>
        <w:pStyle w:val="Heading5"/>
      </w:pPr>
      <w:r w:rsidRPr="00C34523">
        <w:t xml:space="preserve">Data </w:t>
      </w:r>
      <w:r w:rsidR="0026609E">
        <w:t>Definition</w:t>
      </w:r>
    </w:p>
    <w:p w14:paraId="05395ADF" w14:textId="33AE70F4" w:rsidR="00E530A3" w:rsidRDefault="00E530A3" w:rsidP="002627BA">
      <w:pPr>
        <w:pStyle w:val="Heading4"/>
      </w:pPr>
      <w:r w:rsidRPr="00E530A3">
        <w:t xml:space="preserve">SQU03_03a: </w:t>
      </w:r>
      <w:r>
        <w:t>Time to commence resuscitation</w:t>
      </w:r>
      <w:r w:rsidRPr="00E530A3">
        <w:t xml:space="preserve"> (Overall)</w:t>
      </w:r>
    </w:p>
    <w:p w14:paraId="5E235F6C" w14:textId="01F93D6C" w:rsidR="0008719E" w:rsidRDefault="00E530A3" w:rsidP="0008719E">
      <w:pPr>
        <w:pStyle w:val="ListNumber"/>
      </w:pPr>
      <w:r w:rsidRPr="00283663">
        <w:rPr>
          <w:b/>
        </w:rPr>
        <w:t>SQU03_3_1_1</w:t>
      </w:r>
      <w:r>
        <w:t xml:space="preserve">: Of the patients included in the denominator, the </w:t>
      </w:r>
      <w:r w:rsidR="005E46D5">
        <w:t xml:space="preserve">median </w:t>
      </w:r>
      <w:r>
        <w:t xml:space="preserve">time between </w:t>
      </w:r>
      <w:r w:rsidRPr="00E530A3">
        <w:t>T0, the point the call is connected to the Emergency Operations Centre (EOC) telephony switch</w:t>
      </w:r>
      <w:r>
        <w:t>, and the time when chest compressions are first commenced by any person (member of the public or ambulance personnel). If CPR has already been commenced at T0 this should be recorded as zero.</w:t>
      </w:r>
    </w:p>
    <w:p w14:paraId="7FD93A85" w14:textId="71FEB098" w:rsidR="0008719E" w:rsidRPr="0008719E" w:rsidRDefault="0008719E" w:rsidP="0008719E">
      <w:pPr>
        <w:pStyle w:val="ListNumber"/>
      </w:pPr>
      <w:r>
        <w:t>Patients who suffer a cardiac arrest following the arrival of ambulance personnel should be excluded.</w:t>
      </w:r>
    </w:p>
    <w:p w14:paraId="49173CCD" w14:textId="38F1C4D6" w:rsidR="00E530A3" w:rsidRPr="00725663" w:rsidRDefault="00E530A3" w:rsidP="00E530A3">
      <w:pPr>
        <w:pStyle w:val="Heading4"/>
      </w:pPr>
      <w:r>
        <w:t>SQU03_03b:</w:t>
      </w:r>
      <w:r w:rsidRPr="00C34523">
        <w:t xml:space="preserve"> </w:t>
      </w:r>
      <w:r>
        <w:t>Time to first defibrillation</w:t>
      </w:r>
      <w:r w:rsidRPr="00725663">
        <w:t xml:space="preserve"> (</w:t>
      </w:r>
      <w:r w:rsidR="0008719E">
        <w:t>Those receiving defibrillation</w:t>
      </w:r>
      <w:r w:rsidRPr="00725663">
        <w:t>)</w:t>
      </w:r>
    </w:p>
    <w:p w14:paraId="1DD2EB6F" w14:textId="450E5E3F" w:rsidR="0008719E" w:rsidRDefault="00E530A3" w:rsidP="0008719E">
      <w:pPr>
        <w:pStyle w:val="ListNumber"/>
      </w:pPr>
      <w:r>
        <w:rPr>
          <w:b/>
        </w:rPr>
        <w:t xml:space="preserve">SQU03_3_1_2: </w:t>
      </w:r>
      <w:r w:rsidRPr="00E530A3">
        <w:t xml:space="preserve">Of the patients included in the denominator, the </w:t>
      </w:r>
      <w:r w:rsidR="005E46D5">
        <w:t xml:space="preserve">median </w:t>
      </w:r>
      <w:r w:rsidRPr="00E530A3">
        <w:t xml:space="preserve">time between T0, the point the call is connected to the Emergency Operations Centre (EOC) telephony switch, and the time when </w:t>
      </w:r>
      <w:r>
        <w:t xml:space="preserve">the first defibrillating shock is delivered. </w:t>
      </w:r>
      <w:r w:rsidRPr="00E530A3">
        <w:t xml:space="preserve">If </w:t>
      </w:r>
      <w:r>
        <w:t xml:space="preserve">a defibrillating shock has </w:t>
      </w:r>
      <w:r w:rsidRPr="00E530A3">
        <w:t xml:space="preserve">already been </w:t>
      </w:r>
      <w:r>
        <w:t xml:space="preserve">given before </w:t>
      </w:r>
      <w:r w:rsidRPr="00E530A3">
        <w:t>T0 this should be recorded as zero.</w:t>
      </w:r>
      <w:r>
        <w:t xml:space="preserve"> </w:t>
      </w:r>
    </w:p>
    <w:p w14:paraId="3C2A9808" w14:textId="12208505" w:rsidR="00E530A3" w:rsidRPr="00E530A3" w:rsidRDefault="00E530A3" w:rsidP="0008719E">
      <w:pPr>
        <w:pStyle w:val="ListNumber"/>
      </w:pPr>
      <w:r>
        <w:t xml:space="preserve">Patients who </w:t>
      </w:r>
      <w:r w:rsidR="0008719E">
        <w:t xml:space="preserve">suffer a cardiac arrest following the arrival of ambulance personnel, and those who </w:t>
      </w:r>
      <w:r>
        <w:t xml:space="preserve">do not receive </w:t>
      </w:r>
      <w:r w:rsidR="0008719E">
        <w:t>defibrillation at any time</w:t>
      </w:r>
      <w:r w:rsidR="00283663">
        <w:t xml:space="preserve"> during the resuscitation</w:t>
      </w:r>
      <w:r w:rsidR="0008719E">
        <w:t>, should be excluded.</w:t>
      </w:r>
      <w:r>
        <w:t xml:space="preserve"> </w:t>
      </w:r>
    </w:p>
    <w:p w14:paraId="75C69740" w14:textId="77777777" w:rsidR="005E2B1A" w:rsidRPr="00725663" w:rsidRDefault="006C53F1" w:rsidP="002627BA">
      <w:pPr>
        <w:pStyle w:val="Heading4"/>
      </w:pPr>
      <w:r>
        <w:t>SQU03_03a</w:t>
      </w:r>
      <w:r w:rsidR="00892D2C">
        <w:t>:</w:t>
      </w:r>
      <w:r w:rsidR="005E2B1A" w:rsidRPr="00C34523">
        <w:t xml:space="preserve"> ROSC at time of arrival at </w:t>
      </w:r>
      <w:r w:rsidR="005E2B1A" w:rsidRPr="00725663">
        <w:t>hospital (Overall)</w:t>
      </w:r>
    </w:p>
    <w:p w14:paraId="5EA55C7F" w14:textId="16153ECF" w:rsidR="005E2B1A" w:rsidRPr="00725663" w:rsidRDefault="005E2B1A" w:rsidP="00ED59F5">
      <w:pPr>
        <w:pStyle w:val="ListNumber"/>
      </w:pPr>
      <w:bookmarkStart w:id="25" w:name="SQU03_3_1_1"/>
      <w:r w:rsidRPr="00725663">
        <w:rPr>
          <w:b/>
        </w:rPr>
        <w:t>SQU03_3_1_</w:t>
      </w:r>
      <w:bookmarkEnd w:id="25"/>
      <w:r w:rsidR="00283663">
        <w:rPr>
          <w:b/>
        </w:rPr>
        <w:t>3</w:t>
      </w:r>
      <w:r w:rsidRPr="00725663">
        <w:rPr>
          <w:b/>
        </w:rPr>
        <w:t>:</w:t>
      </w:r>
      <w:r w:rsidRPr="00725663">
        <w:t xml:space="preserve"> Of the patients included in the denominator, the number of patients who had return of spontaneous circulation on arrival at hospital.</w:t>
      </w:r>
    </w:p>
    <w:p w14:paraId="08DA63DC" w14:textId="77777777" w:rsidR="005E2B1A" w:rsidRPr="00725663" w:rsidRDefault="005E2B1A" w:rsidP="00ED59F5">
      <w:pPr>
        <w:pStyle w:val="ListNumber"/>
      </w:pPr>
      <w:r w:rsidRPr="00725663">
        <w:t>Time of arrival refers to point of arrival of the patient at the receiving hospital</w:t>
      </w:r>
      <w:r w:rsidR="002D0D1B">
        <w:t>.</w:t>
      </w:r>
    </w:p>
    <w:p w14:paraId="3D359BBB" w14:textId="3EA9C612" w:rsidR="005E2B1A" w:rsidRPr="00725663" w:rsidRDefault="005E2B1A" w:rsidP="00ED59F5">
      <w:pPr>
        <w:pStyle w:val="ListNumber"/>
      </w:pPr>
      <w:bookmarkStart w:id="26" w:name="SQU03_3_1_2"/>
      <w:r w:rsidRPr="00725663">
        <w:rPr>
          <w:b/>
        </w:rPr>
        <w:t>SQU03_3_1_</w:t>
      </w:r>
      <w:bookmarkEnd w:id="26"/>
      <w:r w:rsidR="00283663">
        <w:rPr>
          <w:b/>
        </w:rPr>
        <w:t>4</w:t>
      </w:r>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continued by ambulance service following an out-of-hospital cardiac arrest.</w:t>
      </w:r>
    </w:p>
    <w:p w14:paraId="4CA4203C" w14:textId="77777777" w:rsidR="005E2B1A" w:rsidRPr="00725663" w:rsidRDefault="006C53F1" w:rsidP="002627BA">
      <w:pPr>
        <w:pStyle w:val="Heading4"/>
      </w:pPr>
      <w:r>
        <w:t>SQU03_03</w:t>
      </w:r>
      <w:r w:rsidR="005E2B1A" w:rsidRPr="00725663">
        <w:t>b</w:t>
      </w:r>
      <w:r w:rsidR="00892D2C">
        <w:t>:</w:t>
      </w:r>
      <w:r w:rsidR="005E2B1A" w:rsidRPr="00725663">
        <w:t xml:space="preserve"> ROSC at time of arrival at hospital (</w:t>
      </w:r>
      <w:proofErr w:type="spellStart"/>
      <w:r w:rsidR="005E2B1A" w:rsidRPr="00725663">
        <w:t>Utstein</w:t>
      </w:r>
      <w:proofErr w:type="spellEnd"/>
      <w:r w:rsidR="005E2B1A" w:rsidRPr="00725663">
        <w:t xml:space="preserve"> Comparator Group)</w:t>
      </w:r>
    </w:p>
    <w:p w14:paraId="4F758CB1" w14:textId="77777777" w:rsidR="005E2B1A" w:rsidRPr="00725663" w:rsidRDefault="005E2B1A" w:rsidP="00ED59F5">
      <w:pPr>
        <w:pStyle w:val="ListNumber"/>
      </w:pPr>
      <w:bookmarkStart w:id="27" w:name="SQU03_3_2_1"/>
      <w:r w:rsidRPr="00725663">
        <w:rPr>
          <w:b/>
        </w:rPr>
        <w:t>SQU03_3_2_1</w:t>
      </w:r>
      <w:bookmarkEnd w:id="27"/>
      <w:r w:rsidRPr="00725663">
        <w:rPr>
          <w:b/>
        </w:rPr>
        <w:t>:</w:t>
      </w:r>
      <w:r w:rsidRPr="00725663">
        <w:t xml:space="preserve"> Of the patients included in the denominator, the number of patients who had return of spontaneous circulation on arrival at hospital.</w:t>
      </w:r>
    </w:p>
    <w:p w14:paraId="6BA3358B" w14:textId="77777777" w:rsidR="005E2B1A" w:rsidRPr="00725663" w:rsidRDefault="005E2B1A" w:rsidP="00ED59F5">
      <w:pPr>
        <w:pStyle w:val="ListNumber"/>
      </w:pPr>
      <w:r w:rsidRPr="00725663">
        <w:t>Time of arrival refers to point of arrival of the patient at the receiving hospital</w:t>
      </w:r>
      <w:r w:rsidR="002D0D1B">
        <w:t>.</w:t>
      </w:r>
    </w:p>
    <w:p w14:paraId="6F4A0E21" w14:textId="77777777" w:rsidR="005E2B1A" w:rsidRPr="00725663" w:rsidRDefault="005E2B1A" w:rsidP="00ED59F5">
      <w:pPr>
        <w:pStyle w:val="ListNumber"/>
      </w:pPr>
      <w:bookmarkStart w:id="28" w:name="SQU03_3_2_2"/>
      <w:r w:rsidRPr="00725663">
        <w:rPr>
          <w:b/>
        </w:rPr>
        <w:t>SQU03_3_2_2</w:t>
      </w:r>
      <w:bookmarkEnd w:id="28"/>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 xml:space="preserve">continued by ambulance service following an out-of-hospital cardiac arrest of presumed cardiac origin, where the arrest was bystander witnessed and the initial rhythm was </w:t>
      </w:r>
      <w:r w:rsidR="00CA3BDD">
        <w:t xml:space="preserve">Ventricular </w:t>
      </w:r>
      <w:r w:rsidR="00CA3BDD" w:rsidRPr="00CA3BDD">
        <w:t xml:space="preserve">Fibrillation </w:t>
      </w:r>
      <w:r w:rsidR="00CA3BDD">
        <w:t>(</w:t>
      </w:r>
      <w:r w:rsidRPr="00725663">
        <w:t>VF</w:t>
      </w:r>
      <w:r w:rsidR="00CA3BDD">
        <w:t>)</w:t>
      </w:r>
      <w:r w:rsidRPr="00725663">
        <w:t xml:space="preserve"> or </w:t>
      </w:r>
      <w:r w:rsidR="00CA3BDD">
        <w:t>Ventricular Tachycardia (</w:t>
      </w:r>
      <w:r w:rsidRPr="00725663">
        <w:t>VT</w:t>
      </w:r>
      <w:r w:rsidR="00CA3BDD">
        <w:t>)</w:t>
      </w:r>
      <w:r w:rsidR="002D0D1B">
        <w:t>.</w:t>
      </w:r>
    </w:p>
    <w:p w14:paraId="070CF2EA" w14:textId="77777777" w:rsidR="005E2B1A" w:rsidRPr="00725663" w:rsidRDefault="005E2B1A" w:rsidP="002627BA">
      <w:pPr>
        <w:pStyle w:val="Heading5"/>
      </w:pPr>
      <w:r w:rsidRPr="00725663">
        <w:t>Monitoring</w:t>
      </w:r>
      <w:r w:rsidR="00E658A1" w:rsidRPr="00725663">
        <w:t xml:space="preserve"> </w:t>
      </w:r>
      <w:r w:rsidRPr="00725663">
        <w:t xml:space="preserve">Data </w:t>
      </w:r>
      <w:r w:rsidR="0026609E">
        <w:t>Source</w:t>
      </w:r>
    </w:p>
    <w:p w14:paraId="16CFB647" w14:textId="1B266388" w:rsidR="005E2B1A" w:rsidRPr="00C34523" w:rsidRDefault="005E2B1A" w:rsidP="00ED59F5">
      <w:pPr>
        <w:pStyle w:val="ListNumber"/>
      </w:pPr>
      <w:r w:rsidRPr="00725663">
        <w:t>Ambulance Trust data (including clinical and</w:t>
      </w:r>
      <w:r w:rsidR="001452D1" w:rsidRPr="00725663">
        <w:t xml:space="preserve"> </w:t>
      </w:r>
      <w:r w:rsidRPr="00725663">
        <w:t>CAD data) collected as per National Ambulance Service Clinical Quality</w:t>
      </w:r>
      <w:r w:rsidRPr="00C34523">
        <w:t xml:space="preserve"> Group guidance and definitions</w:t>
      </w:r>
      <w:r w:rsidR="002D0D1B">
        <w:t>.</w:t>
      </w:r>
    </w:p>
    <w:p w14:paraId="39908F45" w14:textId="77777777" w:rsidR="005E2B1A" w:rsidRPr="00C34523" w:rsidRDefault="005E2B1A" w:rsidP="002627BA">
      <w:pPr>
        <w:pStyle w:val="Heading3"/>
      </w:pPr>
      <w:r w:rsidRPr="00C34523">
        <w:t>SQU03_05: Outcome from acute ST-elevation myocardial infarction (STEMI</w:t>
      </w:r>
      <w:r w:rsidR="00C34523">
        <w:t>)</w:t>
      </w:r>
    </w:p>
    <w:p w14:paraId="79D51CDC" w14:textId="77777777" w:rsidR="005E2B1A" w:rsidRPr="00C34523" w:rsidRDefault="005E2B1A" w:rsidP="002627BA">
      <w:pPr>
        <w:pStyle w:val="Heading5"/>
      </w:pPr>
      <w:r w:rsidRPr="00C34523">
        <w:t xml:space="preserve">Data </w:t>
      </w:r>
      <w:r w:rsidR="0026609E">
        <w:t>Definition</w:t>
      </w:r>
    </w:p>
    <w:p w14:paraId="7FC1191B" w14:textId="1E60EC73" w:rsidR="005E2B1A" w:rsidRDefault="005A703E" w:rsidP="002627BA">
      <w:pPr>
        <w:pStyle w:val="Heading4"/>
      </w:pPr>
      <w:r>
        <w:t>SQU03_05</w:t>
      </w:r>
      <w:r w:rsidR="005E2B1A" w:rsidRPr="00C34523">
        <w:t>b</w:t>
      </w:r>
      <w:r>
        <w:t>:</w:t>
      </w:r>
      <w:r w:rsidR="005E2B1A" w:rsidRPr="00C34523">
        <w:t xml:space="preserve"> </w:t>
      </w:r>
      <w:r w:rsidR="00B549C3">
        <w:t xml:space="preserve">For </w:t>
      </w:r>
      <w:r w:rsidR="005E2B1A" w:rsidRPr="00C34523">
        <w:t>patients suffering a STEMI</w:t>
      </w:r>
      <w:r w:rsidR="00B549C3">
        <w:t xml:space="preserve">, the time taken to reach a </w:t>
      </w:r>
      <w:r w:rsidR="007D6DF1" w:rsidRPr="00C34523">
        <w:rPr>
          <w:rFonts w:cs="Arial"/>
        </w:rPr>
        <w:t>centre capable of delivering primary percutaneous coronary intervention (PPCI)</w:t>
      </w:r>
      <w:r w:rsidR="007D6DF1">
        <w:rPr>
          <w:rFonts w:cs="Arial"/>
        </w:rPr>
        <w:t>,</w:t>
      </w:r>
      <w:r w:rsidR="007D6DF1" w:rsidRPr="00C34523">
        <w:rPr>
          <w:rFonts w:cs="Arial"/>
        </w:rPr>
        <w:t xml:space="preserve"> </w:t>
      </w:r>
      <w:r w:rsidR="00B549C3">
        <w:rPr>
          <w:rFonts w:cs="Arial"/>
        </w:rPr>
        <w:t xml:space="preserve">and the percentage who </w:t>
      </w:r>
      <w:r w:rsidR="005E2B1A" w:rsidRPr="00C34523">
        <w:t xml:space="preserve">receive primary angioplasty within 150 minutes of </w:t>
      </w:r>
      <w:r w:rsidR="00B549C3">
        <w:t xml:space="preserve">the </w:t>
      </w:r>
      <w:r w:rsidR="005E2B1A" w:rsidRPr="00C34523">
        <w:t xml:space="preserve">emergency call </w:t>
      </w:r>
    </w:p>
    <w:p w14:paraId="1F31E643" w14:textId="41873A77" w:rsidR="00B549C3" w:rsidRDefault="00B549C3" w:rsidP="00B549C3">
      <w:pPr>
        <w:pStyle w:val="ListNumber"/>
      </w:pPr>
      <w:r>
        <w:rPr>
          <w:b/>
        </w:rPr>
        <w:t xml:space="preserve">SQU03_5_2_1: </w:t>
      </w:r>
      <w:r w:rsidRPr="00B549C3">
        <w:t>Of the patients included in the denominator, the time between T0, the point the call is connected to the Emergency Operations Centre (EOC) telephony switch, and the time when</w:t>
      </w:r>
      <w:r>
        <w:t xml:space="preserve"> the patient arrives at a designated PPCI centre as locally agreed.</w:t>
      </w:r>
    </w:p>
    <w:p w14:paraId="7BDAAD23" w14:textId="7A272262" w:rsidR="00B549C3" w:rsidRPr="00B549C3" w:rsidRDefault="00B549C3" w:rsidP="00B549C3">
      <w:pPr>
        <w:pStyle w:val="ListNumber"/>
      </w:pPr>
      <w:r w:rsidRPr="00725663">
        <w:t>Time of arrival refers to point of arrival of the patient at the receiving hospital</w:t>
      </w:r>
      <w:r>
        <w:t>.</w:t>
      </w:r>
    </w:p>
    <w:p w14:paraId="2DED244F" w14:textId="0A7BE921" w:rsidR="005E2B1A" w:rsidRPr="00725663" w:rsidRDefault="005E2B1A" w:rsidP="00ED59F5">
      <w:pPr>
        <w:pStyle w:val="ListNumber"/>
      </w:pPr>
      <w:bookmarkStart w:id="29" w:name="SQU03_5_2_1"/>
      <w:r w:rsidRPr="00725663">
        <w:rPr>
          <w:b/>
        </w:rPr>
        <w:t>SQU03_5_2_</w:t>
      </w:r>
      <w:bookmarkEnd w:id="29"/>
      <w:r w:rsidR="00B549C3">
        <w:rPr>
          <w:b/>
        </w:rPr>
        <w:t>2</w:t>
      </w:r>
      <w:r w:rsidRPr="00725663">
        <w:rPr>
          <w:b/>
        </w:rPr>
        <w:t>:</w:t>
      </w:r>
      <w:r w:rsidRPr="00725663">
        <w:t xml:space="preserve"> Patients with initial diagnosis of ‘definite myocardial infarction’ for whom primary angioplasty balloon inflation occurs within 150 minutes of emergency call connected to ambulance service, where first diagnostic Electrocardiogram (ECG) performed is by ambulance personnel and patient was directly transferred to a designated PPCI centre as locally agreed</w:t>
      </w:r>
      <w:r w:rsidR="008F1414">
        <w:t>.</w:t>
      </w:r>
    </w:p>
    <w:p w14:paraId="7D96BC25" w14:textId="1EB8CD5C" w:rsidR="005E2B1A" w:rsidRPr="00725663" w:rsidRDefault="005E2B1A" w:rsidP="00ED59F5">
      <w:pPr>
        <w:pStyle w:val="ListNumber"/>
      </w:pPr>
      <w:bookmarkStart w:id="30" w:name="SQU03_5_2_2"/>
      <w:r w:rsidRPr="00725663">
        <w:rPr>
          <w:b/>
        </w:rPr>
        <w:t>SQU03_5_2_</w:t>
      </w:r>
      <w:bookmarkEnd w:id="30"/>
      <w:r w:rsidR="00B549C3">
        <w:rPr>
          <w:b/>
        </w:rPr>
        <w:t>3</w:t>
      </w:r>
      <w:r w:rsidRPr="00725663">
        <w:rPr>
          <w:b/>
        </w:rPr>
        <w:t>:</w:t>
      </w:r>
      <w:r w:rsidRPr="00725663">
        <w:t xml:space="preserve"> Patients with initial diagnosis of ‘definite myocardial infarction’ who received primary angioplasty, where first diagnostic ECG performed is by ambulance personnel and patient was directly transferred to a designated PPCI centre as locally agreed</w:t>
      </w:r>
      <w:r w:rsidR="005A703E">
        <w:t>.</w:t>
      </w:r>
    </w:p>
    <w:p w14:paraId="1ABCC24B" w14:textId="77777777" w:rsidR="005E2B1A" w:rsidRPr="00C34523" w:rsidRDefault="005E2B1A" w:rsidP="002627BA">
      <w:pPr>
        <w:pStyle w:val="Heading5"/>
      </w:pPr>
      <w:r w:rsidRPr="00C34523">
        <w:t xml:space="preserve">Exceptions </w:t>
      </w:r>
      <w:r w:rsidR="006C53F1">
        <w:t>to SQU03_05b</w:t>
      </w:r>
    </w:p>
    <w:p w14:paraId="56766B9F" w14:textId="77777777" w:rsidR="005E2B1A" w:rsidRPr="00C34523" w:rsidRDefault="005E2B1A" w:rsidP="007D6DF1">
      <w:pPr>
        <w:pStyle w:val="ListNumber"/>
      </w:pPr>
      <w:r w:rsidRPr="00C34523">
        <w:t>Secondary transfers to PPCI from non-PPCI capable hospitals</w:t>
      </w:r>
      <w:r w:rsidR="0048603A">
        <w:t>;</w:t>
      </w:r>
    </w:p>
    <w:p w14:paraId="180B8B54" w14:textId="2B45A989" w:rsidR="005E2B1A" w:rsidRPr="00C34523" w:rsidRDefault="0048603A" w:rsidP="007D6DF1">
      <w:pPr>
        <w:pStyle w:val="ListNumber"/>
      </w:pPr>
      <w:r>
        <w:t>Delay obtaining consent;</w:t>
      </w:r>
    </w:p>
    <w:p w14:paraId="0DECE3D2" w14:textId="2A85C9C2" w:rsidR="005E2B1A" w:rsidRPr="00C34523" w:rsidRDefault="0048603A" w:rsidP="007D6DF1">
      <w:pPr>
        <w:pStyle w:val="ListNumber"/>
      </w:pPr>
      <w:r>
        <w:t>Cardiac arrest;</w:t>
      </w:r>
    </w:p>
    <w:p w14:paraId="53EC9BA5" w14:textId="77777777" w:rsidR="005E2B1A" w:rsidRPr="00C34523" w:rsidRDefault="005E2B1A" w:rsidP="007D6DF1">
      <w:pPr>
        <w:pStyle w:val="ListNumber"/>
      </w:pPr>
      <w:r w:rsidRPr="00C34523">
        <w:t>Ambulance procedural delay (This includes any pre-hospital delay outside the control of the ambulance service,</w:t>
      </w:r>
      <w:r w:rsidR="002C6FC8">
        <w:t xml:space="preserve"> such as</w:t>
      </w:r>
      <w:r w:rsidRPr="00C34523">
        <w:t xml:space="preserve"> incorrect address, difficulty finding address, unable to gain entry to patient’s house, patient reasons </w:t>
      </w:r>
      <w:r w:rsidR="002C6FC8">
        <w:t>(for example</w:t>
      </w:r>
      <w:r w:rsidRPr="00C34523">
        <w:t xml:space="preserve"> in</w:t>
      </w:r>
      <w:r w:rsidR="002C6FC8">
        <w:t xml:space="preserve">itial refusal to go to hospital, </w:t>
      </w:r>
      <w:r w:rsidRPr="00C34523">
        <w:t>or extended domestic arrangements</w:t>
      </w:r>
      <w:r w:rsidR="002C6FC8">
        <w:t>)</w:t>
      </w:r>
      <w:r w:rsidRPr="00C34523">
        <w:t>, adverse weather conditions, stabilising the patient, crew had to wait for boat, helicopter delay, wait for police to ga</w:t>
      </w:r>
      <w:r w:rsidR="0048603A">
        <w:t>in entry, failure to cannulate);</w:t>
      </w:r>
    </w:p>
    <w:p w14:paraId="371BF729" w14:textId="77777777" w:rsidR="005E2B1A" w:rsidRPr="00C34523" w:rsidRDefault="0048603A" w:rsidP="007D6DF1">
      <w:pPr>
        <w:pStyle w:val="ListNumber"/>
      </w:pPr>
      <w:r>
        <w:t>Sustained hypertension;</w:t>
      </w:r>
    </w:p>
    <w:p w14:paraId="46E5C127" w14:textId="6DB09B60" w:rsidR="005E2B1A" w:rsidRPr="00C34523" w:rsidRDefault="005E2B1A" w:rsidP="007D6DF1">
      <w:pPr>
        <w:pStyle w:val="ListNumber"/>
      </w:pPr>
      <w:r w:rsidRPr="00C34523">
        <w:t xml:space="preserve">Clinical concern about recent </w:t>
      </w:r>
      <w:proofErr w:type="spellStart"/>
      <w:r w:rsidRPr="00C34523">
        <w:t>cerebro</w:t>
      </w:r>
      <w:proofErr w:type="spellEnd"/>
      <w:r w:rsidRPr="00C34523">
        <w:t>-v</w:t>
      </w:r>
      <w:r w:rsidR="0048603A">
        <w:t>ascular event or recent surgery;</w:t>
      </w:r>
    </w:p>
    <w:p w14:paraId="772FC62A" w14:textId="7A1AB577" w:rsidR="005E2B1A" w:rsidRPr="00C34523" w:rsidRDefault="005E2B1A" w:rsidP="00ED59F5">
      <w:pPr>
        <w:pStyle w:val="ListNumber"/>
      </w:pPr>
      <w:r w:rsidRPr="00C34523">
        <w:t xml:space="preserve">Other </w:t>
      </w:r>
      <w:r w:rsidRPr="00ED59F5">
        <w:t>exclusions</w:t>
      </w:r>
      <w:r w:rsidRPr="00C34523">
        <w:t xml:space="preserve"> on clinical grounds which have been formally approved in </w:t>
      </w:r>
      <w:r w:rsidRPr="00ED59F5">
        <w:t>discussions</w:t>
      </w:r>
      <w:r w:rsidRPr="00C34523">
        <w:t xml:space="preserve"> with MINAP</w:t>
      </w:r>
      <w:r w:rsidR="0048603A">
        <w:t>.</w:t>
      </w:r>
    </w:p>
    <w:p w14:paraId="7ED220A8" w14:textId="77777777" w:rsidR="005E2B1A" w:rsidRPr="00725663" w:rsidRDefault="005A703E" w:rsidP="002627BA">
      <w:pPr>
        <w:pStyle w:val="Heading4"/>
      </w:pPr>
      <w:r>
        <w:t>SQU0</w:t>
      </w:r>
      <w:r w:rsidR="002C6FC8">
        <w:t>3</w:t>
      </w:r>
      <w:r>
        <w:t>_05</w:t>
      </w:r>
      <w:r w:rsidR="005E2B1A" w:rsidRPr="00C34523">
        <w:t>c</w:t>
      </w:r>
      <w:r>
        <w:t>:</w:t>
      </w:r>
      <w:r w:rsidR="005E2B1A" w:rsidRPr="00C34523">
        <w:t xml:space="preserve"> The percentage of patients suffering a STEMI who receive an appropriate care </w:t>
      </w:r>
      <w:r w:rsidR="005E2B1A" w:rsidRPr="00725663">
        <w:t>bundle</w:t>
      </w:r>
    </w:p>
    <w:p w14:paraId="5E3BC058" w14:textId="77777777" w:rsidR="003D6212" w:rsidRPr="00725663" w:rsidRDefault="005E2B1A" w:rsidP="00103121">
      <w:pPr>
        <w:pStyle w:val="ListNumber"/>
      </w:pPr>
      <w:bookmarkStart w:id="31" w:name="SQU03_5_3_1"/>
      <w:r w:rsidRPr="00725663">
        <w:rPr>
          <w:b/>
        </w:rPr>
        <w:t>SQU03_5_3_1</w:t>
      </w:r>
      <w:bookmarkEnd w:id="31"/>
      <w:r w:rsidRPr="00725663">
        <w:rPr>
          <w:b/>
        </w:rPr>
        <w:t>:</w:t>
      </w:r>
      <w:r w:rsidRPr="00725663">
        <w:t xml:space="preserve"> Patients with a pre-hospital diagnosis of suspected </w:t>
      </w:r>
      <w:r w:rsidR="00CA3BDD">
        <w:t xml:space="preserve">STEMI </w:t>
      </w:r>
      <w:r w:rsidRPr="00725663">
        <w:t xml:space="preserve">confirmed on ECG who received </w:t>
      </w:r>
      <w:r w:rsidR="00CE21AE" w:rsidRPr="00725663">
        <w:t>the STEMI</w:t>
      </w:r>
      <w:r w:rsidRPr="00725663">
        <w:t xml:space="preserve"> care bundle</w:t>
      </w:r>
      <w:r w:rsidR="002D0D1B">
        <w:t>.</w:t>
      </w:r>
    </w:p>
    <w:p w14:paraId="354EDECA" w14:textId="77777777" w:rsidR="005E2B1A" w:rsidRPr="00725663" w:rsidRDefault="005E2B1A" w:rsidP="00103121">
      <w:pPr>
        <w:pStyle w:val="ListNumber"/>
      </w:pPr>
      <w:bookmarkStart w:id="32" w:name="SQU03_5_3_2"/>
      <w:r w:rsidRPr="00725663">
        <w:rPr>
          <w:b/>
        </w:rPr>
        <w:t>SQU03_5_3_2</w:t>
      </w:r>
      <w:bookmarkEnd w:id="32"/>
      <w:r w:rsidRPr="00725663">
        <w:rPr>
          <w:b/>
        </w:rPr>
        <w:t>:</w:t>
      </w:r>
      <w:r w:rsidRPr="00725663">
        <w:t xml:space="preserve"> Patients with a pre-hospital diagnosis of suspected </w:t>
      </w:r>
      <w:r w:rsidR="00CA3BDD">
        <w:t>STEMI confirmed on ECG.</w:t>
      </w:r>
    </w:p>
    <w:p w14:paraId="2DC5B7A9" w14:textId="77777777" w:rsidR="005E2B1A" w:rsidRPr="00C34523" w:rsidRDefault="005E2B1A" w:rsidP="002627BA">
      <w:pPr>
        <w:pStyle w:val="Heading5"/>
      </w:pPr>
      <w:r w:rsidRPr="00C34523">
        <w:t>Notes</w:t>
      </w:r>
    </w:p>
    <w:p w14:paraId="1523A4CA" w14:textId="6AE99238" w:rsidR="005E2B1A" w:rsidRPr="00C34523" w:rsidRDefault="005E2B1A" w:rsidP="00ED59F5">
      <w:pPr>
        <w:pStyle w:val="ListNumber"/>
      </w:pPr>
      <w:r w:rsidRPr="00C34523">
        <w:t>Components of the care bundle for STEMI patients, in line with National Ambulance Service Clinical Quality Group guidance, are presented below, with their exceptions in parenthes</w:t>
      </w:r>
      <w:r w:rsidR="000819BB">
        <w:t>e</w:t>
      </w:r>
      <w:r w:rsidRPr="00C34523">
        <w:t>s</w:t>
      </w:r>
      <w:r w:rsidR="000819BB">
        <w:t>:</w:t>
      </w:r>
    </w:p>
    <w:p w14:paraId="13759D6C" w14:textId="520B64AE" w:rsidR="005E2B1A" w:rsidRPr="00C34523" w:rsidRDefault="005E2B1A" w:rsidP="00BD35D0">
      <w:pPr>
        <w:pStyle w:val="ListNumber2"/>
      </w:pPr>
      <w:r w:rsidRPr="00BD35D0">
        <w:t>Aspirin</w:t>
      </w:r>
      <w:r w:rsidRPr="00C34523">
        <w:t xml:space="preserve"> given (Patient refusal, contraindication to drug)</w:t>
      </w:r>
      <w:r w:rsidR="000819BB">
        <w:t>;</w:t>
      </w:r>
    </w:p>
    <w:p w14:paraId="2224E904" w14:textId="23A6D378" w:rsidR="005E2B1A" w:rsidRPr="00C34523" w:rsidRDefault="005E2B1A" w:rsidP="00BD35D0">
      <w:pPr>
        <w:pStyle w:val="ListNumber2"/>
      </w:pPr>
      <w:r w:rsidRPr="00C34523">
        <w:t xml:space="preserve">Glyceryl </w:t>
      </w:r>
      <w:proofErr w:type="spellStart"/>
      <w:r w:rsidRPr="00C34523">
        <w:t>trinitrate</w:t>
      </w:r>
      <w:proofErr w:type="spellEnd"/>
      <w:r w:rsidRPr="00C34523">
        <w:t xml:space="preserve"> </w:t>
      </w:r>
      <w:r w:rsidR="006817E6">
        <w:t>(G</w:t>
      </w:r>
      <w:r w:rsidRPr="00C34523">
        <w:t>TN</w:t>
      </w:r>
      <w:r w:rsidR="006817E6">
        <w:t>)</w:t>
      </w:r>
      <w:r w:rsidRPr="00C34523">
        <w:t xml:space="preserve"> given (Patient refusal, contraindication to drug, no </w:t>
      </w:r>
      <w:r w:rsidRPr="00BD35D0">
        <w:t>chest</w:t>
      </w:r>
      <w:r w:rsidRPr="00C34523">
        <w:t xml:space="preserve"> pain)</w:t>
      </w:r>
      <w:r w:rsidR="000819BB">
        <w:t>;</w:t>
      </w:r>
    </w:p>
    <w:p w14:paraId="7D0BFB71" w14:textId="1A2248FF" w:rsidR="005E2B1A" w:rsidRPr="00C34523" w:rsidRDefault="005E2B1A" w:rsidP="00BD35D0">
      <w:pPr>
        <w:pStyle w:val="ListNumber2"/>
      </w:pPr>
      <w:r w:rsidRPr="00C34523">
        <w:t>Two pain scores recorded (Patient refusal</w:t>
      </w:r>
      <w:r w:rsidR="006C53F1">
        <w:t xml:space="preserve"> </w:t>
      </w:r>
      <w:r w:rsidRPr="00C34523">
        <w:t>/</w:t>
      </w:r>
      <w:r w:rsidR="006C53F1">
        <w:t xml:space="preserve"> </w:t>
      </w:r>
      <w:r w:rsidRPr="00C34523">
        <w:t>Patient unable</w:t>
      </w:r>
      <w:r w:rsidR="006C53F1">
        <w:t xml:space="preserve"> </w:t>
      </w:r>
      <w:r w:rsidRPr="00C34523">
        <w:t>/</w:t>
      </w:r>
      <w:r w:rsidR="006C53F1">
        <w:t xml:space="preserve"> </w:t>
      </w:r>
      <w:r w:rsidRPr="00C34523">
        <w:t>Patient unconscious)</w:t>
      </w:r>
      <w:r w:rsidR="000819BB">
        <w:t>;</w:t>
      </w:r>
    </w:p>
    <w:p w14:paraId="4FBA18B5" w14:textId="77ED8DE7" w:rsidR="005E2B1A" w:rsidRPr="00C34523" w:rsidRDefault="005E2B1A" w:rsidP="00BD35D0">
      <w:pPr>
        <w:pStyle w:val="ListNumber2"/>
      </w:pPr>
      <w:r w:rsidRPr="00C34523">
        <w:t xml:space="preserve">Appropriate Analgesia given – Options available are Morphine, Entonox and </w:t>
      </w:r>
      <w:r w:rsidRPr="00BD35D0">
        <w:t>paracetamol</w:t>
      </w:r>
      <w:r w:rsidRPr="00C34523">
        <w:t xml:space="preserve"> (Patient refusal</w:t>
      </w:r>
      <w:r w:rsidR="006C53F1">
        <w:t xml:space="preserve"> </w:t>
      </w:r>
      <w:r w:rsidRPr="00C34523">
        <w:t>/</w:t>
      </w:r>
      <w:r w:rsidR="006C53F1">
        <w:t xml:space="preserve"> </w:t>
      </w:r>
      <w:r w:rsidRPr="00C34523">
        <w:t>Patient not in pain</w:t>
      </w:r>
      <w:r w:rsidR="006C53F1">
        <w:t xml:space="preserve"> </w:t>
      </w:r>
      <w:r w:rsidRPr="00C34523">
        <w:t>/</w:t>
      </w:r>
      <w:r w:rsidR="006C53F1">
        <w:t xml:space="preserve"> </w:t>
      </w:r>
      <w:r w:rsidRPr="00C34523">
        <w:t>Contraindication to drug(s))</w:t>
      </w:r>
      <w:r w:rsidR="00290EA5">
        <w:t>.</w:t>
      </w:r>
    </w:p>
    <w:p w14:paraId="3152BEEE" w14:textId="77777777" w:rsidR="005E2B1A" w:rsidRPr="00C34523" w:rsidRDefault="005E2B1A" w:rsidP="002627BA">
      <w:pPr>
        <w:pStyle w:val="Heading5"/>
      </w:pPr>
      <w:r w:rsidRPr="00C34523">
        <w:t>Exceptions</w:t>
      </w:r>
      <w:r w:rsidR="006C53F1">
        <w:t xml:space="preserve"> to SQU0</w:t>
      </w:r>
      <w:r w:rsidR="002C6FC8">
        <w:t>3</w:t>
      </w:r>
      <w:r w:rsidR="006C53F1">
        <w:t>_05c</w:t>
      </w:r>
    </w:p>
    <w:p w14:paraId="4E738EDF" w14:textId="77777777"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14:paraId="423CD5C1" w14:textId="77777777" w:rsidR="005E2B1A" w:rsidRDefault="005E2B1A" w:rsidP="00ED59F5">
      <w:pPr>
        <w:pStyle w:val="ListNumber"/>
      </w:pPr>
      <w:r w:rsidRPr="00002A81">
        <w:t xml:space="preserve">The table below sets out examples to illustrate whether a care bundle has been </w:t>
      </w:r>
      <w:proofErr w:type="gramStart"/>
      <w:r w:rsidRPr="00002A81">
        <w:t>completed,</w:t>
      </w:r>
      <w:proofErr w:type="gramEnd"/>
      <w:r w:rsidRPr="00002A81">
        <w:t xml:space="preserve"> not completed, or whether there is an exception from administering the care bundle.</w:t>
      </w:r>
    </w:p>
    <w:p w14:paraId="32E137AA" w14:textId="77777777" w:rsidR="005E2B1A" w:rsidRPr="00E94657" w:rsidRDefault="005E2B1A" w:rsidP="00ED59F5">
      <w:pPr>
        <w:pStyle w:val="ListNumber"/>
      </w:pPr>
      <w:r w:rsidRPr="00002A81">
        <w:t>Where there is a valid exception to the care bundle, this case should be recorded in both the numerator and the denominator for this indicator</w:t>
      </w:r>
      <w:r w:rsidR="00E94657">
        <w:t>.</w:t>
      </w:r>
    </w:p>
    <w:p w14:paraId="0521337A" w14:textId="77777777" w:rsidR="005E2B1A" w:rsidRPr="00002A81" w:rsidRDefault="005E2B1A" w:rsidP="00ED59F5">
      <w:pPr>
        <w:pStyle w:val="ListNumber"/>
        <w:rPr>
          <w:rFonts w:cs="Arial"/>
        </w:rPr>
      </w:pPr>
      <w:r w:rsidRPr="00002A81">
        <w:rPr>
          <w:rFonts w:cs="Arial"/>
        </w:rPr>
        <w:t>The number of such exceptions may be monitored separately and referred to in the narrative for the indicator to share learning (for example, where there are high numbers of exceptions due to patient refusal of an element in the care bundle)</w:t>
      </w:r>
      <w:r w:rsidR="002D0D1B">
        <w:rPr>
          <w:rFonts w:cs="Arial"/>
        </w:rPr>
        <w:t>.</w:t>
      </w:r>
    </w:p>
    <w:p w14:paraId="65C08411" w14:textId="77777777" w:rsidR="005E2B1A"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8"/>
        <w:gridCol w:w="1807"/>
        <w:gridCol w:w="1807"/>
        <w:gridCol w:w="1807"/>
        <w:gridCol w:w="1807"/>
      </w:tblGrid>
      <w:tr w:rsidR="005E2B1A" w:rsidRPr="00C34523" w14:paraId="364250DE" w14:textId="77777777" w:rsidTr="00E94657">
        <w:tc>
          <w:tcPr>
            <w:tcW w:w="1000" w:type="pct"/>
            <w:vAlign w:val="center"/>
          </w:tcPr>
          <w:p w14:paraId="25977B96" w14:textId="77777777" w:rsidR="005E2B1A" w:rsidRPr="0023451E" w:rsidRDefault="005E2B1A" w:rsidP="002627BA">
            <w:pPr>
              <w:pStyle w:val="Heading6"/>
            </w:pPr>
            <w:r w:rsidRPr="0023451E">
              <w:t>Patient ID</w:t>
            </w:r>
          </w:p>
        </w:tc>
        <w:tc>
          <w:tcPr>
            <w:tcW w:w="1000" w:type="pct"/>
            <w:vAlign w:val="center"/>
          </w:tcPr>
          <w:p w14:paraId="3F6CE330" w14:textId="77777777" w:rsidR="005E2B1A" w:rsidRPr="0023451E" w:rsidRDefault="005E2B1A" w:rsidP="002627BA">
            <w:pPr>
              <w:pStyle w:val="Heading6"/>
            </w:pPr>
            <w:r w:rsidRPr="0023451E">
              <w:t>Care bundle criterion 1</w:t>
            </w:r>
          </w:p>
        </w:tc>
        <w:tc>
          <w:tcPr>
            <w:tcW w:w="1000" w:type="pct"/>
            <w:vAlign w:val="center"/>
          </w:tcPr>
          <w:p w14:paraId="4F547D08" w14:textId="77777777" w:rsidR="005E2B1A" w:rsidRPr="0023451E" w:rsidRDefault="005E2B1A" w:rsidP="002627BA">
            <w:pPr>
              <w:pStyle w:val="Heading6"/>
            </w:pPr>
            <w:r w:rsidRPr="0023451E">
              <w:t>Care bundle criterion 2</w:t>
            </w:r>
          </w:p>
        </w:tc>
        <w:tc>
          <w:tcPr>
            <w:tcW w:w="1000" w:type="pct"/>
            <w:vAlign w:val="center"/>
          </w:tcPr>
          <w:p w14:paraId="774D7884" w14:textId="77777777" w:rsidR="005E2B1A" w:rsidRPr="0023451E" w:rsidRDefault="005E2B1A" w:rsidP="002627BA">
            <w:pPr>
              <w:pStyle w:val="Heading6"/>
            </w:pPr>
            <w:r w:rsidRPr="0023451E">
              <w:t>Care bundle criterion 3</w:t>
            </w:r>
          </w:p>
        </w:tc>
        <w:tc>
          <w:tcPr>
            <w:tcW w:w="1000" w:type="pct"/>
            <w:vAlign w:val="center"/>
          </w:tcPr>
          <w:p w14:paraId="72154D45" w14:textId="77777777" w:rsidR="005E2B1A" w:rsidRPr="0023451E" w:rsidRDefault="005E2B1A" w:rsidP="002627BA">
            <w:pPr>
              <w:pStyle w:val="Heading6"/>
            </w:pPr>
            <w:r w:rsidRPr="0023451E">
              <w:t>Care bundle delivered?</w:t>
            </w:r>
          </w:p>
        </w:tc>
      </w:tr>
      <w:tr w:rsidR="005E2B1A" w:rsidRPr="00237095" w14:paraId="2A6A3334" w14:textId="77777777" w:rsidTr="007D6DF1">
        <w:trPr>
          <w:trHeight w:val="340"/>
        </w:trPr>
        <w:tc>
          <w:tcPr>
            <w:tcW w:w="1000" w:type="pct"/>
            <w:vAlign w:val="center"/>
          </w:tcPr>
          <w:p w14:paraId="292537C8" w14:textId="77777777" w:rsidR="005E2B1A" w:rsidRPr="00237095" w:rsidRDefault="005E2B1A" w:rsidP="00273810">
            <w:pPr>
              <w:pStyle w:val="BodyText"/>
              <w:jc w:val="center"/>
              <w:rPr>
                <w:rFonts w:cs="Arial"/>
                <w:szCs w:val="20"/>
              </w:rPr>
            </w:pPr>
            <w:r w:rsidRPr="00237095">
              <w:rPr>
                <w:rFonts w:cs="Arial"/>
                <w:szCs w:val="20"/>
              </w:rPr>
              <w:t>1</w:t>
            </w:r>
          </w:p>
        </w:tc>
        <w:tc>
          <w:tcPr>
            <w:tcW w:w="1000" w:type="pct"/>
            <w:vAlign w:val="center"/>
          </w:tcPr>
          <w:p w14:paraId="13D9B30C" w14:textId="77777777" w:rsidR="005E2B1A" w:rsidRPr="00E94657" w:rsidRDefault="005E2B1A" w:rsidP="00103121">
            <w:pPr>
              <w:pStyle w:val="BodyText2"/>
            </w:pPr>
            <w:r w:rsidRPr="00E94657">
              <w:t></w:t>
            </w:r>
          </w:p>
        </w:tc>
        <w:tc>
          <w:tcPr>
            <w:tcW w:w="1000" w:type="pct"/>
            <w:vAlign w:val="center"/>
          </w:tcPr>
          <w:p w14:paraId="21B6A076" w14:textId="77777777" w:rsidR="005E2B1A" w:rsidRPr="00E94657" w:rsidRDefault="005E2B1A" w:rsidP="00103121">
            <w:pPr>
              <w:pStyle w:val="BodyText2"/>
            </w:pPr>
            <w:r w:rsidRPr="00E94657">
              <w:t></w:t>
            </w:r>
          </w:p>
        </w:tc>
        <w:tc>
          <w:tcPr>
            <w:tcW w:w="1000" w:type="pct"/>
            <w:vAlign w:val="center"/>
          </w:tcPr>
          <w:p w14:paraId="7636A52E" w14:textId="77777777" w:rsidR="005E2B1A" w:rsidRPr="00E94657" w:rsidRDefault="005E2B1A" w:rsidP="00103121">
            <w:pPr>
              <w:pStyle w:val="BodyText2"/>
            </w:pPr>
            <w:r w:rsidRPr="00E94657">
              <w:t></w:t>
            </w:r>
          </w:p>
        </w:tc>
        <w:tc>
          <w:tcPr>
            <w:tcW w:w="1000" w:type="pct"/>
            <w:vAlign w:val="center"/>
          </w:tcPr>
          <w:p w14:paraId="296BDF81"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78B7260F" w14:textId="77777777" w:rsidTr="007D6DF1">
        <w:trPr>
          <w:trHeight w:val="340"/>
        </w:trPr>
        <w:tc>
          <w:tcPr>
            <w:tcW w:w="1000" w:type="pct"/>
            <w:vAlign w:val="center"/>
          </w:tcPr>
          <w:p w14:paraId="473B157A" w14:textId="77777777" w:rsidR="005E2B1A" w:rsidRPr="00237095" w:rsidRDefault="005E2B1A" w:rsidP="00273810">
            <w:pPr>
              <w:pStyle w:val="BodyText"/>
              <w:jc w:val="center"/>
              <w:rPr>
                <w:rFonts w:cs="Arial"/>
                <w:szCs w:val="20"/>
              </w:rPr>
            </w:pPr>
            <w:r w:rsidRPr="00237095">
              <w:rPr>
                <w:rFonts w:cs="Arial"/>
                <w:szCs w:val="20"/>
              </w:rPr>
              <w:t>2</w:t>
            </w:r>
          </w:p>
        </w:tc>
        <w:tc>
          <w:tcPr>
            <w:tcW w:w="1000" w:type="pct"/>
            <w:vAlign w:val="center"/>
          </w:tcPr>
          <w:p w14:paraId="40B3BD04" w14:textId="77777777" w:rsidR="005E2B1A" w:rsidRPr="00E94657" w:rsidRDefault="005E2B1A" w:rsidP="00103121">
            <w:pPr>
              <w:pStyle w:val="BodyText2"/>
            </w:pPr>
            <w:r w:rsidRPr="00E94657">
              <w:t></w:t>
            </w:r>
          </w:p>
        </w:tc>
        <w:tc>
          <w:tcPr>
            <w:tcW w:w="1000" w:type="pct"/>
            <w:vAlign w:val="center"/>
          </w:tcPr>
          <w:p w14:paraId="4A67182C" w14:textId="77777777" w:rsidR="005E2B1A" w:rsidRPr="00E94657" w:rsidRDefault="005E2B1A" w:rsidP="00103121">
            <w:pPr>
              <w:pStyle w:val="BodyText2"/>
            </w:pPr>
            <w:r w:rsidRPr="00E94657">
              <w:t></w:t>
            </w:r>
          </w:p>
        </w:tc>
        <w:tc>
          <w:tcPr>
            <w:tcW w:w="1000" w:type="pct"/>
            <w:vAlign w:val="center"/>
          </w:tcPr>
          <w:p w14:paraId="70172207" w14:textId="77777777" w:rsidR="005E2B1A" w:rsidRPr="00237095" w:rsidRDefault="005E2B1A" w:rsidP="00273810">
            <w:pPr>
              <w:pStyle w:val="BodyText"/>
              <w:jc w:val="center"/>
            </w:pPr>
            <w:r w:rsidRPr="00237095">
              <w:t>x</w:t>
            </w:r>
          </w:p>
        </w:tc>
        <w:tc>
          <w:tcPr>
            <w:tcW w:w="1000" w:type="pct"/>
            <w:vAlign w:val="center"/>
          </w:tcPr>
          <w:p w14:paraId="428162C6"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2CEEEE33" w14:textId="77777777" w:rsidTr="007D6DF1">
        <w:trPr>
          <w:trHeight w:val="340"/>
        </w:trPr>
        <w:tc>
          <w:tcPr>
            <w:tcW w:w="1000" w:type="pct"/>
            <w:vAlign w:val="center"/>
          </w:tcPr>
          <w:p w14:paraId="253C0F60" w14:textId="77777777" w:rsidR="005E2B1A" w:rsidRPr="00237095" w:rsidRDefault="005E2B1A" w:rsidP="00273810">
            <w:pPr>
              <w:pStyle w:val="BodyText"/>
              <w:jc w:val="center"/>
              <w:rPr>
                <w:rFonts w:cs="Arial"/>
                <w:szCs w:val="20"/>
              </w:rPr>
            </w:pPr>
            <w:r w:rsidRPr="00237095">
              <w:rPr>
                <w:rFonts w:cs="Arial"/>
                <w:szCs w:val="20"/>
              </w:rPr>
              <w:t>3</w:t>
            </w:r>
          </w:p>
        </w:tc>
        <w:tc>
          <w:tcPr>
            <w:tcW w:w="1000" w:type="pct"/>
            <w:vAlign w:val="center"/>
          </w:tcPr>
          <w:p w14:paraId="0C26AE85" w14:textId="77777777" w:rsidR="005E2B1A" w:rsidRPr="00E94657" w:rsidRDefault="005E2B1A" w:rsidP="00103121">
            <w:pPr>
              <w:pStyle w:val="BodyText2"/>
            </w:pPr>
            <w:r w:rsidRPr="00E94657">
              <w:t></w:t>
            </w:r>
          </w:p>
        </w:tc>
        <w:tc>
          <w:tcPr>
            <w:tcW w:w="1000" w:type="pct"/>
            <w:vAlign w:val="center"/>
          </w:tcPr>
          <w:p w14:paraId="4301D339"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3811004F" w14:textId="77777777" w:rsidR="005E2B1A" w:rsidRPr="00237095" w:rsidRDefault="008901AC" w:rsidP="00273810">
            <w:pPr>
              <w:pStyle w:val="BodyText"/>
              <w:jc w:val="center"/>
              <w:rPr>
                <w:rFonts w:cs="Arial"/>
                <w:szCs w:val="20"/>
              </w:rPr>
            </w:pPr>
            <w:r w:rsidRPr="00237095">
              <w:rPr>
                <w:rFonts w:cs="Arial"/>
                <w:szCs w:val="20"/>
              </w:rPr>
              <w:t>x</w:t>
            </w:r>
          </w:p>
        </w:tc>
        <w:tc>
          <w:tcPr>
            <w:tcW w:w="1000" w:type="pct"/>
            <w:vAlign w:val="center"/>
          </w:tcPr>
          <w:p w14:paraId="7F459EED"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0C24C4C8" w14:textId="77777777" w:rsidTr="007D6DF1">
        <w:trPr>
          <w:trHeight w:val="340"/>
        </w:trPr>
        <w:tc>
          <w:tcPr>
            <w:tcW w:w="1000" w:type="pct"/>
            <w:vAlign w:val="center"/>
          </w:tcPr>
          <w:p w14:paraId="6534D6FE" w14:textId="77777777" w:rsidR="005E2B1A" w:rsidRPr="00237095" w:rsidRDefault="005E2B1A" w:rsidP="00273810">
            <w:pPr>
              <w:pStyle w:val="BodyText"/>
              <w:jc w:val="center"/>
              <w:rPr>
                <w:rFonts w:cs="Arial"/>
                <w:szCs w:val="20"/>
              </w:rPr>
            </w:pPr>
            <w:r w:rsidRPr="00237095">
              <w:rPr>
                <w:rFonts w:cs="Arial"/>
                <w:szCs w:val="20"/>
              </w:rPr>
              <w:t>4</w:t>
            </w:r>
          </w:p>
        </w:tc>
        <w:tc>
          <w:tcPr>
            <w:tcW w:w="1000" w:type="pct"/>
            <w:vAlign w:val="center"/>
          </w:tcPr>
          <w:p w14:paraId="3728BE84"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3121AB8A"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73BEA1F3" w14:textId="77777777" w:rsidR="005E2B1A" w:rsidRPr="00237095" w:rsidRDefault="005E2B1A" w:rsidP="00273810">
            <w:pPr>
              <w:pStyle w:val="BodyText"/>
              <w:jc w:val="center"/>
              <w:rPr>
                <w:rFonts w:cs="Arial"/>
                <w:szCs w:val="20"/>
              </w:rPr>
            </w:pPr>
            <w:r w:rsidRPr="00237095">
              <w:rPr>
                <w:rFonts w:cs="Arial"/>
                <w:szCs w:val="20"/>
              </w:rPr>
              <w:t>x</w:t>
            </w:r>
          </w:p>
        </w:tc>
        <w:tc>
          <w:tcPr>
            <w:tcW w:w="1000" w:type="pct"/>
            <w:vAlign w:val="center"/>
          </w:tcPr>
          <w:p w14:paraId="7357D8CA" w14:textId="77777777" w:rsidR="005E2B1A" w:rsidRPr="00237095" w:rsidRDefault="005E2B1A" w:rsidP="00273810">
            <w:pPr>
              <w:pStyle w:val="BodyText"/>
              <w:jc w:val="center"/>
              <w:rPr>
                <w:rFonts w:cs="Arial"/>
                <w:szCs w:val="20"/>
              </w:rPr>
            </w:pPr>
            <w:r w:rsidRPr="00237095">
              <w:rPr>
                <w:rFonts w:cs="Arial"/>
                <w:szCs w:val="20"/>
              </w:rPr>
              <w:t>No</w:t>
            </w:r>
          </w:p>
        </w:tc>
      </w:tr>
      <w:tr w:rsidR="005E2B1A" w:rsidRPr="00237095" w14:paraId="33285E09" w14:textId="77777777" w:rsidTr="007D6DF1">
        <w:trPr>
          <w:trHeight w:val="340"/>
        </w:trPr>
        <w:tc>
          <w:tcPr>
            <w:tcW w:w="1000" w:type="pct"/>
            <w:vAlign w:val="center"/>
          </w:tcPr>
          <w:p w14:paraId="799DE8D2" w14:textId="77777777" w:rsidR="005E2B1A" w:rsidRPr="00237095" w:rsidRDefault="005E2B1A" w:rsidP="00273810">
            <w:pPr>
              <w:pStyle w:val="BodyText"/>
              <w:jc w:val="center"/>
              <w:rPr>
                <w:rFonts w:cs="Arial"/>
                <w:szCs w:val="20"/>
              </w:rPr>
            </w:pPr>
            <w:r w:rsidRPr="00237095">
              <w:rPr>
                <w:rFonts w:cs="Arial"/>
                <w:szCs w:val="20"/>
              </w:rPr>
              <w:t>5</w:t>
            </w:r>
          </w:p>
        </w:tc>
        <w:tc>
          <w:tcPr>
            <w:tcW w:w="1000" w:type="pct"/>
            <w:vAlign w:val="center"/>
          </w:tcPr>
          <w:p w14:paraId="39F9BB06" w14:textId="77777777" w:rsidR="005E2B1A" w:rsidRPr="00E94657" w:rsidRDefault="005E2B1A" w:rsidP="00103121">
            <w:pPr>
              <w:pStyle w:val="BodyText2"/>
            </w:pPr>
            <w:r w:rsidRPr="00E94657">
              <w:t></w:t>
            </w:r>
          </w:p>
        </w:tc>
        <w:tc>
          <w:tcPr>
            <w:tcW w:w="1000" w:type="pct"/>
            <w:vAlign w:val="center"/>
          </w:tcPr>
          <w:p w14:paraId="3C889D09" w14:textId="77777777" w:rsidR="005E2B1A" w:rsidRPr="00E94657" w:rsidRDefault="005E2B1A" w:rsidP="00103121">
            <w:pPr>
              <w:pStyle w:val="BodyText2"/>
            </w:pPr>
            <w:r w:rsidRPr="00E94657">
              <w:t></w:t>
            </w:r>
          </w:p>
        </w:tc>
        <w:tc>
          <w:tcPr>
            <w:tcW w:w="1000" w:type="pct"/>
            <w:vAlign w:val="center"/>
          </w:tcPr>
          <w:p w14:paraId="5FFD4386"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1214630B"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2CAE1018" w14:textId="77777777" w:rsidTr="007D6DF1">
        <w:trPr>
          <w:trHeight w:val="340"/>
        </w:trPr>
        <w:tc>
          <w:tcPr>
            <w:tcW w:w="1000" w:type="pct"/>
            <w:vAlign w:val="center"/>
          </w:tcPr>
          <w:p w14:paraId="2EAC4C39" w14:textId="77777777" w:rsidR="005E2B1A" w:rsidRPr="00237095" w:rsidRDefault="005E2B1A" w:rsidP="00273810">
            <w:pPr>
              <w:pStyle w:val="BodyText"/>
              <w:jc w:val="center"/>
              <w:rPr>
                <w:rFonts w:cs="Arial"/>
                <w:szCs w:val="20"/>
              </w:rPr>
            </w:pPr>
            <w:r w:rsidRPr="00237095">
              <w:rPr>
                <w:rFonts w:cs="Arial"/>
                <w:szCs w:val="20"/>
              </w:rPr>
              <w:t>6</w:t>
            </w:r>
          </w:p>
        </w:tc>
        <w:tc>
          <w:tcPr>
            <w:tcW w:w="1000" w:type="pct"/>
            <w:vAlign w:val="center"/>
          </w:tcPr>
          <w:p w14:paraId="22F4EF1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9850AAA"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6FF6F645" w14:textId="77777777" w:rsidR="005E2B1A" w:rsidRPr="00E94657" w:rsidRDefault="005E2B1A" w:rsidP="00103121">
            <w:pPr>
              <w:pStyle w:val="BodyText2"/>
            </w:pPr>
            <w:r w:rsidRPr="00E94657">
              <w:t></w:t>
            </w:r>
          </w:p>
        </w:tc>
        <w:tc>
          <w:tcPr>
            <w:tcW w:w="1000" w:type="pct"/>
            <w:vAlign w:val="center"/>
          </w:tcPr>
          <w:p w14:paraId="70529F16" w14:textId="77777777" w:rsidR="005E2B1A" w:rsidRPr="00237095" w:rsidRDefault="005E2B1A" w:rsidP="00273810">
            <w:pPr>
              <w:pStyle w:val="BodyText"/>
              <w:jc w:val="center"/>
              <w:rPr>
                <w:rFonts w:cs="Arial"/>
                <w:szCs w:val="20"/>
              </w:rPr>
            </w:pPr>
            <w:r w:rsidRPr="00237095">
              <w:rPr>
                <w:rFonts w:cs="Arial"/>
                <w:szCs w:val="20"/>
              </w:rPr>
              <w:t>Yes</w:t>
            </w:r>
          </w:p>
        </w:tc>
      </w:tr>
      <w:tr w:rsidR="005E2B1A" w:rsidRPr="00237095" w14:paraId="3F8468E3" w14:textId="77777777" w:rsidTr="007D6DF1">
        <w:trPr>
          <w:trHeight w:val="340"/>
        </w:trPr>
        <w:tc>
          <w:tcPr>
            <w:tcW w:w="1000" w:type="pct"/>
            <w:vAlign w:val="center"/>
          </w:tcPr>
          <w:p w14:paraId="2CAC415C" w14:textId="77777777" w:rsidR="005E2B1A" w:rsidRPr="00237095" w:rsidRDefault="005E2B1A" w:rsidP="00273810">
            <w:pPr>
              <w:pStyle w:val="BodyText"/>
              <w:jc w:val="center"/>
              <w:rPr>
                <w:rFonts w:cs="Arial"/>
                <w:szCs w:val="20"/>
              </w:rPr>
            </w:pPr>
            <w:r w:rsidRPr="00237095">
              <w:rPr>
                <w:rFonts w:cs="Arial"/>
                <w:szCs w:val="20"/>
              </w:rPr>
              <w:t>7</w:t>
            </w:r>
          </w:p>
        </w:tc>
        <w:tc>
          <w:tcPr>
            <w:tcW w:w="1000" w:type="pct"/>
            <w:vAlign w:val="center"/>
          </w:tcPr>
          <w:p w14:paraId="67543BB0"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582C3E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24A23D27" w14:textId="77777777"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14:paraId="7F10B889" w14:textId="77777777" w:rsidR="005E2B1A" w:rsidRPr="00237095" w:rsidRDefault="005E2B1A" w:rsidP="00273810">
            <w:pPr>
              <w:pStyle w:val="BodyText"/>
              <w:jc w:val="center"/>
              <w:rPr>
                <w:rFonts w:cs="Arial"/>
                <w:szCs w:val="20"/>
              </w:rPr>
            </w:pPr>
            <w:r w:rsidRPr="00237095">
              <w:rPr>
                <w:rFonts w:cs="Arial"/>
                <w:szCs w:val="20"/>
              </w:rPr>
              <w:t>Yes</w:t>
            </w:r>
          </w:p>
        </w:tc>
      </w:tr>
    </w:tbl>
    <w:p w14:paraId="55B8B5E3" w14:textId="77777777" w:rsidR="005E2B1A" w:rsidRPr="00C34523" w:rsidRDefault="005E2B1A" w:rsidP="002627BA">
      <w:pPr>
        <w:pStyle w:val="Heading5"/>
      </w:pPr>
      <w:r w:rsidRPr="00C34523">
        <w:t xml:space="preserve">Monitoring Data </w:t>
      </w:r>
      <w:r w:rsidR="0026609E">
        <w:t>Source</w:t>
      </w:r>
    </w:p>
    <w:p w14:paraId="2A26B51C" w14:textId="1516CC96" w:rsidR="005E2B1A" w:rsidRPr="00C34523" w:rsidRDefault="006C53F1" w:rsidP="003B65ED">
      <w:pPr>
        <w:pStyle w:val="ListNumber"/>
      </w:pPr>
      <w:r>
        <w:t>SQU03_05</w:t>
      </w:r>
      <w:r w:rsidR="005E2B1A" w:rsidRPr="00C34523">
        <w:t>b</w:t>
      </w:r>
      <w:r>
        <w:t>:</w:t>
      </w:r>
      <w:r w:rsidR="005E2B1A" w:rsidRPr="00C34523">
        <w:t xml:space="preserve"> </w:t>
      </w:r>
      <w:r w:rsidR="003B65ED">
        <w:t xml:space="preserve">For patients </w:t>
      </w:r>
      <w:r w:rsidR="003B65ED" w:rsidRPr="003B65ED">
        <w:t>suffering a STEMI who are directly transferred to a centre capable of delivering primary percutaneous coronary intervention (PPCI)</w:t>
      </w:r>
      <w:r w:rsidR="003B65ED">
        <w:t>,</w:t>
      </w:r>
      <w:r w:rsidR="003B65ED" w:rsidRPr="003B65ED">
        <w:t xml:space="preserve"> </w:t>
      </w:r>
      <w:r w:rsidR="003B65ED">
        <w:t>t</w:t>
      </w:r>
      <w:r w:rsidR="005E2B1A" w:rsidRPr="00C34523">
        <w:t>he</w:t>
      </w:r>
      <w:r w:rsidR="00B549C3">
        <w:t xml:space="preserve"> time between T0 and arrival at a</w:t>
      </w:r>
      <w:r w:rsidR="003B65ED">
        <w:t xml:space="preserve"> the PPCI Centre, and the </w:t>
      </w:r>
      <w:r w:rsidR="005E2B1A" w:rsidRPr="00C34523">
        <w:t xml:space="preserve">percentage of patients </w:t>
      </w:r>
      <w:r w:rsidR="00B549C3">
        <w:t xml:space="preserve">suffering a STEMI who </w:t>
      </w:r>
      <w:r w:rsidR="005E2B1A" w:rsidRPr="00C34523">
        <w:t>receive angioplasty withi</w:t>
      </w:r>
      <w:r w:rsidR="0026609E">
        <w:t xml:space="preserve">n 150 minutes of </w:t>
      </w:r>
      <w:r w:rsidR="003B65ED">
        <w:t xml:space="preserve">the </w:t>
      </w:r>
      <w:r w:rsidR="0026609E">
        <w:t>emergency call</w:t>
      </w:r>
      <w:r w:rsidR="00B549C3">
        <w:t>.</w:t>
      </w:r>
    </w:p>
    <w:p w14:paraId="29FEBF60" w14:textId="77777777" w:rsidR="005E2B1A" w:rsidRPr="00C34523" w:rsidRDefault="005E2B1A" w:rsidP="00ED59F5">
      <w:pPr>
        <w:pStyle w:val="ListNumber"/>
      </w:pPr>
      <w:r w:rsidRPr="00C34523">
        <w:t>Myocardial Ischaemia National Audit Project (MINAP) data</w:t>
      </w:r>
      <w:r w:rsidR="0026609E">
        <w:t xml:space="preserve">. </w:t>
      </w:r>
      <w:r w:rsidRPr="00C34523">
        <w:t>Acute trusts are required to work and support ambulance trusts in the provision and timely linking of data to ensure that outcome information is captured as accurately, and for as many patients as possible</w:t>
      </w:r>
      <w:r w:rsidR="002D0D1B">
        <w:t>.</w:t>
      </w:r>
    </w:p>
    <w:p w14:paraId="2D00954D" w14:textId="77777777" w:rsidR="005E2B1A" w:rsidRPr="00C34523" w:rsidRDefault="006C53F1" w:rsidP="00ED59F5">
      <w:pPr>
        <w:pStyle w:val="ListNumber"/>
      </w:pPr>
      <w:r>
        <w:t>SQU03_05</w:t>
      </w:r>
      <w:r w:rsidR="005E2B1A" w:rsidRPr="00C34523">
        <w:t>c</w:t>
      </w:r>
      <w:r>
        <w:t>:</w:t>
      </w:r>
      <w:r w:rsidR="005E2B1A" w:rsidRPr="00C34523">
        <w:t xml:space="preserve"> The percentage of patients suffering a STEMI who rec</w:t>
      </w:r>
      <w:r w:rsidR="0026609E">
        <w:t>eive an appropriate care bundle:</w:t>
      </w:r>
    </w:p>
    <w:p w14:paraId="0A6C7322" w14:textId="77777777" w:rsidR="005E2B1A" w:rsidRPr="00C34523" w:rsidRDefault="005E2B1A" w:rsidP="00ED59F5">
      <w:pPr>
        <w:pStyle w:val="ListNumber"/>
      </w:pPr>
      <w:r w:rsidRPr="00C34523">
        <w:t>Ambulance Trust data collected as per National Ambulance Service Clinical Quality Group guidance and definitions (see Annex A)</w:t>
      </w:r>
      <w:r w:rsidR="0026609E">
        <w:t>.</w:t>
      </w:r>
    </w:p>
    <w:p w14:paraId="7D898FC0" w14:textId="77777777" w:rsidR="005E2B1A" w:rsidRPr="00C34523" w:rsidRDefault="005E2B1A" w:rsidP="002627BA">
      <w:pPr>
        <w:pStyle w:val="Heading3"/>
      </w:pPr>
      <w:r w:rsidRPr="00C34523">
        <w:t>SQU03_06:</w:t>
      </w:r>
      <w:r w:rsidR="00A31774">
        <w:t xml:space="preserve"> </w:t>
      </w:r>
      <w:r w:rsidRPr="00C34523">
        <w:t>Outcome from stroke for ambulance patients</w:t>
      </w:r>
      <w:r w:rsidR="00A906B9" w:rsidRPr="00C34523">
        <w:t xml:space="preserve"> </w:t>
      </w:r>
    </w:p>
    <w:p w14:paraId="215CC5FE" w14:textId="77777777" w:rsidR="005E2B1A" w:rsidRPr="00C34523" w:rsidRDefault="005E2B1A" w:rsidP="002627BA">
      <w:pPr>
        <w:pStyle w:val="Heading5"/>
      </w:pPr>
      <w:r w:rsidRPr="00C34523">
        <w:t xml:space="preserve">Detailed </w:t>
      </w:r>
      <w:r w:rsidR="0026609E">
        <w:t>Descriptor</w:t>
      </w:r>
    </w:p>
    <w:p w14:paraId="7F2463E2" w14:textId="77777777" w:rsidR="005E2B1A" w:rsidRPr="00C34523" w:rsidRDefault="006C53F1" w:rsidP="00ED59F5">
      <w:pPr>
        <w:pStyle w:val="ListNumber"/>
      </w:pPr>
      <w:r>
        <w:t>SQU03_06a</w:t>
      </w:r>
      <w:r w:rsidR="0026609E">
        <w:t>:</w:t>
      </w:r>
      <w:r w:rsidRPr="00C34523">
        <w:t xml:space="preserve"> </w:t>
      </w:r>
      <w:r w:rsidR="005E2B1A" w:rsidRPr="00C34523">
        <w:t xml:space="preserve">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stroke centre within 60 minutes of emergency call.</w:t>
      </w:r>
    </w:p>
    <w:p w14:paraId="3218C14D" w14:textId="77777777" w:rsidR="005E2B1A" w:rsidRPr="00C34523" w:rsidRDefault="006C53F1" w:rsidP="00ED59F5">
      <w:pPr>
        <w:pStyle w:val="ListNumber"/>
      </w:pPr>
      <w:r>
        <w:t>SQU03_06b</w:t>
      </w:r>
      <w:r w:rsidR="0026609E">
        <w:t>:</w:t>
      </w:r>
      <w:r w:rsidRPr="00C34523">
        <w:t xml:space="preserve"> </w:t>
      </w:r>
      <w:r w:rsidR="0085222D" w:rsidRPr="00C34523">
        <w:t xml:space="preserve">The number of </w:t>
      </w:r>
      <w:r w:rsidR="000E4ADF" w:rsidRPr="00C34523">
        <w:t xml:space="preserve">patients with symptoms of </w:t>
      </w:r>
      <w:r w:rsidR="0085222D" w:rsidRPr="00C34523">
        <w:t xml:space="preserve">suspected stroke, or </w:t>
      </w:r>
      <w:r w:rsidR="00CE21AE" w:rsidRPr="00C34523">
        <w:t xml:space="preserve">unresolved </w:t>
      </w:r>
      <w:r w:rsidR="0085222D" w:rsidRPr="00C34523">
        <w:t>transient ischaemic attack, assessed face to face who received an appropriate care bundle.</w:t>
      </w:r>
    </w:p>
    <w:p w14:paraId="7ABC6589" w14:textId="77777777" w:rsidR="005E2B1A" w:rsidRPr="00C34523" w:rsidRDefault="005E2B1A" w:rsidP="002627BA">
      <w:pPr>
        <w:pStyle w:val="Heading5"/>
      </w:pPr>
      <w:r w:rsidRPr="00C34523">
        <w:t xml:space="preserve">Data </w:t>
      </w:r>
      <w:r w:rsidR="0026609E">
        <w:t>Definition</w:t>
      </w:r>
    </w:p>
    <w:p w14:paraId="28902C50" w14:textId="77777777" w:rsidR="005E2B1A" w:rsidRPr="00725663" w:rsidRDefault="006C53F1" w:rsidP="002627BA">
      <w:pPr>
        <w:pStyle w:val="Heading4"/>
      </w:pPr>
      <w:r>
        <w:t>SQU03_06a</w:t>
      </w:r>
      <w:r w:rsidR="006C4013">
        <w:t>:</w:t>
      </w:r>
      <w:r w:rsidR="005E2B1A" w:rsidRPr="00C34523">
        <w:t xml:space="preserve"> 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w:t>
      </w:r>
      <w:r w:rsidR="005E2B1A" w:rsidRPr="00725663">
        <w:t>stroke centre within 60 minutes of emergency call.</w:t>
      </w:r>
    </w:p>
    <w:p w14:paraId="3E00B023" w14:textId="5E7AFF60" w:rsidR="005E2B1A" w:rsidRPr="00725663" w:rsidRDefault="005E2B1A" w:rsidP="00ED59F5">
      <w:pPr>
        <w:pStyle w:val="ListNumber"/>
      </w:pPr>
      <w:bookmarkStart w:id="33" w:name="SQU03_6_1_1"/>
      <w:r w:rsidRPr="00725663">
        <w:rPr>
          <w:b/>
        </w:rPr>
        <w:t>SQU03_6_1_1</w:t>
      </w:r>
      <w:bookmarkEnd w:id="33"/>
      <w:r w:rsidRPr="00725663">
        <w:rPr>
          <w:b/>
        </w:rPr>
        <w:t xml:space="preserve">: </w:t>
      </w:r>
      <w:r w:rsidRPr="00725663">
        <w:t xml:space="preserve">FAST positive patients (assessed face to face) potentially eligible for stroke thrombolysis within agreed local guidelines arriving at hospitals with a </w:t>
      </w:r>
      <w:proofErr w:type="spellStart"/>
      <w:r w:rsidRPr="00725663">
        <w:t>hyperacute</w:t>
      </w:r>
      <w:proofErr w:type="spellEnd"/>
      <w:r w:rsidRPr="00725663">
        <w:t xml:space="preserve"> stroke centre within 60 minutes of emergency call connecting to the ambulance service</w:t>
      </w:r>
      <w:r w:rsidR="008F1414">
        <w:t>.</w:t>
      </w:r>
    </w:p>
    <w:p w14:paraId="3B71F599" w14:textId="2FA3EA48" w:rsidR="005E2B1A" w:rsidRPr="00725663" w:rsidRDefault="005E2B1A" w:rsidP="00ED59F5">
      <w:pPr>
        <w:pStyle w:val="ListNumber"/>
      </w:pPr>
      <w:bookmarkStart w:id="34" w:name="SQU03_6_1_2"/>
      <w:r w:rsidRPr="00725663">
        <w:rPr>
          <w:b/>
        </w:rPr>
        <w:t>SQU03_6_1_2</w:t>
      </w:r>
      <w:bookmarkEnd w:id="34"/>
      <w:r w:rsidRPr="00725663">
        <w:rPr>
          <w:b/>
        </w:rPr>
        <w:t>:</w:t>
      </w:r>
      <w:r w:rsidRPr="00725663">
        <w:t xml:space="preserve"> FAST positive patients (assessed face to face) potentially eligible for stroke thrombolysis within agreed local guidelines</w:t>
      </w:r>
      <w:r w:rsidR="008F1414">
        <w:t>.</w:t>
      </w:r>
    </w:p>
    <w:p w14:paraId="1DE7C1FB" w14:textId="77777777" w:rsidR="005E2B1A" w:rsidRPr="00725663" w:rsidRDefault="005E2B1A" w:rsidP="00ED59F5">
      <w:pPr>
        <w:pStyle w:val="ListNumber"/>
      </w:pPr>
      <w:r w:rsidRPr="00725663">
        <w:t>Exclusions that may be considered for inclusion in local guidelines</w:t>
      </w:r>
      <w:r w:rsidR="0026609E">
        <w:t>:</w:t>
      </w:r>
    </w:p>
    <w:p w14:paraId="5F097407" w14:textId="1FD9E3C7" w:rsidR="005E2B1A" w:rsidRPr="00BD35D0" w:rsidRDefault="000819BB" w:rsidP="00BD35D0">
      <w:pPr>
        <w:pStyle w:val="ListNumber2"/>
        <w:numPr>
          <w:ilvl w:val="0"/>
          <w:numId w:val="14"/>
        </w:numPr>
        <w:ind w:left="1021" w:hanging="284"/>
      </w:pPr>
      <w:r>
        <w:t>Patient refusal;</w:t>
      </w:r>
    </w:p>
    <w:p w14:paraId="08B51314" w14:textId="050402B1" w:rsidR="005E2B1A" w:rsidRPr="00725663" w:rsidRDefault="005E2B1A" w:rsidP="00BD35D0">
      <w:pPr>
        <w:pStyle w:val="ListNumber2"/>
      </w:pPr>
      <w:r w:rsidRPr="00725663">
        <w:t xml:space="preserve">Complete resolution of symptoms before arrival at stroke centre </w:t>
      </w:r>
      <w:r w:rsidR="00AF31FB" w:rsidRPr="00725663">
        <w:t xml:space="preserve">(transient </w:t>
      </w:r>
      <w:r w:rsidR="00AF31FB" w:rsidRPr="00BD35D0">
        <w:t>ischaemic</w:t>
      </w:r>
      <w:r w:rsidR="00AF31FB" w:rsidRPr="00725663">
        <w:t xml:space="preserve"> attack, TIA)</w:t>
      </w:r>
      <w:r w:rsidR="000819BB">
        <w:t>;</w:t>
      </w:r>
    </w:p>
    <w:p w14:paraId="25A99446" w14:textId="05E7F906" w:rsidR="005E2B1A" w:rsidRPr="00C34523" w:rsidRDefault="005E2B1A" w:rsidP="00BD35D0">
      <w:pPr>
        <w:pStyle w:val="ListNumber2"/>
      </w:pPr>
      <w:r w:rsidRPr="00C34523">
        <w:t>Advance Directive for refusal of treatment (ADRT)</w:t>
      </w:r>
      <w:r w:rsidR="000819BB">
        <w:t>;</w:t>
      </w:r>
    </w:p>
    <w:p w14:paraId="75AA0922" w14:textId="2F4921EA" w:rsidR="005E2B1A" w:rsidRPr="00C34523" w:rsidRDefault="005E2B1A" w:rsidP="00BD35D0">
      <w:pPr>
        <w:pStyle w:val="ListNumber2"/>
      </w:pPr>
      <w:r w:rsidRPr="00C34523">
        <w:t xml:space="preserve">Patients who are not clinically safe for bypass to </w:t>
      </w:r>
      <w:proofErr w:type="spellStart"/>
      <w:r w:rsidRPr="00C34523">
        <w:t>hyperacute</w:t>
      </w:r>
      <w:proofErr w:type="spellEnd"/>
      <w:r w:rsidRPr="00C34523">
        <w:t xml:space="preserve"> stroke centre (</w:t>
      </w:r>
      <w:r w:rsidR="0048603A">
        <w:t xml:space="preserve">that is, </w:t>
      </w:r>
      <w:r w:rsidRPr="00C34523">
        <w:t>patients with seizures</w:t>
      </w:r>
      <w:r w:rsidR="00C01824">
        <w:t xml:space="preserve"> </w:t>
      </w:r>
      <w:r w:rsidRPr="00C34523">
        <w:t>/</w:t>
      </w:r>
      <w:r w:rsidR="00C01824">
        <w:t xml:space="preserve"> </w:t>
      </w:r>
      <w:r w:rsidRPr="00C34523">
        <w:t>agitation; Glasgow Coma Scale score below 8; time critical features (airway problem, reduced consciousness)</w:t>
      </w:r>
      <w:r w:rsidR="000819BB">
        <w:t>.</w:t>
      </w:r>
    </w:p>
    <w:p w14:paraId="172D570A" w14:textId="77777777" w:rsidR="005E2B1A" w:rsidRPr="00725663" w:rsidRDefault="006C53F1" w:rsidP="002627BA">
      <w:pPr>
        <w:pStyle w:val="Heading4"/>
      </w:pPr>
      <w:r>
        <w:t>SQU03_06b</w:t>
      </w:r>
      <w:r w:rsidR="006C4013">
        <w:t>:</w:t>
      </w:r>
      <w:r w:rsidRPr="00C34523">
        <w:t xml:space="preserve"> </w:t>
      </w:r>
      <w:r w:rsidR="00CE21AE" w:rsidRPr="00C34523">
        <w:t xml:space="preserve">The number of suspected stroke, or unresolved transient ischaemic attack, patients assessed </w:t>
      </w:r>
      <w:r w:rsidR="00CE21AE" w:rsidRPr="00725663">
        <w:t>face to face who received an appropriate care bundle</w:t>
      </w:r>
      <w:r w:rsidR="002D0D1B">
        <w:t>.</w:t>
      </w:r>
    </w:p>
    <w:p w14:paraId="4170CD82" w14:textId="77777777" w:rsidR="005E2B1A" w:rsidRPr="00725663" w:rsidRDefault="005E2B1A" w:rsidP="00ED59F5">
      <w:pPr>
        <w:pStyle w:val="ListNumber"/>
      </w:pPr>
      <w:bookmarkStart w:id="35" w:name="SQU03_6_2_1"/>
      <w:r w:rsidRPr="00725663">
        <w:rPr>
          <w:b/>
        </w:rPr>
        <w:t>SQU03_6_2_1</w:t>
      </w:r>
      <w:bookmarkEnd w:id="35"/>
      <w:r w:rsidRPr="00725663">
        <w:rPr>
          <w:b/>
        </w:rPr>
        <w:t>:</w:t>
      </w:r>
      <w:r w:rsidRPr="00725663">
        <w:t xml:space="preserve"> The number of suspected stroke</w:t>
      </w:r>
      <w:r w:rsidR="00E00943" w:rsidRPr="00725663">
        <w:t xml:space="preserve"> or unresolved transient ischaemic attack </w:t>
      </w:r>
      <w:r w:rsidRPr="00725663">
        <w:t xml:space="preserve">patients assessed face to face who received an appropriate care bundle. </w:t>
      </w:r>
      <w:r w:rsidR="00E00943" w:rsidRPr="00725663">
        <w:t>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 ischaemic attack who have a new onset of symptoms</w:t>
      </w:r>
      <w:r w:rsidR="002D0D1B">
        <w:t>.</w:t>
      </w:r>
    </w:p>
    <w:p w14:paraId="1F88DAE1" w14:textId="77777777" w:rsidR="005E2B1A" w:rsidRPr="00C34523" w:rsidRDefault="005E2B1A" w:rsidP="00ED59F5">
      <w:pPr>
        <w:pStyle w:val="ListNumber"/>
      </w:pPr>
      <w:bookmarkStart w:id="36" w:name="SQU03_6_2_2"/>
      <w:r w:rsidRPr="00725663">
        <w:rPr>
          <w:b/>
        </w:rPr>
        <w:t>SQU03_6_2_2</w:t>
      </w:r>
      <w:bookmarkEnd w:id="36"/>
      <w:r w:rsidRPr="00725663">
        <w:rPr>
          <w:b/>
        </w:rPr>
        <w:t>:</w:t>
      </w:r>
      <w:r w:rsidR="00E94657" w:rsidRPr="00725663">
        <w:t xml:space="preserve"> </w:t>
      </w:r>
      <w:r w:rsidRPr="00725663">
        <w:t>The number of suspected stroke</w:t>
      </w:r>
      <w:r w:rsidR="00E00943" w:rsidRPr="00725663">
        <w:t xml:space="preserve"> or unresolved transient ischaemic attack</w:t>
      </w:r>
      <w:r w:rsidRPr="00725663">
        <w:t xml:space="preserve"> patients assessed face to face</w:t>
      </w:r>
      <w:r w:rsidR="00E00943" w:rsidRPr="00725663">
        <w:t>. 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w:t>
      </w:r>
      <w:r w:rsidR="00E00943" w:rsidRPr="00C34523">
        <w:t xml:space="preserve"> ischaemic attack who have a new onset of symptoms</w:t>
      </w:r>
      <w:r w:rsidR="002D0D1B">
        <w:t>.</w:t>
      </w:r>
    </w:p>
    <w:p w14:paraId="6041BDBB" w14:textId="77777777" w:rsidR="005E2B1A" w:rsidRPr="00C34523" w:rsidRDefault="005E2B1A" w:rsidP="002627BA">
      <w:pPr>
        <w:pStyle w:val="Heading5"/>
      </w:pPr>
      <w:r w:rsidRPr="00C34523">
        <w:t>Notes</w:t>
      </w:r>
    </w:p>
    <w:p w14:paraId="5518A086" w14:textId="6B018FD0" w:rsidR="005E2B1A" w:rsidRPr="00C34523" w:rsidRDefault="005E2B1A" w:rsidP="00ED59F5">
      <w:pPr>
        <w:pStyle w:val="ListNumber"/>
      </w:pPr>
      <w:r w:rsidRPr="00C34523">
        <w:t xml:space="preserve">Components of the care bundle for suspected stroke </w:t>
      </w:r>
      <w:r w:rsidR="00E00943" w:rsidRPr="00C34523">
        <w:t xml:space="preserve">or unresolved transient ischaemic attack </w:t>
      </w:r>
      <w:r w:rsidRPr="00C34523">
        <w:t xml:space="preserve">patients, in line with </w:t>
      </w:r>
      <w:r w:rsidR="00E00943" w:rsidRPr="00C34523">
        <w:t>National Ambulance Service Clinical Quality Group guidance</w:t>
      </w:r>
      <w:r w:rsidRPr="00C34523">
        <w:t>, are presented below, with their exceptions in parenthes</w:t>
      </w:r>
      <w:r w:rsidR="000819BB">
        <w:t>e</w:t>
      </w:r>
      <w:r w:rsidRPr="00C34523">
        <w:t>s:</w:t>
      </w:r>
    </w:p>
    <w:p w14:paraId="2CD31C9B" w14:textId="35F718B2" w:rsidR="005E2B1A" w:rsidRPr="00C34523" w:rsidRDefault="005E2B1A" w:rsidP="00361705">
      <w:pPr>
        <w:pStyle w:val="ListNumber2"/>
        <w:numPr>
          <w:ilvl w:val="0"/>
          <w:numId w:val="12"/>
        </w:numPr>
        <w:ind w:left="1021" w:hanging="284"/>
      </w:pPr>
      <w:r w:rsidRPr="00361705">
        <w:t>FAST</w:t>
      </w:r>
      <w:r w:rsidRPr="00C34523">
        <w:t xml:space="preserve"> assessment recorded (Patient unable</w:t>
      </w:r>
      <w:r w:rsidR="00C01824">
        <w:t xml:space="preserve"> </w:t>
      </w:r>
      <w:r w:rsidRPr="00C34523">
        <w:t>/</w:t>
      </w:r>
      <w:r w:rsidR="00C01824">
        <w:t xml:space="preserve"> </w:t>
      </w:r>
      <w:r w:rsidRPr="00C34523">
        <w:t>patient declined)</w:t>
      </w:r>
      <w:r w:rsidR="000819BB">
        <w:t>;</w:t>
      </w:r>
    </w:p>
    <w:p w14:paraId="39FD3DAD" w14:textId="637B4180" w:rsidR="005E2B1A" w:rsidRPr="00C34523" w:rsidRDefault="005E2B1A" w:rsidP="000819BB">
      <w:pPr>
        <w:pStyle w:val="ListNumber2"/>
      </w:pPr>
      <w:r w:rsidRPr="000819BB">
        <w:t>Blood</w:t>
      </w:r>
      <w:r w:rsidRPr="00C34523">
        <w:t xml:space="preserve"> glucose recorded (Patient refusal)</w:t>
      </w:r>
      <w:r w:rsidR="000819BB">
        <w:t>;</w:t>
      </w:r>
    </w:p>
    <w:p w14:paraId="4333E7BF" w14:textId="0A8CA75E" w:rsidR="005E2B1A" w:rsidRPr="00C34523" w:rsidRDefault="005E2B1A" w:rsidP="00BD35D0">
      <w:pPr>
        <w:pStyle w:val="ListNumber2"/>
      </w:pPr>
      <w:r w:rsidRPr="00C34523">
        <w:t>Systolic and diastolic blood pressure recorded (Patient refusal</w:t>
      </w:r>
      <w:r w:rsidR="00C01824">
        <w:t xml:space="preserve"> </w:t>
      </w:r>
      <w:r w:rsidRPr="00C34523">
        <w:t>/</w:t>
      </w:r>
      <w:r w:rsidR="00C01824">
        <w:t xml:space="preserve"> </w:t>
      </w:r>
      <w:r w:rsidRPr="00C34523">
        <w:t>Time critical features (airway problem, reduced consciousness))</w:t>
      </w:r>
      <w:r w:rsidR="000819BB">
        <w:t>.</w:t>
      </w:r>
    </w:p>
    <w:p w14:paraId="394E5252" w14:textId="77777777" w:rsidR="005E2B1A" w:rsidRPr="00C34523" w:rsidRDefault="005E2B1A" w:rsidP="002627BA">
      <w:pPr>
        <w:pStyle w:val="Heading5"/>
      </w:pPr>
      <w:r w:rsidRPr="00C34523">
        <w:t>Exceptions</w:t>
      </w:r>
      <w:r w:rsidR="006C53F1">
        <w:t xml:space="preserve"> to SQU03_06b</w:t>
      </w:r>
    </w:p>
    <w:p w14:paraId="0CB8D5A8" w14:textId="77777777"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14:paraId="29E9348C" w14:textId="77777777" w:rsidR="005E2B1A" w:rsidRPr="00002A81" w:rsidRDefault="005E2B1A" w:rsidP="00ED59F5">
      <w:pPr>
        <w:pStyle w:val="ListNumber"/>
      </w:pPr>
      <w:r w:rsidRPr="00002A81">
        <w:t xml:space="preserve">The table below sets out examples to illustrate whether a care bundle has been </w:t>
      </w:r>
      <w:proofErr w:type="gramStart"/>
      <w:r w:rsidRPr="00002A81">
        <w:t>completed,</w:t>
      </w:r>
      <w:proofErr w:type="gramEnd"/>
      <w:r w:rsidRPr="00002A81">
        <w:t xml:space="preserve"> not completed, or whether there is an exception from administering the care bundle.</w:t>
      </w:r>
    </w:p>
    <w:p w14:paraId="7291A045" w14:textId="77777777" w:rsidR="005E2B1A" w:rsidRPr="00E94657" w:rsidRDefault="005E2B1A" w:rsidP="00ED59F5">
      <w:pPr>
        <w:pStyle w:val="ListNumber"/>
      </w:pPr>
      <w:r w:rsidRPr="00002A81">
        <w:t>Where there is a valid exception to the care bundle, this case should be recorded in both the numerator and the</w:t>
      </w:r>
      <w:r w:rsidR="0023451E">
        <w:t xml:space="preserve"> denominator for this indicator.</w:t>
      </w:r>
    </w:p>
    <w:p w14:paraId="57BE66DC" w14:textId="77777777" w:rsidR="005E2B1A" w:rsidRPr="00002A81" w:rsidRDefault="005E2B1A" w:rsidP="00ED59F5">
      <w:pPr>
        <w:pStyle w:val="ListNumber"/>
      </w:pPr>
      <w:r w:rsidRPr="00002A81">
        <w:t xml:space="preserve">The number of such exceptions may be monitored separately and referred to in the </w:t>
      </w:r>
      <w:r w:rsidRPr="00E94657">
        <w:t>narrative</w:t>
      </w:r>
      <w:r w:rsidRPr="00002A81">
        <w:t xml:space="preserve"> for the indicator to share learning (for example, where there are high numbers of exceptions due to patient refusal of an element in the care bundle)</w:t>
      </w:r>
      <w:r w:rsidR="002D0D1B">
        <w:t>.</w:t>
      </w:r>
    </w:p>
    <w:p w14:paraId="3E7CE010" w14:textId="77777777" w:rsidR="00E94657"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08"/>
        <w:gridCol w:w="1807"/>
        <w:gridCol w:w="1807"/>
        <w:gridCol w:w="1807"/>
        <w:gridCol w:w="1807"/>
      </w:tblGrid>
      <w:tr w:rsidR="005E2B1A" w:rsidRPr="00C34523" w14:paraId="4C7552E8" w14:textId="77777777" w:rsidTr="009E3108">
        <w:tc>
          <w:tcPr>
            <w:tcW w:w="1000" w:type="pct"/>
            <w:vAlign w:val="center"/>
          </w:tcPr>
          <w:p w14:paraId="57AC8CFE" w14:textId="77777777" w:rsidR="005E2B1A" w:rsidRPr="0023451E" w:rsidRDefault="005E2B1A" w:rsidP="009E3108">
            <w:pPr>
              <w:pStyle w:val="Heading6"/>
            </w:pPr>
            <w:r w:rsidRPr="0023451E">
              <w:t>Patient ID</w:t>
            </w:r>
          </w:p>
        </w:tc>
        <w:tc>
          <w:tcPr>
            <w:tcW w:w="1000" w:type="pct"/>
            <w:vAlign w:val="center"/>
          </w:tcPr>
          <w:p w14:paraId="11A9DB8C" w14:textId="77777777" w:rsidR="005E2B1A" w:rsidRPr="0023451E" w:rsidRDefault="005E2B1A" w:rsidP="009E3108">
            <w:pPr>
              <w:pStyle w:val="Heading6"/>
            </w:pPr>
            <w:r w:rsidRPr="0023451E">
              <w:t>Care bundle criterion 1</w:t>
            </w:r>
          </w:p>
        </w:tc>
        <w:tc>
          <w:tcPr>
            <w:tcW w:w="1000" w:type="pct"/>
            <w:vAlign w:val="center"/>
          </w:tcPr>
          <w:p w14:paraId="3C583338" w14:textId="77777777" w:rsidR="005E2B1A" w:rsidRPr="0023451E" w:rsidRDefault="005E2B1A" w:rsidP="009E3108">
            <w:pPr>
              <w:pStyle w:val="Heading6"/>
            </w:pPr>
            <w:r w:rsidRPr="0023451E">
              <w:t>Care bundle criterion 2</w:t>
            </w:r>
          </w:p>
        </w:tc>
        <w:tc>
          <w:tcPr>
            <w:tcW w:w="1000" w:type="pct"/>
            <w:vAlign w:val="center"/>
          </w:tcPr>
          <w:p w14:paraId="1EB1CF60" w14:textId="77777777" w:rsidR="005E2B1A" w:rsidRPr="0023451E" w:rsidRDefault="005E2B1A" w:rsidP="009E3108">
            <w:pPr>
              <w:pStyle w:val="Heading6"/>
            </w:pPr>
            <w:r w:rsidRPr="0023451E">
              <w:t>Care bundle criterion 3</w:t>
            </w:r>
          </w:p>
        </w:tc>
        <w:tc>
          <w:tcPr>
            <w:tcW w:w="1000" w:type="pct"/>
            <w:vAlign w:val="center"/>
          </w:tcPr>
          <w:p w14:paraId="266D5C29" w14:textId="77777777" w:rsidR="005E2B1A" w:rsidRPr="0023451E" w:rsidRDefault="005E2B1A" w:rsidP="009E3108">
            <w:pPr>
              <w:pStyle w:val="Heading6"/>
            </w:pPr>
            <w:r w:rsidRPr="0023451E">
              <w:t>Care bundle delivered?</w:t>
            </w:r>
          </w:p>
        </w:tc>
      </w:tr>
      <w:tr w:rsidR="005E2B1A" w:rsidRPr="00C34523" w14:paraId="69E8837C" w14:textId="77777777" w:rsidTr="007D6DF1">
        <w:trPr>
          <w:trHeight w:val="340"/>
        </w:trPr>
        <w:tc>
          <w:tcPr>
            <w:tcW w:w="1000" w:type="pct"/>
            <w:vAlign w:val="center"/>
          </w:tcPr>
          <w:p w14:paraId="4BFA6918" w14:textId="77777777" w:rsidR="005E2B1A" w:rsidRPr="0023451E" w:rsidRDefault="005E2B1A" w:rsidP="009E3108">
            <w:pPr>
              <w:pStyle w:val="BodyText"/>
              <w:jc w:val="center"/>
            </w:pPr>
            <w:r w:rsidRPr="0023451E">
              <w:t>1</w:t>
            </w:r>
          </w:p>
        </w:tc>
        <w:tc>
          <w:tcPr>
            <w:tcW w:w="1000" w:type="pct"/>
            <w:vAlign w:val="center"/>
          </w:tcPr>
          <w:p w14:paraId="609E9D40" w14:textId="77777777" w:rsidR="005E2B1A" w:rsidRPr="00E94657" w:rsidRDefault="005E2B1A" w:rsidP="00103121">
            <w:pPr>
              <w:pStyle w:val="BodyText2"/>
            </w:pPr>
            <w:r w:rsidRPr="00E94657">
              <w:t></w:t>
            </w:r>
          </w:p>
        </w:tc>
        <w:tc>
          <w:tcPr>
            <w:tcW w:w="1000" w:type="pct"/>
            <w:vAlign w:val="center"/>
          </w:tcPr>
          <w:p w14:paraId="400390CB" w14:textId="77777777" w:rsidR="005E2B1A" w:rsidRPr="00E94657" w:rsidRDefault="005E2B1A" w:rsidP="00103121">
            <w:pPr>
              <w:pStyle w:val="BodyText2"/>
            </w:pPr>
            <w:r w:rsidRPr="00E94657">
              <w:t></w:t>
            </w:r>
          </w:p>
        </w:tc>
        <w:tc>
          <w:tcPr>
            <w:tcW w:w="1000" w:type="pct"/>
            <w:vAlign w:val="center"/>
          </w:tcPr>
          <w:p w14:paraId="63D68ED7" w14:textId="77777777" w:rsidR="005E2B1A" w:rsidRPr="00A31774" w:rsidRDefault="00E94657" w:rsidP="00103121">
            <w:pPr>
              <w:pStyle w:val="BodyText2"/>
            </w:pPr>
            <w:r w:rsidRPr="00A31774">
              <w:t></w:t>
            </w:r>
          </w:p>
        </w:tc>
        <w:tc>
          <w:tcPr>
            <w:tcW w:w="1000" w:type="pct"/>
            <w:vAlign w:val="center"/>
          </w:tcPr>
          <w:p w14:paraId="3932B8CE" w14:textId="77777777" w:rsidR="005E2B1A" w:rsidRPr="0023451E" w:rsidRDefault="005E2B1A" w:rsidP="009E3108">
            <w:pPr>
              <w:pStyle w:val="BodyText"/>
              <w:jc w:val="center"/>
            </w:pPr>
            <w:r w:rsidRPr="0023451E">
              <w:t>Yes</w:t>
            </w:r>
          </w:p>
        </w:tc>
      </w:tr>
      <w:tr w:rsidR="005E2B1A" w:rsidRPr="00C34523" w14:paraId="60B29DF4" w14:textId="77777777" w:rsidTr="007D6DF1">
        <w:trPr>
          <w:trHeight w:val="340"/>
        </w:trPr>
        <w:tc>
          <w:tcPr>
            <w:tcW w:w="1000" w:type="pct"/>
            <w:vAlign w:val="center"/>
          </w:tcPr>
          <w:p w14:paraId="18092549" w14:textId="77777777" w:rsidR="005E2B1A" w:rsidRPr="0023451E" w:rsidRDefault="005E2B1A" w:rsidP="009E3108">
            <w:pPr>
              <w:pStyle w:val="BodyText"/>
              <w:jc w:val="center"/>
            </w:pPr>
            <w:r w:rsidRPr="0023451E">
              <w:t>2</w:t>
            </w:r>
          </w:p>
        </w:tc>
        <w:tc>
          <w:tcPr>
            <w:tcW w:w="1000" w:type="pct"/>
            <w:vAlign w:val="center"/>
          </w:tcPr>
          <w:p w14:paraId="31E810F3" w14:textId="77777777" w:rsidR="005E2B1A" w:rsidRPr="00E94657" w:rsidRDefault="005E2B1A" w:rsidP="00103121">
            <w:pPr>
              <w:pStyle w:val="BodyText2"/>
            </w:pPr>
            <w:r w:rsidRPr="00E94657">
              <w:t></w:t>
            </w:r>
          </w:p>
        </w:tc>
        <w:tc>
          <w:tcPr>
            <w:tcW w:w="1000" w:type="pct"/>
            <w:vAlign w:val="center"/>
          </w:tcPr>
          <w:p w14:paraId="2EDF134B" w14:textId="77777777" w:rsidR="005E2B1A" w:rsidRPr="00E94657" w:rsidRDefault="005E2B1A" w:rsidP="00103121">
            <w:pPr>
              <w:pStyle w:val="BodyText2"/>
            </w:pPr>
            <w:r w:rsidRPr="00E94657">
              <w:t></w:t>
            </w:r>
          </w:p>
        </w:tc>
        <w:tc>
          <w:tcPr>
            <w:tcW w:w="1000" w:type="pct"/>
            <w:vAlign w:val="center"/>
          </w:tcPr>
          <w:p w14:paraId="3EF3F5FE" w14:textId="77777777" w:rsidR="005E2B1A" w:rsidRPr="00E94657" w:rsidRDefault="00E94657" w:rsidP="009E3108">
            <w:pPr>
              <w:pStyle w:val="BodyText"/>
              <w:jc w:val="center"/>
              <w:rPr>
                <w:rFonts w:cs="Arial"/>
                <w:color w:val="000000"/>
                <w:szCs w:val="20"/>
              </w:rPr>
            </w:pPr>
            <w:r w:rsidRPr="00E94657">
              <w:t>x</w:t>
            </w:r>
          </w:p>
        </w:tc>
        <w:tc>
          <w:tcPr>
            <w:tcW w:w="1000" w:type="pct"/>
            <w:vAlign w:val="center"/>
          </w:tcPr>
          <w:p w14:paraId="3030F1A2" w14:textId="77777777" w:rsidR="005E2B1A" w:rsidRPr="0023451E" w:rsidRDefault="005E2B1A" w:rsidP="009E3108">
            <w:pPr>
              <w:pStyle w:val="BodyText"/>
              <w:jc w:val="center"/>
            </w:pPr>
            <w:r w:rsidRPr="0023451E">
              <w:t>No</w:t>
            </w:r>
          </w:p>
        </w:tc>
      </w:tr>
      <w:tr w:rsidR="005E2B1A" w:rsidRPr="00C34523" w14:paraId="1C552E19" w14:textId="77777777" w:rsidTr="007D6DF1">
        <w:trPr>
          <w:trHeight w:val="340"/>
        </w:trPr>
        <w:tc>
          <w:tcPr>
            <w:tcW w:w="1000" w:type="pct"/>
            <w:vAlign w:val="center"/>
          </w:tcPr>
          <w:p w14:paraId="3F628C22" w14:textId="77777777" w:rsidR="005E2B1A" w:rsidRPr="0023451E" w:rsidRDefault="005E2B1A" w:rsidP="009E3108">
            <w:pPr>
              <w:pStyle w:val="BodyText"/>
              <w:jc w:val="center"/>
            </w:pPr>
            <w:r w:rsidRPr="0023451E">
              <w:t>3</w:t>
            </w:r>
          </w:p>
        </w:tc>
        <w:tc>
          <w:tcPr>
            <w:tcW w:w="1000" w:type="pct"/>
            <w:vAlign w:val="center"/>
          </w:tcPr>
          <w:p w14:paraId="42A6BCCF" w14:textId="77777777" w:rsidR="005E2B1A" w:rsidRPr="00E94657" w:rsidRDefault="005E2B1A" w:rsidP="00103121">
            <w:pPr>
              <w:pStyle w:val="BodyText2"/>
            </w:pPr>
            <w:r w:rsidRPr="00E94657">
              <w:t></w:t>
            </w:r>
          </w:p>
        </w:tc>
        <w:tc>
          <w:tcPr>
            <w:tcW w:w="1000" w:type="pct"/>
            <w:vAlign w:val="center"/>
          </w:tcPr>
          <w:p w14:paraId="11A61D7B" w14:textId="77777777" w:rsidR="005E2B1A" w:rsidRPr="0023451E" w:rsidRDefault="005E2B1A" w:rsidP="009E3108">
            <w:pPr>
              <w:pStyle w:val="BodyText"/>
              <w:jc w:val="center"/>
            </w:pPr>
            <w:r w:rsidRPr="0023451E">
              <w:t>Exception</w:t>
            </w:r>
          </w:p>
        </w:tc>
        <w:tc>
          <w:tcPr>
            <w:tcW w:w="1000" w:type="pct"/>
            <w:vAlign w:val="center"/>
          </w:tcPr>
          <w:p w14:paraId="2CC5A7B7" w14:textId="77777777" w:rsidR="005E2B1A" w:rsidRPr="0023451E" w:rsidRDefault="005E2B1A" w:rsidP="009E3108">
            <w:pPr>
              <w:pStyle w:val="BodyText"/>
              <w:jc w:val="center"/>
            </w:pPr>
            <w:r w:rsidRPr="0023451E">
              <w:t>x</w:t>
            </w:r>
          </w:p>
        </w:tc>
        <w:tc>
          <w:tcPr>
            <w:tcW w:w="1000" w:type="pct"/>
            <w:vAlign w:val="center"/>
          </w:tcPr>
          <w:p w14:paraId="35BFDB84" w14:textId="77777777" w:rsidR="005E2B1A" w:rsidRPr="0023451E" w:rsidRDefault="005E2B1A" w:rsidP="009E3108">
            <w:pPr>
              <w:pStyle w:val="BodyText"/>
              <w:jc w:val="center"/>
            </w:pPr>
            <w:r w:rsidRPr="0023451E">
              <w:t>No</w:t>
            </w:r>
          </w:p>
        </w:tc>
      </w:tr>
      <w:tr w:rsidR="005E2B1A" w:rsidRPr="00C34523" w14:paraId="7655B682" w14:textId="77777777" w:rsidTr="007D6DF1">
        <w:trPr>
          <w:trHeight w:val="340"/>
        </w:trPr>
        <w:tc>
          <w:tcPr>
            <w:tcW w:w="1000" w:type="pct"/>
            <w:vAlign w:val="center"/>
          </w:tcPr>
          <w:p w14:paraId="0AD63214" w14:textId="77777777" w:rsidR="005E2B1A" w:rsidRPr="0023451E" w:rsidRDefault="005E2B1A" w:rsidP="009E3108">
            <w:pPr>
              <w:pStyle w:val="BodyText"/>
              <w:jc w:val="center"/>
            </w:pPr>
            <w:r w:rsidRPr="0023451E">
              <w:t>4</w:t>
            </w:r>
          </w:p>
        </w:tc>
        <w:tc>
          <w:tcPr>
            <w:tcW w:w="1000" w:type="pct"/>
            <w:vAlign w:val="center"/>
          </w:tcPr>
          <w:p w14:paraId="564BD732" w14:textId="77777777" w:rsidR="005E2B1A" w:rsidRPr="0023451E" w:rsidRDefault="005E2B1A" w:rsidP="009E3108">
            <w:pPr>
              <w:pStyle w:val="BodyText"/>
              <w:jc w:val="center"/>
            </w:pPr>
            <w:r w:rsidRPr="0023451E">
              <w:t>Exception</w:t>
            </w:r>
          </w:p>
        </w:tc>
        <w:tc>
          <w:tcPr>
            <w:tcW w:w="1000" w:type="pct"/>
            <w:vAlign w:val="center"/>
          </w:tcPr>
          <w:p w14:paraId="368B8044" w14:textId="77777777" w:rsidR="005E2B1A" w:rsidRPr="0023451E" w:rsidRDefault="005E2B1A" w:rsidP="009E3108">
            <w:pPr>
              <w:pStyle w:val="BodyText"/>
              <w:jc w:val="center"/>
            </w:pPr>
            <w:r w:rsidRPr="0023451E">
              <w:t>Exception</w:t>
            </w:r>
          </w:p>
        </w:tc>
        <w:tc>
          <w:tcPr>
            <w:tcW w:w="1000" w:type="pct"/>
            <w:vAlign w:val="center"/>
          </w:tcPr>
          <w:p w14:paraId="20C48826" w14:textId="77777777" w:rsidR="005E2B1A" w:rsidRPr="0023451E" w:rsidRDefault="005E2B1A" w:rsidP="009E3108">
            <w:pPr>
              <w:pStyle w:val="BodyText"/>
              <w:jc w:val="center"/>
            </w:pPr>
            <w:r w:rsidRPr="0023451E">
              <w:t>x</w:t>
            </w:r>
          </w:p>
        </w:tc>
        <w:tc>
          <w:tcPr>
            <w:tcW w:w="1000" w:type="pct"/>
            <w:vAlign w:val="center"/>
          </w:tcPr>
          <w:p w14:paraId="2EA7CC4F" w14:textId="77777777" w:rsidR="005E2B1A" w:rsidRPr="0023451E" w:rsidRDefault="005E2B1A" w:rsidP="009E3108">
            <w:pPr>
              <w:pStyle w:val="BodyText"/>
              <w:jc w:val="center"/>
            </w:pPr>
            <w:r w:rsidRPr="0023451E">
              <w:t>No</w:t>
            </w:r>
          </w:p>
        </w:tc>
      </w:tr>
      <w:tr w:rsidR="005E2B1A" w:rsidRPr="00C34523" w14:paraId="52445442" w14:textId="77777777" w:rsidTr="007D6DF1">
        <w:trPr>
          <w:trHeight w:val="340"/>
        </w:trPr>
        <w:tc>
          <w:tcPr>
            <w:tcW w:w="1000" w:type="pct"/>
            <w:vAlign w:val="center"/>
          </w:tcPr>
          <w:p w14:paraId="514781D3" w14:textId="77777777" w:rsidR="005E2B1A" w:rsidRPr="0023451E" w:rsidRDefault="005E2B1A" w:rsidP="009E3108">
            <w:pPr>
              <w:pStyle w:val="BodyText"/>
              <w:jc w:val="center"/>
            </w:pPr>
            <w:r w:rsidRPr="0023451E">
              <w:t>5</w:t>
            </w:r>
          </w:p>
        </w:tc>
        <w:tc>
          <w:tcPr>
            <w:tcW w:w="1000" w:type="pct"/>
            <w:vAlign w:val="center"/>
          </w:tcPr>
          <w:p w14:paraId="3F4C6B5F" w14:textId="77777777" w:rsidR="005E2B1A" w:rsidRPr="00E94657" w:rsidRDefault="005E2B1A" w:rsidP="00103121">
            <w:pPr>
              <w:pStyle w:val="BodyText2"/>
            </w:pPr>
            <w:r w:rsidRPr="00E94657">
              <w:t></w:t>
            </w:r>
          </w:p>
        </w:tc>
        <w:tc>
          <w:tcPr>
            <w:tcW w:w="1000" w:type="pct"/>
            <w:vAlign w:val="center"/>
          </w:tcPr>
          <w:p w14:paraId="71BFEEAE" w14:textId="77777777" w:rsidR="005E2B1A" w:rsidRPr="00E94657" w:rsidRDefault="005E2B1A" w:rsidP="00103121">
            <w:pPr>
              <w:pStyle w:val="BodyText2"/>
            </w:pPr>
            <w:r w:rsidRPr="00E94657">
              <w:t></w:t>
            </w:r>
          </w:p>
        </w:tc>
        <w:tc>
          <w:tcPr>
            <w:tcW w:w="1000" w:type="pct"/>
            <w:vAlign w:val="center"/>
          </w:tcPr>
          <w:p w14:paraId="6B347AE0" w14:textId="77777777" w:rsidR="005E2B1A" w:rsidRPr="0023451E" w:rsidRDefault="005E2B1A" w:rsidP="009E3108">
            <w:pPr>
              <w:pStyle w:val="BodyText"/>
              <w:jc w:val="center"/>
            </w:pPr>
            <w:r w:rsidRPr="0023451E">
              <w:t>Exception</w:t>
            </w:r>
          </w:p>
        </w:tc>
        <w:tc>
          <w:tcPr>
            <w:tcW w:w="1000" w:type="pct"/>
            <w:vAlign w:val="center"/>
          </w:tcPr>
          <w:p w14:paraId="575AD258" w14:textId="77777777" w:rsidR="005E2B1A" w:rsidRPr="0023451E" w:rsidRDefault="005E2B1A" w:rsidP="009E3108">
            <w:pPr>
              <w:pStyle w:val="BodyText"/>
              <w:jc w:val="center"/>
            </w:pPr>
            <w:r w:rsidRPr="0023451E">
              <w:t>Yes</w:t>
            </w:r>
          </w:p>
        </w:tc>
      </w:tr>
      <w:tr w:rsidR="005E2B1A" w:rsidRPr="00C34523" w14:paraId="199EE864" w14:textId="77777777" w:rsidTr="007D6DF1">
        <w:trPr>
          <w:trHeight w:val="340"/>
        </w:trPr>
        <w:tc>
          <w:tcPr>
            <w:tcW w:w="1000" w:type="pct"/>
            <w:vAlign w:val="center"/>
          </w:tcPr>
          <w:p w14:paraId="22613D19" w14:textId="77777777" w:rsidR="005E2B1A" w:rsidRPr="0023451E" w:rsidRDefault="005E2B1A" w:rsidP="009E3108">
            <w:pPr>
              <w:pStyle w:val="BodyText"/>
              <w:jc w:val="center"/>
            </w:pPr>
            <w:r w:rsidRPr="0023451E">
              <w:t>6</w:t>
            </w:r>
          </w:p>
        </w:tc>
        <w:tc>
          <w:tcPr>
            <w:tcW w:w="1000" w:type="pct"/>
            <w:vAlign w:val="center"/>
          </w:tcPr>
          <w:p w14:paraId="0771A8C0" w14:textId="77777777" w:rsidR="005E2B1A" w:rsidRPr="0023451E" w:rsidRDefault="005E2B1A" w:rsidP="009E3108">
            <w:pPr>
              <w:pStyle w:val="BodyText"/>
              <w:jc w:val="center"/>
            </w:pPr>
            <w:r w:rsidRPr="0023451E">
              <w:t>Exception</w:t>
            </w:r>
          </w:p>
        </w:tc>
        <w:tc>
          <w:tcPr>
            <w:tcW w:w="1000" w:type="pct"/>
            <w:vAlign w:val="center"/>
          </w:tcPr>
          <w:p w14:paraId="2E6377DC" w14:textId="77777777" w:rsidR="005E2B1A" w:rsidRPr="0023451E" w:rsidRDefault="005E2B1A" w:rsidP="009E3108">
            <w:pPr>
              <w:pStyle w:val="BodyText"/>
              <w:jc w:val="center"/>
            </w:pPr>
            <w:r w:rsidRPr="0023451E">
              <w:t>Exception</w:t>
            </w:r>
          </w:p>
        </w:tc>
        <w:tc>
          <w:tcPr>
            <w:tcW w:w="1000" w:type="pct"/>
            <w:vAlign w:val="center"/>
          </w:tcPr>
          <w:p w14:paraId="38FA0FE9" w14:textId="77777777" w:rsidR="005E2B1A" w:rsidRPr="00E94657" w:rsidRDefault="005E2B1A" w:rsidP="00103121">
            <w:pPr>
              <w:pStyle w:val="BodyText2"/>
            </w:pPr>
            <w:r w:rsidRPr="00E94657">
              <w:t></w:t>
            </w:r>
          </w:p>
        </w:tc>
        <w:tc>
          <w:tcPr>
            <w:tcW w:w="1000" w:type="pct"/>
            <w:vAlign w:val="center"/>
          </w:tcPr>
          <w:p w14:paraId="6C412114" w14:textId="77777777" w:rsidR="005E2B1A" w:rsidRPr="0023451E" w:rsidRDefault="005E2B1A" w:rsidP="009E3108">
            <w:pPr>
              <w:pStyle w:val="BodyText"/>
              <w:jc w:val="center"/>
            </w:pPr>
            <w:r w:rsidRPr="0023451E">
              <w:t>Yes</w:t>
            </w:r>
          </w:p>
        </w:tc>
      </w:tr>
      <w:tr w:rsidR="005E2B1A" w:rsidRPr="00C34523" w14:paraId="2BBED1FB" w14:textId="77777777" w:rsidTr="007D6DF1">
        <w:trPr>
          <w:trHeight w:val="340"/>
        </w:trPr>
        <w:tc>
          <w:tcPr>
            <w:tcW w:w="1000" w:type="pct"/>
            <w:vAlign w:val="center"/>
          </w:tcPr>
          <w:p w14:paraId="0045FC01" w14:textId="77777777" w:rsidR="005E2B1A" w:rsidRPr="0023451E" w:rsidRDefault="005E2B1A" w:rsidP="009E3108">
            <w:pPr>
              <w:pStyle w:val="BodyText"/>
              <w:jc w:val="center"/>
            </w:pPr>
            <w:r w:rsidRPr="0023451E">
              <w:t>7</w:t>
            </w:r>
          </w:p>
        </w:tc>
        <w:tc>
          <w:tcPr>
            <w:tcW w:w="1000" w:type="pct"/>
            <w:vAlign w:val="center"/>
          </w:tcPr>
          <w:p w14:paraId="17E16445" w14:textId="77777777" w:rsidR="005E2B1A" w:rsidRPr="0023451E" w:rsidRDefault="005E2B1A" w:rsidP="009E3108">
            <w:pPr>
              <w:pStyle w:val="BodyText"/>
              <w:jc w:val="center"/>
            </w:pPr>
            <w:r w:rsidRPr="0023451E">
              <w:t>Exception</w:t>
            </w:r>
          </w:p>
        </w:tc>
        <w:tc>
          <w:tcPr>
            <w:tcW w:w="1000" w:type="pct"/>
            <w:vAlign w:val="center"/>
          </w:tcPr>
          <w:p w14:paraId="3CD05D7F" w14:textId="77777777" w:rsidR="005E2B1A" w:rsidRPr="0023451E" w:rsidRDefault="005E2B1A" w:rsidP="009E3108">
            <w:pPr>
              <w:pStyle w:val="BodyText"/>
              <w:jc w:val="center"/>
            </w:pPr>
            <w:r w:rsidRPr="0023451E">
              <w:t>Exception</w:t>
            </w:r>
          </w:p>
        </w:tc>
        <w:tc>
          <w:tcPr>
            <w:tcW w:w="1000" w:type="pct"/>
            <w:vAlign w:val="center"/>
          </w:tcPr>
          <w:p w14:paraId="209F9C59" w14:textId="77777777" w:rsidR="005E2B1A" w:rsidRPr="0023451E" w:rsidRDefault="005E2B1A" w:rsidP="009E3108">
            <w:pPr>
              <w:pStyle w:val="BodyText"/>
              <w:jc w:val="center"/>
            </w:pPr>
            <w:r w:rsidRPr="0023451E">
              <w:t>Exception</w:t>
            </w:r>
          </w:p>
        </w:tc>
        <w:tc>
          <w:tcPr>
            <w:tcW w:w="1000" w:type="pct"/>
            <w:vAlign w:val="center"/>
          </w:tcPr>
          <w:p w14:paraId="263DCBC3" w14:textId="77777777" w:rsidR="005E2B1A" w:rsidRPr="0023451E" w:rsidRDefault="005E2B1A" w:rsidP="009E3108">
            <w:pPr>
              <w:pStyle w:val="BodyText"/>
              <w:jc w:val="center"/>
            </w:pPr>
            <w:r w:rsidRPr="0023451E">
              <w:t>Yes</w:t>
            </w:r>
          </w:p>
        </w:tc>
      </w:tr>
    </w:tbl>
    <w:p w14:paraId="528A515D" w14:textId="77777777" w:rsidR="005E2B1A" w:rsidRPr="00C34523" w:rsidRDefault="005E2B1A" w:rsidP="002627BA">
      <w:pPr>
        <w:pStyle w:val="Heading5"/>
      </w:pPr>
      <w:r w:rsidRPr="00C34523">
        <w:t>Potential eligibility for thrombolysis</w:t>
      </w:r>
    </w:p>
    <w:p w14:paraId="1F604C0E" w14:textId="77777777" w:rsidR="005E2B1A" w:rsidRPr="00C34523" w:rsidRDefault="005E2B1A" w:rsidP="00ED59F5">
      <w:pPr>
        <w:pStyle w:val="ListNumber"/>
      </w:pPr>
      <w:r w:rsidRPr="00C34523">
        <w:t>Trusts are encouraged to clearly define their local criteria for determining eligibility for thrombolysis (including local exclusions), and this information may be referred to in the narrative for this indicator</w:t>
      </w:r>
      <w:r w:rsidR="002D0D1B">
        <w:t>.</w:t>
      </w:r>
    </w:p>
    <w:p w14:paraId="4C5284CF" w14:textId="77777777" w:rsidR="005E2B1A" w:rsidRPr="00C34523" w:rsidRDefault="0026609E" w:rsidP="002627BA">
      <w:pPr>
        <w:pStyle w:val="Heading5"/>
      </w:pPr>
      <w:r>
        <w:t>Monitoring Data Source</w:t>
      </w:r>
    </w:p>
    <w:p w14:paraId="14BDDD3B" w14:textId="77777777" w:rsidR="005E2B1A" w:rsidRPr="00C34523" w:rsidRDefault="006C53F1" w:rsidP="00ED59F5">
      <w:pPr>
        <w:pStyle w:val="ListNumber"/>
      </w:pPr>
      <w:r>
        <w:t>SQU03_06a</w:t>
      </w:r>
      <w:r w:rsidR="0026609E">
        <w:t>:</w:t>
      </w:r>
      <w:r>
        <w:t xml:space="preserve"> </w:t>
      </w:r>
      <w:r w:rsidR="005E2B1A" w:rsidRPr="00C34523">
        <w:t xml:space="preserve">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stroke centre with</w:t>
      </w:r>
      <w:r w:rsidR="0026609E">
        <w:t>in 60 minutes of emergency call:</w:t>
      </w:r>
    </w:p>
    <w:p w14:paraId="52DCE6B7" w14:textId="77777777" w:rsidR="005E2B1A" w:rsidRPr="00C34523" w:rsidRDefault="005E2B1A" w:rsidP="00ED59F5">
      <w:pPr>
        <w:pStyle w:val="ListNumber"/>
      </w:pPr>
      <w:r w:rsidRPr="00C34523">
        <w:t>Ambulance Trust data (including clinical and</w:t>
      </w:r>
      <w:r w:rsidR="001452D1">
        <w:t xml:space="preserve"> </w:t>
      </w:r>
      <w:r w:rsidRPr="00C34523">
        <w:t xml:space="preserve">CAD data) collected </w:t>
      </w:r>
      <w:r w:rsidR="00E00943" w:rsidRPr="00C34523">
        <w:t>as per National Ambulance Service Clinical Quality Group guidance and definitions (see Annex A)</w:t>
      </w:r>
      <w:r w:rsidR="0026609E">
        <w:t>.</w:t>
      </w:r>
    </w:p>
    <w:p w14:paraId="7F8BE2DA" w14:textId="77777777" w:rsidR="005E2B1A" w:rsidRPr="00C34523" w:rsidRDefault="006C53F1" w:rsidP="00ED59F5">
      <w:pPr>
        <w:pStyle w:val="ListNumber"/>
      </w:pPr>
      <w:r w:rsidRPr="006C53F1">
        <w:t>SQU03_06b</w:t>
      </w:r>
      <w:r w:rsidR="0026609E">
        <w:t>:</w:t>
      </w:r>
      <w:r>
        <w:t xml:space="preserve"> </w:t>
      </w:r>
      <w:r w:rsidR="005E2B1A" w:rsidRPr="00C34523">
        <w:t>The percentage of suspected stroke</w:t>
      </w:r>
      <w:r w:rsidR="00E00943" w:rsidRPr="00C34523">
        <w:t xml:space="preserve"> or unresolved transient ischaemic attack</w:t>
      </w:r>
      <w:r w:rsidR="005E2B1A" w:rsidRPr="00C34523">
        <w:t xml:space="preserve"> patients (assessed face to face) who rec</w:t>
      </w:r>
      <w:r w:rsidR="0026609E">
        <w:t>eive an appropriate care bundle:</w:t>
      </w:r>
    </w:p>
    <w:p w14:paraId="348AC65F" w14:textId="77777777" w:rsidR="005E2B1A" w:rsidRPr="00050ED8" w:rsidRDefault="005E2B1A" w:rsidP="00ED59F5">
      <w:pPr>
        <w:pStyle w:val="ListNumber"/>
      </w:pPr>
      <w:r w:rsidRPr="00C34523">
        <w:t xml:space="preserve">Ambulance Trust data collected </w:t>
      </w:r>
      <w:r w:rsidR="00E00943" w:rsidRPr="00C34523">
        <w:t>as per National Ambulance Service Clinical Quality Group guidance and definitions (see Annex A)</w:t>
      </w:r>
      <w:r w:rsidR="0026609E">
        <w:t>.</w:t>
      </w:r>
    </w:p>
    <w:p w14:paraId="4AE90A0C" w14:textId="77777777" w:rsidR="00851F6D" w:rsidRPr="00050ED8" w:rsidRDefault="00851F6D" w:rsidP="002627BA">
      <w:pPr>
        <w:pStyle w:val="Heading3"/>
      </w:pPr>
      <w:r w:rsidRPr="00050ED8">
        <w:t>SQU03_07: Outcome from cardiac arrest – Survival to discharge</w:t>
      </w:r>
      <w:r w:rsidR="00495EFA">
        <w:t xml:space="preserve"> </w:t>
      </w:r>
    </w:p>
    <w:p w14:paraId="69333889" w14:textId="77777777" w:rsidR="00851F6D" w:rsidRPr="00050ED8" w:rsidRDefault="00851F6D" w:rsidP="002627BA">
      <w:pPr>
        <w:pStyle w:val="Heading5"/>
      </w:pPr>
      <w:r w:rsidRPr="00050ED8">
        <w:t xml:space="preserve">Detailed </w:t>
      </w:r>
      <w:r w:rsidR="0026609E">
        <w:t>Descriptor</w:t>
      </w:r>
    </w:p>
    <w:p w14:paraId="6D0CD93A" w14:textId="7B56C2B7" w:rsidR="00851F6D" w:rsidRPr="00050ED8" w:rsidRDefault="006C53F1" w:rsidP="00ED59F5">
      <w:pPr>
        <w:pStyle w:val="ListNumber"/>
      </w:pPr>
      <w:r>
        <w:t>SQU03_07a</w:t>
      </w:r>
      <w:r w:rsidR="002C6FC8">
        <w:t>:</w:t>
      </w:r>
      <w:r>
        <w:t xml:space="preserve"> </w:t>
      </w:r>
      <w:r w:rsidR="00851F6D" w:rsidRPr="00050ED8">
        <w:t>Survival to discharge – Overall survival rate</w:t>
      </w:r>
      <w:r w:rsidR="008F1414">
        <w:t>.</w:t>
      </w:r>
    </w:p>
    <w:p w14:paraId="20F670C5" w14:textId="4A78E183" w:rsidR="00851F6D" w:rsidRPr="00050ED8" w:rsidRDefault="006C53F1" w:rsidP="00ED59F5">
      <w:pPr>
        <w:pStyle w:val="ListNumber"/>
      </w:pPr>
      <w:r>
        <w:t>SQU03_07b</w:t>
      </w:r>
      <w:r w:rsidR="002C6FC8">
        <w:t>:</w:t>
      </w:r>
      <w:r>
        <w:t xml:space="preserve"> </w:t>
      </w:r>
      <w:r w:rsidR="00851F6D" w:rsidRPr="00050ED8">
        <w:t xml:space="preserve">Survival to discharge – </w:t>
      </w:r>
      <w:proofErr w:type="spellStart"/>
      <w:r w:rsidR="00851F6D" w:rsidRPr="00050ED8">
        <w:t>Utstein</w:t>
      </w:r>
      <w:proofErr w:type="spellEnd"/>
      <w:r w:rsidR="00851F6D" w:rsidRPr="00050ED8">
        <w:t xml:space="preserve"> Comparator Group survival rate</w:t>
      </w:r>
      <w:r w:rsidR="008F1414">
        <w:t>.</w:t>
      </w:r>
    </w:p>
    <w:p w14:paraId="29510238" w14:textId="77777777" w:rsidR="00851F6D" w:rsidRPr="00050ED8" w:rsidRDefault="00851F6D" w:rsidP="00ED59F5">
      <w:pPr>
        <w:pStyle w:val="ListNumber"/>
      </w:pPr>
      <w:r w:rsidRPr="00050ED8">
        <w:t>This survival to discharge measure reflects the effectiveness of the whole urgent and emergency care system in managing out of hospital cardiac arrest.</w:t>
      </w:r>
    </w:p>
    <w:p w14:paraId="23CEF137" w14:textId="77777777" w:rsidR="00851F6D" w:rsidRPr="00725663" w:rsidRDefault="00851F6D" w:rsidP="002627BA">
      <w:pPr>
        <w:pStyle w:val="Heading5"/>
      </w:pPr>
      <w:r w:rsidRPr="00050ED8">
        <w:t xml:space="preserve">Data </w:t>
      </w:r>
      <w:r w:rsidR="0026609E">
        <w:t>Definition</w:t>
      </w:r>
    </w:p>
    <w:p w14:paraId="5508A0C6" w14:textId="77777777" w:rsidR="00851F6D" w:rsidRPr="00725663" w:rsidRDefault="006C53F1" w:rsidP="002627BA">
      <w:pPr>
        <w:pStyle w:val="Heading4"/>
      </w:pPr>
      <w:r>
        <w:t>SQU03_07a</w:t>
      </w:r>
      <w:r w:rsidR="006C4013">
        <w:t>:</w:t>
      </w:r>
      <w:r>
        <w:t xml:space="preserve"> </w:t>
      </w:r>
      <w:r w:rsidR="00851F6D" w:rsidRPr="00725663">
        <w:t>Survival to discharge – Overall survival rate</w:t>
      </w:r>
    </w:p>
    <w:p w14:paraId="470CA4F2" w14:textId="0DFAAAD0" w:rsidR="00851F6D" w:rsidRPr="00725663" w:rsidRDefault="00851F6D" w:rsidP="00ED59F5">
      <w:pPr>
        <w:pStyle w:val="ListNumber"/>
      </w:pPr>
      <w:bookmarkStart w:id="37" w:name="SQU03_7_1_1"/>
      <w:r w:rsidRPr="00725663">
        <w:rPr>
          <w:b/>
        </w:rPr>
        <w:t>SQU03_7_1_1</w:t>
      </w:r>
      <w:bookmarkEnd w:id="37"/>
      <w:r w:rsidRPr="00725663">
        <w:rPr>
          <w:b/>
        </w:rPr>
        <w:t>:</w:t>
      </w:r>
      <w:r w:rsidRPr="00725663">
        <w:t xml:space="preserve"> Of the patients included in </w:t>
      </w:r>
      <w:r w:rsidR="00CA3BDD" w:rsidRPr="00CA3BDD">
        <w:t>SQU03_7_1_2</w:t>
      </w:r>
      <w:r w:rsidRPr="00725663">
        <w:t>, the number of patients</w:t>
      </w:r>
      <w:r w:rsidR="008F1414">
        <w:t xml:space="preserve"> discharged from hospital alive.</w:t>
      </w:r>
    </w:p>
    <w:p w14:paraId="4B20A9A9" w14:textId="6477A083" w:rsidR="00851F6D" w:rsidRPr="00725663" w:rsidRDefault="00851F6D" w:rsidP="00ED59F5">
      <w:pPr>
        <w:pStyle w:val="ListNumber"/>
      </w:pPr>
      <w:bookmarkStart w:id="38" w:name="SQU03_7_1_2"/>
      <w:r w:rsidRPr="00725663">
        <w:rPr>
          <w:b/>
        </w:rPr>
        <w:t>SQU03_7_1_2</w:t>
      </w:r>
      <w:bookmarkEnd w:id="38"/>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w:t>
      </w:r>
      <w:r w:rsidR="008F1414">
        <w:t>.</w:t>
      </w:r>
    </w:p>
    <w:p w14:paraId="3F1998C1" w14:textId="77777777" w:rsidR="00851F6D" w:rsidRPr="00725663" w:rsidRDefault="006C53F1" w:rsidP="002627BA">
      <w:pPr>
        <w:pStyle w:val="Heading4"/>
      </w:pPr>
      <w:r>
        <w:rPr>
          <w:rFonts w:cs="Arial"/>
        </w:rPr>
        <w:t>SQU03_07</w:t>
      </w:r>
      <w:r w:rsidR="00851F6D" w:rsidRPr="00725663">
        <w:t xml:space="preserve">b Survival to discharge – </w:t>
      </w:r>
      <w:proofErr w:type="spellStart"/>
      <w:r w:rsidR="00851F6D" w:rsidRPr="00725663">
        <w:t>Utstein</w:t>
      </w:r>
      <w:proofErr w:type="spellEnd"/>
      <w:r w:rsidR="00851F6D" w:rsidRPr="00725663">
        <w:t xml:space="preserve"> Comparator Group survival rate</w:t>
      </w:r>
    </w:p>
    <w:p w14:paraId="5405EE37" w14:textId="77777777" w:rsidR="00851F6D" w:rsidRPr="00725663" w:rsidRDefault="00851F6D" w:rsidP="00ED59F5">
      <w:pPr>
        <w:pStyle w:val="ListNumber"/>
      </w:pPr>
      <w:bookmarkStart w:id="39" w:name="SQU03_7_2_1"/>
      <w:r w:rsidRPr="00725663">
        <w:rPr>
          <w:b/>
        </w:rPr>
        <w:t>SQU03_7_2_1</w:t>
      </w:r>
      <w:bookmarkEnd w:id="39"/>
      <w:r w:rsidRPr="00725663">
        <w:rPr>
          <w:b/>
        </w:rPr>
        <w:t>:</w:t>
      </w:r>
      <w:r w:rsidRPr="00725663">
        <w:t xml:space="preserve"> Of the patients included in </w:t>
      </w:r>
      <w:r w:rsidR="00CA3BDD">
        <w:t>SQU03_7_2_2</w:t>
      </w:r>
      <w:r w:rsidRPr="00725663">
        <w:t xml:space="preserve">, the number of patients discharged from hospital alive </w:t>
      </w:r>
    </w:p>
    <w:p w14:paraId="0290A67A" w14:textId="77777777" w:rsidR="00851F6D" w:rsidRPr="00725663" w:rsidRDefault="00851F6D" w:rsidP="00ED59F5">
      <w:pPr>
        <w:pStyle w:val="ListNumber"/>
      </w:pPr>
      <w:bookmarkStart w:id="40" w:name="SQU03_7_2_2"/>
      <w:r w:rsidRPr="00725663">
        <w:rPr>
          <w:b/>
        </w:rPr>
        <w:t>SQU03_7_2_2</w:t>
      </w:r>
      <w:bookmarkEnd w:id="40"/>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 of presumed cardiac origin, where the arrest was bystander witnessed and the initial rhythm was VF or VT.</w:t>
      </w:r>
    </w:p>
    <w:p w14:paraId="024F386B" w14:textId="77777777" w:rsidR="00851F6D" w:rsidRDefault="00851F6D" w:rsidP="00ED59F5">
      <w:pPr>
        <w:pStyle w:val="ListNumber"/>
      </w:pPr>
      <w:r w:rsidRPr="00725663">
        <w:t>The denominator and numerator for this</w:t>
      </w:r>
      <w:r>
        <w:t xml:space="preserve"> indicator should exclude patients for whom outcome data was not available. For example, the diagram below sets out that the value for </w:t>
      </w:r>
      <w:r w:rsidRPr="002C6FC8">
        <w:t>lines SQU03_7_2_1 should be 55 patients and the value for line SQU03_7_2_2 would</w:t>
      </w:r>
      <w:r>
        <w:t xml:space="preserve"> be 458 rather than 527, </w:t>
      </w:r>
      <w:r w:rsidRPr="00E14630">
        <w:t>as no outcome data was available for 69 patients who otherwise should have been included in the denominator</w:t>
      </w:r>
      <w:r w:rsidR="002D0D1B">
        <w:t>.</w:t>
      </w:r>
    </w:p>
    <w:p w14:paraId="343406CA" w14:textId="77777777" w:rsidR="00851F6D" w:rsidRPr="00237095" w:rsidRDefault="00C03D54" w:rsidP="006C53F1">
      <w:pPr>
        <w:pStyle w:val="BodyText"/>
      </w:pPr>
      <w:r w:rsidRPr="00237095">
        <w:rPr>
          <w:noProof/>
        </w:rPr>
        <w:drawing>
          <wp:inline distT="0" distB="0" distL="0" distR="0" wp14:anchorId="729F099E" wp14:editId="5A40F466">
            <wp:extent cx="5061600" cy="5454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1600" cy="5454000"/>
                    </a:xfrm>
                    <a:prstGeom prst="rect">
                      <a:avLst/>
                    </a:prstGeom>
                    <a:noFill/>
                    <a:ln>
                      <a:noFill/>
                    </a:ln>
                  </pic:spPr>
                </pic:pic>
              </a:graphicData>
            </a:graphic>
          </wp:inline>
        </w:drawing>
      </w:r>
    </w:p>
    <w:p w14:paraId="4AF53A69" w14:textId="77777777" w:rsidR="00851F6D" w:rsidRPr="00B248CA" w:rsidRDefault="00851F6D" w:rsidP="00E94657">
      <w:pPr>
        <w:pStyle w:val="BodyText"/>
      </w:pPr>
      <w:r>
        <w:t>Reproduced</w:t>
      </w:r>
      <w:r w:rsidRPr="00B248CA">
        <w:t xml:space="preserve"> from London Ambulance Service: Cardiac Arrest Annual Report: 2007/08</w:t>
      </w:r>
    </w:p>
    <w:p w14:paraId="3CCEA7D6" w14:textId="77777777" w:rsidR="00851F6D" w:rsidRPr="00050ED8" w:rsidRDefault="00851F6D" w:rsidP="002627BA">
      <w:pPr>
        <w:pStyle w:val="Heading5"/>
      </w:pPr>
      <w:r w:rsidRPr="00050ED8">
        <w:t xml:space="preserve">Monitoring Data </w:t>
      </w:r>
      <w:r w:rsidR="0026609E">
        <w:t>Source</w:t>
      </w:r>
    </w:p>
    <w:p w14:paraId="5F09807A" w14:textId="77777777" w:rsidR="00851F6D" w:rsidRPr="00050ED8" w:rsidRDefault="00851F6D" w:rsidP="00ED59F5">
      <w:pPr>
        <w:pStyle w:val="ListNumber"/>
      </w:pPr>
      <w:r w:rsidRPr="00050ED8">
        <w:t>Survival to discharge information will be obtained from clinical and operational information from ambulance trust records, and data obtained from national databases and hospital sources</w:t>
      </w:r>
      <w:r w:rsidR="00E00943">
        <w:t xml:space="preserve"> </w:t>
      </w:r>
      <w:r w:rsidR="00E00943" w:rsidRPr="00C34523">
        <w:t>as per National Ambulance Service Clinical Quality Group guidance and definitions (see Annex A)</w:t>
      </w:r>
      <w:r w:rsidR="002D0D1B">
        <w:t>.</w:t>
      </w:r>
    </w:p>
    <w:p w14:paraId="0A92A9F5" w14:textId="77777777" w:rsidR="00851F6D" w:rsidRDefault="00851F6D" w:rsidP="00ED59F5">
      <w:pPr>
        <w:pStyle w:val="ListNumber"/>
      </w:pPr>
      <w:r>
        <w:t>Although the denominators for the survival to discharge indicator (</w:t>
      </w:r>
      <w:r w:rsidR="0048603A">
        <w:t xml:space="preserve">that is, </w:t>
      </w:r>
      <w:r>
        <w:t xml:space="preserve">lines </w:t>
      </w:r>
      <w:r w:rsidRPr="004F75C6">
        <w:t>SQU03_7_1_2</w:t>
      </w:r>
      <w:r>
        <w:t xml:space="preserve"> and </w:t>
      </w:r>
      <w:r w:rsidRPr="004F75C6">
        <w:t>SQU03_7_</w:t>
      </w:r>
      <w:r>
        <w:t>2</w:t>
      </w:r>
      <w:r w:rsidRPr="004F75C6">
        <w:t>_2</w:t>
      </w:r>
      <w:r>
        <w:t>) have the same definition as the denominators in the</w:t>
      </w:r>
      <w:r w:rsidR="00E94657">
        <w:t xml:space="preserve"> </w:t>
      </w:r>
      <w:r w:rsidRPr="004F75C6">
        <w:t>SQU03_03</w:t>
      </w:r>
      <w:r>
        <w:t xml:space="preserve"> </w:t>
      </w:r>
      <w:r w:rsidRPr="004F75C6">
        <w:t>Return of Spontaneous Circulation</w:t>
      </w:r>
      <w:r w:rsidRPr="00050ED8">
        <w:t xml:space="preserve"> </w:t>
      </w:r>
      <w:r>
        <w:t>indicator (</w:t>
      </w:r>
      <w:r w:rsidR="0048603A">
        <w:t xml:space="preserve">that is, </w:t>
      </w:r>
      <w:r w:rsidRPr="004F75C6">
        <w:t>SQU03_3_1_2 and SQU03_3_2_2</w:t>
      </w:r>
      <w:r>
        <w:t xml:space="preserve">) it should be noted that the values of the denominators in the survival to discharge indicator may be lower as outcome data may not be obtained from acute trusts for all patients. </w:t>
      </w:r>
      <w:r w:rsidRPr="00050ED8">
        <w:t>Acute trusts are required to work and support ambulance trusts in the provision and timely linking of data to ensure that outcome information is captured as accurately, and for as many patients as possible.</w:t>
      </w:r>
    </w:p>
    <w:p w14:paraId="378EC31E" w14:textId="77777777" w:rsidR="005E2B1A" w:rsidRDefault="00851F6D" w:rsidP="00ED59F5">
      <w:pPr>
        <w:pStyle w:val="ListNumber"/>
      </w:pPr>
      <w:r>
        <w:t>Trusts are encouraged to use the narrative section for this indicator to set out the number of patients for whom</w:t>
      </w:r>
      <w:r w:rsidRPr="00050ED8">
        <w:t xml:space="preserve"> </w:t>
      </w:r>
      <w:r>
        <w:t>full outcome data were not obtained, and to provide information on why these data could not be obtained</w:t>
      </w:r>
      <w:r w:rsidR="002D0D1B">
        <w:t>.</w:t>
      </w:r>
    </w:p>
    <w:p w14:paraId="7AE028B1" w14:textId="77777777" w:rsidR="0066120E" w:rsidRPr="00DA10AC" w:rsidRDefault="005E2B1A" w:rsidP="002627BA">
      <w:pPr>
        <w:pStyle w:val="Heading3"/>
      </w:pPr>
      <w:r w:rsidRPr="000B58B4">
        <w:t>SQU03_04: Service Experience</w:t>
      </w:r>
      <w:r w:rsidR="0066120E">
        <w:t xml:space="preserve"> (</w:t>
      </w:r>
      <w:r w:rsidR="0066120E" w:rsidRPr="00EE5825">
        <w:t>N</w:t>
      </w:r>
      <w:r w:rsidR="0066120E">
        <w:t>ot collected in U</w:t>
      </w:r>
      <w:r w:rsidR="00434BC2">
        <w:t>nify</w:t>
      </w:r>
      <w:r w:rsidR="0066120E">
        <w:t>2)</w:t>
      </w:r>
    </w:p>
    <w:p w14:paraId="0486037E" w14:textId="77777777" w:rsidR="005E2B1A" w:rsidRPr="000B58B4" w:rsidRDefault="005E2B1A" w:rsidP="002627BA">
      <w:pPr>
        <w:pStyle w:val="Heading5"/>
      </w:pPr>
      <w:r w:rsidRPr="000B58B4">
        <w:t xml:space="preserve">Detailed </w:t>
      </w:r>
      <w:r w:rsidR="0026609E">
        <w:t>Descriptor</w:t>
      </w:r>
    </w:p>
    <w:p w14:paraId="2440AF8C" w14:textId="77777777" w:rsidR="005E2B1A" w:rsidRPr="003F2ACF" w:rsidRDefault="005E2B1A" w:rsidP="00ED59F5">
      <w:pPr>
        <w:pStyle w:val="ListNumber"/>
      </w:pPr>
      <w:r w:rsidRPr="003F2ACF">
        <w:t>Narrative on how the experience of users of the ambulance service is captured, what the results were, and what has been done to improve the design and delivery of services in light of the results</w:t>
      </w:r>
      <w:r w:rsidR="00434BC2">
        <w:t>.</w:t>
      </w:r>
    </w:p>
    <w:p w14:paraId="609B5F3B" w14:textId="77777777" w:rsidR="005E2B1A" w:rsidRDefault="005E2B1A" w:rsidP="002627BA">
      <w:pPr>
        <w:pStyle w:val="Heading5"/>
      </w:pPr>
      <w:r w:rsidRPr="000B58B4">
        <w:t xml:space="preserve">Data </w:t>
      </w:r>
      <w:r w:rsidR="0026609E">
        <w:t>Definition</w:t>
      </w:r>
    </w:p>
    <w:p w14:paraId="43A13E50" w14:textId="77777777" w:rsidR="005E2B1A" w:rsidRPr="003F2ACF" w:rsidRDefault="005E2B1A" w:rsidP="00ED59F5">
      <w:pPr>
        <w:pStyle w:val="ListNumber"/>
      </w:pPr>
      <w:r w:rsidRPr="003F2ACF">
        <w:t>There is no one definitive data source or method for understanding the experience of service users. Ambulance services have therefore been given the flexibility to develop and commission the methods they feel are most appropriate for understanding and assessing the experience of their users</w:t>
      </w:r>
      <w:r w:rsidR="002D0D1B">
        <w:t>.</w:t>
      </w:r>
    </w:p>
    <w:p w14:paraId="1BE061C6" w14:textId="77777777" w:rsidR="005E2B1A" w:rsidRPr="003F2ACF" w:rsidRDefault="005E2B1A" w:rsidP="00ED59F5">
      <w:pPr>
        <w:pStyle w:val="ListNumber"/>
      </w:pPr>
      <w:r w:rsidRPr="003F2ACF">
        <w:t>However this indicator should include a qualitative understanding and description of user experience, and should not be restricted to reporting quantitative measures of user satisfaction from questionnaires. This indicator aims to ensure that the health needs and issues which matter most to patients (in all call categories), such as timeliness and being treated with dignity, are being effectively met.</w:t>
      </w:r>
    </w:p>
    <w:p w14:paraId="0A13B330" w14:textId="77777777" w:rsidR="005E2B1A" w:rsidRPr="003F2ACF" w:rsidRDefault="005E2B1A" w:rsidP="00ED59F5">
      <w:pPr>
        <w:pStyle w:val="ListNumber"/>
      </w:pPr>
      <w:r w:rsidRPr="003F2ACF">
        <w:t>Providers are expected to provide a narrative which sets out:</w:t>
      </w:r>
    </w:p>
    <w:p w14:paraId="30CDEC24" w14:textId="1E158670" w:rsidR="005E2B1A" w:rsidRPr="003F2ACF" w:rsidRDefault="005E2B1A" w:rsidP="00361705">
      <w:pPr>
        <w:pStyle w:val="ListNumber2"/>
        <w:numPr>
          <w:ilvl w:val="0"/>
          <w:numId w:val="15"/>
        </w:numPr>
        <w:ind w:left="1021" w:hanging="284"/>
      </w:pPr>
      <w:r w:rsidRPr="00361705">
        <w:t>What</w:t>
      </w:r>
      <w:r w:rsidRPr="003F2ACF">
        <w:t xml:space="preserve"> work they have undertaken to understand and assess the experience of a wide and representative range of patients, carers and staff, reflecting the 24 hour</w:t>
      </w:r>
      <w:r w:rsidR="00E94657">
        <w:t xml:space="preserve"> </w:t>
      </w:r>
      <w:r w:rsidRPr="003F2ACF">
        <w:t>nature of the service, over the whole of the previous quarter</w:t>
      </w:r>
      <w:r w:rsidR="0048603A">
        <w:t>;</w:t>
      </w:r>
    </w:p>
    <w:p w14:paraId="66E8E14A" w14:textId="5F22D9AD" w:rsidR="005E2B1A" w:rsidRPr="003F2ACF" w:rsidRDefault="005E2B1A" w:rsidP="00ED59F5">
      <w:pPr>
        <w:pStyle w:val="ListNumber2"/>
      </w:pPr>
      <w:r w:rsidRPr="003F2ACF">
        <w:t>What the results of these assessments were</w:t>
      </w:r>
      <w:r w:rsidR="0048603A">
        <w:t>;</w:t>
      </w:r>
    </w:p>
    <w:p w14:paraId="0F17C747" w14:textId="4A3AF925" w:rsidR="005E2B1A" w:rsidRPr="003F2ACF" w:rsidRDefault="005E2B1A" w:rsidP="00ED59F5">
      <w:pPr>
        <w:pStyle w:val="ListNumber2"/>
      </w:pPr>
      <w:r w:rsidRPr="003F2ACF">
        <w:t>What has been done to improve services in light of these results</w:t>
      </w:r>
      <w:r w:rsidR="0048603A">
        <w:t>;</w:t>
      </w:r>
    </w:p>
    <w:p w14:paraId="1E4497C8" w14:textId="02C195B1" w:rsidR="005E2B1A" w:rsidRPr="003F2ACF" w:rsidRDefault="005E2B1A" w:rsidP="00ED59F5">
      <w:pPr>
        <w:pStyle w:val="ListNumber2"/>
      </w:pPr>
      <w:r w:rsidRPr="003F2ACF">
        <w:t>What the outcome has been in terms of improved user experience</w:t>
      </w:r>
      <w:r w:rsidR="0048603A">
        <w:t>.</w:t>
      </w:r>
    </w:p>
    <w:p w14:paraId="487F94D8" w14:textId="77777777" w:rsidR="005E2B1A" w:rsidRPr="003F2ACF" w:rsidRDefault="005E2B1A" w:rsidP="00ED59F5">
      <w:pPr>
        <w:pStyle w:val="ListNumber"/>
      </w:pPr>
      <w:r w:rsidRPr="003F2ACF">
        <w:t>It is important that all four components of the narrative are completed. For example, it is not enough to note that user have been asked “Were you treated with dignity and respect?” or that discovery interviews have been conducted (Component 1); or to report the percentage of users reporting dissatisfaction on this measure, or anonymised narrative information summarising the interviews (Component 2); providers should also say what they have done to improve services (Component 3), and what the outcome was in terms of users reporting an improvement on this particular aspect of their care (Component 4)</w:t>
      </w:r>
      <w:r w:rsidR="00434BC2">
        <w:t>.</w:t>
      </w:r>
    </w:p>
    <w:p w14:paraId="617DFD5B" w14:textId="77777777" w:rsidR="005E2B1A" w:rsidRPr="003F2ACF" w:rsidRDefault="00E658A1" w:rsidP="002627BA">
      <w:pPr>
        <w:pStyle w:val="Heading5"/>
      </w:pPr>
      <w:r>
        <w:t>Basis for Accountability</w:t>
      </w:r>
    </w:p>
    <w:p w14:paraId="396D7290" w14:textId="77777777" w:rsidR="005E2B1A" w:rsidRPr="003F2ACF" w:rsidRDefault="005E2B1A" w:rsidP="00ED59F5">
      <w:pPr>
        <w:pStyle w:val="ListNumber"/>
      </w:pPr>
      <w:r w:rsidRPr="003F2ACF">
        <w:t>This data will be reported for all Ambulan</w:t>
      </w:r>
      <w:r w:rsidR="00434BC2">
        <w:t>ce Trusts at a Trust-wide level.</w:t>
      </w:r>
    </w:p>
    <w:p w14:paraId="36D0C45F" w14:textId="77777777" w:rsidR="005E2B1A" w:rsidRPr="00440406" w:rsidRDefault="005E2B1A" w:rsidP="002627BA">
      <w:pPr>
        <w:pStyle w:val="Heading5"/>
      </w:pPr>
      <w:r w:rsidRPr="00440406">
        <w:t>Collection Information</w:t>
      </w:r>
    </w:p>
    <w:p w14:paraId="020A43FC" w14:textId="77777777" w:rsidR="005E2B1A" w:rsidRPr="003F2ACF" w:rsidRDefault="005E2B1A" w:rsidP="00290EA5">
      <w:pPr>
        <w:pStyle w:val="ListNumber"/>
      </w:pPr>
      <w:r w:rsidRPr="003F2ACF">
        <w:t>Level: Ambulance Trusts</w:t>
      </w:r>
    </w:p>
    <w:p w14:paraId="5EDEDB5C" w14:textId="77777777" w:rsidR="005E2B1A" w:rsidRPr="003F2ACF" w:rsidRDefault="005E2B1A" w:rsidP="00290EA5">
      <w:pPr>
        <w:pStyle w:val="ListNumber"/>
      </w:pPr>
      <w:r w:rsidRPr="003F2ACF">
        <w:t>Basis: Provider</w:t>
      </w:r>
    </w:p>
    <w:p w14:paraId="269236D6" w14:textId="77777777" w:rsidR="005E2B1A" w:rsidRDefault="00A31774" w:rsidP="00290EA5">
      <w:pPr>
        <w:pStyle w:val="ListNumber"/>
      </w:pPr>
      <w:r>
        <w:t>Returns:</w:t>
      </w:r>
    </w:p>
    <w:p w14:paraId="524E7520" w14:textId="77777777" w:rsidR="005E2B1A" w:rsidRPr="000B58B4" w:rsidRDefault="005E2B1A" w:rsidP="002627BA">
      <w:pPr>
        <w:pStyle w:val="Heading5"/>
      </w:pPr>
      <w:r w:rsidRPr="000B58B4">
        <w:t xml:space="preserve">Monitoring Data </w:t>
      </w:r>
      <w:r w:rsidR="0026609E">
        <w:t>Source</w:t>
      </w:r>
    </w:p>
    <w:p w14:paraId="26F02E1C" w14:textId="77777777" w:rsidR="005E2B1A" w:rsidRDefault="005E2B1A" w:rsidP="00ED59F5">
      <w:pPr>
        <w:pStyle w:val="ListNumber"/>
      </w:pPr>
      <w:r w:rsidRPr="003F2ACF">
        <w:t>Please see data definitions section</w:t>
      </w:r>
      <w:r w:rsidR="0065367C">
        <w:t>.</w:t>
      </w:r>
    </w:p>
    <w:sectPr w:rsidR="005E2B1A" w:rsidSect="009278A4">
      <w:headerReference w:type="default" r:id="rId11"/>
      <w:footerReference w:type="default" r:id="rId12"/>
      <w:headerReference w:type="first" r:id="rId13"/>
      <w:footerReference w:type="first" r:id="rId14"/>
      <w:pgSz w:w="11906" w:h="16838"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E033" w14:textId="77777777" w:rsidR="002A734B" w:rsidRDefault="002A734B" w:rsidP="0048277D">
      <w:r>
        <w:separator/>
      </w:r>
    </w:p>
    <w:p w14:paraId="689AB4B4" w14:textId="77777777" w:rsidR="002A734B" w:rsidRDefault="002A734B"/>
    <w:p w14:paraId="121355BB" w14:textId="77777777" w:rsidR="002A734B" w:rsidRDefault="002A734B"/>
  </w:endnote>
  <w:endnote w:type="continuationSeparator" w:id="0">
    <w:p w14:paraId="64A8D2B2" w14:textId="77777777" w:rsidR="002A734B" w:rsidRDefault="002A734B" w:rsidP="0048277D">
      <w:r>
        <w:continuationSeparator/>
      </w:r>
    </w:p>
    <w:p w14:paraId="3BA7EA47" w14:textId="77777777" w:rsidR="002A734B" w:rsidRDefault="002A734B"/>
    <w:p w14:paraId="33D38A0C" w14:textId="77777777" w:rsidR="002A734B" w:rsidRDefault="002A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79CE" w14:textId="72F3DB60" w:rsidR="002A734B" w:rsidRDefault="002A734B" w:rsidP="00C01824">
    <w:pPr>
      <w:pStyle w:val="Footer"/>
    </w:pPr>
    <w:r>
      <w:rPr>
        <w:rStyle w:val="BodyTextChar"/>
      </w:rPr>
      <w:t>AMB-QI guidance code set trial (V</w:t>
    </w:r>
    <w:r w:rsidRPr="008F1414">
      <w:rPr>
        <w:rStyle w:val="BodyTextChar"/>
      </w:rPr>
      <w:t xml:space="preserve">ersion </w:t>
    </w:r>
    <w:r>
      <w:rPr>
        <w:rStyle w:val="BodyTextChar"/>
      </w:rPr>
      <w:t>2.0)</w:t>
    </w:r>
    <w:r w:rsidR="006B65BB">
      <w:rPr>
        <w:rStyle w:val="BodyTextChar"/>
      </w:rPr>
      <w:tab/>
    </w:r>
    <w:r>
      <w:tab/>
    </w:r>
    <w:r w:rsidRPr="008901AC">
      <w:t xml:space="preserve">Page </w:t>
    </w:r>
    <w:r>
      <w:fldChar w:fldCharType="begin"/>
    </w:r>
    <w:r>
      <w:instrText xml:space="preserve"> PAGE   \* MERGEFORMAT </w:instrText>
    </w:r>
    <w:r>
      <w:fldChar w:fldCharType="separate"/>
    </w:r>
    <w:r w:rsidR="00666099">
      <w:rPr>
        <w:noProof/>
      </w:rPr>
      <w:t>18</w:t>
    </w:r>
    <w:r>
      <w:rPr>
        <w:noProof/>
      </w:rPr>
      <w:fldChar w:fldCharType="end"/>
    </w:r>
    <w:r w:rsidRPr="008901AC">
      <w:t xml:space="preserve"> of </w:t>
    </w:r>
    <w:r w:rsidR="00666099">
      <w:fldChar w:fldCharType="begin"/>
    </w:r>
    <w:r w:rsidR="00666099">
      <w:instrText xml:space="preserve"> NUMPAGES   \* MERGEFORMAT </w:instrText>
    </w:r>
    <w:r w:rsidR="00666099">
      <w:fldChar w:fldCharType="separate"/>
    </w:r>
    <w:r w:rsidR="00666099">
      <w:rPr>
        <w:noProof/>
      </w:rPr>
      <w:t>30</w:t>
    </w:r>
    <w:r w:rsidR="0066609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76CC" w14:textId="22CD92E2" w:rsidR="002A734B" w:rsidRDefault="002A734B">
    <w:pPr>
      <w:pStyle w:val="Footer"/>
    </w:pPr>
    <w:r w:rsidRPr="008B4CFD">
      <w:rPr>
        <w:rStyle w:val="BodyTextChar"/>
      </w:rPr>
      <w:t>A</w:t>
    </w:r>
    <w:r>
      <w:rPr>
        <w:rStyle w:val="BodyTextChar"/>
      </w:rPr>
      <w:t>MB-</w:t>
    </w:r>
    <w:r w:rsidRPr="008B4CFD">
      <w:rPr>
        <w:rStyle w:val="BodyTextChar"/>
      </w:rPr>
      <w:t xml:space="preserve">QI </w:t>
    </w:r>
    <w:r>
      <w:rPr>
        <w:rStyle w:val="BodyTextChar"/>
      </w:rPr>
      <w:t>guidance code set trial (V</w:t>
    </w:r>
    <w:r w:rsidRPr="0033598B">
      <w:t>ersion</w:t>
    </w:r>
    <w:r>
      <w:t xml:space="preserve"> 2.0)</w:t>
    </w:r>
    <w:r w:rsidR="006B65BB">
      <w:tab/>
    </w:r>
    <w:r>
      <w:tab/>
    </w:r>
    <w:r w:rsidRPr="008901AC">
      <w:t xml:space="preserve">Page </w:t>
    </w:r>
    <w:r>
      <w:fldChar w:fldCharType="begin"/>
    </w:r>
    <w:r>
      <w:instrText xml:space="preserve"> PAGE   \* MERGEFORMAT </w:instrText>
    </w:r>
    <w:r>
      <w:fldChar w:fldCharType="separate"/>
    </w:r>
    <w:r w:rsidR="00666099">
      <w:rPr>
        <w:noProof/>
      </w:rPr>
      <w:t>1</w:t>
    </w:r>
    <w:r>
      <w:rPr>
        <w:noProof/>
      </w:rPr>
      <w:fldChar w:fldCharType="end"/>
    </w:r>
    <w:r w:rsidRPr="008901AC">
      <w:t xml:space="preserve"> of </w:t>
    </w:r>
    <w:r w:rsidR="00666099">
      <w:fldChar w:fldCharType="begin"/>
    </w:r>
    <w:r w:rsidR="00666099">
      <w:instrText xml:space="preserve"> NUMPAGES   \* MERGEFORMAT </w:instrText>
    </w:r>
    <w:r w:rsidR="00666099">
      <w:fldChar w:fldCharType="separate"/>
    </w:r>
    <w:r w:rsidR="00666099">
      <w:rPr>
        <w:noProof/>
      </w:rPr>
      <w:t>30</w:t>
    </w:r>
    <w:r w:rsidR="006660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5B7BA" w14:textId="77777777" w:rsidR="002A734B" w:rsidRDefault="002A734B" w:rsidP="0048277D">
      <w:r>
        <w:separator/>
      </w:r>
    </w:p>
    <w:p w14:paraId="7876378E" w14:textId="77777777" w:rsidR="002A734B" w:rsidRDefault="002A734B"/>
    <w:p w14:paraId="6A3E2C62" w14:textId="77777777" w:rsidR="002A734B" w:rsidRDefault="002A734B"/>
  </w:footnote>
  <w:footnote w:type="continuationSeparator" w:id="0">
    <w:p w14:paraId="327E722B" w14:textId="77777777" w:rsidR="002A734B" w:rsidRDefault="002A734B" w:rsidP="0048277D">
      <w:r>
        <w:continuationSeparator/>
      </w:r>
    </w:p>
    <w:p w14:paraId="37EEAD12" w14:textId="77777777" w:rsidR="002A734B" w:rsidRDefault="002A734B"/>
    <w:p w14:paraId="5A725006" w14:textId="77777777" w:rsidR="002A734B" w:rsidRDefault="002A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6B1E" w14:textId="77777777" w:rsidR="002A734B" w:rsidRDefault="002A734B" w:rsidP="00E103E6">
    <w:pPr>
      <w:tabs>
        <w:tab w:val="right" w:pos="9923"/>
      </w:tabs>
    </w:pPr>
    <w:r>
      <w:tab/>
    </w:r>
    <w:r>
      <w:tab/>
    </w:r>
  </w:p>
  <w:p w14:paraId="7C7D4512" w14:textId="77777777" w:rsidR="002A734B" w:rsidRDefault="002A7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7AA0" w14:textId="77777777" w:rsidR="002A734B" w:rsidRDefault="002A734B" w:rsidP="00F07EC6">
    <w:pPr>
      <w:jc w:val="right"/>
    </w:pPr>
    <w:r>
      <w:rPr>
        <w:noProof/>
      </w:rPr>
      <w:drawing>
        <wp:anchor distT="0" distB="0" distL="114300" distR="114300" simplePos="0" relativeHeight="251660288" behindDoc="0" locked="0" layoutInCell="1" allowOverlap="1" wp14:anchorId="02F7DE88" wp14:editId="7A20B5DC">
          <wp:simplePos x="0" y="0"/>
          <wp:positionH relativeFrom="column">
            <wp:posOffset>5128895</wp:posOffset>
          </wp:positionH>
          <wp:positionV relativeFrom="paragraph">
            <wp:posOffset>1270</wp:posOffset>
          </wp:positionV>
          <wp:extent cx="1155065" cy="71945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EDAA71" wp14:editId="5FB082A5">
          <wp:simplePos x="0" y="0"/>
          <wp:positionH relativeFrom="outsideMargin">
            <wp:posOffset>6086475</wp:posOffset>
          </wp:positionH>
          <wp:positionV relativeFrom="page">
            <wp:posOffset>361315</wp:posOffset>
          </wp:positionV>
          <wp:extent cx="1153795" cy="722630"/>
          <wp:effectExtent l="1905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722630"/>
                  </a:xfrm>
                  <a:prstGeom prst="rect">
                    <a:avLst/>
                  </a:prstGeom>
                </pic:spPr>
              </pic:pic>
            </a:graphicData>
          </a:graphic>
        </wp:anchor>
      </w:drawing>
    </w:r>
  </w:p>
  <w:p w14:paraId="37112A16" w14:textId="77777777" w:rsidR="002A734B" w:rsidRDefault="002A7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F206AA"/>
    <w:lvl w:ilvl="0">
      <w:start w:val="1"/>
      <w:numFmt w:val="lowerLetter"/>
      <w:pStyle w:val="ListNumber2"/>
      <w:lvlText w:val="%1."/>
      <w:lvlJc w:val="left"/>
      <w:pPr>
        <w:ind w:left="927" w:hanging="360"/>
      </w:pPr>
      <w:rPr>
        <w:rFonts w:hint="default"/>
      </w:rPr>
    </w:lvl>
  </w:abstractNum>
  <w:abstractNum w:abstractNumId="1">
    <w:nsid w:val="FFFFFF83"/>
    <w:multiLevelType w:val="singleLevel"/>
    <w:tmpl w:val="FA5AD47E"/>
    <w:lvl w:ilvl="0">
      <w:start w:val="1"/>
      <w:numFmt w:val="bullet"/>
      <w:pStyle w:val="ListBullet2"/>
      <w:lvlText w:val="o"/>
      <w:lvlJc w:val="left"/>
      <w:pPr>
        <w:ind w:left="643" w:hanging="360"/>
      </w:pPr>
      <w:rPr>
        <w:rFonts w:ascii="Courier New" w:hAnsi="Courier New" w:cs="Courier New" w:hint="default"/>
      </w:rPr>
    </w:lvl>
  </w:abstractNum>
  <w:abstractNum w:abstractNumId="2">
    <w:nsid w:val="FFFFFF88"/>
    <w:multiLevelType w:val="singleLevel"/>
    <w:tmpl w:val="5BC2B70C"/>
    <w:lvl w:ilvl="0">
      <w:start w:val="1"/>
      <w:numFmt w:val="decimal"/>
      <w:lvlText w:val="%1."/>
      <w:lvlJc w:val="left"/>
      <w:pPr>
        <w:tabs>
          <w:tab w:val="num" w:pos="360"/>
        </w:tabs>
        <w:ind w:left="360" w:hanging="360"/>
      </w:pPr>
    </w:lvl>
  </w:abstractNum>
  <w:abstractNum w:abstractNumId="3">
    <w:nsid w:val="FFFFFF89"/>
    <w:multiLevelType w:val="singleLevel"/>
    <w:tmpl w:val="DB00474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9E716C"/>
    <w:multiLevelType w:val="hybridMultilevel"/>
    <w:tmpl w:val="34C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3031B"/>
    <w:multiLevelType w:val="hybridMultilevel"/>
    <w:tmpl w:val="BFA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B7EFE"/>
    <w:multiLevelType w:val="hybridMultilevel"/>
    <w:tmpl w:val="784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D680A"/>
    <w:multiLevelType w:val="hybridMultilevel"/>
    <w:tmpl w:val="10B8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8123C"/>
    <w:multiLevelType w:val="hybridMultilevel"/>
    <w:tmpl w:val="82D6C74E"/>
    <w:lvl w:ilvl="0" w:tplc="68BEA958">
      <w:start w:val="1"/>
      <w:numFmt w:val="decimal"/>
      <w:lvlText w:val="%1."/>
      <w:lvlJc w:val="left"/>
      <w:pPr>
        <w:ind w:left="720" w:hanging="360"/>
      </w:pPr>
      <w:rPr>
        <w:rFonts w:ascii="Arial" w:hAnsi="Arial"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431016"/>
    <w:multiLevelType w:val="hybridMultilevel"/>
    <w:tmpl w:val="B19C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006AE"/>
    <w:multiLevelType w:val="hybridMultilevel"/>
    <w:tmpl w:val="C38A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44EC0"/>
    <w:multiLevelType w:val="hybridMultilevel"/>
    <w:tmpl w:val="E51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66DA3"/>
    <w:multiLevelType w:val="hybridMultilevel"/>
    <w:tmpl w:val="9F1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C26BE"/>
    <w:multiLevelType w:val="hybridMultilevel"/>
    <w:tmpl w:val="152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A570BA"/>
    <w:multiLevelType w:val="hybridMultilevel"/>
    <w:tmpl w:val="E51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A7B0C"/>
    <w:multiLevelType w:val="hybridMultilevel"/>
    <w:tmpl w:val="B5D6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9205E"/>
    <w:multiLevelType w:val="hybridMultilevel"/>
    <w:tmpl w:val="BCF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7330D"/>
    <w:multiLevelType w:val="multilevel"/>
    <w:tmpl w:val="A070771E"/>
    <w:lvl w:ilvl="0">
      <w:start w:val="1"/>
      <w:numFmt w:val="decimal"/>
      <w:pStyle w:val="Heading3"/>
      <w:lvlText w:val="%1"/>
      <w:lvlJc w:val="left"/>
      <w:pPr>
        <w:ind w:left="0" w:firstLine="0"/>
      </w:pPr>
      <w:rPr>
        <w:rFonts w:hint="default"/>
      </w:rPr>
    </w:lvl>
    <w:lvl w:ilvl="1">
      <w:start w:val="1"/>
      <w:numFmt w:val="decimal"/>
      <w:pStyle w:val="ListNumber"/>
      <w:lvlText w:val="%1.%2"/>
      <w:lvlJc w:val="left"/>
      <w:pPr>
        <w:ind w:left="0" w:firstLine="0"/>
      </w:pPr>
      <w:rPr>
        <w:rFonts w:hint="default"/>
      </w:rPr>
    </w:lvl>
    <w:lvl w:ilvl="2">
      <w:start w:val="1"/>
      <w:numFmt w:val="lowerLetter"/>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93A01C9"/>
    <w:multiLevelType w:val="hybridMultilevel"/>
    <w:tmpl w:val="797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A5B6B"/>
    <w:multiLevelType w:val="hybridMultilevel"/>
    <w:tmpl w:val="AF84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9448B6"/>
    <w:multiLevelType w:val="hybridMultilevel"/>
    <w:tmpl w:val="BDF61154"/>
    <w:lvl w:ilvl="0" w:tplc="BDFE57F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7AE7379"/>
    <w:multiLevelType w:val="hybridMultilevel"/>
    <w:tmpl w:val="688E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77814"/>
    <w:multiLevelType w:val="hybridMultilevel"/>
    <w:tmpl w:val="DEBC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4E44D5"/>
    <w:multiLevelType w:val="hybridMultilevel"/>
    <w:tmpl w:val="CAD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082E42"/>
    <w:multiLevelType w:val="hybridMultilevel"/>
    <w:tmpl w:val="6FFA4ACA"/>
    <w:lvl w:ilvl="0" w:tplc="9462DE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775A0EA8"/>
    <w:multiLevelType w:val="hybridMultilevel"/>
    <w:tmpl w:val="099E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
  </w:num>
  <w:num w:numId="5">
    <w:abstractNumId w:val="8"/>
  </w:num>
  <w:num w:numId="6">
    <w:abstractNumId w:val="23"/>
  </w:num>
  <w:num w:numId="7">
    <w:abstractNumId w:val="18"/>
  </w:num>
  <w:num w:numId="8">
    <w:abstractNumId w:val="2"/>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9"/>
  </w:num>
  <w:num w:numId="17">
    <w:abstractNumId w:val="7"/>
  </w:num>
  <w:num w:numId="18">
    <w:abstractNumId w:val="11"/>
  </w:num>
  <w:num w:numId="19">
    <w:abstractNumId w:val="14"/>
  </w:num>
  <w:num w:numId="20">
    <w:abstractNumId w:val="9"/>
  </w:num>
  <w:num w:numId="21">
    <w:abstractNumId w:val="13"/>
  </w:num>
  <w:num w:numId="22">
    <w:abstractNumId w:val="21"/>
  </w:num>
  <w:num w:numId="23">
    <w:abstractNumId w:val="25"/>
  </w:num>
  <w:num w:numId="24">
    <w:abstractNumId w:val="22"/>
  </w:num>
  <w:num w:numId="25">
    <w:abstractNumId w:val="10"/>
  </w:num>
  <w:num w:numId="26">
    <w:abstractNumId w:val="6"/>
  </w:num>
  <w:num w:numId="27">
    <w:abstractNumId w:val="5"/>
  </w:num>
  <w:num w:numId="28">
    <w:abstractNumId w:val="4"/>
  </w:num>
  <w:num w:numId="29">
    <w:abstractNumId w:val="15"/>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2A81"/>
    <w:rsid w:val="00002EEF"/>
    <w:rsid w:val="000046EE"/>
    <w:rsid w:val="00010864"/>
    <w:rsid w:val="000141B8"/>
    <w:rsid w:val="00030D1A"/>
    <w:rsid w:val="00042044"/>
    <w:rsid w:val="000478CF"/>
    <w:rsid w:val="00052B48"/>
    <w:rsid w:val="00064335"/>
    <w:rsid w:val="00077B11"/>
    <w:rsid w:val="000817FC"/>
    <w:rsid w:val="000819BB"/>
    <w:rsid w:val="0008719E"/>
    <w:rsid w:val="000A1C82"/>
    <w:rsid w:val="000A1DC9"/>
    <w:rsid w:val="000A1EA7"/>
    <w:rsid w:val="000A3B5F"/>
    <w:rsid w:val="000B4B0D"/>
    <w:rsid w:val="000B7521"/>
    <w:rsid w:val="000C4F5D"/>
    <w:rsid w:val="000D0A75"/>
    <w:rsid w:val="000E4ADF"/>
    <w:rsid w:val="000F1DC0"/>
    <w:rsid w:val="00103121"/>
    <w:rsid w:val="001032E7"/>
    <w:rsid w:val="00117210"/>
    <w:rsid w:val="00117B5F"/>
    <w:rsid w:val="001355E7"/>
    <w:rsid w:val="0013602D"/>
    <w:rsid w:val="001373FB"/>
    <w:rsid w:val="001452D1"/>
    <w:rsid w:val="001841A0"/>
    <w:rsid w:val="00191F44"/>
    <w:rsid w:val="001A48CC"/>
    <w:rsid w:val="001C17DB"/>
    <w:rsid w:val="001E2FEA"/>
    <w:rsid w:val="001F3A93"/>
    <w:rsid w:val="001F636F"/>
    <w:rsid w:val="001F7AFD"/>
    <w:rsid w:val="002034E1"/>
    <w:rsid w:val="00211B7C"/>
    <w:rsid w:val="0022549A"/>
    <w:rsid w:val="0023451E"/>
    <w:rsid w:val="002352B1"/>
    <w:rsid w:val="00237095"/>
    <w:rsid w:val="00237BBF"/>
    <w:rsid w:val="002627BA"/>
    <w:rsid w:val="0026609E"/>
    <w:rsid w:val="00273810"/>
    <w:rsid w:val="002741F0"/>
    <w:rsid w:val="00283663"/>
    <w:rsid w:val="00286C1C"/>
    <w:rsid w:val="00290EA5"/>
    <w:rsid w:val="002A734B"/>
    <w:rsid w:val="002B4630"/>
    <w:rsid w:val="002C6FC8"/>
    <w:rsid w:val="002D0D1B"/>
    <w:rsid w:val="002D1B41"/>
    <w:rsid w:val="002D226C"/>
    <w:rsid w:val="002F18F4"/>
    <w:rsid w:val="002F46D6"/>
    <w:rsid w:val="00306A19"/>
    <w:rsid w:val="00330D5A"/>
    <w:rsid w:val="003376AA"/>
    <w:rsid w:val="00345A54"/>
    <w:rsid w:val="003507E4"/>
    <w:rsid w:val="0035210D"/>
    <w:rsid w:val="00361705"/>
    <w:rsid w:val="00361EB9"/>
    <w:rsid w:val="00371B26"/>
    <w:rsid w:val="0037442D"/>
    <w:rsid w:val="00377492"/>
    <w:rsid w:val="00382926"/>
    <w:rsid w:val="00382A5F"/>
    <w:rsid w:val="00385DD5"/>
    <w:rsid w:val="00394117"/>
    <w:rsid w:val="003A3CD8"/>
    <w:rsid w:val="003A7DE5"/>
    <w:rsid w:val="003B65ED"/>
    <w:rsid w:val="003D1B3B"/>
    <w:rsid w:val="003D3C5E"/>
    <w:rsid w:val="003D6212"/>
    <w:rsid w:val="003D77C6"/>
    <w:rsid w:val="003E6ABA"/>
    <w:rsid w:val="003F075C"/>
    <w:rsid w:val="00400364"/>
    <w:rsid w:val="00405A29"/>
    <w:rsid w:val="004111D0"/>
    <w:rsid w:val="00426873"/>
    <w:rsid w:val="00434A5D"/>
    <w:rsid w:val="00434BC2"/>
    <w:rsid w:val="004400BD"/>
    <w:rsid w:val="0044406D"/>
    <w:rsid w:val="00450358"/>
    <w:rsid w:val="00457F3F"/>
    <w:rsid w:val="004677AD"/>
    <w:rsid w:val="00473A03"/>
    <w:rsid w:val="00474547"/>
    <w:rsid w:val="00480A52"/>
    <w:rsid w:val="0048277D"/>
    <w:rsid w:val="0048603A"/>
    <w:rsid w:val="00495EFA"/>
    <w:rsid w:val="004A7119"/>
    <w:rsid w:val="004C104C"/>
    <w:rsid w:val="004D1302"/>
    <w:rsid w:val="004D3BC2"/>
    <w:rsid w:val="004E7AF3"/>
    <w:rsid w:val="004F0D07"/>
    <w:rsid w:val="005267B4"/>
    <w:rsid w:val="00544EEC"/>
    <w:rsid w:val="005455DD"/>
    <w:rsid w:val="00554A4D"/>
    <w:rsid w:val="00573FBB"/>
    <w:rsid w:val="00575222"/>
    <w:rsid w:val="00575614"/>
    <w:rsid w:val="0057748A"/>
    <w:rsid w:val="00582AD8"/>
    <w:rsid w:val="0058419A"/>
    <w:rsid w:val="005A703E"/>
    <w:rsid w:val="005B16B8"/>
    <w:rsid w:val="005B32B5"/>
    <w:rsid w:val="005B380D"/>
    <w:rsid w:val="005C1483"/>
    <w:rsid w:val="005C3D54"/>
    <w:rsid w:val="005C73FF"/>
    <w:rsid w:val="005E23A4"/>
    <w:rsid w:val="005E2B1A"/>
    <w:rsid w:val="005E46D5"/>
    <w:rsid w:val="005E4A1E"/>
    <w:rsid w:val="005E6313"/>
    <w:rsid w:val="006135D4"/>
    <w:rsid w:val="00642E76"/>
    <w:rsid w:val="00647B8B"/>
    <w:rsid w:val="0065367C"/>
    <w:rsid w:val="0066120E"/>
    <w:rsid w:val="006633FA"/>
    <w:rsid w:val="00666099"/>
    <w:rsid w:val="0067036F"/>
    <w:rsid w:val="006817E6"/>
    <w:rsid w:val="00683903"/>
    <w:rsid w:val="0069462F"/>
    <w:rsid w:val="006967CA"/>
    <w:rsid w:val="00696C21"/>
    <w:rsid w:val="006A62BE"/>
    <w:rsid w:val="006A7142"/>
    <w:rsid w:val="006B65BB"/>
    <w:rsid w:val="006C4013"/>
    <w:rsid w:val="006C53F1"/>
    <w:rsid w:val="006E7ED9"/>
    <w:rsid w:val="006F1ED7"/>
    <w:rsid w:val="00713681"/>
    <w:rsid w:val="00717F90"/>
    <w:rsid w:val="007215C5"/>
    <w:rsid w:val="00725663"/>
    <w:rsid w:val="00755931"/>
    <w:rsid w:val="00757107"/>
    <w:rsid w:val="00767F88"/>
    <w:rsid w:val="00781483"/>
    <w:rsid w:val="007830C1"/>
    <w:rsid w:val="00796B27"/>
    <w:rsid w:val="007A3734"/>
    <w:rsid w:val="007B4620"/>
    <w:rsid w:val="007B4CE9"/>
    <w:rsid w:val="007B5C09"/>
    <w:rsid w:val="007D6DF1"/>
    <w:rsid w:val="007F02F1"/>
    <w:rsid w:val="00804976"/>
    <w:rsid w:val="00830A1D"/>
    <w:rsid w:val="008429A5"/>
    <w:rsid w:val="008510F0"/>
    <w:rsid w:val="00851F6D"/>
    <w:rsid w:val="0085222D"/>
    <w:rsid w:val="00864BEA"/>
    <w:rsid w:val="0087096D"/>
    <w:rsid w:val="00870CA8"/>
    <w:rsid w:val="00870FBE"/>
    <w:rsid w:val="00876F88"/>
    <w:rsid w:val="00880711"/>
    <w:rsid w:val="0088158F"/>
    <w:rsid w:val="008901AC"/>
    <w:rsid w:val="00892D2C"/>
    <w:rsid w:val="008A0E62"/>
    <w:rsid w:val="008A1093"/>
    <w:rsid w:val="008A1E69"/>
    <w:rsid w:val="008A5FB2"/>
    <w:rsid w:val="008B4CFD"/>
    <w:rsid w:val="008C0881"/>
    <w:rsid w:val="008D566A"/>
    <w:rsid w:val="008E054A"/>
    <w:rsid w:val="008E1679"/>
    <w:rsid w:val="008E7659"/>
    <w:rsid w:val="008F1414"/>
    <w:rsid w:val="009008F7"/>
    <w:rsid w:val="00902D5F"/>
    <w:rsid w:val="00902DCB"/>
    <w:rsid w:val="0091457E"/>
    <w:rsid w:val="00917DB0"/>
    <w:rsid w:val="00923450"/>
    <w:rsid w:val="009278A4"/>
    <w:rsid w:val="00934BCF"/>
    <w:rsid w:val="00951B50"/>
    <w:rsid w:val="0096026E"/>
    <w:rsid w:val="009661B1"/>
    <w:rsid w:val="00972A80"/>
    <w:rsid w:val="00975A30"/>
    <w:rsid w:val="00997A6A"/>
    <w:rsid w:val="009A4217"/>
    <w:rsid w:val="009B79CA"/>
    <w:rsid w:val="009C2E68"/>
    <w:rsid w:val="009E3108"/>
    <w:rsid w:val="009E4357"/>
    <w:rsid w:val="009E6984"/>
    <w:rsid w:val="00A04A84"/>
    <w:rsid w:val="00A0749A"/>
    <w:rsid w:val="00A102EA"/>
    <w:rsid w:val="00A22B9D"/>
    <w:rsid w:val="00A31774"/>
    <w:rsid w:val="00A3337C"/>
    <w:rsid w:val="00A418EF"/>
    <w:rsid w:val="00A50A1C"/>
    <w:rsid w:val="00A51581"/>
    <w:rsid w:val="00A51B92"/>
    <w:rsid w:val="00A6245B"/>
    <w:rsid w:val="00A75184"/>
    <w:rsid w:val="00A802A9"/>
    <w:rsid w:val="00A906B9"/>
    <w:rsid w:val="00A96622"/>
    <w:rsid w:val="00AA53F5"/>
    <w:rsid w:val="00AB0D4F"/>
    <w:rsid w:val="00AB42CE"/>
    <w:rsid w:val="00AC1836"/>
    <w:rsid w:val="00AD18DA"/>
    <w:rsid w:val="00AD2CC3"/>
    <w:rsid w:val="00AD3B2F"/>
    <w:rsid w:val="00AF31FB"/>
    <w:rsid w:val="00AF6655"/>
    <w:rsid w:val="00B256B5"/>
    <w:rsid w:val="00B33CBC"/>
    <w:rsid w:val="00B4400F"/>
    <w:rsid w:val="00B475BC"/>
    <w:rsid w:val="00B52AB4"/>
    <w:rsid w:val="00B548FD"/>
    <w:rsid w:val="00B549C3"/>
    <w:rsid w:val="00B56703"/>
    <w:rsid w:val="00B56E4D"/>
    <w:rsid w:val="00B72834"/>
    <w:rsid w:val="00B763AF"/>
    <w:rsid w:val="00B93E92"/>
    <w:rsid w:val="00B94060"/>
    <w:rsid w:val="00B95112"/>
    <w:rsid w:val="00B97581"/>
    <w:rsid w:val="00BB279F"/>
    <w:rsid w:val="00BC5F17"/>
    <w:rsid w:val="00BC7D4F"/>
    <w:rsid w:val="00BD35D0"/>
    <w:rsid w:val="00BD6E3D"/>
    <w:rsid w:val="00BD7394"/>
    <w:rsid w:val="00BE6983"/>
    <w:rsid w:val="00BF2491"/>
    <w:rsid w:val="00C0106D"/>
    <w:rsid w:val="00C01824"/>
    <w:rsid w:val="00C03D54"/>
    <w:rsid w:val="00C3299E"/>
    <w:rsid w:val="00C3353B"/>
    <w:rsid w:val="00C34523"/>
    <w:rsid w:val="00C45A2A"/>
    <w:rsid w:val="00C70DE8"/>
    <w:rsid w:val="00C72D41"/>
    <w:rsid w:val="00C76D48"/>
    <w:rsid w:val="00C87A93"/>
    <w:rsid w:val="00C949BA"/>
    <w:rsid w:val="00C9550A"/>
    <w:rsid w:val="00CA3BDD"/>
    <w:rsid w:val="00CA7D10"/>
    <w:rsid w:val="00CB5BCA"/>
    <w:rsid w:val="00CC1DA4"/>
    <w:rsid w:val="00CD2674"/>
    <w:rsid w:val="00CD4E27"/>
    <w:rsid w:val="00CE21AE"/>
    <w:rsid w:val="00CE5337"/>
    <w:rsid w:val="00CF39F3"/>
    <w:rsid w:val="00D01860"/>
    <w:rsid w:val="00D44B42"/>
    <w:rsid w:val="00D46CF9"/>
    <w:rsid w:val="00D543F0"/>
    <w:rsid w:val="00D578B0"/>
    <w:rsid w:val="00D7358A"/>
    <w:rsid w:val="00D8262E"/>
    <w:rsid w:val="00D8647B"/>
    <w:rsid w:val="00D87A96"/>
    <w:rsid w:val="00DA2975"/>
    <w:rsid w:val="00DB1311"/>
    <w:rsid w:val="00DB38A5"/>
    <w:rsid w:val="00DE6ABE"/>
    <w:rsid w:val="00DF07CD"/>
    <w:rsid w:val="00DF1115"/>
    <w:rsid w:val="00E00943"/>
    <w:rsid w:val="00E00B39"/>
    <w:rsid w:val="00E103E6"/>
    <w:rsid w:val="00E10CB6"/>
    <w:rsid w:val="00E2715C"/>
    <w:rsid w:val="00E274B3"/>
    <w:rsid w:val="00E33F6B"/>
    <w:rsid w:val="00E34454"/>
    <w:rsid w:val="00E530A3"/>
    <w:rsid w:val="00E54680"/>
    <w:rsid w:val="00E658A1"/>
    <w:rsid w:val="00E672F4"/>
    <w:rsid w:val="00E77FB9"/>
    <w:rsid w:val="00E83214"/>
    <w:rsid w:val="00E93285"/>
    <w:rsid w:val="00E94657"/>
    <w:rsid w:val="00E94E6F"/>
    <w:rsid w:val="00EA6B5E"/>
    <w:rsid w:val="00EB6D30"/>
    <w:rsid w:val="00EC215E"/>
    <w:rsid w:val="00EC5353"/>
    <w:rsid w:val="00EC5398"/>
    <w:rsid w:val="00ED59F5"/>
    <w:rsid w:val="00EE7B20"/>
    <w:rsid w:val="00EF7574"/>
    <w:rsid w:val="00EF7882"/>
    <w:rsid w:val="00F02E08"/>
    <w:rsid w:val="00F07EC6"/>
    <w:rsid w:val="00F14F45"/>
    <w:rsid w:val="00F25139"/>
    <w:rsid w:val="00F27E98"/>
    <w:rsid w:val="00F43520"/>
    <w:rsid w:val="00F572F1"/>
    <w:rsid w:val="00F57D08"/>
    <w:rsid w:val="00F8445E"/>
    <w:rsid w:val="00F9590C"/>
    <w:rsid w:val="00FA3593"/>
    <w:rsid w:val="00FB645D"/>
    <w:rsid w:val="00FC7B2B"/>
    <w:rsid w:val="00FD1943"/>
    <w:rsid w:val="00FF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D6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 w:type="paragraph" w:styleId="ListParagraph">
    <w:name w:val="List Paragraph"/>
    <w:basedOn w:val="Normal"/>
    <w:uiPriority w:val="34"/>
    <w:qFormat/>
    <w:rsid w:val="005E4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 w:type="paragraph" w:styleId="ListParagraph">
    <w:name w:val="List Paragraph"/>
    <w:basedOn w:val="Normal"/>
    <w:uiPriority w:val="34"/>
    <w:qFormat/>
    <w:rsid w:val="005E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tadictionary.nhs.uk/data_dictionary/attributes/a/acc/accident_and_emergency_department_type_de.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15C1-E917-4E92-ACB0-1A88E578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10811</Words>
  <Characters>58495</Characters>
  <Application>Microsoft Office Word</Application>
  <DocSecurity>0</DocSecurity>
  <Lines>487</Lines>
  <Paragraphs>138</Paragraphs>
  <ScaleCrop>false</ScaleCrop>
  <HeadingPairs>
    <vt:vector size="2" baseType="variant">
      <vt:variant>
        <vt:lpstr>Title</vt:lpstr>
      </vt:variant>
      <vt:variant>
        <vt:i4>1</vt:i4>
      </vt:variant>
    </vt:vector>
  </HeadingPairs>
  <TitlesOfParts>
    <vt:vector size="1" baseType="lpstr">
      <vt:lpstr>AMBULANCE</vt:lpstr>
    </vt:vector>
  </TitlesOfParts>
  <Company>Department of Health</Company>
  <LinksUpToDate>false</LinksUpToDate>
  <CharactersWithSpaces>69168</CharactersWithSpaces>
  <SharedDoc>false</SharedDoc>
  <HLinks>
    <vt:vector size="72" baseType="variant">
      <vt:variant>
        <vt:i4>1966129</vt:i4>
      </vt:variant>
      <vt:variant>
        <vt:i4>150</vt:i4>
      </vt:variant>
      <vt:variant>
        <vt:i4>0</vt:i4>
      </vt:variant>
      <vt:variant>
        <vt:i4>5</vt:i4>
      </vt:variant>
      <vt:variant>
        <vt:lpwstr/>
      </vt:variant>
      <vt:variant>
        <vt:lpwstr>SQU03_6_2_2</vt:lpwstr>
      </vt:variant>
      <vt:variant>
        <vt:i4>1966129</vt:i4>
      </vt:variant>
      <vt:variant>
        <vt:i4>147</vt:i4>
      </vt:variant>
      <vt:variant>
        <vt:i4>0</vt:i4>
      </vt:variant>
      <vt:variant>
        <vt:i4>5</vt:i4>
      </vt:variant>
      <vt:variant>
        <vt:lpwstr/>
      </vt:variant>
      <vt:variant>
        <vt:lpwstr>SQU03_6_2_1</vt:lpwstr>
      </vt:variant>
      <vt:variant>
        <vt:i4>1966130</vt:i4>
      </vt:variant>
      <vt:variant>
        <vt:i4>144</vt:i4>
      </vt:variant>
      <vt:variant>
        <vt:i4>0</vt:i4>
      </vt:variant>
      <vt:variant>
        <vt:i4>5</vt:i4>
      </vt:variant>
      <vt:variant>
        <vt:lpwstr/>
      </vt:variant>
      <vt:variant>
        <vt:lpwstr>SQU03_6_1_2</vt:lpwstr>
      </vt:variant>
      <vt:variant>
        <vt:i4>1966130</vt:i4>
      </vt:variant>
      <vt:variant>
        <vt:i4>141</vt:i4>
      </vt:variant>
      <vt:variant>
        <vt:i4>0</vt:i4>
      </vt:variant>
      <vt:variant>
        <vt:i4>5</vt:i4>
      </vt:variant>
      <vt:variant>
        <vt:lpwstr/>
      </vt:variant>
      <vt:variant>
        <vt:lpwstr>SQU03_6_1_1</vt:lpwstr>
      </vt:variant>
      <vt:variant>
        <vt:i4>1966131</vt:i4>
      </vt:variant>
      <vt:variant>
        <vt:i4>138</vt:i4>
      </vt:variant>
      <vt:variant>
        <vt:i4>0</vt:i4>
      </vt:variant>
      <vt:variant>
        <vt:i4>5</vt:i4>
      </vt:variant>
      <vt:variant>
        <vt:lpwstr/>
      </vt:variant>
      <vt:variant>
        <vt:lpwstr>SQU03_5_3_2</vt:lpwstr>
      </vt:variant>
      <vt:variant>
        <vt:i4>1966131</vt:i4>
      </vt:variant>
      <vt:variant>
        <vt:i4>135</vt:i4>
      </vt:variant>
      <vt:variant>
        <vt:i4>0</vt:i4>
      </vt:variant>
      <vt:variant>
        <vt:i4>5</vt:i4>
      </vt:variant>
      <vt:variant>
        <vt:lpwstr/>
      </vt:variant>
      <vt:variant>
        <vt:lpwstr>SQU03_5_3_1</vt:lpwstr>
      </vt:variant>
      <vt:variant>
        <vt:i4>1966130</vt:i4>
      </vt:variant>
      <vt:variant>
        <vt:i4>132</vt:i4>
      </vt:variant>
      <vt:variant>
        <vt:i4>0</vt:i4>
      </vt:variant>
      <vt:variant>
        <vt:i4>5</vt:i4>
      </vt:variant>
      <vt:variant>
        <vt:lpwstr/>
      </vt:variant>
      <vt:variant>
        <vt:lpwstr>SQU03_5_2_2</vt:lpwstr>
      </vt:variant>
      <vt:variant>
        <vt:i4>1966130</vt:i4>
      </vt:variant>
      <vt:variant>
        <vt:i4>129</vt:i4>
      </vt:variant>
      <vt:variant>
        <vt:i4>0</vt:i4>
      </vt:variant>
      <vt:variant>
        <vt:i4>5</vt:i4>
      </vt:variant>
      <vt:variant>
        <vt:lpwstr/>
      </vt:variant>
      <vt:variant>
        <vt:lpwstr>SQU03_5_2_1</vt:lpwstr>
      </vt:variant>
      <vt:variant>
        <vt:i4>1966132</vt:i4>
      </vt:variant>
      <vt:variant>
        <vt:i4>126</vt:i4>
      </vt:variant>
      <vt:variant>
        <vt:i4>0</vt:i4>
      </vt:variant>
      <vt:variant>
        <vt:i4>5</vt:i4>
      </vt:variant>
      <vt:variant>
        <vt:lpwstr/>
      </vt:variant>
      <vt:variant>
        <vt:lpwstr>SQU03_3_2_2</vt:lpwstr>
      </vt:variant>
      <vt:variant>
        <vt:i4>1966132</vt:i4>
      </vt:variant>
      <vt:variant>
        <vt:i4>123</vt:i4>
      </vt:variant>
      <vt:variant>
        <vt:i4>0</vt:i4>
      </vt:variant>
      <vt:variant>
        <vt:i4>5</vt:i4>
      </vt:variant>
      <vt:variant>
        <vt:lpwstr/>
      </vt:variant>
      <vt:variant>
        <vt:lpwstr>SQU03_3_2_1</vt:lpwstr>
      </vt:variant>
      <vt:variant>
        <vt:i4>1966135</vt:i4>
      </vt:variant>
      <vt:variant>
        <vt:i4>120</vt:i4>
      </vt:variant>
      <vt:variant>
        <vt:i4>0</vt:i4>
      </vt:variant>
      <vt:variant>
        <vt:i4>5</vt:i4>
      </vt:variant>
      <vt:variant>
        <vt:lpwstr/>
      </vt:variant>
      <vt:variant>
        <vt:lpwstr>SQU03_3_1_2</vt:lpwstr>
      </vt:variant>
      <vt:variant>
        <vt:i4>1966135</vt:i4>
      </vt:variant>
      <vt:variant>
        <vt:i4>117</vt:i4>
      </vt:variant>
      <vt:variant>
        <vt:i4>0</vt:i4>
      </vt:variant>
      <vt:variant>
        <vt:i4>5</vt:i4>
      </vt:variant>
      <vt:variant>
        <vt:lpwstr/>
      </vt:variant>
      <vt:variant>
        <vt:lpwstr>SQU03_3_1_1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dc:title>
  <dc:creator>Kay, Ian</dc:creator>
  <cp:lastModifiedBy>Daly, Helen</cp:lastModifiedBy>
  <cp:revision>3</cp:revision>
  <cp:lastPrinted>2016-03-01T10:15:00Z</cp:lastPrinted>
  <dcterms:created xsi:type="dcterms:W3CDTF">2016-03-23T14:48:00Z</dcterms:created>
  <dcterms:modified xsi:type="dcterms:W3CDTF">2016-04-05T08:14:00Z</dcterms:modified>
</cp:coreProperties>
</file>