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FE" w:rsidRDefault="00AB4B3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NHS 111 MDS Monthly Data: July 2013 </w:t>
      </w:r>
      <w:r w:rsidR="00975FA8" w:rsidRPr="00975FA8">
        <w:rPr>
          <w:rFonts w:ascii="Arial" w:hAnsi="Arial" w:cs="Arial"/>
          <w:b/>
          <w:sz w:val="28"/>
        </w:rPr>
        <w:t xml:space="preserve"> </w:t>
      </w:r>
    </w:p>
    <w:p w:rsidR="00975FA8" w:rsidRDefault="00975FA8">
      <w:pPr>
        <w:rPr>
          <w:rFonts w:ascii="Arial" w:hAnsi="Arial" w:cs="Arial"/>
          <w:b/>
          <w:sz w:val="28"/>
        </w:rPr>
      </w:pPr>
      <w:r w:rsidRPr="00975FA8">
        <w:drawing>
          <wp:inline distT="0" distB="0" distL="0" distR="0" wp14:anchorId="7B98F314" wp14:editId="35B22E91">
            <wp:extent cx="9286875" cy="52858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2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8" w:rsidRDefault="00975FA8">
      <w:r w:rsidRPr="00975FA8">
        <w:lastRenderedPageBreak/>
        <w:drawing>
          <wp:inline distT="0" distB="0" distL="0" distR="0" wp14:anchorId="183A517A" wp14:editId="1054626E">
            <wp:extent cx="8863330" cy="56768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8" w:rsidRDefault="00975FA8">
      <w:r w:rsidRPr="00975FA8">
        <w:lastRenderedPageBreak/>
        <w:drawing>
          <wp:inline distT="0" distB="0" distL="0" distR="0" wp14:anchorId="3D7AED3F" wp14:editId="2FEC5BDC">
            <wp:extent cx="8863330" cy="56768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8" w:rsidRDefault="00975FA8">
      <w:r>
        <w:rPr>
          <w:noProof/>
          <w:lang w:eastAsia="en-GB"/>
        </w:rPr>
        <w:lastRenderedPageBreak/>
        <w:drawing>
          <wp:inline distT="0" distB="0" distL="0" distR="0" wp14:anchorId="03B598F2" wp14:editId="24EB6F07">
            <wp:extent cx="9072748" cy="5807034"/>
            <wp:effectExtent l="0" t="0" r="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FA8" w:rsidRDefault="00975FA8">
      <w:r w:rsidRPr="00975FA8">
        <w:lastRenderedPageBreak/>
        <w:drawing>
          <wp:inline distT="0" distB="0" distL="0" distR="0" wp14:anchorId="4250E4C0" wp14:editId="34646EF2">
            <wp:extent cx="8863330" cy="55621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8" w:rsidRDefault="00975FA8">
      <w:r w:rsidRPr="00975FA8">
        <w:lastRenderedPageBreak/>
        <w:drawing>
          <wp:inline distT="0" distB="0" distL="0" distR="0" wp14:anchorId="17F4ECCE" wp14:editId="2A2D6371">
            <wp:extent cx="8863330" cy="55621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8" w:rsidRDefault="00975FA8">
      <w:r>
        <w:rPr>
          <w:noProof/>
          <w:lang w:eastAsia="en-GB"/>
        </w:rPr>
        <w:lastRenderedPageBreak/>
        <w:drawing>
          <wp:inline distT="0" distB="0" distL="0" distR="0" wp14:anchorId="68CFB2DF">
            <wp:extent cx="9224010" cy="5657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</w:t>
      </w:r>
      <w:r w:rsidRPr="00E265CE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Further details of the NHS 111 minimum dataset for individual organisations is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E265CE">
        <w:rPr>
          <w:rFonts w:ascii="Arial" w:hAnsi="Arial" w:cs="Arial"/>
          <w:color w:val="0000FF"/>
          <w:sz w:val="24"/>
          <w:szCs w:val="24"/>
        </w:rPr>
        <w:t>http://transparency.dh.gov.uk/category/statistics/nhs-111-statistics/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data availability and quality. All published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data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are the latest position available rather than the definitive position. If historical data are revised in any way then this will be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reflected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in the NHS 111 Minimum Data Set.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 xml:space="preserve">Key areas of </w:t>
      </w:r>
      <w:proofErr w:type="spellStart"/>
      <w:r w:rsidRPr="00E265CE">
        <w:rPr>
          <w:rFonts w:ascii="Arial" w:hAnsi="Arial" w:cs="Arial"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color w:val="000000"/>
          <w:sz w:val="24"/>
          <w:szCs w:val="24"/>
        </w:rPr>
        <w:t xml:space="preserve"> work are listed below. Any material changes to the data or presentation of the NHS 111 Minimum Data Set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are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proofErr w:type="spellStart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 data quality work: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are data tagging exercises that take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place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with each new provider. This work includes mapping the data collection process and identifying where each MDS data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item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is to be collected. These process maps can then be used to compare how data items are calculated between different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new sites into the statistical release as new sites go live.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North West London has started to submit calls data this month under the provider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Harmoni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proofErr w:type="spellStart"/>
      <w:r w:rsidR="003B5F4F">
        <w:rPr>
          <w:rFonts w:ascii="Arial" w:hAnsi="Arial" w:cs="Arial"/>
          <w:bCs/>
          <w:color w:val="000000"/>
          <w:sz w:val="24"/>
          <w:szCs w:val="24"/>
        </w:rPr>
        <w:t>Wandsworth</w:t>
      </w:r>
      <w:proofErr w:type="spellEnd"/>
      <w:r w:rsidR="003B5F4F">
        <w:rPr>
          <w:rFonts w:ascii="Arial" w:hAnsi="Arial" w:cs="Arial"/>
          <w:bCs/>
          <w:color w:val="000000"/>
          <w:sz w:val="24"/>
          <w:szCs w:val="24"/>
        </w:rPr>
        <w:t xml:space="preserve"> PCT</w:t>
      </w:r>
      <w:bookmarkStart w:id="0" w:name="_GoBack"/>
      <w:bookmarkEnd w:id="0"/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color w:val="000000"/>
          <w:sz w:val="24"/>
          <w:szCs w:val="24"/>
        </w:rPr>
        <w:t>Some areas are unable to provide accurate “calls not triaged: other” because of a discrepancy between calls answered and</w:t>
      </w:r>
    </w:p>
    <w:p w:rsidR="00975FA8" w:rsidRDefault="00AB4B37" w:rsidP="00AB4B37">
      <w:pPr>
        <w:ind w:left="0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number of calls being reported for. Any minus figures have been replaced with a 0 in this field.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has now become available for Herts and GY&amp;W.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S&amp;M have had problems providing a full set of data, Caller Not Triaged data cannot be accurately reported at this time.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problem</w:t>
      </w:r>
      <w:proofErr w:type="gramEnd"/>
      <w:r>
        <w:rPr>
          <w:rFonts w:ascii="Helvetica" w:hAnsi="Helvetica" w:cs="Helvetica"/>
          <w:sz w:val="24"/>
          <w:szCs w:val="24"/>
        </w:rPr>
        <w:t xml:space="preserve">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proofErr w:type="spellStart"/>
      <w:r w:rsidRPr="00AB4B37">
        <w:rPr>
          <w:rFonts w:ascii="Helvetica" w:hAnsi="Helvetica" w:cs="Helvetica"/>
          <w:sz w:val="24"/>
          <w:szCs w:val="24"/>
        </w:rPr>
        <w:t>Harmoni</w:t>
      </w:r>
      <w:proofErr w:type="spellEnd"/>
      <w:r w:rsidRPr="00AB4B37">
        <w:rPr>
          <w:rFonts w:ascii="Helvetica" w:hAnsi="Helvetica" w:cs="Helvetica"/>
          <w:sz w:val="24"/>
          <w:szCs w:val="24"/>
        </w:rPr>
        <w:t xml:space="preserve"> revised their data to provide more accurate Caller Not Triaged figures. This is now rectified for future submissions.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lastRenderedPageBreak/>
        <w:t>INWL Revised data for their total call backs to accurately reflect calls transferred.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The most recent patient satisfaction survey results are now available for April – October 2012.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AB4B37">
        <w:rPr>
          <w:rFonts w:ascii="Helvetica" w:hAnsi="Helvetica" w:cs="Helvetica"/>
          <w:sz w:val="24"/>
          <w:szCs w:val="24"/>
        </w:rPr>
        <w:t>seconds</w:t>
      </w:r>
      <w:proofErr w:type="gramEnd"/>
      <w:r w:rsidRPr="00AB4B37">
        <w:rPr>
          <w:rFonts w:ascii="Helvetica" w:hAnsi="Helvetica" w:cs="Helvetica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 Reasons not triaged, we have amended the figures in “reason for non-triage: other” to a balancing figure to ensure all</w:t>
      </w:r>
    </w:p>
    <w:p w:rsidR="00AB4B37" w:rsidRDefault="00AB4B37" w:rsidP="00AB4B37">
      <w:pPr>
        <w:autoSpaceDE w:val="0"/>
        <w:autoSpaceDN w:val="0"/>
        <w:adjustRightInd w:val="0"/>
        <w:ind w:left="67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answered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calls are accounted for. Previously there were missing calls, which were not recorded in the MDS submission.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INWL revised call volume data for August 2012, giving a more accurate account of calls offered.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From September, ‘Calls not triaged: other reason’ is now a balancing figure to ensure all answered calls are accounted for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AB4B37">
        <w:rPr>
          <w:rFonts w:ascii="Helvetica" w:hAnsi="Helvetica" w:cs="Helvetica"/>
          <w:sz w:val="24"/>
          <w:szCs w:val="24"/>
        </w:rPr>
        <w:t>in</w:t>
      </w:r>
      <w:r>
        <w:rPr>
          <w:rFonts w:ascii="Helvetica" w:hAnsi="Helvetica" w:cs="Helvetica"/>
          <w:sz w:val="24"/>
          <w:szCs w:val="24"/>
        </w:rPr>
        <w:t xml:space="preserve"> t</w:t>
      </w:r>
      <w:r w:rsidRPr="00AB4B37">
        <w:rPr>
          <w:rFonts w:ascii="Helvetica" w:hAnsi="Helvetica" w:cs="Helvetica"/>
          <w:sz w:val="24"/>
          <w:szCs w:val="24"/>
        </w:rPr>
        <w:t>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817A7B" w:rsidRPr="00817A7B" w:rsidRDefault="00AB4B37" w:rsidP="00817A7B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Systems impact data and patient satisfaction survey results have now become available for Derbyshire. This is the first</w:t>
      </w:r>
    </w:p>
    <w:p w:rsidR="00AB4B37" w:rsidRPr="00817A7B" w:rsidRDefault="00AB4B37" w:rsidP="00817A7B">
      <w:pPr>
        <w:spacing w:line="276" w:lineRule="auto"/>
        <w:ind w:firstLine="424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month</w:t>
      </w:r>
      <w:proofErr w:type="gramEnd"/>
      <w:r>
        <w:rPr>
          <w:rFonts w:ascii="Helvetica" w:hAnsi="Helvetica" w:cs="Helvetica"/>
          <w:sz w:val="24"/>
          <w:szCs w:val="24"/>
        </w:rPr>
        <w:t xml:space="preserve"> Derbyshire have been able to provide a full set of data, including answered with 60 seconds.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As detailed last month, we have had to use estimated figures for CDD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July. This problem has now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resolved. (</w:t>
      </w:r>
      <w:proofErr w:type="gramStart"/>
      <w:r w:rsidRPr="00817A7B">
        <w:rPr>
          <w:rFonts w:ascii="Helvetica" w:hAnsi="Helvetica" w:cs="Helvetica"/>
          <w:sz w:val="24"/>
          <w:szCs w:val="24"/>
        </w:rPr>
        <w:t>see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below for more details).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have revised the disposition break down of triaged calls, from January 2012 – June 2012. This was due to</w:t>
      </w:r>
      <w:r w:rsidR="00817A7B">
        <w:rPr>
          <w:rFonts w:ascii="Helvetica" w:hAnsi="Helvetica" w:cs="Helvetica"/>
          <w:sz w:val="24"/>
          <w:szCs w:val="24"/>
        </w:rPr>
        <w:t xml:space="preserve"> a </w:t>
      </w:r>
      <w:r w:rsidRPr="00817A7B">
        <w:rPr>
          <w:rFonts w:ascii="Helvetica" w:hAnsi="Helvetica" w:cs="Helvetica"/>
          <w:sz w:val="24"/>
          <w:szCs w:val="24"/>
        </w:rPr>
        <w:t>miscalculation.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We have had to use estimated figures for CDD for part of the month.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July, Cable and Wireless could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not remove phantom calls from </w:t>
      </w:r>
      <w:proofErr w:type="gramStart"/>
      <w:r w:rsidRPr="00817A7B">
        <w:rPr>
          <w:rFonts w:ascii="Helvetica" w:hAnsi="Helvetica" w:cs="Helvetica"/>
          <w:sz w:val="24"/>
          <w:szCs w:val="24"/>
        </w:rPr>
        <w:t>CDD,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this meant that call volume looked to have doubled. Using estimated figures has given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discovered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E265CE">
        <w:rPr>
          <w:rFonts w:ascii="Helvetica" w:hAnsi="Helvetica" w:cs="Helvetica"/>
          <w:sz w:val="16"/>
          <w:szCs w:val="16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E265CE" w:rsidP="00E265CE">
      <w:pPr>
        <w:autoSpaceDE w:val="0"/>
        <w:autoSpaceDN w:val="0"/>
        <w:adjustRightInd w:val="0"/>
        <w:ind w:hanging="6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Observatory were providing this data but now it is being provided by Nottingham City PCT. We have been working with analysts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each pilot site has also been edited to reflect </w:t>
      </w:r>
      <w:proofErr w:type="spellStart"/>
      <w:r w:rsidRPr="00E265CE">
        <w:rPr>
          <w:rFonts w:ascii="Helvetica" w:hAnsi="Helvetica" w:cs="Helvetica"/>
          <w:sz w:val="24"/>
          <w:szCs w:val="24"/>
        </w:rPr>
        <w:t>ongoing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Symbol" w:hAnsi="Symbol" w:cs="Symbol"/>
          <w:color w:val="000000"/>
          <w:sz w:val="24"/>
          <w:szCs w:val="24"/>
        </w:rPr>
        <w:t></w:t>
      </w: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Thomas Kent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Commissioning Analysis and Intelligence Team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G18 Wellington House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>
        <w:rPr>
          <w:rFonts w:ascii="Helvetica" w:hAnsi="Helvetica" w:cs="Helvetica"/>
          <w:color w:val="0000FF"/>
          <w:sz w:val="24"/>
          <w:szCs w:val="24"/>
        </w:rPr>
        <w:t>NHS111@dh.gsi.gov.uk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/>
    <w:p w:rsidR="00975FA8" w:rsidRDefault="00975FA8"/>
    <w:p w:rsidR="00975FA8" w:rsidRDefault="00975FA8"/>
    <w:p w:rsidR="00975FA8" w:rsidRDefault="00975FA8"/>
    <w:p w:rsidR="00975FA8" w:rsidRDefault="00975FA8"/>
    <w:p w:rsidR="00975FA8" w:rsidRPr="00975FA8" w:rsidRDefault="00975FA8">
      <w:pPr>
        <w:rPr>
          <w:rFonts w:ascii="Arial" w:hAnsi="Arial" w:cs="Arial"/>
          <w:b/>
          <w:sz w:val="28"/>
        </w:rPr>
      </w:pPr>
    </w:p>
    <w:sectPr w:rsidR="00975FA8" w:rsidRPr="00975FA8" w:rsidSect="00975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2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2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8"/>
  </w:num>
  <w:num w:numId="5">
    <w:abstractNumId w:val="15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3"/>
  </w:num>
  <w:num w:numId="11">
    <w:abstractNumId w:val="9"/>
  </w:num>
  <w:num w:numId="12">
    <w:abstractNumId w:val="19"/>
  </w:num>
  <w:num w:numId="13">
    <w:abstractNumId w:val="1"/>
  </w:num>
  <w:num w:numId="14">
    <w:abstractNumId w:val="8"/>
  </w:num>
  <w:num w:numId="15">
    <w:abstractNumId w:val="12"/>
  </w:num>
  <w:num w:numId="16">
    <w:abstractNumId w:val="22"/>
  </w:num>
  <w:num w:numId="17">
    <w:abstractNumId w:val="14"/>
  </w:num>
  <w:num w:numId="18">
    <w:abstractNumId w:val="10"/>
  </w:num>
  <w:num w:numId="19">
    <w:abstractNumId w:val="21"/>
  </w:num>
  <w:num w:numId="20">
    <w:abstractNumId w:val="4"/>
  </w:num>
  <w:num w:numId="21">
    <w:abstractNumId w:val="1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B08FE"/>
    <w:rsid w:val="003B5F4F"/>
    <w:rsid w:val="00577AC8"/>
    <w:rsid w:val="00817A7B"/>
    <w:rsid w:val="00975FA8"/>
    <w:rsid w:val="00AB4B37"/>
    <w:rsid w:val="00E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ims.gov.uk\data\DH\Leeds\QHO\NW027\PPRT\DCVA\NHS%20111\NHS111%20MDS\Publications\2013-14\July\111MDS%20July%20National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72C6"/>
                </a:solidFill>
                <a:latin typeface="Arial"/>
                <a:ea typeface="Arial"/>
                <a:cs typeface="Arial"/>
              </a:defRPr>
            </a:pPr>
            <a:r>
              <a:rPr lang="en-GB"/>
              <a:t>Chart 3: Dispostions immediately following NHS111 calls - individual sites
Data to July 2013</a:t>
            </a:r>
          </a:p>
        </c:rich>
      </c:tx>
      <c:layout>
        <c:manualLayout>
          <c:xMode val="edge"/>
          <c:yMode val="edge"/>
          <c:x val="0.21406411582213031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1013443640124093E-2"/>
          <c:y val="9.6610169491525427E-2"/>
          <c:w val="0.9203722854188211"/>
          <c:h val="0.7915254237288135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'Providers-indicators'!$I$28</c:f>
              <c:strCache>
                <c:ptCount val="1"/>
                <c:pt idx="0">
                  <c:v>% Ambulance dispatches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'Providers-indicators'!$C$5:$H$5</c:f>
              <c:strCache>
                <c:ptCount val="6"/>
                <c:pt idx="0">
                  <c:v>North</c:v>
                </c:pt>
                <c:pt idx="1">
                  <c:v>M&amp;E</c:v>
                </c:pt>
                <c:pt idx="2">
                  <c:v>South</c:v>
                </c:pt>
                <c:pt idx="3">
                  <c:v>London</c:v>
                </c:pt>
                <c:pt idx="5">
                  <c:v>All sites</c:v>
                </c:pt>
              </c:strCache>
            </c:strRef>
          </c:cat>
          <c:val>
            <c:numRef>
              <c:f>'Providers-indicators'!$C$28:$H$28</c:f>
              <c:numCache>
                <c:formatCode>0%</c:formatCode>
                <c:ptCount val="6"/>
                <c:pt idx="0">
                  <c:v>0.10324740248423277</c:v>
                </c:pt>
                <c:pt idx="1">
                  <c:v>8.80318697306402E-2</c:v>
                </c:pt>
                <c:pt idx="2">
                  <c:v>6.9893185566974353E-2</c:v>
                </c:pt>
                <c:pt idx="3">
                  <c:v>9.3752480456311668E-2</c:v>
                </c:pt>
                <c:pt idx="5">
                  <c:v>9.1662551900223849E-2</c:v>
                </c:pt>
              </c:numCache>
            </c:numRef>
          </c:val>
        </c:ser>
        <c:ser>
          <c:idx val="1"/>
          <c:order val="1"/>
          <c:tx>
            <c:strRef>
              <c:f>'Providers-indicators'!$I$29</c:f>
              <c:strCache>
                <c:ptCount val="1"/>
                <c:pt idx="0">
                  <c:v>% Recommended to attend A&amp;E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'Providers-indicators'!$C$5:$H$5</c:f>
              <c:strCache>
                <c:ptCount val="6"/>
                <c:pt idx="0">
                  <c:v>North</c:v>
                </c:pt>
                <c:pt idx="1">
                  <c:v>M&amp;E</c:v>
                </c:pt>
                <c:pt idx="2">
                  <c:v>South</c:v>
                </c:pt>
                <c:pt idx="3">
                  <c:v>London</c:v>
                </c:pt>
                <c:pt idx="5">
                  <c:v>All sites</c:v>
                </c:pt>
              </c:strCache>
            </c:strRef>
          </c:cat>
          <c:val>
            <c:numRef>
              <c:f>'Providers-indicators'!$C$29:$H$29</c:f>
              <c:numCache>
                <c:formatCode>0%</c:formatCode>
                <c:ptCount val="6"/>
                <c:pt idx="0">
                  <c:v>6.5833216490441382E-2</c:v>
                </c:pt>
                <c:pt idx="1">
                  <c:v>5.5816202894160734E-2</c:v>
                </c:pt>
                <c:pt idx="2">
                  <c:v>5.0000174362443722E-2</c:v>
                </c:pt>
                <c:pt idx="3">
                  <c:v>6.1421174559517108E-2</c:v>
                </c:pt>
                <c:pt idx="5">
                  <c:v>5.9234847301302393E-2</c:v>
                </c:pt>
              </c:numCache>
            </c:numRef>
          </c:val>
        </c:ser>
        <c:ser>
          <c:idx val="2"/>
          <c:order val="2"/>
          <c:tx>
            <c:strRef>
              <c:f>'Providers-indicators'!$I$30</c:f>
              <c:strCache>
                <c:ptCount val="1"/>
                <c:pt idx="0">
                  <c:v>% Recommended to attend primary and community care</c:v>
                </c:pt>
              </c:strCache>
            </c:strRef>
          </c:tx>
          <c:spPr>
            <a:solidFill>
              <a:srgbClr val="9933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'Providers-indicators'!$C$5:$H$5</c:f>
              <c:strCache>
                <c:ptCount val="6"/>
                <c:pt idx="0">
                  <c:v>North</c:v>
                </c:pt>
                <c:pt idx="1">
                  <c:v>M&amp;E</c:v>
                </c:pt>
                <c:pt idx="2">
                  <c:v>South</c:v>
                </c:pt>
                <c:pt idx="3">
                  <c:v>London</c:v>
                </c:pt>
                <c:pt idx="5">
                  <c:v>All sites</c:v>
                </c:pt>
              </c:strCache>
            </c:strRef>
          </c:cat>
          <c:val>
            <c:numRef>
              <c:f>'Providers-indicators'!$C$30:$H$30</c:f>
              <c:numCache>
                <c:formatCode>0%</c:formatCode>
                <c:ptCount val="6"/>
                <c:pt idx="0">
                  <c:v>0.50876583767180816</c:v>
                </c:pt>
                <c:pt idx="1">
                  <c:v>0.49376282201324539</c:v>
                </c:pt>
                <c:pt idx="2">
                  <c:v>0.52173253498582428</c:v>
                </c:pt>
                <c:pt idx="3">
                  <c:v>0.51889207823013095</c:v>
                </c:pt>
                <c:pt idx="5">
                  <c:v>0.50574862331128279</c:v>
                </c:pt>
              </c:numCache>
            </c:numRef>
          </c:val>
        </c:ser>
        <c:ser>
          <c:idx val="3"/>
          <c:order val="3"/>
          <c:tx>
            <c:strRef>
              <c:f>'Providers-indicators'!$I$34</c:f>
              <c:strCache>
                <c:ptCount val="1"/>
                <c:pt idx="0">
                  <c:v>% Recommended to attend other service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'Providers-indicators'!$C$5:$H$5</c:f>
              <c:strCache>
                <c:ptCount val="6"/>
                <c:pt idx="0">
                  <c:v>North</c:v>
                </c:pt>
                <c:pt idx="1">
                  <c:v>M&amp;E</c:v>
                </c:pt>
                <c:pt idx="2">
                  <c:v>South</c:v>
                </c:pt>
                <c:pt idx="3">
                  <c:v>London</c:v>
                </c:pt>
                <c:pt idx="5">
                  <c:v>All sites</c:v>
                </c:pt>
              </c:strCache>
            </c:strRef>
          </c:cat>
          <c:val>
            <c:numRef>
              <c:f>'Providers-indicators'!$C$34:$H$34</c:f>
              <c:numCache>
                <c:formatCode>0%</c:formatCode>
                <c:ptCount val="6"/>
                <c:pt idx="0">
                  <c:v>3.372282419971355E-2</c:v>
                </c:pt>
                <c:pt idx="1">
                  <c:v>4.4648143303639046E-2</c:v>
                </c:pt>
                <c:pt idx="2">
                  <c:v>6.5173194215351574E-2</c:v>
                </c:pt>
                <c:pt idx="3">
                  <c:v>3.451318449057196E-2</c:v>
                </c:pt>
                <c:pt idx="5">
                  <c:v>4.2277600199789489E-2</c:v>
                </c:pt>
              </c:numCache>
            </c:numRef>
          </c:val>
        </c:ser>
        <c:ser>
          <c:idx val="4"/>
          <c:order val="4"/>
          <c:tx>
            <c:strRef>
              <c:f>'Providers-indicators'!$I$35</c:f>
              <c:strCache>
                <c:ptCount val="1"/>
                <c:pt idx="0">
                  <c:v>% Not recommended to attend other service</c:v>
                </c:pt>
              </c:strCache>
            </c:strRef>
          </c:tx>
          <c:spPr>
            <a:solidFill>
              <a:srgbClr val="A2BD3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'Providers-indicators'!$C$5:$H$5</c:f>
              <c:strCache>
                <c:ptCount val="6"/>
                <c:pt idx="0">
                  <c:v>North</c:v>
                </c:pt>
                <c:pt idx="1">
                  <c:v>M&amp;E</c:v>
                </c:pt>
                <c:pt idx="2">
                  <c:v>South</c:v>
                </c:pt>
                <c:pt idx="3">
                  <c:v>London</c:v>
                </c:pt>
                <c:pt idx="5">
                  <c:v>All sites</c:v>
                </c:pt>
              </c:strCache>
            </c:strRef>
          </c:cat>
          <c:val>
            <c:numRef>
              <c:f>'Providers-indicators'!$C$35:$H$35</c:f>
              <c:numCache>
                <c:formatCode>0%</c:formatCode>
                <c:ptCount val="6"/>
                <c:pt idx="0">
                  <c:v>0.28843071915380414</c:v>
                </c:pt>
                <c:pt idx="1">
                  <c:v>0.31774096205831465</c:v>
                </c:pt>
                <c:pt idx="2">
                  <c:v>0.29320091086940603</c:v>
                </c:pt>
                <c:pt idx="3">
                  <c:v>0.2914210822634683</c:v>
                </c:pt>
                <c:pt idx="5">
                  <c:v>0.3010763772874015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70511616"/>
        <c:axId val="70959872"/>
      </c:barChart>
      <c:catAx>
        <c:axId val="70511616"/>
        <c:scaling>
          <c:orientation val="minMax"/>
        </c:scaling>
        <c:delete val="0"/>
        <c:axPos val="l"/>
        <c:numFmt formatCode="mmm\-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0959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0959872"/>
        <c:scaling>
          <c:orientation val="minMax"/>
          <c:max val="1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05116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8614270941054809E-2"/>
          <c:y val="0.93728554026031186"/>
          <c:w val="0.94337553714653866"/>
          <c:h val="6.271450320678419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7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0.08075</cdr:x>
      <cdr:y>0.1645</cdr:y>
    </cdr:to>
    <cdr:pic>
      <cdr:nvPicPr>
        <cdr:cNvPr id="25602" name="Picture 2" descr="Revised NHS 111 Logo small2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0" y="0"/>
          <a:ext cx="743762" cy="924449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2AED-3DF8-4E50-A46D-607FFDA8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McAndrew, Ruaraidh</cp:lastModifiedBy>
  <cp:revision>2</cp:revision>
  <dcterms:created xsi:type="dcterms:W3CDTF">2013-09-05T15:21:00Z</dcterms:created>
  <dcterms:modified xsi:type="dcterms:W3CDTF">2013-09-05T16:18:00Z</dcterms:modified>
</cp:coreProperties>
</file>