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FE" w:rsidRDefault="001E0595" w:rsidP="001E0595">
      <w:pPr>
        <w:ind w:left="426"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NHS 111 MDS Monthly Data: August 2013</w:t>
      </w:r>
      <w:bookmarkStart w:id="0" w:name="_GoBack"/>
      <w:bookmarkEnd w:id="0"/>
      <w:r w:rsidRPr="001E0595">
        <w:drawing>
          <wp:inline distT="0" distB="0" distL="0" distR="0" wp14:anchorId="35441699" wp14:editId="1023CC2B">
            <wp:extent cx="9431079" cy="549703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79" cy="54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A8" w:rsidRDefault="001E0595" w:rsidP="001E0595">
      <w:pPr>
        <w:ind w:left="426" w:hanging="1"/>
        <w:rPr>
          <w:rFonts w:ascii="Arial" w:hAnsi="Arial" w:cs="Arial"/>
          <w:b/>
          <w:sz w:val="28"/>
        </w:rPr>
      </w:pPr>
      <w:r w:rsidRPr="001E0595">
        <w:lastRenderedPageBreak/>
        <w:drawing>
          <wp:inline distT="0" distB="0" distL="0" distR="0" wp14:anchorId="66855CC8" wp14:editId="25454564">
            <wp:extent cx="8973879" cy="60073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386" cy="600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 w:rsidP="001E0595">
      <w:pPr>
        <w:ind w:left="0" w:firstLine="0"/>
        <w:rPr>
          <w:noProof/>
          <w:lang w:eastAsia="en-GB"/>
        </w:rPr>
      </w:pPr>
    </w:p>
    <w:p w:rsidR="001E0595" w:rsidRDefault="001E0595">
      <w:pPr>
        <w:rPr>
          <w:noProof/>
          <w:lang w:eastAsia="en-GB"/>
        </w:rPr>
      </w:pPr>
      <w:r w:rsidRPr="001E0595">
        <w:drawing>
          <wp:inline distT="0" distB="0" distL="0" distR="0" wp14:anchorId="7E0B2C13" wp14:editId="0DA6D8EE">
            <wp:extent cx="8867553" cy="55392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B00D94F">
            <wp:extent cx="9211945" cy="56210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95" w:rsidRDefault="001E0595">
      <w:pPr>
        <w:rPr>
          <w:noProof/>
          <w:lang w:eastAsia="en-GB"/>
        </w:rPr>
      </w:pPr>
      <w:r w:rsidRPr="001E0595">
        <w:lastRenderedPageBreak/>
        <w:drawing>
          <wp:inline distT="0" distB="0" distL="0" distR="0" wp14:anchorId="262DE9E7" wp14:editId="4A7316D6">
            <wp:extent cx="8863330" cy="530075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>
      <w:pPr>
        <w:rPr>
          <w:noProof/>
          <w:lang w:eastAsia="en-GB"/>
        </w:rPr>
      </w:pPr>
    </w:p>
    <w:p w:rsidR="001E0595" w:rsidRDefault="001E0595">
      <w:pPr>
        <w:rPr>
          <w:noProof/>
          <w:lang w:eastAsia="en-GB"/>
        </w:rPr>
      </w:pPr>
    </w:p>
    <w:p w:rsidR="001E0595" w:rsidRDefault="001E0595">
      <w:pPr>
        <w:rPr>
          <w:noProof/>
          <w:lang w:eastAsia="en-GB"/>
        </w:rPr>
      </w:pPr>
    </w:p>
    <w:p w:rsidR="001E0595" w:rsidRDefault="001E0595">
      <w:pPr>
        <w:rPr>
          <w:noProof/>
          <w:lang w:eastAsia="en-GB"/>
        </w:rPr>
      </w:pPr>
      <w:r w:rsidRPr="001E0595">
        <w:drawing>
          <wp:inline distT="0" distB="0" distL="0" distR="0" wp14:anchorId="46340BEC" wp14:editId="55BA4449">
            <wp:extent cx="8863330" cy="530075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>
      <w:pPr>
        <w:rPr>
          <w:noProof/>
          <w:lang w:eastAsia="en-GB"/>
        </w:rPr>
      </w:pPr>
    </w:p>
    <w:p w:rsidR="001E0595" w:rsidRDefault="001E0595" w:rsidP="001E0595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5B6E6CA" wp14:editId="74C08761">
            <wp:extent cx="9224010" cy="5657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1E0595" w:rsidRDefault="00AB4B37" w:rsidP="001E0595">
      <w:pPr>
        <w:rPr>
          <w:noProof/>
          <w:lang w:eastAsia="en-GB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Further details of the NHS 111 minimum dataset for individual organisations is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available at: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E265CE">
        <w:rPr>
          <w:rFonts w:ascii="Arial" w:hAnsi="Arial" w:cs="Arial"/>
          <w:color w:val="0000FF"/>
          <w:sz w:val="24"/>
          <w:szCs w:val="24"/>
        </w:rPr>
        <w:t>http://transparency.dh.gov.uk/category/statistics/nhs-111-statistics/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NHS111 pilot sites, NHS111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data availability and quality. All published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are the latest position available rather than the definitive position. If historical data are revised in any way then this will be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reflected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in the NHS 111 Minimum Data Set.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 xml:space="preserve">Key areas of </w:t>
      </w:r>
      <w:proofErr w:type="spellStart"/>
      <w:r w:rsidRPr="00E265CE">
        <w:rPr>
          <w:rFonts w:ascii="Arial" w:hAnsi="Arial" w:cs="Arial"/>
          <w:color w:val="000000"/>
          <w:sz w:val="24"/>
          <w:szCs w:val="24"/>
        </w:rPr>
        <w:t>ongoing</w:t>
      </w:r>
      <w:proofErr w:type="spellEnd"/>
      <w:r w:rsidRPr="00E265CE">
        <w:rPr>
          <w:rFonts w:ascii="Arial" w:hAnsi="Arial" w:cs="Arial"/>
          <w:color w:val="000000"/>
          <w:sz w:val="24"/>
          <w:szCs w:val="24"/>
        </w:rPr>
        <w:t xml:space="preserve"> work are listed below. Any material changes to the data or presentation of the NHS 111 Minimum Data Set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Ongoing</w:t>
      </w:r>
      <w:proofErr w:type="spellEnd"/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 data quality work: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continually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working with providers to understand these variations and a big part of this work are data tagging exercises that take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place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with each new provider. This work includes mapping the data collection process and identifying where each MDS data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item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is to be collected. These process maps can then be used to compare how data items are calculated between different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providers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>: The format, in which the data is presented, is currently being reviewed. This is to help incorporate a number of new sites into the statistical release as new sites go live.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2. Material Changes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lastRenderedPageBreak/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Harmoni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proofErr w:type="spellStart"/>
      <w:r w:rsidR="003B5F4F">
        <w:rPr>
          <w:rFonts w:ascii="Arial" w:hAnsi="Arial" w:cs="Arial"/>
          <w:bCs/>
          <w:color w:val="000000"/>
          <w:sz w:val="24"/>
          <w:szCs w:val="24"/>
        </w:rPr>
        <w:t>Wandsworth</w:t>
      </w:r>
      <w:proofErr w:type="spellEnd"/>
      <w:r w:rsidR="003B5F4F">
        <w:rPr>
          <w:rFonts w:ascii="Arial" w:hAnsi="Arial" w:cs="Arial"/>
          <w:bCs/>
          <w:color w:val="000000"/>
          <w:sz w:val="24"/>
          <w:szCs w:val="24"/>
        </w:rPr>
        <w:t xml:space="preserve">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color w:val="000000"/>
          <w:sz w:val="24"/>
          <w:szCs w:val="24"/>
        </w:rPr>
        <w:t>Some areas are unable to provide accurate “calls not triaged: other” because of a discrepancy between calls answered and</w:t>
      </w:r>
    </w:p>
    <w:p w:rsidR="00975FA8" w:rsidRDefault="00AB4B37" w:rsidP="00AB4B37">
      <w:pPr>
        <w:ind w:left="0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number of calls being reported for. Any minus figures have been replaced with a 0 in this field.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has now become available for Herts and GY&amp;W.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S&amp;M have had problems providing a full set of data, Caller Not Triaged data cannot be accurately reported at this time.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problem</w:t>
      </w:r>
      <w:proofErr w:type="gramEnd"/>
      <w:r>
        <w:rPr>
          <w:rFonts w:ascii="Helvetica" w:hAnsi="Helvetica" w:cs="Helvetica"/>
          <w:sz w:val="24"/>
          <w:szCs w:val="24"/>
        </w:rPr>
        <w:t xml:space="preserve">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08 Mar, 2013 – January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proofErr w:type="spellStart"/>
      <w:r w:rsidRPr="00AB4B37">
        <w:rPr>
          <w:rFonts w:ascii="Helvetica" w:hAnsi="Helvetica" w:cs="Helvetica"/>
          <w:sz w:val="24"/>
          <w:szCs w:val="24"/>
        </w:rPr>
        <w:t>Harmoni</w:t>
      </w:r>
      <w:proofErr w:type="spellEnd"/>
      <w:r w:rsidRPr="00AB4B37">
        <w:rPr>
          <w:rFonts w:ascii="Helvetica" w:hAnsi="Helvetica" w:cs="Helvetica"/>
          <w:sz w:val="24"/>
          <w:szCs w:val="24"/>
        </w:rPr>
        <w:t xml:space="preserve"> revised their data to provide more accurate Caller Not Triaged figures. This is now rectified for future submissions.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INWL Revised data for their total call backs to accurately reflect calls transferred.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The most recent patient satisfaction survey results are now available for April – October 2012.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Derby revised their calls offered to account for missing calls in the ‘abandoned in under 30 </w:t>
      </w:r>
      <w:proofErr w:type="gramStart"/>
      <w:r w:rsidRPr="00AB4B37">
        <w:rPr>
          <w:rFonts w:ascii="Helvetica" w:hAnsi="Helvetica" w:cs="Helvetica"/>
          <w:sz w:val="24"/>
          <w:szCs w:val="24"/>
        </w:rPr>
        <w:t>seconds</w:t>
      </w:r>
      <w:proofErr w:type="gramEnd"/>
      <w:r w:rsidRPr="00AB4B37">
        <w:rPr>
          <w:rFonts w:ascii="Helvetica" w:hAnsi="Helvetica" w:cs="Helvetica"/>
          <w:sz w:val="24"/>
          <w:szCs w:val="24"/>
        </w:rPr>
        <w:t xml:space="preserve">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 Reasons not triaged, we have amended the figures in “reason for non-triage: other” to a balancing figure to ensure all</w:t>
      </w:r>
    </w:p>
    <w:p w:rsidR="00AB4B37" w:rsidRDefault="00AB4B37" w:rsidP="00AB4B37">
      <w:pPr>
        <w:autoSpaceDE w:val="0"/>
        <w:autoSpaceDN w:val="0"/>
        <w:adjustRightInd w:val="0"/>
        <w:ind w:left="67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answered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calls are accounted for. Previously there were missing calls, which were not recorded in the MDS submission.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INWL revised call volume data for August 2012, giving a more accurate account of calls offered.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From September, ‘Calls not triaged: other reason’ is now a balancing figure to ensure all answered calls are accounted for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AB4B37">
        <w:rPr>
          <w:rFonts w:ascii="Helvetica" w:hAnsi="Helvetica" w:cs="Helvetica"/>
          <w:sz w:val="24"/>
          <w:szCs w:val="24"/>
        </w:rPr>
        <w:t>in</w:t>
      </w:r>
      <w:r>
        <w:rPr>
          <w:rFonts w:ascii="Helvetica" w:hAnsi="Helvetica" w:cs="Helvetica"/>
          <w:sz w:val="24"/>
          <w:szCs w:val="24"/>
        </w:rPr>
        <w:t xml:space="preserve"> t</w:t>
      </w:r>
      <w:r w:rsidRPr="00AB4B37">
        <w:rPr>
          <w:rFonts w:ascii="Helvetica" w:hAnsi="Helvetica" w:cs="Helvetica"/>
          <w:sz w:val="24"/>
          <w:szCs w:val="24"/>
        </w:rPr>
        <w:t>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817A7B" w:rsidRPr="00817A7B" w:rsidRDefault="00AB4B37" w:rsidP="00817A7B">
      <w:pPr>
        <w:pStyle w:val="ListParagraph"/>
        <w:numPr>
          <w:ilvl w:val="0"/>
          <w:numId w:val="7"/>
        </w:numPr>
        <w:rPr>
          <w:rFonts w:ascii="Helvetica" w:hAnsi="Helvetica" w:cs="Helvetica"/>
          <w:color w:val="000000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Systems impact data and patient satisfaction survey results have now become available for Derbyshire. This is the first</w:t>
      </w:r>
    </w:p>
    <w:p w:rsidR="00AB4B37" w:rsidRPr="00817A7B" w:rsidRDefault="00AB4B37" w:rsidP="00817A7B">
      <w:pPr>
        <w:spacing w:line="276" w:lineRule="auto"/>
        <w:ind w:firstLine="424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month</w:t>
      </w:r>
      <w:proofErr w:type="gramEnd"/>
      <w:r>
        <w:rPr>
          <w:rFonts w:ascii="Helvetica" w:hAnsi="Helvetica" w:cs="Helvetica"/>
          <w:sz w:val="24"/>
          <w:szCs w:val="24"/>
        </w:rPr>
        <w:t xml:space="preserve"> Derbyshire have been able to provide a full set of data, including answered with 60 seconds.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31 Aug, 2012 – July data.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As detailed last month, we have had to use estimated figures for CDD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July. This problem has now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resolved. (</w:t>
      </w:r>
      <w:proofErr w:type="gramStart"/>
      <w:r w:rsidRPr="00817A7B">
        <w:rPr>
          <w:rFonts w:ascii="Helvetica" w:hAnsi="Helvetica" w:cs="Helvetica"/>
          <w:sz w:val="24"/>
          <w:szCs w:val="24"/>
        </w:rPr>
        <w:t>see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below for more details).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have revised the disposition break down of triaged calls, from January 2012 – June 2012. This was due to</w:t>
      </w:r>
      <w:r w:rsidR="00817A7B">
        <w:rPr>
          <w:rFonts w:ascii="Helvetica" w:hAnsi="Helvetica" w:cs="Helvetica"/>
          <w:sz w:val="24"/>
          <w:szCs w:val="24"/>
        </w:rPr>
        <w:t xml:space="preserve"> a </w:t>
      </w:r>
      <w:r w:rsidRPr="00817A7B">
        <w:rPr>
          <w:rFonts w:ascii="Helvetica" w:hAnsi="Helvetica" w:cs="Helvetica"/>
          <w:sz w:val="24"/>
          <w:szCs w:val="24"/>
        </w:rPr>
        <w:t>miscalculation.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We have had to use estimated figures for CDD for part of the month.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July, Cable and Wireless could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not remove phantom calls from </w:t>
      </w:r>
      <w:proofErr w:type="gramStart"/>
      <w:r w:rsidRPr="00817A7B">
        <w:rPr>
          <w:rFonts w:ascii="Helvetica" w:hAnsi="Helvetica" w:cs="Helvetica"/>
          <w:sz w:val="24"/>
          <w:szCs w:val="24"/>
        </w:rPr>
        <w:t>CDD,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this meant that call volume looked to have doubled. Using estimated figures has given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-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proofErr w:type="gramStart"/>
      <w:r w:rsidRPr="00817A7B">
        <w:rPr>
          <w:rFonts w:ascii="Helvetica" w:hAnsi="Helvetica" w:cs="Helvetica"/>
          <w:sz w:val="24"/>
          <w:szCs w:val="24"/>
        </w:rPr>
        <w:t>we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revised data for County Durham and Darlington. The ‘Average episode length’ figures for Dec –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817A7B">
        <w:rPr>
          <w:rFonts w:ascii="Helvetica" w:hAnsi="Helvetica" w:cs="Helvetica"/>
          <w:sz w:val="24"/>
          <w:szCs w:val="24"/>
        </w:rPr>
        <w:t>Providers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added to show the actual A&amp;E attendance and ambulance incident figures. The actual </w:t>
      </w:r>
      <w:proofErr w:type="gramStart"/>
      <w:r w:rsidRPr="00817A7B">
        <w:rPr>
          <w:rFonts w:ascii="Helvetica" w:hAnsi="Helvetica" w:cs="Helvetica"/>
          <w:sz w:val="24"/>
          <w:szCs w:val="24"/>
        </w:rPr>
        <w:t>number of NHS111 referrals for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relevant month are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NHS111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E265CE">
        <w:rPr>
          <w:rFonts w:ascii="Helvetica" w:hAnsi="Helvetica" w:cs="Helvetica"/>
          <w:sz w:val="16"/>
          <w:szCs w:val="16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E265CE" w:rsidP="00E265CE">
      <w:pPr>
        <w:autoSpaceDE w:val="0"/>
        <w:autoSpaceDN w:val="0"/>
        <w:adjustRightInd w:val="0"/>
        <w:ind w:hanging="6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Observatory were providing this data but now it is being provided by Nottingham City PCT. We have been working with analysts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proofErr w:type="gramStart"/>
      <w:r w:rsidRPr="00E265CE">
        <w:rPr>
          <w:rFonts w:ascii="Helvetica" w:hAnsi="Helvetica" w:cs="Helvetica"/>
          <w:sz w:val="24"/>
          <w:szCs w:val="24"/>
        </w:rPr>
        <w:t>publication,</w:t>
      </w:r>
      <w:proofErr w:type="gramEnd"/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NHS111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 xml:space="preserve">GPOOH data from Luton has been split out so we can report on the UCC and </w:t>
      </w:r>
      <w:proofErr w:type="spellStart"/>
      <w:r w:rsidRPr="00E265CE">
        <w:rPr>
          <w:rFonts w:ascii="Helvetica" w:hAnsi="Helvetica" w:cs="Helvetica"/>
          <w:sz w:val="24"/>
          <w:szCs w:val="24"/>
        </w:rPr>
        <w:t>WiC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each pilot site has also been edited to reflect </w:t>
      </w:r>
      <w:proofErr w:type="spellStart"/>
      <w:r w:rsidRPr="00E265CE">
        <w:rPr>
          <w:rFonts w:ascii="Helvetica" w:hAnsi="Helvetica" w:cs="Helvetica"/>
          <w:sz w:val="24"/>
          <w:szCs w:val="24"/>
        </w:rPr>
        <w:t>ongoing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Symbol" w:hAnsi="Symbol" w:cs="Symbol"/>
          <w:color w:val="000000"/>
          <w:sz w:val="24"/>
          <w:szCs w:val="24"/>
        </w:rPr>
        <w:t></w:t>
      </w:r>
      <w:r w:rsidRPr="00E265CE">
        <w:rPr>
          <w:rFonts w:ascii="Helvetica" w:hAnsi="Helvetica" w:cs="Helvetica"/>
          <w:color w:val="000000"/>
          <w:sz w:val="24"/>
          <w:szCs w:val="24"/>
        </w:rPr>
        <w:t>The breakdown of call handling time by clinical and call handling staff has now been included for County Durham and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Darlington.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enquiries contact: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Office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Thomas Kent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Commissioning Analysis and Intelligence Team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G18 Wellington House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>
        <w:rPr>
          <w:rFonts w:ascii="Helvetica" w:hAnsi="Helvetica" w:cs="Helvetica"/>
          <w:color w:val="0000FF"/>
          <w:sz w:val="24"/>
          <w:szCs w:val="24"/>
        </w:rPr>
        <w:t>NHS111@dh.gsi.gov.uk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/>
    <w:p w:rsidR="00975FA8" w:rsidRDefault="00975FA8"/>
    <w:p w:rsidR="00975FA8" w:rsidRDefault="00975FA8"/>
    <w:p w:rsidR="00975FA8" w:rsidRDefault="00975FA8"/>
    <w:p w:rsidR="00975FA8" w:rsidRDefault="00975FA8"/>
    <w:p w:rsidR="00975FA8" w:rsidRPr="00975FA8" w:rsidRDefault="00975FA8">
      <w:pPr>
        <w:rPr>
          <w:rFonts w:ascii="Arial" w:hAnsi="Arial" w:cs="Arial"/>
          <w:b/>
          <w:sz w:val="28"/>
        </w:rPr>
      </w:pPr>
    </w:p>
    <w:sectPr w:rsidR="00975FA8" w:rsidRPr="00975FA8" w:rsidSect="00975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3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8"/>
  </w:num>
  <w:num w:numId="5">
    <w:abstractNumId w:val="15"/>
  </w:num>
  <w:num w:numId="6">
    <w:abstractNumId w:val="13"/>
  </w:num>
  <w:num w:numId="7">
    <w:abstractNumId w:val="6"/>
  </w:num>
  <w:num w:numId="8">
    <w:abstractNumId w:val="17"/>
  </w:num>
  <w:num w:numId="9">
    <w:abstractNumId w:val="5"/>
  </w:num>
  <w:num w:numId="10">
    <w:abstractNumId w:val="3"/>
  </w:num>
  <w:num w:numId="11">
    <w:abstractNumId w:val="9"/>
  </w:num>
  <w:num w:numId="12">
    <w:abstractNumId w:val="19"/>
  </w:num>
  <w:num w:numId="13">
    <w:abstractNumId w:val="1"/>
  </w:num>
  <w:num w:numId="14">
    <w:abstractNumId w:val="8"/>
  </w:num>
  <w:num w:numId="15">
    <w:abstractNumId w:val="12"/>
  </w:num>
  <w:num w:numId="16">
    <w:abstractNumId w:val="23"/>
  </w:num>
  <w:num w:numId="17">
    <w:abstractNumId w:val="14"/>
  </w:num>
  <w:num w:numId="18">
    <w:abstractNumId w:val="10"/>
  </w:num>
  <w:num w:numId="19">
    <w:abstractNumId w:val="22"/>
  </w:num>
  <w:num w:numId="20">
    <w:abstractNumId w:val="4"/>
  </w:num>
  <w:num w:numId="21">
    <w:abstractNumId w:val="11"/>
  </w:num>
  <w:num w:numId="22">
    <w:abstractNumId w:val="0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1B08FE"/>
    <w:rsid w:val="001E0595"/>
    <w:rsid w:val="003B5F4F"/>
    <w:rsid w:val="00577AC8"/>
    <w:rsid w:val="00650592"/>
    <w:rsid w:val="007F1156"/>
    <w:rsid w:val="00817A7B"/>
    <w:rsid w:val="00975FA8"/>
    <w:rsid w:val="00AB4B37"/>
    <w:rsid w:val="00E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284C-AD6C-4658-A66E-77100AD9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McAndrew, Ruaraidh</cp:lastModifiedBy>
  <cp:revision>3</cp:revision>
  <dcterms:created xsi:type="dcterms:W3CDTF">2013-09-05T15:21:00Z</dcterms:created>
  <dcterms:modified xsi:type="dcterms:W3CDTF">2013-10-11T07:46:00Z</dcterms:modified>
</cp:coreProperties>
</file>