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8" w:rsidRDefault="00272DF2" w:rsidP="00F425E4">
      <w:pPr>
        <w:ind w:left="0" w:firstLine="14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NHS</w:t>
      </w:r>
      <w:r w:rsidR="005B0CE2">
        <w:rPr>
          <w:rFonts w:ascii="Arial" w:hAnsi="Arial" w:cs="Arial"/>
          <w:b/>
          <w:sz w:val="28"/>
        </w:rPr>
        <w:t xml:space="preserve"> 111 MDS Monthly Data: </w:t>
      </w:r>
      <w:r w:rsidR="002B0BFF">
        <w:rPr>
          <w:rFonts w:ascii="Arial" w:hAnsi="Arial" w:cs="Arial"/>
          <w:b/>
          <w:sz w:val="28"/>
        </w:rPr>
        <w:t>December</w:t>
      </w:r>
      <w:r w:rsidR="001E0595">
        <w:rPr>
          <w:rFonts w:ascii="Arial" w:hAnsi="Arial" w:cs="Arial"/>
          <w:b/>
          <w:sz w:val="28"/>
        </w:rPr>
        <w:t xml:space="preserve"> 2013</w:t>
      </w:r>
    </w:p>
    <w:p w:rsidR="00AC3865" w:rsidRDefault="00AF2A04" w:rsidP="00F425E4">
      <w:pPr>
        <w:ind w:left="0" w:firstLine="142"/>
        <w:rPr>
          <w:rFonts w:ascii="Arial" w:hAnsi="Arial" w:cs="Arial"/>
          <w:b/>
          <w:sz w:val="28"/>
        </w:rPr>
      </w:pPr>
      <w:r w:rsidRPr="00AF2A04">
        <w:drawing>
          <wp:inline distT="0" distB="0" distL="0" distR="0" wp14:anchorId="15013E91" wp14:editId="6BCA102C">
            <wp:extent cx="8865392" cy="5433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595" w:rsidRDefault="002B0BFF" w:rsidP="001E0595">
      <w:pPr>
        <w:ind w:left="0" w:firstLine="0"/>
        <w:rPr>
          <w:noProof/>
          <w:lang w:eastAsia="en-GB"/>
        </w:rPr>
      </w:pPr>
      <w:r w:rsidRPr="002B0BFF">
        <w:rPr>
          <w:noProof/>
          <w:lang w:eastAsia="zh-CN"/>
        </w:rPr>
        <w:lastRenderedPageBreak/>
        <w:drawing>
          <wp:inline distT="0" distB="0" distL="0" distR="0" wp14:anchorId="244922C2" wp14:editId="24C74318">
            <wp:extent cx="8856921" cy="5816009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2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2B0BFF" w:rsidP="001E0595">
      <w:pPr>
        <w:ind w:left="0" w:firstLine="0"/>
        <w:rPr>
          <w:noProof/>
          <w:lang w:eastAsia="en-GB"/>
        </w:rPr>
      </w:pPr>
      <w:r w:rsidRPr="002B0BFF">
        <w:rPr>
          <w:noProof/>
          <w:lang w:eastAsia="zh-CN"/>
        </w:rPr>
        <w:lastRenderedPageBreak/>
        <w:drawing>
          <wp:inline distT="0" distB="0" distL="0" distR="0" wp14:anchorId="4A433C53" wp14:editId="106E05CF">
            <wp:extent cx="8856921" cy="5837274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4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2B0BFF" w:rsidP="001E0595">
      <w:pPr>
        <w:ind w:left="0" w:firstLine="0"/>
        <w:rPr>
          <w:noProof/>
          <w:lang w:eastAsia="en-GB"/>
        </w:rPr>
      </w:pPr>
      <w:r w:rsidRPr="002B0BFF">
        <w:rPr>
          <w:noProof/>
          <w:lang w:eastAsia="zh-CN"/>
        </w:rPr>
        <w:lastRenderedPageBreak/>
        <w:drawing>
          <wp:inline distT="0" distB="0" distL="0" distR="0" wp14:anchorId="1B54A97E" wp14:editId="19F6F874">
            <wp:extent cx="8826339" cy="8931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89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3" w:rsidRDefault="00846CDB" w:rsidP="001E0595">
      <w:pPr>
        <w:ind w:left="0" w:firstLine="0"/>
        <w:rPr>
          <w:noProof/>
          <w:lang w:eastAsia="en-GB"/>
        </w:rPr>
      </w:pPr>
      <w:r w:rsidRPr="00846CDB">
        <w:rPr>
          <w:noProof/>
          <w:lang w:eastAsia="zh-CN"/>
        </w:rPr>
        <w:drawing>
          <wp:inline distT="0" distB="0" distL="0" distR="0" wp14:anchorId="71A6D8FC" wp14:editId="28DF3C33">
            <wp:extent cx="8867553" cy="479528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A52EA5" w:rsidP="001E0595">
      <w:pPr>
        <w:ind w:left="0" w:firstLine="0"/>
        <w:rPr>
          <w:noProof/>
          <w:lang w:eastAsia="en-GB"/>
        </w:rPr>
      </w:pPr>
      <w:r w:rsidRPr="00A52EA5">
        <w:rPr>
          <w:noProof/>
          <w:lang w:eastAsia="zh-CN"/>
        </w:rPr>
        <w:lastRenderedPageBreak/>
        <w:drawing>
          <wp:inline distT="0" distB="0" distL="0" distR="0" wp14:anchorId="6CAF423B" wp14:editId="1A8CBA09">
            <wp:extent cx="8863330" cy="56388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3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A52EA5" w:rsidP="00A52EA5">
      <w:pPr>
        <w:ind w:left="0" w:firstLine="0"/>
        <w:rPr>
          <w:noProof/>
          <w:lang w:eastAsia="en-GB"/>
        </w:rPr>
      </w:pPr>
      <w:r w:rsidRPr="00A52EA5">
        <w:rPr>
          <w:noProof/>
          <w:lang w:eastAsia="zh-CN"/>
        </w:rPr>
        <w:lastRenderedPageBreak/>
        <w:drawing>
          <wp:inline distT="0" distB="0" distL="0" distR="0" wp14:anchorId="014C8F80" wp14:editId="7129DA4B">
            <wp:extent cx="8863330" cy="56388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3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A5" w:rsidRDefault="00A52EA5" w:rsidP="00A52EA5">
      <w:pPr>
        <w:ind w:left="0" w:firstLine="0"/>
        <w:rPr>
          <w:noProof/>
          <w:lang w:eastAsia="en-GB"/>
        </w:rPr>
      </w:pPr>
      <w:r w:rsidRPr="00A52EA5">
        <w:rPr>
          <w:noProof/>
          <w:lang w:eastAsia="zh-CN"/>
        </w:rPr>
        <w:lastRenderedPageBreak/>
        <w:drawing>
          <wp:inline distT="0" distB="0" distL="0" distR="0" wp14:anchorId="1F57D036" wp14:editId="06DB6D14">
            <wp:extent cx="8863330" cy="543474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D9" w:rsidRDefault="00D862D9">
      <w:pPr>
        <w:rPr>
          <w:noProof/>
          <w:lang w:eastAsia="en-GB"/>
        </w:rPr>
      </w:pPr>
    </w:p>
    <w:p w:rsidR="00AB4B37" w:rsidRPr="001E0595" w:rsidRDefault="00AB4B37" w:rsidP="00F425E4">
      <w:pPr>
        <w:rPr>
          <w:noProof/>
          <w:lang w:eastAsia="en-GB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Further details of the NHS 111 minimum dataset for individual organisations is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available at: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E265CE">
        <w:rPr>
          <w:rFonts w:ascii="Arial" w:hAnsi="Arial" w:cs="Arial"/>
          <w:color w:val="0000FF"/>
          <w:sz w:val="24"/>
          <w:szCs w:val="24"/>
        </w:rPr>
        <w:t>http://transparency.dh.gov.uk/category/statistics/nhs-111-statistics/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NHS111 pilot sites, NHS111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  <w:r w:rsidR="005B0CE2">
        <w:rPr>
          <w:rFonts w:ascii="Arial" w:hAnsi="Arial" w:cs="Arial"/>
          <w:color w:val="000000"/>
          <w:sz w:val="24"/>
          <w:szCs w:val="24"/>
        </w:rPr>
        <w:t xml:space="preserve">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All </w:t>
      </w:r>
      <w:r w:rsidRPr="00E265CE">
        <w:rPr>
          <w:rFonts w:ascii="Arial" w:hAnsi="Arial" w:cs="Arial"/>
          <w:color w:val="000000"/>
          <w:sz w:val="24"/>
          <w:szCs w:val="24"/>
        </w:rPr>
        <w:t>published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data are the latest position available rather than the definitive position. 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reflected in the NHS 111 Minimum 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1. Ongoing data quality work: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continually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working with providers to understand these variations and a big part of this work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are data tagging exercises that </w:t>
      </w:r>
      <w:r w:rsidRPr="00E265CE">
        <w:rPr>
          <w:rFonts w:ascii="Arial" w:hAnsi="Arial" w:cs="Arial"/>
          <w:color w:val="000000"/>
          <w:sz w:val="24"/>
          <w:szCs w:val="24"/>
        </w:rPr>
        <w:t>take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place with each new provider. This work includes mapping the data collection process and identifying where each MDS data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item is to be collected. These process maps can then be used to compare how data items are calculated between different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providers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>: The format, in which the data is presented, is currently being reviewed. This is to help incorporate a number of new sites into the statistical release as new sites go live.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2. Material Changes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February 2013 – December data</w:t>
      </w:r>
    </w:p>
    <w:p w:rsidR="007605A8" w:rsidRDefault="007605A8" w:rsidP="007605A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7605A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10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January 2013 – November data</w:t>
      </w:r>
    </w:p>
    <w:p w:rsidR="005B0CE2" w:rsidRDefault="005B0CE2" w:rsidP="005B0CE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5B0CE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Cumbria and Lancashire, Greater Manchester and Cheshire and Mersey have stopped submitting data – the same area is now covered by the new sites North West and Blackpool. This change is due to a handover of contracts from NHS Direct to the North West Ambulance Service and FCMS.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DD2C4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December 2013 </w:t>
      </w:r>
      <w:proofErr w:type="gramStart"/>
      <w:r w:rsidRPr="00DD2C49">
        <w:rPr>
          <w:rFonts w:ascii="Arial" w:hAnsi="Arial" w:cs="Arial"/>
          <w:bCs/>
          <w:color w:val="000000"/>
          <w:sz w:val="24"/>
          <w:szCs w:val="24"/>
        </w:rPr>
        <w:t>-  October</w:t>
      </w:r>
      <w:proofErr w:type="gramEnd"/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DD2C49" w:rsidRPr="00DD2C49" w:rsidRDefault="00DD2C49" w:rsidP="00DD2C49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calls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color w:val="000000"/>
          <w:sz w:val="24"/>
          <w:szCs w:val="24"/>
        </w:rPr>
        <w:t>Some areas are unable to provide accurate “calls not triaged: other” because of a discrepancy between calls answered and</w:t>
      </w:r>
    </w:p>
    <w:p w:rsidR="00975FA8" w:rsidRDefault="00AB4B37" w:rsidP="00AB4B37">
      <w:pPr>
        <w:ind w:left="0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number of calls being reported for. Any minus figures have been replaced with a 0 in this field.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lastRenderedPageBreak/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has now become available for Herts and GY&amp;W.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S&amp;M have had problems providing a full set of data, Caller Not Triaged data cannot be accurately reported at this time.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problem</w:t>
      </w:r>
      <w:proofErr w:type="gramEnd"/>
      <w:r>
        <w:rPr>
          <w:rFonts w:ascii="Helvetica" w:hAnsi="Helvetica" w:cs="Helvetica"/>
          <w:sz w:val="24"/>
          <w:szCs w:val="24"/>
        </w:rPr>
        <w:t xml:space="preserve">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spacing w:after="20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INWL Revised data for their total call backs to accurately reflect calls transferred.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The most recent patient satisfaction survey results are now available for April – October 2012.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Derby revised their calls offered to account for missing calls in the ‘abandoned in under 30 </w:t>
      </w:r>
      <w:proofErr w:type="gramStart"/>
      <w:r w:rsidRPr="00AB4B37">
        <w:rPr>
          <w:rFonts w:ascii="Helvetica" w:hAnsi="Helvetica" w:cs="Helvetica"/>
          <w:sz w:val="24"/>
          <w:szCs w:val="24"/>
        </w:rPr>
        <w:t>seconds</w:t>
      </w:r>
      <w:proofErr w:type="gramEnd"/>
      <w:r w:rsidRPr="00AB4B37">
        <w:rPr>
          <w:rFonts w:ascii="Helvetica" w:hAnsi="Helvetica" w:cs="Helvetica"/>
          <w:sz w:val="24"/>
          <w:szCs w:val="24"/>
        </w:rPr>
        <w:t xml:space="preserve">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lastRenderedPageBreak/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 Reasons not triaged, we have amended the figures in “reason for non-triage: other” to a balancing figure to ensure all</w:t>
      </w:r>
    </w:p>
    <w:p w:rsidR="00AB4B37" w:rsidRDefault="00AB4B37" w:rsidP="00AB4B37">
      <w:pPr>
        <w:autoSpaceDE w:val="0"/>
        <w:autoSpaceDN w:val="0"/>
        <w:adjustRightInd w:val="0"/>
        <w:ind w:left="67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answered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calls are accounted for. Previously there were missing calls, which were not recorded in the MDS submission.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INWL revised call volume data for August 2012, giving a more accurate account of calls offered.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From September, ‘Calls not triaged: other reason’ is now a balancing figure to ensure all answered calls are accounted for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AB4B37">
        <w:rPr>
          <w:rFonts w:ascii="Helvetica" w:hAnsi="Helvetica" w:cs="Helvetica"/>
          <w:sz w:val="24"/>
          <w:szCs w:val="24"/>
        </w:rPr>
        <w:t>in</w:t>
      </w:r>
      <w:r>
        <w:rPr>
          <w:rFonts w:ascii="Helvetica" w:hAnsi="Helvetica" w:cs="Helvetica"/>
          <w:sz w:val="24"/>
          <w:szCs w:val="24"/>
        </w:rPr>
        <w:t xml:space="preserve"> t</w:t>
      </w:r>
      <w:r w:rsidRPr="00AB4B37">
        <w:rPr>
          <w:rFonts w:ascii="Helvetica" w:hAnsi="Helvetica" w:cs="Helvetica"/>
          <w:sz w:val="24"/>
          <w:szCs w:val="24"/>
        </w:rPr>
        <w:t>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817A7B" w:rsidRPr="00817A7B" w:rsidRDefault="00AB4B37" w:rsidP="00817A7B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Systems impact data and patient satisfaction survey results have now become available for Derbyshire. This is the first</w:t>
      </w:r>
    </w:p>
    <w:p w:rsidR="00AB4B37" w:rsidRPr="00817A7B" w:rsidRDefault="00AB4B37" w:rsidP="00817A7B">
      <w:pPr>
        <w:spacing w:line="276" w:lineRule="auto"/>
        <w:ind w:firstLine="424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month</w:t>
      </w:r>
      <w:proofErr w:type="gramEnd"/>
      <w:r>
        <w:rPr>
          <w:rFonts w:ascii="Helvetica" w:hAnsi="Helvetica" w:cs="Helvetica"/>
          <w:sz w:val="24"/>
          <w:szCs w:val="24"/>
        </w:rPr>
        <w:t xml:space="preserve"> Derbyshire have been able to provide a full set of data, including answered with 60 seconds.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As detailed last month, we have had to use estimated figures for CDD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July. This problem has now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resolved. (</w:t>
      </w:r>
      <w:proofErr w:type="gramStart"/>
      <w:r w:rsidRPr="00817A7B">
        <w:rPr>
          <w:rFonts w:ascii="Helvetica" w:hAnsi="Helvetica" w:cs="Helvetica"/>
          <w:sz w:val="24"/>
          <w:szCs w:val="24"/>
        </w:rPr>
        <w:t>see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below for more details).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have revised the disposition break down of triaged calls, from January 2012 – June 2012. This was due to</w:t>
      </w:r>
      <w:r w:rsidR="00817A7B">
        <w:rPr>
          <w:rFonts w:ascii="Helvetica" w:hAnsi="Helvetica" w:cs="Helvetica"/>
          <w:sz w:val="24"/>
          <w:szCs w:val="24"/>
        </w:rPr>
        <w:t xml:space="preserve"> a </w:t>
      </w:r>
      <w:r w:rsidRPr="00817A7B">
        <w:rPr>
          <w:rFonts w:ascii="Helvetica" w:hAnsi="Helvetica" w:cs="Helvetica"/>
          <w:sz w:val="24"/>
          <w:szCs w:val="24"/>
        </w:rPr>
        <w:t>miscalculation.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We have had to use estimated figures for CDD for part of the month.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July, Cable and Wireless could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not remove phantom calls from </w:t>
      </w:r>
      <w:proofErr w:type="gramStart"/>
      <w:r w:rsidRPr="00817A7B">
        <w:rPr>
          <w:rFonts w:ascii="Helvetica" w:hAnsi="Helvetica" w:cs="Helvetica"/>
          <w:sz w:val="24"/>
          <w:szCs w:val="24"/>
        </w:rPr>
        <w:t>CDD,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this meant that call volume looked to have doubled. Using estimated figures has given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-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lastRenderedPageBreak/>
        <w:t></w:t>
      </w: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discovered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proofErr w:type="gramStart"/>
      <w:r w:rsidRPr="00817A7B">
        <w:rPr>
          <w:rFonts w:ascii="Helvetica" w:hAnsi="Helvetica" w:cs="Helvetica"/>
          <w:sz w:val="24"/>
          <w:szCs w:val="24"/>
        </w:rPr>
        <w:t>we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revised data for County Durham and Darlington. The ‘Average episode length’ figures for Dec –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817A7B">
        <w:rPr>
          <w:rFonts w:ascii="Helvetica" w:hAnsi="Helvetica" w:cs="Helvetica"/>
          <w:sz w:val="24"/>
          <w:szCs w:val="24"/>
        </w:rPr>
        <w:t>Providers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added to show the actual A&amp;E attendance and ambulance incident figures. The actual </w:t>
      </w:r>
      <w:proofErr w:type="gramStart"/>
      <w:r w:rsidRPr="00817A7B">
        <w:rPr>
          <w:rFonts w:ascii="Helvetica" w:hAnsi="Helvetica" w:cs="Helvetica"/>
          <w:sz w:val="24"/>
          <w:szCs w:val="24"/>
        </w:rPr>
        <w:t>number of NHS111 referrals for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relevant month are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lastRenderedPageBreak/>
        <w:t></w:t>
      </w: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NHS111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E265CE">
        <w:rPr>
          <w:rFonts w:ascii="Helvetica" w:hAnsi="Helvetica" w:cs="Helvetica"/>
          <w:sz w:val="16"/>
          <w:szCs w:val="16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E265CE" w:rsidP="00E265CE">
      <w:pPr>
        <w:autoSpaceDE w:val="0"/>
        <w:autoSpaceDN w:val="0"/>
        <w:adjustRightInd w:val="0"/>
        <w:ind w:hanging="6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Observatory were providing this data but now it is being provided by Nottingham City PCT. We have been working with analysts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proofErr w:type="gramStart"/>
      <w:r w:rsidRPr="00E265CE">
        <w:rPr>
          <w:rFonts w:ascii="Helvetica" w:hAnsi="Helvetica" w:cs="Helvetica"/>
          <w:sz w:val="24"/>
          <w:szCs w:val="24"/>
        </w:rPr>
        <w:t>publication,</w:t>
      </w:r>
      <w:proofErr w:type="gramEnd"/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NHS111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 xml:space="preserve">GPOOH data from Luton has been split out so we can report on the UCC and </w:t>
      </w:r>
      <w:proofErr w:type="spellStart"/>
      <w:r w:rsidRPr="00E265CE">
        <w:rPr>
          <w:rFonts w:ascii="Helvetica" w:hAnsi="Helvetica" w:cs="Helvetica"/>
          <w:sz w:val="24"/>
          <w:szCs w:val="24"/>
        </w:rPr>
        <w:t>WiC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Symbol" w:hAnsi="Symbol" w:cs="Symbol"/>
          <w:color w:val="000000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color w:val="000000"/>
          <w:sz w:val="24"/>
          <w:szCs w:val="24"/>
        </w:rPr>
        <w:t>The breakdown of call handling time by clinical and call handling staff has now been included for County Durham and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Darlington.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enquiries contact: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Office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460C5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Stuart Knight / </w:t>
      </w:r>
      <w:r w:rsidR="00BE516A">
        <w:rPr>
          <w:rFonts w:ascii="Helvetica" w:hAnsi="Helvetica" w:cs="Helvetica"/>
          <w:color w:val="000000"/>
          <w:sz w:val="24"/>
          <w:szCs w:val="24"/>
        </w:rPr>
        <w:t>David Dai</w:t>
      </w:r>
    </w:p>
    <w:p w:rsidR="00272DF2" w:rsidRDefault="00272DF2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 Operations – Analytical Services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Quarry House</w:t>
      </w:r>
    </w:p>
    <w:p w:rsidR="00975FA8" w:rsidRPr="00460C5D" w:rsidRDefault="00AB4B37" w:rsidP="00460C5D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 w:rsidR="00460C5D">
        <w:rPr>
          <w:rFonts w:ascii="Helvetica" w:hAnsi="Helvetica" w:cs="Helvetica"/>
          <w:color w:val="0000FF"/>
          <w:sz w:val="24"/>
          <w:szCs w:val="24"/>
        </w:rPr>
        <w:t>Unify2@dh.gsi.gov.uk</w:t>
      </w:r>
    </w:p>
    <w:sectPr w:rsidR="00975FA8" w:rsidRPr="00460C5D" w:rsidSect="00975F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1B08FE"/>
    <w:rsid w:val="001E0595"/>
    <w:rsid w:val="00252466"/>
    <w:rsid w:val="00272DF2"/>
    <w:rsid w:val="002B0BFF"/>
    <w:rsid w:val="003B5F4F"/>
    <w:rsid w:val="003B75AF"/>
    <w:rsid w:val="003D6E4A"/>
    <w:rsid w:val="00460C5D"/>
    <w:rsid w:val="004A0EDF"/>
    <w:rsid w:val="00577AC8"/>
    <w:rsid w:val="005B0CE2"/>
    <w:rsid w:val="00617551"/>
    <w:rsid w:val="00650592"/>
    <w:rsid w:val="007605A8"/>
    <w:rsid w:val="007F1156"/>
    <w:rsid w:val="00817A7B"/>
    <w:rsid w:val="00846CDB"/>
    <w:rsid w:val="00975FA8"/>
    <w:rsid w:val="00A52EA5"/>
    <w:rsid w:val="00AB4B37"/>
    <w:rsid w:val="00AC3865"/>
    <w:rsid w:val="00AF2A04"/>
    <w:rsid w:val="00BE516A"/>
    <w:rsid w:val="00D862D9"/>
    <w:rsid w:val="00DD2C49"/>
    <w:rsid w:val="00E265CE"/>
    <w:rsid w:val="00E60203"/>
    <w:rsid w:val="00F4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9E43-33D0-4EA0-AB45-BA315CD6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Dai, David</cp:lastModifiedBy>
  <cp:revision>4</cp:revision>
  <dcterms:created xsi:type="dcterms:W3CDTF">2014-02-07T08:57:00Z</dcterms:created>
  <dcterms:modified xsi:type="dcterms:W3CDTF">2014-02-07T13:36:00Z</dcterms:modified>
</cp:coreProperties>
</file>