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3F" w:rsidRPr="00BC435A" w:rsidRDefault="0028035E" w:rsidP="00C3443F">
      <w:pPr>
        <w:jc w:val="center"/>
        <w:rPr>
          <w:rFonts w:ascii="Arial" w:hAnsi="Arial" w:cs="Arial"/>
          <w:b/>
        </w:rPr>
      </w:pPr>
      <w:bookmarkStart w:id="0" w:name="_GoBack"/>
      <w:bookmarkEnd w:id="0"/>
      <w:r>
        <w:rPr>
          <w:rFonts w:ascii="Arial" w:hAnsi="Arial" w:cs="Arial"/>
          <w:b/>
        </w:rPr>
        <w:t>Statistical Note</w:t>
      </w:r>
    </w:p>
    <w:p w:rsidR="00C3443F" w:rsidRPr="00BC435A" w:rsidRDefault="0028035E" w:rsidP="00C3443F">
      <w:pPr>
        <w:jc w:val="center"/>
        <w:rPr>
          <w:rFonts w:ascii="Arial" w:hAnsi="Arial" w:cs="Arial"/>
          <w:b/>
        </w:rPr>
      </w:pPr>
      <w:r w:rsidRPr="00BC435A">
        <w:rPr>
          <w:rFonts w:ascii="Arial" w:hAnsi="Arial" w:cs="Arial"/>
          <w:b/>
        </w:rPr>
        <w:t>Ambul</w:t>
      </w:r>
      <w:r>
        <w:rPr>
          <w:rFonts w:ascii="Arial" w:hAnsi="Arial" w:cs="Arial"/>
          <w:b/>
        </w:rPr>
        <w:t xml:space="preserve">ance Systems Indicators up to </w:t>
      </w:r>
      <w:r w:rsidR="00A575B0">
        <w:rPr>
          <w:rFonts w:ascii="Arial" w:hAnsi="Arial" w:cs="Arial"/>
          <w:b/>
        </w:rPr>
        <w:t>31</w:t>
      </w:r>
      <w:r>
        <w:rPr>
          <w:rFonts w:ascii="Arial" w:hAnsi="Arial" w:cs="Arial"/>
          <w:b/>
        </w:rPr>
        <w:t xml:space="preserve"> </w:t>
      </w:r>
      <w:r w:rsidR="00A575B0">
        <w:rPr>
          <w:rFonts w:ascii="Arial" w:hAnsi="Arial" w:cs="Arial"/>
          <w:b/>
        </w:rPr>
        <w:t>May</w:t>
      </w:r>
      <w:r>
        <w:rPr>
          <w:rFonts w:ascii="Arial" w:hAnsi="Arial" w:cs="Arial"/>
          <w:b/>
        </w:rPr>
        <w:t xml:space="preserve"> </w:t>
      </w:r>
      <w:r w:rsidRPr="00862969">
        <w:rPr>
          <w:rFonts w:ascii="Arial" w:hAnsi="Arial" w:cs="Arial"/>
          <w:b/>
        </w:rPr>
        <w:t>2014</w:t>
      </w:r>
      <w:r>
        <w:rPr>
          <w:rFonts w:ascii="Arial" w:hAnsi="Arial" w:cs="Arial"/>
          <w:b/>
        </w:rPr>
        <w:t xml:space="preserve"> </w:t>
      </w:r>
      <w:r w:rsidRPr="00BC435A">
        <w:rPr>
          <w:rFonts w:ascii="Arial" w:hAnsi="Arial" w:cs="Arial"/>
          <w:b/>
        </w:rPr>
        <w:t>and</w:t>
      </w:r>
    </w:p>
    <w:p w:rsidR="00297264" w:rsidRDefault="0028035E" w:rsidP="00C3443F">
      <w:pPr>
        <w:jc w:val="center"/>
        <w:rPr>
          <w:rFonts w:ascii="Arial" w:hAnsi="Arial" w:cs="Arial"/>
          <w:b/>
        </w:rPr>
      </w:pPr>
      <w:r w:rsidRPr="00BC435A">
        <w:rPr>
          <w:rFonts w:ascii="Arial" w:hAnsi="Arial" w:cs="Arial"/>
          <w:b/>
        </w:rPr>
        <w:t>Ambul</w:t>
      </w:r>
      <w:r>
        <w:rPr>
          <w:rFonts w:ascii="Arial" w:hAnsi="Arial" w:cs="Arial"/>
          <w:b/>
        </w:rPr>
        <w:t xml:space="preserve">ance Clinical Outcomes up to </w:t>
      </w:r>
      <w:r w:rsidR="00A575B0">
        <w:rPr>
          <w:rFonts w:ascii="Arial" w:hAnsi="Arial" w:cs="Arial"/>
          <w:b/>
        </w:rPr>
        <w:t xml:space="preserve">28 February </w:t>
      </w:r>
      <w:r>
        <w:rPr>
          <w:rFonts w:ascii="Arial" w:hAnsi="Arial" w:cs="Arial"/>
          <w:b/>
        </w:rPr>
        <w:t>2014</w:t>
      </w:r>
      <w:r w:rsidRPr="00BC435A">
        <w:rPr>
          <w:rFonts w:ascii="Arial" w:hAnsi="Arial" w:cs="Arial"/>
          <w:b/>
        </w:rPr>
        <w:t xml:space="preserve"> </w:t>
      </w:r>
    </w:p>
    <w:p w:rsidR="00F63C46" w:rsidRDefault="00F63C46" w:rsidP="00C3443F">
      <w:pPr>
        <w:jc w:val="center"/>
        <w:rPr>
          <w:rFonts w:ascii="Arial" w:hAnsi="Arial" w:cs="Arial"/>
          <w:b/>
        </w:rPr>
      </w:pPr>
    </w:p>
    <w:p w:rsidR="00C3443F" w:rsidRPr="00127FD0" w:rsidRDefault="00C3443F" w:rsidP="00C3443F">
      <w:pPr>
        <w:rPr>
          <w:rFonts w:ascii="Arial" w:hAnsi="Arial" w:cs="Arial"/>
          <w:b/>
        </w:rPr>
      </w:pPr>
      <w:r w:rsidRPr="00151AF2">
        <w:rPr>
          <w:rFonts w:ascii="Arial" w:hAnsi="Arial" w:cs="Arial"/>
          <w:b/>
        </w:rPr>
        <w:t xml:space="preserve">Main findings </w:t>
      </w:r>
      <w:r w:rsidR="004C377A" w:rsidRPr="00151AF2">
        <w:rPr>
          <w:rFonts w:ascii="Arial" w:hAnsi="Arial" w:cs="Arial"/>
          <w:b/>
        </w:rPr>
        <w:t>–</w:t>
      </w:r>
      <w:r w:rsidRPr="00151AF2">
        <w:rPr>
          <w:rFonts w:ascii="Arial" w:hAnsi="Arial" w:cs="Arial"/>
          <w:b/>
        </w:rPr>
        <w:t xml:space="preserve"> </w:t>
      </w:r>
      <w:r w:rsidR="004C377A" w:rsidRPr="00151AF2">
        <w:rPr>
          <w:rFonts w:ascii="Arial" w:hAnsi="Arial" w:cs="Arial"/>
          <w:b/>
        </w:rPr>
        <w:t>A</w:t>
      </w:r>
      <w:r w:rsidRPr="00151AF2">
        <w:rPr>
          <w:rFonts w:ascii="Arial" w:hAnsi="Arial" w:cs="Arial"/>
          <w:b/>
        </w:rPr>
        <w:t xml:space="preserve">mbulance Systems </w:t>
      </w:r>
      <w:r w:rsidRPr="00127FD0">
        <w:rPr>
          <w:rFonts w:ascii="Arial" w:hAnsi="Arial" w:cs="Arial"/>
          <w:b/>
        </w:rPr>
        <w:t xml:space="preserve">Indicators </w:t>
      </w:r>
      <w:r w:rsidR="00A575B0">
        <w:rPr>
          <w:rFonts w:ascii="Arial" w:hAnsi="Arial" w:cs="Arial"/>
          <w:b/>
        </w:rPr>
        <w:t xml:space="preserve">May </w:t>
      </w:r>
      <w:r w:rsidR="00862969" w:rsidRPr="00127FD0">
        <w:rPr>
          <w:rFonts w:ascii="Arial" w:hAnsi="Arial" w:cs="Arial"/>
          <w:b/>
        </w:rPr>
        <w:t>2014</w:t>
      </w:r>
    </w:p>
    <w:p w:rsidR="00C3443F" w:rsidRPr="00127FD0" w:rsidRDefault="00C3443F" w:rsidP="00C3443F">
      <w:pPr>
        <w:rPr>
          <w:rFonts w:ascii="Arial" w:hAnsi="Arial" w:cs="Arial"/>
          <w:b/>
        </w:rPr>
      </w:pPr>
    </w:p>
    <w:p w:rsidR="00436A36" w:rsidRDefault="004C377A" w:rsidP="00A575B0">
      <w:pPr>
        <w:pStyle w:val="ListParagraph"/>
        <w:numPr>
          <w:ilvl w:val="1"/>
          <w:numId w:val="5"/>
        </w:numPr>
        <w:ind w:left="360"/>
        <w:rPr>
          <w:rFonts w:ascii="Arial" w:hAnsi="Arial" w:cs="Arial"/>
        </w:rPr>
      </w:pPr>
      <w:r w:rsidRPr="00A575B0">
        <w:rPr>
          <w:rFonts w:ascii="Arial" w:hAnsi="Arial" w:cs="Arial"/>
        </w:rPr>
        <w:t xml:space="preserve">The proportion of </w:t>
      </w:r>
      <w:r w:rsidRPr="00A575B0">
        <w:rPr>
          <w:rFonts w:ascii="Arial" w:hAnsi="Arial" w:cs="Arial"/>
          <w:b/>
        </w:rPr>
        <w:t xml:space="preserve">Category </w:t>
      </w:r>
      <w:proofErr w:type="gramStart"/>
      <w:r w:rsidRPr="00A575B0">
        <w:rPr>
          <w:rFonts w:ascii="Arial" w:hAnsi="Arial" w:cs="Arial"/>
          <w:b/>
        </w:rPr>
        <w:t>A</w:t>
      </w:r>
      <w:proofErr w:type="gramEnd"/>
      <w:r w:rsidRPr="00A575B0">
        <w:rPr>
          <w:rFonts w:ascii="Arial" w:hAnsi="Arial" w:cs="Arial"/>
          <w:b/>
        </w:rPr>
        <w:t xml:space="preserve"> (Red 1</w:t>
      </w:r>
      <w:r w:rsidR="0090527D" w:rsidRPr="00127FD0">
        <w:rPr>
          <w:rStyle w:val="FootnoteReference"/>
          <w:rFonts w:ascii="Arial" w:hAnsi="Arial" w:cs="Arial"/>
          <w:b/>
        </w:rPr>
        <w:footnoteReference w:id="1"/>
      </w:r>
      <w:r w:rsidRPr="00A575B0">
        <w:rPr>
          <w:rFonts w:ascii="Arial" w:hAnsi="Arial" w:cs="Arial"/>
          <w:b/>
        </w:rPr>
        <w:t>)</w:t>
      </w:r>
      <w:r w:rsidRPr="00A575B0">
        <w:rPr>
          <w:rFonts w:ascii="Arial" w:hAnsi="Arial" w:cs="Arial"/>
        </w:rPr>
        <w:t xml:space="preserve"> calls resulting in an emergency response arriving within 8 minutes was </w:t>
      </w:r>
      <w:r w:rsidRPr="00A575B0">
        <w:rPr>
          <w:rFonts w:ascii="Arial" w:hAnsi="Arial" w:cs="Arial"/>
          <w:b/>
        </w:rPr>
        <w:t>7</w:t>
      </w:r>
      <w:r w:rsidR="00A575B0" w:rsidRPr="00A575B0">
        <w:rPr>
          <w:rFonts w:ascii="Arial" w:hAnsi="Arial" w:cs="Arial"/>
          <w:b/>
        </w:rPr>
        <w:t>3</w:t>
      </w:r>
      <w:r w:rsidRPr="00A575B0">
        <w:rPr>
          <w:rFonts w:ascii="Arial" w:hAnsi="Arial" w:cs="Arial"/>
          <w:b/>
        </w:rPr>
        <w:t>.</w:t>
      </w:r>
      <w:r w:rsidR="00A575B0" w:rsidRPr="00A575B0">
        <w:rPr>
          <w:rFonts w:ascii="Arial" w:hAnsi="Arial" w:cs="Arial"/>
          <w:b/>
        </w:rPr>
        <w:t>3</w:t>
      </w:r>
      <w:r w:rsidRPr="00A575B0">
        <w:rPr>
          <w:rFonts w:ascii="Arial" w:hAnsi="Arial" w:cs="Arial"/>
        </w:rPr>
        <w:t xml:space="preserve">% nationally, </w:t>
      </w:r>
      <w:r w:rsidR="00436A36" w:rsidRPr="0053124D">
        <w:rPr>
          <w:rFonts w:ascii="Arial" w:hAnsi="Arial" w:cs="Arial"/>
        </w:rPr>
        <w:t xml:space="preserve">less </w:t>
      </w:r>
      <w:r w:rsidR="00A575B0" w:rsidRPr="00A575B0">
        <w:rPr>
          <w:rFonts w:ascii="Arial" w:hAnsi="Arial" w:cs="Arial"/>
        </w:rPr>
        <w:t>t</w:t>
      </w:r>
      <w:r w:rsidRPr="00A575B0">
        <w:rPr>
          <w:rFonts w:ascii="Arial" w:hAnsi="Arial" w:cs="Arial"/>
        </w:rPr>
        <w:t>han the expected standard of 75%</w:t>
      </w:r>
      <w:r w:rsidR="00A575B0" w:rsidRPr="00A575B0">
        <w:rPr>
          <w:rFonts w:ascii="Arial" w:hAnsi="Arial" w:cs="Arial"/>
        </w:rPr>
        <w:t xml:space="preserve">. </w:t>
      </w:r>
      <w:r w:rsidR="00A575B0">
        <w:rPr>
          <w:rFonts w:ascii="Arial" w:hAnsi="Arial" w:cs="Arial"/>
        </w:rPr>
        <w:t>It</w:t>
      </w:r>
      <w:r w:rsidR="00A575B0" w:rsidRPr="00A575B0">
        <w:rPr>
          <w:rFonts w:ascii="Arial" w:hAnsi="Arial" w:cs="Arial"/>
        </w:rPr>
        <w:t xml:space="preserve"> was the first time since December 2013 that the Red 1 standard has been missed.</w:t>
      </w:r>
    </w:p>
    <w:p w:rsidR="00436A36" w:rsidRPr="00436A36" w:rsidRDefault="00436A36" w:rsidP="00436A36">
      <w:pPr>
        <w:rPr>
          <w:rFonts w:ascii="Arial" w:hAnsi="Arial" w:cs="Arial"/>
        </w:rPr>
      </w:pPr>
    </w:p>
    <w:p w:rsidR="00A575B0" w:rsidRPr="00A575B0" w:rsidRDefault="00A575B0" w:rsidP="00A575B0">
      <w:pPr>
        <w:pStyle w:val="ListParagraph"/>
        <w:numPr>
          <w:ilvl w:val="1"/>
          <w:numId w:val="5"/>
        </w:numPr>
        <w:ind w:left="360"/>
        <w:rPr>
          <w:rFonts w:ascii="Arial" w:hAnsi="Arial" w:cs="Arial"/>
        </w:rPr>
      </w:pPr>
      <w:r w:rsidRPr="00A575B0">
        <w:rPr>
          <w:rFonts w:ascii="Arial" w:hAnsi="Arial" w:cs="Arial"/>
        </w:rPr>
        <w:t>Six of the eleven ambulance trusts (North West, Yorkshire, East Midlands, East of England, London, and South East Coast) did not achieve the 75% standard.</w:t>
      </w:r>
    </w:p>
    <w:p w:rsidR="007700CE" w:rsidRPr="00127FD0" w:rsidRDefault="007700CE" w:rsidP="007700CE">
      <w:pPr>
        <w:ind w:left="720"/>
        <w:rPr>
          <w:rFonts w:ascii="Arial" w:hAnsi="Arial" w:cs="Arial"/>
        </w:rPr>
      </w:pPr>
    </w:p>
    <w:p w:rsidR="00436A36" w:rsidRPr="00436A36" w:rsidRDefault="004C377A" w:rsidP="009A4919">
      <w:pPr>
        <w:pStyle w:val="ListParagraph"/>
        <w:numPr>
          <w:ilvl w:val="1"/>
          <w:numId w:val="5"/>
        </w:numPr>
        <w:ind w:left="360"/>
        <w:rPr>
          <w:rFonts w:ascii="Arial" w:hAnsi="Arial" w:cs="Arial"/>
          <w:b/>
          <w:bCs/>
        </w:rPr>
      </w:pPr>
      <w:r w:rsidRPr="0053124D">
        <w:rPr>
          <w:rFonts w:ascii="Arial" w:hAnsi="Arial" w:cs="Arial"/>
        </w:rPr>
        <w:t xml:space="preserve">The proportion of </w:t>
      </w:r>
      <w:r w:rsidRPr="0053124D">
        <w:rPr>
          <w:rFonts w:ascii="Arial" w:hAnsi="Arial" w:cs="Arial"/>
          <w:b/>
        </w:rPr>
        <w:t xml:space="preserve">Category </w:t>
      </w:r>
      <w:proofErr w:type="gramStart"/>
      <w:r w:rsidRPr="0053124D">
        <w:rPr>
          <w:rFonts w:ascii="Arial" w:hAnsi="Arial" w:cs="Arial"/>
          <w:b/>
        </w:rPr>
        <w:t>A</w:t>
      </w:r>
      <w:proofErr w:type="gramEnd"/>
      <w:r w:rsidRPr="0053124D">
        <w:rPr>
          <w:rFonts w:ascii="Arial" w:hAnsi="Arial" w:cs="Arial"/>
          <w:b/>
        </w:rPr>
        <w:t xml:space="preserve"> (Red 2)</w:t>
      </w:r>
      <w:r w:rsidRPr="0053124D">
        <w:rPr>
          <w:rFonts w:ascii="Arial" w:hAnsi="Arial" w:cs="Arial"/>
        </w:rPr>
        <w:t xml:space="preserve"> calls resulting in an emergency response arriving within 8 minutes was </w:t>
      </w:r>
      <w:r w:rsidRPr="0053124D">
        <w:rPr>
          <w:rFonts w:ascii="Arial" w:hAnsi="Arial" w:cs="Arial"/>
          <w:b/>
        </w:rPr>
        <w:t>7</w:t>
      </w:r>
      <w:r w:rsidR="009A4919">
        <w:rPr>
          <w:rFonts w:ascii="Arial" w:hAnsi="Arial" w:cs="Arial"/>
          <w:b/>
        </w:rPr>
        <w:t>2</w:t>
      </w:r>
      <w:r w:rsidR="00F63C46">
        <w:rPr>
          <w:rFonts w:ascii="Arial" w:hAnsi="Arial" w:cs="Arial"/>
          <w:b/>
        </w:rPr>
        <w:t>.</w:t>
      </w:r>
      <w:r w:rsidR="009A4919">
        <w:rPr>
          <w:rFonts w:ascii="Arial" w:hAnsi="Arial" w:cs="Arial"/>
          <w:b/>
        </w:rPr>
        <w:t>5</w:t>
      </w:r>
      <w:r w:rsidRPr="0053124D">
        <w:rPr>
          <w:rFonts w:ascii="Arial" w:hAnsi="Arial" w:cs="Arial"/>
        </w:rPr>
        <w:t>% nationally, less than the</w:t>
      </w:r>
      <w:r w:rsidR="00C521D4">
        <w:rPr>
          <w:rFonts w:ascii="Arial" w:hAnsi="Arial" w:cs="Arial"/>
        </w:rPr>
        <w:t xml:space="preserve"> expected standard of 75%.</w:t>
      </w:r>
    </w:p>
    <w:p w:rsidR="00436A36" w:rsidRPr="00436A36" w:rsidRDefault="00436A36" w:rsidP="00436A36">
      <w:pPr>
        <w:rPr>
          <w:rFonts w:ascii="Arial" w:hAnsi="Arial" w:cs="Arial"/>
          <w:b/>
          <w:bCs/>
        </w:rPr>
      </w:pPr>
    </w:p>
    <w:p w:rsidR="009A4919" w:rsidRPr="009A4919" w:rsidRDefault="009A4919" w:rsidP="009A4919">
      <w:pPr>
        <w:pStyle w:val="ListParagraph"/>
        <w:numPr>
          <w:ilvl w:val="1"/>
          <w:numId w:val="5"/>
        </w:numPr>
        <w:ind w:left="360"/>
        <w:rPr>
          <w:rFonts w:ascii="Arial" w:hAnsi="Arial" w:cs="Arial"/>
          <w:b/>
          <w:bCs/>
        </w:rPr>
      </w:pPr>
      <w:r w:rsidRPr="009A4919">
        <w:rPr>
          <w:rFonts w:ascii="Arial" w:hAnsi="Arial" w:cs="Arial"/>
        </w:rPr>
        <w:t>Only four Trusts achieved the 75% standard; North East, West Midlands, Isle of Wight and South Western.</w:t>
      </w:r>
    </w:p>
    <w:p w:rsidR="00A56831" w:rsidRPr="00127FD0" w:rsidRDefault="00A56831" w:rsidP="00A56831">
      <w:pPr>
        <w:pStyle w:val="ListParagraph"/>
        <w:rPr>
          <w:rFonts w:ascii="Arial" w:hAnsi="Arial" w:cs="Arial"/>
        </w:rPr>
      </w:pPr>
    </w:p>
    <w:p w:rsidR="00436A36" w:rsidRDefault="00BE7849" w:rsidP="003A63FB">
      <w:pPr>
        <w:pStyle w:val="ListParagraph"/>
        <w:numPr>
          <w:ilvl w:val="1"/>
          <w:numId w:val="5"/>
        </w:numPr>
        <w:ind w:left="360"/>
        <w:rPr>
          <w:rFonts w:ascii="Arial" w:hAnsi="Arial" w:cs="Arial"/>
        </w:rPr>
      </w:pPr>
      <w:r w:rsidRPr="003A63FB">
        <w:rPr>
          <w:rFonts w:ascii="Arial" w:hAnsi="Arial" w:cs="Arial"/>
        </w:rPr>
        <w:t xml:space="preserve">The national 19 minute response time performance for Category A calls this month of </w:t>
      </w:r>
      <w:r w:rsidRPr="003A63FB">
        <w:rPr>
          <w:rFonts w:ascii="Arial" w:hAnsi="Arial" w:cs="Arial"/>
          <w:b/>
        </w:rPr>
        <w:t>9</w:t>
      </w:r>
      <w:r w:rsidR="00C521D4" w:rsidRPr="003A63FB">
        <w:rPr>
          <w:rFonts w:ascii="Arial" w:hAnsi="Arial" w:cs="Arial"/>
          <w:b/>
        </w:rPr>
        <w:t>5</w:t>
      </w:r>
      <w:r w:rsidR="005F2095" w:rsidRPr="003A63FB">
        <w:rPr>
          <w:rFonts w:ascii="Arial" w:hAnsi="Arial" w:cs="Arial"/>
          <w:b/>
        </w:rPr>
        <w:t>.</w:t>
      </w:r>
      <w:r w:rsidR="003A63FB" w:rsidRPr="003A63FB">
        <w:rPr>
          <w:rFonts w:ascii="Arial" w:hAnsi="Arial" w:cs="Arial"/>
          <w:b/>
        </w:rPr>
        <w:t>3</w:t>
      </w:r>
      <w:r w:rsidRPr="003A63FB">
        <w:rPr>
          <w:rFonts w:ascii="Arial" w:hAnsi="Arial" w:cs="Arial"/>
          <w:b/>
        </w:rPr>
        <w:t>%</w:t>
      </w:r>
      <w:r w:rsidRPr="003A63FB">
        <w:rPr>
          <w:rFonts w:ascii="Arial" w:hAnsi="Arial" w:cs="Arial"/>
        </w:rPr>
        <w:t xml:space="preserve"> </w:t>
      </w:r>
      <w:r w:rsidR="0047575F" w:rsidRPr="003A63FB">
        <w:rPr>
          <w:rFonts w:ascii="Arial" w:hAnsi="Arial" w:cs="Arial"/>
        </w:rPr>
        <w:t>and so the national standard of 95</w:t>
      </w:r>
      <w:r w:rsidR="005F2095" w:rsidRPr="003A63FB">
        <w:rPr>
          <w:rFonts w:ascii="Arial" w:hAnsi="Arial" w:cs="Arial"/>
        </w:rPr>
        <w:t>% was achieved this month.</w:t>
      </w:r>
    </w:p>
    <w:p w:rsidR="00436A36" w:rsidRPr="00436A36" w:rsidRDefault="00436A36" w:rsidP="00436A36">
      <w:pPr>
        <w:rPr>
          <w:rFonts w:ascii="Arial" w:hAnsi="Arial" w:cs="Arial"/>
        </w:rPr>
      </w:pPr>
    </w:p>
    <w:p w:rsidR="003A63FB" w:rsidRPr="003A63FB" w:rsidRDefault="003A63FB" w:rsidP="003A63FB">
      <w:pPr>
        <w:pStyle w:val="ListParagraph"/>
        <w:numPr>
          <w:ilvl w:val="1"/>
          <w:numId w:val="5"/>
        </w:numPr>
        <w:ind w:left="360"/>
        <w:rPr>
          <w:rFonts w:ascii="Arial" w:hAnsi="Arial" w:cs="Arial"/>
        </w:rPr>
      </w:pPr>
      <w:r w:rsidRPr="003A63FB">
        <w:rPr>
          <w:rFonts w:ascii="Arial" w:hAnsi="Arial" w:cs="Arial"/>
        </w:rPr>
        <w:t>Two Trusts failed to achieve the standard for 95% of patients receiving an ambulance within 19 minutes</w:t>
      </w:r>
      <w:r w:rsidR="00436A36">
        <w:rPr>
          <w:rFonts w:ascii="Arial" w:hAnsi="Arial" w:cs="Arial"/>
        </w:rPr>
        <w:t>;</w:t>
      </w:r>
      <w:r w:rsidR="00436A36" w:rsidRPr="003A63FB">
        <w:rPr>
          <w:rFonts w:ascii="Arial" w:hAnsi="Arial" w:cs="Arial"/>
        </w:rPr>
        <w:t xml:space="preserve"> </w:t>
      </w:r>
      <w:r w:rsidRPr="003A63FB">
        <w:rPr>
          <w:rFonts w:ascii="Arial" w:hAnsi="Arial" w:cs="Arial"/>
        </w:rPr>
        <w:t>East of England, and South East Coast.</w:t>
      </w:r>
    </w:p>
    <w:p w:rsidR="009B72C4" w:rsidRPr="00127FD0" w:rsidRDefault="009B72C4" w:rsidP="00254B9C">
      <w:pPr>
        <w:ind w:left="720"/>
        <w:rPr>
          <w:rFonts w:ascii="Arial" w:hAnsi="Arial" w:cs="Arial"/>
        </w:rPr>
      </w:pPr>
    </w:p>
    <w:p w:rsidR="00BE7849" w:rsidRPr="0053124D" w:rsidRDefault="00BE7849" w:rsidP="0053124D">
      <w:pPr>
        <w:pStyle w:val="ListParagraph"/>
        <w:numPr>
          <w:ilvl w:val="1"/>
          <w:numId w:val="5"/>
        </w:numPr>
        <w:ind w:left="360"/>
        <w:rPr>
          <w:rFonts w:ascii="Arial" w:hAnsi="Arial" w:cs="Arial"/>
          <w:b/>
          <w:bCs/>
        </w:rPr>
      </w:pPr>
      <w:r w:rsidRPr="0053124D">
        <w:rPr>
          <w:rFonts w:ascii="Arial" w:hAnsi="Arial" w:cs="Arial"/>
        </w:rPr>
        <w:t>Th</w:t>
      </w:r>
      <w:r w:rsidR="00F56F7A" w:rsidRPr="0053124D">
        <w:rPr>
          <w:rFonts w:ascii="Arial" w:hAnsi="Arial" w:cs="Arial"/>
        </w:rPr>
        <w:t>e total number of</w:t>
      </w:r>
      <w:r w:rsidR="00E21DD4" w:rsidRPr="0053124D">
        <w:rPr>
          <w:rFonts w:ascii="Arial" w:hAnsi="Arial" w:cs="Arial"/>
          <w:b/>
        </w:rPr>
        <w:t xml:space="preserve"> emergency</w:t>
      </w:r>
      <w:r w:rsidR="00F56F7A" w:rsidRPr="0053124D">
        <w:rPr>
          <w:rFonts w:ascii="Arial" w:hAnsi="Arial" w:cs="Arial"/>
          <w:b/>
        </w:rPr>
        <w:t xml:space="preserve"> calls</w:t>
      </w:r>
      <w:r w:rsidR="00F56F7A" w:rsidRPr="0053124D">
        <w:rPr>
          <w:rFonts w:ascii="Arial" w:hAnsi="Arial" w:cs="Arial"/>
        </w:rPr>
        <w:t xml:space="preserve"> </w:t>
      </w:r>
      <w:r w:rsidR="00E21DD4" w:rsidRPr="0053124D">
        <w:rPr>
          <w:rFonts w:ascii="Arial" w:hAnsi="Arial" w:cs="Arial"/>
        </w:rPr>
        <w:t xml:space="preserve">presented to switchboard </w:t>
      </w:r>
      <w:r w:rsidR="00F56F7A" w:rsidRPr="0053124D">
        <w:rPr>
          <w:rFonts w:ascii="Arial" w:hAnsi="Arial" w:cs="Arial"/>
        </w:rPr>
        <w:t>this month was</w:t>
      </w:r>
      <w:r w:rsidR="00A42A6B" w:rsidRPr="0053124D">
        <w:rPr>
          <w:rFonts w:ascii="Arial" w:hAnsi="Arial" w:cs="Arial"/>
        </w:rPr>
        <w:t xml:space="preserve"> </w:t>
      </w:r>
      <w:r w:rsidR="00747269">
        <w:rPr>
          <w:rFonts w:ascii="Arial" w:hAnsi="Arial" w:cs="Arial"/>
          <w:b/>
        </w:rPr>
        <w:t>74</w:t>
      </w:r>
      <w:r w:rsidR="003A63FB">
        <w:rPr>
          <w:rFonts w:ascii="Arial" w:hAnsi="Arial" w:cs="Arial"/>
          <w:b/>
        </w:rPr>
        <w:t>8</w:t>
      </w:r>
      <w:r w:rsidR="00747269">
        <w:rPr>
          <w:rFonts w:ascii="Arial" w:hAnsi="Arial" w:cs="Arial"/>
          <w:b/>
        </w:rPr>
        <w:t>,</w:t>
      </w:r>
      <w:r w:rsidR="003A63FB">
        <w:rPr>
          <w:rFonts w:ascii="Arial" w:hAnsi="Arial" w:cs="Arial"/>
          <w:b/>
        </w:rPr>
        <w:t>195</w:t>
      </w:r>
      <w:r w:rsidR="008A503B" w:rsidRPr="008A503B">
        <w:rPr>
          <w:rFonts w:ascii="Arial" w:hAnsi="Arial" w:cs="Arial"/>
        </w:rPr>
        <w:t xml:space="preserve">, or 24 thousand </w:t>
      </w:r>
      <w:r w:rsidR="008A503B">
        <w:rPr>
          <w:rFonts w:ascii="Arial" w:hAnsi="Arial" w:cs="Arial"/>
        </w:rPr>
        <w:t xml:space="preserve">per </w:t>
      </w:r>
      <w:r w:rsidR="008A503B" w:rsidRPr="008A503B">
        <w:rPr>
          <w:rFonts w:ascii="Arial" w:hAnsi="Arial" w:cs="Arial"/>
        </w:rPr>
        <w:t>day</w:t>
      </w:r>
      <w:r w:rsidR="00E21DD4" w:rsidRPr="0053124D">
        <w:rPr>
          <w:rFonts w:ascii="Arial" w:hAnsi="Arial" w:cs="Arial"/>
        </w:rPr>
        <w:t>.</w:t>
      </w:r>
      <w:r w:rsidR="008A503B">
        <w:rPr>
          <w:rFonts w:ascii="Arial" w:hAnsi="Arial" w:cs="Arial"/>
        </w:rPr>
        <w:t xml:space="preserve"> The average in 2013/14 was 23 thousand per day.</w:t>
      </w:r>
    </w:p>
    <w:p w:rsidR="00E21DD4" w:rsidRDefault="00E21DD4" w:rsidP="00E21DD4">
      <w:pPr>
        <w:pStyle w:val="ListParagraph"/>
        <w:rPr>
          <w:rFonts w:ascii="Arial" w:hAnsi="Arial" w:cs="Arial"/>
        </w:rPr>
      </w:pPr>
    </w:p>
    <w:p w:rsidR="006E58F5" w:rsidRPr="006E58F5" w:rsidRDefault="00E21DD4" w:rsidP="009B5D9A">
      <w:pPr>
        <w:pStyle w:val="ListParagraph"/>
        <w:numPr>
          <w:ilvl w:val="1"/>
          <w:numId w:val="5"/>
        </w:numPr>
        <w:ind w:left="360"/>
        <w:rPr>
          <w:rFonts w:ascii="Arial" w:hAnsi="Arial"/>
          <w:b/>
          <w:bCs/>
        </w:rPr>
      </w:pPr>
      <w:r w:rsidRPr="009B5D9A">
        <w:rPr>
          <w:rFonts w:ascii="Arial" w:hAnsi="Arial" w:cs="Arial"/>
        </w:rPr>
        <w:t xml:space="preserve">In </w:t>
      </w:r>
      <w:r w:rsidR="003A63FB">
        <w:rPr>
          <w:rFonts w:ascii="Arial" w:hAnsi="Arial" w:cs="Arial"/>
        </w:rPr>
        <w:t>May</w:t>
      </w:r>
      <w:r w:rsidR="00AA6B6B" w:rsidRPr="009B5D9A">
        <w:rPr>
          <w:rFonts w:ascii="Arial" w:hAnsi="Arial" w:cs="Arial"/>
        </w:rPr>
        <w:t xml:space="preserve"> </w:t>
      </w:r>
      <w:r w:rsidR="00DC48A5" w:rsidRPr="009B5D9A">
        <w:rPr>
          <w:rFonts w:ascii="Arial" w:hAnsi="Arial" w:cs="Arial"/>
        </w:rPr>
        <w:t>2014</w:t>
      </w:r>
      <w:r w:rsidRPr="009B5D9A">
        <w:rPr>
          <w:rFonts w:ascii="Arial" w:hAnsi="Arial" w:cs="Arial"/>
        </w:rPr>
        <w:t>,</w:t>
      </w:r>
      <w:r w:rsidR="002346FC" w:rsidRPr="009B5D9A">
        <w:rPr>
          <w:rFonts w:ascii="Arial" w:hAnsi="Arial" w:cs="Arial"/>
        </w:rPr>
        <w:t xml:space="preserve"> </w:t>
      </w:r>
      <w:r w:rsidRPr="009B5D9A">
        <w:rPr>
          <w:rFonts w:ascii="Arial" w:hAnsi="Arial" w:cs="Arial"/>
        </w:rPr>
        <w:t xml:space="preserve">there were </w:t>
      </w:r>
      <w:r w:rsidR="00D1660D">
        <w:rPr>
          <w:rFonts w:ascii="Arial" w:hAnsi="Arial" w:cs="Arial"/>
          <w:b/>
        </w:rPr>
        <w:t>405,078</w:t>
      </w:r>
      <w:r w:rsidR="00AA6B6B" w:rsidRPr="009B5D9A">
        <w:rPr>
          <w:rFonts w:ascii="Arial" w:hAnsi="Arial" w:cs="Arial"/>
          <w:b/>
        </w:rPr>
        <w:t xml:space="preserve"> </w:t>
      </w:r>
      <w:r w:rsidRPr="009B5D9A">
        <w:rPr>
          <w:rFonts w:ascii="Arial" w:hAnsi="Arial" w:cs="Arial"/>
          <w:b/>
        </w:rPr>
        <w:t>emergency journeys</w:t>
      </w:r>
      <w:r w:rsidRPr="009B5D9A">
        <w:rPr>
          <w:rFonts w:ascii="Arial" w:hAnsi="Arial" w:cs="Arial"/>
        </w:rPr>
        <w:t xml:space="preserve"> to a Type 1 or 2 A&amp;E</w:t>
      </w:r>
      <w:r w:rsidR="008A503B">
        <w:rPr>
          <w:rFonts w:ascii="Arial" w:hAnsi="Arial" w:cs="Arial"/>
        </w:rPr>
        <w:t>, or 13 thousand per day. The average in 2013/14 was also 13 thousand per day</w:t>
      </w:r>
      <w:r w:rsidRPr="009B5D9A">
        <w:rPr>
          <w:rFonts w:ascii="Arial" w:hAnsi="Arial" w:cs="Arial"/>
        </w:rPr>
        <w:t xml:space="preserve">. </w:t>
      </w:r>
    </w:p>
    <w:p w:rsidR="006E58F5" w:rsidRDefault="006E58F5" w:rsidP="006E58F5">
      <w:pPr>
        <w:rPr>
          <w:rFonts w:ascii="Arial" w:hAnsi="Arial" w:cs="Arial"/>
        </w:rPr>
      </w:pPr>
    </w:p>
    <w:p w:rsidR="00E25E8A" w:rsidRDefault="00E25E8A" w:rsidP="006E58F5">
      <w:pPr>
        <w:rPr>
          <w:rFonts w:ascii="Arial" w:hAnsi="Arial" w:cs="Arial"/>
        </w:rPr>
      </w:pPr>
    </w:p>
    <w:p w:rsidR="00E25E8A" w:rsidRDefault="00E25E8A" w:rsidP="006E58F5">
      <w:pPr>
        <w:rPr>
          <w:rFonts w:ascii="Arial" w:hAnsi="Arial" w:cs="Arial"/>
        </w:rPr>
      </w:pPr>
    </w:p>
    <w:p w:rsidR="006E58F5" w:rsidRDefault="006E58F5" w:rsidP="006E58F5">
      <w:pPr>
        <w:rPr>
          <w:rFonts w:ascii="Arial" w:hAnsi="Arial" w:cs="Arial"/>
        </w:rPr>
      </w:pPr>
      <w:r w:rsidRPr="006E58F5">
        <w:rPr>
          <w:rFonts w:ascii="Arial" w:hAnsi="Arial" w:cs="Arial"/>
        </w:rPr>
        <w:t>Detailed tables of all ambulance Systems Indicators and Clinical Outcomes data are available at:</w:t>
      </w:r>
    </w:p>
    <w:p w:rsidR="00E25E8A" w:rsidRDefault="00E25E8A" w:rsidP="006E58F5">
      <w:pPr>
        <w:rPr>
          <w:rStyle w:val="Hyperlink"/>
          <w:rFonts w:ascii="Arial" w:hAnsi="Arial" w:cs="Arial"/>
        </w:rPr>
      </w:pPr>
    </w:p>
    <w:p w:rsidR="00E25E8A" w:rsidRDefault="00E25E8A" w:rsidP="006E58F5">
      <w:pPr>
        <w:rPr>
          <w:rStyle w:val="Hyperlink"/>
          <w:rFonts w:ascii="Arial" w:hAnsi="Arial" w:cs="Arial"/>
        </w:rPr>
      </w:pPr>
      <w:r w:rsidRPr="00E25E8A">
        <w:rPr>
          <w:rStyle w:val="Hyperlink"/>
          <w:rFonts w:ascii="Arial" w:hAnsi="Arial" w:cs="Arial"/>
        </w:rPr>
        <w:t>www.england.nhs.uk/statistics/statistical-work-areas/ambulance-quality-indicators/</w:t>
      </w:r>
    </w:p>
    <w:p w:rsidR="00E25E8A" w:rsidRDefault="00E25E8A" w:rsidP="006E58F5">
      <w:pPr>
        <w:rPr>
          <w:rStyle w:val="Hyperlink"/>
          <w:rFonts w:ascii="Arial" w:hAnsi="Arial" w:cs="Arial"/>
        </w:rPr>
      </w:pPr>
    </w:p>
    <w:p w:rsidR="009B5D9A" w:rsidRDefault="009B5D9A" w:rsidP="009B5D9A">
      <w:pPr>
        <w:rPr>
          <w:rFonts w:ascii="Arial" w:hAnsi="Arial"/>
          <w:b/>
          <w:bCs/>
        </w:rPr>
      </w:pPr>
      <w:r w:rsidRPr="009B5D9A">
        <w:rPr>
          <w:rFonts w:ascii="Arial" w:hAnsi="Arial"/>
          <w:b/>
          <w:bCs/>
        </w:rPr>
        <w:lastRenderedPageBreak/>
        <w:t xml:space="preserve">Table 1: </w:t>
      </w:r>
      <w:r w:rsidR="00E3113C">
        <w:rPr>
          <w:rFonts w:ascii="Arial" w:hAnsi="Arial"/>
          <w:b/>
          <w:bCs/>
        </w:rPr>
        <w:t>May</w:t>
      </w:r>
      <w:r w:rsidR="00E3113C" w:rsidRPr="009B5D9A">
        <w:rPr>
          <w:rFonts w:ascii="Arial" w:hAnsi="Arial"/>
          <w:b/>
          <w:bCs/>
        </w:rPr>
        <w:t xml:space="preserve"> </w:t>
      </w:r>
      <w:r w:rsidRPr="009B5D9A">
        <w:rPr>
          <w:rFonts w:ascii="Arial" w:hAnsi="Arial"/>
          <w:b/>
          <w:bCs/>
        </w:rPr>
        <w:t>2014 Systems Indicators trust averages and extremes</w:t>
      </w:r>
    </w:p>
    <w:p w:rsidR="009B5D9A" w:rsidRDefault="009B5D9A" w:rsidP="009B5D9A">
      <w:pPr>
        <w:rPr>
          <w:rFonts w:ascii="Arial" w:hAnsi="Arial"/>
          <w:b/>
          <w:bCs/>
        </w:rPr>
      </w:pPr>
    </w:p>
    <w:tbl>
      <w:tblPr>
        <w:tblW w:w="83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047"/>
        <w:gridCol w:w="1419"/>
        <w:gridCol w:w="1419"/>
        <w:gridCol w:w="1419"/>
      </w:tblGrid>
      <w:tr w:rsidR="009B5D9A" w:rsidTr="00E06051">
        <w:trPr>
          <w:trHeight w:val="567"/>
        </w:trPr>
        <w:tc>
          <w:tcPr>
            <w:tcW w:w="4047"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Indicator</w:t>
            </w:r>
          </w:p>
        </w:tc>
        <w:tc>
          <w:tcPr>
            <w:tcW w:w="1419"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All England</w:t>
            </w:r>
          </w:p>
        </w:tc>
        <w:tc>
          <w:tcPr>
            <w:tcW w:w="1419"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Lowest Trust</w:t>
            </w:r>
          </w:p>
        </w:tc>
        <w:tc>
          <w:tcPr>
            <w:tcW w:w="1419"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Highest Trust</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Category A Red 1: 8 minute response</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73.3%</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66.3%</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w:t>
            </w:r>
            <w:r w:rsidR="00436A36">
              <w:rPr>
                <w:rFonts w:ascii="Arial" w:hAnsi="Arial" w:cs="Arial"/>
              </w:rPr>
              <w:t xml:space="preserve"> </w:t>
            </w:r>
            <w:r>
              <w:rPr>
                <w:rFonts w:ascii="Arial" w:hAnsi="Arial" w:cs="Arial"/>
              </w:rPr>
              <w:t>82.0%</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Category A Red 2: 8 minute response</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72.5%</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61.0%</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77.7%</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Category A: 19 minute response</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95.3%</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90.1%</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97.2%</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Calls abandoned before being answered</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1.0%</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0.2%</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2.9%</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Calls resolved through telephone assessment</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6.8%</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3.4%</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10.0%</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Calls resolved without transport to Type 1 or Type 2 A&amp;E</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36.7%</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27.4%</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51.5%</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bookmarkStart w:id="1" w:name="RANGE!A22"/>
            <w:r>
              <w:rPr>
                <w:rFonts w:ascii="Arial" w:hAnsi="Arial" w:cs="Arial"/>
              </w:rPr>
              <w:t>Recontact rate following discharge by telephone advice</w:t>
            </w:r>
            <w:bookmarkEnd w:id="1"/>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7.9%</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1.6%</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15.1%</w:t>
            </w:r>
          </w:p>
        </w:tc>
      </w:tr>
      <w:tr w:rsidR="005945B8" w:rsidTr="00E06051">
        <w:trPr>
          <w:trHeight w:val="567"/>
        </w:trPr>
        <w:tc>
          <w:tcPr>
            <w:tcW w:w="4047" w:type="dxa"/>
            <w:shd w:val="clear" w:color="000000" w:fill="FFFFFF"/>
            <w:vAlign w:val="center"/>
            <w:hideMark/>
          </w:tcPr>
          <w:p w:rsidR="005945B8" w:rsidRDefault="005945B8" w:rsidP="00E06051">
            <w:pPr>
              <w:jc w:val="center"/>
              <w:rPr>
                <w:rFonts w:ascii="Arial" w:hAnsi="Arial" w:cs="Arial"/>
              </w:rPr>
            </w:pPr>
            <w:r>
              <w:rPr>
                <w:rFonts w:ascii="Arial" w:hAnsi="Arial" w:cs="Arial"/>
              </w:rPr>
              <w:t>Recontact rate following face-to-face treatment at scene</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6.0%</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w:t>
            </w:r>
            <w:r w:rsidR="00436A36">
              <w:rPr>
                <w:rFonts w:ascii="Arial" w:hAnsi="Arial" w:cs="Arial"/>
              </w:rPr>
              <w:t xml:space="preserve"> </w:t>
            </w:r>
            <w:r>
              <w:rPr>
                <w:rFonts w:ascii="Arial" w:hAnsi="Arial" w:cs="Arial"/>
              </w:rPr>
              <w:t>3.9%</w:t>
            </w:r>
          </w:p>
        </w:tc>
        <w:tc>
          <w:tcPr>
            <w:tcW w:w="1419" w:type="dxa"/>
            <w:shd w:val="clear" w:color="000000" w:fill="FFFFFF"/>
            <w:vAlign w:val="center"/>
            <w:hideMark/>
          </w:tcPr>
          <w:p w:rsidR="005945B8" w:rsidRDefault="005945B8" w:rsidP="00436A36">
            <w:pPr>
              <w:ind w:right="170"/>
              <w:jc w:val="right"/>
              <w:rPr>
                <w:rFonts w:ascii="Arial" w:hAnsi="Arial" w:cs="Arial"/>
              </w:rPr>
            </w:pPr>
            <w:r>
              <w:rPr>
                <w:rFonts w:ascii="Arial" w:hAnsi="Arial" w:cs="Arial"/>
              </w:rPr>
              <w:t>13.2%</w:t>
            </w:r>
          </w:p>
        </w:tc>
      </w:tr>
      <w:tr w:rsidR="009B5D9A" w:rsidTr="00E06051">
        <w:trPr>
          <w:trHeight w:val="567"/>
        </w:trPr>
        <w:tc>
          <w:tcPr>
            <w:tcW w:w="4047" w:type="dxa"/>
            <w:shd w:val="clear" w:color="auto" w:fill="auto"/>
            <w:vAlign w:val="center"/>
            <w:hideMark/>
          </w:tcPr>
          <w:p w:rsidR="009B5D9A" w:rsidRDefault="009B5D9A" w:rsidP="00E06051">
            <w:pPr>
              <w:jc w:val="center"/>
              <w:rPr>
                <w:rFonts w:ascii="Arial" w:hAnsi="Arial" w:cs="Arial"/>
              </w:rPr>
            </w:pPr>
            <w:r>
              <w:rPr>
                <w:rFonts w:ascii="Arial" w:hAnsi="Arial" w:cs="Arial"/>
              </w:rPr>
              <w:t>Number of emergency journeys</w:t>
            </w:r>
          </w:p>
        </w:tc>
        <w:tc>
          <w:tcPr>
            <w:tcW w:w="1419" w:type="dxa"/>
            <w:shd w:val="clear" w:color="auto" w:fill="auto"/>
            <w:vAlign w:val="center"/>
            <w:hideMark/>
          </w:tcPr>
          <w:p w:rsidR="009B5D9A" w:rsidRDefault="001C3165" w:rsidP="006E58F5">
            <w:pPr>
              <w:pStyle w:val="StyleArialRightRight05cm"/>
            </w:pPr>
            <w:r w:rsidRPr="001C3165">
              <w:t>405,078</w:t>
            </w:r>
          </w:p>
        </w:tc>
        <w:tc>
          <w:tcPr>
            <w:tcW w:w="1419" w:type="dxa"/>
            <w:shd w:val="clear" w:color="auto" w:fill="auto"/>
            <w:noWrap/>
            <w:vAlign w:val="bottom"/>
            <w:hideMark/>
          </w:tcPr>
          <w:p w:rsidR="009B5D9A" w:rsidRDefault="009B5D9A" w:rsidP="00E06051">
            <w:pPr>
              <w:ind w:right="284"/>
              <w:jc w:val="right"/>
              <w:rPr>
                <w:rFonts w:ascii="Arial" w:hAnsi="Arial" w:cs="Arial"/>
                <w:sz w:val="20"/>
                <w:szCs w:val="20"/>
              </w:rPr>
            </w:pPr>
          </w:p>
        </w:tc>
        <w:tc>
          <w:tcPr>
            <w:tcW w:w="1419" w:type="dxa"/>
            <w:shd w:val="clear" w:color="auto" w:fill="auto"/>
            <w:noWrap/>
            <w:vAlign w:val="bottom"/>
            <w:hideMark/>
          </w:tcPr>
          <w:p w:rsidR="009B5D9A" w:rsidRDefault="009B5D9A" w:rsidP="00E06051">
            <w:pPr>
              <w:ind w:right="284"/>
              <w:jc w:val="right"/>
              <w:rPr>
                <w:rFonts w:ascii="Arial" w:hAnsi="Arial" w:cs="Arial"/>
                <w:sz w:val="20"/>
                <w:szCs w:val="20"/>
              </w:rPr>
            </w:pPr>
          </w:p>
        </w:tc>
      </w:tr>
    </w:tbl>
    <w:p w:rsidR="009B5D9A" w:rsidRDefault="009B5D9A" w:rsidP="009B5D9A">
      <w:pPr>
        <w:rPr>
          <w:rFonts w:ascii="Arial" w:hAnsi="Arial" w:cs="Arial"/>
          <w:sz w:val="20"/>
          <w:szCs w:val="20"/>
        </w:rPr>
      </w:pPr>
    </w:p>
    <w:p w:rsidR="009B5D9A" w:rsidRDefault="009B5D9A" w:rsidP="009B5D9A">
      <w:pPr>
        <w:rPr>
          <w:rFonts w:ascii="Arial" w:hAnsi="Arial"/>
          <w:b/>
          <w:bCs/>
        </w:rPr>
      </w:pPr>
      <w:r>
        <w:rPr>
          <w:rFonts w:ascii="Arial" w:hAnsi="Arial" w:cs="Arial"/>
          <w:sz w:val="20"/>
          <w:szCs w:val="20"/>
        </w:rPr>
        <w:t>*</w:t>
      </w:r>
      <w:r w:rsidRPr="000F5B3F">
        <w:rPr>
          <w:rFonts w:ascii="Arial" w:hAnsi="Arial" w:cs="Arial"/>
          <w:sz w:val="20"/>
          <w:szCs w:val="20"/>
        </w:rPr>
        <w:t xml:space="preserve"> Due to its small size, performance on th</w:t>
      </w:r>
      <w:r w:rsidR="00A3104B">
        <w:rPr>
          <w:rFonts w:ascii="Arial" w:hAnsi="Arial" w:cs="Arial"/>
          <w:sz w:val="20"/>
          <w:szCs w:val="20"/>
        </w:rPr>
        <w:t xml:space="preserve">e Isle of Wight tends to vary </w:t>
      </w:r>
      <w:r w:rsidRPr="000F5B3F">
        <w:rPr>
          <w:rFonts w:ascii="Arial" w:hAnsi="Arial" w:cs="Arial"/>
          <w:sz w:val="20"/>
          <w:szCs w:val="20"/>
        </w:rPr>
        <w:t xml:space="preserve">more than other Trusts. </w:t>
      </w:r>
      <w:r>
        <w:rPr>
          <w:rFonts w:ascii="Arial" w:hAnsi="Arial" w:cs="Arial"/>
          <w:sz w:val="20"/>
          <w:szCs w:val="20"/>
        </w:rPr>
        <w:t xml:space="preserve">If the Isle of Wight has the lowest or highest value, </w:t>
      </w:r>
      <w:r w:rsidR="00A3104B">
        <w:rPr>
          <w:rFonts w:ascii="Arial" w:hAnsi="Arial" w:cs="Arial"/>
          <w:sz w:val="20"/>
          <w:szCs w:val="20"/>
        </w:rPr>
        <w:t xml:space="preserve">Table 1 shows </w:t>
      </w:r>
      <w:r>
        <w:rPr>
          <w:rFonts w:ascii="Arial" w:hAnsi="Arial" w:cs="Arial"/>
          <w:sz w:val="20"/>
          <w:szCs w:val="20"/>
        </w:rPr>
        <w:t xml:space="preserve">the </w:t>
      </w:r>
      <w:r w:rsidR="00A3104B">
        <w:rPr>
          <w:rFonts w:ascii="Arial" w:hAnsi="Arial" w:cs="Arial"/>
          <w:sz w:val="20"/>
          <w:szCs w:val="20"/>
        </w:rPr>
        <w:t xml:space="preserve">second lowest or highest </w:t>
      </w:r>
      <w:r>
        <w:rPr>
          <w:rFonts w:ascii="Arial" w:hAnsi="Arial" w:cs="Arial"/>
          <w:sz w:val="20"/>
          <w:szCs w:val="20"/>
        </w:rPr>
        <w:t>value, but with an asterisk to show that the Isle of Wight is more extreme.</w:t>
      </w:r>
    </w:p>
    <w:p w:rsidR="00865E6C" w:rsidRDefault="00865E6C" w:rsidP="00F031F0">
      <w:pPr>
        <w:rPr>
          <w:rFonts w:ascii="Arial" w:hAnsi="Arial" w:cs="Arial"/>
          <w:b/>
        </w:rPr>
      </w:pPr>
    </w:p>
    <w:p w:rsidR="009B5D9A" w:rsidRDefault="005C59BC" w:rsidP="00F031F0">
      <w:pPr>
        <w:rPr>
          <w:rFonts w:ascii="Arial" w:hAnsi="Arial" w:cs="Arial"/>
          <w:b/>
        </w:rPr>
      </w:pPr>
      <w:r>
        <w:rPr>
          <w:rFonts w:ascii="Arial" w:hAnsi="Arial" w:cs="Arial"/>
          <w:b/>
          <w:noProof/>
        </w:rPr>
        <w:drawing>
          <wp:inline distT="0" distB="0" distL="0" distR="0" wp14:anchorId="52D77FA8">
            <wp:extent cx="5200650" cy="358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584575"/>
                    </a:xfrm>
                    <a:prstGeom prst="rect">
                      <a:avLst/>
                    </a:prstGeom>
                    <a:noFill/>
                  </pic:spPr>
                </pic:pic>
              </a:graphicData>
            </a:graphic>
          </wp:inline>
        </w:drawing>
      </w:r>
    </w:p>
    <w:p w:rsidR="00E0266B" w:rsidRDefault="00E0266B" w:rsidP="00C3443F">
      <w:pPr>
        <w:rPr>
          <w:rFonts w:ascii="Arial" w:hAnsi="Arial" w:cs="Arial"/>
          <w:b/>
        </w:rPr>
      </w:pPr>
    </w:p>
    <w:p w:rsidR="00E0266B" w:rsidRDefault="00E0266B" w:rsidP="00C3443F">
      <w:pPr>
        <w:rPr>
          <w:rFonts w:ascii="Arial" w:hAnsi="Arial" w:cs="Arial"/>
          <w:b/>
        </w:rPr>
      </w:pPr>
    </w:p>
    <w:p w:rsidR="005C59BC" w:rsidRDefault="005C59BC" w:rsidP="00C3443F">
      <w:pPr>
        <w:rPr>
          <w:rFonts w:ascii="Arial" w:hAnsi="Arial" w:cs="Arial"/>
          <w:b/>
        </w:rPr>
      </w:pPr>
    </w:p>
    <w:p w:rsidR="005538AF" w:rsidRDefault="005C59BC" w:rsidP="00C3443F">
      <w:pPr>
        <w:rPr>
          <w:rFonts w:ascii="Arial" w:hAnsi="Arial" w:cs="Arial"/>
          <w:b/>
        </w:rPr>
      </w:pPr>
      <w:r>
        <w:rPr>
          <w:rFonts w:ascii="Arial" w:hAnsi="Arial" w:cs="Arial"/>
          <w:b/>
          <w:noProof/>
        </w:rPr>
        <w:drawing>
          <wp:inline distT="0" distB="0" distL="0" distR="0" wp14:anchorId="4C440D2E">
            <wp:extent cx="5200650" cy="3584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3584575"/>
                    </a:xfrm>
                    <a:prstGeom prst="rect">
                      <a:avLst/>
                    </a:prstGeom>
                    <a:noFill/>
                  </pic:spPr>
                </pic:pic>
              </a:graphicData>
            </a:graphic>
          </wp:inline>
        </w:drawing>
      </w:r>
    </w:p>
    <w:p w:rsidR="00E0266B" w:rsidRDefault="00E0266B" w:rsidP="00C3443F">
      <w:pPr>
        <w:rPr>
          <w:rFonts w:ascii="Arial" w:hAnsi="Arial" w:cs="Arial"/>
          <w:b/>
        </w:rPr>
      </w:pPr>
    </w:p>
    <w:p w:rsidR="00E0266B" w:rsidRDefault="00E0266B" w:rsidP="00C3443F">
      <w:pPr>
        <w:rPr>
          <w:rFonts w:ascii="Arial" w:hAnsi="Arial" w:cs="Arial"/>
          <w:b/>
        </w:rPr>
      </w:pPr>
    </w:p>
    <w:p w:rsidR="005538AF" w:rsidRDefault="005C59BC" w:rsidP="00C3443F">
      <w:pPr>
        <w:rPr>
          <w:rFonts w:ascii="Arial" w:hAnsi="Arial" w:cs="Arial"/>
          <w:b/>
        </w:rPr>
      </w:pPr>
      <w:r>
        <w:rPr>
          <w:rFonts w:ascii="Arial" w:hAnsi="Arial" w:cs="Arial"/>
          <w:b/>
          <w:noProof/>
        </w:rPr>
        <w:drawing>
          <wp:inline distT="0" distB="0" distL="0" distR="0" wp14:anchorId="1811F682">
            <wp:extent cx="5206365" cy="3584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6365" cy="3584575"/>
                    </a:xfrm>
                    <a:prstGeom prst="rect">
                      <a:avLst/>
                    </a:prstGeom>
                    <a:noFill/>
                  </pic:spPr>
                </pic:pic>
              </a:graphicData>
            </a:graphic>
          </wp:inline>
        </w:drawing>
      </w:r>
    </w:p>
    <w:p w:rsidR="005538AF" w:rsidRDefault="005538AF" w:rsidP="00C3443F">
      <w:pPr>
        <w:rPr>
          <w:rFonts w:ascii="Arial" w:hAnsi="Arial" w:cs="Arial"/>
          <w:b/>
        </w:rPr>
      </w:pPr>
    </w:p>
    <w:p w:rsidR="00E0266B" w:rsidRDefault="00E0266B" w:rsidP="00C3443F">
      <w:pPr>
        <w:rPr>
          <w:rFonts w:ascii="Arial" w:hAnsi="Arial" w:cs="Arial"/>
          <w:b/>
        </w:rPr>
      </w:pPr>
    </w:p>
    <w:p w:rsidR="00E0266B" w:rsidRDefault="00E0266B" w:rsidP="00E0266B">
      <w:pPr>
        <w:rPr>
          <w:rFonts w:ascii="Arial" w:hAnsi="Arial" w:cs="Arial"/>
        </w:rPr>
      </w:pPr>
    </w:p>
    <w:p w:rsidR="0090071E" w:rsidRDefault="0090071E">
      <w:pPr>
        <w:rPr>
          <w:rFonts w:ascii="Arial" w:hAnsi="Arial" w:cs="Arial"/>
          <w:b/>
        </w:rPr>
      </w:pPr>
      <w:r>
        <w:rPr>
          <w:rFonts w:ascii="Arial" w:hAnsi="Arial" w:cs="Arial"/>
          <w:b/>
        </w:rPr>
        <w:br w:type="page"/>
      </w:r>
    </w:p>
    <w:p w:rsidR="00BC435A" w:rsidRPr="00151AF2" w:rsidRDefault="00E0266B" w:rsidP="00C3443F">
      <w:pPr>
        <w:rPr>
          <w:rFonts w:ascii="Arial" w:hAnsi="Arial" w:cs="Arial"/>
          <w:b/>
        </w:rPr>
      </w:pPr>
      <w:r>
        <w:rPr>
          <w:rFonts w:ascii="Arial" w:hAnsi="Arial" w:cs="Arial"/>
          <w:b/>
        </w:rPr>
        <w:lastRenderedPageBreak/>
        <w:t>M</w:t>
      </w:r>
      <w:r w:rsidR="00BC435A" w:rsidRPr="00151AF2">
        <w:rPr>
          <w:rFonts w:ascii="Arial" w:hAnsi="Arial" w:cs="Arial"/>
          <w:b/>
        </w:rPr>
        <w:t>ain Findings – Am</w:t>
      </w:r>
      <w:r w:rsidR="00A778EA" w:rsidRPr="00151AF2">
        <w:rPr>
          <w:rFonts w:ascii="Arial" w:hAnsi="Arial" w:cs="Arial"/>
          <w:b/>
        </w:rPr>
        <w:t>bu</w:t>
      </w:r>
      <w:r w:rsidR="000B1B66" w:rsidRPr="00151AF2">
        <w:rPr>
          <w:rFonts w:ascii="Arial" w:hAnsi="Arial" w:cs="Arial"/>
          <w:b/>
        </w:rPr>
        <w:t xml:space="preserve">lance Clinical Outcomes </w:t>
      </w:r>
      <w:r w:rsidR="005C59BC">
        <w:rPr>
          <w:rFonts w:ascii="Arial" w:hAnsi="Arial" w:cs="Arial"/>
          <w:b/>
        </w:rPr>
        <w:t xml:space="preserve">February </w:t>
      </w:r>
      <w:r>
        <w:rPr>
          <w:rFonts w:ascii="Arial" w:hAnsi="Arial" w:cs="Arial"/>
          <w:b/>
        </w:rPr>
        <w:t>2014</w:t>
      </w:r>
    </w:p>
    <w:p w:rsidR="00BC435A" w:rsidRPr="0070276C" w:rsidRDefault="00BC435A" w:rsidP="00BC435A">
      <w:pPr>
        <w:rPr>
          <w:rFonts w:ascii="Arial" w:hAnsi="Arial" w:cs="Arial"/>
        </w:rPr>
      </w:pPr>
    </w:p>
    <w:p w:rsidR="00BC435A" w:rsidRPr="0053124D" w:rsidRDefault="00277342" w:rsidP="0053124D">
      <w:pPr>
        <w:pStyle w:val="ListParagraph"/>
        <w:numPr>
          <w:ilvl w:val="1"/>
          <w:numId w:val="5"/>
        </w:numPr>
        <w:ind w:left="360"/>
        <w:rPr>
          <w:rFonts w:ascii="Arial" w:hAnsi="Arial" w:cs="Arial"/>
          <w:b/>
          <w:bCs/>
        </w:rPr>
      </w:pPr>
      <w:r w:rsidRPr="0053124D">
        <w:rPr>
          <w:rFonts w:ascii="Arial" w:hAnsi="Arial" w:cs="Arial"/>
        </w:rPr>
        <w:t xml:space="preserve">For patients who had an </w:t>
      </w:r>
      <w:r w:rsidRPr="0053124D">
        <w:rPr>
          <w:rFonts w:ascii="Arial" w:hAnsi="Arial" w:cs="Arial"/>
          <w:b/>
        </w:rPr>
        <w:t>out-of-hospital cardiac arrest</w:t>
      </w:r>
      <w:r w:rsidRPr="0053124D">
        <w:rPr>
          <w:rFonts w:ascii="Arial" w:hAnsi="Arial" w:cs="Arial"/>
        </w:rPr>
        <w:t>, where ambulance staff commenced</w:t>
      </w:r>
      <w:r w:rsidR="00436A36">
        <w:rPr>
          <w:rFonts w:ascii="Arial" w:hAnsi="Arial" w:cs="Arial"/>
        </w:rPr>
        <w:t xml:space="preserve"> </w:t>
      </w:r>
      <w:r w:rsidRPr="0053124D">
        <w:rPr>
          <w:rFonts w:ascii="Arial" w:hAnsi="Arial" w:cs="Arial"/>
        </w:rPr>
        <w:t>/</w:t>
      </w:r>
      <w:r w:rsidR="00436A36">
        <w:rPr>
          <w:rFonts w:ascii="Arial" w:hAnsi="Arial" w:cs="Arial"/>
        </w:rPr>
        <w:t xml:space="preserve"> </w:t>
      </w:r>
      <w:r w:rsidRPr="0053124D">
        <w:rPr>
          <w:rFonts w:ascii="Arial" w:hAnsi="Arial" w:cs="Arial"/>
        </w:rPr>
        <w:t>continued resuscitation,</w:t>
      </w:r>
      <w:r w:rsidR="0070276C" w:rsidRPr="0053124D">
        <w:rPr>
          <w:rFonts w:ascii="Arial" w:hAnsi="Arial" w:cs="Arial"/>
        </w:rPr>
        <w:t xml:space="preserve"> </w:t>
      </w:r>
      <w:r w:rsidRPr="0053124D">
        <w:rPr>
          <w:rFonts w:ascii="Arial" w:hAnsi="Arial" w:cs="Arial"/>
          <w:b/>
        </w:rPr>
        <w:t>2</w:t>
      </w:r>
      <w:r w:rsidR="000871A7">
        <w:rPr>
          <w:rFonts w:ascii="Arial" w:hAnsi="Arial" w:cs="Arial"/>
          <w:b/>
        </w:rPr>
        <w:t>7</w:t>
      </w:r>
      <w:r w:rsidR="00572500">
        <w:rPr>
          <w:rFonts w:ascii="Arial" w:hAnsi="Arial" w:cs="Arial"/>
          <w:b/>
        </w:rPr>
        <w:t>.</w:t>
      </w:r>
      <w:r w:rsidR="000871A7">
        <w:rPr>
          <w:rFonts w:ascii="Arial" w:hAnsi="Arial" w:cs="Arial"/>
          <w:b/>
        </w:rPr>
        <w:t>5</w:t>
      </w:r>
      <w:r w:rsidRPr="0053124D">
        <w:rPr>
          <w:rFonts w:ascii="Arial" w:hAnsi="Arial" w:cs="Arial"/>
        </w:rPr>
        <w:t>% had a return of spontaneous circulation (</w:t>
      </w:r>
      <w:r w:rsidRPr="0053124D">
        <w:rPr>
          <w:rFonts w:ascii="Arial" w:hAnsi="Arial" w:cs="Arial"/>
          <w:b/>
        </w:rPr>
        <w:t>ROSC</w:t>
      </w:r>
      <w:r w:rsidRPr="0053124D">
        <w:rPr>
          <w:rFonts w:ascii="Arial" w:hAnsi="Arial" w:cs="Arial"/>
        </w:rPr>
        <w:t xml:space="preserve">) on arrival at hospital. </w:t>
      </w:r>
      <w:r w:rsidR="006E58F5" w:rsidRPr="0053124D">
        <w:rPr>
          <w:rFonts w:ascii="Arial" w:hAnsi="Arial" w:cs="Arial"/>
        </w:rPr>
        <w:t xml:space="preserve">For the sub-group of these patients in the </w:t>
      </w:r>
      <w:r w:rsidR="006E58F5" w:rsidRPr="0053124D">
        <w:rPr>
          <w:rFonts w:ascii="Arial" w:hAnsi="Arial" w:cs="Arial"/>
          <w:b/>
        </w:rPr>
        <w:t>Utstein comparator</w:t>
      </w:r>
      <w:r w:rsidR="006E58F5" w:rsidRPr="0053124D">
        <w:rPr>
          <w:rFonts w:ascii="Arial" w:hAnsi="Arial" w:cs="Arial"/>
        </w:rPr>
        <w:t xml:space="preserve"> group</w:t>
      </w:r>
      <w:r w:rsidR="005538AF">
        <w:rPr>
          <w:rFonts w:ascii="Arial" w:hAnsi="Arial" w:cs="Arial"/>
        </w:rPr>
        <w:t>,</w:t>
      </w:r>
      <w:r w:rsidR="006E58F5" w:rsidRPr="0053124D">
        <w:rPr>
          <w:rFonts w:ascii="Arial" w:hAnsi="Arial" w:cs="Arial"/>
        </w:rPr>
        <w:t xml:space="preserve"> </w:t>
      </w:r>
      <w:r w:rsidR="005538AF">
        <w:rPr>
          <w:rFonts w:ascii="Arial" w:hAnsi="Arial" w:cs="Arial"/>
        </w:rPr>
        <w:t xml:space="preserve">this </w:t>
      </w:r>
      <w:r w:rsidR="006E58F5" w:rsidRPr="0053124D">
        <w:rPr>
          <w:rFonts w:ascii="Arial" w:hAnsi="Arial" w:cs="Arial"/>
        </w:rPr>
        <w:t xml:space="preserve">proportion was </w:t>
      </w:r>
      <w:r w:rsidR="000871A7">
        <w:rPr>
          <w:rFonts w:ascii="Arial" w:hAnsi="Arial" w:cs="Arial"/>
          <w:b/>
        </w:rPr>
        <w:t>53.0</w:t>
      </w:r>
      <w:r w:rsidR="006E58F5" w:rsidRPr="0053124D">
        <w:rPr>
          <w:rFonts w:ascii="Arial" w:hAnsi="Arial" w:cs="Arial"/>
          <w:b/>
        </w:rPr>
        <w:t>%</w:t>
      </w:r>
      <w:r w:rsidR="006E58F5" w:rsidRPr="0053124D">
        <w:rPr>
          <w:rFonts w:ascii="Arial" w:hAnsi="Arial" w:cs="Arial"/>
        </w:rPr>
        <w:t>.</w:t>
      </w:r>
    </w:p>
    <w:p w:rsidR="00BC435A" w:rsidRPr="0070276C" w:rsidRDefault="00BC435A" w:rsidP="00BC435A">
      <w:pPr>
        <w:ind w:left="360"/>
        <w:rPr>
          <w:rFonts w:ascii="Arial" w:hAnsi="Arial" w:cs="Arial"/>
        </w:rPr>
      </w:pPr>
    </w:p>
    <w:p w:rsidR="006157C7" w:rsidRPr="006E58F5" w:rsidRDefault="00277342" w:rsidP="0053124D">
      <w:pPr>
        <w:pStyle w:val="ListParagraph"/>
        <w:numPr>
          <w:ilvl w:val="1"/>
          <w:numId w:val="5"/>
        </w:numPr>
        <w:ind w:left="360"/>
        <w:rPr>
          <w:rFonts w:ascii="Arial" w:hAnsi="Arial" w:cs="Arial"/>
          <w:b/>
          <w:bCs/>
        </w:rPr>
      </w:pPr>
      <w:r w:rsidRPr="006E58F5">
        <w:rPr>
          <w:rFonts w:ascii="Arial" w:hAnsi="Arial" w:cs="Arial"/>
        </w:rPr>
        <w:t xml:space="preserve">For patients who had an </w:t>
      </w:r>
      <w:r w:rsidRPr="006E58F5">
        <w:rPr>
          <w:rFonts w:ascii="Arial" w:hAnsi="Arial" w:cs="Arial"/>
          <w:b/>
        </w:rPr>
        <w:t>out-of-hospital cardiac</w:t>
      </w:r>
      <w:r w:rsidRPr="006E58F5">
        <w:rPr>
          <w:rFonts w:ascii="Arial" w:hAnsi="Arial" w:cs="Arial"/>
        </w:rPr>
        <w:t xml:space="preserve"> arrest and</w:t>
      </w:r>
      <w:r w:rsidR="000007F1" w:rsidRPr="006E58F5">
        <w:rPr>
          <w:rFonts w:ascii="Arial" w:hAnsi="Arial" w:cs="Arial"/>
        </w:rPr>
        <w:t xml:space="preserve"> where</w:t>
      </w:r>
      <w:r w:rsidRPr="006E58F5">
        <w:rPr>
          <w:rFonts w:ascii="Arial" w:hAnsi="Arial" w:cs="Arial"/>
        </w:rPr>
        <w:t xml:space="preserve"> the outcome is known, the proportion </w:t>
      </w:r>
      <w:r w:rsidR="000007F1" w:rsidRPr="006E58F5">
        <w:rPr>
          <w:rFonts w:ascii="Arial" w:hAnsi="Arial" w:cs="Arial"/>
        </w:rPr>
        <w:t xml:space="preserve">of patients who were subsequently </w:t>
      </w:r>
      <w:r w:rsidR="000007F1" w:rsidRPr="006E58F5">
        <w:rPr>
          <w:rFonts w:ascii="Arial" w:hAnsi="Arial" w:cs="Arial"/>
          <w:b/>
        </w:rPr>
        <w:t>discharged from hospital alive</w:t>
      </w:r>
      <w:r w:rsidR="000007F1" w:rsidRPr="006E58F5">
        <w:rPr>
          <w:rFonts w:ascii="Arial" w:hAnsi="Arial" w:cs="Arial"/>
        </w:rPr>
        <w:t xml:space="preserve"> was </w:t>
      </w:r>
      <w:r w:rsidR="00676BD5">
        <w:rPr>
          <w:rFonts w:ascii="Arial" w:hAnsi="Arial" w:cs="Arial"/>
          <w:b/>
        </w:rPr>
        <w:t>9.3</w:t>
      </w:r>
      <w:r w:rsidR="000007F1" w:rsidRPr="006E58F5">
        <w:rPr>
          <w:rFonts w:ascii="Arial" w:hAnsi="Arial" w:cs="Arial"/>
          <w:b/>
        </w:rPr>
        <w:t>%</w:t>
      </w:r>
      <w:r w:rsidR="000B1B66" w:rsidRPr="006E58F5">
        <w:rPr>
          <w:rFonts w:ascii="Arial" w:hAnsi="Arial" w:cs="Arial"/>
        </w:rPr>
        <w:t>.</w:t>
      </w:r>
      <w:r w:rsidR="006E58F5" w:rsidRPr="006E58F5">
        <w:rPr>
          <w:rFonts w:ascii="Arial" w:hAnsi="Arial" w:cs="Arial"/>
        </w:rPr>
        <w:t xml:space="preserve"> For the Utstein comparator group</w:t>
      </w:r>
      <w:r w:rsidR="005538AF">
        <w:rPr>
          <w:rFonts w:ascii="Arial" w:hAnsi="Arial" w:cs="Arial"/>
        </w:rPr>
        <w:t>,</w:t>
      </w:r>
      <w:r w:rsidR="006E58F5" w:rsidRPr="006E58F5">
        <w:rPr>
          <w:rFonts w:ascii="Arial" w:hAnsi="Arial" w:cs="Arial"/>
        </w:rPr>
        <w:t xml:space="preserve"> this </w:t>
      </w:r>
      <w:r w:rsidR="004769D3" w:rsidRPr="006E58F5">
        <w:rPr>
          <w:rFonts w:ascii="Arial" w:hAnsi="Arial" w:cs="Arial"/>
        </w:rPr>
        <w:t>proportion</w:t>
      </w:r>
      <w:r w:rsidR="006E58F5">
        <w:rPr>
          <w:rFonts w:ascii="Arial" w:hAnsi="Arial" w:cs="Arial"/>
        </w:rPr>
        <w:t xml:space="preserve"> </w:t>
      </w:r>
      <w:r w:rsidR="004769D3" w:rsidRPr="006E58F5">
        <w:rPr>
          <w:rFonts w:ascii="Arial" w:hAnsi="Arial" w:cs="Arial"/>
        </w:rPr>
        <w:t xml:space="preserve">was </w:t>
      </w:r>
      <w:r w:rsidR="000B1B66" w:rsidRPr="006E58F5">
        <w:rPr>
          <w:rFonts w:ascii="Arial" w:hAnsi="Arial" w:cs="Arial"/>
          <w:b/>
        </w:rPr>
        <w:t>2</w:t>
      </w:r>
      <w:r w:rsidR="00676BD5">
        <w:rPr>
          <w:rFonts w:ascii="Arial" w:hAnsi="Arial" w:cs="Arial"/>
          <w:b/>
        </w:rPr>
        <w:t>9.3</w:t>
      </w:r>
      <w:r w:rsidR="004769D3" w:rsidRPr="006E58F5">
        <w:rPr>
          <w:rFonts w:ascii="Arial" w:hAnsi="Arial" w:cs="Arial"/>
        </w:rPr>
        <w:t xml:space="preserve">%. </w:t>
      </w:r>
    </w:p>
    <w:p w:rsidR="000B1B66" w:rsidRPr="0070276C" w:rsidRDefault="000B1B66" w:rsidP="000B1B66">
      <w:pPr>
        <w:pStyle w:val="ListParagraph"/>
        <w:rPr>
          <w:rFonts w:ascii="Arial" w:hAnsi="Arial" w:cs="Arial"/>
        </w:rPr>
      </w:pPr>
    </w:p>
    <w:p w:rsidR="000B1B66" w:rsidRPr="006E58F5" w:rsidRDefault="006E58F5" w:rsidP="0053124D">
      <w:pPr>
        <w:pStyle w:val="ListParagraph"/>
        <w:numPr>
          <w:ilvl w:val="1"/>
          <w:numId w:val="5"/>
        </w:numPr>
        <w:ind w:left="360"/>
        <w:rPr>
          <w:rFonts w:ascii="Arial" w:hAnsi="Arial" w:cs="Arial"/>
          <w:b/>
          <w:bCs/>
        </w:rPr>
      </w:pPr>
      <w:r w:rsidRPr="006E58F5">
        <w:rPr>
          <w:rFonts w:ascii="Arial" w:hAnsi="Arial" w:cs="Arial"/>
        </w:rPr>
        <w:t>Of</w:t>
      </w:r>
      <w:r w:rsidR="000B1B66" w:rsidRPr="006E58F5">
        <w:rPr>
          <w:rFonts w:ascii="Arial" w:hAnsi="Arial" w:cs="Arial"/>
        </w:rPr>
        <w:t xml:space="preserve"> patients </w:t>
      </w:r>
      <w:r w:rsidR="005538AF">
        <w:rPr>
          <w:rFonts w:ascii="Arial" w:hAnsi="Arial" w:cs="Arial"/>
        </w:rPr>
        <w:t xml:space="preserve">with </w:t>
      </w:r>
      <w:r w:rsidR="000B1B66" w:rsidRPr="006E58F5">
        <w:rPr>
          <w:rFonts w:ascii="Arial" w:hAnsi="Arial" w:cs="Arial"/>
        </w:rPr>
        <w:t xml:space="preserve">an acute </w:t>
      </w:r>
      <w:r w:rsidR="000B1B66" w:rsidRPr="006E58F5">
        <w:rPr>
          <w:rFonts w:ascii="Arial" w:hAnsi="Arial" w:cs="Arial"/>
          <w:b/>
        </w:rPr>
        <w:t>ST-Elevation myocardial infarction</w:t>
      </w:r>
      <w:r w:rsidR="000B1B66" w:rsidRPr="006E58F5">
        <w:rPr>
          <w:rFonts w:ascii="Arial" w:hAnsi="Arial" w:cs="Arial"/>
        </w:rPr>
        <w:t xml:space="preserve"> (</w:t>
      </w:r>
      <w:r w:rsidR="000B1B66" w:rsidRPr="006E58F5">
        <w:rPr>
          <w:rFonts w:ascii="Arial" w:hAnsi="Arial" w:cs="Arial"/>
          <w:b/>
        </w:rPr>
        <w:t>STEMI</w:t>
      </w:r>
      <w:r w:rsidR="000B1B66" w:rsidRPr="006E58F5">
        <w:rPr>
          <w:rFonts w:ascii="Arial" w:hAnsi="Arial" w:cs="Arial"/>
        </w:rPr>
        <w:t>)</w:t>
      </w:r>
      <w:r w:rsidRPr="006E58F5">
        <w:rPr>
          <w:rFonts w:ascii="Arial" w:hAnsi="Arial" w:cs="Arial"/>
        </w:rPr>
        <w:t>,</w:t>
      </w:r>
      <w:r w:rsidR="000B1B66" w:rsidRPr="006E58F5">
        <w:rPr>
          <w:rFonts w:ascii="Arial" w:hAnsi="Arial" w:cs="Arial"/>
        </w:rPr>
        <w:t xml:space="preserve"> </w:t>
      </w:r>
      <w:r w:rsidRPr="006E58F5">
        <w:rPr>
          <w:rFonts w:ascii="Arial" w:hAnsi="Arial" w:cs="Arial"/>
        </w:rPr>
        <w:t>and receiving</w:t>
      </w:r>
      <w:r w:rsidR="000B1B66" w:rsidRPr="006E58F5">
        <w:rPr>
          <w:rFonts w:ascii="Arial" w:hAnsi="Arial" w:cs="Arial"/>
        </w:rPr>
        <w:t xml:space="preserve"> primary angioplasty</w:t>
      </w:r>
      <w:r w:rsidRPr="006E58F5">
        <w:rPr>
          <w:rFonts w:ascii="Arial" w:hAnsi="Arial" w:cs="Arial"/>
        </w:rPr>
        <w:t xml:space="preserve">, </w:t>
      </w:r>
      <w:r w:rsidRPr="006E58F5">
        <w:rPr>
          <w:rFonts w:ascii="Arial" w:hAnsi="Arial" w:cs="Arial"/>
          <w:b/>
        </w:rPr>
        <w:t>87.</w:t>
      </w:r>
      <w:r w:rsidR="00676BD5">
        <w:rPr>
          <w:rFonts w:ascii="Arial" w:hAnsi="Arial" w:cs="Arial"/>
          <w:b/>
        </w:rPr>
        <w:t>9</w:t>
      </w:r>
      <w:r w:rsidRPr="006E58F5">
        <w:rPr>
          <w:rFonts w:ascii="Arial" w:hAnsi="Arial" w:cs="Arial"/>
          <w:b/>
        </w:rPr>
        <w:t>%</w:t>
      </w:r>
      <w:r w:rsidRPr="006E58F5">
        <w:rPr>
          <w:rFonts w:ascii="Arial" w:hAnsi="Arial" w:cs="Arial"/>
        </w:rPr>
        <w:t xml:space="preserve"> received this</w:t>
      </w:r>
      <w:r w:rsidR="000B1B66" w:rsidRPr="006E58F5">
        <w:rPr>
          <w:rFonts w:ascii="Arial" w:hAnsi="Arial" w:cs="Arial"/>
        </w:rPr>
        <w:t xml:space="preserve"> within 150 minutes of the call being connected to the ambulance service</w:t>
      </w:r>
      <w:r w:rsidRPr="006E58F5">
        <w:rPr>
          <w:rFonts w:ascii="Arial" w:hAnsi="Arial" w:cs="Arial"/>
        </w:rPr>
        <w:t xml:space="preserve">. Of all patients </w:t>
      </w:r>
      <w:r w:rsidR="005538AF">
        <w:rPr>
          <w:rFonts w:ascii="Arial" w:hAnsi="Arial" w:cs="Arial"/>
        </w:rPr>
        <w:t xml:space="preserve">with an </w:t>
      </w:r>
      <w:r w:rsidRPr="006E58F5">
        <w:rPr>
          <w:rFonts w:ascii="Arial" w:hAnsi="Arial" w:cs="Arial"/>
        </w:rPr>
        <w:t xml:space="preserve">acute STEMI, </w:t>
      </w:r>
      <w:r w:rsidR="00572500" w:rsidRPr="006E58F5">
        <w:rPr>
          <w:rFonts w:ascii="Arial" w:hAnsi="Arial" w:cs="Arial"/>
          <w:b/>
        </w:rPr>
        <w:t>8</w:t>
      </w:r>
      <w:r w:rsidR="00676BD5">
        <w:rPr>
          <w:rFonts w:ascii="Arial" w:hAnsi="Arial" w:cs="Arial"/>
          <w:b/>
        </w:rPr>
        <w:t>0</w:t>
      </w:r>
      <w:r w:rsidR="00572500" w:rsidRPr="006E58F5">
        <w:rPr>
          <w:rFonts w:ascii="Arial" w:hAnsi="Arial" w:cs="Arial"/>
          <w:b/>
        </w:rPr>
        <w:t>.</w:t>
      </w:r>
      <w:r w:rsidR="00676BD5">
        <w:rPr>
          <w:rFonts w:ascii="Arial" w:hAnsi="Arial" w:cs="Arial"/>
          <w:b/>
        </w:rPr>
        <w:t>7</w:t>
      </w:r>
      <w:r w:rsidR="00B10ECF" w:rsidRPr="006E58F5">
        <w:rPr>
          <w:rFonts w:ascii="Arial" w:hAnsi="Arial" w:cs="Arial"/>
        </w:rPr>
        <w:t xml:space="preserve">% received the </w:t>
      </w:r>
      <w:r w:rsidR="00B10ECF" w:rsidRPr="006E58F5">
        <w:rPr>
          <w:rFonts w:ascii="Arial" w:hAnsi="Arial" w:cs="Arial"/>
          <w:b/>
        </w:rPr>
        <w:t>appropriate care bundle</w:t>
      </w:r>
      <w:r w:rsidR="000B1B66" w:rsidRPr="006E58F5">
        <w:rPr>
          <w:rFonts w:ascii="Arial" w:hAnsi="Arial" w:cs="Arial"/>
        </w:rPr>
        <w:t>.</w:t>
      </w:r>
    </w:p>
    <w:p w:rsidR="00D35203" w:rsidRPr="0053124D" w:rsidRDefault="00D35203" w:rsidP="0053124D"/>
    <w:p w:rsidR="009B5D9A" w:rsidRPr="009B5D9A" w:rsidRDefault="005538AF" w:rsidP="009B5D9A">
      <w:pPr>
        <w:pStyle w:val="ListParagraph"/>
        <w:numPr>
          <w:ilvl w:val="1"/>
          <w:numId w:val="5"/>
        </w:numPr>
        <w:ind w:left="360"/>
      </w:pPr>
      <w:r w:rsidRPr="005538AF">
        <w:rPr>
          <w:rFonts w:ascii="Arial" w:hAnsi="Arial" w:cs="Arial"/>
        </w:rPr>
        <w:t xml:space="preserve">Of </w:t>
      </w:r>
      <w:bookmarkStart w:id="2" w:name="OLE_LINK2"/>
      <w:r w:rsidR="006E58F5" w:rsidRPr="005538AF">
        <w:rPr>
          <w:rFonts w:ascii="Arial" w:hAnsi="Arial" w:cs="Arial"/>
        </w:rPr>
        <w:t>Face Arm Speech Test (</w:t>
      </w:r>
      <w:r w:rsidR="00B05CB0" w:rsidRPr="005538AF">
        <w:rPr>
          <w:rFonts w:ascii="Arial" w:hAnsi="Arial" w:cs="Arial"/>
          <w:b/>
        </w:rPr>
        <w:t>FAST</w:t>
      </w:r>
      <w:r w:rsidR="006E58F5" w:rsidRPr="005538AF">
        <w:rPr>
          <w:rFonts w:ascii="Arial" w:hAnsi="Arial" w:cs="Arial"/>
          <w:b/>
        </w:rPr>
        <w:t>)</w:t>
      </w:r>
      <w:r w:rsidR="00B05CB0" w:rsidRPr="005538AF">
        <w:rPr>
          <w:rFonts w:ascii="Arial" w:hAnsi="Arial" w:cs="Arial"/>
          <w:b/>
        </w:rPr>
        <w:t xml:space="preserve"> positive</w:t>
      </w:r>
      <w:r w:rsidR="00B05CB0" w:rsidRPr="005538AF">
        <w:rPr>
          <w:rFonts w:ascii="Arial" w:hAnsi="Arial" w:cs="Arial"/>
        </w:rPr>
        <w:t xml:space="preserve"> patients potentially eligible for stroke thrombolysis</w:t>
      </w:r>
      <w:r w:rsidRPr="005538AF">
        <w:rPr>
          <w:rFonts w:ascii="Arial" w:hAnsi="Arial" w:cs="Arial"/>
        </w:rPr>
        <w:t xml:space="preserve">, </w:t>
      </w:r>
      <w:r w:rsidRPr="0005599E">
        <w:rPr>
          <w:rFonts w:ascii="Arial" w:hAnsi="Arial" w:cs="Arial"/>
          <w:b/>
        </w:rPr>
        <w:t>62.</w:t>
      </w:r>
      <w:r w:rsidR="0005599E" w:rsidRPr="0005599E">
        <w:rPr>
          <w:rFonts w:ascii="Arial" w:hAnsi="Arial" w:cs="Arial"/>
          <w:b/>
        </w:rPr>
        <w:t>7%</w:t>
      </w:r>
      <w:r w:rsidR="00B05CB0" w:rsidRPr="005538AF">
        <w:rPr>
          <w:rFonts w:ascii="Arial" w:hAnsi="Arial" w:cs="Arial"/>
        </w:rPr>
        <w:t xml:space="preserve"> arriv</w:t>
      </w:r>
      <w:r w:rsidR="00436A36">
        <w:rPr>
          <w:rFonts w:ascii="Arial" w:hAnsi="Arial" w:cs="Arial"/>
        </w:rPr>
        <w:t>ed</w:t>
      </w:r>
      <w:r w:rsidR="00B05CB0" w:rsidRPr="005538AF">
        <w:rPr>
          <w:rFonts w:ascii="Arial" w:hAnsi="Arial" w:cs="Arial"/>
        </w:rPr>
        <w:t xml:space="preserve"> at a </w:t>
      </w:r>
      <w:r w:rsidR="00B05CB0" w:rsidRPr="005538AF">
        <w:rPr>
          <w:rFonts w:ascii="Arial" w:hAnsi="Arial" w:cs="Arial"/>
          <w:b/>
        </w:rPr>
        <w:t>hyperacute stroke unit within 60 minutes</w:t>
      </w:r>
      <w:bookmarkEnd w:id="2"/>
      <w:r w:rsidRPr="005538AF">
        <w:rPr>
          <w:rFonts w:ascii="Arial" w:hAnsi="Arial" w:cs="Arial"/>
          <w:b/>
        </w:rPr>
        <w:t xml:space="preserve">. </w:t>
      </w:r>
      <w:r w:rsidRPr="005538AF">
        <w:rPr>
          <w:rFonts w:ascii="Arial" w:hAnsi="Arial" w:cs="Arial"/>
        </w:rPr>
        <w:t xml:space="preserve">Of </w:t>
      </w:r>
      <w:bookmarkStart w:id="3" w:name="OLE_LINK3"/>
      <w:r w:rsidR="00B05CB0" w:rsidRPr="005538AF">
        <w:rPr>
          <w:rFonts w:ascii="Arial" w:hAnsi="Arial" w:cs="Arial"/>
        </w:rPr>
        <w:t xml:space="preserve">suspected stroke patients that </w:t>
      </w:r>
      <w:r w:rsidR="00E74035" w:rsidRPr="005538AF">
        <w:rPr>
          <w:rFonts w:ascii="Arial" w:hAnsi="Arial" w:cs="Arial"/>
        </w:rPr>
        <w:t>were assessed face to face</w:t>
      </w:r>
      <w:r>
        <w:rPr>
          <w:rFonts w:ascii="Arial" w:hAnsi="Arial" w:cs="Arial"/>
        </w:rPr>
        <w:t xml:space="preserve">, </w:t>
      </w:r>
      <w:r w:rsidRPr="005538AF">
        <w:rPr>
          <w:rFonts w:ascii="Arial" w:hAnsi="Arial" w:cs="Arial"/>
          <w:b/>
        </w:rPr>
        <w:t>96.</w:t>
      </w:r>
      <w:r w:rsidR="0005599E">
        <w:rPr>
          <w:rFonts w:ascii="Arial" w:hAnsi="Arial" w:cs="Arial"/>
          <w:b/>
        </w:rPr>
        <w:t>8</w:t>
      </w:r>
      <w:r w:rsidRPr="005538AF">
        <w:rPr>
          <w:rFonts w:ascii="Arial" w:hAnsi="Arial" w:cs="Arial"/>
          <w:b/>
        </w:rPr>
        <w:t>%</w:t>
      </w:r>
      <w:r>
        <w:rPr>
          <w:rFonts w:ascii="Arial" w:hAnsi="Arial" w:cs="Arial"/>
          <w:b/>
        </w:rPr>
        <w:t xml:space="preserve"> </w:t>
      </w:r>
      <w:r w:rsidR="00E74035" w:rsidRPr="005538AF">
        <w:rPr>
          <w:rFonts w:ascii="Arial" w:hAnsi="Arial" w:cs="Arial"/>
        </w:rPr>
        <w:t xml:space="preserve">received the </w:t>
      </w:r>
      <w:r w:rsidR="00E74035" w:rsidRPr="005538AF">
        <w:rPr>
          <w:rFonts w:ascii="Arial" w:hAnsi="Arial" w:cs="Arial"/>
          <w:b/>
        </w:rPr>
        <w:t>appropriate care bundle</w:t>
      </w:r>
      <w:bookmarkEnd w:id="3"/>
      <w:r>
        <w:rPr>
          <w:rFonts w:ascii="Arial" w:hAnsi="Arial" w:cs="Arial"/>
        </w:rPr>
        <w:t>.</w:t>
      </w:r>
    </w:p>
    <w:p w:rsidR="009B5D9A" w:rsidRDefault="009B5D9A">
      <w:pPr>
        <w:rPr>
          <w:rFonts w:ascii="Arial" w:hAnsi="Arial" w:cs="Arial"/>
          <w:b/>
        </w:rPr>
      </w:pPr>
    </w:p>
    <w:p w:rsidR="005538AF" w:rsidRDefault="005538AF">
      <w:pPr>
        <w:rPr>
          <w:rFonts w:ascii="Arial" w:hAnsi="Arial" w:cs="Arial"/>
          <w:b/>
        </w:rPr>
      </w:pPr>
    </w:p>
    <w:p w:rsidR="009B5D9A" w:rsidRPr="009B5D9A" w:rsidRDefault="009B5D9A" w:rsidP="009B5D9A">
      <w:pPr>
        <w:rPr>
          <w:rFonts w:ascii="Arial" w:hAnsi="Arial"/>
          <w:b/>
          <w:bCs/>
        </w:rPr>
      </w:pPr>
      <w:r w:rsidRPr="009B5D9A">
        <w:rPr>
          <w:rFonts w:ascii="Arial" w:hAnsi="Arial"/>
          <w:b/>
          <w:bCs/>
        </w:rPr>
        <w:t xml:space="preserve">Table </w:t>
      </w:r>
      <w:r>
        <w:rPr>
          <w:rFonts w:ascii="Arial" w:hAnsi="Arial"/>
          <w:b/>
          <w:bCs/>
        </w:rPr>
        <w:t>2</w:t>
      </w:r>
      <w:r w:rsidRPr="009B5D9A">
        <w:rPr>
          <w:rFonts w:ascii="Arial" w:hAnsi="Arial"/>
          <w:b/>
          <w:bCs/>
        </w:rPr>
        <w:t xml:space="preserve">: </w:t>
      </w:r>
      <w:r w:rsidR="00741E8A">
        <w:rPr>
          <w:rFonts w:ascii="Arial" w:hAnsi="Arial"/>
          <w:b/>
          <w:bCs/>
        </w:rPr>
        <w:t xml:space="preserve">February </w:t>
      </w:r>
      <w:r w:rsidRPr="009B5D9A">
        <w:rPr>
          <w:rFonts w:ascii="Arial" w:hAnsi="Arial"/>
          <w:b/>
          <w:bCs/>
        </w:rPr>
        <w:t xml:space="preserve">2014 </w:t>
      </w:r>
      <w:r w:rsidRPr="00B86E93">
        <w:rPr>
          <w:rFonts w:ascii="Arial" w:hAnsi="Arial" w:cs="Arial"/>
          <w:b/>
          <w:bCs/>
        </w:rPr>
        <w:t>Clinical Outcomes</w:t>
      </w:r>
      <w:r w:rsidRPr="009B5D9A">
        <w:rPr>
          <w:rFonts w:ascii="Arial" w:hAnsi="Arial"/>
          <w:b/>
          <w:bCs/>
        </w:rPr>
        <w:t xml:space="preserve"> trust averages and extremes</w:t>
      </w:r>
    </w:p>
    <w:p w:rsidR="009B5D9A" w:rsidRDefault="009B5D9A" w:rsidP="009B5D9A">
      <w:pPr>
        <w:ind w:left="720"/>
      </w:pPr>
    </w:p>
    <w:tbl>
      <w:tblPr>
        <w:tblW w:w="8740" w:type="dxa"/>
        <w:tblInd w:w="93" w:type="dxa"/>
        <w:tblLayout w:type="fixed"/>
        <w:tblLook w:val="04A0" w:firstRow="1" w:lastRow="0" w:firstColumn="1" w:lastColumn="0" w:noHBand="0" w:noVBand="1"/>
      </w:tblPr>
      <w:tblGrid>
        <w:gridCol w:w="441"/>
        <w:gridCol w:w="4394"/>
        <w:gridCol w:w="1301"/>
        <w:gridCol w:w="1302"/>
        <w:gridCol w:w="1302"/>
      </w:tblGrid>
      <w:tr w:rsidR="009B5D9A" w:rsidTr="0097213E">
        <w:trPr>
          <w:trHeight w:val="645"/>
        </w:trPr>
        <w:tc>
          <w:tcPr>
            <w:tcW w:w="4835" w:type="dxa"/>
            <w:gridSpan w:val="2"/>
            <w:shd w:val="clear" w:color="000000" w:fill="E0E0E0"/>
            <w:vAlign w:val="center"/>
            <w:hideMark/>
          </w:tcPr>
          <w:p w:rsidR="009B5D9A" w:rsidRDefault="009B5D9A" w:rsidP="00E06051">
            <w:pPr>
              <w:jc w:val="center"/>
              <w:rPr>
                <w:rFonts w:ascii="Arial" w:hAnsi="Arial" w:cs="Arial"/>
                <w:b/>
                <w:bCs/>
              </w:rPr>
            </w:pPr>
            <w:r>
              <w:rPr>
                <w:rFonts w:ascii="Arial" w:hAnsi="Arial" w:cs="Arial"/>
                <w:b/>
                <w:bCs/>
              </w:rPr>
              <w:t>Indicator</w:t>
            </w:r>
          </w:p>
        </w:tc>
        <w:tc>
          <w:tcPr>
            <w:tcW w:w="1301"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All England</w:t>
            </w:r>
          </w:p>
        </w:tc>
        <w:tc>
          <w:tcPr>
            <w:tcW w:w="130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Lowest Trust</w:t>
            </w:r>
          </w:p>
        </w:tc>
        <w:tc>
          <w:tcPr>
            <w:tcW w:w="130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Highest Trust</w:t>
            </w:r>
          </w:p>
        </w:tc>
      </w:tr>
      <w:tr w:rsidR="008231E3" w:rsidTr="0097213E">
        <w:trPr>
          <w:trHeight w:val="206"/>
        </w:trPr>
        <w:tc>
          <w:tcPr>
            <w:tcW w:w="4835" w:type="dxa"/>
            <w:gridSpan w:val="2"/>
            <w:shd w:val="clear" w:color="000000" w:fill="FFFFFF"/>
            <w:vAlign w:val="center"/>
            <w:hideMark/>
          </w:tcPr>
          <w:p w:rsidR="008231E3" w:rsidRPr="005538AF" w:rsidRDefault="006E58F5" w:rsidP="006E58F5">
            <w:pPr>
              <w:rPr>
                <w:rFonts w:ascii="Arial" w:hAnsi="Arial" w:cs="Arial"/>
                <w:b/>
              </w:rPr>
            </w:pPr>
            <w:r w:rsidRPr="005538AF">
              <w:rPr>
                <w:rFonts w:ascii="Arial" w:hAnsi="Arial" w:cs="Arial"/>
                <w:b/>
              </w:rPr>
              <w:t>Return of spontaneous circulation:</w:t>
            </w:r>
          </w:p>
        </w:tc>
        <w:tc>
          <w:tcPr>
            <w:tcW w:w="1301" w:type="dxa"/>
            <w:shd w:val="clear" w:color="000000" w:fill="FFFFFF"/>
            <w:vAlign w:val="center"/>
            <w:hideMark/>
          </w:tcPr>
          <w:p w:rsidR="008231E3" w:rsidRPr="009B5D9A" w:rsidRDefault="008231E3" w:rsidP="006E58F5">
            <w:pPr>
              <w:pStyle w:val="StyleArialRightRight05cm"/>
            </w:pPr>
            <w:r w:rsidRPr="009B5D9A">
              <w:t> </w:t>
            </w:r>
          </w:p>
        </w:tc>
        <w:tc>
          <w:tcPr>
            <w:tcW w:w="1302" w:type="dxa"/>
            <w:shd w:val="clear" w:color="000000" w:fill="FFFFFF"/>
            <w:vAlign w:val="center"/>
            <w:hideMark/>
          </w:tcPr>
          <w:p w:rsidR="008231E3" w:rsidRPr="009B5D9A" w:rsidRDefault="008231E3" w:rsidP="006E58F5">
            <w:pPr>
              <w:pStyle w:val="StyleArialRightRight05cm"/>
            </w:pPr>
            <w:r w:rsidRPr="009B5D9A">
              <w:t> </w:t>
            </w:r>
          </w:p>
        </w:tc>
        <w:tc>
          <w:tcPr>
            <w:tcW w:w="1302" w:type="dxa"/>
            <w:shd w:val="clear" w:color="000000" w:fill="FFFFFF"/>
            <w:vAlign w:val="center"/>
            <w:hideMark/>
          </w:tcPr>
          <w:p w:rsidR="008231E3" w:rsidRPr="009B5D9A" w:rsidRDefault="008231E3" w:rsidP="006E58F5">
            <w:pPr>
              <w:pStyle w:val="StyleArialRightRight05cm"/>
            </w:pPr>
            <w:r w:rsidRPr="009B5D9A">
              <w:t> </w:t>
            </w:r>
          </w:p>
        </w:tc>
      </w:tr>
      <w:tr w:rsidR="00493002" w:rsidTr="0097213E">
        <w:trPr>
          <w:trHeight w:val="300"/>
        </w:trPr>
        <w:tc>
          <w:tcPr>
            <w:tcW w:w="441" w:type="dxa"/>
            <w:shd w:val="clear" w:color="000000" w:fill="FFFFFF"/>
            <w:vAlign w:val="center"/>
          </w:tcPr>
          <w:p w:rsidR="00493002" w:rsidRDefault="00493002" w:rsidP="0011384E">
            <w:pPr>
              <w:jc w:val="center"/>
              <w:rPr>
                <w:rFonts w:ascii="Arial" w:hAnsi="Arial" w:cs="Arial"/>
              </w:rPr>
            </w:pPr>
          </w:p>
        </w:tc>
        <w:tc>
          <w:tcPr>
            <w:tcW w:w="4394" w:type="dxa"/>
            <w:shd w:val="clear" w:color="000000" w:fill="FFFFFF"/>
            <w:vAlign w:val="center"/>
          </w:tcPr>
          <w:p w:rsidR="00493002" w:rsidRDefault="00493002" w:rsidP="00335EE6">
            <w:pPr>
              <w:rPr>
                <w:rFonts w:ascii="Arial" w:hAnsi="Arial" w:cs="Arial"/>
              </w:rPr>
            </w:pPr>
            <w:r>
              <w:rPr>
                <w:rFonts w:ascii="Arial" w:hAnsi="Arial" w:cs="Arial"/>
              </w:rPr>
              <w:t>All patients</w:t>
            </w:r>
          </w:p>
        </w:tc>
        <w:tc>
          <w:tcPr>
            <w:tcW w:w="1301"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27.5%</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18.8%</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36.9%</w:t>
            </w:r>
          </w:p>
        </w:tc>
      </w:tr>
      <w:tr w:rsidR="00493002" w:rsidTr="0097213E">
        <w:trPr>
          <w:trHeight w:val="315"/>
        </w:trPr>
        <w:tc>
          <w:tcPr>
            <w:tcW w:w="441" w:type="dxa"/>
            <w:shd w:val="clear" w:color="000000" w:fill="FFFFFF"/>
            <w:vAlign w:val="center"/>
          </w:tcPr>
          <w:p w:rsidR="00493002" w:rsidRDefault="00493002" w:rsidP="0011384E">
            <w:pPr>
              <w:jc w:val="center"/>
              <w:rPr>
                <w:rFonts w:ascii="Arial" w:hAnsi="Arial" w:cs="Arial"/>
              </w:rPr>
            </w:pPr>
            <w:r>
              <w:rPr>
                <w:rFonts w:ascii="Arial" w:hAnsi="Arial" w:cs="Arial"/>
              </w:rPr>
              <w:t>†</w:t>
            </w:r>
          </w:p>
        </w:tc>
        <w:tc>
          <w:tcPr>
            <w:tcW w:w="4394" w:type="dxa"/>
            <w:shd w:val="clear" w:color="000000" w:fill="FFFFFF"/>
            <w:vAlign w:val="center"/>
          </w:tcPr>
          <w:p w:rsidR="00493002" w:rsidRDefault="00493002" w:rsidP="00BB5577">
            <w:pPr>
              <w:rPr>
                <w:rFonts w:ascii="Arial" w:hAnsi="Arial" w:cs="Arial"/>
              </w:rPr>
            </w:pPr>
            <w:r>
              <w:rPr>
                <w:rFonts w:ascii="Arial" w:hAnsi="Arial" w:cs="Arial"/>
              </w:rPr>
              <w:t>Utstein group</w:t>
            </w:r>
          </w:p>
        </w:tc>
        <w:tc>
          <w:tcPr>
            <w:tcW w:w="1301"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53.0%</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27.3%</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70.0%</w:t>
            </w:r>
          </w:p>
        </w:tc>
      </w:tr>
      <w:tr w:rsidR="009B5D9A" w:rsidRPr="005538AF" w:rsidTr="0097213E">
        <w:trPr>
          <w:trHeight w:val="275"/>
        </w:trPr>
        <w:tc>
          <w:tcPr>
            <w:tcW w:w="8740" w:type="dxa"/>
            <w:gridSpan w:val="5"/>
            <w:shd w:val="clear" w:color="000000" w:fill="FFFFFF"/>
            <w:vAlign w:val="center"/>
            <w:hideMark/>
          </w:tcPr>
          <w:p w:rsidR="00A3104B" w:rsidRDefault="00A3104B" w:rsidP="0097213E">
            <w:pPr>
              <w:jc w:val="right"/>
              <w:rPr>
                <w:rFonts w:ascii="Arial" w:hAnsi="Arial" w:cs="Arial"/>
                <w:b/>
              </w:rPr>
            </w:pPr>
          </w:p>
          <w:p w:rsidR="009B5D9A" w:rsidRPr="005538AF" w:rsidRDefault="006E58F5" w:rsidP="0097213E">
            <w:pPr>
              <w:rPr>
                <w:rFonts w:ascii="Arial" w:hAnsi="Arial" w:cs="Arial"/>
                <w:b/>
              </w:rPr>
            </w:pPr>
            <w:r w:rsidRPr="005538AF">
              <w:rPr>
                <w:rFonts w:ascii="Arial" w:hAnsi="Arial" w:cs="Arial"/>
                <w:b/>
              </w:rPr>
              <w:t>Survival to discharge following cardiac arrest:</w:t>
            </w:r>
          </w:p>
        </w:tc>
      </w:tr>
      <w:tr w:rsidR="00493002" w:rsidTr="0097213E">
        <w:trPr>
          <w:trHeight w:val="300"/>
        </w:trPr>
        <w:tc>
          <w:tcPr>
            <w:tcW w:w="441" w:type="dxa"/>
            <w:shd w:val="clear" w:color="000000" w:fill="FFFFFF"/>
            <w:vAlign w:val="center"/>
          </w:tcPr>
          <w:p w:rsidR="00493002" w:rsidRDefault="00493002" w:rsidP="0011384E">
            <w:pPr>
              <w:jc w:val="center"/>
              <w:rPr>
                <w:rFonts w:ascii="Arial" w:hAnsi="Arial" w:cs="Arial"/>
              </w:rPr>
            </w:pPr>
          </w:p>
        </w:tc>
        <w:tc>
          <w:tcPr>
            <w:tcW w:w="4394" w:type="dxa"/>
            <w:shd w:val="clear" w:color="000000" w:fill="FFFFFF"/>
            <w:vAlign w:val="center"/>
          </w:tcPr>
          <w:p w:rsidR="00493002" w:rsidRDefault="00493002" w:rsidP="00937077">
            <w:pPr>
              <w:rPr>
                <w:rFonts w:ascii="Arial" w:hAnsi="Arial" w:cs="Arial"/>
              </w:rPr>
            </w:pPr>
            <w:r>
              <w:rPr>
                <w:rFonts w:ascii="Arial" w:hAnsi="Arial" w:cs="Arial"/>
              </w:rPr>
              <w:t>All patients</w:t>
            </w:r>
          </w:p>
        </w:tc>
        <w:tc>
          <w:tcPr>
            <w:tcW w:w="1301"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9.3%</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w:t>
            </w:r>
            <w:r w:rsidR="0097213E">
              <w:rPr>
                <w:rFonts w:ascii="Arial" w:hAnsi="Arial" w:cs="Arial"/>
              </w:rPr>
              <w:t xml:space="preserve"> </w:t>
            </w:r>
            <w:r>
              <w:rPr>
                <w:rFonts w:ascii="Arial" w:hAnsi="Arial" w:cs="Arial"/>
              </w:rPr>
              <w:t>2.0%</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13.8%</w:t>
            </w:r>
          </w:p>
        </w:tc>
      </w:tr>
      <w:tr w:rsidR="00493002" w:rsidTr="0097213E">
        <w:trPr>
          <w:trHeight w:val="300"/>
        </w:trPr>
        <w:tc>
          <w:tcPr>
            <w:tcW w:w="441" w:type="dxa"/>
            <w:shd w:val="clear" w:color="000000" w:fill="FFFFFF"/>
            <w:vAlign w:val="center"/>
          </w:tcPr>
          <w:p w:rsidR="00493002" w:rsidRDefault="00493002" w:rsidP="0011384E">
            <w:pPr>
              <w:jc w:val="center"/>
              <w:rPr>
                <w:rFonts w:ascii="Arial" w:hAnsi="Arial" w:cs="Arial"/>
              </w:rPr>
            </w:pPr>
            <w:r>
              <w:rPr>
                <w:rFonts w:ascii="Arial" w:hAnsi="Arial" w:cs="Arial"/>
              </w:rPr>
              <w:t>†</w:t>
            </w:r>
          </w:p>
        </w:tc>
        <w:tc>
          <w:tcPr>
            <w:tcW w:w="4394" w:type="dxa"/>
            <w:shd w:val="clear" w:color="000000" w:fill="FFFFFF"/>
            <w:vAlign w:val="center"/>
          </w:tcPr>
          <w:p w:rsidR="00493002" w:rsidRDefault="00493002" w:rsidP="00937077">
            <w:pPr>
              <w:rPr>
                <w:rFonts w:ascii="Arial" w:hAnsi="Arial" w:cs="Arial"/>
              </w:rPr>
            </w:pPr>
            <w:r>
              <w:rPr>
                <w:rFonts w:ascii="Arial" w:hAnsi="Arial" w:cs="Arial"/>
              </w:rPr>
              <w:t>Utstein group</w:t>
            </w:r>
          </w:p>
        </w:tc>
        <w:tc>
          <w:tcPr>
            <w:tcW w:w="1301"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29.3%</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w:t>
            </w:r>
            <w:r w:rsidR="0097213E">
              <w:rPr>
                <w:rFonts w:ascii="Arial" w:hAnsi="Arial" w:cs="Arial"/>
              </w:rPr>
              <w:t xml:space="preserve"> </w:t>
            </w:r>
            <w:r>
              <w:rPr>
                <w:rFonts w:ascii="Arial" w:hAnsi="Arial" w:cs="Arial"/>
              </w:rPr>
              <w:t>10.0%</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50.0%</w:t>
            </w:r>
          </w:p>
        </w:tc>
      </w:tr>
      <w:tr w:rsidR="009B5D9A" w:rsidRPr="005538AF" w:rsidTr="0097213E">
        <w:trPr>
          <w:trHeight w:val="300"/>
        </w:trPr>
        <w:tc>
          <w:tcPr>
            <w:tcW w:w="4835" w:type="dxa"/>
            <w:gridSpan w:val="2"/>
            <w:shd w:val="clear" w:color="000000" w:fill="FFFFFF"/>
            <w:vAlign w:val="center"/>
            <w:hideMark/>
          </w:tcPr>
          <w:p w:rsidR="00A3104B" w:rsidRDefault="00A3104B" w:rsidP="006E58F5">
            <w:pPr>
              <w:rPr>
                <w:rFonts w:ascii="Arial" w:hAnsi="Arial" w:cs="Arial"/>
                <w:b/>
              </w:rPr>
            </w:pPr>
          </w:p>
          <w:p w:rsidR="009B5D9A" w:rsidRPr="005538AF" w:rsidRDefault="006E58F5" w:rsidP="006E58F5">
            <w:pPr>
              <w:rPr>
                <w:rFonts w:ascii="Arial" w:hAnsi="Arial" w:cs="Arial"/>
                <w:b/>
              </w:rPr>
            </w:pPr>
            <w:r w:rsidRPr="005538AF">
              <w:rPr>
                <w:rFonts w:ascii="Arial" w:hAnsi="Arial" w:cs="Arial"/>
                <w:b/>
              </w:rPr>
              <w:t>Outcome from acute STEMI:</w:t>
            </w:r>
          </w:p>
        </w:tc>
        <w:tc>
          <w:tcPr>
            <w:tcW w:w="1301" w:type="dxa"/>
            <w:shd w:val="clear" w:color="000000" w:fill="FFFFFF"/>
            <w:vAlign w:val="center"/>
            <w:hideMark/>
          </w:tcPr>
          <w:p w:rsidR="009B5D9A" w:rsidRPr="005538AF" w:rsidRDefault="009B5D9A" w:rsidP="0097213E">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97213E">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97213E">
            <w:pPr>
              <w:pStyle w:val="StyleArialRightRight05cm"/>
              <w:rPr>
                <w:b/>
              </w:rPr>
            </w:pPr>
            <w:r w:rsidRPr="005538AF">
              <w:rPr>
                <w:b/>
              </w:rPr>
              <w:t> </w:t>
            </w:r>
          </w:p>
        </w:tc>
      </w:tr>
      <w:tr w:rsidR="00493002" w:rsidTr="0097213E">
        <w:trPr>
          <w:trHeight w:val="300"/>
        </w:trPr>
        <w:tc>
          <w:tcPr>
            <w:tcW w:w="441" w:type="dxa"/>
            <w:shd w:val="clear" w:color="000000" w:fill="FFFFFF"/>
            <w:vAlign w:val="center"/>
          </w:tcPr>
          <w:p w:rsidR="00493002" w:rsidRDefault="00493002" w:rsidP="0011384E">
            <w:pPr>
              <w:jc w:val="center"/>
              <w:rPr>
                <w:rFonts w:ascii="Arial" w:hAnsi="Arial" w:cs="Arial"/>
              </w:rPr>
            </w:pPr>
            <w:r>
              <w:rPr>
                <w:rFonts w:ascii="Arial" w:hAnsi="Arial" w:cs="Arial"/>
              </w:rPr>
              <w:t>†</w:t>
            </w:r>
          </w:p>
        </w:tc>
        <w:tc>
          <w:tcPr>
            <w:tcW w:w="4394" w:type="dxa"/>
            <w:shd w:val="clear" w:color="000000" w:fill="FFFFFF"/>
            <w:vAlign w:val="center"/>
          </w:tcPr>
          <w:p w:rsidR="00493002" w:rsidRDefault="00493002" w:rsidP="00365335">
            <w:pPr>
              <w:rPr>
                <w:rFonts w:ascii="Arial" w:hAnsi="Arial" w:cs="Arial"/>
              </w:rPr>
            </w:pPr>
            <w:r>
              <w:rPr>
                <w:rFonts w:ascii="Arial" w:hAnsi="Arial" w:cs="Arial"/>
              </w:rPr>
              <w:t>Angioplasty within 150 minutes</w:t>
            </w:r>
          </w:p>
        </w:tc>
        <w:tc>
          <w:tcPr>
            <w:tcW w:w="1301"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87.9%</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w:t>
            </w:r>
            <w:r w:rsidR="0097213E">
              <w:rPr>
                <w:rFonts w:ascii="Arial" w:hAnsi="Arial" w:cs="Arial"/>
              </w:rPr>
              <w:t xml:space="preserve"> </w:t>
            </w:r>
            <w:r>
              <w:rPr>
                <w:rFonts w:ascii="Arial" w:hAnsi="Arial" w:cs="Arial"/>
              </w:rPr>
              <w:t>77.0%</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98.9%</w:t>
            </w:r>
          </w:p>
        </w:tc>
      </w:tr>
      <w:tr w:rsidR="00493002" w:rsidTr="0097213E">
        <w:trPr>
          <w:trHeight w:val="169"/>
        </w:trPr>
        <w:tc>
          <w:tcPr>
            <w:tcW w:w="441" w:type="dxa"/>
            <w:shd w:val="clear" w:color="000000" w:fill="FFFFFF"/>
            <w:vAlign w:val="center"/>
          </w:tcPr>
          <w:p w:rsidR="00493002" w:rsidRDefault="00493002" w:rsidP="0011384E">
            <w:pPr>
              <w:jc w:val="center"/>
              <w:rPr>
                <w:rFonts w:ascii="Arial" w:hAnsi="Arial" w:cs="Arial"/>
              </w:rPr>
            </w:pPr>
            <w:r>
              <w:rPr>
                <w:rFonts w:ascii="Arial" w:hAnsi="Arial" w:cs="Arial"/>
              </w:rPr>
              <w:t>†</w:t>
            </w:r>
          </w:p>
        </w:tc>
        <w:tc>
          <w:tcPr>
            <w:tcW w:w="4394" w:type="dxa"/>
            <w:shd w:val="clear" w:color="000000" w:fill="FFFFFF"/>
            <w:vAlign w:val="center"/>
          </w:tcPr>
          <w:p w:rsidR="00493002" w:rsidRDefault="00493002" w:rsidP="00365335">
            <w:pPr>
              <w:rPr>
                <w:rFonts w:ascii="Arial" w:hAnsi="Arial" w:cs="Arial"/>
              </w:rPr>
            </w:pPr>
            <w:r>
              <w:rPr>
                <w:rFonts w:ascii="Arial" w:hAnsi="Arial" w:cs="Arial"/>
              </w:rPr>
              <w:t>Received appropriate care bundle</w:t>
            </w:r>
          </w:p>
        </w:tc>
        <w:tc>
          <w:tcPr>
            <w:tcW w:w="1301"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80.7%</w:t>
            </w:r>
          </w:p>
        </w:tc>
        <w:tc>
          <w:tcPr>
            <w:tcW w:w="1302" w:type="dxa"/>
            <w:shd w:val="clear" w:color="000000" w:fill="FFFFFF"/>
            <w:vAlign w:val="center"/>
            <w:hideMark/>
          </w:tcPr>
          <w:p w:rsidR="00493002" w:rsidRDefault="00493002" w:rsidP="0097213E">
            <w:pPr>
              <w:ind w:right="170"/>
              <w:jc w:val="right"/>
              <w:rPr>
                <w:rFonts w:ascii="Arial" w:hAnsi="Arial" w:cs="Arial"/>
              </w:rPr>
            </w:pPr>
            <w:r>
              <w:rPr>
                <w:rFonts w:ascii="Arial" w:hAnsi="Arial" w:cs="Arial"/>
              </w:rPr>
              <w:t>72.3%</w:t>
            </w:r>
          </w:p>
        </w:tc>
        <w:tc>
          <w:tcPr>
            <w:tcW w:w="1302" w:type="dxa"/>
            <w:shd w:val="clear" w:color="000000" w:fill="FFFFFF"/>
            <w:vAlign w:val="center"/>
            <w:hideMark/>
          </w:tcPr>
          <w:p w:rsidR="00493002" w:rsidRDefault="00A831DC" w:rsidP="0097213E">
            <w:pPr>
              <w:ind w:right="170"/>
              <w:jc w:val="right"/>
              <w:rPr>
                <w:rFonts w:ascii="Arial" w:hAnsi="Arial" w:cs="Arial"/>
              </w:rPr>
            </w:pPr>
            <w:r>
              <w:rPr>
                <w:rFonts w:ascii="Arial" w:hAnsi="Arial" w:cs="Arial"/>
              </w:rPr>
              <w:t>*</w:t>
            </w:r>
            <w:r w:rsidR="0097213E">
              <w:rPr>
                <w:rFonts w:ascii="Arial" w:hAnsi="Arial" w:cs="Arial"/>
              </w:rPr>
              <w:t xml:space="preserve"> </w:t>
            </w:r>
            <w:r w:rsidR="00493002">
              <w:rPr>
                <w:rFonts w:ascii="Arial" w:hAnsi="Arial" w:cs="Arial"/>
              </w:rPr>
              <w:t>89.4%</w:t>
            </w:r>
          </w:p>
        </w:tc>
      </w:tr>
      <w:tr w:rsidR="009B5D9A" w:rsidRPr="005538AF" w:rsidTr="0097213E">
        <w:trPr>
          <w:trHeight w:val="300"/>
        </w:trPr>
        <w:tc>
          <w:tcPr>
            <w:tcW w:w="4835" w:type="dxa"/>
            <w:gridSpan w:val="2"/>
            <w:shd w:val="clear" w:color="000000" w:fill="FFFFFF"/>
            <w:vAlign w:val="center"/>
            <w:hideMark/>
          </w:tcPr>
          <w:p w:rsidR="00A3104B" w:rsidRDefault="00A3104B">
            <w:pPr>
              <w:rPr>
                <w:rFonts w:ascii="Arial" w:hAnsi="Arial" w:cs="Arial"/>
                <w:b/>
              </w:rPr>
            </w:pPr>
          </w:p>
          <w:p w:rsidR="009B5D9A" w:rsidRPr="005538AF" w:rsidRDefault="006E58F5">
            <w:pPr>
              <w:rPr>
                <w:rFonts w:ascii="Arial" w:hAnsi="Arial" w:cs="Arial"/>
                <w:b/>
              </w:rPr>
            </w:pPr>
            <w:r w:rsidRPr="005538AF">
              <w:rPr>
                <w:rFonts w:ascii="Arial" w:hAnsi="Arial" w:cs="Arial"/>
                <w:b/>
              </w:rPr>
              <w:t>Outcome from stroke:</w:t>
            </w:r>
          </w:p>
        </w:tc>
        <w:tc>
          <w:tcPr>
            <w:tcW w:w="1301" w:type="dxa"/>
            <w:shd w:val="clear" w:color="000000" w:fill="FFFFFF"/>
            <w:vAlign w:val="center"/>
            <w:hideMark/>
          </w:tcPr>
          <w:p w:rsidR="009B5D9A" w:rsidRPr="005538AF" w:rsidRDefault="009B5D9A" w:rsidP="0097213E">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97213E">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97213E">
            <w:pPr>
              <w:pStyle w:val="StyleArialRightRight05cm"/>
              <w:rPr>
                <w:b/>
              </w:rPr>
            </w:pPr>
            <w:r w:rsidRPr="005538AF">
              <w:rPr>
                <w:b/>
              </w:rPr>
              <w:t> </w:t>
            </w:r>
          </w:p>
        </w:tc>
      </w:tr>
      <w:tr w:rsidR="00A831DC" w:rsidTr="0097213E">
        <w:trPr>
          <w:trHeight w:val="300"/>
        </w:trPr>
        <w:tc>
          <w:tcPr>
            <w:tcW w:w="441" w:type="dxa"/>
            <w:shd w:val="clear" w:color="000000" w:fill="FFFFFF"/>
            <w:vAlign w:val="center"/>
          </w:tcPr>
          <w:p w:rsidR="00A831DC" w:rsidRDefault="0097213E" w:rsidP="0011384E">
            <w:pPr>
              <w:jc w:val="center"/>
              <w:rPr>
                <w:rFonts w:ascii="Arial" w:hAnsi="Arial" w:cs="Arial"/>
              </w:rPr>
            </w:pPr>
            <w:r>
              <w:rPr>
                <w:rFonts w:ascii="Arial" w:hAnsi="Arial" w:cs="Arial"/>
              </w:rPr>
              <w:t>†</w:t>
            </w:r>
          </w:p>
        </w:tc>
        <w:tc>
          <w:tcPr>
            <w:tcW w:w="4394" w:type="dxa"/>
            <w:shd w:val="clear" w:color="000000" w:fill="FFFFFF"/>
            <w:vAlign w:val="center"/>
          </w:tcPr>
          <w:p w:rsidR="00A831DC" w:rsidRDefault="00A831DC" w:rsidP="004B241D">
            <w:pPr>
              <w:rPr>
                <w:rFonts w:ascii="Arial" w:hAnsi="Arial" w:cs="Arial"/>
              </w:rPr>
            </w:pPr>
            <w:r>
              <w:rPr>
                <w:rFonts w:ascii="Arial" w:hAnsi="Arial" w:cs="Arial"/>
              </w:rPr>
              <w:t>Thrombolysis in 60 minutes</w:t>
            </w:r>
          </w:p>
        </w:tc>
        <w:tc>
          <w:tcPr>
            <w:tcW w:w="1301" w:type="dxa"/>
            <w:shd w:val="clear" w:color="000000" w:fill="FFFFFF"/>
            <w:vAlign w:val="center"/>
            <w:hideMark/>
          </w:tcPr>
          <w:p w:rsidR="00A831DC" w:rsidRDefault="00A831DC" w:rsidP="0097213E">
            <w:pPr>
              <w:ind w:right="170"/>
              <w:jc w:val="right"/>
              <w:rPr>
                <w:rFonts w:ascii="Arial" w:hAnsi="Arial" w:cs="Arial"/>
              </w:rPr>
            </w:pPr>
            <w:r>
              <w:rPr>
                <w:rFonts w:ascii="Arial" w:hAnsi="Arial" w:cs="Arial"/>
              </w:rPr>
              <w:t>62.7%</w:t>
            </w:r>
          </w:p>
        </w:tc>
        <w:tc>
          <w:tcPr>
            <w:tcW w:w="1302" w:type="dxa"/>
            <w:shd w:val="clear" w:color="000000" w:fill="FFFFFF"/>
            <w:vAlign w:val="center"/>
            <w:hideMark/>
          </w:tcPr>
          <w:p w:rsidR="00A831DC" w:rsidRDefault="00A831DC" w:rsidP="0097213E">
            <w:pPr>
              <w:ind w:right="170"/>
              <w:jc w:val="right"/>
              <w:rPr>
                <w:rFonts w:ascii="Arial" w:hAnsi="Arial" w:cs="Arial"/>
              </w:rPr>
            </w:pPr>
            <w:r>
              <w:rPr>
                <w:rFonts w:ascii="Arial" w:hAnsi="Arial" w:cs="Arial"/>
              </w:rPr>
              <w:t>39.5%</w:t>
            </w:r>
          </w:p>
        </w:tc>
        <w:tc>
          <w:tcPr>
            <w:tcW w:w="1302" w:type="dxa"/>
            <w:shd w:val="clear" w:color="000000" w:fill="FFFFFF"/>
            <w:vAlign w:val="center"/>
            <w:hideMark/>
          </w:tcPr>
          <w:p w:rsidR="00A831DC" w:rsidRDefault="00A831DC" w:rsidP="0097213E">
            <w:pPr>
              <w:ind w:right="170"/>
              <w:jc w:val="right"/>
              <w:rPr>
                <w:rFonts w:ascii="Arial" w:hAnsi="Arial" w:cs="Arial"/>
              </w:rPr>
            </w:pPr>
            <w:r>
              <w:rPr>
                <w:rFonts w:ascii="Arial" w:hAnsi="Arial" w:cs="Arial"/>
              </w:rPr>
              <w:t>*</w:t>
            </w:r>
            <w:r w:rsidR="0097213E">
              <w:rPr>
                <w:rFonts w:ascii="Arial" w:hAnsi="Arial" w:cs="Arial"/>
              </w:rPr>
              <w:t xml:space="preserve"> </w:t>
            </w:r>
            <w:r>
              <w:rPr>
                <w:rFonts w:ascii="Arial" w:hAnsi="Arial" w:cs="Arial"/>
              </w:rPr>
              <w:t>73.3%</w:t>
            </w:r>
          </w:p>
        </w:tc>
      </w:tr>
      <w:tr w:rsidR="00A831DC" w:rsidTr="0097213E">
        <w:trPr>
          <w:trHeight w:val="300"/>
        </w:trPr>
        <w:tc>
          <w:tcPr>
            <w:tcW w:w="441" w:type="dxa"/>
            <w:shd w:val="clear" w:color="auto" w:fill="auto"/>
            <w:vAlign w:val="center"/>
          </w:tcPr>
          <w:p w:rsidR="00A831DC" w:rsidRDefault="00A831DC" w:rsidP="0011384E">
            <w:pPr>
              <w:jc w:val="center"/>
              <w:rPr>
                <w:rFonts w:ascii="Arial" w:hAnsi="Arial" w:cs="Arial"/>
              </w:rPr>
            </w:pPr>
          </w:p>
        </w:tc>
        <w:tc>
          <w:tcPr>
            <w:tcW w:w="4394" w:type="dxa"/>
            <w:shd w:val="clear" w:color="auto" w:fill="auto"/>
            <w:vAlign w:val="center"/>
          </w:tcPr>
          <w:p w:rsidR="00A831DC" w:rsidRDefault="00A831DC" w:rsidP="004B241D">
            <w:pPr>
              <w:rPr>
                <w:rFonts w:ascii="Arial" w:hAnsi="Arial" w:cs="Arial"/>
              </w:rPr>
            </w:pPr>
            <w:r>
              <w:rPr>
                <w:rFonts w:ascii="Arial" w:hAnsi="Arial" w:cs="Arial"/>
              </w:rPr>
              <w:t>Received appropriate care bundle</w:t>
            </w:r>
          </w:p>
        </w:tc>
        <w:tc>
          <w:tcPr>
            <w:tcW w:w="1301" w:type="dxa"/>
            <w:shd w:val="clear" w:color="auto" w:fill="auto"/>
            <w:vAlign w:val="center"/>
            <w:hideMark/>
          </w:tcPr>
          <w:p w:rsidR="00A831DC" w:rsidRDefault="00A831DC" w:rsidP="0097213E">
            <w:pPr>
              <w:ind w:right="170"/>
              <w:jc w:val="right"/>
              <w:rPr>
                <w:rFonts w:ascii="Arial" w:hAnsi="Arial" w:cs="Arial"/>
              </w:rPr>
            </w:pPr>
            <w:r>
              <w:rPr>
                <w:rFonts w:ascii="Arial" w:hAnsi="Arial" w:cs="Arial"/>
              </w:rPr>
              <w:t>96.8%</w:t>
            </w:r>
          </w:p>
        </w:tc>
        <w:tc>
          <w:tcPr>
            <w:tcW w:w="1302" w:type="dxa"/>
            <w:shd w:val="clear" w:color="auto" w:fill="auto"/>
            <w:vAlign w:val="center"/>
            <w:hideMark/>
          </w:tcPr>
          <w:p w:rsidR="00A831DC" w:rsidRDefault="00A831DC" w:rsidP="0097213E">
            <w:pPr>
              <w:ind w:right="170"/>
              <w:jc w:val="right"/>
              <w:rPr>
                <w:rFonts w:ascii="Arial" w:hAnsi="Arial" w:cs="Arial"/>
              </w:rPr>
            </w:pPr>
            <w:r>
              <w:rPr>
                <w:rFonts w:ascii="Arial" w:hAnsi="Arial" w:cs="Arial"/>
              </w:rPr>
              <w:t>94.0%</w:t>
            </w:r>
          </w:p>
        </w:tc>
        <w:tc>
          <w:tcPr>
            <w:tcW w:w="1302" w:type="dxa"/>
            <w:shd w:val="clear" w:color="auto" w:fill="auto"/>
            <w:vAlign w:val="center"/>
            <w:hideMark/>
          </w:tcPr>
          <w:p w:rsidR="00A831DC" w:rsidRDefault="00A831DC" w:rsidP="0097213E">
            <w:pPr>
              <w:ind w:right="170"/>
              <w:jc w:val="right"/>
              <w:rPr>
                <w:rFonts w:ascii="Arial" w:hAnsi="Arial" w:cs="Arial"/>
              </w:rPr>
            </w:pPr>
            <w:r>
              <w:rPr>
                <w:rFonts w:ascii="Arial" w:hAnsi="Arial" w:cs="Arial"/>
              </w:rPr>
              <w:t>99.8%</w:t>
            </w:r>
          </w:p>
        </w:tc>
      </w:tr>
    </w:tbl>
    <w:p w:rsidR="003674CA" w:rsidRDefault="003674CA" w:rsidP="00A778EA">
      <w:pPr>
        <w:rPr>
          <w:rFonts w:ascii="Arial" w:hAnsi="Arial" w:cs="Arial"/>
        </w:rPr>
      </w:pPr>
    </w:p>
    <w:p w:rsidR="00F92432" w:rsidRDefault="00F92432" w:rsidP="00A778EA">
      <w:pPr>
        <w:rPr>
          <w:rFonts w:ascii="Arial" w:hAnsi="Arial" w:cs="Arial"/>
          <w:sz w:val="20"/>
          <w:szCs w:val="20"/>
        </w:rPr>
      </w:pPr>
      <w:r w:rsidRPr="00335EE6">
        <w:rPr>
          <w:rFonts w:ascii="Arial" w:hAnsi="Arial" w:cs="Arial"/>
          <w:sz w:val="20"/>
          <w:szCs w:val="20"/>
        </w:rPr>
        <w:t>†</w:t>
      </w:r>
      <w:r w:rsidR="00335EE6" w:rsidRPr="00335EE6">
        <w:rPr>
          <w:rFonts w:ascii="Arial" w:hAnsi="Arial" w:cs="Arial"/>
          <w:sz w:val="20"/>
          <w:szCs w:val="20"/>
        </w:rPr>
        <w:t xml:space="preserve"> </w:t>
      </w:r>
      <w:r w:rsidR="00335EE6">
        <w:rPr>
          <w:rFonts w:ascii="Arial" w:hAnsi="Arial" w:cs="Arial"/>
          <w:sz w:val="20"/>
          <w:szCs w:val="20"/>
        </w:rPr>
        <w:t>Shows an indicator where several trusts have fewer than 100 patients to calculate a percentage out of, and indicators consequently have large variations.</w:t>
      </w:r>
    </w:p>
    <w:p w:rsidR="00A3104B" w:rsidRDefault="00A3104B" w:rsidP="00A778EA">
      <w:pPr>
        <w:rPr>
          <w:rFonts w:ascii="Arial" w:hAnsi="Arial" w:cs="Arial"/>
          <w:sz w:val="20"/>
          <w:szCs w:val="20"/>
        </w:rPr>
      </w:pPr>
    </w:p>
    <w:p w:rsidR="00A3104B" w:rsidRDefault="00A3104B" w:rsidP="00A3104B">
      <w:pPr>
        <w:rPr>
          <w:rFonts w:ascii="Arial" w:hAnsi="Arial"/>
          <w:b/>
          <w:bCs/>
        </w:rPr>
      </w:pPr>
      <w:r>
        <w:rPr>
          <w:rFonts w:ascii="Arial" w:hAnsi="Arial" w:cs="Arial"/>
          <w:sz w:val="20"/>
          <w:szCs w:val="20"/>
        </w:rPr>
        <w:t>*</w:t>
      </w:r>
      <w:r w:rsidRPr="000F5B3F">
        <w:rPr>
          <w:rFonts w:ascii="Arial" w:hAnsi="Arial" w:cs="Arial"/>
          <w:sz w:val="20"/>
          <w:szCs w:val="20"/>
        </w:rPr>
        <w:t xml:space="preserve"> Due to its small size, performance on th</w:t>
      </w:r>
      <w:r>
        <w:rPr>
          <w:rFonts w:ascii="Arial" w:hAnsi="Arial" w:cs="Arial"/>
          <w:sz w:val="20"/>
          <w:szCs w:val="20"/>
        </w:rPr>
        <w:t xml:space="preserve">e Isle of Wight tends to vary </w:t>
      </w:r>
      <w:r w:rsidRPr="000F5B3F">
        <w:rPr>
          <w:rFonts w:ascii="Arial" w:hAnsi="Arial" w:cs="Arial"/>
          <w:sz w:val="20"/>
          <w:szCs w:val="20"/>
        </w:rPr>
        <w:t xml:space="preserve">more than other Trusts. </w:t>
      </w:r>
      <w:r>
        <w:rPr>
          <w:rFonts w:ascii="Arial" w:hAnsi="Arial" w:cs="Arial"/>
          <w:sz w:val="20"/>
          <w:szCs w:val="20"/>
        </w:rPr>
        <w:t>If the Isle of Wight has the lowest or highest value, Table 2 shows the second lowest or highest value, but with an asterisk to show that the Isle of Wight is more extreme.</w:t>
      </w:r>
    </w:p>
    <w:p w:rsidR="008231E3" w:rsidRDefault="008231E3" w:rsidP="00C3443F">
      <w:pPr>
        <w:rPr>
          <w:rFonts w:ascii="Arial" w:hAnsi="Arial" w:cs="Arial"/>
          <w:sz w:val="20"/>
          <w:szCs w:val="20"/>
        </w:rPr>
      </w:pPr>
    </w:p>
    <w:p w:rsidR="008231E3" w:rsidRPr="000F5B3F" w:rsidRDefault="0025490C" w:rsidP="0025490C">
      <w:pPr>
        <w:jc w:val="center"/>
        <w:rPr>
          <w:rFonts w:ascii="Arial" w:hAnsi="Arial" w:cs="Arial"/>
          <w:sz w:val="20"/>
          <w:szCs w:val="20"/>
        </w:rPr>
      </w:pPr>
      <w:r>
        <w:rPr>
          <w:rFonts w:ascii="Arial" w:hAnsi="Arial" w:cs="Arial"/>
          <w:noProof/>
          <w:sz w:val="20"/>
          <w:szCs w:val="20"/>
        </w:rPr>
        <w:drawing>
          <wp:inline distT="0" distB="0" distL="0" distR="0" wp14:anchorId="2621281F">
            <wp:extent cx="5212715" cy="4273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715" cy="4273550"/>
                    </a:xfrm>
                    <a:prstGeom prst="rect">
                      <a:avLst/>
                    </a:prstGeom>
                    <a:noFill/>
                  </pic:spPr>
                </pic:pic>
              </a:graphicData>
            </a:graphic>
          </wp:inline>
        </w:drawing>
      </w:r>
    </w:p>
    <w:p w:rsidR="005B4A17" w:rsidRDefault="005B4A17" w:rsidP="00C3443F">
      <w:pPr>
        <w:rPr>
          <w:highlight w:val="yellow"/>
        </w:rPr>
      </w:pPr>
    </w:p>
    <w:p w:rsidR="00E25E8A" w:rsidRDefault="00E25E8A" w:rsidP="00C3443F">
      <w:pPr>
        <w:rPr>
          <w:highlight w:val="yellow"/>
        </w:rPr>
      </w:pPr>
    </w:p>
    <w:p w:rsidR="005538AF" w:rsidRPr="00197242" w:rsidRDefault="0025490C" w:rsidP="0025490C">
      <w:pPr>
        <w:jc w:val="center"/>
        <w:rPr>
          <w:highlight w:val="yellow"/>
        </w:rPr>
      </w:pPr>
      <w:r>
        <w:rPr>
          <w:noProof/>
        </w:rPr>
        <w:drawing>
          <wp:inline distT="0" distB="0" distL="0" distR="0" wp14:anchorId="0395BB9E">
            <wp:extent cx="5261610" cy="3724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610" cy="3724910"/>
                    </a:xfrm>
                    <a:prstGeom prst="rect">
                      <a:avLst/>
                    </a:prstGeom>
                    <a:noFill/>
                  </pic:spPr>
                </pic:pic>
              </a:graphicData>
            </a:graphic>
          </wp:inline>
        </w:drawing>
      </w:r>
    </w:p>
    <w:p w:rsidR="006E58F5" w:rsidRDefault="00BE1CE7" w:rsidP="00BE1CE7">
      <w:pPr>
        <w:rPr>
          <w:rFonts w:ascii="Arial" w:hAnsi="Arial" w:cs="Arial"/>
        </w:rPr>
      </w:pPr>
      <w:r w:rsidRPr="00BE1CE7">
        <w:rPr>
          <w:rFonts w:ascii="Arial" w:hAnsi="Arial" w:cs="Arial"/>
        </w:rPr>
        <w:t xml:space="preserve"> </w:t>
      </w:r>
    </w:p>
    <w:p w:rsidR="006E58F5" w:rsidRDefault="006E58F5" w:rsidP="00BE1CE7">
      <w:pPr>
        <w:rPr>
          <w:rFonts w:ascii="Arial" w:hAnsi="Arial" w:cs="Arial"/>
        </w:rPr>
      </w:pPr>
    </w:p>
    <w:p w:rsidR="00F912AC" w:rsidRDefault="005538AF" w:rsidP="00C3443F">
      <w:pPr>
        <w:rPr>
          <w:rFonts w:ascii="Arial" w:hAnsi="Arial" w:cs="Arial"/>
          <w:b/>
          <w:sz w:val="40"/>
          <w:szCs w:val="40"/>
        </w:rPr>
      </w:pPr>
      <w:r>
        <w:rPr>
          <w:rFonts w:ascii="Arial" w:hAnsi="Arial" w:cs="Arial"/>
          <w:b/>
          <w:sz w:val="40"/>
          <w:szCs w:val="40"/>
        </w:rPr>
        <w:br w:type="page"/>
      </w:r>
      <w:r w:rsidR="00A33BDB" w:rsidRPr="000D14CB">
        <w:rPr>
          <w:rFonts w:ascii="Arial" w:hAnsi="Arial" w:cs="Arial"/>
          <w:b/>
          <w:sz w:val="40"/>
          <w:szCs w:val="40"/>
        </w:rPr>
        <w:lastRenderedPageBreak/>
        <w:t>ANNEX</w:t>
      </w:r>
    </w:p>
    <w:p w:rsidR="000F5B3F" w:rsidRPr="000D14CB" w:rsidRDefault="000F5B3F" w:rsidP="00C3443F">
      <w:pPr>
        <w:rPr>
          <w:rFonts w:ascii="Arial" w:hAnsi="Arial" w:cs="Arial"/>
          <w:b/>
        </w:rPr>
      </w:pPr>
    </w:p>
    <w:p w:rsidR="002A3DFB" w:rsidRPr="000D14CB" w:rsidRDefault="00FB225C" w:rsidP="005538AF">
      <w:pPr>
        <w:rPr>
          <w:rFonts w:ascii="Arial" w:hAnsi="Arial" w:cs="Arial"/>
        </w:rPr>
      </w:pPr>
      <w:r w:rsidRPr="000D14CB">
        <w:rPr>
          <w:rFonts w:ascii="Arial" w:hAnsi="Arial" w:cs="Arial"/>
          <w:b/>
        </w:rPr>
        <w:t>Ambulance Quality Indicators: Overview</w:t>
      </w:r>
    </w:p>
    <w:p w:rsidR="00340769" w:rsidRPr="005538AF" w:rsidRDefault="00B02804" w:rsidP="005538AF">
      <w:pPr>
        <w:rPr>
          <w:rFonts w:ascii="Arial" w:hAnsi="Arial"/>
        </w:rPr>
      </w:pPr>
      <w:r w:rsidRPr="005538AF">
        <w:rPr>
          <w:rFonts w:ascii="Arial" w:hAnsi="Arial"/>
        </w:rPr>
        <w:t>The Ambulance Quality Indicators</w:t>
      </w:r>
      <w:r w:rsidR="002A3DFB" w:rsidRPr="005538AF">
        <w:rPr>
          <w:rFonts w:ascii="Arial" w:hAnsi="Arial"/>
        </w:rPr>
        <w:t xml:space="preserve"> data is an aggregate data collection </w:t>
      </w:r>
      <w:r w:rsidR="00340769" w:rsidRPr="005538AF">
        <w:rPr>
          <w:rFonts w:ascii="Arial" w:hAnsi="Arial"/>
        </w:rPr>
        <w:t xml:space="preserve">collected from the 11 </w:t>
      </w:r>
      <w:r w:rsidRPr="005538AF">
        <w:rPr>
          <w:rFonts w:ascii="Arial" w:hAnsi="Arial"/>
        </w:rPr>
        <w:t xml:space="preserve">Ambulance Trusts in England each month. </w:t>
      </w:r>
      <w:r w:rsidR="00340769" w:rsidRPr="005538AF">
        <w:rPr>
          <w:rFonts w:ascii="Arial" w:hAnsi="Arial"/>
        </w:rPr>
        <w:t>The collection is divided into two complimentary parts, Systems Indicator</w:t>
      </w:r>
      <w:r w:rsidR="003B628A" w:rsidRPr="005538AF">
        <w:rPr>
          <w:rFonts w:ascii="Arial" w:hAnsi="Arial"/>
        </w:rPr>
        <w:t>s</w:t>
      </w:r>
      <w:r w:rsidR="00340769" w:rsidRPr="005538AF">
        <w:rPr>
          <w:rFonts w:ascii="Arial" w:hAnsi="Arial"/>
        </w:rPr>
        <w:t xml:space="preserve"> (AmbSYS) and Clinical Outcomes (AmbCO). </w:t>
      </w:r>
    </w:p>
    <w:p w:rsidR="003B628A" w:rsidRPr="005538AF" w:rsidRDefault="003B628A" w:rsidP="005538AF">
      <w:pPr>
        <w:rPr>
          <w:rFonts w:ascii="Arial" w:hAnsi="Arial" w:cs="Arial"/>
        </w:rPr>
      </w:pPr>
    </w:p>
    <w:p w:rsidR="00340769" w:rsidRPr="005538AF" w:rsidRDefault="00340769" w:rsidP="005538AF">
      <w:pPr>
        <w:rPr>
          <w:rFonts w:ascii="Arial" w:hAnsi="Arial"/>
        </w:rPr>
      </w:pPr>
      <w:r w:rsidRPr="005538AF">
        <w:rPr>
          <w:rFonts w:ascii="Arial" w:hAnsi="Arial"/>
        </w:rPr>
        <w:t xml:space="preserve">The indicators that make up the Ambulance </w:t>
      </w:r>
      <w:r w:rsidR="00444612" w:rsidRPr="005538AF">
        <w:rPr>
          <w:rFonts w:ascii="Arial" w:hAnsi="Arial"/>
        </w:rPr>
        <w:t>Systems Ind</w:t>
      </w:r>
      <w:r w:rsidRPr="005538AF">
        <w:rPr>
          <w:rFonts w:ascii="Arial" w:hAnsi="Arial"/>
        </w:rPr>
        <w:t>icators relate to the initial 999</w:t>
      </w:r>
      <w:r w:rsidR="00861B67" w:rsidRPr="005538AF">
        <w:rPr>
          <w:rFonts w:ascii="Arial" w:hAnsi="Arial"/>
        </w:rPr>
        <w:t xml:space="preserve"> call, and as such cover indicators</w:t>
      </w:r>
      <w:r w:rsidRPr="005538AF">
        <w:rPr>
          <w:rFonts w:ascii="Arial" w:hAnsi="Arial"/>
        </w:rPr>
        <w:t xml:space="preserve"> such as the 8 minute response time for Category A calls (Red 1 and 2) and the number of emergency journeys.</w:t>
      </w:r>
    </w:p>
    <w:p w:rsidR="003B628A" w:rsidRPr="005538AF" w:rsidRDefault="003B628A" w:rsidP="005538AF">
      <w:pPr>
        <w:rPr>
          <w:rFonts w:ascii="Arial" w:hAnsi="Arial" w:cs="Arial"/>
        </w:rPr>
      </w:pPr>
    </w:p>
    <w:p w:rsidR="00340769" w:rsidRPr="005538AF" w:rsidRDefault="00340769" w:rsidP="005538AF">
      <w:pPr>
        <w:rPr>
          <w:rFonts w:ascii="Arial" w:hAnsi="Arial"/>
        </w:rPr>
      </w:pPr>
      <w:r w:rsidRPr="005538AF">
        <w:rPr>
          <w:rFonts w:ascii="Arial" w:hAnsi="Arial"/>
        </w:rPr>
        <w:t xml:space="preserve">Clinical Outcomes data covers a range of </w:t>
      </w:r>
      <w:r w:rsidR="002A3DFB" w:rsidRPr="005538AF">
        <w:rPr>
          <w:rFonts w:ascii="Arial" w:hAnsi="Arial"/>
        </w:rPr>
        <w:t xml:space="preserve">key clinical indicators, and corresponding performance by ambulance trust, such as survival to discharge following cardiac arrest. Clinical Outcomes performance is published on a 3 month lag relative to the </w:t>
      </w:r>
      <w:r w:rsidR="00444612" w:rsidRPr="005538AF">
        <w:rPr>
          <w:rFonts w:ascii="Arial" w:hAnsi="Arial"/>
        </w:rPr>
        <w:t>Systems Ind</w:t>
      </w:r>
      <w:r w:rsidR="002A3DFB" w:rsidRPr="005538AF">
        <w:rPr>
          <w:rFonts w:ascii="Arial" w:hAnsi="Arial"/>
        </w:rPr>
        <w:t>icators to allow time for patient outcomes to be resolved.</w:t>
      </w:r>
    </w:p>
    <w:p w:rsidR="00B02804" w:rsidRPr="005538AF" w:rsidRDefault="00B02804" w:rsidP="005538AF">
      <w:pPr>
        <w:rPr>
          <w:rFonts w:ascii="Arial" w:hAnsi="Arial" w:cs="Arial"/>
        </w:rPr>
      </w:pPr>
    </w:p>
    <w:p w:rsidR="00B02804" w:rsidRPr="005538AF" w:rsidRDefault="00B02804" w:rsidP="005538AF">
      <w:pPr>
        <w:rPr>
          <w:rFonts w:ascii="Arial" w:hAnsi="Arial"/>
        </w:rPr>
      </w:pPr>
      <w:r w:rsidRPr="005538AF">
        <w:rPr>
          <w:rFonts w:ascii="Arial" w:hAnsi="Arial"/>
        </w:rPr>
        <w:t xml:space="preserve">With the exception of the 8-minute response time standard and the 19-minute transportation standard for Category A (immediately life-threatening) calls, no thresholds to denote “poor” care have been set for these indicators. Instead, the data on the indicators will be used to reduce variation in performance across trusts (where clinically appropriate) and drive continuous improvement in patient outcomes over time. </w:t>
      </w:r>
    </w:p>
    <w:p w:rsidR="00E74035" w:rsidRPr="00151AF2" w:rsidRDefault="00E74035" w:rsidP="00E74035">
      <w:pPr>
        <w:tabs>
          <w:tab w:val="num" w:pos="1080"/>
        </w:tabs>
        <w:autoSpaceDE w:val="0"/>
        <w:autoSpaceDN w:val="0"/>
        <w:adjustRightInd w:val="0"/>
        <w:rPr>
          <w:rFonts w:ascii="Arial" w:hAnsi="Arial" w:cs="Arial"/>
        </w:rPr>
      </w:pPr>
    </w:p>
    <w:p w:rsidR="00E74035" w:rsidRPr="00151AF2" w:rsidRDefault="00E74035" w:rsidP="005538AF">
      <w:pPr>
        <w:tabs>
          <w:tab w:val="num" w:pos="1080"/>
        </w:tabs>
        <w:autoSpaceDE w:val="0"/>
        <w:autoSpaceDN w:val="0"/>
        <w:adjustRightInd w:val="0"/>
        <w:rPr>
          <w:rFonts w:ascii="Arial" w:hAnsi="Arial" w:cs="Arial"/>
          <w:b/>
        </w:rPr>
      </w:pPr>
      <w:r w:rsidRPr="00151AF2">
        <w:rPr>
          <w:rFonts w:ascii="Arial" w:hAnsi="Arial" w:cs="Arial"/>
          <w:b/>
        </w:rPr>
        <w:t>Ambulance Quality Indicators: Key Terms</w:t>
      </w:r>
    </w:p>
    <w:p w:rsidR="00826D43" w:rsidRPr="00151AF2" w:rsidRDefault="00826D43" w:rsidP="00E74035">
      <w:pPr>
        <w:tabs>
          <w:tab w:val="num" w:pos="1080"/>
        </w:tabs>
        <w:autoSpaceDE w:val="0"/>
        <w:autoSpaceDN w:val="0"/>
        <w:adjustRightInd w:val="0"/>
        <w:rPr>
          <w:rFonts w:ascii="Arial" w:hAnsi="Arial" w:cs="Arial"/>
          <w:b/>
        </w:rPr>
      </w:pPr>
    </w:p>
    <w:p w:rsidR="00826D43" w:rsidRPr="00151AF2" w:rsidRDefault="00E74035" w:rsidP="00E74035">
      <w:pPr>
        <w:tabs>
          <w:tab w:val="num" w:pos="1080"/>
        </w:tabs>
        <w:autoSpaceDE w:val="0"/>
        <w:autoSpaceDN w:val="0"/>
        <w:adjustRightInd w:val="0"/>
        <w:rPr>
          <w:rFonts w:ascii="Arial" w:hAnsi="Arial" w:cs="Arial"/>
          <w:b/>
        </w:rPr>
      </w:pPr>
      <w:r w:rsidRPr="00151AF2">
        <w:rPr>
          <w:rFonts w:ascii="Arial" w:hAnsi="Arial" w:cs="Arial"/>
          <w:b/>
        </w:rPr>
        <w:t>Category A Calls</w:t>
      </w:r>
    </w:p>
    <w:p w:rsidR="00A33BDB" w:rsidRPr="00151AF2" w:rsidRDefault="00A33BDB" w:rsidP="00E74035">
      <w:pPr>
        <w:tabs>
          <w:tab w:val="num" w:pos="1080"/>
        </w:tabs>
        <w:autoSpaceDE w:val="0"/>
        <w:autoSpaceDN w:val="0"/>
        <w:adjustRightInd w:val="0"/>
        <w:rPr>
          <w:rFonts w:ascii="Arial" w:hAnsi="Arial" w:cs="Arial"/>
        </w:rPr>
      </w:pPr>
      <w:r w:rsidRPr="00151AF2">
        <w:rPr>
          <w:rFonts w:ascii="Arial" w:hAnsi="Arial" w:cs="Arial"/>
        </w:rPr>
        <w:t>This is a call where the patient is presenting a condition which is serious and life threatening, and where an immediate emergency response is required. For Category A calls, an emergency response should arrive at the scene of the incident within 8 minutes on at least 75% of cases.</w:t>
      </w:r>
    </w:p>
    <w:p w:rsidR="001C3052" w:rsidRPr="00151AF2" w:rsidRDefault="001C3052" w:rsidP="00E74035">
      <w:pPr>
        <w:tabs>
          <w:tab w:val="num" w:pos="1080"/>
        </w:tabs>
        <w:autoSpaceDE w:val="0"/>
        <w:autoSpaceDN w:val="0"/>
        <w:adjustRightInd w:val="0"/>
        <w:rPr>
          <w:rFonts w:ascii="Arial" w:hAnsi="Arial" w:cs="Arial"/>
        </w:rPr>
      </w:pPr>
    </w:p>
    <w:p w:rsidR="00826D43" w:rsidRPr="00151AF2" w:rsidRDefault="00A33BDB" w:rsidP="00E74035">
      <w:pPr>
        <w:tabs>
          <w:tab w:val="num" w:pos="1080"/>
        </w:tabs>
        <w:autoSpaceDE w:val="0"/>
        <w:autoSpaceDN w:val="0"/>
        <w:adjustRightInd w:val="0"/>
        <w:rPr>
          <w:rFonts w:ascii="Arial" w:hAnsi="Arial" w:cs="Arial"/>
        </w:rPr>
      </w:pPr>
      <w:r w:rsidRPr="00151AF2">
        <w:rPr>
          <w:rFonts w:ascii="Arial" w:hAnsi="Arial" w:cs="Arial"/>
        </w:rPr>
        <w:t>These calls are further sub-divided into Red 1 and Re</w:t>
      </w:r>
      <w:r w:rsidR="008D61DF" w:rsidRPr="00151AF2">
        <w:rPr>
          <w:rFonts w:ascii="Arial" w:hAnsi="Arial" w:cs="Arial"/>
        </w:rPr>
        <w:t>d 2</w:t>
      </w:r>
      <w:r w:rsidRPr="00151AF2">
        <w:rPr>
          <w:rFonts w:ascii="Arial" w:hAnsi="Arial" w:cs="Arial"/>
        </w:rPr>
        <w:t xml:space="preserve"> based on the level of urgency of the incident. Due to differences in clock start definitions for the different call types it is not possible to aggregate performance of Red 1 and 2 into a total Category A performance.</w:t>
      </w:r>
    </w:p>
    <w:p w:rsidR="00603940" w:rsidRPr="00151AF2" w:rsidRDefault="00603940" w:rsidP="00E74035">
      <w:pPr>
        <w:tabs>
          <w:tab w:val="num" w:pos="1080"/>
        </w:tabs>
        <w:autoSpaceDE w:val="0"/>
        <w:autoSpaceDN w:val="0"/>
        <w:adjustRightInd w:val="0"/>
        <w:rPr>
          <w:rFonts w:ascii="Arial" w:hAnsi="Arial" w:cs="Arial"/>
        </w:rPr>
      </w:pPr>
    </w:p>
    <w:p w:rsidR="00E74035" w:rsidRPr="00151AF2" w:rsidRDefault="00E74035" w:rsidP="00E74035">
      <w:pPr>
        <w:tabs>
          <w:tab w:val="num" w:pos="1080"/>
        </w:tabs>
        <w:autoSpaceDE w:val="0"/>
        <w:autoSpaceDN w:val="0"/>
        <w:adjustRightInd w:val="0"/>
        <w:rPr>
          <w:rFonts w:ascii="Arial" w:hAnsi="Arial" w:cs="Arial"/>
          <w:b/>
        </w:rPr>
      </w:pPr>
      <w:r w:rsidRPr="00151AF2">
        <w:rPr>
          <w:rFonts w:ascii="Arial" w:hAnsi="Arial" w:cs="Arial"/>
          <w:b/>
        </w:rPr>
        <w:t>Category A Red 1</w:t>
      </w:r>
    </w:p>
    <w:p w:rsidR="001405FE" w:rsidRPr="001405FE" w:rsidRDefault="001405FE" w:rsidP="001405FE">
      <w:pPr>
        <w:tabs>
          <w:tab w:val="num" w:pos="1080"/>
        </w:tabs>
        <w:autoSpaceDE w:val="0"/>
        <w:autoSpaceDN w:val="0"/>
        <w:adjustRightInd w:val="0"/>
        <w:rPr>
          <w:rFonts w:ascii="Arial" w:hAnsi="Arial" w:cs="Arial"/>
        </w:rPr>
      </w:pPr>
      <w:r w:rsidRPr="001405FE">
        <w:rPr>
          <w:rFonts w:ascii="Arial" w:hAnsi="Arial" w:cs="Arial"/>
        </w:rPr>
        <w:t>Red 1 calls are the most time critical, and cover cardiac arrest patients who are not breathing and do not have a pulse, and other severe conditions such as airway obstruction.</w:t>
      </w:r>
    </w:p>
    <w:p w:rsidR="00826D43" w:rsidRPr="00151AF2" w:rsidRDefault="00826D43" w:rsidP="00E74035">
      <w:pPr>
        <w:tabs>
          <w:tab w:val="num" w:pos="1080"/>
        </w:tabs>
        <w:autoSpaceDE w:val="0"/>
        <w:autoSpaceDN w:val="0"/>
        <w:adjustRightInd w:val="0"/>
        <w:rPr>
          <w:rFonts w:ascii="Arial" w:hAnsi="Arial" w:cs="Arial"/>
          <w:b/>
        </w:rPr>
      </w:pPr>
    </w:p>
    <w:p w:rsidR="00603940" w:rsidRPr="00151AF2" w:rsidRDefault="00E74035" w:rsidP="00E74035">
      <w:pPr>
        <w:tabs>
          <w:tab w:val="num" w:pos="1080"/>
        </w:tabs>
        <w:autoSpaceDE w:val="0"/>
        <w:autoSpaceDN w:val="0"/>
        <w:adjustRightInd w:val="0"/>
        <w:rPr>
          <w:rFonts w:ascii="Arial" w:hAnsi="Arial" w:cs="Arial"/>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Red 2</w:t>
      </w:r>
    </w:p>
    <w:p w:rsidR="001C3052" w:rsidRPr="00151AF2" w:rsidRDefault="001405FE" w:rsidP="00E74035">
      <w:pPr>
        <w:tabs>
          <w:tab w:val="num" w:pos="1080"/>
        </w:tabs>
        <w:autoSpaceDE w:val="0"/>
        <w:autoSpaceDN w:val="0"/>
        <w:adjustRightInd w:val="0"/>
        <w:rPr>
          <w:rFonts w:ascii="Arial" w:hAnsi="Arial" w:cs="Arial"/>
        </w:rPr>
      </w:pPr>
      <w:r w:rsidRPr="001405FE">
        <w:rPr>
          <w:rFonts w:ascii="Arial" w:hAnsi="Arial" w:cs="Arial"/>
        </w:rPr>
        <w:t xml:space="preserve">Red 2 calls are serious, but less immediately time critical, and cover conditions such as stroke and fits. See </w:t>
      </w:r>
      <w:hyperlink r:id="rId14" w:history="1">
        <w:r w:rsidRPr="001A264E">
          <w:rPr>
            <w:rStyle w:val="Hyperlink"/>
            <w:rFonts w:ascii="Arial" w:hAnsi="Arial" w:cs="Arial"/>
          </w:rPr>
          <w:t>www.gov.uk/government/news/changes-to-ambulance-response-time-categories</w:t>
        </w:r>
      </w:hyperlink>
      <w:r>
        <w:rPr>
          <w:rFonts w:ascii="Arial" w:hAnsi="Arial" w:cs="Arial"/>
        </w:rPr>
        <w:t>.</w:t>
      </w:r>
    </w:p>
    <w:p w:rsidR="00E74035" w:rsidRPr="00151AF2" w:rsidRDefault="00826D43" w:rsidP="00E74035">
      <w:pPr>
        <w:tabs>
          <w:tab w:val="num" w:pos="1080"/>
        </w:tabs>
        <w:autoSpaceDE w:val="0"/>
        <w:autoSpaceDN w:val="0"/>
        <w:adjustRightInd w:val="0"/>
        <w:rPr>
          <w:rFonts w:ascii="Arial" w:hAnsi="Arial" w:cs="Arial"/>
        </w:rPr>
      </w:pPr>
      <w:r w:rsidRPr="00151AF2">
        <w:rPr>
          <w:rFonts w:ascii="Arial" w:hAnsi="Arial" w:cs="Arial"/>
          <w:b/>
        </w:rPr>
        <w:lastRenderedPageBreak/>
        <w:t>Emergency Journey</w:t>
      </w:r>
    </w:p>
    <w:p w:rsidR="0034037C" w:rsidRPr="00151AF2" w:rsidRDefault="0034037C" w:rsidP="00E74035">
      <w:pPr>
        <w:tabs>
          <w:tab w:val="num" w:pos="1080"/>
        </w:tabs>
        <w:autoSpaceDE w:val="0"/>
        <w:autoSpaceDN w:val="0"/>
        <w:adjustRightInd w:val="0"/>
        <w:rPr>
          <w:rFonts w:ascii="Arial" w:hAnsi="Arial" w:cs="Arial"/>
        </w:rPr>
      </w:pPr>
      <w:r w:rsidRPr="00151AF2">
        <w:rPr>
          <w:rFonts w:ascii="Arial" w:hAnsi="Arial" w:cs="Arial"/>
        </w:rPr>
        <w:t>A</w:t>
      </w:r>
      <w:r w:rsidR="003B164C" w:rsidRPr="00151AF2">
        <w:rPr>
          <w:rFonts w:ascii="Arial" w:hAnsi="Arial" w:cs="Arial"/>
        </w:rPr>
        <w:t>n</w:t>
      </w:r>
      <w:r w:rsidRPr="00151AF2">
        <w:rPr>
          <w:rFonts w:ascii="Arial" w:hAnsi="Arial" w:cs="Arial"/>
        </w:rPr>
        <w:t xml:space="preserve"> emergency</w:t>
      </w:r>
      <w:r w:rsidR="003B164C" w:rsidRPr="00151AF2">
        <w:rPr>
          <w:rFonts w:ascii="Arial" w:hAnsi="Arial" w:cs="Arial"/>
        </w:rPr>
        <w:t xml:space="preserve"> or</w:t>
      </w:r>
      <w:r w:rsidRPr="00151AF2">
        <w:rPr>
          <w:rFonts w:ascii="Arial" w:hAnsi="Arial" w:cs="Arial"/>
        </w:rPr>
        <w:t xml:space="preserve"> urgent incident that results in a patient being </w:t>
      </w:r>
      <w:r w:rsidR="003B164C" w:rsidRPr="00151AF2">
        <w:rPr>
          <w:rFonts w:ascii="Arial" w:hAnsi="Arial" w:cs="Arial"/>
        </w:rPr>
        <w:t xml:space="preserve">transported to a Type 1 </w:t>
      </w:r>
      <w:r w:rsidR="001405FE">
        <w:rPr>
          <w:rFonts w:ascii="Arial" w:hAnsi="Arial" w:cs="Arial"/>
        </w:rPr>
        <w:t>or Type</w:t>
      </w:r>
      <w:r w:rsidR="001405FE" w:rsidRPr="00151AF2">
        <w:rPr>
          <w:rFonts w:ascii="Arial" w:hAnsi="Arial" w:cs="Arial"/>
        </w:rPr>
        <w:t xml:space="preserve"> </w:t>
      </w:r>
      <w:r w:rsidR="003B164C" w:rsidRPr="00151AF2">
        <w:rPr>
          <w:rFonts w:ascii="Arial" w:hAnsi="Arial" w:cs="Arial"/>
        </w:rPr>
        <w:t>2 A&amp;E</w:t>
      </w:r>
      <w:r w:rsidR="003B628A" w:rsidRPr="00151AF2">
        <w:rPr>
          <w:rFonts w:ascii="Arial" w:hAnsi="Arial" w:cs="Arial"/>
        </w:rPr>
        <w:t>.</w:t>
      </w:r>
    </w:p>
    <w:p w:rsidR="00826D43" w:rsidRPr="00151AF2" w:rsidRDefault="00826D43" w:rsidP="00E74035">
      <w:pPr>
        <w:tabs>
          <w:tab w:val="num" w:pos="1080"/>
        </w:tabs>
        <w:autoSpaceDE w:val="0"/>
        <w:autoSpaceDN w:val="0"/>
        <w:adjustRightInd w:val="0"/>
        <w:rPr>
          <w:rFonts w:ascii="Arial" w:hAnsi="Arial" w:cs="Arial"/>
          <w:b/>
        </w:rPr>
      </w:pPr>
    </w:p>
    <w:p w:rsidR="00E74035" w:rsidRPr="00151AF2" w:rsidRDefault="00826D43" w:rsidP="00E74035">
      <w:pPr>
        <w:tabs>
          <w:tab w:val="num" w:pos="1080"/>
        </w:tabs>
        <w:autoSpaceDE w:val="0"/>
        <w:autoSpaceDN w:val="0"/>
        <w:adjustRightInd w:val="0"/>
        <w:rPr>
          <w:rFonts w:ascii="Arial" w:hAnsi="Arial" w:cs="Arial"/>
          <w:b/>
        </w:rPr>
      </w:pPr>
      <w:r w:rsidRPr="00151AF2">
        <w:rPr>
          <w:rFonts w:ascii="Arial" w:hAnsi="Arial" w:cs="Arial"/>
          <w:b/>
        </w:rPr>
        <w:t>Emergency Call</w:t>
      </w:r>
    </w:p>
    <w:p w:rsidR="00B02804" w:rsidRPr="000D14CB" w:rsidRDefault="00A33BDB" w:rsidP="00826D43">
      <w:pPr>
        <w:rPr>
          <w:rFonts w:ascii="Arial" w:hAnsi="Arial" w:cs="Arial"/>
        </w:rPr>
      </w:pPr>
      <w:r w:rsidRPr="000D14CB">
        <w:rPr>
          <w:rFonts w:ascii="Arial" w:hAnsi="Arial" w:cs="Arial"/>
        </w:rPr>
        <w:t>The number of emergency and urgent calls presented to switchboard. This include</w:t>
      </w:r>
      <w:r w:rsidR="001405FE">
        <w:rPr>
          <w:rFonts w:ascii="Arial" w:hAnsi="Arial" w:cs="Arial"/>
        </w:rPr>
        <w:t>s</w:t>
      </w:r>
      <w:r w:rsidRPr="000D14CB">
        <w:rPr>
          <w:rFonts w:ascii="Arial" w:hAnsi="Arial" w:cs="Arial"/>
        </w:rPr>
        <w:t xml:space="preserve"> calls passed manually fro</w:t>
      </w:r>
      <w:r w:rsidR="003B628A" w:rsidRPr="000D14CB">
        <w:rPr>
          <w:rFonts w:ascii="Arial" w:hAnsi="Arial" w:cs="Arial"/>
        </w:rPr>
        <w:t xml:space="preserve">m 111 as requiring an ambulance </w:t>
      </w:r>
      <w:r w:rsidRPr="000D14CB">
        <w:rPr>
          <w:rFonts w:ascii="Arial" w:hAnsi="Arial" w:cs="Arial"/>
        </w:rPr>
        <w:t xml:space="preserve">response, </w:t>
      </w:r>
      <w:r w:rsidR="001405FE">
        <w:rPr>
          <w:rFonts w:ascii="Arial" w:hAnsi="Arial" w:cs="Arial"/>
        </w:rPr>
        <w:t>but ex</w:t>
      </w:r>
      <w:r w:rsidRPr="000D14CB">
        <w:rPr>
          <w:rFonts w:ascii="Arial" w:hAnsi="Arial" w:cs="Arial"/>
        </w:rPr>
        <w:t>clude</w:t>
      </w:r>
      <w:r w:rsidR="001405FE">
        <w:rPr>
          <w:rFonts w:ascii="Arial" w:hAnsi="Arial" w:cs="Arial"/>
        </w:rPr>
        <w:t>s</w:t>
      </w:r>
      <w:r w:rsidRPr="000D14CB">
        <w:rPr>
          <w:rFonts w:ascii="Arial" w:hAnsi="Arial" w:cs="Arial"/>
        </w:rPr>
        <w:t xml:space="preserve"> calls that have been passed </w:t>
      </w:r>
      <w:r w:rsidR="003B164C" w:rsidRPr="000D14CB">
        <w:rPr>
          <w:rFonts w:ascii="Arial" w:hAnsi="Arial" w:cs="Arial"/>
        </w:rPr>
        <w:t>electronically from 111</w:t>
      </w:r>
      <w:r w:rsidR="003B628A" w:rsidRPr="000D14CB">
        <w:rPr>
          <w:rFonts w:ascii="Arial" w:hAnsi="Arial" w:cs="Arial"/>
        </w:rPr>
        <w:t>.</w:t>
      </w:r>
    </w:p>
    <w:p w:rsidR="00BF2C50" w:rsidRPr="000D14CB" w:rsidRDefault="00BF2C50" w:rsidP="00826D43">
      <w:pPr>
        <w:rPr>
          <w:rFonts w:ascii="Arial" w:hAnsi="Arial" w:cs="Arial"/>
        </w:rPr>
      </w:pPr>
    </w:p>
    <w:p w:rsidR="00BF2C50" w:rsidRPr="00151AF2" w:rsidRDefault="00BF2C50" w:rsidP="00826D43">
      <w:pPr>
        <w:rPr>
          <w:rFonts w:ascii="Arial" w:hAnsi="Arial" w:cs="Arial"/>
          <w:b/>
        </w:rPr>
      </w:pPr>
      <w:r w:rsidRPr="00151AF2">
        <w:rPr>
          <w:rFonts w:ascii="Arial" w:hAnsi="Arial" w:cs="Arial"/>
          <w:b/>
        </w:rPr>
        <w:t>Return of Spontaneous Circulation (ROSC)</w:t>
      </w:r>
    </w:p>
    <w:p w:rsidR="00BF2C50" w:rsidRPr="000D14CB" w:rsidRDefault="00BF2C50" w:rsidP="00826D43">
      <w:pPr>
        <w:rPr>
          <w:rFonts w:ascii="Arial" w:hAnsi="Arial" w:cs="Arial"/>
        </w:rPr>
      </w:pPr>
      <w:proofErr w:type="gramStart"/>
      <w:r w:rsidRPr="000D14CB">
        <w:rPr>
          <w:rFonts w:ascii="Arial" w:hAnsi="Arial" w:cs="Arial"/>
        </w:rPr>
        <w:t>The proportion of patients who have had a return of spontaneous circulation on arrival at hospital</w:t>
      </w:r>
      <w:r w:rsidR="0097213E">
        <w:rPr>
          <w:rFonts w:ascii="Arial" w:hAnsi="Arial" w:cs="Arial"/>
        </w:rPr>
        <w:t xml:space="preserve"> where</w:t>
      </w:r>
      <w:r w:rsidRPr="000D14CB">
        <w:rPr>
          <w:rFonts w:ascii="Arial" w:hAnsi="Arial" w:cs="Arial"/>
        </w:rPr>
        <w:t xml:space="preserve"> resuscitation (either Advanced or Basic Life Support) </w:t>
      </w:r>
      <w:r w:rsidR="0097213E">
        <w:rPr>
          <w:rFonts w:ascii="Arial" w:hAnsi="Arial" w:cs="Arial"/>
        </w:rPr>
        <w:t xml:space="preserve">was </w:t>
      </w:r>
      <w:r w:rsidRPr="000D14CB">
        <w:rPr>
          <w:rFonts w:ascii="Arial" w:hAnsi="Arial" w:cs="Arial"/>
        </w:rPr>
        <w:t>commenced</w:t>
      </w:r>
      <w:r w:rsidR="0097213E">
        <w:rPr>
          <w:rFonts w:ascii="Arial" w:hAnsi="Arial" w:cs="Arial"/>
        </w:rPr>
        <w:t xml:space="preserve"> </w:t>
      </w:r>
      <w:r w:rsidRPr="000D14CB">
        <w:rPr>
          <w:rFonts w:ascii="Arial" w:hAnsi="Arial" w:cs="Arial"/>
        </w:rPr>
        <w:t>/</w:t>
      </w:r>
      <w:r w:rsidR="0097213E">
        <w:rPr>
          <w:rFonts w:ascii="Arial" w:hAnsi="Arial" w:cs="Arial"/>
        </w:rPr>
        <w:t xml:space="preserve"> </w:t>
      </w:r>
      <w:r w:rsidRPr="000D14CB">
        <w:rPr>
          <w:rFonts w:ascii="Arial" w:hAnsi="Arial" w:cs="Arial"/>
        </w:rPr>
        <w:t>continued by the ambulance service following an out-of hospital cardiac arrest.</w:t>
      </w:r>
      <w:proofErr w:type="gramEnd"/>
    </w:p>
    <w:p w:rsidR="00BF2C50" w:rsidRPr="000D14CB" w:rsidRDefault="00BF2C50" w:rsidP="00826D43">
      <w:pPr>
        <w:rPr>
          <w:rFonts w:ascii="Arial" w:hAnsi="Arial" w:cs="Arial"/>
          <w:b/>
        </w:rPr>
      </w:pPr>
    </w:p>
    <w:p w:rsidR="00BF2C50" w:rsidRPr="00151AF2" w:rsidRDefault="00BF2C50" w:rsidP="00826D43">
      <w:pPr>
        <w:rPr>
          <w:rFonts w:ascii="Arial" w:hAnsi="Arial" w:cs="Arial"/>
          <w:b/>
        </w:rPr>
      </w:pPr>
      <w:r w:rsidRPr="00151AF2">
        <w:rPr>
          <w:rFonts w:ascii="Arial" w:hAnsi="Arial" w:cs="Arial"/>
          <w:b/>
        </w:rPr>
        <w:t>Utstein Comparator Group</w:t>
      </w:r>
    </w:p>
    <w:p w:rsidR="00BF2C50" w:rsidRPr="000D14CB" w:rsidRDefault="0026240F" w:rsidP="00826D43">
      <w:pPr>
        <w:rPr>
          <w:rFonts w:ascii="Arial" w:hAnsi="Arial" w:cs="Arial"/>
        </w:rPr>
      </w:pPr>
      <w:r w:rsidRPr="000D14CB">
        <w:rPr>
          <w:rFonts w:ascii="Arial" w:hAnsi="Arial" w:cs="Arial"/>
        </w:rPr>
        <w:t xml:space="preserve">The Utstein comparator group is a sub-group for the </w:t>
      </w:r>
      <w:r w:rsidR="001405FE">
        <w:rPr>
          <w:rFonts w:ascii="Arial" w:hAnsi="Arial" w:cs="Arial"/>
        </w:rPr>
        <w:t>cardiac arrest</w:t>
      </w:r>
      <w:r w:rsidRPr="000D14CB">
        <w:rPr>
          <w:rFonts w:ascii="Arial" w:hAnsi="Arial" w:cs="Arial"/>
        </w:rPr>
        <w:t xml:space="preserve"> indicator</w:t>
      </w:r>
      <w:r w:rsidR="001405FE">
        <w:rPr>
          <w:rFonts w:ascii="Arial" w:hAnsi="Arial" w:cs="Arial"/>
        </w:rPr>
        <w:t>s</w:t>
      </w:r>
      <w:r w:rsidRPr="000D14CB">
        <w:rPr>
          <w:rFonts w:ascii="Arial" w:hAnsi="Arial" w:cs="Arial"/>
        </w:rPr>
        <w:t xml:space="preserve">. </w:t>
      </w:r>
      <w:r w:rsidR="001405FE">
        <w:rPr>
          <w:rFonts w:ascii="Arial" w:hAnsi="Arial" w:cs="Arial"/>
        </w:rPr>
        <w:t>It</w:t>
      </w:r>
      <w:r w:rsidRPr="000D14CB">
        <w:rPr>
          <w:rFonts w:ascii="Arial" w:hAnsi="Arial" w:cs="Arial"/>
        </w:rPr>
        <w:t xml:space="preserve"> refers to patients who had resuscitation (Advanced or Basic Life Support) commenced</w:t>
      </w:r>
      <w:r w:rsidR="0097213E">
        <w:rPr>
          <w:rFonts w:ascii="Arial" w:hAnsi="Arial" w:cs="Arial"/>
        </w:rPr>
        <w:t xml:space="preserve"> </w:t>
      </w:r>
      <w:r w:rsidRPr="000D14CB">
        <w:rPr>
          <w:rFonts w:ascii="Arial" w:hAnsi="Arial" w:cs="Arial"/>
        </w:rPr>
        <w:t>/</w:t>
      </w:r>
      <w:r w:rsidR="0097213E">
        <w:rPr>
          <w:rFonts w:ascii="Arial" w:hAnsi="Arial" w:cs="Arial"/>
        </w:rPr>
        <w:t xml:space="preserve"> </w:t>
      </w:r>
      <w:r w:rsidRPr="000D14CB">
        <w:rPr>
          <w:rFonts w:ascii="Arial" w:hAnsi="Arial" w:cs="Arial"/>
        </w:rPr>
        <w:t xml:space="preserve">continued by the ambulance service following an out of hospital cardiac arrest of presumed cardiac origin, where the arrest was bystander witnessed and the initial rhythm was </w:t>
      </w:r>
      <w:r w:rsidR="00444612" w:rsidRPr="00444612">
        <w:rPr>
          <w:rFonts w:ascii="Arial" w:hAnsi="Arial" w:cs="Arial"/>
        </w:rPr>
        <w:t>Ventricular Fibrillation or Ventricular Tachycardia</w:t>
      </w:r>
      <w:r w:rsidR="00444612">
        <w:rPr>
          <w:rFonts w:ascii="Arial" w:hAnsi="Arial" w:cs="Arial"/>
        </w:rPr>
        <w:t>.</w:t>
      </w:r>
    </w:p>
    <w:p w:rsidR="0034037C" w:rsidRPr="000D14CB" w:rsidRDefault="0034037C" w:rsidP="00826D43">
      <w:pPr>
        <w:rPr>
          <w:rFonts w:ascii="Arial" w:hAnsi="Arial" w:cs="Arial"/>
        </w:rPr>
      </w:pPr>
    </w:p>
    <w:p w:rsidR="0034037C" w:rsidRPr="00151AF2" w:rsidRDefault="0034037C" w:rsidP="00826D43">
      <w:pPr>
        <w:rPr>
          <w:rFonts w:ascii="Arial" w:hAnsi="Arial" w:cs="Arial"/>
        </w:rPr>
      </w:pPr>
      <w:r w:rsidRPr="00151AF2">
        <w:rPr>
          <w:rFonts w:ascii="Arial" w:hAnsi="Arial" w:cs="Arial"/>
        </w:rPr>
        <w:t>For full details of each indicator and definition please consult the AQI technical guidance document at:</w:t>
      </w:r>
    </w:p>
    <w:p w:rsidR="00826D43" w:rsidRPr="00F16EE8" w:rsidRDefault="008A503B" w:rsidP="00826D43">
      <w:pPr>
        <w:rPr>
          <w:rFonts w:ascii="Arial" w:hAnsi="Arial" w:cs="Arial"/>
        </w:rPr>
      </w:pPr>
      <w:hyperlink r:id="rId15" w:history="1">
        <w:r w:rsidR="00151AF2" w:rsidRPr="00F16EE8">
          <w:rPr>
            <w:rStyle w:val="Hyperlink"/>
            <w:rFonts w:ascii="Arial" w:hAnsi="Arial" w:cs="Arial"/>
          </w:rPr>
          <w:t>www</w:t>
        </w:r>
        <w:r w:rsidR="008D61DF" w:rsidRPr="00F16EE8">
          <w:rPr>
            <w:rStyle w:val="Hyperlink"/>
            <w:rFonts w:ascii="Arial" w:hAnsi="Arial" w:cs="Arial"/>
          </w:rPr>
          <w:t>.england.nhs.uk/statistics/ambulance-quality-indicators/</w:t>
        </w:r>
      </w:hyperlink>
    </w:p>
    <w:p w:rsidR="008D61DF" w:rsidRDefault="008D61DF" w:rsidP="00826D43">
      <w:pPr>
        <w:rPr>
          <w:rFonts w:ascii="Arial" w:hAnsi="Arial" w:cs="Arial"/>
          <w:b/>
        </w:rPr>
      </w:pPr>
    </w:p>
    <w:p w:rsidR="005538AF" w:rsidRPr="000D14CB" w:rsidRDefault="005538AF" w:rsidP="00826D43">
      <w:pPr>
        <w:rPr>
          <w:rFonts w:ascii="Arial" w:hAnsi="Arial" w:cs="Arial"/>
          <w:b/>
        </w:rPr>
      </w:pPr>
    </w:p>
    <w:p w:rsidR="0052145B" w:rsidRPr="005538AF" w:rsidRDefault="0052145B" w:rsidP="005538AF">
      <w:pPr>
        <w:rPr>
          <w:rFonts w:ascii="Arial" w:hAnsi="Arial"/>
          <w:b/>
          <w:bCs/>
        </w:rPr>
      </w:pPr>
      <w:r w:rsidRPr="005538AF">
        <w:rPr>
          <w:rFonts w:ascii="Arial" w:hAnsi="Arial"/>
          <w:b/>
          <w:bCs/>
        </w:rPr>
        <w:t>Clinical Dashboards</w:t>
      </w:r>
    </w:p>
    <w:p w:rsidR="00DF0ADA" w:rsidRPr="000D14CB" w:rsidRDefault="00DF0ADA" w:rsidP="00DF0ADA">
      <w:pPr>
        <w:rPr>
          <w:rFonts w:ascii="Arial" w:hAnsi="Arial" w:cs="Arial"/>
        </w:rPr>
      </w:pPr>
      <w:r w:rsidRPr="000D14CB">
        <w:rPr>
          <w:rFonts w:ascii="Arial" w:hAnsi="Arial" w:cs="Arial"/>
        </w:rPr>
        <w:t xml:space="preserve">The Ambulance Quality Indicators continue to be published in a </w:t>
      </w:r>
      <w:r w:rsidR="0012242C" w:rsidRPr="000D14CB">
        <w:rPr>
          <w:rFonts w:ascii="Arial" w:hAnsi="Arial" w:cs="Arial"/>
        </w:rPr>
        <w:t>clinical</w:t>
      </w:r>
      <w:r w:rsidRPr="000D14CB">
        <w:rPr>
          <w:rFonts w:ascii="Arial" w:hAnsi="Arial" w:cs="Arial"/>
        </w:rPr>
        <w:t xml:space="preserve"> care dashboard in line with recommendations from the National Ambulance Director and the National </w:t>
      </w:r>
      <w:r w:rsidR="0012242C" w:rsidRPr="000D14CB">
        <w:rPr>
          <w:rFonts w:ascii="Arial" w:hAnsi="Arial" w:cs="Arial"/>
        </w:rPr>
        <w:t>Clinical</w:t>
      </w:r>
      <w:r w:rsidRPr="000D14CB">
        <w:rPr>
          <w:rFonts w:ascii="Arial" w:hAnsi="Arial" w:cs="Arial"/>
        </w:rPr>
        <w:t xml:space="preserve"> Director for </w:t>
      </w:r>
      <w:r w:rsidR="0012242C" w:rsidRPr="000D14CB">
        <w:rPr>
          <w:rFonts w:ascii="Arial" w:hAnsi="Arial" w:cs="Arial"/>
        </w:rPr>
        <w:t>Urgent</w:t>
      </w:r>
      <w:r w:rsidRPr="000D14CB">
        <w:rPr>
          <w:rFonts w:ascii="Arial" w:hAnsi="Arial" w:cs="Arial"/>
        </w:rPr>
        <w:t xml:space="preserve"> and Emergency Care. One of the aims of the dashboard is to use statistical process control to indicate whether variation in performance reflects underlying change</w:t>
      </w:r>
      <w:r w:rsidR="0012242C" w:rsidRPr="000D14CB">
        <w:rPr>
          <w:rFonts w:ascii="Arial" w:hAnsi="Arial" w:cs="Arial"/>
        </w:rPr>
        <w:t xml:space="preserve"> or merely natural variance, which</w:t>
      </w:r>
      <w:r w:rsidRPr="000D14CB">
        <w:rPr>
          <w:rFonts w:ascii="Arial" w:hAnsi="Arial" w:cs="Arial"/>
        </w:rPr>
        <w:t xml:space="preserve"> </w:t>
      </w:r>
      <w:r w:rsidR="0012242C" w:rsidRPr="000D14CB">
        <w:rPr>
          <w:rFonts w:ascii="Arial" w:hAnsi="Arial" w:cs="Arial"/>
        </w:rPr>
        <w:t>is unavoidable even when a health system is performing well.</w:t>
      </w:r>
    </w:p>
    <w:p w:rsidR="00096A9C" w:rsidRPr="0053124D" w:rsidRDefault="00096A9C" w:rsidP="0053124D">
      <w:pPr>
        <w:rPr>
          <w:rFonts w:ascii="Arial" w:hAnsi="Arial"/>
        </w:rPr>
      </w:pPr>
      <w:r w:rsidRPr="0053124D">
        <w:rPr>
          <w:rFonts w:ascii="Arial" w:hAnsi="Arial"/>
        </w:rPr>
        <w:t>These statistical process control measures will take at least seven months</w:t>
      </w:r>
      <w:r w:rsidR="005538AF">
        <w:rPr>
          <w:rFonts w:ascii="Arial" w:hAnsi="Arial"/>
        </w:rPr>
        <w:t>’</w:t>
      </w:r>
      <w:r w:rsidRPr="0053124D">
        <w:rPr>
          <w:rFonts w:ascii="Arial" w:hAnsi="Arial"/>
        </w:rPr>
        <w:t xml:space="preserve"> worth of data to be reliable, but they will help ensure that performance changes over time are seen in the proper clinical context. Dashboards </w:t>
      </w:r>
      <w:r w:rsidR="0012242C" w:rsidRPr="0053124D">
        <w:rPr>
          <w:rFonts w:ascii="Arial" w:hAnsi="Arial"/>
        </w:rPr>
        <w:t>containing data for April 2011</w:t>
      </w:r>
      <w:r w:rsidR="00151AF2" w:rsidRPr="0053124D">
        <w:rPr>
          <w:rFonts w:ascii="Arial" w:hAnsi="Arial"/>
        </w:rPr>
        <w:t xml:space="preserve"> to </w:t>
      </w:r>
      <w:r w:rsidR="00700863" w:rsidRPr="0053124D">
        <w:rPr>
          <w:rFonts w:ascii="Arial" w:hAnsi="Arial"/>
        </w:rPr>
        <w:t xml:space="preserve">December </w:t>
      </w:r>
      <w:r w:rsidR="00E74035" w:rsidRPr="0053124D">
        <w:rPr>
          <w:rFonts w:ascii="Arial" w:hAnsi="Arial"/>
        </w:rPr>
        <w:t>2013</w:t>
      </w:r>
      <w:r w:rsidRPr="0053124D">
        <w:rPr>
          <w:rFonts w:ascii="Arial" w:hAnsi="Arial"/>
        </w:rPr>
        <w:t xml:space="preserve"> have already been published on several ambulance trust websites.</w:t>
      </w:r>
    </w:p>
    <w:p w:rsidR="00E94351" w:rsidRPr="000D14CB" w:rsidRDefault="00E94351" w:rsidP="00A4253D">
      <w:pPr>
        <w:rPr>
          <w:rFonts w:ascii="Arial" w:hAnsi="Arial" w:cs="Arial"/>
          <w:b/>
        </w:rPr>
      </w:pPr>
    </w:p>
    <w:p w:rsidR="00A4253D" w:rsidRPr="005538AF" w:rsidRDefault="00C445E6" w:rsidP="005538AF">
      <w:pPr>
        <w:rPr>
          <w:rFonts w:ascii="Arial" w:hAnsi="Arial"/>
          <w:b/>
          <w:bCs/>
        </w:rPr>
      </w:pPr>
      <w:r w:rsidRPr="005538AF">
        <w:rPr>
          <w:rFonts w:ascii="Arial" w:hAnsi="Arial"/>
          <w:b/>
          <w:bCs/>
        </w:rPr>
        <w:t>Revision timetable</w:t>
      </w:r>
    </w:p>
    <w:p w:rsidR="00AA3CDD" w:rsidRPr="005538AF" w:rsidRDefault="00C445E6" w:rsidP="005538AF">
      <w:pPr>
        <w:rPr>
          <w:rFonts w:ascii="Arial" w:hAnsi="Arial" w:cs="Arial"/>
          <w:b/>
          <w:bCs/>
        </w:rPr>
      </w:pPr>
      <w:r w:rsidRPr="005538AF">
        <w:rPr>
          <w:rFonts w:ascii="Arial" w:hAnsi="Arial"/>
        </w:rPr>
        <w:t xml:space="preserve">Future revisions will be made on a six-monthly cycle. </w:t>
      </w:r>
      <w:r w:rsidR="00A4253D" w:rsidRPr="005538AF">
        <w:rPr>
          <w:rFonts w:ascii="Arial" w:hAnsi="Arial"/>
        </w:rPr>
        <w:t>Revisions to previous month’s data are made in line with the Department of Health’s revisions protocol for performance monitoring data</w:t>
      </w:r>
      <w:r w:rsidRPr="005538AF">
        <w:rPr>
          <w:rFonts w:ascii="Arial" w:hAnsi="Arial"/>
        </w:rPr>
        <w:t>:</w:t>
      </w:r>
      <w:r w:rsidR="00A4253D" w:rsidRPr="005538AF">
        <w:rPr>
          <w:rFonts w:ascii="Arial" w:hAnsi="Arial"/>
        </w:rPr>
        <w:t xml:space="preserve"> </w:t>
      </w:r>
      <w:hyperlink r:id="rId16" w:history="1">
        <w:r w:rsidR="00151AF2" w:rsidRPr="005538AF">
          <w:rPr>
            <w:rStyle w:val="Hyperlink"/>
            <w:rFonts w:ascii="Arial" w:hAnsi="Arial" w:cs="Arial"/>
          </w:rPr>
          <w:t>www</w:t>
        </w:r>
        <w:r w:rsidR="00AA3CDD" w:rsidRPr="005538AF">
          <w:rPr>
            <w:rStyle w:val="Hyperlink"/>
            <w:rFonts w:ascii="Arial" w:hAnsi="Arial" w:cs="Arial"/>
          </w:rPr>
          <w:t>.england.nhs.uk/statistics/c</w:t>
        </w:r>
        <w:r w:rsidR="00AA3CDD" w:rsidRPr="005538AF">
          <w:rPr>
            <w:rStyle w:val="Hyperlink"/>
            <w:rFonts w:ascii="Arial" w:hAnsi="Arial" w:cs="Arial"/>
          </w:rPr>
          <w:t>o</w:t>
        </w:r>
        <w:r w:rsidR="00AA3CDD" w:rsidRPr="005538AF">
          <w:rPr>
            <w:rStyle w:val="Hyperlink"/>
            <w:rFonts w:ascii="Arial" w:hAnsi="Arial" w:cs="Arial"/>
          </w:rPr>
          <w:t>de-compliance/</w:t>
        </w:r>
      </w:hyperlink>
    </w:p>
    <w:p w:rsidR="00A4253D" w:rsidRPr="000D14CB" w:rsidRDefault="00151AF2" w:rsidP="00A4253D">
      <w:pPr>
        <w:rPr>
          <w:rFonts w:ascii="Arial" w:hAnsi="Arial" w:cs="Arial"/>
          <w:b/>
        </w:rPr>
      </w:pPr>
      <w:r>
        <w:rPr>
          <w:rFonts w:ascii="Arial" w:hAnsi="Arial" w:cs="Arial"/>
          <w:b/>
        </w:rPr>
        <w:t xml:space="preserve"> </w:t>
      </w:r>
    </w:p>
    <w:p w:rsidR="00A4253D" w:rsidRDefault="00335EE6" w:rsidP="00A4253D">
      <w:pPr>
        <w:rPr>
          <w:rFonts w:ascii="Arial" w:hAnsi="Arial" w:cs="Arial"/>
          <w:b/>
        </w:rPr>
      </w:pPr>
      <w:r>
        <w:rPr>
          <w:rFonts w:ascii="Arial" w:hAnsi="Arial" w:cs="Arial"/>
          <w:b/>
        </w:rPr>
        <w:br w:type="page"/>
      </w:r>
      <w:r>
        <w:rPr>
          <w:rFonts w:ascii="Arial" w:hAnsi="Arial" w:cs="Arial"/>
          <w:b/>
        </w:rPr>
        <w:lastRenderedPageBreak/>
        <w:t>Previous Revisions</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5961"/>
      </w:tblGrid>
      <w:tr w:rsidR="000D14CB" w:rsidRPr="000D14CB" w:rsidTr="00572500">
        <w:trPr>
          <w:trHeight w:val="371"/>
        </w:trPr>
        <w:tc>
          <w:tcPr>
            <w:tcW w:w="2687" w:type="dxa"/>
          </w:tcPr>
          <w:p w:rsidR="000D14CB" w:rsidRPr="000D14CB" w:rsidRDefault="000D14CB" w:rsidP="00151AF2">
            <w:pPr>
              <w:rPr>
                <w:rFonts w:ascii="Arial" w:hAnsi="Arial" w:cs="Arial"/>
                <w:color w:val="000000"/>
              </w:rPr>
            </w:pPr>
            <w:r w:rsidRPr="00151AF2">
              <w:rPr>
                <w:rFonts w:ascii="Arial" w:hAnsi="Arial" w:cs="Arial"/>
              </w:rPr>
              <w:t>2 May 2014</w:t>
            </w:r>
          </w:p>
        </w:tc>
        <w:tc>
          <w:tcPr>
            <w:tcW w:w="5961" w:type="dxa"/>
          </w:tcPr>
          <w:p w:rsidR="000D14CB" w:rsidRPr="000D14CB" w:rsidRDefault="000D14CB" w:rsidP="00151AF2">
            <w:pPr>
              <w:rPr>
                <w:rFonts w:ascii="Arial" w:hAnsi="Arial" w:cs="Arial"/>
              </w:rPr>
            </w:pPr>
            <w:r w:rsidRPr="000D14CB">
              <w:rPr>
                <w:rFonts w:ascii="Arial" w:hAnsi="Arial" w:cs="Arial"/>
              </w:rPr>
              <w:t>Amb</w:t>
            </w:r>
            <w:r>
              <w:rPr>
                <w:rFonts w:ascii="Arial" w:hAnsi="Arial" w:cs="Arial"/>
              </w:rPr>
              <w:t>SYS A</w:t>
            </w:r>
            <w:r w:rsidRPr="000D14CB">
              <w:rPr>
                <w:rFonts w:ascii="Arial" w:hAnsi="Arial" w:cs="Arial"/>
              </w:rPr>
              <w:t>pril 2013</w:t>
            </w:r>
            <w:r w:rsidR="00151AF2">
              <w:rPr>
                <w:rFonts w:ascii="Arial" w:hAnsi="Arial" w:cs="Arial"/>
              </w:rPr>
              <w:t xml:space="preserve"> to </w:t>
            </w:r>
            <w:r>
              <w:rPr>
                <w:rFonts w:ascii="Arial" w:hAnsi="Arial" w:cs="Arial"/>
              </w:rPr>
              <w:t xml:space="preserve">February </w:t>
            </w:r>
            <w:r w:rsidRPr="000D14CB">
              <w:rPr>
                <w:rFonts w:ascii="Arial" w:hAnsi="Arial" w:cs="Arial"/>
              </w:rPr>
              <w:t>201</w:t>
            </w:r>
            <w:r>
              <w:rPr>
                <w:rFonts w:ascii="Arial" w:hAnsi="Arial" w:cs="Arial"/>
              </w:rPr>
              <w:t>4</w:t>
            </w:r>
          </w:p>
        </w:tc>
      </w:tr>
      <w:tr w:rsidR="00280386" w:rsidRPr="000D14CB" w:rsidTr="0090652B">
        <w:trPr>
          <w:trHeight w:val="371"/>
        </w:trPr>
        <w:tc>
          <w:tcPr>
            <w:tcW w:w="2687" w:type="dxa"/>
          </w:tcPr>
          <w:p w:rsidR="00280386" w:rsidRPr="000D14CB" w:rsidRDefault="00280386" w:rsidP="00280386">
            <w:pPr>
              <w:rPr>
                <w:rFonts w:ascii="Arial" w:hAnsi="Arial" w:cs="Arial"/>
                <w:color w:val="000000"/>
              </w:rPr>
            </w:pPr>
            <w:r w:rsidRPr="00151AF2">
              <w:rPr>
                <w:rFonts w:ascii="Arial" w:hAnsi="Arial" w:cs="Arial"/>
              </w:rPr>
              <w:t>7</w:t>
            </w:r>
            <w:r w:rsidR="00151AF2" w:rsidRPr="00151AF2">
              <w:rPr>
                <w:rFonts w:ascii="Arial" w:hAnsi="Arial" w:cs="Arial"/>
              </w:rPr>
              <w:t xml:space="preserve"> </w:t>
            </w:r>
            <w:r w:rsidRPr="00151AF2">
              <w:rPr>
                <w:rFonts w:ascii="Arial" w:hAnsi="Arial" w:cs="Arial"/>
              </w:rPr>
              <w:t>March 2014</w:t>
            </w:r>
          </w:p>
        </w:tc>
        <w:tc>
          <w:tcPr>
            <w:tcW w:w="5961" w:type="dxa"/>
          </w:tcPr>
          <w:p w:rsidR="00280386" w:rsidRPr="000D14CB" w:rsidRDefault="00280386" w:rsidP="00280386">
            <w:pPr>
              <w:rPr>
                <w:rFonts w:ascii="Arial" w:hAnsi="Arial" w:cs="Arial"/>
              </w:rPr>
            </w:pPr>
            <w:r w:rsidRPr="000D14CB">
              <w:rPr>
                <w:rFonts w:ascii="Arial" w:hAnsi="Arial" w:cs="Arial"/>
              </w:rPr>
              <w:t>AmbCO April 2013</w:t>
            </w:r>
            <w:r w:rsidR="00151AF2">
              <w:rPr>
                <w:rFonts w:ascii="Arial" w:hAnsi="Arial" w:cs="Arial"/>
              </w:rPr>
              <w:t xml:space="preserve"> to </w:t>
            </w:r>
            <w:r w:rsidRPr="000D14CB">
              <w:rPr>
                <w:rFonts w:ascii="Arial" w:hAnsi="Arial" w:cs="Arial"/>
              </w:rPr>
              <w:t>September 2013</w:t>
            </w:r>
          </w:p>
        </w:tc>
      </w:tr>
      <w:tr w:rsidR="00A4253D" w:rsidRPr="000D14CB" w:rsidTr="008F1385">
        <w:trPr>
          <w:trHeight w:val="371"/>
        </w:trPr>
        <w:tc>
          <w:tcPr>
            <w:tcW w:w="2687" w:type="dxa"/>
          </w:tcPr>
          <w:p w:rsidR="00A4253D" w:rsidRPr="000D14CB" w:rsidRDefault="00B828B6" w:rsidP="00A4253D">
            <w:pPr>
              <w:rPr>
                <w:rFonts w:ascii="Arial" w:hAnsi="Arial" w:cs="Arial"/>
              </w:rPr>
            </w:pPr>
            <w:r w:rsidRPr="00151AF2">
              <w:rPr>
                <w:rFonts w:ascii="Arial" w:hAnsi="Arial" w:cs="Arial"/>
              </w:rPr>
              <w:t>1 November 2013</w:t>
            </w:r>
          </w:p>
        </w:tc>
        <w:tc>
          <w:tcPr>
            <w:tcW w:w="5961" w:type="dxa"/>
          </w:tcPr>
          <w:p w:rsidR="00A4253D" w:rsidRPr="000D14CB" w:rsidRDefault="00AA3CDD" w:rsidP="00A4253D">
            <w:pPr>
              <w:rPr>
                <w:rFonts w:ascii="Arial" w:hAnsi="Arial" w:cs="Arial"/>
              </w:rPr>
            </w:pPr>
            <w:r w:rsidRPr="000D14CB">
              <w:rPr>
                <w:rFonts w:ascii="Arial" w:hAnsi="Arial" w:cs="Arial"/>
              </w:rPr>
              <w:t>AmbSYS April 2013</w:t>
            </w:r>
            <w:r w:rsidR="00151AF2">
              <w:rPr>
                <w:rFonts w:ascii="Arial" w:hAnsi="Arial" w:cs="Arial"/>
              </w:rPr>
              <w:t xml:space="preserve"> to </w:t>
            </w:r>
            <w:r w:rsidRPr="000D14CB">
              <w:rPr>
                <w:rFonts w:ascii="Arial" w:hAnsi="Arial" w:cs="Arial"/>
              </w:rPr>
              <w:t>August</w:t>
            </w:r>
            <w:r w:rsidR="00280386" w:rsidRPr="000D14CB">
              <w:rPr>
                <w:rFonts w:ascii="Arial" w:hAnsi="Arial" w:cs="Arial"/>
              </w:rPr>
              <w:t xml:space="preserve"> 2013</w:t>
            </w:r>
          </w:p>
        </w:tc>
      </w:tr>
      <w:tr w:rsidR="00B828B6" w:rsidRPr="000D14CB" w:rsidTr="008F1385">
        <w:trPr>
          <w:trHeight w:val="371"/>
        </w:trPr>
        <w:tc>
          <w:tcPr>
            <w:tcW w:w="2687" w:type="dxa"/>
          </w:tcPr>
          <w:p w:rsidR="00B828B6" w:rsidRPr="000D14CB" w:rsidRDefault="00B828B6" w:rsidP="00151AF2">
            <w:pPr>
              <w:rPr>
                <w:rFonts w:ascii="Arial" w:hAnsi="Arial" w:cs="Arial"/>
                <w:color w:val="000000"/>
              </w:rPr>
            </w:pPr>
            <w:r w:rsidRPr="00151AF2">
              <w:rPr>
                <w:rFonts w:ascii="Arial" w:hAnsi="Arial" w:cs="Arial"/>
              </w:rPr>
              <w:t>2 August 2013</w:t>
            </w:r>
          </w:p>
        </w:tc>
        <w:tc>
          <w:tcPr>
            <w:tcW w:w="5961" w:type="dxa"/>
          </w:tcPr>
          <w:p w:rsidR="00B828B6" w:rsidRPr="000D14CB" w:rsidRDefault="00AA3CDD" w:rsidP="00A4253D">
            <w:pPr>
              <w:rPr>
                <w:rFonts w:ascii="Arial" w:hAnsi="Arial" w:cs="Arial"/>
              </w:rPr>
            </w:pPr>
            <w:r w:rsidRPr="000D14CB">
              <w:rPr>
                <w:rFonts w:ascii="Arial" w:hAnsi="Arial" w:cs="Arial"/>
              </w:rPr>
              <w:t>AmbCO April 2012</w:t>
            </w:r>
            <w:r w:rsidR="00151AF2">
              <w:rPr>
                <w:rFonts w:ascii="Arial" w:hAnsi="Arial" w:cs="Arial"/>
              </w:rPr>
              <w:t xml:space="preserve"> to </w:t>
            </w:r>
            <w:r w:rsidRPr="000D14CB">
              <w:rPr>
                <w:rFonts w:ascii="Arial" w:hAnsi="Arial" w:cs="Arial"/>
              </w:rPr>
              <w:t>March 2013</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151AF2">
              <w:rPr>
                <w:rFonts w:ascii="Arial" w:hAnsi="Arial" w:cs="Arial"/>
              </w:rPr>
              <w:t>3 May 2013</w:t>
            </w:r>
          </w:p>
        </w:tc>
        <w:tc>
          <w:tcPr>
            <w:tcW w:w="5961" w:type="dxa"/>
          </w:tcPr>
          <w:p w:rsidR="00B828B6" w:rsidRPr="000D14CB" w:rsidRDefault="00AA3CDD" w:rsidP="00387879">
            <w:pPr>
              <w:rPr>
                <w:rFonts w:ascii="Arial" w:hAnsi="Arial" w:cs="Arial"/>
              </w:rPr>
            </w:pPr>
            <w:r w:rsidRPr="000D14CB">
              <w:rPr>
                <w:rFonts w:ascii="Arial" w:hAnsi="Arial" w:cs="Arial"/>
              </w:rPr>
              <w:t>AmbSYS April 2012</w:t>
            </w:r>
            <w:r w:rsidR="00151AF2">
              <w:rPr>
                <w:rFonts w:ascii="Arial" w:hAnsi="Arial" w:cs="Arial"/>
              </w:rPr>
              <w:t xml:space="preserve"> to </w:t>
            </w:r>
            <w:r w:rsidRPr="000D14CB">
              <w:rPr>
                <w:rFonts w:ascii="Arial" w:hAnsi="Arial" w:cs="Arial"/>
              </w:rPr>
              <w:t>March 2013</w:t>
            </w:r>
          </w:p>
        </w:tc>
      </w:tr>
      <w:tr w:rsidR="00B828B6" w:rsidRPr="000D14CB" w:rsidTr="008F1385">
        <w:trPr>
          <w:trHeight w:val="371"/>
        </w:trPr>
        <w:tc>
          <w:tcPr>
            <w:tcW w:w="2687" w:type="dxa"/>
          </w:tcPr>
          <w:p w:rsidR="00B828B6" w:rsidRPr="000D14CB" w:rsidRDefault="00B828B6" w:rsidP="00151AF2">
            <w:pPr>
              <w:rPr>
                <w:rFonts w:ascii="Arial" w:hAnsi="Arial" w:cs="Arial"/>
              </w:rPr>
            </w:pPr>
            <w:r w:rsidRPr="000D14CB">
              <w:rPr>
                <w:rFonts w:ascii="Arial" w:hAnsi="Arial" w:cs="Arial"/>
              </w:rPr>
              <w:t>1 February 2013</w:t>
            </w:r>
          </w:p>
        </w:tc>
        <w:tc>
          <w:tcPr>
            <w:tcW w:w="5961" w:type="dxa"/>
          </w:tcPr>
          <w:p w:rsidR="00B828B6" w:rsidRPr="000D14CB" w:rsidRDefault="00AA3CDD" w:rsidP="00387879">
            <w:pPr>
              <w:rPr>
                <w:rFonts w:ascii="Arial" w:hAnsi="Arial" w:cs="Arial"/>
              </w:rPr>
            </w:pPr>
            <w:r w:rsidRPr="000D14CB">
              <w:rPr>
                <w:rFonts w:ascii="Arial" w:hAnsi="Arial" w:cs="Arial"/>
              </w:rPr>
              <w:t>AmbCO</w:t>
            </w:r>
            <w:r w:rsidR="00B828B6" w:rsidRPr="000D14CB">
              <w:rPr>
                <w:rFonts w:ascii="Arial" w:hAnsi="Arial" w:cs="Arial"/>
              </w:rPr>
              <w:t xml:space="preserve"> April 2012</w:t>
            </w:r>
            <w:r w:rsidR="00151AF2">
              <w:rPr>
                <w:rFonts w:ascii="Arial" w:hAnsi="Arial" w:cs="Arial"/>
              </w:rPr>
              <w:t xml:space="preserve"> to </w:t>
            </w:r>
            <w:r w:rsidR="00D51658" w:rsidRPr="000D14CB">
              <w:rPr>
                <w:rFonts w:ascii="Arial" w:hAnsi="Arial" w:cs="Arial"/>
              </w:rPr>
              <w:t xml:space="preserve"> </w:t>
            </w:r>
            <w:r w:rsidR="00B828B6" w:rsidRPr="000D14CB">
              <w:rPr>
                <w:rFonts w:ascii="Arial" w:hAnsi="Arial" w:cs="Arial"/>
              </w:rPr>
              <w:t>August 2012</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0D14CB">
              <w:rPr>
                <w:rFonts w:ascii="Arial" w:hAnsi="Arial" w:cs="Arial"/>
              </w:rPr>
              <w:t>11</w:t>
            </w:r>
            <w:r w:rsidR="00151AF2" w:rsidRPr="00151AF2">
              <w:rPr>
                <w:rFonts w:ascii="Arial" w:hAnsi="Arial" w:cs="Arial"/>
              </w:rPr>
              <w:t xml:space="preserve"> </w:t>
            </w:r>
            <w:r w:rsidRPr="000D14CB">
              <w:rPr>
                <w:rFonts w:ascii="Arial" w:hAnsi="Arial" w:cs="Arial"/>
              </w:rPr>
              <w:t>January 2013</w:t>
            </w:r>
          </w:p>
        </w:tc>
        <w:tc>
          <w:tcPr>
            <w:tcW w:w="5961" w:type="dxa"/>
          </w:tcPr>
          <w:p w:rsidR="00B828B6" w:rsidRPr="000D14CB" w:rsidRDefault="00B828B6" w:rsidP="00387879">
            <w:pPr>
              <w:rPr>
                <w:rFonts w:ascii="Arial" w:hAnsi="Arial" w:cs="Arial"/>
              </w:rPr>
            </w:pPr>
            <w:r w:rsidRPr="000D14CB">
              <w:rPr>
                <w:rFonts w:ascii="Arial" w:hAnsi="Arial" w:cs="Arial"/>
              </w:rPr>
              <w:t>AmbSYS April 2012</w:t>
            </w:r>
            <w:r w:rsidR="00151AF2">
              <w:rPr>
                <w:rFonts w:ascii="Arial" w:hAnsi="Arial" w:cs="Arial"/>
              </w:rPr>
              <w:t xml:space="preserve"> to </w:t>
            </w:r>
            <w:r w:rsidR="00D51658" w:rsidRPr="000D14CB">
              <w:rPr>
                <w:rFonts w:ascii="Arial" w:hAnsi="Arial" w:cs="Arial"/>
              </w:rPr>
              <w:t xml:space="preserve"> </w:t>
            </w:r>
            <w:r w:rsidRPr="000D14CB">
              <w:rPr>
                <w:rFonts w:ascii="Arial" w:hAnsi="Arial" w:cs="Arial"/>
              </w:rPr>
              <w:t>October 2012</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0D14CB">
              <w:rPr>
                <w:rFonts w:ascii="Arial" w:hAnsi="Arial" w:cs="Arial"/>
              </w:rPr>
              <w:t>11</w:t>
            </w:r>
            <w:r w:rsidR="00151AF2" w:rsidRPr="00151AF2">
              <w:rPr>
                <w:rFonts w:ascii="Arial" w:hAnsi="Arial" w:cs="Arial"/>
              </w:rPr>
              <w:t xml:space="preserve"> </w:t>
            </w:r>
            <w:r w:rsidRPr="000D14CB">
              <w:rPr>
                <w:rFonts w:ascii="Arial" w:hAnsi="Arial" w:cs="Arial"/>
              </w:rPr>
              <w:t>January 2013</w:t>
            </w:r>
          </w:p>
        </w:tc>
        <w:tc>
          <w:tcPr>
            <w:tcW w:w="5961" w:type="dxa"/>
          </w:tcPr>
          <w:p w:rsidR="00B828B6" w:rsidRPr="000D14CB" w:rsidRDefault="00B828B6" w:rsidP="00387879">
            <w:pPr>
              <w:rPr>
                <w:rFonts w:ascii="Arial" w:hAnsi="Arial" w:cs="Arial"/>
              </w:rPr>
            </w:pPr>
            <w:r w:rsidRPr="000D14CB">
              <w:rPr>
                <w:rFonts w:ascii="Arial" w:hAnsi="Arial" w:cs="Arial"/>
              </w:rPr>
              <w:t>AmbSYS April 2011</w:t>
            </w:r>
            <w:r w:rsidR="00151AF2">
              <w:rPr>
                <w:rFonts w:ascii="Arial" w:hAnsi="Arial" w:cs="Arial"/>
              </w:rPr>
              <w:t xml:space="preserve"> to </w:t>
            </w:r>
            <w:r w:rsidR="00D51658" w:rsidRPr="000D14CB">
              <w:rPr>
                <w:rFonts w:ascii="Arial" w:hAnsi="Arial" w:cs="Arial"/>
              </w:rPr>
              <w:t xml:space="preserve"> </w:t>
            </w:r>
            <w:r w:rsidRPr="000D14CB">
              <w:rPr>
                <w:rFonts w:ascii="Arial" w:hAnsi="Arial" w:cs="Arial"/>
              </w:rPr>
              <w:t>March 2012</w:t>
            </w:r>
          </w:p>
        </w:tc>
      </w:tr>
      <w:tr w:rsidR="00B828B6" w:rsidRPr="000D14CB" w:rsidTr="008F1385">
        <w:trPr>
          <w:trHeight w:val="371"/>
        </w:trPr>
        <w:tc>
          <w:tcPr>
            <w:tcW w:w="2687" w:type="dxa"/>
            <w:tcBorders>
              <w:bottom w:val="single" w:sz="4" w:space="0" w:color="auto"/>
            </w:tcBorders>
          </w:tcPr>
          <w:p w:rsidR="00B828B6" w:rsidRPr="000D14CB" w:rsidRDefault="00B828B6" w:rsidP="00151AF2">
            <w:pPr>
              <w:rPr>
                <w:rFonts w:ascii="Arial" w:hAnsi="Arial" w:cs="Arial"/>
              </w:rPr>
            </w:pPr>
            <w:r w:rsidRPr="000D14CB">
              <w:rPr>
                <w:rFonts w:ascii="Arial" w:hAnsi="Arial" w:cs="Arial"/>
              </w:rPr>
              <w:t>31 August 2012</w:t>
            </w:r>
          </w:p>
        </w:tc>
        <w:tc>
          <w:tcPr>
            <w:tcW w:w="5961" w:type="dxa"/>
            <w:tcBorders>
              <w:bottom w:val="single" w:sz="4" w:space="0" w:color="auto"/>
            </w:tcBorders>
          </w:tcPr>
          <w:p w:rsidR="00B828B6" w:rsidRPr="000D14CB" w:rsidRDefault="00AA3CDD" w:rsidP="00387879">
            <w:pPr>
              <w:rPr>
                <w:rFonts w:ascii="Arial" w:hAnsi="Arial" w:cs="Arial"/>
              </w:rPr>
            </w:pPr>
            <w:r w:rsidRPr="000D14CB">
              <w:rPr>
                <w:rFonts w:ascii="Arial" w:hAnsi="Arial" w:cs="Arial"/>
              </w:rPr>
              <w:t>AmbCO</w:t>
            </w:r>
            <w:r w:rsidR="00B828B6" w:rsidRPr="000D14CB">
              <w:rPr>
                <w:rFonts w:ascii="Arial" w:hAnsi="Arial" w:cs="Arial"/>
              </w:rPr>
              <w:t xml:space="preserve"> April 2011</w:t>
            </w:r>
            <w:r w:rsidR="00151AF2">
              <w:rPr>
                <w:rFonts w:ascii="Arial" w:hAnsi="Arial" w:cs="Arial"/>
              </w:rPr>
              <w:t xml:space="preserve"> to </w:t>
            </w:r>
            <w:r w:rsidR="00D51658" w:rsidRPr="000D14CB">
              <w:rPr>
                <w:rFonts w:ascii="Arial" w:hAnsi="Arial" w:cs="Arial"/>
              </w:rPr>
              <w:t xml:space="preserve"> </w:t>
            </w:r>
            <w:r w:rsidR="00B828B6" w:rsidRPr="000D14CB">
              <w:rPr>
                <w:rFonts w:ascii="Arial" w:hAnsi="Arial" w:cs="Arial"/>
              </w:rPr>
              <w:t>March 2012</w:t>
            </w:r>
          </w:p>
        </w:tc>
      </w:tr>
    </w:tbl>
    <w:p w:rsidR="00A4253D" w:rsidRPr="000D14CB" w:rsidRDefault="00A4253D" w:rsidP="00A4253D">
      <w:pPr>
        <w:rPr>
          <w:rFonts w:ascii="Arial" w:hAnsi="Arial" w:cs="Arial"/>
          <w:b/>
        </w:rPr>
      </w:pPr>
    </w:p>
    <w:p w:rsidR="0052145B" w:rsidRPr="00335EE6" w:rsidRDefault="0052145B" w:rsidP="00335EE6">
      <w:pPr>
        <w:rPr>
          <w:rFonts w:ascii="Arial" w:hAnsi="Arial" w:cs="Arial"/>
          <w:b/>
        </w:rPr>
      </w:pPr>
      <w:r w:rsidRPr="00335EE6">
        <w:rPr>
          <w:rFonts w:ascii="Arial" w:hAnsi="Arial" w:cs="Arial"/>
          <w:b/>
        </w:rPr>
        <w:t>Related Statistics</w:t>
      </w:r>
    </w:p>
    <w:p w:rsidR="00096A9C" w:rsidRPr="005538AF" w:rsidRDefault="00096A9C" w:rsidP="005538AF">
      <w:pPr>
        <w:rPr>
          <w:rFonts w:ascii="Arial" w:hAnsi="Arial" w:cs="Arial"/>
          <w:b/>
        </w:rPr>
      </w:pPr>
      <w:r w:rsidRPr="005538AF">
        <w:rPr>
          <w:rFonts w:ascii="Arial" w:hAnsi="Arial" w:cs="Arial"/>
        </w:rPr>
        <w:t xml:space="preserve">The total number of category A and category B calls made to ambulance trusts in England, and of these how many were responded to within 8 minutes (category A) or 19 minutes (category B), and the number of urgent and emergency journeys, were previously collected </w:t>
      </w:r>
      <w:r w:rsidR="00335EE6">
        <w:rPr>
          <w:rFonts w:ascii="Arial" w:hAnsi="Arial" w:cs="Arial"/>
        </w:rPr>
        <w:t>in</w:t>
      </w:r>
      <w:r w:rsidRPr="005538AF">
        <w:rPr>
          <w:rFonts w:ascii="Arial" w:hAnsi="Arial" w:cs="Arial"/>
        </w:rPr>
        <w:t xml:space="preserve"> Weekly Situation Reports. The collection also included data on instances of delayed handover to A&amp;E s</w:t>
      </w:r>
      <w:r w:rsidR="0053124D" w:rsidRPr="005538AF">
        <w:rPr>
          <w:rFonts w:ascii="Arial" w:hAnsi="Arial" w:cs="Arial"/>
        </w:rPr>
        <w:t xml:space="preserve">taff. Data </w:t>
      </w:r>
      <w:r w:rsidR="00335EE6">
        <w:rPr>
          <w:rFonts w:ascii="Arial" w:hAnsi="Arial" w:cs="Arial"/>
        </w:rPr>
        <w:t xml:space="preserve">from </w:t>
      </w:r>
      <w:r w:rsidR="0053124D" w:rsidRPr="005538AF">
        <w:rPr>
          <w:rFonts w:ascii="Arial" w:hAnsi="Arial" w:cs="Arial"/>
        </w:rPr>
        <w:t xml:space="preserve">8 November 2010 to 29 May </w:t>
      </w:r>
      <w:r w:rsidRPr="005538AF">
        <w:rPr>
          <w:rFonts w:ascii="Arial" w:hAnsi="Arial" w:cs="Arial"/>
        </w:rPr>
        <w:t xml:space="preserve">2011 </w:t>
      </w:r>
      <w:r w:rsidR="00335EE6">
        <w:rPr>
          <w:rFonts w:ascii="Arial" w:hAnsi="Arial" w:cs="Arial"/>
        </w:rPr>
        <w:t xml:space="preserve">are </w:t>
      </w:r>
      <w:r w:rsidRPr="005538AF">
        <w:rPr>
          <w:rFonts w:ascii="Arial" w:hAnsi="Arial" w:cs="Arial"/>
        </w:rPr>
        <w:t>at:</w:t>
      </w:r>
    </w:p>
    <w:p w:rsidR="00096A9C" w:rsidRPr="00151AF2" w:rsidRDefault="008A503B" w:rsidP="00096A9C">
      <w:pPr>
        <w:ind w:left="360"/>
        <w:rPr>
          <w:rFonts w:ascii="Arial" w:hAnsi="Arial" w:cs="Arial"/>
        </w:rPr>
      </w:pPr>
      <w:hyperlink r:id="rId17" w:history="1">
        <w:r w:rsidR="00144A92">
          <w:rPr>
            <w:rStyle w:val="Hyperlink"/>
            <w:rFonts w:ascii="Arial" w:hAnsi="Arial" w:cs="Arial"/>
          </w:rPr>
          <w:t>http://webarchive.nationalarchives.gov.uk/20130107105354/http://www.dh.gov.uk/en/Publicationsandstatistics/Statistics/Performancedataandstatistics/WeeklySituationReports/DH_1</w:t>
        </w:r>
        <w:r w:rsidR="00144A92">
          <w:rPr>
            <w:rStyle w:val="Hyperlink"/>
            <w:rFonts w:ascii="Arial" w:hAnsi="Arial" w:cs="Arial"/>
          </w:rPr>
          <w:t>2</w:t>
        </w:r>
        <w:r w:rsidR="00144A92">
          <w:rPr>
            <w:rStyle w:val="Hyperlink"/>
            <w:rFonts w:ascii="Arial" w:hAnsi="Arial" w:cs="Arial"/>
          </w:rPr>
          <w:t>8506</w:t>
        </w:r>
      </w:hyperlink>
    </w:p>
    <w:p w:rsidR="00096A9C" w:rsidRPr="00151AF2" w:rsidRDefault="00096A9C" w:rsidP="00096A9C">
      <w:pPr>
        <w:autoSpaceDE w:val="0"/>
        <w:autoSpaceDN w:val="0"/>
        <w:adjustRightInd w:val="0"/>
        <w:rPr>
          <w:rFonts w:ascii="Arial" w:hAnsi="Arial" w:cs="Arial"/>
        </w:rPr>
      </w:pPr>
    </w:p>
    <w:p w:rsidR="00096A9C" w:rsidRPr="005538AF" w:rsidRDefault="00096A9C" w:rsidP="005538AF">
      <w:pPr>
        <w:rPr>
          <w:rFonts w:ascii="Arial" w:hAnsi="Arial" w:cs="Arial"/>
          <w:b/>
          <w:bCs/>
        </w:rPr>
      </w:pPr>
      <w:r w:rsidRPr="005538AF">
        <w:rPr>
          <w:rFonts w:ascii="Arial" w:hAnsi="Arial" w:cs="Arial"/>
        </w:rPr>
        <w:t>Performance statistics on ambulance services in other countries of the UK can be found at:</w:t>
      </w:r>
    </w:p>
    <w:p w:rsidR="00644C87" w:rsidRPr="00151AF2" w:rsidRDefault="00644C87" w:rsidP="00644C87">
      <w:pPr>
        <w:autoSpaceDE w:val="0"/>
        <w:autoSpaceDN w:val="0"/>
        <w:adjustRightInd w:val="0"/>
        <w:ind w:left="360"/>
        <w:rPr>
          <w:rFonts w:ascii="Arial" w:hAnsi="Arial" w:cs="Arial"/>
        </w:rPr>
      </w:pPr>
    </w:p>
    <w:p w:rsidR="00096A9C" w:rsidRPr="00151AF2" w:rsidRDefault="00096A9C" w:rsidP="0053124D">
      <w:pPr>
        <w:ind w:left="360"/>
        <w:rPr>
          <w:rFonts w:ascii="Arial" w:hAnsi="Arial" w:cs="Arial"/>
        </w:rPr>
      </w:pPr>
      <w:r w:rsidRPr="000F5B3F">
        <w:rPr>
          <w:rFonts w:ascii="Arial" w:hAnsi="Arial" w:cs="Arial"/>
        </w:rPr>
        <w:t>Wales</w:t>
      </w:r>
      <w:r w:rsidR="00151AF2" w:rsidRPr="00151AF2">
        <w:rPr>
          <w:rFonts w:ascii="Arial" w:hAnsi="Arial" w:cs="Arial"/>
        </w:rPr>
        <w:t xml:space="preserve">: </w:t>
      </w:r>
      <w:hyperlink r:id="rId18" w:history="1">
        <w:r w:rsidRPr="000D14CB">
          <w:rPr>
            <w:rStyle w:val="Hyperlink"/>
            <w:rFonts w:ascii="Arial" w:hAnsi="Arial" w:cs="Arial"/>
          </w:rPr>
          <w:t>http://wales.gov.uk/topics/statistics/headlines/health2012/120307/?lang=en</w:t>
        </w:r>
      </w:hyperlink>
    </w:p>
    <w:p w:rsidR="00644C87" w:rsidRPr="0053124D" w:rsidRDefault="00644C87" w:rsidP="0053124D">
      <w:pPr>
        <w:ind w:left="360"/>
        <w:rPr>
          <w:rFonts w:ascii="Arial" w:hAnsi="Arial" w:cs="Arial"/>
        </w:rPr>
      </w:pPr>
    </w:p>
    <w:p w:rsidR="00151AF2" w:rsidRPr="00151AF2" w:rsidRDefault="00644C87" w:rsidP="0053124D">
      <w:pPr>
        <w:ind w:left="360"/>
        <w:rPr>
          <w:rFonts w:ascii="Arial" w:hAnsi="Arial" w:cs="Arial"/>
        </w:rPr>
      </w:pPr>
      <w:r w:rsidRPr="000F5B3F">
        <w:rPr>
          <w:rFonts w:ascii="Arial" w:hAnsi="Arial" w:cs="Arial"/>
        </w:rPr>
        <w:t>Scotland</w:t>
      </w:r>
      <w:r w:rsidR="00151AF2" w:rsidRPr="00151AF2">
        <w:rPr>
          <w:rFonts w:ascii="Arial" w:hAnsi="Arial" w:cs="Arial"/>
        </w:rPr>
        <w:t xml:space="preserve">: </w:t>
      </w:r>
      <w:hyperlink r:id="rId19" w:history="1">
        <w:r w:rsidR="00151AF2" w:rsidRPr="008369E4">
          <w:rPr>
            <w:rStyle w:val="Hyperlink"/>
            <w:rFonts w:ascii="Arial" w:hAnsi="Arial" w:cs="Arial"/>
          </w:rPr>
          <w:t>www.scottishambulance.com/Performance</w:t>
        </w:r>
      </w:hyperlink>
    </w:p>
    <w:p w:rsidR="00644C87" w:rsidRPr="00151AF2" w:rsidRDefault="00644C87" w:rsidP="00096A9C">
      <w:pPr>
        <w:autoSpaceDE w:val="0"/>
        <w:autoSpaceDN w:val="0"/>
        <w:adjustRightInd w:val="0"/>
        <w:ind w:left="360"/>
        <w:rPr>
          <w:rFonts w:ascii="Arial" w:hAnsi="Arial" w:cs="Arial"/>
        </w:rPr>
      </w:pPr>
    </w:p>
    <w:p w:rsidR="00096A9C" w:rsidRPr="00151AF2" w:rsidRDefault="00096A9C" w:rsidP="00096A9C">
      <w:pPr>
        <w:autoSpaceDE w:val="0"/>
        <w:autoSpaceDN w:val="0"/>
        <w:adjustRightInd w:val="0"/>
        <w:ind w:left="360"/>
        <w:rPr>
          <w:rFonts w:ascii="Arial" w:hAnsi="Arial" w:cs="Arial"/>
        </w:rPr>
      </w:pPr>
      <w:r w:rsidRPr="000F5B3F">
        <w:rPr>
          <w:rFonts w:ascii="Arial" w:hAnsi="Arial" w:cs="Arial"/>
        </w:rPr>
        <w:t>Northern Ireland</w:t>
      </w:r>
      <w:r w:rsidR="00151AF2" w:rsidRPr="00151AF2">
        <w:rPr>
          <w:rFonts w:ascii="Arial" w:hAnsi="Arial" w:cs="Arial"/>
        </w:rPr>
        <w:t xml:space="preserve">: </w:t>
      </w:r>
      <w:hyperlink r:id="rId20" w:history="1">
        <w:r w:rsidR="00151AF2">
          <w:rPr>
            <w:rStyle w:val="Hyperlink"/>
            <w:rFonts w:ascii="Arial" w:hAnsi="Arial" w:cs="Arial"/>
          </w:rPr>
          <w:t>www</w:t>
        </w:r>
        <w:r w:rsidRPr="000D14CB">
          <w:rPr>
            <w:rStyle w:val="Hyperlink"/>
            <w:rFonts w:ascii="Arial" w:hAnsi="Arial" w:cs="Arial"/>
          </w:rPr>
          <w:t>.niamb.co.uk/docs/corporate_info.html</w:t>
        </w:r>
      </w:hyperlink>
      <w:r w:rsidRPr="00151AF2">
        <w:rPr>
          <w:rFonts w:ascii="Arial" w:hAnsi="Arial" w:cs="Arial"/>
        </w:rPr>
        <w:t xml:space="preserve"> </w:t>
      </w:r>
    </w:p>
    <w:p w:rsidR="00A4253D" w:rsidRPr="000D14CB" w:rsidRDefault="00A4253D" w:rsidP="00A4253D">
      <w:pPr>
        <w:rPr>
          <w:rFonts w:ascii="Arial" w:hAnsi="Arial" w:cs="Arial"/>
          <w:b/>
        </w:rPr>
      </w:pPr>
    </w:p>
    <w:p w:rsidR="0052145B" w:rsidRPr="000D14CB" w:rsidRDefault="0052145B" w:rsidP="0052145B">
      <w:pPr>
        <w:rPr>
          <w:rFonts w:ascii="Arial" w:hAnsi="Arial" w:cs="Arial"/>
          <w:b/>
        </w:rPr>
      </w:pPr>
      <w:r w:rsidRPr="000D14CB">
        <w:rPr>
          <w:rFonts w:ascii="Arial" w:hAnsi="Arial" w:cs="Arial"/>
          <w:b/>
        </w:rPr>
        <w:t>Additional Information</w:t>
      </w:r>
    </w:p>
    <w:p w:rsidR="00A4253D" w:rsidRDefault="00A4253D" w:rsidP="00A4253D">
      <w:pPr>
        <w:autoSpaceDE w:val="0"/>
        <w:autoSpaceDN w:val="0"/>
        <w:adjustRightInd w:val="0"/>
        <w:rPr>
          <w:rFonts w:ascii="Arial" w:hAnsi="Arial" w:cs="Arial"/>
        </w:rPr>
      </w:pPr>
      <w:r w:rsidRPr="000F5B3F">
        <w:rPr>
          <w:rFonts w:ascii="Arial" w:hAnsi="Arial" w:cs="Arial"/>
        </w:rPr>
        <w:t xml:space="preserve">For press enquiries, please contact the </w:t>
      </w:r>
      <w:r w:rsidR="00144A92">
        <w:rPr>
          <w:rFonts w:ascii="Arial" w:hAnsi="Arial" w:cs="Arial"/>
        </w:rPr>
        <w:t xml:space="preserve">NHS England </w:t>
      </w:r>
      <w:r w:rsidRPr="000F5B3F">
        <w:rPr>
          <w:rFonts w:ascii="Arial" w:hAnsi="Arial" w:cs="Arial"/>
        </w:rPr>
        <w:t>press office</w:t>
      </w:r>
      <w:r w:rsidR="00144A92">
        <w:rPr>
          <w:rFonts w:ascii="Arial" w:hAnsi="Arial" w:cs="Arial"/>
        </w:rPr>
        <w:t xml:space="preserve"> on 0113 825 0958 or </w:t>
      </w:r>
      <w:hyperlink r:id="rId21" w:history="1">
        <w:r w:rsidR="00144A92" w:rsidRPr="008369E4">
          <w:rPr>
            <w:rStyle w:val="Hyperlink"/>
            <w:rFonts w:ascii="Arial" w:hAnsi="Arial" w:cs="Arial"/>
          </w:rPr>
          <w:t>nhsengland.media@nhs.net</w:t>
        </w:r>
      </w:hyperlink>
      <w:r w:rsidR="00144A92">
        <w:rPr>
          <w:rFonts w:ascii="Arial" w:hAnsi="Arial" w:cs="Arial"/>
        </w:rPr>
        <w:t>.</w:t>
      </w:r>
    </w:p>
    <w:p w:rsidR="00A4253D" w:rsidRPr="000F5B3F" w:rsidRDefault="00A4253D" w:rsidP="00A4253D">
      <w:pPr>
        <w:autoSpaceDE w:val="0"/>
        <w:autoSpaceDN w:val="0"/>
        <w:adjustRightInd w:val="0"/>
        <w:rPr>
          <w:rFonts w:ascii="Arial" w:hAnsi="Arial" w:cs="Arial"/>
        </w:rPr>
      </w:pPr>
    </w:p>
    <w:p w:rsidR="00A4253D" w:rsidRPr="000F5B3F" w:rsidRDefault="00A4253D" w:rsidP="00A4253D">
      <w:pPr>
        <w:autoSpaceDE w:val="0"/>
        <w:autoSpaceDN w:val="0"/>
        <w:adjustRightInd w:val="0"/>
        <w:rPr>
          <w:rFonts w:ascii="Arial" w:hAnsi="Arial" w:cs="Arial"/>
        </w:rPr>
      </w:pPr>
      <w:r w:rsidRPr="000F5B3F">
        <w:rPr>
          <w:rFonts w:ascii="Arial" w:hAnsi="Arial" w:cs="Arial"/>
        </w:rPr>
        <w:t>The Government Statistical Service (GSS) statistician responsible for producing these data is:</w:t>
      </w:r>
    </w:p>
    <w:p w:rsidR="00A4253D" w:rsidRPr="000F5B3F" w:rsidRDefault="00A4253D" w:rsidP="00A4253D">
      <w:pPr>
        <w:autoSpaceDE w:val="0"/>
        <w:autoSpaceDN w:val="0"/>
        <w:adjustRightInd w:val="0"/>
        <w:rPr>
          <w:rFonts w:ascii="Arial" w:hAnsi="Arial" w:cs="Arial"/>
        </w:rPr>
      </w:pPr>
    </w:p>
    <w:p w:rsidR="00A4253D" w:rsidRDefault="00151AF2" w:rsidP="00A4253D">
      <w:pPr>
        <w:autoSpaceDE w:val="0"/>
        <w:autoSpaceDN w:val="0"/>
        <w:adjustRightInd w:val="0"/>
        <w:rPr>
          <w:rFonts w:ascii="Arial" w:hAnsi="Arial" w:cs="Arial"/>
        </w:rPr>
      </w:pPr>
      <w:r w:rsidRPr="000F5B3F">
        <w:rPr>
          <w:rFonts w:ascii="Arial" w:hAnsi="Arial" w:cs="Arial"/>
        </w:rPr>
        <w:t>Ian Kay</w:t>
      </w:r>
    </w:p>
    <w:p w:rsidR="0053124D" w:rsidRPr="000F5B3F" w:rsidRDefault="0053124D" w:rsidP="00A4253D">
      <w:pPr>
        <w:autoSpaceDE w:val="0"/>
        <w:autoSpaceDN w:val="0"/>
        <w:adjustRightInd w:val="0"/>
        <w:rPr>
          <w:rFonts w:ascii="Arial" w:hAnsi="Arial" w:cs="Arial"/>
        </w:rPr>
      </w:pPr>
      <w:r>
        <w:rPr>
          <w:rFonts w:ascii="Arial" w:hAnsi="Arial" w:cs="Arial"/>
        </w:rPr>
        <w:t>0113 824 9411</w:t>
      </w:r>
    </w:p>
    <w:p w:rsidR="00A4253D" w:rsidRPr="000F5B3F" w:rsidRDefault="00AA3CDD" w:rsidP="00A4253D">
      <w:pPr>
        <w:autoSpaceDE w:val="0"/>
        <w:autoSpaceDN w:val="0"/>
        <w:adjustRightInd w:val="0"/>
        <w:rPr>
          <w:rFonts w:ascii="Arial" w:hAnsi="Arial" w:cs="Arial"/>
        </w:rPr>
      </w:pPr>
      <w:r w:rsidRPr="000F5B3F">
        <w:rPr>
          <w:rFonts w:ascii="Arial" w:hAnsi="Arial" w:cs="Arial"/>
        </w:rPr>
        <w:t>Analytical Services (Operations)</w:t>
      </w:r>
      <w:r w:rsidR="00865E6C">
        <w:rPr>
          <w:rFonts w:ascii="Arial" w:hAnsi="Arial" w:cs="Arial"/>
        </w:rPr>
        <w:t xml:space="preserve">, </w:t>
      </w:r>
      <w:r w:rsidR="00A4253D" w:rsidRPr="000F5B3F">
        <w:rPr>
          <w:rFonts w:ascii="Arial" w:hAnsi="Arial" w:cs="Arial"/>
        </w:rPr>
        <w:t xml:space="preserve">NHS </w:t>
      </w:r>
      <w:r w:rsidR="00954E2E" w:rsidRPr="000F5B3F">
        <w:rPr>
          <w:rFonts w:ascii="Arial" w:hAnsi="Arial" w:cs="Arial"/>
        </w:rPr>
        <w:t>England</w:t>
      </w:r>
    </w:p>
    <w:p w:rsidR="00A4253D" w:rsidRDefault="00A4253D" w:rsidP="00A4253D">
      <w:pPr>
        <w:autoSpaceDE w:val="0"/>
        <w:autoSpaceDN w:val="0"/>
        <w:adjustRightInd w:val="0"/>
        <w:rPr>
          <w:rFonts w:ascii="Arial" w:hAnsi="Arial" w:cs="Arial"/>
        </w:rPr>
      </w:pPr>
      <w:r w:rsidRPr="000F5B3F">
        <w:rPr>
          <w:rFonts w:ascii="Arial" w:hAnsi="Arial" w:cs="Arial"/>
        </w:rPr>
        <w:t>Room 8E12, Quarry House, Quarry Hill, Leeds, LS2 7UE</w:t>
      </w:r>
    </w:p>
    <w:p w:rsidR="00865E6C" w:rsidRPr="00865E6C" w:rsidRDefault="00A4253D" w:rsidP="00865E6C">
      <w:pPr>
        <w:autoSpaceDE w:val="0"/>
        <w:autoSpaceDN w:val="0"/>
        <w:adjustRightInd w:val="0"/>
        <w:rPr>
          <w:rFonts w:ascii="Arial" w:hAnsi="Arial" w:cs="Arial"/>
        </w:rPr>
      </w:pPr>
      <w:r w:rsidRPr="000F5B3F">
        <w:rPr>
          <w:rFonts w:ascii="Arial" w:hAnsi="Arial" w:cs="Arial"/>
        </w:rPr>
        <w:t xml:space="preserve">E-mail: </w:t>
      </w:r>
      <w:hyperlink r:id="rId22" w:history="1">
        <w:r w:rsidR="00865E6C" w:rsidRPr="008369E4">
          <w:rPr>
            <w:rStyle w:val="Hyperlink"/>
            <w:rFonts w:ascii="Arial" w:hAnsi="Arial" w:cs="Arial"/>
          </w:rPr>
          <w:t>Unify2@dh.gsi.gov.uk</w:t>
        </w:r>
      </w:hyperlink>
    </w:p>
    <w:sectPr w:rsidR="00865E6C" w:rsidRPr="00865E6C" w:rsidSect="00F84799">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00" w:rsidRDefault="00572500" w:rsidP="008C63D3">
      <w:r>
        <w:separator/>
      </w:r>
    </w:p>
  </w:endnote>
  <w:endnote w:type="continuationSeparator" w:id="0">
    <w:p w:rsidR="00572500" w:rsidRDefault="00572500"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00" w:rsidRDefault="00BE1CE7">
    <w:pPr>
      <w:pStyle w:val="Footer"/>
      <w:jc w:val="center"/>
    </w:pPr>
    <w:r>
      <w:t xml:space="preserve">Page </w:t>
    </w:r>
    <w:r w:rsidR="00572500">
      <w:fldChar w:fldCharType="begin"/>
    </w:r>
    <w:r w:rsidR="00572500">
      <w:instrText xml:space="preserve"> PAGE   \* MERGEFORMAT </w:instrText>
    </w:r>
    <w:r w:rsidR="00572500">
      <w:fldChar w:fldCharType="separate"/>
    </w:r>
    <w:r w:rsidR="008A503B">
      <w:rPr>
        <w:noProof/>
      </w:rPr>
      <w:t>1</w:t>
    </w:r>
    <w:r w:rsidR="00572500">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A503B">
      <w:rPr>
        <w:noProof/>
      </w:rPr>
      <w:t>8</w:t>
    </w:r>
    <w:r>
      <w:rPr>
        <w:noProof/>
      </w:rPr>
      <w:fldChar w:fldCharType="end"/>
    </w:r>
  </w:p>
  <w:p w:rsidR="00572500" w:rsidRDefault="0057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00" w:rsidRDefault="00572500" w:rsidP="008C63D3">
      <w:r>
        <w:separator/>
      </w:r>
    </w:p>
  </w:footnote>
  <w:footnote w:type="continuationSeparator" w:id="0">
    <w:p w:rsidR="00572500" w:rsidRDefault="00572500" w:rsidP="008C63D3">
      <w:r>
        <w:continuationSeparator/>
      </w:r>
    </w:p>
  </w:footnote>
  <w:footnote w:id="1">
    <w:p w:rsidR="00572500" w:rsidRDefault="00572500" w:rsidP="0090527D">
      <w:pPr>
        <w:pStyle w:val="Footer"/>
      </w:pPr>
      <w:r>
        <w:rPr>
          <w:rStyle w:val="FootnoteReference"/>
        </w:rPr>
        <w:footnoteRef/>
      </w:r>
      <w:r>
        <w:t xml:space="preserve"> Red 1 calls are the most time critical, </w:t>
      </w:r>
      <w:r w:rsidRPr="0090527D">
        <w:t>and cover cardiac arrest patients who are not breathing and do not have a pulse, and other severe conditions such as airway obstruction.</w:t>
      </w:r>
      <w:r>
        <w:t xml:space="preserve"> Red 2 calls are </w:t>
      </w:r>
      <w:r w:rsidRPr="0090527D">
        <w:t>serious</w:t>
      </w:r>
      <w:r>
        <w:t>,</w:t>
      </w:r>
      <w:r w:rsidRPr="0090527D">
        <w:t xml:space="preserve"> but less immediately time critical</w:t>
      </w:r>
      <w:r>
        <w:t>,</w:t>
      </w:r>
      <w:r w:rsidRPr="0090527D">
        <w:t xml:space="preserve"> and cover conditions such as stroke and fits</w:t>
      </w:r>
      <w:r>
        <w:t xml:space="preserve">. </w:t>
      </w:r>
      <w:hyperlink r:id="rId1" w:history="1">
        <w:r w:rsidRPr="00BC3220">
          <w:rPr>
            <w:rStyle w:val="Hyperlink"/>
          </w:rPr>
          <w:t>www.gov.uk/government/news/changes-to-ambulance-response-time-categories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E6" w:rsidRPr="00BC435A" w:rsidRDefault="00335EE6" w:rsidP="00335EE6">
    <w:pPr>
      <w:jc w:val="center"/>
      <w:rPr>
        <w:rFonts w:ascii="Arial" w:hAnsi="Arial" w:cs="Arial"/>
      </w:rPr>
    </w:pPr>
    <w:r w:rsidRPr="00BC435A">
      <w:rPr>
        <w:rFonts w:ascii="Arial" w:hAnsi="Arial" w:cs="Arial"/>
      </w:rPr>
      <w:t>Prepared by the Government Statistical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17E64"/>
    <w:rsid w:val="000274BA"/>
    <w:rsid w:val="00036949"/>
    <w:rsid w:val="00042A5D"/>
    <w:rsid w:val="0005599E"/>
    <w:rsid w:val="00065110"/>
    <w:rsid w:val="000670B6"/>
    <w:rsid w:val="000768E8"/>
    <w:rsid w:val="00085AC3"/>
    <w:rsid w:val="000871A7"/>
    <w:rsid w:val="00092393"/>
    <w:rsid w:val="00096A9C"/>
    <w:rsid w:val="000B1B66"/>
    <w:rsid w:val="000C3202"/>
    <w:rsid w:val="000D14CB"/>
    <w:rsid w:val="000F4631"/>
    <w:rsid w:val="000F5B3F"/>
    <w:rsid w:val="001000B2"/>
    <w:rsid w:val="0010506D"/>
    <w:rsid w:val="0011384E"/>
    <w:rsid w:val="0012242C"/>
    <w:rsid w:val="00127A5B"/>
    <w:rsid w:val="00127FD0"/>
    <w:rsid w:val="001359EC"/>
    <w:rsid w:val="00136E8B"/>
    <w:rsid w:val="001405FE"/>
    <w:rsid w:val="0014147C"/>
    <w:rsid w:val="001417C4"/>
    <w:rsid w:val="00144A92"/>
    <w:rsid w:val="00151AF2"/>
    <w:rsid w:val="00160F31"/>
    <w:rsid w:val="00190332"/>
    <w:rsid w:val="00193CB9"/>
    <w:rsid w:val="00197242"/>
    <w:rsid w:val="001C3052"/>
    <w:rsid w:val="001C3165"/>
    <w:rsid w:val="001C6E6A"/>
    <w:rsid w:val="001D5DCC"/>
    <w:rsid w:val="001E3296"/>
    <w:rsid w:val="002055F7"/>
    <w:rsid w:val="002067E2"/>
    <w:rsid w:val="00214510"/>
    <w:rsid w:val="002346FC"/>
    <w:rsid w:val="00241F79"/>
    <w:rsid w:val="00251383"/>
    <w:rsid w:val="002529A4"/>
    <w:rsid w:val="00252C62"/>
    <w:rsid w:val="00254237"/>
    <w:rsid w:val="0025490C"/>
    <w:rsid w:val="00254B9C"/>
    <w:rsid w:val="0026240F"/>
    <w:rsid w:val="00267437"/>
    <w:rsid w:val="00270C17"/>
    <w:rsid w:val="00277342"/>
    <w:rsid w:val="0028035E"/>
    <w:rsid w:val="00280386"/>
    <w:rsid w:val="0029257D"/>
    <w:rsid w:val="00297264"/>
    <w:rsid w:val="002A3DFB"/>
    <w:rsid w:val="002B55AA"/>
    <w:rsid w:val="002C1DD5"/>
    <w:rsid w:val="002C3ECB"/>
    <w:rsid w:val="002D2035"/>
    <w:rsid w:val="0032556F"/>
    <w:rsid w:val="00335EE6"/>
    <w:rsid w:val="0034037C"/>
    <w:rsid w:val="00340769"/>
    <w:rsid w:val="00346087"/>
    <w:rsid w:val="003674CA"/>
    <w:rsid w:val="003723D5"/>
    <w:rsid w:val="00377786"/>
    <w:rsid w:val="00377FF6"/>
    <w:rsid w:val="00387879"/>
    <w:rsid w:val="00395D9D"/>
    <w:rsid w:val="003A63FB"/>
    <w:rsid w:val="003B164C"/>
    <w:rsid w:val="003B628A"/>
    <w:rsid w:val="003F43AB"/>
    <w:rsid w:val="004140F7"/>
    <w:rsid w:val="0042340C"/>
    <w:rsid w:val="00436A36"/>
    <w:rsid w:val="00444612"/>
    <w:rsid w:val="0044623C"/>
    <w:rsid w:val="004550F1"/>
    <w:rsid w:val="00456108"/>
    <w:rsid w:val="0047575F"/>
    <w:rsid w:val="004769D3"/>
    <w:rsid w:val="00480623"/>
    <w:rsid w:val="00493002"/>
    <w:rsid w:val="004953E1"/>
    <w:rsid w:val="004A2A45"/>
    <w:rsid w:val="004B46D5"/>
    <w:rsid w:val="004B592C"/>
    <w:rsid w:val="004C0D17"/>
    <w:rsid w:val="004C377A"/>
    <w:rsid w:val="004C5144"/>
    <w:rsid w:val="004F6290"/>
    <w:rsid w:val="0052145B"/>
    <w:rsid w:val="00523BFF"/>
    <w:rsid w:val="005261D8"/>
    <w:rsid w:val="0053124D"/>
    <w:rsid w:val="00531A75"/>
    <w:rsid w:val="0054261F"/>
    <w:rsid w:val="0054766B"/>
    <w:rsid w:val="00551DDC"/>
    <w:rsid w:val="005538AF"/>
    <w:rsid w:val="005719BB"/>
    <w:rsid w:val="00572500"/>
    <w:rsid w:val="005945B8"/>
    <w:rsid w:val="005950EE"/>
    <w:rsid w:val="005B4A17"/>
    <w:rsid w:val="005C59BC"/>
    <w:rsid w:val="005C6B63"/>
    <w:rsid w:val="005D2E52"/>
    <w:rsid w:val="005D348F"/>
    <w:rsid w:val="005F2095"/>
    <w:rsid w:val="005F53BA"/>
    <w:rsid w:val="00603940"/>
    <w:rsid w:val="006059ED"/>
    <w:rsid w:val="006157C7"/>
    <w:rsid w:val="00621A41"/>
    <w:rsid w:val="006306D8"/>
    <w:rsid w:val="00642E76"/>
    <w:rsid w:val="00644C87"/>
    <w:rsid w:val="00655F0D"/>
    <w:rsid w:val="00676BD5"/>
    <w:rsid w:val="00695304"/>
    <w:rsid w:val="006A61BC"/>
    <w:rsid w:val="006A6856"/>
    <w:rsid w:val="006B2BEA"/>
    <w:rsid w:val="006E0760"/>
    <w:rsid w:val="006E58F5"/>
    <w:rsid w:val="00700863"/>
    <w:rsid w:val="00701D5C"/>
    <w:rsid w:val="0070276C"/>
    <w:rsid w:val="0071673C"/>
    <w:rsid w:val="00724971"/>
    <w:rsid w:val="00741E8A"/>
    <w:rsid w:val="00747269"/>
    <w:rsid w:val="007700CE"/>
    <w:rsid w:val="007B5C09"/>
    <w:rsid w:val="007C6985"/>
    <w:rsid w:val="007E3671"/>
    <w:rsid w:val="007F02F1"/>
    <w:rsid w:val="007F6B19"/>
    <w:rsid w:val="008113A4"/>
    <w:rsid w:val="00815169"/>
    <w:rsid w:val="00822C2F"/>
    <w:rsid w:val="008231E3"/>
    <w:rsid w:val="00826D43"/>
    <w:rsid w:val="008340D3"/>
    <w:rsid w:val="00841DFF"/>
    <w:rsid w:val="00843ABC"/>
    <w:rsid w:val="00861B67"/>
    <w:rsid w:val="00862969"/>
    <w:rsid w:val="00865E6C"/>
    <w:rsid w:val="00880163"/>
    <w:rsid w:val="008805A7"/>
    <w:rsid w:val="00891640"/>
    <w:rsid w:val="008A503B"/>
    <w:rsid w:val="008C63D3"/>
    <w:rsid w:val="008D61DF"/>
    <w:rsid w:val="008E6B23"/>
    <w:rsid w:val="008F1385"/>
    <w:rsid w:val="0090071E"/>
    <w:rsid w:val="00900AD0"/>
    <w:rsid w:val="0090527D"/>
    <w:rsid w:val="0090652B"/>
    <w:rsid w:val="00915F3E"/>
    <w:rsid w:val="00927612"/>
    <w:rsid w:val="00954E2E"/>
    <w:rsid w:val="0097213E"/>
    <w:rsid w:val="00975BA9"/>
    <w:rsid w:val="00981224"/>
    <w:rsid w:val="009969BD"/>
    <w:rsid w:val="009A4919"/>
    <w:rsid w:val="009B5D9A"/>
    <w:rsid w:val="009B72C4"/>
    <w:rsid w:val="00A039C6"/>
    <w:rsid w:val="00A17A58"/>
    <w:rsid w:val="00A3104B"/>
    <w:rsid w:val="00A33BDB"/>
    <w:rsid w:val="00A4253D"/>
    <w:rsid w:val="00A42A6B"/>
    <w:rsid w:val="00A56831"/>
    <w:rsid w:val="00A575B0"/>
    <w:rsid w:val="00A72E13"/>
    <w:rsid w:val="00A778EA"/>
    <w:rsid w:val="00A831DC"/>
    <w:rsid w:val="00A914E9"/>
    <w:rsid w:val="00A9585B"/>
    <w:rsid w:val="00AA3CDD"/>
    <w:rsid w:val="00AA6B6B"/>
    <w:rsid w:val="00AE110A"/>
    <w:rsid w:val="00AE15EE"/>
    <w:rsid w:val="00AE7530"/>
    <w:rsid w:val="00AF1AD9"/>
    <w:rsid w:val="00AF24DB"/>
    <w:rsid w:val="00AF2574"/>
    <w:rsid w:val="00B02804"/>
    <w:rsid w:val="00B05CB0"/>
    <w:rsid w:val="00B0776C"/>
    <w:rsid w:val="00B10ECF"/>
    <w:rsid w:val="00B176FE"/>
    <w:rsid w:val="00B63CE9"/>
    <w:rsid w:val="00B72C29"/>
    <w:rsid w:val="00B82858"/>
    <w:rsid w:val="00B828B6"/>
    <w:rsid w:val="00B86E93"/>
    <w:rsid w:val="00B93837"/>
    <w:rsid w:val="00BC03EF"/>
    <w:rsid w:val="00BC435A"/>
    <w:rsid w:val="00BD1EA6"/>
    <w:rsid w:val="00BE1CE7"/>
    <w:rsid w:val="00BE7849"/>
    <w:rsid w:val="00BF2C50"/>
    <w:rsid w:val="00C14E1D"/>
    <w:rsid w:val="00C3190D"/>
    <w:rsid w:val="00C3443F"/>
    <w:rsid w:val="00C40D56"/>
    <w:rsid w:val="00C418B2"/>
    <w:rsid w:val="00C445E6"/>
    <w:rsid w:val="00C521D4"/>
    <w:rsid w:val="00C532C8"/>
    <w:rsid w:val="00C66ACE"/>
    <w:rsid w:val="00C70840"/>
    <w:rsid w:val="00C70AC7"/>
    <w:rsid w:val="00C7319F"/>
    <w:rsid w:val="00D02FA8"/>
    <w:rsid w:val="00D05B8F"/>
    <w:rsid w:val="00D11CB6"/>
    <w:rsid w:val="00D1660D"/>
    <w:rsid w:val="00D166D9"/>
    <w:rsid w:val="00D35203"/>
    <w:rsid w:val="00D43749"/>
    <w:rsid w:val="00D44AE7"/>
    <w:rsid w:val="00D51401"/>
    <w:rsid w:val="00D51658"/>
    <w:rsid w:val="00D82D27"/>
    <w:rsid w:val="00D868A7"/>
    <w:rsid w:val="00DA4CE4"/>
    <w:rsid w:val="00DC48A5"/>
    <w:rsid w:val="00DD280D"/>
    <w:rsid w:val="00DE5B0A"/>
    <w:rsid w:val="00DF0993"/>
    <w:rsid w:val="00DF0ADA"/>
    <w:rsid w:val="00E0266B"/>
    <w:rsid w:val="00E132B5"/>
    <w:rsid w:val="00E135D5"/>
    <w:rsid w:val="00E21DD4"/>
    <w:rsid w:val="00E24229"/>
    <w:rsid w:val="00E25E8A"/>
    <w:rsid w:val="00E3113C"/>
    <w:rsid w:val="00E42D6F"/>
    <w:rsid w:val="00E44882"/>
    <w:rsid w:val="00E639AA"/>
    <w:rsid w:val="00E74035"/>
    <w:rsid w:val="00E759ED"/>
    <w:rsid w:val="00E77913"/>
    <w:rsid w:val="00E94351"/>
    <w:rsid w:val="00EB4830"/>
    <w:rsid w:val="00EE7507"/>
    <w:rsid w:val="00EF2D87"/>
    <w:rsid w:val="00F031F0"/>
    <w:rsid w:val="00F04282"/>
    <w:rsid w:val="00F11CDA"/>
    <w:rsid w:val="00F16EE8"/>
    <w:rsid w:val="00F56F7A"/>
    <w:rsid w:val="00F57F10"/>
    <w:rsid w:val="00F608D1"/>
    <w:rsid w:val="00F62D81"/>
    <w:rsid w:val="00F63C46"/>
    <w:rsid w:val="00F735BC"/>
    <w:rsid w:val="00F83563"/>
    <w:rsid w:val="00F84799"/>
    <w:rsid w:val="00F912AC"/>
    <w:rsid w:val="00F92432"/>
    <w:rsid w:val="00F96341"/>
    <w:rsid w:val="00FB225C"/>
    <w:rsid w:val="00FB353C"/>
    <w:rsid w:val="00FB6979"/>
    <w:rsid w:val="00FF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rsid w:val="00F16EE8"/>
    <w:rPr>
      <w:b w:val="0"/>
      <w:color w:val="0000FF"/>
      <w:u w:val="single"/>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90527D"/>
    <w:pPr>
      <w:tabs>
        <w:tab w:val="center" w:pos="4513"/>
        <w:tab w:val="right" w:pos="9026"/>
      </w:tabs>
    </w:pPr>
    <w:rPr>
      <w:rFonts w:ascii="Arial" w:hAnsi="Arial"/>
      <w:sz w:val="20"/>
    </w:rPr>
  </w:style>
  <w:style w:type="character" w:customStyle="1" w:styleId="FooterChar">
    <w:name w:val="Footer Char"/>
    <w:link w:val="Footer"/>
    <w:uiPriority w:val="99"/>
    <w:rsid w:val="0090527D"/>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customStyle="1" w:styleId="StyleArialRightRight05cm">
    <w:name w:val="Style Arial Right Right:  0.5 cm"/>
    <w:basedOn w:val="Normal"/>
    <w:rsid w:val="006E58F5"/>
    <w:pPr>
      <w:ind w:right="170"/>
      <w:jc w:val="right"/>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rsid w:val="00F16EE8"/>
    <w:rPr>
      <w:b w:val="0"/>
      <w:color w:val="0000FF"/>
      <w:u w:val="single"/>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90527D"/>
    <w:pPr>
      <w:tabs>
        <w:tab w:val="center" w:pos="4513"/>
        <w:tab w:val="right" w:pos="9026"/>
      </w:tabs>
    </w:pPr>
    <w:rPr>
      <w:rFonts w:ascii="Arial" w:hAnsi="Arial"/>
      <w:sz w:val="20"/>
    </w:rPr>
  </w:style>
  <w:style w:type="character" w:customStyle="1" w:styleId="FooterChar">
    <w:name w:val="Footer Char"/>
    <w:link w:val="Footer"/>
    <w:uiPriority w:val="99"/>
    <w:rsid w:val="0090527D"/>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customStyle="1" w:styleId="StyleArialRightRight05cm">
    <w:name w:val="Style Arial Right Right:  0.5 cm"/>
    <w:basedOn w:val="Normal"/>
    <w:rsid w:val="006E58F5"/>
    <w:pPr>
      <w:ind w:right="170"/>
      <w:jc w:val="righ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ales.gov.uk/topics/statistics/headlines/health2012/120307/?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hsengland.media@nhs.ne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ebarchive.nationalarchives.gov.uk/20130107105354/http:/www.dh.gov.uk/en/Publicationsandstatistics/Statistics/Performancedataandstatistics/WeeklySituationReports/DH_1285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land.nhs.uk/statistics/code-compliance/" TargetMode="External"/><Relationship Id="rId20" Type="http://schemas.openxmlformats.org/officeDocument/2006/relationships/hyperlink" Target="http://www.niamb.co.uk/docs/corporate_inf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ngland.nhs.uk/statistics/ambulance-quality-indicators/"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scottishambulance.com/Performa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v.uk/government/news/changes-to-ambulance-response-time-categories" TargetMode="External"/><Relationship Id="rId22" Type="http://schemas.openxmlformats.org/officeDocument/2006/relationships/hyperlink" Target="mailto:Unify2@dh.gs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news/changes-to-ambulance-response-time-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0157-A36C-43F3-9D68-E8D4575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8</Pages>
  <Words>1669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11844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41</cp:revision>
  <dcterms:created xsi:type="dcterms:W3CDTF">2014-05-21T08:03:00Z</dcterms:created>
  <dcterms:modified xsi:type="dcterms:W3CDTF">2014-07-03T13:26:00Z</dcterms:modified>
</cp:coreProperties>
</file>