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92" w:rsidRDefault="00C21149" w:rsidP="00340492">
      <w:pPr>
        <w:pStyle w:val="Heading1"/>
      </w:pPr>
      <w:r>
        <w:t xml:space="preserve">Statistical Note: </w:t>
      </w:r>
      <w:r w:rsidR="00340492" w:rsidRPr="007A138E">
        <w:t>Ambulance Quality Indicators</w:t>
      </w:r>
      <w:r w:rsidR="002C522F">
        <w:t xml:space="preserve"> (AQI)</w:t>
      </w:r>
    </w:p>
    <w:p w:rsidR="007A138E" w:rsidRDefault="00C21149" w:rsidP="00C21149">
      <w:r>
        <w:t xml:space="preserve">Published by NHS England on </w:t>
      </w:r>
      <w:r w:rsidR="00526112">
        <w:t>5 September</w:t>
      </w:r>
      <w:r w:rsidR="007A138E" w:rsidRPr="007A138E">
        <w:t xml:space="preserve"> 2014</w:t>
      </w:r>
    </w:p>
    <w:p w:rsidR="002C522F" w:rsidRDefault="002C522F" w:rsidP="002C522F">
      <w:pPr>
        <w:pStyle w:val="Heading1"/>
      </w:pPr>
      <w:r>
        <w:t>A.</w:t>
      </w:r>
      <w:r>
        <w:tab/>
      </w:r>
      <w:r w:rsidR="00C3443F" w:rsidRPr="00151AF2">
        <w:t xml:space="preserve">Systems </w:t>
      </w:r>
      <w:r w:rsidR="00465847">
        <w:t>Indicators</w:t>
      </w:r>
    </w:p>
    <w:p w:rsidR="00C3443F" w:rsidRPr="00127FD0" w:rsidRDefault="002C522F" w:rsidP="002C522F">
      <w:pPr>
        <w:pStyle w:val="Heading3"/>
      </w:pPr>
      <w:r>
        <w:t>A1.</w:t>
      </w:r>
      <w:r>
        <w:tab/>
      </w:r>
      <w:r w:rsidR="00D3262A">
        <w:t xml:space="preserve">Emergency </w:t>
      </w:r>
      <w:r w:rsidR="0089121D" w:rsidRPr="00C21149">
        <w:t>response</w:t>
      </w:r>
      <w:r w:rsidR="00D3262A">
        <w:t xml:space="preserve"> in 8 minutes</w:t>
      </w:r>
    </w:p>
    <w:p w:rsidR="00513897" w:rsidRPr="00513897" w:rsidRDefault="00526112" w:rsidP="00513897">
      <w:r>
        <w:t xml:space="preserve">In </w:t>
      </w:r>
      <w:r w:rsidR="007C0F9B">
        <w:t>July</w:t>
      </w:r>
      <w:r>
        <w:t xml:space="preserve"> 2014, </w:t>
      </w:r>
      <w:r w:rsidR="004C377A" w:rsidRPr="00513897">
        <w:t>of Category A Red</w:t>
      </w:r>
      <w:r w:rsidR="0090527D" w:rsidRPr="00513897">
        <w:rPr>
          <w:rStyle w:val="FootnoteReference"/>
          <w:rFonts w:cs="Arial"/>
        </w:rPr>
        <w:footnoteReference w:id="1"/>
      </w:r>
      <w:r w:rsidR="00513897">
        <w:t xml:space="preserve"> 1</w:t>
      </w:r>
      <w:r w:rsidR="004C377A" w:rsidRPr="00513897">
        <w:t xml:space="preserve"> calls </w:t>
      </w:r>
      <w:r w:rsidR="00513897" w:rsidRPr="00513897">
        <w:t xml:space="preserve">in England </w:t>
      </w:r>
      <w:r w:rsidR="004C377A" w:rsidRPr="00513897">
        <w:t>res</w:t>
      </w:r>
      <w:r>
        <w:t>ulting in an emergency response, t</w:t>
      </w:r>
      <w:r w:rsidRPr="00A575B0">
        <w:t xml:space="preserve">he </w:t>
      </w:r>
      <w:r w:rsidRPr="00513897">
        <w:t xml:space="preserve">proportion </w:t>
      </w:r>
      <w:r w:rsidR="004C377A" w:rsidRPr="00513897">
        <w:t>arriving within 8 minutes was 7</w:t>
      </w:r>
      <w:r w:rsidR="000F3EC8">
        <w:t>0</w:t>
      </w:r>
      <w:r w:rsidR="004C377A" w:rsidRPr="00513897">
        <w:t>.</w:t>
      </w:r>
      <w:r w:rsidR="000F3EC8">
        <w:t>8</w:t>
      </w:r>
      <w:r w:rsidR="004C377A" w:rsidRPr="00513897">
        <w:t>%</w:t>
      </w:r>
      <w:r w:rsidR="00513897">
        <w:t>.</w:t>
      </w:r>
      <w:r w:rsidR="004C377A" w:rsidRPr="00513897">
        <w:t xml:space="preserve"> </w:t>
      </w:r>
    </w:p>
    <w:p w:rsidR="00513897" w:rsidRPr="00513897" w:rsidRDefault="00526112" w:rsidP="00513897">
      <w:r>
        <w:t xml:space="preserve">In </w:t>
      </w:r>
      <w:r w:rsidR="007C0F9B">
        <w:t>July</w:t>
      </w:r>
      <w:r>
        <w:t xml:space="preserve"> 2014, </w:t>
      </w:r>
      <w:r w:rsidR="00513897" w:rsidRPr="00513897">
        <w:t xml:space="preserve">of Category A </w:t>
      </w:r>
      <w:r w:rsidR="00513897">
        <w:t>Red 2</w:t>
      </w:r>
      <w:r w:rsidR="00513897" w:rsidRPr="00513897">
        <w:t xml:space="preserve"> calls in England res</w:t>
      </w:r>
      <w:r>
        <w:t>ulting in an emergency response, t</w:t>
      </w:r>
      <w:r w:rsidRPr="00513897">
        <w:t xml:space="preserve">he proportion </w:t>
      </w:r>
      <w:r w:rsidR="00513897" w:rsidRPr="00513897">
        <w:t>arriving</w:t>
      </w:r>
      <w:r w:rsidR="00513897" w:rsidRPr="0053124D">
        <w:t xml:space="preserve"> within</w:t>
      </w:r>
      <w:r w:rsidR="00513897" w:rsidRPr="00513897">
        <w:t xml:space="preserve"> 8 minutes was </w:t>
      </w:r>
      <w:r w:rsidR="000F3EC8">
        <w:t>68.7</w:t>
      </w:r>
      <w:r w:rsidR="00513897" w:rsidRPr="00513897">
        <w:t>%</w:t>
      </w:r>
      <w:r w:rsidR="00513897">
        <w:t>.</w:t>
      </w:r>
    </w:p>
    <w:p w:rsidR="00436A36" w:rsidRDefault="00396DD4" w:rsidP="00513897">
      <w:r>
        <w:t>The standard</w:t>
      </w:r>
      <w:r>
        <w:rPr>
          <w:rStyle w:val="FootnoteReference"/>
        </w:rPr>
        <w:footnoteReference w:id="2"/>
      </w:r>
      <w:r>
        <w:t xml:space="preserve"> for </w:t>
      </w:r>
      <w:r w:rsidR="0089121D">
        <w:t>A</w:t>
      </w:r>
      <w:r w:rsidR="00513897" w:rsidRPr="00513897">
        <w:t>mbulance trusts</w:t>
      </w:r>
      <w:r w:rsidR="0089121D">
        <w:t xml:space="preserve"> </w:t>
      </w:r>
      <w:r>
        <w:t xml:space="preserve">is </w:t>
      </w:r>
      <w:r w:rsidR="00513897" w:rsidRPr="00513897">
        <w:t xml:space="preserve">to </w:t>
      </w:r>
      <w:r w:rsidR="0089121D">
        <w:t xml:space="preserve">send an emergency response, with a defibrillator, </w:t>
      </w:r>
      <w:r w:rsidR="0089121D" w:rsidRPr="00513897">
        <w:t>within eight minutes</w:t>
      </w:r>
      <w:r w:rsidR="0089121D">
        <w:t>,</w:t>
      </w:r>
      <w:r w:rsidR="0089121D" w:rsidRPr="00513897">
        <w:t xml:space="preserve"> </w:t>
      </w:r>
      <w:r w:rsidR="00513897" w:rsidRPr="00513897">
        <w:t>to 75 per cent of Category A calls</w:t>
      </w:r>
      <w:r w:rsidR="0089121D">
        <w:t xml:space="preserve">; so this </w:t>
      </w:r>
      <w:r w:rsidR="001B68DB">
        <w:t xml:space="preserve">standard </w:t>
      </w:r>
      <w:r w:rsidR="00513897">
        <w:t>was not met for either Red 1 or Red 2</w:t>
      </w:r>
      <w:r w:rsidR="00526112">
        <w:t>.</w:t>
      </w:r>
    </w:p>
    <w:p w:rsidR="000F3EC8" w:rsidRDefault="00465847" w:rsidP="00513897">
      <w:r>
        <w:t xml:space="preserve">Both measures have decreased in each of the last four months. </w:t>
      </w:r>
      <w:r w:rsidR="001B68DB">
        <w:t>In July 2014, t</w:t>
      </w:r>
      <w:r w:rsidR="000F3EC8">
        <w:t xml:space="preserve">he Red 2 </w:t>
      </w:r>
      <w:r>
        <w:t xml:space="preserve">measure </w:t>
      </w:r>
      <w:r w:rsidR="000F3EC8">
        <w:t xml:space="preserve">was </w:t>
      </w:r>
      <w:r>
        <w:t xml:space="preserve">at its </w:t>
      </w:r>
      <w:r w:rsidR="000F3EC8">
        <w:t xml:space="preserve">lowest </w:t>
      </w:r>
      <w:r>
        <w:t>value since these categories</w:t>
      </w:r>
      <w:r w:rsidR="001B68DB">
        <w:t xml:space="preserve"> were</w:t>
      </w:r>
      <w:r w:rsidR="000F3EC8">
        <w:t xml:space="preserve"> introduced in June 2012</w:t>
      </w:r>
      <w:r>
        <w:t>, while t</w:t>
      </w:r>
      <w:r w:rsidR="000F3EC8">
        <w:t xml:space="preserve">he Red 1 </w:t>
      </w:r>
      <w:r>
        <w:t xml:space="preserve">measure </w:t>
      </w:r>
      <w:r w:rsidR="000F3EC8">
        <w:t xml:space="preserve">was </w:t>
      </w:r>
      <w:r w:rsidR="0089121D">
        <w:t xml:space="preserve">at its </w:t>
      </w:r>
      <w:r w:rsidR="000F3EC8">
        <w:t>second lowest</w:t>
      </w:r>
      <w:r w:rsidR="0089121D">
        <w:t xml:space="preserve"> value </w:t>
      </w:r>
      <w:r w:rsidR="00396DD4">
        <w:t xml:space="preserve">over this period </w:t>
      </w:r>
      <w:r w:rsidR="0089121D">
        <w:t>(the lowest was 70.4% in December 2012).</w:t>
      </w:r>
    </w:p>
    <w:p w:rsidR="00513897" w:rsidRDefault="000F3EC8" w:rsidP="00513897">
      <w:r>
        <w:rPr>
          <w:noProof/>
        </w:rPr>
        <w:drawing>
          <wp:inline distT="0" distB="0" distL="0" distR="0" wp14:anchorId="0BC20C1C" wp14:editId="2E573583">
            <wp:extent cx="5200650" cy="31578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F77" w:rsidRDefault="00407A2A" w:rsidP="000F3EC8">
      <w:r>
        <w:br w:type="page"/>
      </w:r>
      <w:r w:rsidR="00483F77">
        <w:lastRenderedPageBreak/>
        <w:t>Most Ambulance Trusts failed to meet the standard</w:t>
      </w:r>
      <w:r w:rsidR="001B68DB">
        <w:t xml:space="preserve"> in July 2014</w:t>
      </w:r>
      <w:r w:rsidR="00483F77">
        <w:t>, with only West Midlands (77.7%), South Central (75.5%) and Isle of Wight (85.3%) meeting the Red 1 standard</w:t>
      </w:r>
      <w:r w:rsidR="0015216C">
        <w:t>,</w:t>
      </w:r>
      <w:r w:rsidR="0015216C" w:rsidRPr="0015216C">
        <w:t xml:space="preserve"> </w:t>
      </w:r>
      <w:r w:rsidR="0015216C">
        <w:t>and only Isle of Wight (75.6%) meeting the Red 2 standard</w:t>
      </w:r>
      <w:r w:rsidR="00483F77">
        <w:t>.</w:t>
      </w:r>
    </w:p>
    <w:p w:rsidR="00483F77" w:rsidRDefault="00396DD4" w:rsidP="000F3EC8">
      <w:r>
        <w:t xml:space="preserve">In the East of England, the Red 1 measure was </w:t>
      </w:r>
      <w:r w:rsidR="00483F77">
        <w:t xml:space="preserve">66.3% and </w:t>
      </w:r>
      <w:r>
        <w:t xml:space="preserve">Red 2 was </w:t>
      </w:r>
      <w:r w:rsidR="00483F77">
        <w:t>59.6% for Red 2. Of the eleven Trusts, it has had the lowest value for both measures for five consecutive months.</w:t>
      </w:r>
    </w:p>
    <w:p w:rsidR="002C522F" w:rsidRDefault="002C522F" w:rsidP="000F3EC8">
      <w:r w:rsidRPr="00151AF2">
        <w:rPr>
          <w:rFonts w:cs="Arial"/>
        </w:rPr>
        <w:t>Due to differences in clock start definitions</w:t>
      </w:r>
      <w:r>
        <w:rPr>
          <w:rStyle w:val="FootnoteReference"/>
          <w:rFonts w:cs="Arial"/>
        </w:rPr>
        <w:footnoteReference w:id="3"/>
      </w:r>
      <w:r w:rsidRPr="00151AF2">
        <w:rPr>
          <w:rFonts w:cs="Arial"/>
        </w:rPr>
        <w:t xml:space="preserve"> for</w:t>
      </w:r>
      <w:r w:rsidR="00ED3F78">
        <w:rPr>
          <w:rFonts w:cs="Arial"/>
        </w:rPr>
        <w:t xml:space="preserve"> Red 1 and Red 2,</w:t>
      </w:r>
      <w:r w:rsidRPr="00151AF2">
        <w:rPr>
          <w:rFonts w:cs="Arial"/>
        </w:rPr>
        <w:t xml:space="preserve"> it is not possible to aggregate </w:t>
      </w:r>
      <w:r w:rsidR="00ED3F78">
        <w:rPr>
          <w:rFonts w:cs="Arial"/>
        </w:rPr>
        <w:t xml:space="preserve">them </w:t>
      </w:r>
      <w:r w:rsidRPr="00151AF2">
        <w:rPr>
          <w:rFonts w:cs="Arial"/>
        </w:rPr>
        <w:t>into a total Category A performance</w:t>
      </w:r>
      <w:r>
        <w:rPr>
          <w:rFonts w:cs="Arial"/>
        </w:rPr>
        <w:t>.</w:t>
      </w:r>
    </w:p>
    <w:p w:rsidR="00D3262A" w:rsidRPr="00127FD0" w:rsidRDefault="002C522F" w:rsidP="006303F7">
      <w:pPr>
        <w:pStyle w:val="Heading3"/>
      </w:pPr>
      <w:r>
        <w:t>A2.</w:t>
      </w:r>
      <w:r>
        <w:tab/>
      </w:r>
      <w:r w:rsidR="00D3262A" w:rsidRPr="00151AF2">
        <w:t xml:space="preserve">Systems </w:t>
      </w:r>
      <w:r w:rsidR="00D3262A">
        <w:t>Indicators: Ambulance response in 19 minutes</w:t>
      </w:r>
    </w:p>
    <w:p w:rsidR="0089121D" w:rsidRDefault="0089121D" w:rsidP="000F3EC8">
      <w:r>
        <w:t xml:space="preserve">The other standard for </w:t>
      </w:r>
      <w:r w:rsidR="00396DD4">
        <w:t>A</w:t>
      </w:r>
      <w:r>
        <w:t xml:space="preserve">mbulance </w:t>
      </w:r>
      <w:r w:rsidR="00396DD4">
        <w:t xml:space="preserve">Trusts in the Handbook to the NHS Constitution </w:t>
      </w:r>
      <w:r>
        <w:t>is for trusts to send a fully-equipped ambulance vehicle within 19 minutes to 95 per cent of Category A calls. This standard was not met</w:t>
      </w:r>
      <w:r w:rsidR="00B71432">
        <w:t xml:space="preserve"> nationally</w:t>
      </w:r>
      <w:r>
        <w:t xml:space="preserve">. The July 2014 value </w:t>
      </w:r>
      <w:r w:rsidR="00B71432">
        <w:t xml:space="preserve">for all England </w:t>
      </w:r>
      <w:r>
        <w:t>was 94.0%, the lowest for more than three years.</w:t>
      </w:r>
    </w:p>
    <w:p w:rsidR="0089121D" w:rsidRDefault="00775632" w:rsidP="000F3EC8">
      <w:r>
        <w:rPr>
          <w:noProof/>
        </w:rPr>
        <w:drawing>
          <wp:inline distT="0" distB="0" distL="0" distR="0" wp14:anchorId="2B25FCE4">
            <wp:extent cx="5200650" cy="30118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432" w:rsidRDefault="00D3262A" w:rsidP="00D3262A">
      <w:r>
        <w:t xml:space="preserve">East Midlands, East of England, London, and South East Coast, which </w:t>
      </w:r>
      <w:r w:rsidR="0015216C">
        <w:t xml:space="preserve">each </w:t>
      </w:r>
      <w:r>
        <w:t xml:space="preserve">missed this standard in June 2014, </w:t>
      </w:r>
      <w:r w:rsidR="0015216C">
        <w:t xml:space="preserve">each </w:t>
      </w:r>
      <w:r>
        <w:t>missed it again in July 2014</w:t>
      </w:r>
      <w:r w:rsidR="00B71432">
        <w:t>, and by more than one percentage point</w:t>
      </w:r>
      <w:r>
        <w:t>.</w:t>
      </w:r>
    </w:p>
    <w:p w:rsidR="00D3262A" w:rsidRDefault="00D3262A" w:rsidP="0015216C">
      <w:r>
        <w:t>North East, North West</w:t>
      </w:r>
      <w:r w:rsidR="00FB5A5C">
        <w:t>,</w:t>
      </w:r>
      <w:r>
        <w:t xml:space="preserve"> and South Western</w:t>
      </w:r>
      <w:r w:rsidR="00FB5A5C">
        <w:t>,</w:t>
      </w:r>
      <w:r>
        <w:t xml:space="preserve"> </w:t>
      </w:r>
      <w:r w:rsidR="0015216C">
        <w:t xml:space="preserve">each </w:t>
      </w:r>
      <w:r>
        <w:t xml:space="preserve">missed the standard in July 2014, </w:t>
      </w:r>
      <w:r w:rsidR="00B71432">
        <w:t xml:space="preserve">but by less than one percentage point, and </w:t>
      </w:r>
      <w:r w:rsidR="00FB5A5C">
        <w:t xml:space="preserve">had </w:t>
      </w:r>
      <w:r w:rsidR="00B71432">
        <w:t xml:space="preserve">achieved </w:t>
      </w:r>
      <w:r>
        <w:t>it for</w:t>
      </w:r>
      <w:r w:rsidR="00B71432">
        <w:t xml:space="preserve"> the previous </w:t>
      </w:r>
      <w:r>
        <w:t>six consecutive months</w:t>
      </w:r>
      <w:r w:rsidR="00FB5A5C">
        <w:t>, at least</w:t>
      </w:r>
      <w:r>
        <w:t>.</w:t>
      </w:r>
    </w:p>
    <w:p w:rsidR="009A4919" w:rsidRDefault="00396E0E" w:rsidP="00D3262A">
      <w:r>
        <w:t xml:space="preserve">The West Midlands Ambulance Service had the highest measure of </w:t>
      </w:r>
      <w:r w:rsidR="00B71432">
        <w:t xml:space="preserve">19 minute ambulance response </w:t>
      </w:r>
      <w:r>
        <w:t>in July 2014, with 96.7%.</w:t>
      </w:r>
    </w:p>
    <w:p w:rsidR="00B71432" w:rsidRPr="00127FD0" w:rsidRDefault="002C522F" w:rsidP="006303F7">
      <w:pPr>
        <w:pStyle w:val="Heading3"/>
      </w:pPr>
      <w:r>
        <w:lastRenderedPageBreak/>
        <w:t>A3.</w:t>
      </w:r>
      <w:r>
        <w:tab/>
      </w:r>
      <w:r w:rsidR="00B71432" w:rsidRPr="00151AF2">
        <w:t xml:space="preserve">Systems </w:t>
      </w:r>
      <w:r w:rsidR="00B71432">
        <w:t>Indicators: Ambulance volumes</w:t>
      </w:r>
    </w:p>
    <w:p w:rsidR="00BE7849" w:rsidRDefault="00BE7849" w:rsidP="001B68DB">
      <w:r w:rsidRPr="001B68DB">
        <w:t>Th</w:t>
      </w:r>
      <w:r w:rsidR="00F56F7A" w:rsidRPr="001B68DB">
        <w:t>e total number of</w:t>
      </w:r>
      <w:r w:rsidR="00E21DD4" w:rsidRPr="001B68DB">
        <w:t xml:space="preserve"> emergency</w:t>
      </w:r>
      <w:r w:rsidR="00F56F7A" w:rsidRPr="001B68DB">
        <w:t xml:space="preserve"> calls </w:t>
      </w:r>
      <w:r w:rsidR="00E21DD4" w:rsidRPr="001B68DB">
        <w:t xml:space="preserve">presented to switchboard </w:t>
      </w:r>
      <w:r w:rsidR="001B68DB">
        <w:t>in July 2014</w:t>
      </w:r>
      <w:r w:rsidR="00F56F7A" w:rsidRPr="001B68DB">
        <w:t xml:space="preserve"> was</w:t>
      </w:r>
      <w:r w:rsidR="00A42A6B" w:rsidRPr="001B68DB">
        <w:t xml:space="preserve"> </w:t>
      </w:r>
      <w:r w:rsidR="001B68DB" w:rsidRPr="001B68DB">
        <w:t>803,820</w:t>
      </w:r>
      <w:r w:rsidR="00127E1D">
        <w:t xml:space="preserve"> (</w:t>
      </w:r>
      <w:r w:rsidR="001B68DB">
        <w:t>26</w:t>
      </w:r>
      <w:r w:rsidR="008A503B" w:rsidRPr="001B68DB">
        <w:t xml:space="preserve"> thousand per day</w:t>
      </w:r>
      <w:r w:rsidR="00127E1D">
        <w:t xml:space="preserve">), </w:t>
      </w:r>
      <w:r w:rsidR="00761FF8">
        <w:t xml:space="preserve">the </w:t>
      </w:r>
      <w:r w:rsidR="00E324F3">
        <w:t>largest</w:t>
      </w:r>
      <w:r w:rsidR="00761FF8">
        <w:t xml:space="preserve"> figure for three years apart from December 2012 (828,194).</w:t>
      </w:r>
      <w:r w:rsidR="00396DD4">
        <w:t xml:space="preserve"> </w:t>
      </w:r>
      <w:r w:rsidR="00396DD4" w:rsidRPr="000D14CB">
        <w:rPr>
          <w:rFonts w:cs="Arial"/>
        </w:rPr>
        <w:t>This include</w:t>
      </w:r>
      <w:r w:rsidR="00396DD4">
        <w:rPr>
          <w:rFonts w:cs="Arial"/>
        </w:rPr>
        <w:t>s</w:t>
      </w:r>
      <w:r w:rsidR="00396DD4" w:rsidRPr="000D14CB">
        <w:rPr>
          <w:rFonts w:cs="Arial"/>
        </w:rPr>
        <w:t xml:space="preserve"> calls passed manually from 111 as requiring an ambulance response, </w:t>
      </w:r>
      <w:r w:rsidR="00396DD4">
        <w:rPr>
          <w:rFonts w:cs="Arial"/>
        </w:rPr>
        <w:t>but ex</w:t>
      </w:r>
      <w:r w:rsidR="00396DD4" w:rsidRPr="000D14CB">
        <w:rPr>
          <w:rFonts w:cs="Arial"/>
        </w:rPr>
        <w:t>clude</w:t>
      </w:r>
      <w:r w:rsidR="00396DD4">
        <w:rPr>
          <w:rFonts w:cs="Arial"/>
        </w:rPr>
        <w:t>s</w:t>
      </w:r>
      <w:r w:rsidR="00396DD4" w:rsidRPr="000D14CB">
        <w:rPr>
          <w:rFonts w:cs="Arial"/>
        </w:rPr>
        <w:t xml:space="preserve"> calls that have been passed electronically from 111</w:t>
      </w:r>
      <w:r w:rsidR="00396DD4">
        <w:rPr>
          <w:rFonts w:cs="Arial"/>
        </w:rPr>
        <w:t>.</w:t>
      </w:r>
    </w:p>
    <w:p w:rsidR="00127E1D" w:rsidRDefault="00127E1D" w:rsidP="00127E1D">
      <w:r>
        <w:t xml:space="preserve">The number of category A calls resulting in an ambulance arriving at the scene </w:t>
      </w:r>
      <w:r w:rsidR="00E324F3">
        <w:t>also increased</w:t>
      </w:r>
      <w:r>
        <w:t xml:space="preserve">, albeit more slowly and more steadily than the number of calls, and reached </w:t>
      </w:r>
      <w:r w:rsidRPr="00127E1D">
        <w:t xml:space="preserve">261,324 </w:t>
      </w:r>
      <w:r>
        <w:t xml:space="preserve">in July 2014, or </w:t>
      </w:r>
      <w:r w:rsidRPr="00127E1D">
        <w:t xml:space="preserve">8,430 </w:t>
      </w:r>
      <w:r>
        <w:t>per day.</w:t>
      </w:r>
    </w:p>
    <w:p w:rsidR="00C21149" w:rsidRDefault="00C21149" w:rsidP="001B68DB">
      <w:r>
        <w:t xml:space="preserve">Despite </w:t>
      </w:r>
      <w:r w:rsidR="00127E1D">
        <w:t xml:space="preserve">these </w:t>
      </w:r>
      <w:r>
        <w:t>increase</w:t>
      </w:r>
      <w:r w:rsidR="00127E1D">
        <w:t>s</w:t>
      </w:r>
      <w:r>
        <w:t xml:space="preserve">, the number of </w:t>
      </w:r>
      <w:r w:rsidR="00127E1D">
        <w:t xml:space="preserve">incidents requiring </w:t>
      </w:r>
      <w:r>
        <w:t xml:space="preserve">emergency </w:t>
      </w:r>
      <w:r w:rsidR="00127E1D">
        <w:t xml:space="preserve">patient </w:t>
      </w:r>
      <w:r>
        <w:t>journeys to Type 1 or Type 2 A&amp;E</w:t>
      </w:r>
      <w:r>
        <w:rPr>
          <w:rStyle w:val="FootnoteReference"/>
        </w:rPr>
        <w:footnoteReference w:id="4"/>
      </w:r>
      <w:r w:rsidR="005239BD">
        <w:t xml:space="preserve"> </w:t>
      </w:r>
      <w:r w:rsidR="00127E1D">
        <w:t>remained</w:t>
      </w:r>
      <w:r w:rsidR="005239BD">
        <w:t xml:space="preserve"> stable</w:t>
      </w:r>
      <w:r w:rsidR="00127E1D">
        <w:t xml:space="preserve"> at </w:t>
      </w:r>
      <w:r w:rsidR="00127E1D" w:rsidRPr="00127E1D">
        <w:t>399,983</w:t>
      </w:r>
      <w:r w:rsidR="00127E1D">
        <w:t xml:space="preserve"> in July 2014, </w:t>
      </w:r>
      <w:r w:rsidR="00396DD4">
        <w:t xml:space="preserve">and </w:t>
      </w:r>
      <w:r w:rsidR="00127E1D">
        <w:t>h</w:t>
      </w:r>
      <w:r w:rsidR="00396DD4">
        <w:t>as averaged 13 thousand per day each month since April 2013.</w:t>
      </w:r>
    </w:p>
    <w:p w:rsidR="00ED3F78" w:rsidRDefault="005239BD" w:rsidP="00ED3F78">
      <w:r>
        <w:rPr>
          <w:noProof/>
        </w:rPr>
        <w:drawing>
          <wp:inline distT="0" distB="0" distL="0" distR="0" wp14:anchorId="36B272FF" wp14:editId="76F26771">
            <wp:extent cx="5206365" cy="401129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D9A" w:rsidRDefault="002C522F" w:rsidP="00ED3F78">
      <w:pPr>
        <w:pStyle w:val="Heading3"/>
      </w:pPr>
      <w:r>
        <w:lastRenderedPageBreak/>
        <w:t>A4.</w:t>
      </w:r>
      <w:r>
        <w:tab/>
      </w:r>
      <w:r w:rsidR="00551D2D">
        <w:t>T</w:t>
      </w:r>
      <w:r w:rsidR="009B5D9A" w:rsidRPr="009B5D9A">
        <w:t>rust averages and extremes</w:t>
      </w:r>
      <w:r w:rsidR="00407A2A">
        <w:t xml:space="preserve"> for all Systems Indicators</w:t>
      </w:r>
      <w:r w:rsidR="00551D2D">
        <w:t>, July 2014</w:t>
      </w:r>
    </w:p>
    <w:tbl>
      <w:tblPr>
        <w:tblW w:w="83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419"/>
        <w:gridCol w:w="1419"/>
        <w:gridCol w:w="1419"/>
      </w:tblGrid>
      <w:tr w:rsidR="009B5D9A" w:rsidTr="00F33E46">
        <w:trPr>
          <w:trHeight w:val="567"/>
        </w:trPr>
        <w:tc>
          <w:tcPr>
            <w:tcW w:w="4047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Indicator</w:t>
            </w:r>
          </w:p>
        </w:tc>
        <w:tc>
          <w:tcPr>
            <w:tcW w:w="1419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All England</w:t>
            </w:r>
          </w:p>
        </w:tc>
        <w:tc>
          <w:tcPr>
            <w:tcW w:w="1419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Lowest Trust</w:t>
            </w:r>
          </w:p>
        </w:tc>
        <w:tc>
          <w:tcPr>
            <w:tcW w:w="1419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Highest Trust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 xml:space="preserve">Category A Red 1: 8 minute </w:t>
            </w:r>
            <w:r w:rsidR="00407A2A">
              <w:t xml:space="preserve">emergency </w:t>
            </w:r>
            <w:r>
              <w:t>response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407A2A" w:rsidRDefault="005945B8" w:rsidP="00407A2A">
            <w:pPr>
              <w:pStyle w:val="NoSpacing"/>
              <w:jc w:val="right"/>
            </w:pPr>
            <w:r>
              <w:t>7</w:t>
            </w:r>
            <w:r w:rsidR="00407A2A">
              <w:t>0</w:t>
            </w:r>
            <w:r>
              <w:t>.</w:t>
            </w:r>
            <w:r w:rsidR="00407A2A">
              <w:t>8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66.3%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77.7</w:t>
            </w:r>
            <w:r w:rsidR="005945B8">
              <w:t>%</w:t>
            </w:r>
            <w:r w:rsidR="00265EFB">
              <w:t xml:space="preserve"> </w:t>
            </w:r>
            <w:r w:rsidR="00871ADB">
              <w:rPr>
                <w:rStyle w:val="FootnoteReference"/>
              </w:rPr>
              <w:footnoteReference w:id="5"/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 xml:space="preserve">Category A Red 2: 8 minute </w:t>
            </w:r>
            <w:r w:rsidR="00407A2A">
              <w:t>emergency response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68.7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59</w:t>
            </w:r>
            <w:r w:rsidR="005945B8">
              <w:t>.</w:t>
            </w:r>
            <w:r>
              <w:t>6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74</w:t>
            </w:r>
            <w:r w:rsidR="005945B8">
              <w:t>.</w:t>
            </w:r>
            <w:r>
              <w:t>2</w:t>
            </w:r>
            <w:r w:rsidR="005945B8">
              <w:t>%</w:t>
            </w:r>
            <w:r w:rsidR="00265EFB">
              <w:t xml:space="preserve"> </w:t>
            </w:r>
            <w:r w:rsidR="00871ADB" w:rsidRPr="00871ADB">
              <w:rPr>
                <w:vertAlign w:val="superscript"/>
              </w:rPr>
              <w:t>5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Category A: 19 minute</w:t>
            </w:r>
            <w:r w:rsidR="00407A2A">
              <w:t xml:space="preserve"> ambulance</w:t>
            </w:r>
            <w:r>
              <w:t xml:space="preserve"> response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94.0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89.3%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9</w:t>
            </w:r>
            <w:r w:rsidR="00407A2A">
              <w:t>6.</w:t>
            </w:r>
            <w:r>
              <w:t>7%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Calls abandoned before being answered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2.2%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0.</w:t>
            </w:r>
            <w:r w:rsidR="00407A2A">
              <w:t>7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7.1</w:t>
            </w:r>
            <w:r w:rsidR="005945B8">
              <w:t>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ED3F78">
            <w:pPr>
              <w:pStyle w:val="NoSpacing"/>
            </w:pPr>
            <w:r>
              <w:t>Calls resolved through telephone assessment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7.7%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3.6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12.6</w:t>
            </w:r>
            <w:r w:rsidR="005945B8">
              <w:t>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Calls resolved without transport to Type 1 or Type 2 A&amp;E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3</w:t>
            </w:r>
            <w:r w:rsidR="00407A2A">
              <w:t>7.</w:t>
            </w:r>
            <w:r>
              <w:t>6%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2</w:t>
            </w:r>
            <w:r w:rsidR="00407A2A">
              <w:t>8</w:t>
            </w:r>
            <w:r>
              <w:t>.</w:t>
            </w:r>
            <w:r w:rsidR="00407A2A">
              <w:t>1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52.1%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bookmarkStart w:id="0" w:name="RANGE!A22"/>
            <w:r>
              <w:t>Recontact rate following discharge by telephone advice</w:t>
            </w:r>
            <w:bookmarkEnd w:id="0"/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6303F7" w:rsidP="00407A2A">
            <w:pPr>
              <w:pStyle w:val="NoSpacing"/>
              <w:jc w:val="right"/>
            </w:pPr>
            <w:r>
              <w:t>8.4%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6303F7" w:rsidP="00407A2A">
            <w:pPr>
              <w:pStyle w:val="NoSpacing"/>
              <w:jc w:val="right"/>
            </w:pPr>
            <w:r>
              <w:t>2.6%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6303F7" w:rsidP="00407A2A">
            <w:pPr>
              <w:pStyle w:val="NoSpacing"/>
              <w:jc w:val="right"/>
            </w:pPr>
            <w:r>
              <w:t>13.9%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Recontact rate following face-to-face treatment at scene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6303F7" w:rsidP="00407A2A">
            <w:pPr>
              <w:pStyle w:val="NoSpacing"/>
              <w:jc w:val="right"/>
            </w:pPr>
            <w:r>
              <w:t>5.2%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3.9%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6303F7" w:rsidP="00407A2A">
            <w:pPr>
              <w:pStyle w:val="NoSpacing"/>
              <w:jc w:val="right"/>
            </w:pPr>
            <w:r>
              <w:t>7</w:t>
            </w:r>
            <w:r w:rsidR="005945B8">
              <w:t>.2%</w:t>
            </w:r>
          </w:p>
        </w:tc>
      </w:tr>
      <w:tr w:rsidR="006303F7" w:rsidTr="006303F7">
        <w:trPr>
          <w:trHeight w:val="567"/>
        </w:trPr>
        <w:tc>
          <w:tcPr>
            <w:tcW w:w="4047" w:type="dxa"/>
            <w:shd w:val="clear" w:color="auto" w:fill="auto"/>
            <w:vAlign w:val="center"/>
            <w:hideMark/>
          </w:tcPr>
          <w:p w:rsidR="006303F7" w:rsidRDefault="006303F7" w:rsidP="00761FF8">
            <w:pPr>
              <w:pStyle w:val="NoSpacing"/>
            </w:pPr>
            <w:r>
              <w:t>Number of emergency journeys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6303F7" w:rsidRDefault="006303F7" w:rsidP="00407A2A">
            <w:pPr>
              <w:pStyle w:val="NoSpacing"/>
              <w:jc w:val="right"/>
            </w:pPr>
            <w:r>
              <w:t>399,983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303F7" w:rsidRDefault="006303F7" w:rsidP="006A53B8">
            <w:pPr>
              <w:pStyle w:val="NoSpacing"/>
              <w:jc w:val="right"/>
            </w:pPr>
            <w:r w:rsidRPr="006303F7">
              <w:t>20,751</w:t>
            </w:r>
            <w:r w:rsidR="00871ADB">
              <w:t xml:space="preserve"> </w:t>
            </w:r>
            <w:r w:rsidR="00871ADB" w:rsidRPr="00871ADB">
              <w:rPr>
                <w:vertAlign w:val="superscript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303F7" w:rsidRDefault="006303F7" w:rsidP="006A53B8">
            <w:pPr>
              <w:pStyle w:val="NoSpacing"/>
              <w:jc w:val="right"/>
            </w:pPr>
            <w:r w:rsidRPr="006303F7">
              <w:t>64,519</w:t>
            </w:r>
          </w:p>
        </w:tc>
      </w:tr>
    </w:tbl>
    <w:p w:rsidR="009B5D9A" w:rsidRDefault="009B5D9A" w:rsidP="00407A2A">
      <w:pPr>
        <w:pStyle w:val="Footer"/>
      </w:pPr>
    </w:p>
    <w:p w:rsidR="009B5D9A" w:rsidRPr="00407A2A" w:rsidRDefault="00871ADB" w:rsidP="00992442">
      <w:pPr>
        <w:rPr>
          <w:bCs/>
        </w:rPr>
      </w:pPr>
      <w:r w:rsidRPr="00871ADB">
        <w:rPr>
          <w:vertAlign w:val="superscript"/>
        </w:rPr>
        <w:t>5</w:t>
      </w:r>
      <w:r w:rsidR="009B5D9A" w:rsidRPr="000F5B3F">
        <w:t xml:space="preserve"> Due to its small size, performance on th</w:t>
      </w:r>
      <w:r w:rsidR="00A3104B">
        <w:t xml:space="preserve">e Isle of Wight tends to vary </w:t>
      </w:r>
      <w:r w:rsidR="009B5D9A" w:rsidRPr="000F5B3F">
        <w:t xml:space="preserve">more than other Trusts. </w:t>
      </w:r>
      <w:r w:rsidR="009B5D9A">
        <w:t xml:space="preserve">If the Isle of Wight has the lowest or highest value, </w:t>
      </w:r>
      <w:r w:rsidR="00775632">
        <w:t xml:space="preserve">the Table in A4 </w:t>
      </w:r>
      <w:r w:rsidR="00A3104B">
        <w:t xml:space="preserve">shows </w:t>
      </w:r>
      <w:r w:rsidR="009B5D9A">
        <w:t xml:space="preserve">the </w:t>
      </w:r>
      <w:r w:rsidR="00A3104B">
        <w:t xml:space="preserve">second lowest or highest </w:t>
      </w:r>
      <w:r w:rsidR="009B5D9A">
        <w:t>value, but with an asterisk to show that the Isle of Wight is more extreme.</w:t>
      </w:r>
      <w:r w:rsidR="00992442">
        <w:t xml:space="preserve"> This system is also used in the following Clinical Outcomes section.</w:t>
      </w:r>
    </w:p>
    <w:p w:rsidR="002C522F" w:rsidRDefault="002C522F" w:rsidP="002C522F">
      <w:pPr>
        <w:pStyle w:val="Heading1"/>
      </w:pPr>
      <w:r>
        <w:t>B.</w:t>
      </w:r>
      <w:r>
        <w:tab/>
      </w:r>
      <w:r w:rsidR="000B1B66" w:rsidRPr="00151AF2">
        <w:t>Clinical Outcomes</w:t>
      </w:r>
    </w:p>
    <w:p w:rsidR="005C1BA6" w:rsidRPr="005C1BA6" w:rsidRDefault="005C1BA6" w:rsidP="005C1BA6">
      <w:r>
        <w:t>N</w:t>
      </w:r>
      <w:r w:rsidRPr="005538AF">
        <w:t xml:space="preserve">o thresholds to denote “poor” care </w:t>
      </w:r>
      <w:r>
        <w:t xml:space="preserve">are </w:t>
      </w:r>
      <w:r w:rsidRPr="005538AF">
        <w:t>set for</w:t>
      </w:r>
      <w:r>
        <w:t xml:space="preserve"> Clinical Outcomes</w:t>
      </w:r>
      <w:r w:rsidR="00C7779C">
        <w:t xml:space="preserve"> (CO)</w:t>
      </w:r>
      <w:r w:rsidRPr="005538AF">
        <w:t xml:space="preserve">. Instead, </w:t>
      </w:r>
      <w:r>
        <w:t xml:space="preserve">Trusts are expected to use </w:t>
      </w:r>
      <w:r w:rsidRPr="005538AF">
        <w:t xml:space="preserve">the data on </w:t>
      </w:r>
      <w:r>
        <w:t>t</w:t>
      </w:r>
      <w:r w:rsidRPr="005538AF">
        <w:t>o reduce variation in performance across trusts (where clinically appropriate)</w:t>
      </w:r>
      <w:r>
        <w:t>,</w:t>
      </w:r>
      <w:r w:rsidRPr="005538AF">
        <w:t xml:space="preserve"> and drive continuous improvement in patient outcomes over time.</w:t>
      </w:r>
    </w:p>
    <w:p w:rsidR="00BC435A" w:rsidRPr="00151AF2" w:rsidRDefault="00C9746F" w:rsidP="002C522F">
      <w:pPr>
        <w:pStyle w:val="Heading3"/>
      </w:pPr>
      <w:r>
        <w:t>B</w:t>
      </w:r>
      <w:r w:rsidR="00BD48E2">
        <w:t>1</w:t>
      </w:r>
      <w:r w:rsidR="002C522F">
        <w:t>.</w:t>
      </w:r>
      <w:r w:rsidR="002C522F">
        <w:tab/>
      </w:r>
      <w:r w:rsidR="006303F7">
        <w:t>Cardiac arrest</w:t>
      </w:r>
      <w:r w:rsidR="00992442">
        <w:t>:</w:t>
      </w:r>
      <w:r w:rsidR="00992442" w:rsidRPr="00992442">
        <w:t xml:space="preserve"> </w:t>
      </w:r>
      <w:r w:rsidR="00992442" w:rsidRPr="00DA6E95">
        <w:t>return of spontaneous circulation (ROSC</w:t>
      </w:r>
      <w:r w:rsidR="00992442">
        <w:t>)</w:t>
      </w:r>
    </w:p>
    <w:p w:rsidR="00DA6E95" w:rsidRDefault="00DA6E95" w:rsidP="00DA6E95">
      <w:r w:rsidRPr="00DA6E95">
        <w:t xml:space="preserve">In </w:t>
      </w:r>
      <w:r w:rsidR="00EB27D0">
        <w:t xml:space="preserve">April </w:t>
      </w:r>
      <w:r w:rsidRPr="00DA6E95">
        <w:t xml:space="preserve">2014, </w:t>
      </w:r>
      <w:r w:rsidR="00D40138">
        <w:t xml:space="preserve">of </w:t>
      </w:r>
      <w:r w:rsidR="00322346">
        <w:t>2</w:t>
      </w:r>
      <w:r w:rsidR="00C7779C">
        <w:t>,</w:t>
      </w:r>
      <w:r w:rsidR="00322346">
        <w:t>604</w:t>
      </w:r>
      <w:r w:rsidRPr="00DA6E95">
        <w:t xml:space="preserve"> </w:t>
      </w:r>
      <w:r w:rsidR="00277342" w:rsidRPr="00DA6E95">
        <w:t xml:space="preserve">patients </w:t>
      </w:r>
      <w:r w:rsidR="00D40138">
        <w:t xml:space="preserve">with </w:t>
      </w:r>
      <w:r w:rsidRPr="00DA6E95">
        <w:t xml:space="preserve">resuscitation commenced or continued by ambulance staff following </w:t>
      </w:r>
      <w:r w:rsidR="00277342" w:rsidRPr="00DA6E95">
        <w:t>an out-of-hospital cardiac arrest</w:t>
      </w:r>
      <w:r w:rsidR="00D40138">
        <w:t xml:space="preserve">, </w:t>
      </w:r>
      <w:r w:rsidR="00322346">
        <w:t>667 (25.6</w:t>
      </w:r>
      <w:r w:rsidR="00277342" w:rsidRPr="00DA6E95">
        <w:t>%</w:t>
      </w:r>
      <w:r w:rsidR="00322346">
        <w:t>)</w:t>
      </w:r>
      <w:r w:rsidR="00277342" w:rsidRPr="00DA6E95">
        <w:t xml:space="preserve"> had </w:t>
      </w:r>
      <w:r w:rsidR="00992442">
        <w:t>ROSC</w:t>
      </w:r>
      <w:r w:rsidR="00277342" w:rsidRPr="00DA6E95">
        <w:t xml:space="preserve"> on arrival </w:t>
      </w:r>
      <w:r>
        <w:t>at hospital</w:t>
      </w:r>
      <w:r w:rsidR="00D40138">
        <w:t xml:space="preserve">. This was </w:t>
      </w:r>
      <w:r w:rsidR="00322346">
        <w:t xml:space="preserve">similar to 26.1% </w:t>
      </w:r>
      <w:r w:rsidR="00EB27D0">
        <w:t xml:space="preserve">in 2013-14. </w:t>
      </w:r>
    </w:p>
    <w:p w:rsidR="00322346" w:rsidRDefault="00322346" w:rsidP="00322346">
      <w:r>
        <w:t xml:space="preserve">In April 2014, the </w:t>
      </w:r>
      <w:r w:rsidR="00871ADB">
        <w:t>largest</w:t>
      </w:r>
      <w:r w:rsidR="00992442" w:rsidRPr="00992442">
        <w:t xml:space="preserve"> </w:t>
      </w:r>
      <w:r w:rsidR="00992442">
        <w:t xml:space="preserve">proportion was 42.8% for South Central and the </w:t>
      </w:r>
      <w:r w:rsidR="00871ADB">
        <w:t>small</w:t>
      </w:r>
      <w:r w:rsidR="00992442">
        <w:t>est</w:t>
      </w:r>
      <w:r w:rsidR="00BD48E2" w:rsidRPr="00BD48E2">
        <w:rPr>
          <w:vertAlign w:val="superscript"/>
        </w:rPr>
        <w:t>5</w:t>
      </w:r>
      <w:r>
        <w:t xml:space="preserve"> was 16.5%</w:t>
      </w:r>
      <w:r w:rsidR="001C688D">
        <w:t xml:space="preserve"> for East Midlands</w:t>
      </w:r>
      <w:r w:rsidR="001C688D" w:rsidRPr="001C688D">
        <w:t>.</w:t>
      </w:r>
    </w:p>
    <w:p w:rsidR="00992442" w:rsidRDefault="00992442" w:rsidP="00992442">
      <w:pPr>
        <w:rPr>
          <w:rFonts w:cs="Arial"/>
        </w:rPr>
      </w:pPr>
      <w:r>
        <w:t xml:space="preserve">The Utstein group comprises patients who had resuscitation commenced or </w:t>
      </w:r>
      <w:r w:rsidRPr="00DA6E95">
        <w:t>continued by ambulance service</w:t>
      </w:r>
      <w:r>
        <w:t>,</w:t>
      </w:r>
      <w:r w:rsidRPr="00DA6E95">
        <w:t xml:space="preserve"> following an out-of-hospital cardiac arrest of presumed cardiac origin, where the arrest was bystander witnessed</w:t>
      </w:r>
      <w:r>
        <w:t>,</w:t>
      </w:r>
      <w:r w:rsidRPr="00DA6E95">
        <w:t xml:space="preserve"> and the </w:t>
      </w:r>
      <w:r w:rsidRPr="00DA6E95">
        <w:lastRenderedPageBreak/>
        <w:t xml:space="preserve">initial rhythm was </w:t>
      </w:r>
      <w:r w:rsidRPr="00444612">
        <w:rPr>
          <w:rFonts w:cs="Arial"/>
        </w:rPr>
        <w:t>Ventricular Fibrillation or Ventricular Tachycardia</w:t>
      </w:r>
      <w:r>
        <w:rPr>
          <w:rFonts w:cs="Arial"/>
        </w:rPr>
        <w:t>. They therefore have a better chance of survival.</w:t>
      </w:r>
    </w:p>
    <w:p w:rsidR="00992442" w:rsidRDefault="00992442" w:rsidP="00992442">
      <w:r>
        <w:rPr>
          <w:rFonts w:cs="Arial"/>
        </w:rPr>
        <w:t xml:space="preserve">In this group, </w:t>
      </w:r>
      <w:r>
        <w:t>47.2% had ROSC</w:t>
      </w:r>
      <w:r w:rsidRPr="00992442">
        <w:rPr>
          <w:rFonts w:cs="Arial"/>
        </w:rPr>
        <w:t xml:space="preserve"> </w:t>
      </w:r>
      <w:r>
        <w:rPr>
          <w:rFonts w:cs="Arial"/>
        </w:rPr>
        <w:t>in April 2014</w:t>
      </w:r>
      <w:r>
        <w:t>, similar to the 2013-14 proportion of 46.9%. The largest proportion in April 2014 was 64.3% for North East, and the smallest was 28.1% for East Midlands.</w:t>
      </w:r>
    </w:p>
    <w:p w:rsidR="00992442" w:rsidRDefault="00BD48E2" w:rsidP="00992442">
      <w:pPr>
        <w:pStyle w:val="Heading3"/>
      </w:pPr>
      <w:r>
        <w:t>B2</w:t>
      </w:r>
      <w:r w:rsidR="00992442">
        <w:t>.</w:t>
      </w:r>
      <w:r w:rsidR="00992442">
        <w:tab/>
        <w:t>Cardiac arrest: survival to discharge</w:t>
      </w:r>
    </w:p>
    <w:p w:rsidR="001C688D" w:rsidRDefault="001C688D" w:rsidP="001C688D">
      <w:r w:rsidRPr="001C688D">
        <w:t>London Ambulance Service ha</w:t>
      </w:r>
      <w:r w:rsidR="00806B8A">
        <w:t>s</w:t>
      </w:r>
      <w:r w:rsidRPr="001C688D">
        <w:t xml:space="preserve"> not had access to the Summary Care Records needed to measure </w:t>
      </w:r>
      <w:r w:rsidR="00806B8A">
        <w:t>survival to discharge for April 2014</w:t>
      </w:r>
      <w:r w:rsidR="00C7779C">
        <w:t>, both for all patients, and for the Utstein group</w:t>
      </w:r>
      <w:r w:rsidR="00806B8A">
        <w:t xml:space="preserve">. </w:t>
      </w:r>
      <w:r w:rsidR="00C7779C">
        <w:t xml:space="preserve">We have </w:t>
      </w:r>
      <w:r>
        <w:t xml:space="preserve">therefore excluded </w:t>
      </w:r>
      <w:r w:rsidR="00C7779C">
        <w:t xml:space="preserve">it this month </w:t>
      </w:r>
      <w:r>
        <w:t>from the</w:t>
      </w:r>
      <w:r w:rsidR="00C7779C">
        <w:t>se</w:t>
      </w:r>
      <w:r>
        <w:t xml:space="preserve"> national numerator</w:t>
      </w:r>
      <w:r w:rsidR="00C7779C">
        <w:t>s</w:t>
      </w:r>
      <w:r>
        <w:t xml:space="preserve"> and denominator</w:t>
      </w:r>
      <w:r w:rsidR="00C7779C">
        <w:t>s</w:t>
      </w:r>
      <w:r>
        <w:t xml:space="preserve">. We </w:t>
      </w:r>
      <w:r w:rsidR="00806B8A">
        <w:t xml:space="preserve">expect the missing statistics soon, and will include them </w:t>
      </w:r>
      <w:r>
        <w:t>in future publications</w:t>
      </w:r>
      <w:r w:rsidR="00C7779C">
        <w:t xml:space="preserve"> as soon as possible, rather than waiting for the next scheduled CO revisions in 2015</w:t>
      </w:r>
      <w:r>
        <w:t>.</w:t>
      </w:r>
    </w:p>
    <w:p w:rsidR="00322346" w:rsidRDefault="001C688D" w:rsidP="00322346">
      <w:r>
        <w:t xml:space="preserve">For the rest of </w:t>
      </w:r>
      <w:r w:rsidR="00322346">
        <w:t xml:space="preserve">England, 7.9% of </w:t>
      </w:r>
      <w:r>
        <w:t xml:space="preserve">cardiac arrest patients in April 2014 were </w:t>
      </w:r>
      <w:r w:rsidR="00322346">
        <w:t xml:space="preserve">discharged from hospital alive, </w:t>
      </w:r>
      <w:r>
        <w:t>similar to the 2013-14 proportion of 8.7%</w:t>
      </w:r>
      <w:r w:rsidR="00806B8A">
        <w:t xml:space="preserve"> (</w:t>
      </w:r>
      <w:r w:rsidR="00C7779C">
        <w:t xml:space="preserve">which was </w:t>
      </w:r>
      <w:r w:rsidR="00806B8A">
        <w:t xml:space="preserve">8.4% </w:t>
      </w:r>
      <w:r w:rsidR="00C7779C">
        <w:t xml:space="preserve">with </w:t>
      </w:r>
      <w:r w:rsidR="00806B8A">
        <w:t>London</w:t>
      </w:r>
      <w:r w:rsidR="00C7779C">
        <w:t xml:space="preserve"> excluded</w:t>
      </w:r>
      <w:r w:rsidR="00806B8A">
        <w:t>)</w:t>
      </w:r>
      <w:r>
        <w:t xml:space="preserve">. </w:t>
      </w:r>
      <w:r w:rsidR="00871ADB">
        <w:t xml:space="preserve">The largest proportion in April 2014 was </w:t>
      </w:r>
      <w:r w:rsidR="00322346">
        <w:t xml:space="preserve">15.1% for South Central </w:t>
      </w:r>
      <w:r w:rsidR="00871ADB">
        <w:t>and the smallest</w:t>
      </w:r>
      <w:r w:rsidR="00BD48E2">
        <w:rPr>
          <w:rStyle w:val="FootnoteReference"/>
        </w:rPr>
        <w:footnoteReference w:id="6"/>
      </w:r>
      <w:r w:rsidR="00871ADB">
        <w:t xml:space="preserve"> was </w:t>
      </w:r>
      <w:r w:rsidR="00322346">
        <w:t>3.6% for North East.</w:t>
      </w:r>
    </w:p>
    <w:p w:rsidR="00E324F3" w:rsidRDefault="00992442" w:rsidP="00992442">
      <w:r>
        <w:t xml:space="preserve">In the </w:t>
      </w:r>
      <w:r w:rsidRPr="00DA6E95">
        <w:t>Utstein group</w:t>
      </w:r>
      <w:r w:rsidR="00E324F3">
        <w:t xml:space="preserve">, </w:t>
      </w:r>
      <w:r>
        <w:t>25.9</w:t>
      </w:r>
      <w:r w:rsidR="00E324F3">
        <w:t xml:space="preserve">% </w:t>
      </w:r>
      <w:r w:rsidR="00E324F3" w:rsidRPr="00EB27D0">
        <w:t>were discharged from hospital alive</w:t>
      </w:r>
      <w:r w:rsidR="00E324F3">
        <w:t xml:space="preserve"> in </w:t>
      </w:r>
      <w:r>
        <w:t xml:space="preserve">April </w:t>
      </w:r>
      <w:r w:rsidR="00E324F3">
        <w:t>2014</w:t>
      </w:r>
      <w:r>
        <w:t>, similar to the 26.3% for 2013-14 (which was 25.2% with London excluded)</w:t>
      </w:r>
      <w:r w:rsidR="00E324F3">
        <w:t>.</w:t>
      </w:r>
      <w:r>
        <w:t xml:space="preserve"> The largest proportion in April 2014 was </w:t>
      </w:r>
      <w:r w:rsidR="00F06D35">
        <w:t>34.6% for North West and the smallest</w:t>
      </w:r>
      <w:r w:rsidR="00BD48E2">
        <w:rPr>
          <w:vertAlign w:val="superscript"/>
        </w:rPr>
        <w:t>6</w:t>
      </w:r>
      <w:r w:rsidR="00F06D35">
        <w:t xml:space="preserve"> was 17.2% for East Midlands.</w:t>
      </w:r>
    </w:p>
    <w:p w:rsidR="00E324F3" w:rsidRDefault="00BD48E2" w:rsidP="00E324F3">
      <w:pPr>
        <w:pStyle w:val="Heading3"/>
      </w:pPr>
      <w:r>
        <w:t>B3</w:t>
      </w:r>
      <w:r w:rsidR="00E324F3">
        <w:t>.</w:t>
      </w:r>
      <w:r w:rsidR="00E324F3">
        <w:tab/>
      </w:r>
      <w:r w:rsidR="00E324F3" w:rsidRPr="00DA6E95">
        <w:t>ST-Elevation myocardial infarction</w:t>
      </w:r>
      <w:r w:rsidR="00E324F3">
        <w:t xml:space="preserve"> (STEMI)</w:t>
      </w:r>
    </w:p>
    <w:p w:rsidR="00E324F3" w:rsidRPr="00DA6E95" w:rsidRDefault="00E324F3" w:rsidP="00E324F3">
      <w:pPr>
        <w:rPr>
          <w:bCs/>
        </w:rPr>
      </w:pPr>
      <w:r w:rsidRPr="002C522F">
        <w:rPr>
          <w:rFonts w:cs="Arial"/>
        </w:rPr>
        <w:t>ST segment elevation myocardial infarction</w:t>
      </w:r>
      <w:r>
        <w:rPr>
          <w:rFonts w:cs="Arial"/>
        </w:rPr>
        <w:t xml:space="preserve"> </w:t>
      </w:r>
      <w:r w:rsidRPr="002C522F">
        <w:rPr>
          <w:rFonts w:cs="Arial"/>
        </w:rPr>
        <w:t>is a type of heart</w:t>
      </w:r>
      <w:r>
        <w:rPr>
          <w:rFonts w:cs="Arial"/>
        </w:rPr>
        <w:t xml:space="preserve"> </w:t>
      </w:r>
      <w:r w:rsidRPr="002C522F">
        <w:rPr>
          <w:rFonts w:cs="Arial"/>
        </w:rPr>
        <w:t>attack</w:t>
      </w:r>
      <w:r>
        <w:rPr>
          <w:rFonts w:cs="Arial"/>
        </w:rPr>
        <w:t xml:space="preserve">, </w:t>
      </w:r>
      <w:r w:rsidRPr="002C522F">
        <w:rPr>
          <w:rFonts w:cs="Arial"/>
        </w:rPr>
        <w:t>determined by an electrocardiogram (ECG) test.</w:t>
      </w:r>
      <w:r>
        <w:rPr>
          <w:rFonts w:cs="Arial"/>
        </w:rPr>
        <w:t xml:space="preserve"> Early access to reperfusion,</w:t>
      </w:r>
      <w:r w:rsidRPr="002C522F">
        <w:rPr>
          <w:rFonts w:cs="Arial"/>
        </w:rPr>
        <w:t xml:space="preserve"> where blocked arteries are op</w:t>
      </w:r>
      <w:r>
        <w:rPr>
          <w:rFonts w:cs="Arial"/>
        </w:rPr>
        <w:t xml:space="preserve">ened to re-establish blood flow, </w:t>
      </w:r>
      <w:r w:rsidRPr="002C522F">
        <w:rPr>
          <w:rFonts w:cs="Arial"/>
        </w:rPr>
        <w:t>and other assessment and care interventions</w:t>
      </w:r>
      <w:r>
        <w:rPr>
          <w:rFonts w:cs="Arial"/>
        </w:rPr>
        <w:t>,</w:t>
      </w:r>
      <w:r w:rsidRPr="002C522F">
        <w:rPr>
          <w:rFonts w:cs="Arial"/>
        </w:rPr>
        <w:t xml:space="preserve"> are associated with reductions in STEMI</w:t>
      </w:r>
      <w:r>
        <w:rPr>
          <w:rFonts w:cs="Arial"/>
        </w:rPr>
        <w:t xml:space="preserve"> </w:t>
      </w:r>
      <w:r w:rsidRPr="002C522F">
        <w:rPr>
          <w:rFonts w:cs="Arial"/>
        </w:rPr>
        <w:t>mortality and morbidity.</w:t>
      </w:r>
    </w:p>
    <w:p w:rsidR="00F06D35" w:rsidRDefault="00E324F3" w:rsidP="00E324F3">
      <w:r>
        <w:t xml:space="preserve">In </w:t>
      </w:r>
      <w:r w:rsidR="00992442">
        <w:t>April</w:t>
      </w:r>
      <w:r>
        <w:t xml:space="preserve"> 2014, </w:t>
      </w:r>
      <w:r w:rsidR="00D40138">
        <w:t xml:space="preserve">of </w:t>
      </w:r>
      <w:r w:rsidR="00F06D35">
        <w:t>1,390</w:t>
      </w:r>
      <w:r>
        <w:t xml:space="preserve"> </w:t>
      </w:r>
      <w:r w:rsidRPr="00DA6E95">
        <w:t>patients with an acute STEMI</w:t>
      </w:r>
      <w:r>
        <w:t xml:space="preserve">, </w:t>
      </w:r>
      <w:r w:rsidR="00F06D35">
        <w:t>1,144 (82.3</w:t>
      </w:r>
      <w:r>
        <w:t>%</w:t>
      </w:r>
      <w:r w:rsidR="00F06D35">
        <w:t>)</w:t>
      </w:r>
      <w:r w:rsidRPr="00DA6E95">
        <w:t xml:space="preserve"> received the appropriate care bundle</w:t>
      </w:r>
      <w:r>
        <w:rPr>
          <w:rStyle w:val="FootnoteReference"/>
        </w:rPr>
        <w:footnoteReference w:id="7"/>
      </w:r>
      <w:r w:rsidR="00F06D35">
        <w:t>, an increase upon 80.1% for 2013-14</w:t>
      </w:r>
      <w:r w:rsidRPr="00DA6E95">
        <w:t>.</w:t>
      </w:r>
      <w:r>
        <w:t xml:space="preserve"> </w:t>
      </w:r>
      <w:r w:rsidR="00D40138">
        <w:t>North East</w:t>
      </w:r>
      <w:r w:rsidR="00F06D35">
        <w:t xml:space="preserve"> had the largest proportion, with </w:t>
      </w:r>
      <w:r w:rsidR="00D40138">
        <w:t>95</w:t>
      </w:r>
      <w:r w:rsidR="00F06D35">
        <w:t>.</w:t>
      </w:r>
      <w:r w:rsidR="00D40138">
        <w:t>1</w:t>
      </w:r>
      <w:r w:rsidR="00F06D35">
        <w:t xml:space="preserve">%, and the smallest was </w:t>
      </w:r>
      <w:r w:rsidR="00D40138">
        <w:t>67.3</w:t>
      </w:r>
      <w:r w:rsidR="00F06D35">
        <w:t>% in South</w:t>
      </w:r>
      <w:r w:rsidR="00D40138">
        <w:t xml:space="preserve"> Central</w:t>
      </w:r>
      <w:r w:rsidR="00F06D35">
        <w:t>.</w:t>
      </w:r>
    </w:p>
    <w:p w:rsidR="00E324F3" w:rsidRDefault="00D40138" w:rsidP="00E324F3">
      <w:r>
        <w:t xml:space="preserve">Of </w:t>
      </w:r>
      <w:r w:rsidR="00F06D35">
        <w:t>968</w:t>
      </w:r>
      <w:r w:rsidRPr="00D40138">
        <w:t xml:space="preserve"> </w:t>
      </w:r>
      <w:r>
        <w:t xml:space="preserve">STEMI patients </w:t>
      </w:r>
      <w:r w:rsidRPr="00DA6E95">
        <w:t>receiv</w:t>
      </w:r>
      <w:r>
        <w:t xml:space="preserve">ing </w:t>
      </w:r>
      <w:r w:rsidRPr="00DA6E95">
        <w:t>primary angioplasty</w:t>
      </w:r>
      <w:r w:rsidR="00E324F3" w:rsidRPr="00DA6E95">
        <w:t xml:space="preserve">, </w:t>
      </w:r>
      <w:r w:rsidR="00F06D35">
        <w:t>844 (87.2%)</w:t>
      </w:r>
      <w:r w:rsidR="00E324F3" w:rsidRPr="00DA6E95">
        <w:t xml:space="preserve"> </w:t>
      </w:r>
      <w:r w:rsidR="00E324F3">
        <w:t xml:space="preserve">of them </w:t>
      </w:r>
      <w:r w:rsidR="00E324F3" w:rsidRPr="00DA6E95">
        <w:t xml:space="preserve">received </w:t>
      </w:r>
      <w:r>
        <w:t xml:space="preserve">it </w:t>
      </w:r>
      <w:r w:rsidR="00E324F3" w:rsidRPr="00DA6E95">
        <w:t>within 150 minutes of the call being connected to the ambulance service</w:t>
      </w:r>
      <w:r w:rsidR="00F06D35">
        <w:t>, similar to the 2013-14 figure of 88.9%</w:t>
      </w:r>
      <w:r>
        <w:t>. The largest</w:t>
      </w:r>
      <w:r w:rsidR="00BD48E2" w:rsidRPr="00BD48E2">
        <w:rPr>
          <w:vertAlign w:val="superscript"/>
        </w:rPr>
        <w:t>6</w:t>
      </w:r>
      <w:r w:rsidRPr="00D40138">
        <w:t xml:space="preserve"> </w:t>
      </w:r>
      <w:r>
        <w:t>proportion was 96.0% in London, and the smallest, 78.4% in South West.</w:t>
      </w:r>
    </w:p>
    <w:p w:rsidR="00230B2D" w:rsidRDefault="00230B2D" w:rsidP="00E324F3">
      <w:pPr>
        <w:pStyle w:val="Heading3"/>
      </w:pPr>
      <w:r>
        <w:br w:type="page"/>
      </w:r>
    </w:p>
    <w:p w:rsidR="00E324F3" w:rsidRDefault="00E324F3" w:rsidP="00E324F3">
      <w:pPr>
        <w:pStyle w:val="Heading3"/>
      </w:pPr>
      <w:r>
        <w:lastRenderedPageBreak/>
        <w:t>B</w:t>
      </w:r>
      <w:r w:rsidR="00BD48E2">
        <w:t>4</w:t>
      </w:r>
      <w:r>
        <w:t>.</w:t>
      </w:r>
      <w:r>
        <w:tab/>
        <w:t>Stroke</w:t>
      </w:r>
    </w:p>
    <w:p w:rsidR="00E324F3" w:rsidRDefault="00E324F3" w:rsidP="00E324F3">
      <w:pPr>
        <w:pStyle w:val="NoSpacing"/>
      </w:pPr>
      <w:r>
        <w:t>The FAST procedure helps assess whether someone has suffered a stroke:</w:t>
      </w:r>
    </w:p>
    <w:p w:rsidR="00E324F3" w:rsidRDefault="00E324F3" w:rsidP="00E324F3">
      <w:pPr>
        <w:pStyle w:val="ListBullet"/>
      </w:pPr>
      <w:r>
        <w:t>Facial weakness – can the person smile? Has their mouth or eye drooped?</w:t>
      </w:r>
    </w:p>
    <w:p w:rsidR="00E324F3" w:rsidRDefault="00E324F3" w:rsidP="00E324F3">
      <w:pPr>
        <w:pStyle w:val="ListBullet"/>
      </w:pPr>
      <w:r>
        <w:t>Arm weakness – can the person raise both arms?</w:t>
      </w:r>
    </w:p>
    <w:p w:rsidR="00E324F3" w:rsidRDefault="00E324F3" w:rsidP="00E324F3">
      <w:pPr>
        <w:pStyle w:val="ListBullet"/>
      </w:pPr>
      <w:r>
        <w:t>Speech problems – can the person speak clearly and understand what you say?</w:t>
      </w:r>
    </w:p>
    <w:p w:rsidR="00E324F3" w:rsidRDefault="00E324F3" w:rsidP="00E324F3">
      <w:pPr>
        <w:pStyle w:val="ListBullet"/>
      </w:pPr>
      <w:r>
        <w:t>Time to call 999 for an ambulance if you spot any one of these signs.</w:t>
      </w:r>
    </w:p>
    <w:p w:rsidR="00E324F3" w:rsidRDefault="00E324F3" w:rsidP="00E324F3">
      <w:r>
        <w:t xml:space="preserve">In </w:t>
      </w:r>
      <w:r w:rsidR="00992442">
        <w:t>April</w:t>
      </w:r>
      <w:r>
        <w:t xml:space="preserve"> 2014, </w:t>
      </w:r>
      <w:r w:rsidR="00D40138">
        <w:t xml:space="preserve">of 3,176 </w:t>
      </w:r>
      <w:r>
        <w:t xml:space="preserve">FAST positive patients, assessed face to face, </w:t>
      </w:r>
      <w:r w:rsidR="00D40138">
        <w:t xml:space="preserve">and </w:t>
      </w:r>
      <w:r>
        <w:t>potentially eligible for stroke thrombolysis</w:t>
      </w:r>
      <w:r w:rsidR="00D40138">
        <w:t xml:space="preserve"> within agreed local guidelines, 2,023 (6</w:t>
      </w:r>
      <w:r w:rsidR="0073041B">
        <w:t>3</w:t>
      </w:r>
      <w:r w:rsidR="00D40138">
        <w:t>.7%)</w:t>
      </w:r>
      <w:r>
        <w:t xml:space="preserve"> arrived at hospitals with</w:t>
      </w:r>
      <w:r w:rsidRPr="00DA6E95">
        <w:t xml:space="preserve"> a hyperacute stroke unit within 60 minutes</w:t>
      </w:r>
      <w:r>
        <w:t xml:space="preserve"> of an emergency call connecting to the ambulance service.</w:t>
      </w:r>
      <w:r w:rsidR="00D40138">
        <w:t xml:space="preserve"> This was similar to 63.0% in 2013/14. The largest proportion in April 2014 was 82.3% in North East, and the smallest was 53.0% in South Central.</w:t>
      </w:r>
    </w:p>
    <w:p w:rsidR="007B2D4E" w:rsidRDefault="00D40138" w:rsidP="00453F16">
      <w:r>
        <w:t xml:space="preserve">Of </w:t>
      </w:r>
      <w:r w:rsidRPr="00D40138">
        <w:t xml:space="preserve">6,927 </w:t>
      </w:r>
      <w:r>
        <w:t xml:space="preserve">stroke </w:t>
      </w:r>
      <w:r w:rsidR="00E324F3">
        <w:t>patients assessed face to face</w:t>
      </w:r>
      <w:r>
        <w:t xml:space="preserve">, </w:t>
      </w:r>
      <w:bookmarkStart w:id="1" w:name="OLE_LINK3"/>
      <w:r>
        <w:t xml:space="preserve">6,730 (97.2%) </w:t>
      </w:r>
      <w:r w:rsidR="00E324F3" w:rsidRPr="00DA6E95">
        <w:t>received the appropriate care bundle</w:t>
      </w:r>
      <w:bookmarkEnd w:id="1"/>
      <w:r>
        <w:t xml:space="preserve">, compared with 96.4% in 2013/14. The </w:t>
      </w:r>
      <w:r w:rsidR="00453F16">
        <w:t xml:space="preserve">smallest </w:t>
      </w:r>
      <w:r>
        <w:t xml:space="preserve">proportion in April 2014 was </w:t>
      </w:r>
      <w:r w:rsidR="00453F16">
        <w:t>94.7</w:t>
      </w:r>
      <w:r>
        <w:t>%</w:t>
      </w:r>
      <w:r w:rsidR="00453F16">
        <w:t xml:space="preserve"> in South East Coast.</w:t>
      </w:r>
    </w:p>
    <w:p w:rsidR="00E324F3" w:rsidRDefault="00BD48E2" w:rsidP="00E324F3">
      <w:pPr>
        <w:pStyle w:val="Heading3"/>
      </w:pPr>
      <w:r>
        <w:t>B5</w:t>
      </w:r>
      <w:r w:rsidR="00E324F3">
        <w:t>.</w:t>
      </w:r>
      <w:r w:rsidR="00E324F3">
        <w:tab/>
        <w:t>T</w:t>
      </w:r>
      <w:r w:rsidR="00E324F3" w:rsidRPr="009B5D9A">
        <w:t>rust averages and extremes</w:t>
      </w:r>
      <w:r w:rsidR="00E324F3">
        <w:t xml:space="preserve"> for all Clinical Outcomes, April 2014</w:t>
      </w:r>
    </w:p>
    <w:tbl>
      <w:tblPr>
        <w:tblW w:w="8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301"/>
        <w:gridCol w:w="1302"/>
        <w:gridCol w:w="1302"/>
      </w:tblGrid>
      <w:tr w:rsidR="00E324F3" w:rsidTr="00B276A4">
        <w:trPr>
          <w:trHeight w:val="645"/>
        </w:trPr>
        <w:tc>
          <w:tcPr>
            <w:tcW w:w="4835" w:type="dxa"/>
            <w:gridSpan w:val="2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Indicator</w:t>
            </w:r>
          </w:p>
        </w:tc>
        <w:tc>
          <w:tcPr>
            <w:tcW w:w="1301" w:type="dxa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All England</w:t>
            </w:r>
          </w:p>
        </w:tc>
        <w:tc>
          <w:tcPr>
            <w:tcW w:w="1302" w:type="dxa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Lowest Trust</w:t>
            </w:r>
          </w:p>
        </w:tc>
        <w:tc>
          <w:tcPr>
            <w:tcW w:w="1302" w:type="dxa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Highest Trust</w:t>
            </w:r>
          </w:p>
        </w:tc>
      </w:tr>
      <w:tr w:rsidR="00E324F3" w:rsidTr="00B276A4">
        <w:trPr>
          <w:trHeight w:val="206"/>
        </w:trPr>
        <w:tc>
          <w:tcPr>
            <w:tcW w:w="4835" w:type="dxa"/>
            <w:gridSpan w:val="2"/>
            <w:shd w:val="clear" w:color="000000" w:fill="FFFFFF"/>
            <w:vAlign w:val="center"/>
            <w:hideMark/>
          </w:tcPr>
          <w:p w:rsidR="00E324F3" w:rsidRPr="005538AF" w:rsidRDefault="00453F16" w:rsidP="00453F16">
            <w:pPr>
              <w:pStyle w:val="NoSpacing"/>
            </w:pPr>
            <w:r>
              <w:t>C</w:t>
            </w:r>
            <w:r w:rsidRPr="005538AF">
              <w:t>ardiac arrest</w:t>
            </w:r>
            <w:r>
              <w:t>, ROSC</w:t>
            </w:r>
            <w:r w:rsidR="00E324F3" w:rsidRPr="005538AF">
              <w:t>: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E324F3" w:rsidRPr="009B5D9A" w:rsidRDefault="00E324F3" w:rsidP="007B2D4E">
            <w:pPr>
              <w:pStyle w:val="NoSpacing"/>
            </w:pPr>
            <w:r w:rsidRPr="009B5D9A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9B5D9A" w:rsidRDefault="00E324F3" w:rsidP="007B2D4E">
            <w:pPr>
              <w:pStyle w:val="NoSpacing"/>
            </w:pPr>
            <w:r w:rsidRPr="009B5D9A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9B5D9A" w:rsidRDefault="00E324F3" w:rsidP="007B2D4E">
            <w:pPr>
              <w:pStyle w:val="NoSpacing"/>
            </w:pPr>
            <w:r w:rsidRPr="009B5D9A">
              <w:t> </w:t>
            </w:r>
          </w:p>
        </w:tc>
      </w:tr>
      <w:tr w:rsidR="007B2D4E" w:rsidTr="00EE2D73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All patients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25.6</w:t>
            </w:r>
            <w:r w:rsidR="007B2D4E" w:rsidRPr="005063D0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775632">
            <w:pPr>
              <w:pStyle w:val="NoSpacing"/>
              <w:jc w:val="right"/>
            </w:pPr>
            <w:r>
              <w:t>16.5%</w:t>
            </w:r>
            <w:r w:rsidR="00775632">
              <w:t xml:space="preserve"> </w:t>
            </w:r>
            <w:r w:rsidR="00775632">
              <w:rPr>
                <w:rStyle w:val="FootnoteReference"/>
              </w:rPr>
              <w:footnoteReference w:id="8"/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42.8%</w:t>
            </w:r>
          </w:p>
        </w:tc>
      </w:tr>
      <w:tr w:rsidR="007B2D4E" w:rsidTr="00EE2D73">
        <w:trPr>
          <w:trHeight w:val="315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Utstein group</w:t>
            </w:r>
            <w:r w:rsidR="00AC3DAD">
              <w:rPr>
                <w:rStyle w:val="FootnoteReference"/>
              </w:rPr>
              <w:footnoteReference w:id="9"/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47.2%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28.1%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64.3%</w:t>
            </w:r>
          </w:p>
        </w:tc>
      </w:tr>
      <w:tr w:rsidR="00E324F3" w:rsidRPr="005538AF" w:rsidTr="00B276A4">
        <w:trPr>
          <w:trHeight w:val="275"/>
        </w:trPr>
        <w:tc>
          <w:tcPr>
            <w:tcW w:w="8740" w:type="dxa"/>
            <w:gridSpan w:val="5"/>
            <w:shd w:val="clear" w:color="000000" w:fill="FFFFFF"/>
            <w:vAlign w:val="center"/>
            <w:hideMark/>
          </w:tcPr>
          <w:p w:rsidR="00AC3DAD" w:rsidRDefault="00AC3DAD" w:rsidP="007B2D4E">
            <w:pPr>
              <w:pStyle w:val="NoSpacing"/>
            </w:pPr>
          </w:p>
          <w:p w:rsidR="00E324F3" w:rsidRPr="005538AF" w:rsidRDefault="00AC3DAD" w:rsidP="00AC3DAD">
            <w:pPr>
              <w:pStyle w:val="NoSpacing"/>
            </w:pPr>
            <w:r>
              <w:t>C</w:t>
            </w:r>
            <w:r w:rsidRPr="005538AF">
              <w:t>ardiac arrest</w:t>
            </w:r>
            <w:r>
              <w:t>,</w:t>
            </w:r>
            <w:r w:rsidRPr="005538AF">
              <w:t xml:space="preserve"> </w:t>
            </w:r>
            <w:r w:rsidR="00E324F3" w:rsidRPr="005538AF">
              <w:t>Survival to discharge:</w:t>
            </w:r>
          </w:p>
        </w:tc>
      </w:tr>
      <w:tr w:rsidR="007B2D4E" w:rsidTr="00791138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All patients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7.9</w:t>
            </w:r>
            <w:r w:rsidR="007B2D4E" w:rsidRPr="008518B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775632">
            <w:pPr>
              <w:pStyle w:val="NoSpacing"/>
              <w:jc w:val="right"/>
            </w:pPr>
            <w:r>
              <w:t>3.6</w:t>
            </w:r>
            <w:r w:rsidR="007B2D4E" w:rsidRPr="008518BB">
              <w:t>%</w:t>
            </w:r>
            <w:r w:rsidR="00775632">
              <w:t xml:space="preserve"> </w:t>
            </w:r>
            <w:r w:rsidR="00775632">
              <w:rPr>
                <w:vertAlign w:val="superscript"/>
              </w:rPr>
              <w:t>8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15.1</w:t>
            </w:r>
            <w:r w:rsidR="007B2D4E" w:rsidRPr="008518BB">
              <w:t>%</w:t>
            </w:r>
          </w:p>
        </w:tc>
      </w:tr>
      <w:tr w:rsidR="007B2D4E" w:rsidTr="00791138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Utstein group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25.9</w:t>
            </w:r>
            <w:r w:rsidR="007B2D4E" w:rsidRPr="008518B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775632">
            <w:pPr>
              <w:pStyle w:val="NoSpacing"/>
              <w:jc w:val="right"/>
            </w:pPr>
            <w:r>
              <w:t>17.2</w:t>
            </w:r>
            <w:r w:rsidR="007B2D4E" w:rsidRPr="008518BB">
              <w:t>%</w:t>
            </w:r>
            <w:r w:rsidR="00775632">
              <w:t xml:space="preserve"> </w:t>
            </w:r>
            <w:r w:rsidR="00775632">
              <w:rPr>
                <w:vertAlign w:val="superscript"/>
              </w:rPr>
              <w:t>8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34.6</w:t>
            </w:r>
            <w:r w:rsidR="007B2D4E" w:rsidRPr="008518BB">
              <w:t>%</w:t>
            </w:r>
          </w:p>
        </w:tc>
      </w:tr>
      <w:tr w:rsidR="00E324F3" w:rsidRPr="005538AF" w:rsidTr="00B276A4">
        <w:trPr>
          <w:trHeight w:val="300"/>
        </w:trPr>
        <w:tc>
          <w:tcPr>
            <w:tcW w:w="4835" w:type="dxa"/>
            <w:gridSpan w:val="2"/>
            <w:shd w:val="clear" w:color="000000" w:fill="FFFFFF"/>
            <w:vAlign w:val="center"/>
            <w:hideMark/>
          </w:tcPr>
          <w:p w:rsidR="00AC3DAD" w:rsidRDefault="00AC3DAD" w:rsidP="007B2D4E">
            <w:pPr>
              <w:pStyle w:val="NoSpacing"/>
            </w:pPr>
          </w:p>
          <w:p w:rsidR="00E324F3" w:rsidRPr="005538AF" w:rsidRDefault="00E324F3" w:rsidP="007B2D4E">
            <w:pPr>
              <w:pStyle w:val="NoSpacing"/>
            </w:pPr>
            <w:r w:rsidRPr="005538AF">
              <w:t>Outcome from acute STEMI: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</w:tr>
      <w:tr w:rsidR="007B2D4E" w:rsidTr="00182E3A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Angioplasty within 150 minutes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87.2</w:t>
            </w:r>
            <w:r w:rsidR="007B2D4E" w:rsidRPr="00BD346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78.4</w:t>
            </w:r>
            <w:r w:rsidR="007B2D4E" w:rsidRPr="00BD346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775632">
            <w:pPr>
              <w:pStyle w:val="NoSpacing"/>
              <w:jc w:val="right"/>
            </w:pPr>
            <w:r>
              <w:t>96.0%</w:t>
            </w:r>
            <w:r w:rsidR="00775632">
              <w:t xml:space="preserve"> </w:t>
            </w:r>
            <w:r w:rsidR="00775632">
              <w:rPr>
                <w:vertAlign w:val="superscript"/>
              </w:rPr>
              <w:t>8</w:t>
            </w:r>
          </w:p>
        </w:tc>
      </w:tr>
      <w:tr w:rsidR="007B2D4E" w:rsidTr="00182E3A">
        <w:trPr>
          <w:trHeight w:val="169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Received appropriate care bundle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82.3%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67.3</w:t>
            </w:r>
            <w:r w:rsidR="007B2D4E" w:rsidRPr="00BD346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95.1</w:t>
            </w:r>
            <w:r w:rsidR="007B2D4E" w:rsidRPr="00BD346B">
              <w:t>%</w:t>
            </w:r>
          </w:p>
        </w:tc>
      </w:tr>
      <w:tr w:rsidR="00E324F3" w:rsidRPr="005538AF" w:rsidTr="00B276A4">
        <w:trPr>
          <w:trHeight w:val="300"/>
        </w:trPr>
        <w:tc>
          <w:tcPr>
            <w:tcW w:w="4835" w:type="dxa"/>
            <w:gridSpan w:val="2"/>
            <w:shd w:val="clear" w:color="000000" w:fill="FFFFFF"/>
            <w:vAlign w:val="center"/>
            <w:hideMark/>
          </w:tcPr>
          <w:p w:rsidR="00AC3DAD" w:rsidRDefault="00AC3DAD" w:rsidP="007B2D4E">
            <w:pPr>
              <w:pStyle w:val="NoSpacing"/>
            </w:pPr>
          </w:p>
          <w:p w:rsidR="00E324F3" w:rsidRPr="005538AF" w:rsidRDefault="00E324F3" w:rsidP="007B2D4E">
            <w:pPr>
              <w:pStyle w:val="NoSpacing"/>
            </w:pPr>
            <w:r w:rsidRPr="005538AF">
              <w:t>Outcome from stroke: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</w:tr>
      <w:tr w:rsidR="007B2D4E" w:rsidTr="004F3302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Thrombolysis in 60 minutes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63.7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53.0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82.3</w:t>
            </w:r>
            <w:r w:rsidR="007B2D4E" w:rsidRPr="00967738">
              <w:t>%</w:t>
            </w:r>
          </w:p>
        </w:tc>
      </w:tr>
      <w:tr w:rsidR="007B2D4E" w:rsidTr="004F3302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B2D4E" w:rsidRDefault="007B2D4E" w:rsidP="007B2D4E">
            <w:pPr>
              <w:pStyle w:val="NoSpacing"/>
            </w:pPr>
            <w:r>
              <w:t>Received appropriate care bundle</w:t>
            </w:r>
          </w:p>
        </w:tc>
        <w:tc>
          <w:tcPr>
            <w:tcW w:w="1301" w:type="dxa"/>
            <w:shd w:val="clear" w:color="auto" w:fill="auto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97.2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auto" w:fill="auto"/>
            <w:hideMark/>
          </w:tcPr>
          <w:p w:rsidR="007B2D4E" w:rsidRDefault="00453F16" w:rsidP="00453F16">
            <w:pPr>
              <w:pStyle w:val="NoSpacing"/>
              <w:jc w:val="right"/>
            </w:pPr>
            <w:r>
              <w:t>94.7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auto" w:fill="auto"/>
            <w:hideMark/>
          </w:tcPr>
          <w:p w:rsidR="007B2D4E" w:rsidRDefault="00453F16" w:rsidP="00775632">
            <w:pPr>
              <w:pStyle w:val="NoSpacing"/>
              <w:jc w:val="right"/>
            </w:pPr>
            <w:r>
              <w:t>99.6</w:t>
            </w:r>
            <w:r w:rsidR="007B2D4E" w:rsidRPr="00967738">
              <w:t>%</w:t>
            </w:r>
            <w:r w:rsidR="00775632">
              <w:t xml:space="preserve"> </w:t>
            </w:r>
            <w:r w:rsidR="00775632">
              <w:rPr>
                <w:vertAlign w:val="superscript"/>
              </w:rPr>
              <w:t>8</w:t>
            </w:r>
          </w:p>
        </w:tc>
      </w:tr>
    </w:tbl>
    <w:p w:rsidR="006272D8" w:rsidRDefault="006272D8" w:rsidP="00BD48E2">
      <w:pPr>
        <w:pStyle w:val="Heading3"/>
      </w:pPr>
      <w:r>
        <w:br w:type="page"/>
      </w:r>
    </w:p>
    <w:p w:rsidR="00BD48E2" w:rsidRPr="00C9746F" w:rsidRDefault="00BD48E2" w:rsidP="00BD48E2">
      <w:pPr>
        <w:pStyle w:val="Heading3"/>
      </w:pPr>
      <w:r>
        <w:lastRenderedPageBreak/>
        <w:t>B6.</w:t>
      </w:r>
      <w:r>
        <w:tab/>
        <w:t>Revisions</w:t>
      </w:r>
    </w:p>
    <w:p w:rsidR="00BD48E2" w:rsidRDefault="00BD48E2" w:rsidP="00BD48E2">
      <w:r>
        <w:t>As described in our 8 August 2014 Statistical Note</w:t>
      </w:r>
      <w:r>
        <w:rPr>
          <w:rStyle w:val="FootnoteReference"/>
        </w:rPr>
        <w:footnoteReference w:id="10"/>
      </w:r>
      <w:r>
        <w:t xml:space="preserve">, we delayed revisions </w:t>
      </w:r>
      <w:r w:rsidR="00694FB2">
        <w:t xml:space="preserve">to CO data for the months of 2013-14 </w:t>
      </w:r>
      <w:r>
        <w:t>until now, in order to use improved data result</w:t>
      </w:r>
      <w:r w:rsidR="00694FB2">
        <w:t>ing from</w:t>
      </w:r>
      <w:r>
        <w:t xml:space="preserve"> the </w:t>
      </w:r>
      <w:r w:rsidRPr="00C9746F">
        <w:t>Myocardial Ischaemia National Audit Project (MINAP)</w:t>
      </w:r>
      <w:r w:rsidR="00694FB2">
        <w:t>.</w:t>
      </w:r>
    </w:p>
    <w:p w:rsidR="00230B2D" w:rsidRDefault="00230B2D" w:rsidP="00230B2D">
      <w:pPr>
        <w:rPr>
          <w:noProof/>
        </w:rPr>
      </w:pPr>
      <w:r>
        <w:rPr>
          <w:noProof/>
        </w:rPr>
        <w:t>All Trusts submitted revisions except for Yorkshire, East of England, South Central</w:t>
      </w:r>
      <w:r w:rsidR="0036445B">
        <w:rPr>
          <w:noProof/>
        </w:rPr>
        <w:t>,</w:t>
      </w:r>
      <w:r>
        <w:rPr>
          <w:noProof/>
        </w:rPr>
        <w:t xml:space="preserve"> and Isle of Wight. East Midlands revisions are only for STEMI angioplasty and cardiac arrest survival to discharge.</w:t>
      </w:r>
      <w:r w:rsidR="00C16133">
        <w:rPr>
          <w:noProof/>
        </w:rPr>
        <w:t xml:space="preserve"> The Midlands Trusts did not revise February or March data.</w:t>
      </w:r>
    </w:p>
    <w:p w:rsidR="00230B2D" w:rsidRDefault="00230B2D" w:rsidP="00230B2D">
      <w:pPr>
        <w:rPr>
          <w:noProof/>
        </w:rPr>
      </w:pPr>
      <w:r>
        <w:rPr>
          <w:noProof/>
        </w:rPr>
        <w:t>For all England, the eight revisions charts</w:t>
      </w:r>
      <w:r w:rsidR="0036445B">
        <w:rPr>
          <w:noProof/>
        </w:rPr>
        <w:t xml:space="preserve"> </w:t>
      </w:r>
      <w:r>
        <w:rPr>
          <w:noProof/>
        </w:rPr>
        <w:t>on page 8 show that the largest revisions are to the two indicators for Utstein comparator groups, where monthly national denominators are typically fewer than one thousand.</w:t>
      </w:r>
    </w:p>
    <w:p w:rsidR="00230B2D" w:rsidRDefault="00230B2D" w:rsidP="00230B2D">
      <w:pPr>
        <w:rPr>
          <w:noProof/>
        </w:rPr>
      </w:pPr>
      <w:r>
        <w:rPr>
          <w:noProof/>
        </w:rPr>
        <w:t>National monthly percentages revised by more than one percentage point are: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901"/>
      </w:tblGrid>
      <w:tr w:rsidR="00230B2D" w:rsidTr="00846A87">
        <w:trPr>
          <w:cantSplit/>
        </w:trPr>
        <w:tc>
          <w:tcPr>
            <w:tcW w:w="5070" w:type="dxa"/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>Indicator</w:t>
            </w:r>
          </w:p>
        </w:tc>
        <w:tc>
          <w:tcPr>
            <w:tcW w:w="1559" w:type="dxa"/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>Month in 2013-14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 xml:space="preserve">From 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>To</w:t>
            </w:r>
          </w:p>
        </w:tc>
      </w:tr>
      <w:tr w:rsidR="00230B2D" w:rsidTr="00846A87">
        <w:trPr>
          <w:cantSplit/>
        </w:trPr>
        <w:tc>
          <w:tcPr>
            <w:tcW w:w="5070" w:type="dxa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ROSC (Utstein)</w:t>
            </w:r>
          </w:p>
        </w:tc>
        <w:tc>
          <w:tcPr>
            <w:tcW w:w="1559" w:type="dxa"/>
          </w:tcPr>
          <w:p w:rsidR="00230B2D" w:rsidRDefault="00230B2D" w:rsidP="00846A87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July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46.1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47.9</w:t>
            </w:r>
          </w:p>
        </w:tc>
      </w:tr>
      <w:tr w:rsidR="00230B2D" w:rsidTr="00846A87">
        <w:trPr>
          <w:cantSplit/>
        </w:trPr>
        <w:tc>
          <w:tcPr>
            <w:tcW w:w="5070" w:type="dxa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ROSC (Utstein)</w:t>
            </w:r>
          </w:p>
        </w:tc>
        <w:tc>
          <w:tcPr>
            <w:tcW w:w="1559" w:type="dxa"/>
          </w:tcPr>
          <w:p w:rsidR="00230B2D" w:rsidRDefault="00230B2D" w:rsidP="00846A87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September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48.2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49.4</w:t>
            </w:r>
          </w:p>
        </w:tc>
      </w:tr>
      <w:tr w:rsidR="00230B2D" w:rsidTr="00846A87">
        <w:trPr>
          <w:cantSplit/>
        </w:trPr>
        <w:tc>
          <w:tcPr>
            <w:tcW w:w="5070" w:type="dxa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Survival to discharge (Utstein)</w:t>
            </w:r>
          </w:p>
        </w:tc>
        <w:tc>
          <w:tcPr>
            <w:tcW w:w="1559" w:type="dxa"/>
          </w:tcPr>
          <w:p w:rsidR="00230B2D" w:rsidRDefault="00230B2D" w:rsidP="00846A87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November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24.8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23.7</w:t>
            </w:r>
          </w:p>
        </w:tc>
      </w:tr>
      <w:tr w:rsidR="00230B2D" w:rsidTr="00846A87">
        <w:trPr>
          <w:cantSplit/>
        </w:trPr>
        <w:tc>
          <w:tcPr>
            <w:tcW w:w="5070" w:type="dxa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Survival to discharge (Utstein)</w:t>
            </w:r>
          </w:p>
        </w:tc>
        <w:tc>
          <w:tcPr>
            <w:tcW w:w="1559" w:type="dxa"/>
          </w:tcPr>
          <w:p w:rsidR="00230B2D" w:rsidRDefault="00230B2D" w:rsidP="00846A87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January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23.1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24.5</w:t>
            </w:r>
          </w:p>
        </w:tc>
      </w:tr>
      <w:tr w:rsidR="00230B2D" w:rsidTr="00846A87">
        <w:trPr>
          <w:cantSplit/>
        </w:trPr>
        <w:tc>
          <w:tcPr>
            <w:tcW w:w="5070" w:type="dxa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Survival to discharge (Utstein)</w:t>
            </w:r>
          </w:p>
        </w:tc>
        <w:tc>
          <w:tcPr>
            <w:tcW w:w="1559" w:type="dxa"/>
          </w:tcPr>
          <w:p w:rsidR="00230B2D" w:rsidRDefault="00230B2D" w:rsidP="00846A87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February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29.3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31.2</w:t>
            </w:r>
          </w:p>
        </w:tc>
      </w:tr>
    </w:tbl>
    <w:p w:rsidR="00230B2D" w:rsidRDefault="00230B2D" w:rsidP="00230B2D">
      <w:pPr>
        <w:pStyle w:val="NoSpacing"/>
        <w:rPr>
          <w:noProof/>
        </w:rPr>
      </w:pPr>
    </w:p>
    <w:p w:rsidR="00230B2D" w:rsidRDefault="00230B2D" w:rsidP="00230B2D">
      <w:pPr>
        <w:pStyle w:val="NoSpacing"/>
        <w:rPr>
          <w:noProof/>
        </w:rPr>
      </w:pPr>
      <w:r>
        <w:rPr>
          <w:noProof/>
        </w:rPr>
        <w:t>The effects upon national annual percentages for 2013-14 are:</w:t>
      </w:r>
    </w:p>
    <w:p w:rsidR="00230B2D" w:rsidRDefault="00230B2D" w:rsidP="00230B2D">
      <w:pPr>
        <w:pStyle w:val="NoSpacing"/>
        <w:rPr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901"/>
      </w:tblGrid>
      <w:tr w:rsidR="00230B2D" w:rsidTr="00846A87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>Indicator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B2D" w:rsidRDefault="00230B2D" w:rsidP="00846A87">
            <w:pPr>
              <w:pStyle w:val="Heading4"/>
              <w:rPr>
                <w:noProof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 xml:space="preserve">From 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Heading4"/>
              <w:rPr>
                <w:noProof/>
              </w:rPr>
            </w:pPr>
            <w:r>
              <w:rPr>
                <w:noProof/>
              </w:rPr>
              <w:t>To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  <w:tcBorders>
              <w:top w:val="single" w:sz="4" w:space="0" w:color="auto"/>
            </w:tcBorders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ROSC (All)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25.9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26.1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ROSC (Utstein)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46.7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46.9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Survival to discharge (All)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8.7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8.7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Cardiac arrest: Survival to discharge (Utstein)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26.1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26.3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STEMI: Primary angioplasty within 150 minutes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89.0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88.9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STEMI: Received appropriate care bundle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80.1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80.1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Stroke: Arrival</w:t>
            </w:r>
            <w:r w:rsidRPr="00265EFB">
              <w:rPr>
                <w:noProof/>
              </w:rPr>
              <w:t xml:space="preserve"> at a hyperacute stroke unit within 60 minutes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62.9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63.0</w:t>
            </w:r>
          </w:p>
        </w:tc>
      </w:tr>
      <w:tr w:rsidR="00230B2D" w:rsidTr="00846A87">
        <w:trPr>
          <w:cantSplit/>
        </w:trPr>
        <w:tc>
          <w:tcPr>
            <w:tcW w:w="6629" w:type="dxa"/>
            <w:gridSpan w:val="2"/>
          </w:tcPr>
          <w:p w:rsidR="00230B2D" w:rsidRDefault="00230B2D" w:rsidP="00846A87">
            <w:pPr>
              <w:pStyle w:val="NoSpacing"/>
              <w:rPr>
                <w:noProof/>
              </w:rPr>
            </w:pPr>
            <w:r>
              <w:rPr>
                <w:noProof/>
              </w:rPr>
              <w:t>Stroke: Received appropriate care bundle</w:t>
            </w:r>
          </w:p>
        </w:tc>
        <w:tc>
          <w:tcPr>
            <w:tcW w:w="992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96.4</w:t>
            </w:r>
          </w:p>
        </w:tc>
        <w:tc>
          <w:tcPr>
            <w:tcW w:w="901" w:type="dxa"/>
          </w:tcPr>
          <w:p w:rsidR="00230B2D" w:rsidRDefault="00230B2D" w:rsidP="00846A87">
            <w:pPr>
              <w:pStyle w:val="NoSpacing"/>
              <w:jc w:val="right"/>
              <w:rPr>
                <w:noProof/>
              </w:rPr>
            </w:pPr>
            <w:r>
              <w:rPr>
                <w:noProof/>
              </w:rPr>
              <w:t>96.4</w:t>
            </w:r>
          </w:p>
        </w:tc>
      </w:tr>
    </w:tbl>
    <w:p w:rsidR="00BD48E2" w:rsidRDefault="00BD48E2" w:rsidP="00BD48E2">
      <w:pPr>
        <w:pStyle w:val="Heading3"/>
        <w:rPr>
          <w:noProof/>
        </w:rPr>
      </w:pPr>
      <w:r>
        <w:rPr>
          <w:noProof/>
        </w:rPr>
        <w:lastRenderedPageBreak/>
        <w:t>Revisions charts for 2013-14 Clinical Outcome data, all England</w:t>
      </w:r>
    </w:p>
    <w:p w:rsidR="00BD48E2" w:rsidRDefault="00BD48E2" w:rsidP="00BD48E2">
      <w:pPr>
        <w:rPr>
          <w:noProof/>
        </w:rPr>
      </w:pPr>
      <w:r>
        <w:rPr>
          <w:noProof/>
        </w:rPr>
        <w:drawing>
          <wp:inline distT="0" distB="0" distL="0" distR="0" wp14:anchorId="4C774CD7" wp14:editId="17CBB870">
            <wp:extent cx="2548255" cy="2011680"/>
            <wp:effectExtent l="0" t="0" r="444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D6F5C7A" wp14:editId="343BB293">
            <wp:extent cx="2548255" cy="2011680"/>
            <wp:effectExtent l="0" t="0" r="444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0584">
        <w:rPr>
          <w:noProof/>
        </w:rPr>
        <w:t xml:space="preserve"> </w:t>
      </w:r>
    </w:p>
    <w:p w:rsidR="00BD48E2" w:rsidRDefault="00BD48E2" w:rsidP="00BD48E2">
      <w:r>
        <w:rPr>
          <w:noProof/>
        </w:rPr>
        <w:drawing>
          <wp:inline distT="0" distB="0" distL="0" distR="0" wp14:anchorId="713E8DC9" wp14:editId="07D256CD">
            <wp:extent cx="2548255" cy="2018030"/>
            <wp:effectExtent l="0" t="0" r="444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B58B6D6" wp14:editId="056B0AB6">
            <wp:extent cx="2542540" cy="201803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8E2" w:rsidRDefault="00BD48E2" w:rsidP="00BD48E2">
      <w:r>
        <w:rPr>
          <w:noProof/>
        </w:rPr>
        <w:drawing>
          <wp:inline distT="0" distB="0" distL="0" distR="0" wp14:anchorId="768688DC" wp14:editId="223D4839">
            <wp:extent cx="2548255" cy="2011680"/>
            <wp:effectExtent l="0" t="0" r="4445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408868E" wp14:editId="761EB2E0">
            <wp:extent cx="2542540" cy="20116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8E2" w:rsidRDefault="00BD48E2" w:rsidP="00BD48E2">
      <w:r>
        <w:rPr>
          <w:noProof/>
        </w:rPr>
        <w:drawing>
          <wp:inline distT="0" distB="0" distL="0" distR="0" wp14:anchorId="12C12B8C" wp14:editId="17B04A31">
            <wp:extent cx="2548255" cy="2011680"/>
            <wp:effectExtent l="0" t="0" r="444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11AF358" wp14:editId="61F663FD">
            <wp:extent cx="2542540" cy="20116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FD5" w:rsidRPr="0039160E" w:rsidRDefault="00230B2D" w:rsidP="00E274DD">
      <w:pPr>
        <w:pStyle w:val="Heading1"/>
      </w:pPr>
      <w:r>
        <w:br w:type="page"/>
      </w:r>
      <w:r w:rsidR="00E274DD">
        <w:lastRenderedPageBreak/>
        <w:t>C.</w:t>
      </w:r>
      <w:r w:rsidR="00E274DD">
        <w:tab/>
        <w:t>F</w:t>
      </w:r>
      <w:r w:rsidR="00875FD5">
        <w:rPr>
          <w:rFonts w:cs="Arial"/>
        </w:rPr>
        <w:t xml:space="preserve">urther </w:t>
      </w:r>
      <w:r w:rsidR="00551D2D">
        <w:rPr>
          <w:rFonts w:cs="Arial"/>
        </w:rPr>
        <w:t>i</w:t>
      </w:r>
      <w:r w:rsidR="00875FD5">
        <w:rPr>
          <w:rFonts w:cs="Arial"/>
        </w:rPr>
        <w:t>nformation</w:t>
      </w:r>
      <w:r w:rsidR="00E274DD">
        <w:rPr>
          <w:rFonts w:cs="Arial"/>
        </w:rPr>
        <w:t xml:space="preserve"> on AQI</w:t>
      </w:r>
    </w:p>
    <w:p w:rsidR="00E324F3" w:rsidRDefault="0039160E" w:rsidP="00E324F3">
      <w:pPr>
        <w:pStyle w:val="Heading3"/>
      </w:pPr>
      <w:r>
        <w:t>C1.</w:t>
      </w:r>
      <w:r>
        <w:tab/>
      </w:r>
      <w:r w:rsidR="00E324F3">
        <w:t>Quality Statement</w:t>
      </w:r>
      <w:r w:rsidR="006817AD" w:rsidRPr="006817AD">
        <w:t xml:space="preserve"> </w:t>
      </w:r>
      <w:r w:rsidR="006817AD">
        <w:t>and</w:t>
      </w:r>
      <w:r w:rsidR="006817AD" w:rsidRPr="006817AD">
        <w:t xml:space="preserve"> </w:t>
      </w:r>
      <w:r w:rsidR="006817AD">
        <w:t>data specification</w:t>
      </w:r>
    </w:p>
    <w:p w:rsidR="00551D2D" w:rsidRDefault="00875FD5" w:rsidP="00551D2D">
      <w:pPr>
        <w:rPr>
          <w:rFonts w:cs="Arial"/>
        </w:rPr>
      </w:pPr>
      <w:r>
        <w:rPr>
          <w:rFonts w:cs="Arial"/>
        </w:rPr>
        <w:t xml:space="preserve">The </w:t>
      </w:r>
      <w:r w:rsidR="00E274DD" w:rsidRPr="007A138E">
        <w:t>Ambulance Quality Indicators</w:t>
      </w:r>
      <w:r w:rsidR="00E274DD">
        <w:t xml:space="preserve"> (</w:t>
      </w:r>
      <w:r>
        <w:rPr>
          <w:rFonts w:cs="Arial"/>
        </w:rPr>
        <w:t>AQI</w:t>
      </w:r>
      <w:r w:rsidR="00E274DD">
        <w:rPr>
          <w:rFonts w:cs="Arial"/>
        </w:rPr>
        <w:t>)</w:t>
      </w:r>
      <w:r>
        <w:rPr>
          <w:rFonts w:cs="Arial"/>
        </w:rPr>
        <w:t xml:space="preserve"> landing page </w:t>
      </w:r>
      <w:r w:rsidR="00551D2D">
        <w:rPr>
          <w:rFonts w:cs="Arial"/>
        </w:rPr>
        <w:t>holds the specification guidanc</w:t>
      </w:r>
      <w:r w:rsidR="00775632">
        <w:rPr>
          <w:rFonts w:cs="Arial"/>
        </w:rPr>
        <w:t>e for those who supply the data:</w:t>
      </w:r>
    </w:p>
    <w:p w:rsidR="00775632" w:rsidRDefault="006272D8" w:rsidP="00775632">
      <w:pPr>
        <w:rPr>
          <w:rFonts w:cs="Arial"/>
        </w:rPr>
      </w:pPr>
      <w:hyperlink r:id="rId20" w:history="1">
        <w:r w:rsidR="00E274DD" w:rsidRPr="00C33A47">
          <w:rPr>
            <w:rStyle w:val="Hyperlink"/>
            <w:rFonts w:cs="Arial"/>
          </w:rPr>
          <w:t>www.england.nhs.uk/statistics/statistical-work-areas/ambulance-quality-indicators</w:t>
        </w:r>
      </w:hyperlink>
      <w:r w:rsidR="00775632" w:rsidRPr="00775632">
        <w:rPr>
          <w:rFonts w:cs="Arial"/>
        </w:rPr>
        <w:t xml:space="preserve"> </w:t>
      </w:r>
    </w:p>
    <w:p w:rsidR="0036445B" w:rsidRDefault="00775632" w:rsidP="00775632">
      <w:pPr>
        <w:rPr>
          <w:rFonts w:cs="Arial"/>
        </w:rPr>
      </w:pPr>
      <w:r>
        <w:rPr>
          <w:rFonts w:cs="Arial"/>
        </w:rPr>
        <w:t xml:space="preserve">This web page also holds </w:t>
      </w:r>
      <w:r w:rsidRPr="00875FD5">
        <w:rPr>
          <w:rFonts w:cs="Arial"/>
        </w:rPr>
        <w:t>a Quality Statement</w:t>
      </w:r>
      <w:r>
        <w:rPr>
          <w:rFonts w:cs="Arial"/>
        </w:rPr>
        <w:t xml:space="preserve"> for these statistics</w:t>
      </w:r>
      <w:r w:rsidR="0036445B">
        <w:rPr>
          <w:rFonts w:cs="Arial"/>
        </w:rPr>
        <w:t xml:space="preserve">, </w:t>
      </w:r>
      <w:r w:rsidR="006817AD">
        <w:rPr>
          <w:rFonts w:cs="Arial"/>
        </w:rPr>
        <w:t>which includes</w:t>
      </w:r>
      <w:r w:rsidR="0036445B">
        <w:rPr>
          <w:rFonts w:cs="Arial"/>
        </w:rPr>
        <w:t xml:space="preserve"> information on relevance, accuracy, timelines</w:t>
      </w:r>
      <w:r w:rsidR="006817AD">
        <w:rPr>
          <w:rFonts w:cs="Arial"/>
        </w:rPr>
        <w:t xml:space="preserve">s, </w:t>
      </w:r>
      <w:r w:rsidR="0036445B">
        <w:rPr>
          <w:rFonts w:cs="Arial"/>
        </w:rPr>
        <w:t>coherence</w:t>
      </w:r>
      <w:r>
        <w:rPr>
          <w:rFonts w:cs="Arial"/>
        </w:rPr>
        <w:t xml:space="preserve">, </w:t>
      </w:r>
      <w:r w:rsidR="006817AD">
        <w:rPr>
          <w:rFonts w:cs="Arial"/>
        </w:rPr>
        <w:t xml:space="preserve">and </w:t>
      </w:r>
      <w:r>
        <w:rPr>
          <w:rFonts w:cs="Arial"/>
        </w:rPr>
        <w:t>user engagement.</w:t>
      </w:r>
    </w:p>
    <w:p w:rsidR="00775632" w:rsidRDefault="0036445B" w:rsidP="00775632">
      <w:pPr>
        <w:rPr>
          <w:rFonts w:cs="Arial"/>
        </w:rPr>
      </w:pPr>
      <w:r>
        <w:rPr>
          <w:rFonts w:cs="Arial"/>
        </w:rPr>
        <w:t xml:space="preserve">The </w:t>
      </w:r>
      <w:r w:rsidR="006817AD">
        <w:rPr>
          <w:rFonts w:cs="Arial"/>
        </w:rPr>
        <w:t xml:space="preserve">web </w:t>
      </w:r>
      <w:r>
        <w:rPr>
          <w:rFonts w:cs="Arial"/>
        </w:rPr>
        <w:t>page also holds t</w:t>
      </w:r>
      <w:r w:rsidR="00775632">
        <w:rPr>
          <w:rFonts w:cs="Arial"/>
        </w:rPr>
        <w:t xml:space="preserve">ext files and </w:t>
      </w:r>
      <w:r w:rsidR="00775632" w:rsidRPr="00875FD5">
        <w:rPr>
          <w:rFonts w:cs="Arial"/>
        </w:rPr>
        <w:t>time series spreadsheets</w:t>
      </w:r>
      <w:r w:rsidR="00775632">
        <w:rPr>
          <w:rFonts w:cs="Arial"/>
        </w:rPr>
        <w:t xml:space="preserve"> containing all </w:t>
      </w:r>
      <w:r w:rsidR="00775632" w:rsidRPr="00875FD5">
        <w:rPr>
          <w:rFonts w:cs="Arial"/>
        </w:rPr>
        <w:t xml:space="preserve">data </w:t>
      </w:r>
      <w:r w:rsidR="00775632">
        <w:rPr>
          <w:rFonts w:cs="Arial"/>
        </w:rPr>
        <w:t xml:space="preserve">from </w:t>
      </w:r>
      <w:r w:rsidR="00775632" w:rsidRPr="00875FD5">
        <w:rPr>
          <w:rFonts w:cs="Arial"/>
        </w:rPr>
        <w:t>April 2011</w:t>
      </w:r>
      <w:r w:rsidR="00775632">
        <w:rPr>
          <w:rFonts w:cs="Arial"/>
        </w:rPr>
        <w:t xml:space="preserve"> </w:t>
      </w:r>
      <w:r>
        <w:rPr>
          <w:rFonts w:cs="Arial"/>
        </w:rPr>
        <w:t xml:space="preserve">up </w:t>
      </w:r>
      <w:r w:rsidR="00775632">
        <w:rPr>
          <w:rFonts w:cs="Arial"/>
        </w:rPr>
        <w:t>to the latest month.</w:t>
      </w:r>
    </w:p>
    <w:p w:rsidR="00A4253D" w:rsidRDefault="00E324F3" w:rsidP="00875FD5">
      <w:pPr>
        <w:pStyle w:val="Heading3"/>
      </w:pPr>
      <w:r>
        <w:t>C2.</w:t>
      </w:r>
      <w:r>
        <w:tab/>
      </w:r>
      <w:r w:rsidR="00335EE6">
        <w:t>Revisions</w:t>
      </w:r>
    </w:p>
    <w:p w:rsidR="006817AD" w:rsidRDefault="006817AD" w:rsidP="006817AD">
      <w:r>
        <w:t>The Quality Statement above contains more information on the revisions policy. In general, f</w:t>
      </w:r>
      <w:r w:rsidRPr="005538AF">
        <w:t>uture revisions will be made on a six-monthly cycle</w:t>
      </w:r>
      <w:r>
        <w:t>, starting with revisions to the April to August 2014 Systems Indicators on 31 October 2014. However, we hope to include</w:t>
      </w:r>
      <w:r w:rsidR="006272D8">
        <w:t>,</w:t>
      </w:r>
      <w:r>
        <w:t xml:space="preserve"> </w:t>
      </w:r>
      <w:r w:rsidR="006272D8">
        <w:t>in our nex</w:t>
      </w:r>
      <w:r w:rsidR="006272D8">
        <w:t xml:space="preserve">t publication on 3 October 2014, </w:t>
      </w:r>
      <w:r>
        <w:t>the missing April 2014 London data</w:t>
      </w:r>
      <w:r w:rsidR="006272D8">
        <w:t>,</w:t>
      </w:r>
      <w:bookmarkStart w:id="2" w:name="_GoBack"/>
      <w:bookmarkEnd w:id="2"/>
      <w:r>
        <w:t xml:space="preserve"> for survival to dis</w:t>
      </w:r>
      <w:r w:rsidR="006272D8">
        <w:t>charge following cardiac arrest.</w:t>
      </w:r>
    </w:p>
    <w:p w:rsidR="006817AD" w:rsidRDefault="006817AD" w:rsidP="006817AD">
      <w:r>
        <w:t>Dates for previous revisions:</w:t>
      </w:r>
    </w:p>
    <w:p w:rsidR="000C2092" w:rsidRDefault="000C2092" w:rsidP="00875FD5">
      <w:pPr>
        <w:pStyle w:val="NoSpacing"/>
      </w:pPr>
      <w:r>
        <w:t>5 September 2014:</w:t>
      </w:r>
      <w:r>
        <w:tab/>
        <w:t>AmbCO April 2013 to March 2014</w:t>
      </w:r>
    </w:p>
    <w:p w:rsidR="00875FD5" w:rsidRPr="00875FD5" w:rsidRDefault="00875FD5" w:rsidP="00875FD5">
      <w:pPr>
        <w:pStyle w:val="NoSpacing"/>
      </w:pPr>
      <w:r w:rsidRPr="00875FD5">
        <w:t>2 May 2014</w:t>
      </w:r>
      <w:r w:rsidR="007B2D4E">
        <w:t>:</w:t>
      </w:r>
      <w:r w:rsidRPr="00875FD5">
        <w:tab/>
      </w:r>
      <w:r>
        <w:tab/>
      </w:r>
      <w:r w:rsidRPr="00875FD5">
        <w:t>AmbSYS April 2013 to February 2014</w:t>
      </w:r>
    </w:p>
    <w:p w:rsidR="00875FD5" w:rsidRPr="00875FD5" w:rsidRDefault="00875FD5" w:rsidP="00875FD5">
      <w:pPr>
        <w:pStyle w:val="NoSpacing"/>
      </w:pPr>
      <w:r w:rsidRPr="00875FD5">
        <w:t>7 March 2014</w:t>
      </w:r>
      <w:r w:rsidR="007B2D4E">
        <w:t>:</w:t>
      </w:r>
      <w:r w:rsidRPr="00875FD5">
        <w:tab/>
        <w:t>AmbCO April 2013 to September 2013</w:t>
      </w:r>
    </w:p>
    <w:p w:rsidR="00875FD5" w:rsidRPr="00875FD5" w:rsidRDefault="00875FD5" w:rsidP="00875FD5">
      <w:pPr>
        <w:pStyle w:val="NoSpacing"/>
      </w:pPr>
      <w:r w:rsidRPr="00875FD5">
        <w:t>1 November 2013</w:t>
      </w:r>
      <w:r w:rsidR="007B2D4E">
        <w:t>:</w:t>
      </w:r>
      <w:r w:rsidRPr="00875FD5">
        <w:tab/>
        <w:t>AmbSYS April 2013 to August 2013</w:t>
      </w:r>
    </w:p>
    <w:p w:rsidR="00875FD5" w:rsidRPr="00875FD5" w:rsidRDefault="00875FD5" w:rsidP="00875FD5">
      <w:pPr>
        <w:pStyle w:val="NoSpacing"/>
      </w:pPr>
      <w:r w:rsidRPr="00875FD5">
        <w:t>2 August 2013</w:t>
      </w:r>
      <w:r w:rsidR="007B2D4E">
        <w:t>:</w:t>
      </w:r>
      <w:r w:rsidRPr="00875FD5">
        <w:tab/>
        <w:t>AmbCO April 2012 to March 2013</w:t>
      </w:r>
    </w:p>
    <w:p w:rsidR="00875FD5" w:rsidRPr="00875FD5" w:rsidRDefault="007B2D4E" w:rsidP="00875FD5">
      <w:pPr>
        <w:pStyle w:val="NoSpacing"/>
      </w:pPr>
      <w:r>
        <w:t>3 May 2013:</w:t>
      </w:r>
      <w:r>
        <w:tab/>
      </w:r>
      <w:r w:rsidR="00875FD5">
        <w:tab/>
      </w:r>
      <w:r w:rsidR="00875FD5" w:rsidRPr="00875FD5">
        <w:t>AmbSYS April 2012 to March 2013</w:t>
      </w:r>
    </w:p>
    <w:p w:rsidR="00875FD5" w:rsidRPr="00875FD5" w:rsidRDefault="00875FD5" w:rsidP="00875FD5">
      <w:pPr>
        <w:pStyle w:val="NoSpacing"/>
      </w:pPr>
      <w:r w:rsidRPr="00875FD5">
        <w:t>1 February 2013</w:t>
      </w:r>
      <w:r w:rsidR="007B2D4E">
        <w:t>:</w:t>
      </w:r>
      <w:r w:rsidRPr="00875FD5">
        <w:tab/>
        <w:t>AmbCO April 2012 to</w:t>
      </w:r>
      <w:r>
        <w:t xml:space="preserve"> </w:t>
      </w:r>
      <w:r w:rsidRPr="00875FD5">
        <w:t>August 2012</w:t>
      </w:r>
    </w:p>
    <w:p w:rsidR="00875FD5" w:rsidRPr="00875FD5" w:rsidRDefault="00875FD5" w:rsidP="00875FD5">
      <w:pPr>
        <w:pStyle w:val="NoSpacing"/>
      </w:pPr>
      <w:r w:rsidRPr="00875FD5">
        <w:t>11 January 2013</w:t>
      </w:r>
      <w:r w:rsidR="007B2D4E">
        <w:t>:</w:t>
      </w:r>
      <w:r w:rsidRPr="00875FD5">
        <w:tab/>
        <w:t>AmbSYS April 2011 to</w:t>
      </w:r>
      <w:r>
        <w:t xml:space="preserve"> </w:t>
      </w:r>
      <w:r w:rsidRPr="00875FD5">
        <w:t>October 2012</w:t>
      </w:r>
    </w:p>
    <w:p w:rsidR="00875FD5" w:rsidRDefault="00875FD5" w:rsidP="00E324F3">
      <w:r w:rsidRPr="00875FD5">
        <w:t>31 August 2012</w:t>
      </w:r>
      <w:r w:rsidR="007B2D4E">
        <w:t>:</w:t>
      </w:r>
      <w:r w:rsidRPr="00875FD5">
        <w:tab/>
        <w:t>AmbCO April 2011 to</w:t>
      </w:r>
      <w:r>
        <w:t xml:space="preserve"> </w:t>
      </w:r>
      <w:r w:rsidRPr="00875FD5">
        <w:t>March 2012</w:t>
      </w:r>
    </w:p>
    <w:p w:rsidR="0052145B" w:rsidRDefault="00E324F3" w:rsidP="00875FD5">
      <w:pPr>
        <w:pStyle w:val="Heading3"/>
      </w:pPr>
      <w:r>
        <w:t>C3.</w:t>
      </w:r>
      <w:r>
        <w:tab/>
      </w:r>
      <w:r w:rsidR="0052145B" w:rsidRPr="00335EE6">
        <w:t xml:space="preserve">Related </w:t>
      </w:r>
      <w:r w:rsidR="005C1BA6">
        <w:t>statistics in England</w:t>
      </w:r>
    </w:p>
    <w:p w:rsidR="00E274DD" w:rsidRDefault="005C1BA6" w:rsidP="00E274DD">
      <w:r>
        <w:t xml:space="preserve">The AQI appear </w:t>
      </w:r>
      <w:r w:rsidR="00E274DD">
        <w:t xml:space="preserve">in </w:t>
      </w:r>
      <w:r w:rsidR="000C2092">
        <w:t xml:space="preserve">a Clinical Dashboard, available from </w:t>
      </w:r>
      <w:hyperlink r:id="rId21" w:history="1">
        <w:r w:rsidR="00E274DD" w:rsidRPr="000772FB">
          <w:rPr>
            <w:rStyle w:val="Hyperlink"/>
            <w:lang w:eastAsia="en-US"/>
          </w:rPr>
          <w:t>http://aace.org.uk/national-performance/national-clinical-dashboards</w:t>
        </w:r>
      </w:hyperlink>
      <w:r w:rsidR="000C2092">
        <w:rPr>
          <w:rStyle w:val="Hyperlink"/>
          <w:lang w:eastAsia="en-US"/>
        </w:rPr>
        <w:t>,</w:t>
      </w:r>
      <w:r w:rsidRPr="005C1BA6">
        <w:t xml:space="preserve"> </w:t>
      </w:r>
      <w:r>
        <w:t>and the websites of most Ambulance Trusts.</w:t>
      </w:r>
      <w:r w:rsidR="007B2D4E">
        <w:t xml:space="preserve"> </w:t>
      </w:r>
      <w:r w:rsidR="00E274DD" w:rsidRPr="000D14CB">
        <w:t>One of the aims of the</w:t>
      </w:r>
      <w:r>
        <w:t>se</w:t>
      </w:r>
      <w:r w:rsidR="00E274DD" w:rsidRPr="000D14CB">
        <w:t xml:space="preserve"> </w:t>
      </w:r>
      <w:r>
        <w:t>D</w:t>
      </w:r>
      <w:r w:rsidR="00E274DD" w:rsidRPr="000D14CB">
        <w:t>ashboard</w:t>
      </w:r>
      <w:r>
        <w:t>s</w:t>
      </w:r>
      <w:r w:rsidR="00E274DD" w:rsidRPr="000D14CB">
        <w:t xml:space="preserve"> is to use statistical process control</w:t>
      </w:r>
      <w:r w:rsidR="000C2092">
        <w:t>,</w:t>
      </w:r>
      <w:r w:rsidR="00E274DD" w:rsidRPr="000D14CB">
        <w:t xml:space="preserve"> to indicate whether variation in performance reflects underlying change</w:t>
      </w:r>
      <w:r w:rsidR="000C2092">
        <w:t>,</w:t>
      </w:r>
      <w:r w:rsidR="00E274DD" w:rsidRPr="000D14CB">
        <w:t xml:space="preserve"> or merely natural variance, unavoidable even when a health system is performing well.</w:t>
      </w:r>
    </w:p>
    <w:p w:rsidR="005C1BA6" w:rsidRPr="000D14CB" w:rsidRDefault="005C1BA6" w:rsidP="00E274DD">
      <w:r>
        <w:t xml:space="preserve">The AQI </w:t>
      </w:r>
      <w:r w:rsidR="007B2D4E">
        <w:t xml:space="preserve">also </w:t>
      </w:r>
      <w:r>
        <w:t xml:space="preserve">appear in the </w:t>
      </w:r>
      <w:r w:rsidR="007B2D4E">
        <w:t xml:space="preserve">latest </w:t>
      </w:r>
      <w:r>
        <w:t xml:space="preserve">annual KA34 publication </w:t>
      </w:r>
      <w:hyperlink r:id="rId22" w:history="1">
        <w:r w:rsidR="007B2D4E" w:rsidRPr="00C33A47">
          <w:rPr>
            <w:rStyle w:val="Hyperlink"/>
          </w:rPr>
          <w:t>www.hscic.gov.uk/article/2021/Website-Search?productid=15165</w:t>
        </w:r>
      </w:hyperlink>
      <w:r w:rsidR="007B2D4E">
        <w:t xml:space="preserve"> by the Health and Social Care Information Centre. The KA34 was a set of similar Systems</w:t>
      </w:r>
      <w:r w:rsidR="000C2092">
        <w:t xml:space="preserve"> Indicators</w:t>
      </w:r>
      <w:r w:rsidR="007B2D4E">
        <w:t xml:space="preserve">, not quite comparable with the </w:t>
      </w:r>
      <w:proofErr w:type="gramStart"/>
      <w:r w:rsidR="007B2D4E">
        <w:t>AQI, that</w:t>
      </w:r>
      <w:proofErr w:type="gramEnd"/>
      <w:r w:rsidR="007B2D4E">
        <w:t xml:space="preserve"> </w:t>
      </w:r>
      <w:r w:rsidR="000C2092">
        <w:t xml:space="preserve">ceased collection </w:t>
      </w:r>
      <w:r w:rsidR="007B2D4E">
        <w:t xml:space="preserve">in March 2013. </w:t>
      </w:r>
      <w:r w:rsidR="006817AD">
        <w:t xml:space="preserve">The Quality Statement </w:t>
      </w:r>
      <w:r w:rsidR="007B2D4E">
        <w:t>above</w:t>
      </w:r>
      <w:r w:rsidR="006817AD">
        <w:t xml:space="preserve"> contains more information</w:t>
      </w:r>
      <w:r w:rsidR="007B2D4E">
        <w:t>.</w:t>
      </w:r>
    </w:p>
    <w:p w:rsidR="00E274DD" w:rsidRDefault="00E274DD" w:rsidP="00230B2D">
      <w:pPr>
        <w:pStyle w:val="NoSpacing"/>
      </w:pPr>
      <w:r w:rsidRPr="005538AF">
        <w:lastRenderedPageBreak/>
        <w:t xml:space="preserve">Data </w:t>
      </w:r>
      <w:r>
        <w:t xml:space="preserve">from </w:t>
      </w:r>
      <w:r w:rsidRPr="005538AF">
        <w:t>8 November 2010 to 29 May 2011</w:t>
      </w:r>
      <w:r w:rsidRPr="00E274DD">
        <w:t xml:space="preserve"> </w:t>
      </w:r>
      <w:r w:rsidRPr="005538AF">
        <w:t xml:space="preserve">were collected </w:t>
      </w:r>
      <w:r>
        <w:t>in</w:t>
      </w:r>
      <w:r w:rsidRPr="005538AF">
        <w:t xml:space="preserve"> Weekly Situation Reports</w:t>
      </w:r>
      <w:r w:rsidR="0036445B">
        <w:t>, including</w:t>
      </w:r>
      <w:r>
        <w:t>:</w:t>
      </w:r>
    </w:p>
    <w:p w:rsidR="0036445B" w:rsidRPr="0036445B" w:rsidRDefault="005C1BA6" w:rsidP="00E274DD">
      <w:pPr>
        <w:pStyle w:val="ListBullet"/>
        <w:rPr>
          <w:b/>
        </w:rPr>
      </w:pPr>
      <w:r>
        <w:t>C</w:t>
      </w:r>
      <w:r w:rsidR="00096A9C" w:rsidRPr="005538AF">
        <w:t xml:space="preserve">ategory A and </w:t>
      </w:r>
      <w:r>
        <w:t>C</w:t>
      </w:r>
      <w:r w:rsidR="00096A9C" w:rsidRPr="005538AF">
        <w:t xml:space="preserve">ategory B calls made </w:t>
      </w:r>
      <w:r>
        <w:t>to ambulance trusts in England;</w:t>
      </w:r>
    </w:p>
    <w:p w:rsidR="0036445B" w:rsidRPr="0036445B" w:rsidRDefault="005C1BA6" w:rsidP="00E274DD">
      <w:pPr>
        <w:pStyle w:val="ListBullet"/>
        <w:rPr>
          <w:b/>
        </w:rPr>
      </w:pPr>
      <w:r>
        <w:t>o</w:t>
      </w:r>
      <w:r w:rsidR="00096A9C" w:rsidRPr="005538AF">
        <w:t>f th</w:t>
      </w:r>
      <w:r>
        <w:t>o</w:t>
      </w:r>
      <w:r w:rsidR="00096A9C" w:rsidRPr="005538AF">
        <w:t xml:space="preserve">se </w:t>
      </w:r>
      <w:r>
        <w:t xml:space="preserve">calls, </w:t>
      </w:r>
      <w:r w:rsidR="00096A9C" w:rsidRPr="005538AF">
        <w:t>how many were responded to within 8 minutes (category</w:t>
      </w:r>
      <w:r w:rsidR="00E274DD">
        <w:t xml:space="preserve"> A) or 19 minutes (category B)</w:t>
      </w:r>
      <w:r>
        <w:t>;</w:t>
      </w:r>
    </w:p>
    <w:p w:rsidR="0036445B" w:rsidRPr="0036445B" w:rsidRDefault="00096A9C" w:rsidP="00E274DD">
      <w:pPr>
        <w:pStyle w:val="ListBullet"/>
        <w:rPr>
          <w:b/>
        </w:rPr>
      </w:pPr>
      <w:r w:rsidRPr="005538AF">
        <w:t>the number o</w:t>
      </w:r>
      <w:r w:rsidR="00E274DD">
        <w:t>f urgent and emergency journeys</w:t>
      </w:r>
      <w:r w:rsidR="005C1BA6">
        <w:t>;</w:t>
      </w:r>
    </w:p>
    <w:p w:rsidR="00096A9C" w:rsidRPr="0036445B" w:rsidRDefault="00096A9C" w:rsidP="00E274DD">
      <w:pPr>
        <w:pStyle w:val="ListBullet"/>
        <w:rPr>
          <w:b/>
        </w:rPr>
      </w:pPr>
      <w:proofErr w:type="gramStart"/>
      <w:r w:rsidRPr="005538AF">
        <w:t>instances</w:t>
      </w:r>
      <w:proofErr w:type="gramEnd"/>
      <w:r w:rsidRPr="005538AF">
        <w:t xml:space="preserve"> of delayed handover to A&amp;E s</w:t>
      </w:r>
      <w:r w:rsidR="0053124D" w:rsidRPr="005538AF">
        <w:t>taff.</w:t>
      </w:r>
    </w:p>
    <w:p w:rsidR="0036445B" w:rsidRDefault="0036445B" w:rsidP="0036445B">
      <w:r>
        <w:t xml:space="preserve">These are available at </w:t>
      </w:r>
      <w:hyperlink r:id="rId23" w:history="1">
        <w:r w:rsidRPr="005C1BA6">
          <w:rPr>
            <w:rStyle w:val="Hyperlink"/>
            <w:rFonts w:cs="Arial"/>
          </w:rPr>
          <w:t>http://webarchive.nationalarchives.gov.uk/</w:t>
        </w:r>
      </w:hyperlink>
      <w:r w:rsidRPr="005C1BA6">
        <w:br/>
      </w:r>
      <w:hyperlink r:id="rId24" w:history="1">
        <w:r w:rsidRPr="005C1BA6">
          <w:rPr>
            <w:rStyle w:val="Hyperlink"/>
            <w:rFonts w:cs="Arial"/>
          </w:rPr>
          <w:t>20130107105354/http://www.dh.gov.uk/en/Publicationsandstatistics/Statistics/Performancedataandstatistics/WeeklySituationReports/DH_128506</w:t>
        </w:r>
      </w:hyperlink>
      <w:r>
        <w:rPr>
          <w:rStyle w:val="Hyperlink"/>
          <w:rFonts w:cs="Arial"/>
        </w:rPr>
        <w:t>.</w:t>
      </w:r>
    </w:p>
    <w:p w:rsidR="005C1BA6" w:rsidRDefault="005C1BA6" w:rsidP="005C1BA6">
      <w:pPr>
        <w:pStyle w:val="Heading3"/>
      </w:pPr>
      <w:r>
        <w:t>C4.</w:t>
      </w:r>
      <w:r>
        <w:tab/>
        <w:t>Rest of UK</w:t>
      </w:r>
    </w:p>
    <w:p w:rsidR="00096A9C" w:rsidRDefault="005C1BA6" w:rsidP="005538AF">
      <w:pPr>
        <w:rPr>
          <w:rFonts w:cs="Arial"/>
        </w:rPr>
      </w:pPr>
      <w:r>
        <w:rPr>
          <w:rFonts w:cs="Arial"/>
        </w:rPr>
        <w:t xml:space="preserve">Other </w:t>
      </w:r>
      <w:r w:rsidR="00096A9C" w:rsidRPr="005538AF">
        <w:rPr>
          <w:rFonts w:cs="Arial"/>
        </w:rPr>
        <w:t xml:space="preserve">ambulance </w:t>
      </w:r>
      <w:r w:rsidRPr="005538AF">
        <w:rPr>
          <w:rFonts w:cs="Arial"/>
        </w:rPr>
        <w:t xml:space="preserve">statistics </w:t>
      </w:r>
      <w:r w:rsidR="00096A9C" w:rsidRPr="005538AF">
        <w:rPr>
          <w:rFonts w:cs="Arial"/>
        </w:rPr>
        <w:t>can be found at</w:t>
      </w:r>
      <w:r w:rsidR="0036445B">
        <w:rPr>
          <w:rFonts w:cs="Arial"/>
        </w:rPr>
        <w:t xml:space="preserve"> the following websites. The Quality Statement described in section C1 contains more information about the comparability of these statistics</w:t>
      </w:r>
      <w:r w:rsidR="00096A9C" w:rsidRPr="005538AF">
        <w:rPr>
          <w:rFonts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7B2D4E" w:rsidTr="000C2092">
        <w:trPr>
          <w:trHeight w:val="669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Wales</w:t>
            </w:r>
            <w:r w:rsidRPr="00151AF2">
              <w:t>:</w:t>
            </w:r>
          </w:p>
        </w:tc>
        <w:tc>
          <w:tcPr>
            <w:tcW w:w="7280" w:type="dxa"/>
          </w:tcPr>
          <w:p w:rsidR="007B2D4E" w:rsidRDefault="006272D8" w:rsidP="0039160E">
            <w:pPr>
              <w:pStyle w:val="NoSpacing"/>
            </w:pPr>
            <w:hyperlink r:id="rId25" w:history="1">
              <w:r w:rsidR="0039160E" w:rsidRPr="00C33A47">
                <w:rPr>
                  <w:rStyle w:val="Hyperlink"/>
                </w:rPr>
                <w:t>http://wales.gov.uk/statistics-and-research/ambulance-services/?lang=en</w:t>
              </w:r>
            </w:hyperlink>
          </w:p>
        </w:tc>
      </w:tr>
      <w:tr w:rsidR="007B2D4E" w:rsidTr="000C2092">
        <w:trPr>
          <w:trHeight w:val="693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Scotland</w:t>
            </w:r>
            <w:r>
              <w:t>:</w:t>
            </w:r>
          </w:p>
        </w:tc>
        <w:tc>
          <w:tcPr>
            <w:tcW w:w="7280" w:type="dxa"/>
          </w:tcPr>
          <w:p w:rsidR="007B2D4E" w:rsidRDefault="0039160E" w:rsidP="0039160E">
            <w:pPr>
              <w:pStyle w:val="NoSpacing"/>
            </w:pPr>
            <w:r>
              <w:t xml:space="preserve">See </w:t>
            </w:r>
            <w:r>
              <w:rPr>
                <w:lang w:eastAsia="en-US"/>
              </w:rPr>
              <w:t>Quality Improvement Indicators (QII) documents at</w:t>
            </w:r>
            <w:r>
              <w:t xml:space="preserve"> </w:t>
            </w:r>
            <w:hyperlink r:id="rId26" w:history="1">
              <w:r w:rsidRPr="0042008D">
                <w:rPr>
                  <w:rStyle w:val="Hyperlink"/>
                  <w:lang w:eastAsia="en-US"/>
                </w:rPr>
                <w:t>www.scottishambulance.com/TheService/BoardPapers.aspx</w:t>
              </w:r>
            </w:hyperlink>
          </w:p>
        </w:tc>
      </w:tr>
      <w:tr w:rsidR="007B2D4E" w:rsidTr="000C2092"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Northern Ireland</w:t>
            </w:r>
            <w:r>
              <w:t>:</w:t>
            </w:r>
          </w:p>
        </w:tc>
        <w:tc>
          <w:tcPr>
            <w:tcW w:w="7280" w:type="dxa"/>
          </w:tcPr>
          <w:p w:rsidR="007B2D4E" w:rsidRPr="0039160E" w:rsidRDefault="006272D8" w:rsidP="0039160E">
            <w:pPr>
              <w:pStyle w:val="NoSpacing"/>
              <w:rPr>
                <w:color w:val="0000FF"/>
                <w:u w:val="single"/>
                <w:lang w:eastAsia="en-US"/>
              </w:rPr>
            </w:pPr>
            <w:hyperlink r:id="rId27" w:history="1">
              <w:r w:rsidR="0039160E" w:rsidRPr="005A79FF">
                <w:rPr>
                  <w:rStyle w:val="Hyperlink"/>
                  <w:lang w:eastAsia="en-US"/>
                </w:rPr>
                <w:t>www.dhsspsni.gov.uk/index/stats_research/hospital-stats/emergency_care-3/emergency-care-stats.htm</w:t>
              </w:r>
            </w:hyperlink>
          </w:p>
        </w:tc>
      </w:tr>
    </w:tbl>
    <w:p w:rsidR="0052145B" w:rsidRPr="000D14CB" w:rsidRDefault="00E324F3" w:rsidP="0039160E">
      <w:pPr>
        <w:pStyle w:val="Heading3"/>
      </w:pPr>
      <w:r>
        <w:t>C</w:t>
      </w:r>
      <w:r w:rsidR="005C1BA6">
        <w:t>5</w:t>
      </w:r>
      <w:r>
        <w:t>.</w:t>
      </w:r>
      <w:r>
        <w:tab/>
      </w:r>
      <w:r w:rsidR="00E274DD">
        <w:t>C</w:t>
      </w:r>
      <w:r w:rsidR="000C2092">
        <w:t>ontact information</w:t>
      </w:r>
    </w:p>
    <w:p w:rsidR="00A4253D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 xml:space="preserve">For press enquiries, please contact the </w:t>
      </w:r>
      <w:r w:rsidR="00144A92">
        <w:rPr>
          <w:rFonts w:cs="Arial"/>
        </w:rPr>
        <w:t xml:space="preserve">NHS England </w:t>
      </w:r>
      <w:r w:rsidRPr="000F5B3F">
        <w:rPr>
          <w:rFonts w:cs="Arial"/>
        </w:rPr>
        <w:t>press office</w:t>
      </w:r>
      <w:r w:rsidR="00144A92">
        <w:rPr>
          <w:rFonts w:cs="Arial"/>
        </w:rPr>
        <w:t xml:space="preserve"> on 0113 825 0958 or </w:t>
      </w:r>
      <w:hyperlink r:id="rId28" w:history="1">
        <w:r w:rsidR="00144A92" w:rsidRPr="008369E4">
          <w:rPr>
            <w:rStyle w:val="Hyperlink"/>
            <w:rFonts w:cs="Arial"/>
          </w:rPr>
          <w:t>nhsengland.media@nhs.net</w:t>
        </w:r>
      </w:hyperlink>
      <w:r w:rsidR="00144A92">
        <w:rPr>
          <w:rFonts w:cs="Arial"/>
        </w:rPr>
        <w:t>.</w:t>
      </w:r>
    </w:p>
    <w:p w:rsidR="00A4253D" w:rsidRPr="000F5B3F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>The Government Statistical Service (GSS) statistician responsible for producing these data is:</w:t>
      </w:r>
    </w:p>
    <w:p w:rsidR="00C21149" w:rsidRDefault="00151AF2" w:rsidP="00C21149">
      <w:pPr>
        <w:pStyle w:val="NoSpacing"/>
      </w:pPr>
      <w:r w:rsidRPr="000F5B3F">
        <w:t>Ian Kay</w:t>
      </w:r>
      <w:r w:rsidR="00C21149">
        <w:t>,</w:t>
      </w:r>
      <w:r w:rsidR="00C21149" w:rsidRPr="00C21149">
        <w:t xml:space="preserve"> </w:t>
      </w:r>
      <w:r w:rsidR="00C21149" w:rsidRPr="000F5B3F">
        <w:t>Analytical Services (Operations)</w:t>
      </w:r>
      <w:r w:rsidR="00C21149">
        <w:t xml:space="preserve">, </w:t>
      </w:r>
      <w:r w:rsidR="00C21149" w:rsidRPr="000F5B3F">
        <w:t>NHS England</w:t>
      </w:r>
      <w:r w:rsidR="00C21149">
        <w:t xml:space="preserve">, </w:t>
      </w:r>
      <w:r w:rsidR="00C21149" w:rsidRPr="000F5B3F">
        <w:t xml:space="preserve">Room </w:t>
      </w:r>
      <w:r w:rsidR="00C21149">
        <w:t>5E24</w:t>
      </w:r>
      <w:r w:rsidR="00C21149" w:rsidRPr="000F5B3F">
        <w:t>, Quarry House, Leeds, LS2 7UE</w:t>
      </w:r>
    </w:p>
    <w:p w:rsidR="0053124D" w:rsidRPr="000F5B3F" w:rsidRDefault="0053124D" w:rsidP="00C21149">
      <w:pPr>
        <w:pStyle w:val="NoSpacing"/>
      </w:pPr>
      <w:r>
        <w:t>0113 824 9411</w:t>
      </w:r>
    </w:p>
    <w:p w:rsidR="00C21149" w:rsidRDefault="006272D8" w:rsidP="00C21149">
      <w:pPr>
        <w:pStyle w:val="NoSpacing"/>
      </w:pPr>
      <w:hyperlink r:id="rId29" w:history="1">
        <w:r w:rsidR="00C21149" w:rsidRPr="009A0418">
          <w:rPr>
            <w:rStyle w:val="Hyperlink"/>
          </w:rPr>
          <w:t>i.kay@nhs.net</w:t>
        </w:r>
      </w:hyperlink>
    </w:p>
    <w:sectPr w:rsidR="00C21149" w:rsidSect="00F84799">
      <w:footerReference w:type="default" r:id="rId3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8C" w:rsidRDefault="0059638C" w:rsidP="008C63D3">
      <w:r>
        <w:separator/>
      </w:r>
    </w:p>
  </w:endnote>
  <w:endnote w:type="continuationSeparator" w:id="0">
    <w:p w:rsidR="0059638C" w:rsidRDefault="0059638C" w:rsidP="008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8C" w:rsidRDefault="00AC3DAD" w:rsidP="00AC3DAD">
    <w:pPr>
      <w:pStyle w:val="Footer"/>
      <w:tabs>
        <w:tab w:val="clear" w:pos="9026"/>
        <w:tab w:val="left" w:pos="5025"/>
        <w:tab w:val="right" w:pos="8364"/>
      </w:tabs>
      <w:jc w:val="center"/>
    </w:pPr>
    <w:r>
      <w:t>NHS England AQI Statistical Note, 5 September 2014.</w:t>
    </w:r>
    <w:r>
      <w:tab/>
    </w:r>
    <w:r>
      <w:tab/>
    </w:r>
    <w:r w:rsidR="0059638C">
      <w:t xml:space="preserve">Page </w:t>
    </w:r>
    <w:r w:rsidR="009038ED">
      <w:fldChar w:fldCharType="begin"/>
    </w:r>
    <w:r w:rsidR="009038ED">
      <w:instrText xml:space="preserve"> PAGE   \* MERGEFORMAT </w:instrText>
    </w:r>
    <w:r w:rsidR="009038ED">
      <w:fldChar w:fldCharType="separate"/>
    </w:r>
    <w:r w:rsidR="006272D8">
      <w:rPr>
        <w:noProof/>
      </w:rPr>
      <w:t>10</w:t>
    </w:r>
    <w:r w:rsidR="009038ED">
      <w:rPr>
        <w:noProof/>
      </w:rPr>
      <w:fldChar w:fldCharType="end"/>
    </w:r>
    <w:r w:rsidR="0059638C">
      <w:rPr>
        <w:noProof/>
      </w:rPr>
      <w:t xml:space="preserve"> of </w:t>
    </w:r>
    <w:r w:rsidR="006272D8">
      <w:fldChar w:fldCharType="begin"/>
    </w:r>
    <w:r w:rsidR="006272D8">
      <w:instrText xml:space="preserve"> NU</w:instrText>
    </w:r>
    <w:r w:rsidR="006272D8">
      <w:instrText xml:space="preserve">MPAGES   \* MERGEFORMAT </w:instrText>
    </w:r>
    <w:r w:rsidR="006272D8">
      <w:fldChar w:fldCharType="separate"/>
    </w:r>
    <w:r w:rsidR="006272D8">
      <w:rPr>
        <w:noProof/>
      </w:rPr>
      <w:t>10</w:t>
    </w:r>
    <w:r w:rsidR="006272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8C" w:rsidRDefault="0059638C" w:rsidP="008C63D3">
      <w:r>
        <w:separator/>
      </w:r>
    </w:p>
  </w:footnote>
  <w:footnote w:type="continuationSeparator" w:id="0">
    <w:p w:rsidR="0059638C" w:rsidRDefault="0059638C" w:rsidP="008C63D3">
      <w:r>
        <w:continuationSeparator/>
      </w:r>
    </w:p>
  </w:footnote>
  <w:footnote w:id="1">
    <w:p w:rsidR="002C522F" w:rsidRPr="00735077" w:rsidRDefault="0059638C" w:rsidP="00526112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="001B68DB">
        <w:t xml:space="preserve">On 1 June 2012, </w:t>
      </w:r>
      <w:r w:rsidR="00DD21E6" w:rsidRPr="00340492">
        <w:t>Category A (immediately life-threatening)</w:t>
      </w:r>
      <w:r w:rsidR="00E043A8">
        <w:t xml:space="preserve"> </w:t>
      </w:r>
      <w:r w:rsidR="00526112">
        <w:t xml:space="preserve">calls were </w:t>
      </w:r>
      <w:r w:rsidR="00E043A8" w:rsidRPr="00E043A8">
        <w:t xml:space="preserve">split into </w:t>
      </w:r>
      <w:r w:rsidR="00D3262A">
        <w:t>Red 1 and Red 2</w:t>
      </w:r>
      <w:r w:rsidR="00526112">
        <w:t xml:space="preserve">. </w:t>
      </w:r>
      <w:r w:rsidRPr="00340492">
        <w:t>Red 1 calls are the most time critical, and cover cardiac arrest patients who are not breathing and do not have a pulse, and other severe conditions such as airway obstruction. Red 2 calls are serious, but less immediately time critical, and cover conditions such as stroke and fits</w:t>
      </w:r>
      <w:r w:rsidR="00E043A8">
        <w:t>.</w:t>
      </w:r>
      <w:r w:rsidR="00B71432">
        <w:t xml:space="preserve"> </w:t>
      </w:r>
      <w:hyperlink r:id="rId1" w:history="1">
        <w:r w:rsidRPr="00340492">
          <w:rPr>
            <w:rStyle w:val="Hyperlink"/>
            <w:rFonts w:cs="Arial"/>
            <w:szCs w:val="20"/>
          </w:rPr>
          <w:t>www.gov.uk/government/news/changes-to-ambulance-response-time-categories</w:t>
        </w:r>
      </w:hyperlink>
    </w:p>
  </w:footnote>
  <w:footnote w:id="2">
    <w:p w:rsidR="00396DD4" w:rsidRDefault="00396DD4" w:rsidP="00775632">
      <w:pPr>
        <w:pStyle w:val="Footer"/>
      </w:pPr>
      <w:r>
        <w:rPr>
          <w:rStyle w:val="FootnoteReference"/>
        </w:rPr>
        <w:footnoteRef/>
      </w:r>
      <w:r>
        <w:t xml:space="preserve"> The standards for Ambulance response times are in the </w:t>
      </w:r>
      <w:r w:rsidRPr="000F3EC8">
        <w:t xml:space="preserve">Handbook to the NHS Constitution </w:t>
      </w:r>
      <w:r>
        <w:t xml:space="preserve">at </w:t>
      </w:r>
      <w:hyperlink r:id="rId2" w:history="1">
        <w:r w:rsidRPr="00CD4562">
          <w:rPr>
            <w:rStyle w:val="Hyperlink"/>
            <w:lang w:eastAsia="en-US"/>
          </w:rPr>
          <w:t>www.nhs.uk/choiceintheNHS/Rightsandpledges/NHSConstitution/Pages/Overview.aspx</w:t>
        </w:r>
      </w:hyperlink>
      <w:r>
        <w:rPr>
          <w:rStyle w:val="Hyperlink"/>
          <w:lang w:eastAsia="en-US"/>
        </w:rPr>
        <w:t>.</w:t>
      </w:r>
    </w:p>
  </w:footnote>
  <w:footnote w:id="3">
    <w:p w:rsidR="002C522F" w:rsidRDefault="002C522F" w:rsidP="0077563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Clock definitions appear in the specification guidance for data suppliers on the AQI landing page </w:t>
      </w:r>
      <w:r w:rsidR="00ED3F78">
        <w:t xml:space="preserve">at </w:t>
      </w:r>
      <w:hyperlink r:id="rId3" w:history="1">
        <w:r w:rsidR="00ED3F78" w:rsidRPr="00C33A47">
          <w:rPr>
            <w:rStyle w:val="Hyperlink"/>
          </w:rPr>
          <w:t>www.england.nhs.uk/statistics/statistical-work-areas/ambulance-quality-indicators</w:t>
        </w:r>
      </w:hyperlink>
      <w:r w:rsidR="00ED3F78">
        <w:t>.</w:t>
      </w:r>
    </w:p>
  </w:footnote>
  <w:footnote w:id="4">
    <w:p w:rsidR="00775632" w:rsidRDefault="00C21149" w:rsidP="00775632">
      <w:pPr>
        <w:pStyle w:val="FootnoteText"/>
        <w:spacing w:after="0"/>
      </w:pPr>
      <w:r>
        <w:rPr>
          <w:rStyle w:val="FootnoteReference"/>
        </w:rPr>
        <w:footnoteRef/>
      </w:r>
      <w:r w:rsidR="005239BD">
        <w:t xml:space="preserve"> Type 1 A&amp;E means consultant-led 24 hour emergency departments with</w:t>
      </w:r>
      <w:r w:rsidR="00775632">
        <w:t xml:space="preserve"> full resuscitation facilities.</w:t>
      </w:r>
    </w:p>
    <w:p w:rsidR="00775632" w:rsidRDefault="005239BD" w:rsidP="00775632">
      <w:pPr>
        <w:pStyle w:val="FootnoteText"/>
        <w:spacing w:after="0"/>
      </w:pPr>
      <w:r>
        <w:t>Type 2 offer a consultant-led speciality A&amp;E service such as ophthalmolog</w:t>
      </w:r>
      <w:r w:rsidR="00775632">
        <w:t>y or dental.</w:t>
      </w:r>
    </w:p>
    <w:p w:rsidR="00775632" w:rsidRDefault="005239BD" w:rsidP="00775632">
      <w:pPr>
        <w:pStyle w:val="FootnoteText"/>
        <w:spacing w:after="0"/>
      </w:pPr>
      <w:r>
        <w:t xml:space="preserve">Type 3 are </w:t>
      </w:r>
      <w:r w:rsidRPr="005239BD">
        <w:t xml:space="preserve">A&amp;E/minor injury </w:t>
      </w:r>
      <w:r>
        <w:t>activity that may be doctor-led or nurse-led</w:t>
      </w:r>
      <w:r w:rsidR="00775632">
        <w:t>.</w:t>
      </w:r>
    </w:p>
    <w:p w:rsidR="00C21149" w:rsidRDefault="005239BD" w:rsidP="00775632">
      <w:pPr>
        <w:pStyle w:val="FootnoteText"/>
        <w:spacing w:after="0"/>
      </w:pPr>
      <w:r>
        <w:t xml:space="preserve">Type 4 are NHS walk-in centres. </w:t>
      </w:r>
      <w:hyperlink r:id="rId4" w:history="1">
        <w:r w:rsidRPr="005239BD">
          <w:rPr>
            <w:rStyle w:val="Hyperlink"/>
          </w:rPr>
          <w:t>www.datadictionary.nhs.uk/data_dictionary/attributes/a/acc/</w:t>
        </w:r>
      </w:hyperlink>
      <w:r>
        <w:br/>
      </w:r>
      <w:hyperlink r:id="rId5" w:history="1">
        <w:r w:rsidRPr="005239BD">
          <w:rPr>
            <w:rStyle w:val="Hyperlink"/>
          </w:rPr>
          <w:t>accident_and_emergency_department_type_de.asp</w:t>
        </w:r>
      </w:hyperlink>
    </w:p>
  </w:footnote>
  <w:footnote w:id="5">
    <w:p w:rsidR="00871ADB" w:rsidRDefault="00871ADB" w:rsidP="0077563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Excluding Isle of Wight.</w:t>
      </w:r>
    </w:p>
  </w:footnote>
  <w:footnote w:id="6">
    <w:p w:rsidR="00BD48E2" w:rsidRDefault="00BD48E2" w:rsidP="00BD48E2">
      <w:pPr>
        <w:pStyle w:val="Footer"/>
      </w:pPr>
      <w:r>
        <w:rPr>
          <w:rStyle w:val="FootnoteReference"/>
        </w:rPr>
        <w:footnoteRef/>
      </w:r>
      <w:r>
        <w:t xml:space="preserve"> Excluding Isle of Wight.</w:t>
      </w:r>
    </w:p>
  </w:footnote>
  <w:footnote w:id="7">
    <w:p w:rsidR="00E324F3" w:rsidRDefault="00E324F3" w:rsidP="00AC3DAD">
      <w:pPr>
        <w:pStyle w:val="Footer"/>
      </w:pPr>
      <w:r>
        <w:rPr>
          <w:rStyle w:val="FootnoteReference"/>
        </w:rPr>
        <w:footnoteRef/>
      </w:r>
      <w:r>
        <w:t xml:space="preserve"> Pages 21 to 25 of the specification guidance for data suppliers on the AQI landing page at </w:t>
      </w:r>
      <w:hyperlink r:id="rId6" w:history="1">
        <w:r w:rsidRPr="00C33A47">
          <w:rPr>
            <w:rStyle w:val="Hyperlink"/>
          </w:rPr>
          <w:t>www.england.nhs.uk/statistics/statistical-work-areas/ambulance-quality-indicators</w:t>
        </w:r>
      </w:hyperlink>
      <w:r>
        <w:t xml:space="preserve"> describe</w:t>
      </w:r>
      <w:r w:rsidR="00992442">
        <w:t>,</w:t>
      </w:r>
      <w:r>
        <w:t xml:space="preserve"> </w:t>
      </w:r>
      <w:r w:rsidR="00992442">
        <w:t xml:space="preserve">for STEMI and stroke, </w:t>
      </w:r>
      <w:r>
        <w:t>the care bundle</w:t>
      </w:r>
      <w:r w:rsidR="00992442">
        <w:t>s</w:t>
      </w:r>
      <w:r w:rsidR="00BD48E2">
        <w:t xml:space="preserve"> and certain exclusions.</w:t>
      </w:r>
    </w:p>
  </w:footnote>
  <w:footnote w:id="8">
    <w:p w:rsidR="00775632" w:rsidRDefault="00775632" w:rsidP="0077563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Excluding Isle of Wight.</w:t>
      </w:r>
    </w:p>
  </w:footnote>
  <w:footnote w:id="9">
    <w:p w:rsidR="00AC3DAD" w:rsidRDefault="00AC3DAD" w:rsidP="006272D8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="006272D8">
        <w:t>For these indicators, s</w:t>
      </w:r>
      <w:r>
        <w:t>everal trusts have fewer than 100 patients</w:t>
      </w:r>
      <w:r w:rsidR="006272D8">
        <w:t xml:space="preserve"> to calculate a percentage from, and so percentages</w:t>
      </w:r>
      <w:r>
        <w:t xml:space="preserve"> can vary greatly between Trusts.</w:t>
      </w:r>
    </w:p>
  </w:footnote>
  <w:footnote w:id="10">
    <w:p w:rsidR="00BD48E2" w:rsidRDefault="00BD48E2" w:rsidP="00AC3DAD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C33A47">
          <w:rPr>
            <w:rStyle w:val="Hyperlink"/>
          </w:rPr>
          <w:t>www.england.nhs.uk/statistics/statistical-work-areas/ambulance-quality-indicators/ambulance-quality-indicators-data-2014-15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CE48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3C2C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E68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178AD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25D14"/>
    <w:multiLevelType w:val="hybridMultilevel"/>
    <w:tmpl w:val="86EA46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4040"/>
    <w:multiLevelType w:val="hybridMultilevel"/>
    <w:tmpl w:val="F5601D12"/>
    <w:lvl w:ilvl="0" w:tplc="B9568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C6173C"/>
    <w:multiLevelType w:val="hybridMultilevel"/>
    <w:tmpl w:val="3E78D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F419A"/>
    <w:multiLevelType w:val="hybridMultilevel"/>
    <w:tmpl w:val="96AE1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96E4D"/>
    <w:multiLevelType w:val="hybridMultilevel"/>
    <w:tmpl w:val="756AFB28"/>
    <w:lvl w:ilvl="0" w:tplc="C4A2FD8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5E6F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62792"/>
    <w:multiLevelType w:val="hybridMultilevel"/>
    <w:tmpl w:val="8F203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4C0C4D"/>
    <w:multiLevelType w:val="hybridMultilevel"/>
    <w:tmpl w:val="3EE09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DF7D1F"/>
    <w:multiLevelType w:val="hybridMultilevel"/>
    <w:tmpl w:val="E034C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7F1"/>
    <w:rsid w:val="00002502"/>
    <w:rsid w:val="00017E64"/>
    <w:rsid w:val="000274BA"/>
    <w:rsid w:val="00036949"/>
    <w:rsid w:val="00042A5D"/>
    <w:rsid w:val="0005599E"/>
    <w:rsid w:val="00065110"/>
    <w:rsid w:val="000670B6"/>
    <w:rsid w:val="0007019A"/>
    <w:rsid w:val="000768E8"/>
    <w:rsid w:val="00085AC3"/>
    <w:rsid w:val="000871A7"/>
    <w:rsid w:val="00092393"/>
    <w:rsid w:val="00096A9C"/>
    <w:rsid w:val="000B1B66"/>
    <w:rsid w:val="000C2092"/>
    <w:rsid w:val="000C3202"/>
    <w:rsid w:val="000D14CB"/>
    <w:rsid w:val="000F3EC8"/>
    <w:rsid w:val="000F4631"/>
    <w:rsid w:val="000F5B3F"/>
    <w:rsid w:val="000F6221"/>
    <w:rsid w:val="001000B2"/>
    <w:rsid w:val="0010506D"/>
    <w:rsid w:val="00111B6E"/>
    <w:rsid w:val="0011384E"/>
    <w:rsid w:val="0012242C"/>
    <w:rsid w:val="00127A5B"/>
    <w:rsid w:val="00127E1D"/>
    <w:rsid w:val="00127FD0"/>
    <w:rsid w:val="001359EC"/>
    <w:rsid w:val="00136E8B"/>
    <w:rsid w:val="001405FE"/>
    <w:rsid w:val="0014147C"/>
    <w:rsid w:val="001417C4"/>
    <w:rsid w:val="00144A92"/>
    <w:rsid w:val="00151AF2"/>
    <w:rsid w:val="0015216C"/>
    <w:rsid w:val="00160F31"/>
    <w:rsid w:val="00190332"/>
    <w:rsid w:val="00190BCC"/>
    <w:rsid w:val="00193CB9"/>
    <w:rsid w:val="00197242"/>
    <w:rsid w:val="001B68DB"/>
    <w:rsid w:val="001C3052"/>
    <w:rsid w:val="001C3165"/>
    <w:rsid w:val="001C688D"/>
    <w:rsid w:val="001C6E6A"/>
    <w:rsid w:val="001D5DCC"/>
    <w:rsid w:val="001E3296"/>
    <w:rsid w:val="002055F7"/>
    <w:rsid w:val="002067E2"/>
    <w:rsid w:val="00214510"/>
    <w:rsid w:val="00230B2D"/>
    <w:rsid w:val="002346FC"/>
    <w:rsid w:val="00241F79"/>
    <w:rsid w:val="00251383"/>
    <w:rsid w:val="002529A4"/>
    <w:rsid w:val="00252C62"/>
    <w:rsid w:val="00254237"/>
    <w:rsid w:val="0025490C"/>
    <w:rsid w:val="00254B9C"/>
    <w:rsid w:val="00261C03"/>
    <w:rsid w:val="0026240F"/>
    <w:rsid w:val="00265EFB"/>
    <w:rsid w:val="00267437"/>
    <w:rsid w:val="00270C17"/>
    <w:rsid w:val="00277342"/>
    <w:rsid w:val="0028035E"/>
    <w:rsid w:val="00280386"/>
    <w:rsid w:val="0029257D"/>
    <w:rsid w:val="00297264"/>
    <w:rsid w:val="002A0F67"/>
    <w:rsid w:val="002A3DFB"/>
    <w:rsid w:val="002B55AA"/>
    <w:rsid w:val="002C1DD5"/>
    <w:rsid w:val="002C3ECB"/>
    <w:rsid w:val="002C522F"/>
    <w:rsid w:val="002D2035"/>
    <w:rsid w:val="0031043B"/>
    <w:rsid w:val="0031228A"/>
    <w:rsid w:val="00322346"/>
    <w:rsid w:val="0032556F"/>
    <w:rsid w:val="00335EE6"/>
    <w:rsid w:val="0033606F"/>
    <w:rsid w:val="0034037C"/>
    <w:rsid w:val="00340492"/>
    <w:rsid w:val="00340769"/>
    <w:rsid w:val="00346087"/>
    <w:rsid w:val="0036445B"/>
    <w:rsid w:val="003674CA"/>
    <w:rsid w:val="003723D5"/>
    <w:rsid w:val="00377786"/>
    <w:rsid w:val="00377FF6"/>
    <w:rsid w:val="00387879"/>
    <w:rsid w:val="0039160E"/>
    <w:rsid w:val="00395D9D"/>
    <w:rsid w:val="00396DD4"/>
    <w:rsid w:val="00396E0E"/>
    <w:rsid w:val="003A63FB"/>
    <w:rsid w:val="003B164C"/>
    <w:rsid w:val="003B628A"/>
    <w:rsid w:val="003F43AB"/>
    <w:rsid w:val="00407A2A"/>
    <w:rsid w:val="004140F7"/>
    <w:rsid w:val="0042340C"/>
    <w:rsid w:val="00436A36"/>
    <w:rsid w:val="00444612"/>
    <w:rsid w:val="0044623C"/>
    <w:rsid w:val="00453F16"/>
    <w:rsid w:val="004550F1"/>
    <w:rsid w:val="00456108"/>
    <w:rsid w:val="00465847"/>
    <w:rsid w:val="0047575F"/>
    <w:rsid w:val="004769D3"/>
    <w:rsid w:val="00480623"/>
    <w:rsid w:val="00483F77"/>
    <w:rsid w:val="00493002"/>
    <w:rsid w:val="004953E1"/>
    <w:rsid w:val="004A2A45"/>
    <w:rsid w:val="004B46D5"/>
    <w:rsid w:val="004B592C"/>
    <w:rsid w:val="004C0D17"/>
    <w:rsid w:val="004C377A"/>
    <w:rsid w:val="004C5144"/>
    <w:rsid w:val="004F6290"/>
    <w:rsid w:val="00513897"/>
    <w:rsid w:val="0052145B"/>
    <w:rsid w:val="005239BD"/>
    <w:rsid w:val="00523BFF"/>
    <w:rsid w:val="00526112"/>
    <w:rsid w:val="005261D8"/>
    <w:rsid w:val="0053124D"/>
    <w:rsid w:val="00531A75"/>
    <w:rsid w:val="0054261F"/>
    <w:rsid w:val="0054766B"/>
    <w:rsid w:val="00551D2D"/>
    <w:rsid w:val="00551DDC"/>
    <w:rsid w:val="005538AF"/>
    <w:rsid w:val="005719BB"/>
    <w:rsid w:val="00572500"/>
    <w:rsid w:val="005945B8"/>
    <w:rsid w:val="005950EE"/>
    <w:rsid w:val="0059638C"/>
    <w:rsid w:val="005B4A17"/>
    <w:rsid w:val="005C1BA6"/>
    <w:rsid w:val="005C59BC"/>
    <w:rsid w:val="005C6B63"/>
    <w:rsid w:val="005D2E52"/>
    <w:rsid w:val="005D348F"/>
    <w:rsid w:val="005F2095"/>
    <w:rsid w:val="005F53BA"/>
    <w:rsid w:val="00603940"/>
    <w:rsid w:val="006059ED"/>
    <w:rsid w:val="006157C7"/>
    <w:rsid w:val="00621A41"/>
    <w:rsid w:val="006272D8"/>
    <w:rsid w:val="006303F7"/>
    <w:rsid w:val="006306D8"/>
    <w:rsid w:val="00634165"/>
    <w:rsid w:val="00642E76"/>
    <w:rsid w:val="00644C87"/>
    <w:rsid w:val="00655F0D"/>
    <w:rsid w:val="00676BD5"/>
    <w:rsid w:val="006817AD"/>
    <w:rsid w:val="00694FB2"/>
    <w:rsid w:val="00695304"/>
    <w:rsid w:val="006A61BC"/>
    <w:rsid w:val="006A6856"/>
    <w:rsid w:val="006B2BEA"/>
    <w:rsid w:val="006D5EDF"/>
    <w:rsid w:val="006E0760"/>
    <w:rsid w:val="006E58F5"/>
    <w:rsid w:val="00700863"/>
    <w:rsid w:val="00701D5C"/>
    <w:rsid w:val="0070276C"/>
    <w:rsid w:val="0071673C"/>
    <w:rsid w:val="00724971"/>
    <w:rsid w:val="0073041B"/>
    <w:rsid w:val="00735077"/>
    <w:rsid w:val="00741E8A"/>
    <w:rsid w:val="00747269"/>
    <w:rsid w:val="00761FF8"/>
    <w:rsid w:val="007639D5"/>
    <w:rsid w:val="007700CE"/>
    <w:rsid w:val="00771043"/>
    <w:rsid w:val="00775632"/>
    <w:rsid w:val="007804B7"/>
    <w:rsid w:val="00793660"/>
    <w:rsid w:val="007A138E"/>
    <w:rsid w:val="007A2AF5"/>
    <w:rsid w:val="007B0D9A"/>
    <w:rsid w:val="007B2D4E"/>
    <w:rsid w:val="007B5C09"/>
    <w:rsid w:val="007C0F9B"/>
    <w:rsid w:val="007C6985"/>
    <w:rsid w:val="007E3671"/>
    <w:rsid w:val="007F02F1"/>
    <w:rsid w:val="007F6B19"/>
    <w:rsid w:val="00806B8A"/>
    <w:rsid w:val="008113A4"/>
    <w:rsid w:val="00815169"/>
    <w:rsid w:val="008227CE"/>
    <w:rsid w:val="00822C2F"/>
    <w:rsid w:val="008231E3"/>
    <w:rsid w:val="00826D43"/>
    <w:rsid w:val="008340D3"/>
    <w:rsid w:val="00841DFF"/>
    <w:rsid w:val="00843ABC"/>
    <w:rsid w:val="00861B67"/>
    <w:rsid w:val="00862969"/>
    <w:rsid w:val="00865E6C"/>
    <w:rsid w:val="00871ADB"/>
    <w:rsid w:val="00875FD5"/>
    <w:rsid w:val="00880163"/>
    <w:rsid w:val="008805A7"/>
    <w:rsid w:val="0089121D"/>
    <w:rsid w:val="00891640"/>
    <w:rsid w:val="008A503B"/>
    <w:rsid w:val="008B579C"/>
    <w:rsid w:val="008C63D3"/>
    <w:rsid w:val="008D61DF"/>
    <w:rsid w:val="008E6B23"/>
    <w:rsid w:val="008F1385"/>
    <w:rsid w:val="0090071E"/>
    <w:rsid w:val="00900AD0"/>
    <w:rsid w:val="009038ED"/>
    <w:rsid w:val="0090527D"/>
    <w:rsid w:val="0090652B"/>
    <w:rsid w:val="00915F3E"/>
    <w:rsid w:val="00924E3D"/>
    <w:rsid w:val="00927612"/>
    <w:rsid w:val="00954E2E"/>
    <w:rsid w:val="00965572"/>
    <w:rsid w:val="0097213E"/>
    <w:rsid w:val="00975BA9"/>
    <w:rsid w:val="00981224"/>
    <w:rsid w:val="00992442"/>
    <w:rsid w:val="009969BD"/>
    <w:rsid w:val="009A4919"/>
    <w:rsid w:val="009B5D9A"/>
    <w:rsid w:val="009B72C4"/>
    <w:rsid w:val="009D34C0"/>
    <w:rsid w:val="00A039C6"/>
    <w:rsid w:val="00A13D6C"/>
    <w:rsid w:val="00A17A58"/>
    <w:rsid w:val="00A3104B"/>
    <w:rsid w:val="00A33BDB"/>
    <w:rsid w:val="00A4253D"/>
    <w:rsid w:val="00A42A6B"/>
    <w:rsid w:val="00A56831"/>
    <w:rsid w:val="00A575B0"/>
    <w:rsid w:val="00A72E13"/>
    <w:rsid w:val="00A778EA"/>
    <w:rsid w:val="00A831DC"/>
    <w:rsid w:val="00A914E9"/>
    <w:rsid w:val="00A9585B"/>
    <w:rsid w:val="00AA3CDD"/>
    <w:rsid w:val="00AA6B6B"/>
    <w:rsid w:val="00AC3DAD"/>
    <w:rsid w:val="00AE110A"/>
    <w:rsid w:val="00AE15EE"/>
    <w:rsid w:val="00AE7530"/>
    <w:rsid w:val="00AF1AD9"/>
    <w:rsid w:val="00AF24DB"/>
    <w:rsid w:val="00AF2574"/>
    <w:rsid w:val="00B02804"/>
    <w:rsid w:val="00B03698"/>
    <w:rsid w:val="00B05CB0"/>
    <w:rsid w:val="00B0776C"/>
    <w:rsid w:val="00B10ECF"/>
    <w:rsid w:val="00B176FE"/>
    <w:rsid w:val="00B63CE9"/>
    <w:rsid w:val="00B71432"/>
    <w:rsid w:val="00B72C29"/>
    <w:rsid w:val="00B82858"/>
    <w:rsid w:val="00B828B6"/>
    <w:rsid w:val="00B86E93"/>
    <w:rsid w:val="00B93837"/>
    <w:rsid w:val="00BC03EF"/>
    <w:rsid w:val="00BC435A"/>
    <w:rsid w:val="00BD1EA6"/>
    <w:rsid w:val="00BD48E2"/>
    <w:rsid w:val="00BE1CE7"/>
    <w:rsid w:val="00BE7849"/>
    <w:rsid w:val="00BF2C50"/>
    <w:rsid w:val="00C14E1D"/>
    <w:rsid w:val="00C16133"/>
    <w:rsid w:val="00C21149"/>
    <w:rsid w:val="00C3190D"/>
    <w:rsid w:val="00C3443F"/>
    <w:rsid w:val="00C40D56"/>
    <w:rsid w:val="00C418B2"/>
    <w:rsid w:val="00C445E6"/>
    <w:rsid w:val="00C521D4"/>
    <w:rsid w:val="00C532C8"/>
    <w:rsid w:val="00C66ACE"/>
    <w:rsid w:val="00C70840"/>
    <w:rsid w:val="00C70AC7"/>
    <w:rsid w:val="00C7319F"/>
    <w:rsid w:val="00C757AB"/>
    <w:rsid w:val="00C7779C"/>
    <w:rsid w:val="00C9746F"/>
    <w:rsid w:val="00D02FA8"/>
    <w:rsid w:val="00D05B8F"/>
    <w:rsid w:val="00D11CB6"/>
    <w:rsid w:val="00D1660D"/>
    <w:rsid w:val="00D166D9"/>
    <w:rsid w:val="00D3262A"/>
    <w:rsid w:val="00D35203"/>
    <w:rsid w:val="00D40138"/>
    <w:rsid w:val="00D43749"/>
    <w:rsid w:val="00D44AE7"/>
    <w:rsid w:val="00D51401"/>
    <w:rsid w:val="00D51658"/>
    <w:rsid w:val="00D82D27"/>
    <w:rsid w:val="00D868A7"/>
    <w:rsid w:val="00DA4CE4"/>
    <w:rsid w:val="00DA6E95"/>
    <w:rsid w:val="00DC48A5"/>
    <w:rsid w:val="00DD21E6"/>
    <w:rsid w:val="00DD280D"/>
    <w:rsid w:val="00DE5B0A"/>
    <w:rsid w:val="00DF0993"/>
    <w:rsid w:val="00DF0ADA"/>
    <w:rsid w:val="00E0266B"/>
    <w:rsid w:val="00E043A8"/>
    <w:rsid w:val="00E055D4"/>
    <w:rsid w:val="00E132B5"/>
    <w:rsid w:val="00E135D5"/>
    <w:rsid w:val="00E21DD4"/>
    <w:rsid w:val="00E24229"/>
    <w:rsid w:val="00E25E8A"/>
    <w:rsid w:val="00E274DD"/>
    <w:rsid w:val="00E3113C"/>
    <w:rsid w:val="00E324F3"/>
    <w:rsid w:val="00E42D6F"/>
    <w:rsid w:val="00E44882"/>
    <w:rsid w:val="00E639AA"/>
    <w:rsid w:val="00E74035"/>
    <w:rsid w:val="00E759ED"/>
    <w:rsid w:val="00E77913"/>
    <w:rsid w:val="00E94351"/>
    <w:rsid w:val="00EB27D0"/>
    <w:rsid w:val="00EB4830"/>
    <w:rsid w:val="00ED3F78"/>
    <w:rsid w:val="00EE7507"/>
    <w:rsid w:val="00EF2D87"/>
    <w:rsid w:val="00F031F0"/>
    <w:rsid w:val="00F04282"/>
    <w:rsid w:val="00F06D35"/>
    <w:rsid w:val="00F11CDA"/>
    <w:rsid w:val="00F16EE8"/>
    <w:rsid w:val="00F30584"/>
    <w:rsid w:val="00F33E46"/>
    <w:rsid w:val="00F56F7A"/>
    <w:rsid w:val="00F57F10"/>
    <w:rsid w:val="00F608D1"/>
    <w:rsid w:val="00F62D81"/>
    <w:rsid w:val="00F63C46"/>
    <w:rsid w:val="00F735BC"/>
    <w:rsid w:val="00F83563"/>
    <w:rsid w:val="00F84799"/>
    <w:rsid w:val="00F912AC"/>
    <w:rsid w:val="00F92432"/>
    <w:rsid w:val="00F96341"/>
    <w:rsid w:val="00FB225C"/>
    <w:rsid w:val="00FB353C"/>
    <w:rsid w:val="00FB5A5C"/>
    <w:rsid w:val="00FB6979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C0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49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06F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1149"/>
    <w:pPr>
      <w:keepNext/>
      <w:keepLines/>
      <w:spacing w:before="240"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3606F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paragraph" w:styleId="Header">
    <w:name w:val="header"/>
    <w:basedOn w:val="Normal"/>
    <w:rsid w:val="00A4253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62D81"/>
    <w:pPr>
      <w:ind w:left="720"/>
    </w:p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AC3DAD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AC3DAD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0492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606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49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06F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9160E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C0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49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06F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1149"/>
    <w:pPr>
      <w:keepNext/>
      <w:keepLines/>
      <w:spacing w:before="240"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3606F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paragraph" w:styleId="Header">
    <w:name w:val="header"/>
    <w:basedOn w:val="Normal"/>
    <w:rsid w:val="00A4253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62D81"/>
    <w:pPr>
      <w:ind w:left="720"/>
    </w:p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AC3DAD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AC3DAD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0492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606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49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06F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9160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scottishambulance.com/TheService/BoardPaper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aace.org.uk/national-performance/national-clinical-dashboard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ales.gov.uk/statistics-and-research/ambulance-services/?lang=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england.nhs.uk/statistics/statistical-work-areas/ambulance-quality-indicators" TargetMode="External"/><Relationship Id="rId29" Type="http://schemas.openxmlformats.org/officeDocument/2006/relationships/hyperlink" Target="mailto:i.kay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ebarchive.nationalarchives.gov.uk/20130107105354/http:/www.dh.gov.uk/en/Publicationsandstatistics/Statistics/Performancedataandstatistics/WeeklySituationReports/DH_128506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ebarchive.nationalarchives.gov.uk/20130107105354/http:/www.dh.gov.uk/en/Publicationsandstatistics/Statistics/Performancedataandstatistics/WeeklySituationReports/DH_128506" TargetMode="External"/><Relationship Id="rId28" Type="http://schemas.openxmlformats.org/officeDocument/2006/relationships/hyperlink" Target="mailto:nhsengland.media@nhs.net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hscic.gov.uk/article/2021/Website-Search?productid=15165" TargetMode="External"/><Relationship Id="rId27" Type="http://schemas.openxmlformats.org/officeDocument/2006/relationships/hyperlink" Target="http://www.dhsspsni.gov.uk/index/stats_research/hospital-stats/emergency_care-3/emergency-care-stats.htm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gland.nhs.uk/statistics/statistical-work-areas/ambulance-quality-indicators" TargetMode="External"/><Relationship Id="rId7" Type="http://schemas.openxmlformats.org/officeDocument/2006/relationships/hyperlink" Target="http://www.england.nhs.uk/statistics/statistical-work-areas/ambulance-quality-indicators/ambulance-quality-indicators-data-2014-15" TargetMode="External"/><Relationship Id="rId2" Type="http://schemas.openxmlformats.org/officeDocument/2006/relationships/hyperlink" Target="http://www.nhs.uk/choiceintheNHS/Rightsandpledges/NHSConstitution/Pages/Overview.aspx" TargetMode="External"/><Relationship Id="rId1" Type="http://schemas.openxmlformats.org/officeDocument/2006/relationships/hyperlink" Target="http://www.gov.uk/government/news/changes-to-ambulance-response-time-categories" TargetMode="External"/><Relationship Id="rId6" Type="http://schemas.openxmlformats.org/officeDocument/2006/relationships/hyperlink" Target="http://www.england.nhs.uk/statistics/statistical-work-areas/ambulance-quality-indicators" TargetMode="External"/><Relationship Id="rId5" Type="http://schemas.openxmlformats.org/officeDocument/2006/relationships/hyperlink" Target="http://www.datadictionary.nhs.uk/data_dictionary/attributes/a/acc/accident_and_emergency_department_type_de.asp" TargetMode="External"/><Relationship Id="rId4" Type="http://schemas.openxmlformats.org/officeDocument/2006/relationships/hyperlink" Target="http://www.datadictionary.nhs.uk/data_dictionary/attributes/a/acc/accident_and_emergency_department_type_d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31FA-5842-499A-8360-C540609B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10</Pages>
  <Words>2195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– STATISTICS</vt:lpstr>
    </vt:vector>
  </TitlesOfParts>
  <Company>Department of Health</Company>
  <LinksUpToDate>false</LinksUpToDate>
  <CharactersWithSpaces>15317</CharactersWithSpaces>
  <SharedDoc>false</SharedDoc>
  <HLinks>
    <vt:vector size="54" baseType="variant"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</vt:lpwstr>
      </vt:variant>
      <vt:variant>
        <vt:lpwstr/>
      </vt:variant>
      <vt:variant>
        <vt:i4>655484</vt:i4>
      </vt:variant>
      <vt:variant>
        <vt:i4>21</vt:i4>
      </vt:variant>
      <vt:variant>
        <vt:i4>0</vt:i4>
      </vt:variant>
      <vt:variant>
        <vt:i4>5</vt:i4>
      </vt:variant>
      <vt:variant>
        <vt:lpwstr>http://www.niamb.co.uk/docs/corporate_info.html</vt:lpwstr>
      </vt:variant>
      <vt:variant>
        <vt:lpwstr/>
      </vt:variant>
      <vt:variant>
        <vt:i4>4391003</vt:i4>
      </vt:variant>
      <vt:variant>
        <vt:i4>18</vt:i4>
      </vt:variant>
      <vt:variant>
        <vt:i4>0</vt:i4>
      </vt:variant>
      <vt:variant>
        <vt:i4>5</vt:i4>
      </vt:variant>
      <vt:variant>
        <vt:lpwstr>http://www.scottishambulance.com/Performance/Default.aspx</vt:lpwstr>
      </vt:variant>
      <vt:variant>
        <vt:lpwstr/>
      </vt:variant>
      <vt:variant>
        <vt:i4>3145835</vt:i4>
      </vt:variant>
      <vt:variant>
        <vt:i4>15</vt:i4>
      </vt:variant>
      <vt:variant>
        <vt:i4>0</vt:i4>
      </vt:variant>
      <vt:variant>
        <vt:i4>5</vt:i4>
      </vt:variant>
      <vt:variant>
        <vt:lpwstr>http://wales.gov.uk/topics/statistics/headlines/health2012/120307/?lang=en</vt:lpwstr>
      </vt:variant>
      <vt:variant>
        <vt:lpwstr/>
      </vt:variant>
      <vt:variant>
        <vt:i4>8061018</vt:i4>
      </vt:variant>
      <vt:variant>
        <vt:i4>12</vt:i4>
      </vt:variant>
      <vt:variant>
        <vt:i4>0</vt:i4>
      </vt:variant>
      <vt:variant>
        <vt:i4>5</vt:i4>
      </vt:variant>
      <vt:variant>
        <vt:lpwstr>http://www.dh.gov.uk/en/Publicationsandstatistics/Statistics/Performanced ataandstatistics/WeeklySituationReports/DH_128506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http://www.england.nhs.uk/statistics/code-compliance/</vt:lpwstr>
      </vt:variant>
      <vt:variant>
        <vt:lpwstr/>
      </vt:variant>
      <vt:variant>
        <vt:i4>2162801</vt:i4>
      </vt:variant>
      <vt:variant>
        <vt:i4>6</vt:i4>
      </vt:variant>
      <vt:variant>
        <vt:i4>0</vt:i4>
      </vt:variant>
      <vt:variant>
        <vt:i4>5</vt:i4>
      </vt:variant>
      <vt:variant>
        <vt:lpwstr>http://www.england.nhs.uk/statistics/ambulance-quality-indicators/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– STATISTICS</dc:title>
  <dc:creator>Ian Kay</dc:creator>
  <cp:lastModifiedBy>Kay, Ian</cp:lastModifiedBy>
  <cp:revision>17</cp:revision>
  <cp:lastPrinted>2014-09-05T07:24:00Z</cp:lastPrinted>
  <dcterms:created xsi:type="dcterms:W3CDTF">2014-09-01T16:34:00Z</dcterms:created>
  <dcterms:modified xsi:type="dcterms:W3CDTF">2014-09-05T08:15:00Z</dcterms:modified>
</cp:coreProperties>
</file>