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F01361">
      <w:pPr>
        <w:pStyle w:val="Heading1"/>
      </w:pPr>
      <w:r>
        <w:t xml:space="preserve">Statistical Note: </w:t>
      </w:r>
      <w:r w:rsidR="00340492" w:rsidRPr="007A138E">
        <w:t>Ambulance Quality Indicators</w:t>
      </w:r>
      <w:r w:rsidR="002C522F">
        <w:t xml:space="preserve"> (AQI)</w:t>
      </w:r>
    </w:p>
    <w:p w:rsidR="007A138E" w:rsidRDefault="00C21149" w:rsidP="00C21149">
      <w:r>
        <w:t xml:space="preserve">Published by NHS England on </w:t>
      </w:r>
      <w:r w:rsidR="00E76C17">
        <w:t xml:space="preserve">6 November </w:t>
      </w:r>
      <w:r w:rsidR="007A138E" w:rsidRPr="007A138E">
        <w:t>2014</w:t>
      </w:r>
      <w:r w:rsidR="00F01361">
        <w:t>.</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 xml:space="preserve">A1. </w:t>
      </w:r>
      <w:r w:rsidR="00D3262A">
        <w:t xml:space="preserve">Emergency </w:t>
      </w:r>
      <w:r w:rsidR="0089121D" w:rsidRPr="00C21149">
        <w:t>response</w:t>
      </w:r>
      <w:r w:rsidR="00D3262A">
        <w:t xml:space="preserve"> in 8 minutes</w:t>
      </w:r>
    </w:p>
    <w:p w:rsidR="00513897" w:rsidRPr="00513897" w:rsidRDefault="00526112" w:rsidP="00513897">
      <w:r>
        <w:t>In</w:t>
      </w:r>
      <w:r w:rsidR="00AA7926">
        <w:t xml:space="preserve"> September </w:t>
      </w:r>
      <w:r>
        <w:t xml:space="preserve">2014, </w:t>
      </w:r>
      <w:r w:rsidR="004C377A" w:rsidRPr="00513897">
        <w:t>of Category A Red</w:t>
      </w:r>
      <w:r w:rsidR="0090527D" w:rsidRPr="00513897">
        <w:rPr>
          <w:rStyle w:val="FootnoteReference"/>
          <w:rFonts w:cs="Arial"/>
        </w:rPr>
        <w:footnoteReference w:id="1"/>
      </w:r>
      <w:r w:rsidR="00513897">
        <w:t xml:space="preserve"> 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arriving within 8 minutes was 7</w:t>
      </w:r>
      <w:r w:rsidR="00AA7926">
        <w:t>2</w:t>
      </w:r>
      <w:r w:rsidR="00C61AF0">
        <w:t>.</w:t>
      </w:r>
      <w:r w:rsidR="00AA7926">
        <w:t>7%</w:t>
      </w:r>
      <w:r w:rsidR="000F0D83">
        <w:t>.</w:t>
      </w:r>
    </w:p>
    <w:p w:rsidR="00513897" w:rsidRPr="00513897" w:rsidRDefault="00526112" w:rsidP="00513897">
      <w:r>
        <w:t xml:space="preserve">In </w:t>
      </w:r>
      <w:r w:rsidR="00AA7926" w:rsidRPr="00AA7926">
        <w:t xml:space="preserve">September </w:t>
      </w:r>
      <w:r>
        <w:t>2</w:t>
      </w:r>
      <w:r w:rsidR="00AE4993">
        <w:fldChar w:fldCharType="begin"/>
      </w:r>
      <w:r w:rsidR="00AE4993">
        <w:instrText xml:space="preserve"> LISTNUM </w:instrText>
      </w:r>
      <w:r w:rsidR="00AE4993">
        <w:fldChar w:fldCharType="end"/>
      </w:r>
      <w:r>
        <w:t xml:space="preserve">014,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C61AF0">
        <w:t>70.</w:t>
      </w:r>
      <w:r w:rsidR="00AA7926">
        <w:t>0</w:t>
      </w:r>
      <w:r w:rsidR="00513897" w:rsidRPr="00513897">
        <w:t>%</w:t>
      </w:r>
      <w:r w:rsidR="00513897">
        <w:t>.</w:t>
      </w:r>
    </w:p>
    <w:p w:rsidR="006653DB" w:rsidRDefault="00396DD4" w:rsidP="00513897">
      <w:r>
        <w:t>The standard</w:t>
      </w:r>
      <w:r>
        <w:rPr>
          <w:rStyle w:val="FootnoteReference"/>
        </w:rPr>
        <w:footnoteReference w:id="2"/>
      </w:r>
      <w:r>
        <w:t xml:space="preserve"> for </w:t>
      </w:r>
      <w:r w:rsidR="0089121D">
        <w:t>A</w:t>
      </w:r>
      <w:r w:rsidR="00513897" w:rsidRPr="00513897">
        <w:t>mbulance trusts</w:t>
      </w:r>
      <w:r w:rsidR="0089121D">
        <w:t xml:space="preserve"> </w:t>
      </w:r>
      <w:r>
        <w:t xml:space="preserve">is </w:t>
      </w:r>
      <w:r w:rsidR="00513897" w:rsidRPr="00513897">
        <w:t xml:space="preserve">to </w:t>
      </w:r>
      <w:r w:rsidR="0089121D">
        <w:t xml:space="preserve">send an emergency response, with a defibrillator, </w:t>
      </w:r>
      <w:r w:rsidR="0089121D" w:rsidRPr="00513897">
        <w:t xml:space="preserve">within </w:t>
      </w:r>
      <w:r w:rsidR="00440EF3">
        <w:t>8</w:t>
      </w:r>
      <w:r w:rsidR="0089121D" w:rsidRPr="00513897">
        <w:t xml:space="preserve"> minutes</w:t>
      </w:r>
      <w:r w:rsidR="0089121D">
        <w:t>,</w:t>
      </w:r>
      <w:r w:rsidR="0089121D" w:rsidRPr="00513897">
        <w:t xml:space="preserve"> </w:t>
      </w:r>
      <w:r w:rsidR="00513897" w:rsidRPr="00513897">
        <w:t>to 75 per cent of Category A calls</w:t>
      </w:r>
      <w:r w:rsidR="006653DB">
        <w:t>.</w:t>
      </w:r>
    </w:p>
    <w:p w:rsidR="00436A36" w:rsidRDefault="006653DB" w:rsidP="00513897">
      <w:r>
        <w:t xml:space="preserve">Figure 1 shows that this </w:t>
      </w:r>
      <w:r w:rsidR="001B68DB">
        <w:t xml:space="preserve">standard </w:t>
      </w:r>
      <w:r>
        <w:t xml:space="preserve">has not been met for Red 1 since April 2014, and has </w:t>
      </w:r>
      <w:r w:rsidR="00513897">
        <w:t xml:space="preserve">not </w:t>
      </w:r>
      <w:r>
        <w:t xml:space="preserve">been </w:t>
      </w:r>
      <w:r w:rsidR="00513897">
        <w:t xml:space="preserve">met </w:t>
      </w:r>
      <w:r>
        <w:t>f</w:t>
      </w:r>
      <w:r w:rsidR="00513897">
        <w:t>or Red 2</w:t>
      </w:r>
      <w:r>
        <w:t xml:space="preserve"> since January 2014.</w:t>
      </w:r>
    </w:p>
    <w:p w:rsidR="00A65D0F" w:rsidRDefault="006653DB" w:rsidP="000F3EC8">
      <w:r>
        <w:rPr>
          <w:noProof/>
        </w:rPr>
        <w:drawing>
          <wp:inline distT="0" distB="0" distL="0" distR="0" wp14:anchorId="156D2527" wp14:editId="1737142D">
            <wp:extent cx="5200650" cy="31521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3152140"/>
                    </a:xfrm>
                    <a:prstGeom prst="rect">
                      <a:avLst/>
                    </a:prstGeom>
                    <a:noFill/>
                  </pic:spPr>
                </pic:pic>
              </a:graphicData>
            </a:graphic>
          </wp:inline>
        </w:drawing>
      </w:r>
      <w:r w:rsidR="00407A2A">
        <w:br w:type="page"/>
      </w:r>
      <w:r w:rsidR="009F060C">
        <w:lastRenderedPageBreak/>
        <w:t xml:space="preserve">Six </w:t>
      </w:r>
      <w:r w:rsidR="00EB5DF3" w:rsidRPr="00EB5DF3">
        <w:t>Trusts</w:t>
      </w:r>
      <w:r w:rsidR="000442D5">
        <w:t xml:space="preserve"> (</w:t>
      </w:r>
      <w:r w:rsidR="00EB5DF3" w:rsidRPr="00EB5DF3">
        <w:t>North East, West Midlands, South East Coast, South Central</w:t>
      </w:r>
      <w:r w:rsidR="00E0653D">
        <w:t>,</w:t>
      </w:r>
      <w:r w:rsidR="00EB5DF3" w:rsidRPr="00EB5DF3">
        <w:t xml:space="preserve"> South West</w:t>
      </w:r>
      <w:r w:rsidR="00440EF3">
        <w:t>ern</w:t>
      </w:r>
      <w:r w:rsidR="009F060C">
        <w:t>,</w:t>
      </w:r>
      <w:r w:rsidR="00440EF3">
        <w:t xml:space="preserve"> and</w:t>
      </w:r>
      <w:r w:rsidR="009F060C">
        <w:t xml:space="preserve"> </w:t>
      </w:r>
      <w:r w:rsidR="009F060C" w:rsidRPr="009F060C">
        <w:t>Isle of Wight</w:t>
      </w:r>
      <w:r w:rsidR="000442D5">
        <w:t>)</w:t>
      </w:r>
      <w:r w:rsidR="00EB5DF3" w:rsidRPr="00EB5DF3">
        <w:t xml:space="preserve"> met</w:t>
      </w:r>
      <w:r w:rsidR="00EB5DF3">
        <w:t xml:space="preserve"> </w:t>
      </w:r>
      <w:r w:rsidR="000442D5">
        <w:t xml:space="preserve">the </w:t>
      </w:r>
      <w:r w:rsidR="00EB5DF3">
        <w:t xml:space="preserve">Red 1 </w:t>
      </w:r>
      <w:r w:rsidR="00EB5DF3" w:rsidRPr="00EB5DF3">
        <w:t xml:space="preserve">standard </w:t>
      </w:r>
      <w:r w:rsidR="009F060C">
        <w:t xml:space="preserve">in September </w:t>
      </w:r>
      <w:r w:rsidR="00A65D0F">
        <w:t>2014</w:t>
      </w:r>
      <w:r w:rsidR="00EB5DF3" w:rsidRPr="00EB5DF3">
        <w:t xml:space="preserve">, </w:t>
      </w:r>
      <w:r w:rsidR="00A65D0F">
        <w:t>and West Midlands had the highest proportion</w:t>
      </w:r>
      <w:r>
        <w:t>,</w:t>
      </w:r>
      <w:r w:rsidR="00A65D0F">
        <w:t xml:space="preserve"> 8</w:t>
      </w:r>
      <w:r w:rsidR="009F060C">
        <w:t>3.0</w:t>
      </w:r>
      <w:r w:rsidR="00A65D0F">
        <w:t xml:space="preserve">%. Apart from South East Coast, </w:t>
      </w:r>
      <w:r>
        <w:t xml:space="preserve">these Trusts </w:t>
      </w:r>
      <w:r w:rsidR="00A65D0F">
        <w:t>met the Red 2 standard too, for which the highest proportion was 76.</w:t>
      </w:r>
      <w:r w:rsidR="00347494">
        <w:t>9</w:t>
      </w:r>
      <w:r w:rsidR="00A65D0F">
        <w:t>% in South Western.</w:t>
      </w:r>
    </w:p>
    <w:p w:rsidR="001876F0" w:rsidRDefault="00F55DB5" w:rsidP="00A65D0F">
      <w:r>
        <w:t xml:space="preserve">Five </w:t>
      </w:r>
      <w:r w:rsidR="00A65D0F">
        <w:t xml:space="preserve">Trusts </w:t>
      </w:r>
      <w:r w:rsidR="00531825">
        <w:t xml:space="preserve">(North West, Yorkshire, East of Midlands, East of England and London) </w:t>
      </w:r>
      <w:r w:rsidR="00A65D0F">
        <w:t xml:space="preserve">failed to meet the Red 1 standard, and the lowest proportion was </w:t>
      </w:r>
      <w:r w:rsidR="00310203" w:rsidRPr="00310203">
        <w:t>61.9%</w:t>
      </w:r>
      <w:r w:rsidR="005772D5">
        <w:t xml:space="preserve"> </w:t>
      </w:r>
      <w:r w:rsidR="00A65D0F">
        <w:t>in London</w:t>
      </w:r>
      <w:r w:rsidR="00F65B38" w:rsidRPr="00F65B38">
        <w:t>.</w:t>
      </w:r>
    </w:p>
    <w:p w:rsidR="00AE2AEE" w:rsidRDefault="001876F0" w:rsidP="00A65D0F">
      <w:r>
        <w:t xml:space="preserve">These </w:t>
      </w:r>
      <w:r w:rsidR="00E0653D">
        <w:t xml:space="preserve">five </w:t>
      </w:r>
      <w:r>
        <w:t xml:space="preserve">Trusts all failed to meet the Red 2 standard too, and </w:t>
      </w:r>
      <w:r w:rsidR="00E0653D">
        <w:t xml:space="preserve">in September 2014 </w:t>
      </w:r>
      <w:r>
        <w:t>London ha</w:t>
      </w:r>
      <w:r w:rsidR="006653DB">
        <w:t xml:space="preserve">d </w:t>
      </w:r>
      <w:r w:rsidR="006653DB" w:rsidRPr="001876F0">
        <w:t>54.0%</w:t>
      </w:r>
      <w:r w:rsidR="006653DB">
        <w:t>, t</w:t>
      </w:r>
      <w:r w:rsidR="00531825">
        <w:t xml:space="preserve">he lowest </w:t>
      </w:r>
      <w:r w:rsidR="00E0653D">
        <w:t>proportion</w:t>
      </w:r>
      <w:r w:rsidR="00531825">
        <w:t xml:space="preserve"> </w:t>
      </w:r>
      <w:r w:rsidR="006653DB">
        <w:t>since Red 2 was defined</w:t>
      </w:r>
      <w:r>
        <w:t xml:space="preserve">. </w:t>
      </w:r>
    </w:p>
    <w:p w:rsidR="00D3262A" w:rsidRPr="00127FD0" w:rsidRDefault="002C522F" w:rsidP="006303F7">
      <w:pPr>
        <w:pStyle w:val="Heading3"/>
      </w:pPr>
      <w:r>
        <w:t>A2.</w:t>
      </w:r>
      <w:r w:rsidR="0044771F">
        <w:t xml:space="preserve"> </w:t>
      </w:r>
      <w:r w:rsidR="00D3262A" w:rsidRPr="00151AF2">
        <w:t xml:space="preserve">Systems </w:t>
      </w:r>
      <w:r w:rsidR="00D3262A">
        <w:t>Indicators: Ambulance response in 19 minutes</w:t>
      </w:r>
    </w:p>
    <w:p w:rsidR="00A65D0F" w:rsidRDefault="0089121D" w:rsidP="000F3EC8">
      <w:r>
        <w:t xml:space="preserve">The other standard for </w:t>
      </w:r>
      <w:r w:rsidR="00396DD4">
        <w:t>A</w:t>
      </w:r>
      <w:r>
        <w:t xml:space="preserve">mbulance </w:t>
      </w:r>
      <w:r w:rsidR="00396DD4">
        <w:t xml:space="preserve">Trusts in the Handbook to the NHS Constitution </w:t>
      </w:r>
      <w:r>
        <w:t>is for trusts to send a fully-equipped ambulance vehicle within 19 minutes to 9</w:t>
      </w:r>
      <w:r w:rsidR="00A65D0F">
        <w:t>5 per cent of Category A calls.</w:t>
      </w:r>
    </w:p>
    <w:p w:rsidR="000965D6" w:rsidRDefault="00B4687B" w:rsidP="00A65D0F">
      <w:pPr>
        <w:pStyle w:val="NoSpacing"/>
      </w:pPr>
      <w:r>
        <w:t>T</w:t>
      </w:r>
      <w:r w:rsidR="006653DB">
        <w:t xml:space="preserve">he proportion for September 2014 was </w:t>
      </w:r>
      <w:r>
        <w:t>94.4%. Figure 2 shows that this was below</w:t>
      </w:r>
      <w:r w:rsidR="000965D6">
        <w:t xml:space="preserve"> the standard</w:t>
      </w:r>
      <w:r>
        <w:t xml:space="preserve"> for </w:t>
      </w:r>
      <w:r w:rsidR="00DF1F6C">
        <w:t xml:space="preserve">the </w:t>
      </w:r>
      <w:r w:rsidR="00531825">
        <w:t>fourth month in a ro</w:t>
      </w:r>
      <w:r>
        <w:t>w.</w:t>
      </w:r>
    </w:p>
    <w:p w:rsidR="000965D6" w:rsidRDefault="000965D6" w:rsidP="00A65D0F">
      <w:pPr>
        <w:pStyle w:val="NoSpacing"/>
      </w:pPr>
    </w:p>
    <w:p w:rsidR="00A65D0F" w:rsidRDefault="00B441CC" w:rsidP="00A65D0F">
      <w:pPr>
        <w:pStyle w:val="NoSpacing"/>
      </w:pPr>
      <w:r>
        <w:rPr>
          <w:noProof/>
        </w:rPr>
        <w:drawing>
          <wp:inline distT="0" distB="0" distL="0" distR="0" wp14:anchorId="2D3CC58B" wp14:editId="0F733C57">
            <wp:extent cx="5194300" cy="3133725"/>
            <wp:effectExtent l="0" t="0" r="635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4300" cy="3133725"/>
                    </a:xfrm>
                    <a:prstGeom prst="rect">
                      <a:avLst/>
                    </a:prstGeom>
                    <a:noFill/>
                  </pic:spPr>
                </pic:pic>
              </a:graphicData>
            </a:graphic>
          </wp:inline>
        </w:drawing>
      </w:r>
    </w:p>
    <w:p w:rsidR="00A65D0F" w:rsidRPr="00A65D0F" w:rsidRDefault="00A65D0F" w:rsidP="00A65D0F">
      <w:pPr>
        <w:pStyle w:val="NoSpacing"/>
      </w:pPr>
    </w:p>
    <w:p w:rsidR="00DF1F6C" w:rsidRDefault="006E2C05" w:rsidP="00A65D0F">
      <w:r>
        <w:t>Eight trusts met the standard</w:t>
      </w:r>
      <w:r w:rsidR="00DF1F6C">
        <w:t xml:space="preserve">. </w:t>
      </w:r>
      <w:r w:rsidRPr="006E2C05">
        <w:t>Isle of Wight</w:t>
      </w:r>
      <w:r w:rsidR="00DF1F6C">
        <w:t xml:space="preserve"> had</w:t>
      </w:r>
      <w:r>
        <w:t xml:space="preserve"> the highest proportion, with 98</w:t>
      </w:r>
      <w:r w:rsidRPr="006E2C05">
        <w:t xml:space="preserve">.2% in </w:t>
      </w:r>
      <w:r>
        <w:t xml:space="preserve">September </w:t>
      </w:r>
      <w:r w:rsidRPr="006E2C05">
        <w:t>2014.</w:t>
      </w:r>
      <w:r>
        <w:t xml:space="preserve"> </w:t>
      </w:r>
      <w:r w:rsidR="008F78EA">
        <w:t>West Midlands had the</w:t>
      </w:r>
      <w:r>
        <w:t xml:space="preserve"> </w:t>
      </w:r>
      <w:r w:rsidR="00DF1F6C">
        <w:t xml:space="preserve">second </w:t>
      </w:r>
      <w:r w:rsidR="008F78EA">
        <w:t xml:space="preserve">highest proportion, with </w:t>
      </w:r>
      <w:r w:rsidR="00A65D0F">
        <w:t>97.</w:t>
      </w:r>
      <w:r>
        <w:t>3</w:t>
      </w:r>
      <w:r w:rsidR="00A65D0F">
        <w:t>%</w:t>
      </w:r>
      <w:r>
        <w:t xml:space="preserve">, after </w:t>
      </w:r>
      <w:r w:rsidR="00DF1F6C">
        <w:t xml:space="preserve">having the highest proportion in the previous five months. </w:t>
      </w:r>
    </w:p>
    <w:p w:rsidR="0097321C" w:rsidRDefault="0007786F" w:rsidP="00A65D0F">
      <w:r w:rsidRPr="0007786F">
        <w:t>East Midland</w:t>
      </w:r>
      <w:r w:rsidR="00DF1F6C">
        <w:t>s (93.6%),</w:t>
      </w:r>
      <w:r>
        <w:t xml:space="preserve"> East of England</w:t>
      </w:r>
      <w:r w:rsidR="00DF1F6C">
        <w:t xml:space="preserve"> (91.5%)</w:t>
      </w:r>
      <w:r>
        <w:t>, and London</w:t>
      </w:r>
      <w:r w:rsidR="00DF1F6C">
        <w:t xml:space="preserve"> (90.5%)</w:t>
      </w:r>
      <w:r w:rsidR="008F78EA">
        <w:t xml:space="preserve"> all failed to meet the standard</w:t>
      </w:r>
      <w:r w:rsidR="002F3C5E">
        <w:t xml:space="preserve">. </w:t>
      </w:r>
    </w:p>
    <w:p w:rsidR="00B71432" w:rsidRPr="00127FD0" w:rsidRDefault="002C522F" w:rsidP="006303F7">
      <w:pPr>
        <w:pStyle w:val="Heading3"/>
      </w:pPr>
      <w:r>
        <w:lastRenderedPageBreak/>
        <w:t>A3.</w:t>
      </w:r>
      <w:r w:rsidR="0044771F">
        <w:t xml:space="preserve"> </w:t>
      </w:r>
      <w:r w:rsidR="00B71432" w:rsidRPr="00151AF2">
        <w:t xml:space="preserve">Systems </w:t>
      </w:r>
      <w:r w:rsidR="00B71432">
        <w:t>Indicators: Ambulance volumes</w:t>
      </w:r>
    </w:p>
    <w:p w:rsidR="00BE7849" w:rsidRDefault="00BE7849" w:rsidP="001B68DB">
      <w:pPr>
        <w:rPr>
          <w:rFonts w:cs="Arial"/>
        </w:rPr>
      </w:pPr>
      <w:r w:rsidRPr="001B68DB">
        <w:t>Th</w:t>
      </w:r>
      <w:r w:rsidR="00F56F7A" w:rsidRPr="001B68DB">
        <w:t xml:space="preserve">e </w:t>
      </w:r>
      <w:r w:rsidR="00E0653D" w:rsidRPr="001B68DB">
        <w:t>number</w:t>
      </w:r>
      <w:r w:rsidR="00C71776">
        <w:rPr>
          <w:rStyle w:val="FootnoteReference"/>
        </w:rPr>
        <w:footnoteReference w:id="3"/>
      </w:r>
      <w:r w:rsidR="00F56F7A" w:rsidRPr="001B68DB">
        <w:t xml:space="preserve"> of</w:t>
      </w:r>
      <w:r w:rsidR="00E21DD4" w:rsidRPr="001B68DB">
        <w:t xml:space="preserve"> emergency</w:t>
      </w:r>
      <w:r w:rsidR="00F56F7A" w:rsidRPr="001B68DB">
        <w:t xml:space="preserve"> calls </w:t>
      </w:r>
      <w:r w:rsidR="00E21DD4" w:rsidRPr="001B68DB">
        <w:t xml:space="preserve">presented to switchboard </w:t>
      </w:r>
      <w:r w:rsidR="001B68DB">
        <w:t xml:space="preserve">in </w:t>
      </w:r>
      <w:r w:rsidR="00D706BD">
        <w:t xml:space="preserve">September </w:t>
      </w:r>
      <w:r w:rsidR="001B68DB">
        <w:t>2014</w:t>
      </w:r>
      <w:r w:rsidR="00F56F7A" w:rsidRPr="001B68DB">
        <w:t xml:space="preserve"> was</w:t>
      </w:r>
      <w:r w:rsidR="00642E05">
        <w:t xml:space="preserve"> </w:t>
      </w:r>
      <w:r w:rsidR="00D706BD" w:rsidRPr="00D706BD">
        <w:t xml:space="preserve">671,166 </w:t>
      </w:r>
      <w:r w:rsidR="00127E1D">
        <w:t>(</w:t>
      </w:r>
      <w:r w:rsidR="00642E05">
        <w:t>2</w:t>
      </w:r>
      <w:r w:rsidR="00D706BD">
        <w:t>2</w:t>
      </w:r>
      <w:r w:rsidR="00642E05">
        <w:t xml:space="preserve"> </w:t>
      </w:r>
      <w:r w:rsidR="008A503B" w:rsidRPr="001B68DB">
        <w:t>thousand per day</w:t>
      </w:r>
      <w:r w:rsidR="00642E05">
        <w:t>)</w:t>
      </w:r>
      <w:r w:rsidR="00260C5F">
        <w:t xml:space="preserve">, fewer than most </w:t>
      </w:r>
      <w:r w:rsidR="00BE741D">
        <w:t>months in 2014.</w:t>
      </w:r>
    </w:p>
    <w:p w:rsidR="00C957A6" w:rsidRDefault="00C957A6" w:rsidP="00C957A6">
      <w:r>
        <w:t>There were</w:t>
      </w:r>
      <w:r>
        <w:t xml:space="preserve"> </w:t>
      </w:r>
      <w:r w:rsidRPr="000D6BA7">
        <w:t xml:space="preserve">378,954 </w:t>
      </w:r>
      <w:r>
        <w:t>incidents requiring emergency patient journeys to Type 1 or Type 2 A&amp;E</w:t>
      </w:r>
      <w:r>
        <w:rPr>
          <w:rStyle w:val="FootnoteReference"/>
        </w:rPr>
        <w:footnoteReference w:id="4"/>
      </w:r>
      <w:r>
        <w:t xml:space="preserve"> in September 2014, or 12,632 per day, less than average for the </w:t>
      </w:r>
      <w:r>
        <w:t>previous</w:t>
      </w:r>
      <w:r>
        <w:t xml:space="preserve"> twelve months, but almost identical to September 2013.</w:t>
      </w:r>
    </w:p>
    <w:p w:rsidR="00127E1D" w:rsidRDefault="002F3C5E" w:rsidP="00127E1D">
      <w:r>
        <w:t>T</w:t>
      </w:r>
      <w:r w:rsidR="00127E1D">
        <w:t xml:space="preserve">he number of category </w:t>
      </w:r>
      <w:proofErr w:type="gramStart"/>
      <w:r w:rsidR="00127E1D">
        <w:t>A</w:t>
      </w:r>
      <w:proofErr w:type="gramEnd"/>
      <w:r w:rsidR="00127E1D">
        <w:t xml:space="preserve"> calls </w:t>
      </w:r>
      <w:r>
        <w:t>that resulted</w:t>
      </w:r>
      <w:r w:rsidR="00127E1D">
        <w:t xml:space="preserve"> in an ambulance arriving at the scene</w:t>
      </w:r>
      <w:r w:rsidR="00AD051D">
        <w:t xml:space="preserve"> was </w:t>
      </w:r>
      <w:r w:rsidR="00624EB5" w:rsidRPr="00624EB5">
        <w:t xml:space="preserve">246,883 </w:t>
      </w:r>
      <w:r w:rsidR="001A3A2C">
        <w:t xml:space="preserve">in </w:t>
      </w:r>
      <w:r w:rsidR="00624EB5">
        <w:t xml:space="preserve">September </w:t>
      </w:r>
      <w:r w:rsidR="00AD051D">
        <w:t xml:space="preserve">2014. This was </w:t>
      </w:r>
      <w:r w:rsidR="007B2807" w:rsidRPr="007B2807">
        <w:t xml:space="preserve">8,229 </w:t>
      </w:r>
      <w:r w:rsidR="00127E1D">
        <w:t>per day</w:t>
      </w:r>
      <w:r w:rsidR="00260C5F">
        <w:t>,</w:t>
      </w:r>
      <w:r w:rsidR="00BE741D">
        <w:t xml:space="preserve"> close to the highest </w:t>
      </w:r>
      <w:r w:rsidR="00260C5F">
        <w:t xml:space="preserve">rate </w:t>
      </w:r>
      <w:r w:rsidR="00BE741D">
        <w:t xml:space="preserve">of 8,450 per day in May 2014. </w:t>
      </w:r>
    </w:p>
    <w:p w:rsidR="00AD051D" w:rsidRDefault="00AD051D" w:rsidP="00ED3F78">
      <w:r>
        <w:t xml:space="preserve">In each year </w:t>
      </w:r>
      <w:r w:rsidR="00EF6133">
        <w:t xml:space="preserve">from </w:t>
      </w:r>
      <w:r>
        <w:t xml:space="preserve">2011 to 2014, </w:t>
      </w:r>
      <w:r w:rsidR="00C957A6">
        <w:t xml:space="preserve">September </w:t>
      </w:r>
      <w:r w:rsidR="00C957A6">
        <w:t xml:space="preserve">had </w:t>
      </w:r>
      <w:r w:rsidR="004F2D5D">
        <w:t xml:space="preserve">more </w:t>
      </w:r>
      <w:r w:rsidR="00C957A6">
        <w:t xml:space="preserve">incidents requiring </w:t>
      </w:r>
      <w:r>
        <w:t>patient journeys</w:t>
      </w:r>
      <w:r w:rsidR="00C957A6">
        <w:t xml:space="preserve"> per day,</w:t>
      </w:r>
      <w:r>
        <w:t xml:space="preserve"> </w:t>
      </w:r>
      <w:r w:rsidR="00C957A6">
        <w:t xml:space="preserve">and </w:t>
      </w:r>
      <w:r w:rsidR="00C957A6">
        <w:t xml:space="preserve">more </w:t>
      </w:r>
      <w:r w:rsidR="00C957A6">
        <w:t xml:space="preserve">category A calls </w:t>
      </w:r>
      <w:r w:rsidR="00C957A6">
        <w:t xml:space="preserve">per day, </w:t>
      </w:r>
      <w:r w:rsidR="00F703B0">
        <w:t xml:space="preserve">than the </w:t>
      </w:r>
      <w:r w:rsidR="004F2D5D">
        <w:t>August immediately before</w:t>
      </w:r>
      <w:r>
        <w:t>.</w:t>
      </w:r>
    </w:p>
    <w:p w:rsidR="00ED3F78" w:rsidRDefault="00C957A6" w:rsidP="00097741">
      <w:r>
        <w:rPr>
          <w:noProof/>
        </w:rPr>
        <w:drawing>
          <wp:inline distT="0" distB="0" distL="0" distR="0" wp14:anchorId="5998F928">
            <wp:extent cx="5200650" cy="4017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4017645"/>
                    </a:xfrm>
                    <a:prstGeom prst="rect">
                      <a:avLst/>
                    </a:prstGeom>
                    <a:noFill/>
                  </pic:spPr>
                </pic:pic>
              </a:graphicData>
            </a:graphic>
          </wp:inline>
        </w:drawing>
      </w:r>
    </w:p>
    <w:p w:rsidR="009B5D9A" w:rsidRDefault="002C522F" w:rsidP="00ED3F78">
      <w:pPr>
        <w:pStyle w:val="Heading3"/>
      </w:pPr>
      <w:r>
        <w:lastRenderedPageBreak/>
        <w:t>A4.</w:t>
      </w:r>
      <w:r w:rsidR="0044771F">
        <w:t xml:space="preserve"> </w:t>
      </w:r>
      <w:r w:rsidR="00551D2D">
        <w:t>T</w:t>
      </w:r>
      <w:r w:rsidR="009B5D9A" w:rsidRPr="009B5D9A">
        <w:t>rust averages and extremes</w:t>
      </w:r>
      <w:r w:rsidR="0044771F">
        <w:t xml:space="preserve"> for System</w:t>
      </w:r>
      <w:r w:rsidR="00407A2A">
        <w:t xml:space="preserve"> Indicators</w:t>
      </w:r>
      <w:r w:rsidR="003076B8">
        <w:t xml:space="preserve">, </w:t>
      </w:r>
      <w:r w:rsidR="008404D1">
        <w:t>Sep</w:t>
      </w:r>
      <w:r w:rsidR="0044771F">
        <w:t>tember</w:t>
      </w:r>
      <w:r w:rsidR="008404D1">
        <w:t xml:space="preserve"> </w:t>
      </w:r>
      <w:r w:rsidR="00551D2D">
        <w:t>2014</w:t>
      </w:r>
    </w:p>
    <w:tbl>
      <w:tblPr>
        <w:tblW w:w="8304" w:type="dxa"/>
        <w:tblLayout w:type="fixed"/>
        <w:tblLook w:val="04A0" w:firstRow="1" w:lastRow="0" w:firstColumn="1" w:lastColumn="0" w:noHBand="0" w:noVBand="1"/>
      </w:tblPr>
      <w:tblGrid>
        <w:gridCol w:w="4503"/>
        <w:gridCol w:w="1275"/>
        <w:gridCol w:w="1276"/>
        <w:gridCol w:w="1250"/>
      </w:tblGrid>
      <w:tr w:rsidR="009B5D9A" w:rsidTr="00A22978">
        <w:trPr>
          <w:trHeight w:val="567"/>
        </w:trPr>
        <w:tc>
          <w:tcPr>
            <w:tcW w:w="4503" w:type="dxa"/>
            <w:tcBorders>
              <w:bottom w:val="single" w:sz="4" w:space="0" w:color="auto"/>
            </w:tcBorders>
            <w:shd w:val="clear" w:color="000000" w:fill="E0E0E0"/>
            <w:vAlign w:val="center"/>
            <w:hideMark/>
          </w:tcPr>
          <w:p w:rsidR="009B5D9A" w:rsidRDefault="009B5D9A" w:rsidP="00761FF8">
            <w:pPr>
              <w:pStyle w:val="Heading4"/>
            </w:pPr>
            <w:r>
              <w:t>Indicator</w:t>
            </w:r>
          </w:p>
        </w:tc>
        <w:tc>
          <w:tcPr>
            <w:tcW w:w="1275" w:type="dxa"/>
            <w:tcBorders>
              <w:bottom w:val="single" w:sz="4" w:space="0" w:color="auto"/>
            </w:tcBorders>
            <w:shd w:val="clear" w:color="000000" w:fill="E0E0E0"/>
            <w:vAlign w:val="center"/>
            <w:hideMark/>
          </w:tcPr>
          <w:p w:rsidR="009B5D9A" w:rsidRDefault="009B5D9A" w:rsidP="00761FF8">
            <w:pPr>
              <w:pStyle w:val="Heading4"/>
            </w:pPr>
            <w:r>
              <w:t>All England</w:t>
            </w:r>
          </w:p>
        </w:tc>
        <w:tc>
          <w:tcPr>
            <w:tcW w:w="1276" w:type="dxa"/>
            <w:tcBorders>
              <w:bottom w:val="single" w:sz="4" w:space="0" w:color="auto"/>
            </w:tcBorders>
            <w:shd w:val="clear" w:color="000000" w:fill="E0E0E0"/>
            <w:vAlign w:val="center"/>
            <w:hideMark/>
          </w:tcPr>
          <w:p w:rsidR="009B5D9A" w:rsidRDefault="009B5D9A" w:rsidP="00761FF8">
            <w:pPr>
              <w:pStyle w:val="Heading4"/>
            </w:pPr>
            <w:r>
              <w:t>Lowest Trust</w:t>
            </w:r>
          </w:p>
        </w:tc>
        <w:tc>
          <w:tcPr>
            <w:tcW w:w="1250" w:type="dxa"/>
            <w:tcBorders>
              <w:bottom w:val="single" w:sz="4" w:space="0" w:color="auto"/>
            </w:tcBorders>
            <w:shd w:val="clear" w:color="000000" w:fill="E0E0E0"/>
            <w:vAlign w:val="center"/>
            <w:hideMark/>
          </w:tcPr>
          <w:p w:rsidR="009B5D9A" w:rsidRDefault="009B5D9A" w:rsidP="00761FF8">
            <w:pPr>
              <w:pStyle w:val="Heading4"/>
            </w:pPr>
            <w:r>
              <w:t>Highest Trust</w:t>
            </w:r>
          </w:p>
        </w:tc>
      </w:tr>
      <w:tr w:rsidR="005945B8" w:rsidTr="00A22978">
        <w:trPr>
          <w:trHeight w:val="567"/>
        </w:trPr>
        <w:tc>
          <w:tcPr>
            <w:tcW w:w="4503" w:type="dxa"/>
            <w:tcBorders>
              <w:top w:val="single" w:sz="4" w:space="0" w:color="auto"/>
            </w:tcBorders>
            <w:shd w:val="clear" w:color="000000" w:fill="FFFFFF"/>
            <w:vAlign w:val="center"/>
            <w:hideMark/>
          </w:tcPr>
          <w:p w:rsidR="005945B8" w:rsidRDefault="005945B8" w:rsidP="00761FF8">
            <w:pPr>
              <w:pStyle w:val="NoSpacing"/>
            </w:pPr>
            <w:r>
              <w:t xml:space="preserve">Red 1: 8 minute </w:t>
            </w:r>
            <w:r w:rsidR="00407A2A">
              <w:t xml:space="preserve">emergency </w:t>
            </w:r>
            <w:r>
              <w:t>response</w:t>
            </w:r>
          </w:p>
        </w:tc>
        <w:tc>
          <w:tcPr>
            <w:tcW w:w="1275" w:type="dxa"/>
            <w:tcBorders>
              <w:top w:val="single" w:sz="4" w:space="0" w:color="auto"/>
            </w:tcBorders>
            <w:shd w:val="clear" w:color="000000" w:fill="FFFFFF"/>
            <w:vAlign w:val="center"/>
            <w:hideMark/>
          </w:tcPr>
          <w:p w:rsidR="00407A2A" w:rsidRDefault="005945B8" w:rsidP="00A92F4D">
            <w:pPr>
              <w:pStyle w:val="NoSpacing"/>
              <w:jc w:val="right"/>
            </w:pPr>
            <w:r>
              <w:t>7</w:t>
            </w:r>
            <w:r w:rsidR="00A92F4D">
              <w:t>2</w:t>
            </w:r>
            <w:r>
              <w:t>.</w:t>
            </w:r>
            <w:r w:rsidR="00A92F4D">
              <w:t>7</w:t>
            </w:r>
            <w:r>
              <w:t>%</w:t>
            </w:r>
          </w:p>
        </w:tc>
        <w:tc>
          <w:tcPr>
            <w:tcW w:w="1276" w:type="dxa"/>
            <w:tcBorders>
              <w:top w:val="single" w:sz="4" w:space="0" w:color="auto"/>
            </w:tcBorders>
            <w:shd w:val="clear" w:color="000000" w:fill="FFFFFF"/>
            <w:vAlign w:val="center"/>
            <w:hideMark/>
          </w:tcPr>
          <w:p w:rsidR="005945B8" w:rsidRDefault="005945B8" w:rsidP="0095462C">
            <w:pPr>
              <w:pStyle w:val="NoSpacing"/>
              <w:jc w:val="right"/>
            </w:pPr>
            <w:r>
              <w:t>6</w:t>
            </w:r>
            <w:r w:rsidR="00A92F4D">
              <w:t>1</w:t>
            </w:r>
            <w:r>
              <w:t>.</w:t>
            </w:r>
            <w:r w:rsidR="00A92F4D">
              <w:t>9</w:t>
            </w:r>
            <w:r>
              <w:t>%</w:t>
            </w:r>
          </w:p>
        </w:tc>
        <w:tc>
          <w:tcPr>
            <w:tcW w:w="1250" w:type="dxa"/>
            <w:tcBorders>
              <w:top w:val="single" w:sz="4" w:space="0" w:color="auto"/>
            </w:tcBorders>
            <w:shd w:val="clear" w:color="000000" w:fill="FFFFFF"/>
            <w:vAlign w:val="center"/>
            <w:hideMark/>
          </w:tcPr>
          <w:p w:rsidR="005945B8" w:rsidRDefault="003076B8" w:rsidP="00A92F4D">
            <w:pPr>
              <w:pStyle w:val="NoSpacing"/>
              <w:jc w:val="right"/>
            </w:pPr>
            <w:r>
              <w:t>8</w:t>
            </w:r>
            <w:r w:rsidR="00A92F4D">
              <w:t>3.0</w:t>
            </w:r>
            <w:r w:rsidR="005945B8">
              <w:t>%</w:t>
            </w:r>
            <w:r w:rsidR="00265EFB">
              <w:t xml:space="preserve"> </w:t>
            </w:r>
          </w:p>
        </w:tc>
      </w:tr>
      <w:tr w:rsidR="005945B8" w:rsidTr="00A22978">
        <w:trPr>
          <w:trHeight w:val="567"/>
        </w:trPr>
        <w:tc>
          <w:tcPr>
            <w:tcW w:w="4503" w:type="dxa"/>
            <w:shd w:val="clear" w:color="000000" w:fill="FFFFFF"/>
            <w:vAlign w:val="center"/>
            <w:hideMark/>
          </w:tcPr>
          <w:p w:rsidR="005945B8" w:rsidRDefault="005945B8" w:rsidP="00097741">
            <w:pPr>
              <w:pStyle w:val="NoSpacing"/>
            </w:pPr>
            <w:r>
              <w:t xml:space="preserve">Red 2: 8 minute </w:t>
            </w:r>
            <w:r w:rsidR="00407A2A">
              <w:t>emergency response</w:t>
            </w:r>
          </w:p>
        </w:tc>
        <w:tc>
          <w:tcPr>
            <w:tcW w:w="1275" w:type="dxa"/>
            <w:shd w:val="clear" w:color="000000" w:fill="FFFFFF"/>
            <w:vAlign w:val="center"/>
            <w:hideMark/>
          </w:tcPr>
          <w:p w:rsidR="005945B8" w:rsidRDefault="003076B8" w:rsidP="00A92F4D">
            <w:pPr>
              <w:pStyle w:val="NoSpacing"/>
              <w:jc w:val="right"/>
            </w:pPr>
            <w:r>
              <w:t>70.</w:t>
            </w:r>
            <w:r w:rsidR="00A92F4D">
              <w:t>0</w:t>
            </w:r>
            <w:r w:rsidR="005945B8">
              <w:t>%</w:t>
            </w:r>
          </w:p>
        </w:tc>
        <w:tc>
          <w:tcPr>
            <w:tcW w:w="1276" w:type="dxa"/>
            <w:shd w:val="clear" w:color="000000" w:fill="FFFFFF"/>
            <w:vAlign w:val="center"/>
            <w:hideMark/>
          </w:tcPr>
          <w:p w:rsidR="005945B8" w:rsidRDefault="00A92F4D" w:rsidP="003076B8">
            <w:pPr>
              <w:pStyle w:val="NoSpacing"/>
              <w:jc w:val="right"/>
            </w:pPr>
            <w:r>
              <w:t>54.0</w:t>
            </w:r>
            <w:r w:rsidR="005945B8">
              <w:t>%</w:t>
            </w:r>
          </w:p>
        </w:tc>
        <w:tc>
          <w:tcPr>
            <w:tcW w:w="1250" w:type="dxa"/>
            <w:shd w:val="clear" w:color="000000" w:fill="FFFFFF"/>
            <w:vAlign w:val="center"/>
            <w:hideMark/>
          </w:tcPr>
          <w:p w:rsidR="005945B8" w:rsidRDefault="00407A2A" w:rsidP="00A92F4D">
            <w:pPr>
              <w:pStyle w:val="NoSpacing"/>
              <w:jc w:val="right"/>
            </w:pPr>
            <w:r>
              <w:t>7</w:t>
            </w:r>
            <w:r w:rsidR="003076B8">
              <w:t>6.</w:t>
            </w:r>
            <w:r w:rsidR="00A92F4D">
              <w:t>9</w:t>
            </w:r>
            <w:r w:rsidR="003076B8">
              <w:t>%</w:t>
            </w:r>
            <w:r w:rsidR="00265EFB">
              <w:t xml:space="preserve"> </w:t>
            </w:r>
          </w:p>
        </w:tc>
      </w:tr>
      <w:tr w:rsidR="005945B8" w:rsidTr="00A22978">
        <w:trPr>
          <w:trHeight w:val="567"/>
        </w:trPr>
        <w:tc>
          <w:tcPr>
            <w:tcW w:w="4503" w:type="dxa"/>
            <w:shd w:val="clear" w:color="000000" w:fill="FFFFFF"/>
            <w:vAlign w:val="center"/>
            <w:hideMark/>
          </w:tcPr>
          <w:p w:rsidR="005945B8" w:rsidRDefault="005945B8" w:rsidP="00761FF8">
            <w:pPr>
              <w:pStyle w:val="NoSpacing"/>
            </w:pPr>
            <w:r>
              <w:t>Category A: 19 minute</w:t>
            </w:r>
            <w:r w:rsidR="00407A2A">
              <w:t xml:space="preserve"> ambulance</w:t>
            </w:r>
            <w:r>
              <w:t xml:space="preserve"> response</w:t>
            </w:r>
          </w:p>
        </w:tc>
        <w:tc>
          <w:tcPr>
            <w:tcW w:w="1275" w:type="dxa"/>
            <w:shd w:val="clear" w:color="000000" w:fill="FFFFFF"/>
            <w:vAlign w:val="center"/>
            <w:hideMark/>
          </w:tcPr>
          <w:p w:rsidR="005945B8" w:rsidRDefault="00407A2A" w:rsidP="004F3810">
            <w:pPr>
              <w:pStyle w:val="NoSpacing"/>
              <w:jc w:val="right"/>
            </w:pPr>
            <w:r>
              <w:t>94.</w:t>
            </w:r>
            <w:r w:rsidR="004F3810">
              <w:t>4</w:t>
            </w:r>
            <w:r w:rsidR="005945B8">
              <w:t>%</w:t>
            </w:r>
          </w:p>
        </w:tc>
        <w:tc>
          <w:tcPr>
            <w:tcW w:w="1276" w:type="dxa"/>
            <w:shd w:val="clear" w:color="000000" w:fill="FFFFFF"/>
            <w:vAlign w:val="center"/>
            <w:hideMark/>
          </w:tcPr>
          <w:p w:rsidR="005945B8" w:rsidRDefault="004F3810" w:rsidP="003076B8">
            <w:pPr>
              <w:pStyle w:val="NoSpacing"/>
              <w:jc w:val="right"/>
            </w:pPr>
            <w:r>
              <w:t>90.5</w:t>
            </w:r>
            <w:r w:rsidR="00407A2A">
              <w:t>%</w:t>
            </w:r>
          </w:p>
        </w:tc>
        <w:tc>
          <w:tcPr>
            <w:tcW w:w="1250" w:type="dxa"/>
            <w:shd w:val="clear" w:color="000000" w:fill="FFFFFF"/>
            <w:vAlign w:val="center"/>
            <w:hideMark/>
          </w:tcPr>
          <w:p w:rsidR="005945B8" w:rsidRDefault="005945B8" w:rsidP="003E540C">
            <w:pPr>
              <w:pStyle w:val="NoSpacing"/>
              <w:jc w:val="right"/>
            </w:pPr>
            <w:r>
              <w:t>9</w:t>
            </w:r>
            <w:r w:rsidR="004F3810">
              <w:t>7.3</w:t>
            </w:r>
            <w:r>
              <w:t>%</w:t>
            </w:r>
            <w:r w:rsidR="00F703B0">
              <w:t xml:space="preserve"> </w:t>
            </w:r>
            <w:r w:rsidR="003708E7">
              <w:rPr>
                <w:rStyle w:val="FootnoteReference"/>
              </w:rPr>
              <w:footnoteReference w:id="5"/>
            </w:r>
          </w:p>
        </w:tc>
      </w:tr>
      <w:tr w:rsidR="005945B8" w:rsidTr="00A22978">
        <w:trPr>
          <w:trHeight w:val="567"/>
        </w:trPr>
        <w:tc>
          <w:tcPr>
            <w:tcW w:w="4503" w:type="dxa"/>
            <w:shd w:val="clear" w:color="000000" w:fill="FFFFFF"/>
            <w:vAlign w:val="center"/>
            <w:hideMark/>
          </w:tcPr>
          <w:p w:rsidR="005945B8" w:rsidRDefault="005945B8" w:rsidP="00761FF8">
            <w:pPr>
              <w:pStyle w:val="NoSpacing"/>
            </w:pPr>
            <w:r>
              <w:t>Calls abandoned before being answered</w:t>
            </w:r>
            <w:r w:rsidR="00F703B0">
              <w:t xml:space="preserve"> </w:t>
            </w:r>
            <w:r w:rsidR="0095462C">
              <w:rPr>
                <w:rStyle w:val="FootnoteReference"/>
              </w:rPr>
              <w:footnoteReference w:id="6"/>
            </w:r>
          </w:p>
        </w:tc>
        <w:tc>
          <w:tcPr>
            <w:tcW w:w="1275" w:type="dxa"/>
            <w:shd w:val="clear" w:color="000000" w:fill="FFFFFF"/>
            <w:vAlign w:val="center"/>
            <w:hideMark/>
          </w:tcPr>
          <w:p w:rsidR="005945B8" w:rsidRDefault="003076B8" w:rsidP="001C5911">
            <w:pPr>
              <w:pStyle w:val="NoSpacing"/>
              <w:jc w:val="right"/>
            </w:pPr>
            <w:r>
              <w:t>1.</w:t>
            </w:r>
            <w:r w:rsidR="001C5911">
              <w:t>7</w:t>
            </w:r>
            <w:r w:rsidR="00407A2A">
              <w:t>%</w:t>
            </w:r>
          </w:p>
        </w:tc>
        <w:tc>
          <w:tcPr>
            <w:tcW w:w="1276" w:type="dxa"/>
            <w:shd w:val="clear" w:color="000000" w:fill="FFFFFF"/>
            <w:vAlign w:val="center"/>
            <w:hideMark/>
          </w:tcPr>
          <w:p w:rsidR="005945B8" w:rsidRDefault="005945B8" w:rsidP="00DF69D1">
            <w:pPr>
              <w:pStyle w:val="NoSpacing"/>
              <w:jc w:val="right"/>
            </w:pPr>
            <w:r>
              <w:t>0.</w:t>
            </w:r>
            <w:r w:rsidR="001C5911">
              <w:t>5</w:t>
            </w:r>
            <w:r>
              <w:t>%</w:t>
            </w:r>
          </w:p>
        </w:tc>
        <w:tc>
          <w:tcPr>
            <w:tcW w:w="1250" w:type="dxa"/>
            <w:shd w:val="clear" w:color="000000" w:fill="FFFFFF"/>
            <w:vAlign w:val="center"/>
            <w:hideMark/>
          </w:tcPr>
          <w:p w:rsidR="005945B8" w:rsidRDefault="003076B8" w:rsidP="001C5911">
            <w:pPr>
              <w:pStyle w:val="NoSpacing"/>
              <w:jc w:val="right"/>
            </w:pPr>
            <w:r>
              <w:t>4.</w:t>
            </w:r>
            <w:r w:rsidR="001C5911">
              <w:t>6</w:t>
            </w:r>
            <w:r w:rsidR="005945B8">
              <w:t>%</w:t>
            </w:r>
          </w:p>
        </w:tc>
      </w:tr>
      <w:tr w:rsidR="005945B8" w:rsidTr="00A22978">
        <w:trPr>
          <w:trHeight w:val="567"/>
        </w:trPr>
        <w:tc>
          <w:tcPr>
            <w:tcW w:w="4503" w:type="dxa"/>
            <w:shd w:val="clear" w:color="000000" w:fill="FFFFFF"/>
            <w:vAlign w:val="center"/>
            <w:hideMark/>
          </w:tcPr>
          <w:p w:rsidR="005945B8" w:rsidRDefault="005945B8" w:rsidP="00ED3F78">
            <w:pPr>
              <w:pStyle w:val="NoSpacing"/>
            </w:pPr>
            <w:r>
              <w:t>Calls resolved through telephone assessment</w:t>
            </w:r>
          </w:p>
        </w:tc>
        <w:tc>
          <w:tcPr>
            <w:tcW w:w="1275" w:type="dxa"/>
            <w:shd w:val="clear" w:color="000000" w:fill="FFFFFF"/>
            <w:vAlign w:val="center"/>
            <w:hideMark/>
          </w:tcPr>
          <w:p w:rsidR="005945B8" w:rsidRDefault="00407A2A" w:rsidP="00D4130A">
            <w:pPr>
              <w:pStyle w:val="NoSpacing"/>
              <w:jc w:val="right"/>
            </w:pPr>
            <w:r>
              <w:t>7.</w:t>
            </w:r>
            <w:r w:rsidR="00D4130A">
              <w:t>7</w:t>
            </w:r>
            <w:r>
              <w:t>%</w:t>
            </w:r>
          </w:p>
        </w:tc>
        <w:tc>
          <w:tcPr>
            <w:tcW w:w="1276" w:type="dxa"/>
            <w:shd w:val="clear" w:color="000000" w:fill="FFFFFF"/>
            <w:vAlign w:val="center"/>
            <w:hideMark/>
          </w:tcPr>
          <w:p w:rsidR="005945B8" w:rsidRDefault="002C1974" w:rsidP="003076B8">
            <w:pPr>
              <w:pStyle w:val="NoSpacing"/>
              <w:jc w:val="right"/>
            </w:pPr>
            <w:r>
              <w:t>3.3</w:t>
            </w:r>
            <w:r w:rsidR="005945B8">
              <w:t>%</w:t>
            </w:r>
          </w:p>
        </w:tc>
        <w:tc>
          <w:tcPr>
            <w:tcW w:w="1250" w:type="dxa"/>
            <w:shd w:val="clear" w:color="000000" w:fill="FFFFFF"/>
            <w:vAlign w:val="center"/>
            <w:hideMark/>
          </w:tcPr>
          <w:p w:rsidR="005945B8" w:rsidRDefault="00407A2A" w:rsidP="00D4130A">
            <w:pPr>
              <w:pStyle w:val="NoSpacing"/>
              <w:jc w:val="right"/>
            </w:pPr>
            <w:r>
              <w:t>1</w:t>
            </w:r>
            <w:r w:rsidR="00D4130A">
              <w:t>4</w:t>
            </w:r>
            <w:r>
              <w:t>.</w:t>
            </w:r>
            <w:r w:rsidR="00D4130A">
              <w:t>5</w:t>
            </w:r>
            <w:r w:rsidR="005945B8">
              <w:t>%</w:t>
            </w:r>
          </w:p>
        </w:tc>
      </w:tr>
      <w:tr w:rsidR="005945B8" w:rsidTr="00A22978">
        <w:trPr>
          <w:trHeight w:val="567"/>
        </w:trPr>
        <w:tc>
          <w:tcPr>
            <w:tcW w:w="4503" w:type="dxa"/>
            <w:shd w:val="clear" w:color="000000" w:fill="FFFFFF"/>
            <w:vAlign w:val="center"/>
            <w:hideMark/>
          </w:tcPr>
          <w:p w:rsidR="005945B8" w:rsidRDefault="005945B8" w:rsidP="00761FF8">
            <w:pPr>
              <w:pStyle w:val="NoSpacing"/>
            </w:pPr>
            <w:r>
              <w:t>Calls resolved without transport to Type 1 or Type 2 A&amp;E</w:t>
            </w:r>
          </w:p>
        </w:tc>
        <w:tc>
          <w:tcPr>
            <w:tcW w:w="1275" w:type="dxa"/>
            <w:shd w:val="clear" w:color="000000" w:fill="FFFFFF"/>
            <w:vAlign w:val="center"/>
            <w:hideMark/>
          </w:tcPr>
          <w:p w:rsidR="005945B8" w:rsidRDefault="005945B8" w:rsidP="00D4130A">
            <w:pPr>
              <w:pStyle w:val="NoSpacing"/>
              <w:jc w:val="right"/>
            </w:pPr>
            <w:r>
              <w:t>3</w:t>
            </w:r>
            <w:r w:rsidR="00407A2A">
              <w:t>7.</w:t>
            </w:r>
            <w:r w:rsidR="00D4130A">
              <w:t>1</w:t>
            </w:r>
            <w:r>
              <w:t>%</w:t>
            </w:r>
          </w:p>
        </w:tc>
        <w:tc>
          <w:tcPr>
            <w:tcW w:w="1276" w:type="dxa"/>
            <w:shd w:val="clear" w:color="000000" w:fill="FFFFFF"/>
            <w:vAlign w:val="center"/>
            <w:hideMark/>
          </w:tcPr>
          <w:p w:rsidR="005945B8" w:rsidRDefault="002C1974" w:rsidP="00D4130A">
            <w:pPr>
              <w:pStyle w:val="NoSpacing"/>
              <w:jc w:val="right"/>
            </w:pPr>
            <w:r>
              <w:t>27.</w:t>
            </w:r>
            <w:r w:rsidR="00D4130A">
              <w:t>2</w:t>
            </w:r>
            <w:r w:rsidR="005945B8">
              <w:t>%</w:t>
            </w:r>
          </w:p>
        </w:tc>
        <w:tc>
          <w:tcPr>
            <w:tcW w:w="1250" w:type="dxa"/>
            <w:shd w:val="clear" w:color="000000" w:fill="FFFFFF"/>
            <w:vAlign w:val="center"/>
            <w:hideMark/>
          </w:tcPr>
          <w:p w:rsidR="005945B8" w:rsidRDefault="00407A2A" w:rsidP="00D4130A">
            <w:pPr>
              <w:pStyle w:val="NoSpacing"/>
              <w:jc w:val="right"/>
            </w:pPr>
            <w:r>
              <w:t>5</w:t>
            </w:r>
            <w:r w:rsidR="00D4130A">
              <w:t>1</w:t>
            </w:r>
            <w:r>
              <w:t>.</w:t>
            </w:r>
            <w:r w:rsidR="00D4130A">
              <w:t>9</w:t>
            </w:r>
            <w:r>
              <w:t>%</w:t>
            </w:r>
          </w:p>
        </w:tc>
      </w:tr>
      <w:tr w:rsidR="005945B8" w:rsidTr="00A22978">
        <w:trPr>
          <w:trHeight w:val="567"/>
        </w:trPr>
        <w:tc>
          <w:tcPr>
            <w:tcW w:w="4503" w:type="dxa"/>
            <w:shd w:val="clear" w:color="000000" w:fill="FFFFFF"/>
            <w:vAlign w:val="center"/>
            <w:hideMark/>
          </w:tcPr>
          <w:p w:rsidR="005945B8" w:rsidRDefault="005945B8" w:rsidP="00761FF8">
            <w:pPr>
              <w:pStyle w:val="NoSpacing"/>
            </w:pPr>
            <w:bookmarkStart w:id="0" w:name="RANGE!A22"/>
            <w:r>
              <w:t>Recontact rate following discharge by telephone advice</w:t>
            </w:r>
            <w:bookmarkEnd w:id="0"/>
          </w:p>
        </w:tc>
        <w:tc>
          <w:tcPr>
            <w:tcW w:w="1275" w:type="dxa"/>
            <w:shd w:val="clear" w:color="000000" w:fill="FFFFFF"/>
            <w:vAlign w:val="center"/>
            <w:hideMark/>
          </w:tcPr>
          <w:p w:rsidR="005945B8" w:rsidRDefault="00D4130A" w:rsidP="00D4130A">
            <w:pPr>
              <w:pStyle w:val="NoSpacing"/>
              <w:jc w:val="right"/>
            </w:pPr>
            <w:r>
              <w:t>6</w:t>
            </w:r>
            <w:r w:rsidR="003076B8">
              <w:t>.</w:t>
            </w:r>
            <w:r>
              <w:t>9</w:t>
            </w:r>
            <w:r w:rsidR="006303F7">
              <w:t>%</w:t>
            </w:r>
          </w:p>
        </w:tc>
        <w:tc>
          <w:tcPr>
            <w:tcW w:w="1276" w:type="dxa"/>
            <w:shd w:val="clear" w:color="000000" w:fill="FFFFFF"/>
            <w:vAlign w:val="center"/>
            <w:hideMark/>
          </w:tcPr>
          <w:p w:rsidR="005945B8" w:rsidRDefault="00A458E0" w:rsidP="00A458E0">
            <w:pPr>
              <w:pStyle w:val="NoSpacing"/>
              <w:jc w:val="right"/>
            </w:pPr>
            <w:r>
              <w:t>0.3</w:t>
            </w:r>
            <w:r w:rsidR="006303F7">
              <w:t>%</w:t>
            </w:r>
          </w:p>
        </w:tc>
        <w:tc>
          <w:tcPr>
            <w:tcW w:w="1250" w:type="dxa"/>
            <w:shd w:val="clear" w:color="000000" w:fill="FFFFFF"/>
            <w:vAlign w:val="center"/>
            <w:hideMark/>
          </w:tcPr>
          <w:p w:rsidR="005945B8" w:rsidRDefault="003076B8" w:rsidP="00D4130A">
            <w:pPr>
              <w:pStyle w:val="NoSpacing"/>
              <w:jc w:val="right"/>
            </w:pPr>
            <w:r>
              <w:t>14</w:t>
            </w:r>
            <w:r w:rsidR="006303F7">
              <w:t>.</w:t>
            </w:r>
            <w:r w:rsidR="00D4130A">
              <w:t>5</w:t>
            </w:r>
            <w:r w:rsidR="006303F7">
              <w:t>%</w:t>
            </w:r>
          </w:p>
        </w:tc>
      </w:tr>
      <w:tr w:rsidR="005945B8" w:rsidTr="00A22978">
        <w:trPr>
          <w:trHeight w:val="567"/>
        </w:trPr>
        <w:tc>
          <w:tcPr>
            <w:tcW w:w="4503" w:type="dxa"/>
            <w:shd w:val="clear" w:color="000000" w:fill="FFFFFF"/>
            <w:vAlign w:val="center"/>
            <w:hideMark/>
          </w:tcPr>
          <w:p w:rsidR="005945B8" w:rsidRDefault="005945B8" w:rsidP="00761FF8">
            <w:pPr>
              <w:pStyle w:val="NoSpacing"/>
            </w:pPr>
            <w:r>
              <w:t>Recontact rate following face-to-face treatment at scene</w:t>
            </w:r>
          </w:p>
        </w:tc>
        <w:tc>
          <w:tcPr>
            <w:tcW w:w="1275" w:type="dxa"/>
            <w:shd w:val="clear" w:color="000000" w:fill="FFFFFF"/>
            <w:vAlign w:val="center"/>
            <w:hideMark/>
          </w:tcPr>
          <w:p w:rsidR="005945B8" w:rsidRDefault="00A458E0" w:rsidP="00407A2A">
            <w:pPr>
              <w:pStyle w:val="NoSpacing"/>
              <w:jc w:val="right"/>
            </w:pPr>
            <w:r>
              <w:t>5.3</w:t>
            </w:r>
            <w:r w:rsidR="006303F7">
              <w:t>%</w:t>
            </w:r>
          </w:p>
        </w:tc>
        <w:tc>
          <w:tcPr>
            <w:tcW w:w="1276" w:type="dxa"/>
            <w:shd w:val="clear" w:color="000000" w:fill="FFFFFF"/>
            <w:vAlign w:val="center"/>
            <w:hideMark/>
          </w:tcPr>
          <w:p w:rsidR="005945B8" w:rsidRDefault="00A458E0" w:rsidP="00A458E0">
            <w:pPr>
              <w:pStyle w:val="NoSpacing"/>
              <w:jc w:val="right"/>
            </w:pPr>
            <w:r>
              <w:t>3</w:t>
            </w:r>
            <w:r w:rsidR="001407C4">
              <w:t>.7</w:t>
            </w:r>
            <w:r w:rsidR="005945B8">
              <w:t>%</w:t>
            </w:r>
          </w:p>
        </w:tc>
        <w:tc>
          <w:tcPr>
            <w:tcW w:w="1250" w:type="dxa"/>
            <w:shd w:val="clear" w:color="000000" w:fill="FFFFFF"/>
            <w:vAlign w:val="center"/>
            <w:hideMark/>
          </w:tcPr>
          <w:p w:rsidR="005945B8" w:rsidRDefault="006303F7" w:rsidP="00D4130A">
            <w:pPr>
              <w:pStyle w:val="NoSpacing"/>
              <w:jc w:val="right"/>
            </w:pPr>
            <w:r>
              <w:t>7</w:t>
            </w:r>
            <w:r w:rsidR="005945B8">
              <w:t>.</w:t>
            </w:r>
            <w:r w:rsidR="00D4130A">
              <w:t>5</w:t>
            </w:r>
            <w:r w:rsidR="005945B8">
              <w:t>%</w:t>
            </w:r>
          </w:p>
        </w:tc>
      </w:tr>
      <w:tr w:rsidR="006303F7" w:rsidTr="00A22978">
        <w:trPr>
          <w:trHeight w:val="567"/>
        </w:trPr>
        <w:tc>
          <w:tcPr>
            <w:tcW w:w="4503" w:type="dxa"/>
            <w:tcBorders>
              <w:bottom w:val="single" w:sz="4" w:space="0" w:color="auto"/>
            </w:tcBorders>
            <w:shd w:val="clear" w:color="auto" w:fill="auto"/>
            <w:vAlign w:val="center"/>
            <w:hideMark/>
          </w:tcPr>
          <w:p w:rsidR="006303F7" w:rsidRDefault="006303F7" w:rsidP="00761FF8">
            <w:pPr>
              <w:pStyle w:val="NoSpacing"/>
            </w:pPr>
            <w:r>
              <w:t>Number of emergency journeys</w:t>
            </w:r>
          </w:p>
        </w:tc>
        <w:tc>
          <w:tcPr>
            <w:tcW w:w="1275" w:type="dxa"/>
            <w:tcBorders>
              <w:bottom w:val="single" w:sz="4" w:space="0" w:color="auto"/>
            </w:tcBorders>
            <w:shd w:val="clear" w:color="auto" w:fill="auto"/>
            <w:vAlign w:val="center"/>
            <w:hideMark/>
          </w:tcPr>
          <w:p w:rsidR="006303F7" w:rsidRDefault="00D4130A" w:rsidP="00407A2A">
            <w:pPr>
              <w:pStyle w:val="NoSpacing"/>
              <w:jc w:val="right"/>
            </w:pPr>
            <w:r w:rsidRPr="00D4130A">
              <w:t>378,954</w:t>
            </w:r>
          </w:p>
        </w:tc>
        <w:tc>
          <w:tcPr>
            <w:tcW w:w="1276" w:type="dxa"/>
            <w:tcBorders>
              <w:bottom w:val="single" w:sz="4" w:space="0" w:color="auto"/>
            </w:tcBorders>
            <w:shd w:val="clear" w:color="auto" w:fill="auto"/>
            <w:noWrap/>
            <w:vAlign w:val="center"/>
          </w:tcPr>
          <w:p w:rsidR="006303F7" w:rsidRDefault="00D4130A" w:rsidP="00B4687B">
            <w:pPr>
              <w:pStyle w:val="NoSpacing"/>
              <w:jc w:val="right"/>
            </w:pPr>
            <w:r>
              <w:t>19</w:t>
            </w:r>
            <w:r w:rsidR="0005401E" w:rsidRPr="0005401E">
              <w:t>,</w:t>
            </w:r>
            <w:r>
              <w:t>892</w:t>
            </w:r>
            <w:r w:rsidR="00175513">
              <w:t xml:space="preserve"> </w:t>
            </w:r>
            <w:r w:rsidR="0095462C" w:rsidRPr="0095462C">
              <w:rPr>
                <w:vertAlign w:val="superscript"/>
              </w:rPr>
              <w:t>5</w:t>
            </w:r>
          </w:p>
        </w:tc>
        <w:tc>
          <w:tcPr>
            <w:tcW w:w="1250" w:type="dxa"/>
            <w:tcBorders>
              <w:bottom w:val="single" w:sz="4" w:space="0" w:color="auto"/>
            </w:tcBorders>
            <w:shd w:val="clear" w:color="auto" w:fill="auto"/>
            <w:noWrap/>
            <w:vAlign w:val="center"/>
          </w:tcPr>
          <w:p w:rsidR="006303F7" w:rsidRDefault="001407C4" w:rsidP="00D4130A">
            <w:pPr>
              <w:pStyle w:val="NoSpacing"/>
              <w:jc w:val="right"/>
            </w:pPr>
            <w:r>
              <w:t>6</w:t>
            </w:r>
            <w:r w:rsidR="00D4130A">
              <w:t>0,347</w:t>
            </w:r>
          </w:p>
        </w:tc>
      </w:tr>
    </w:tbl>
    <w:p w:rsidR="00605F7E" w:rsidRDefault="00605F7E" w:rsidP="00605F7E">
      <w:pPr>
        <w:pStyle w:val="NoSpacing"/>
      </w:pPr>
    </w:p>
    <w:p w:rsidR="00605F7E" w:rsidRPr="00E47C1E" w:rsidRDefault="00605F7E" w:rsidP="00605F7E">
      <w:pPr>
        <w:pStyle w:val="Heading3"/>
      </w:pPr>
      <w:r>
        <w:t xml:space="preserve">A5. </w:t>
      </w:r>
      <w:r w:rsidRPr="00E47C1E">
        <w:t>Revisions</w:t>
      </w:r>
    </w:p>
    <w:p w:rsidR="00097741" w:rsidRDefault="00605F7E" w:rsidP="00605F7E">
      <w:r>
        <w:t xml:space="preserve">Systems Indicators are revised every six month. </w:t>
      </w:r>
      <w:r w:rsidR="00097741">
        <w:t>The full set of revised data are in the Systems Indicators Time Series spreadsheet on the AQI landing page</w:t>
      </w:r>
      <w:r w:rsidR="00A22978">
        <w:t xml:space="preserve">; </w:t>
      </w:r>
      <w:r w:rsidR="00097741">
        <w:t xml:space="preserve">and also in the pages linked </w:t>
      </w:r>
      <w:r w:rsidR="00A22978">
        <w:t>on</w:t>
      </w:r>
      <w:r w:rsidR="00097741">
        <w:t xml:space="preserve"> that site</w:t>
      </w:r>
      <w:r w:rsidR="00A22978">
        <w:t xml:space="preserve">, holding </w:t>
      </w:r>
      <w:r w:rsidR="00097741">
        <w:t>separate spreadsheets for each month of 2013-14 and 2014-15.</w:t>
      </w:r>
    </w:p>
    <w:p w:rsidR="00605F7E" w:rsidRDefault="00097741" w:rsidP="00605F7E">
      <w:r>
        <w:t xml:space="preserve">Revisions </w:t>
      </w:r>
      <w:r w:rsidR="00605F7E">
        <w:t xml:space="preserve">in today’s </w:t>
      </w:r>
      <w:r w:rsidR="00605F7E" w:rsidRPr="00E47C1E">
        <w:t>publication</w:t>
      </w:r>
      <w:r>
        <w:t xml:space="preserve"> affect</w:t>
      </w:r>
      <w:r w:rsidR="00605F7E">
        <w:t>:</w:t>
      </w:r>
    </w:p>
    <w:tbl>
      <w:tblPr>
        <w:tblStyle w:val="TableGrid"/>
        <w:tblW w:w="0" w:type="auto"/>
        <w:tblBorders>
          <w:top w:val="none" w:sz="0" w:space="0" w:color="auto"/>
          <w:left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93"/>
        <w:gridCol w:w="3118"/>
        <w:gridCol w:w="3261"/>
      </w:tblGrid>
      <w:tr w:rsidR="00097741" w:rsidTr="002B4F9D">
        <w:tc>
          <w:tcPr>
            <w:tcW w:w="2093" w:type="dxa"/>
            <w:tcBorders>
              <w:top w:val="nil"/>
              <w:bottom w:val="single" w:sz="4" w:space="0" w:color="auto"/>
            </w:tcBorders>
          </w:tcPr>
          <w:p w:rsidR="00605F7E" w:rsidRDefault="00605F7E" w:rsidP="002633BD">
            <w:pPr>
              <w:pStyle w:val="Heading4"/>
            </w:pPr>
            <w:r>
              <w:t>Trust</w:t>
            </w:r>
          </w:p>
        </w:tc>
        <w:tc>
          <w:tcPr>
            <w:tcW w:w="3118" w:type="dxa"/>
            <w:tcBorders>
              <w:top w:val="nil"/>
              <w:bottom w:val="single" w:sz="4" w:space="0" w:color="auto"/>
            </w:tcBorders>
          </w:tcPr>
          <w:p w:rsidR="00605F7E" w:rsidRDefault="00605F7E" w:rsidP="002633BD">
            <w:pPr>
              <w:pStyle w:val="Heading4"/>
            </w:pPr>
            <w:r>
              <w:t>Items</w:t>
            </w:r>
          </w:p>
        </w:tc>
        <w:tc>
          <w:tcPr>
            <w:tcW w:w="3261" w:type="dxa"/>
            <w:tcBorders>
              <w:top w:val="nil"/>
              <w:bottom w:val="single" w:sz="4" w:space="0" w:color="auto"/>
            </w:tcBorders>
          </w:tcPr>
          <w:p w:rsidR="00605F7E" w:rsidRDefault="00605F7E" w:rsidP="002633BD">
            <w:pPr>
              <w:pStyle w:val="Heading4"/>
            </w:pPr>
            <w:r>
              <w:t>Months</w:t>
            </w:r>
          </w:p>
        </w:tc>
      </w:tr>
      <w:tr w:rsidR="00097741" w:rsidTr="002B4F9D">
        <w:tc>
          <w:tcPr>
            <w:tcW w:w="2093" w:type="dxa"/>
            <w:tcBorders>
              <w:top w:val="single" w:sz="4" w:space="0" w:color="auto"/>
              <w:left w:val="nil"/>
              <w:bottom w:val="single" w:sz="4" w:space="0" w:color="A6A6A6" w:themeColor="background1" w:themeShade="A6"/>
            </w:tcBorders>
          </w:tcPr>
          <w:p w:rsidR="00097741" w:rsidRDefault="00097741" w:rsidP="00E43146">
            <w:pPr>
              <w:pStyle w:val="NoSpacing"/>
            </w:pPr>
            <w:r>
              <w:t>North East</w:t>
            </w:r>
          </w:p>
        </w:tc>
        <w:tc>
          <w:tcPr>
            <w:tcW w:w="3118" w:type="dxa"/>
            <w:tcBorders>
              <w:top w:val="single" w:sz="4" w:space="0" w:color="auto"/>
              <w:bottom w:val="single" w:sz="4" w:space="0" w:color="A6A6A6" w:themeColor="background1" w:themeShade="A6"/>
            </w:tcBorders>
          </w:tcPr>
          <w:p w:rsidR="00097741" w:rsidRDefault="00097741" w:rsidP="00E43146">
            <w:pPr>
              <w:pStyle w:val="NoSpacing"/>
            </w:pPr>
            <w:r>
              <w:t>Red 2, category A</w:t>
            </w:r>
          </w:p>
        </w:tc>
        <w:tc>
          <w:tcPr>
            <w:tcW w:w="3261" w:type="dxa"/>
            <w:tcBorders>
              <w:top w:val="single" w:sz="4" w:space="0" w:color="auto"/>
              <w:bottom w:val="single" w:sz="4" w:space="0" w:color="A6A6A6" w:themeColor="background1" w:themeShade="A6"/>
              <w:right w:val="nil"/>
            </w:tcBorders>
          </w:tcPr>
          <w:p w:rsidR="00097741" w:rsidRDefault="00097741" w:rsidP="00E43146">
            <w:pPr>
              <w:pStyle w:val="NoSpacing"/>
            </w:pPr>
            <w:r>
              <w:t>2013-14</w:t>
            </w:r>
            <w:r w:rsidR="002B4F9D">
              <w:t xml:space="preserve"> except September</w:t>
            </w:r>
          </w:p>
        </w:tc>
      </w:tr>
      <w:tr w:rsidR="00097741" w:rsidTr="002B4F9D">
        <w:tc>
          <w:tcPr>
            <w:tcW w:w="2093" w:type="dxa"/>
            <w:tcBorders>
              <w:top w:val="single" w:sz="4" w:space="0" w:color="A6A6A6" w:themeColor="background1" w:themeShade="A6"/>
              <w:left w:val="nil"/>
              <w:bottom w:val="single" w:sz="4" w:space="0" w:color="A6A6A6" w:themeColor="background1" w:themeShade="A6"/>
            </w:tcBorders>
          </w:tcPr>
          <w:p w:rsidR="00097741" w:rsidRDefault="00097741" w:rsidP="00517159">
            <w:pPr>
              <w:pStyle w:val="NoSpacing"/>
            </w:pPr>
            <w:r>
              <w:t>Yorkshire</w:t>
            </w:r>
          </w:p>
        </w:tc>
        <w:tc>
          <w:tcPr>
            <w:tcW w:w="3118" w:type="dxa"/>
            <w:tcBorders>
              <w:top w:val="single" w:sz="4" w:space="0" w:color="A6A6A6" w:themeColor="background1" w:themeShade="A6"/>
              <w:bottom w:val="single" w:sz="4" w:space="0" w:color="A6A6A6" w:themeColor="background1" w:themeShade="A6"/>
            </w:tcBorders>
          </w:tcPr>
          <w:p w:rsidR="00097741" w:rsidRDefault="00097741" w:rsidP="00517159">
            <w:pPr>
              <w:pStyle w:val="NoSpacing"/>
            </w:pPr>
            <w:r>
              <w:t>Abandoned calls</w:t>
            </w:r>
          </w:p>
        </w:tc>
        <w:tc>
          <w:tcPr>
            <w:tcW w:w="3261" w:type="dxa"/>
            <w:tcBorders>
              <w:top w:val="single" w:sz="4" w:space="0" w:color="A6A6A6" w:themeColor="background1" w:themeShade="A6"/>
              <w:bottom w:val="single" w:sz="4" w:space="0" w:color="A6A6A6" w:themeColor="background1" w:themeShade="A6"/>
              <w:right w:val="nil"/>
            </w:tcBorders>
          </w:tcPr>
          <w:p w:rsidR="00097741" w:rsidRDefault="00097741" w:rsidP="00517159">
            <w:pPr>
              <w:pStyle w:val="NoSpacing"/>
            </w:pPr>
            <w:r>
              <w:t>April to June 2014</w:t>
            </w:r>
          </w:p>
        </w:tc>
      </w:tr>
      <w:tr w:rsidR="00097741" w:rsidTr="002B4F9D">
        <w:tc>
          <w:tcPr>
            <w:tcW w:w="2093" w:type="dxa"/>
            <w:tcBorders>
              <w:top w:val="single" w:sz="4" w:space="0" w:color="A6A6A6" w:themeColor="background1" w:themeShade="A6"/>
              <w:left w:val="nil"/>
              <w:bottom w:val="single" w:sz="4" w:space="0" w:color="A6A6A6" w:themeColor="background1" w:themeShade="A6"/>
            </w:tcBorders>
          </w:tcPr>
          <w:p w:rsidR="00097741" w:rsidRDefault="00097741" w:rsidP="005211F2">
            <w:pPr>
              <w:pStyle w:val="NoSpacing"/>
            </w:pPr>
            <w:r>
              <w:t>East Midlands</w:t>
            </w:r>
          </w:p>
        </w:tc>
        <w:tc>
          <w:tcPr>
            <w:tcW w:w="3118" w:type="dxa"/>
            <w:tcBorders>
              <w:top w:val="single" w:sz="4" w:space="0" w:color="A6A6A6" w:themeColor="background1" w:themeShade="A6"/>
              <w:bottom w:val="single" w:sz="4" w:space="0" w:color="A6A6A6" w:themeColor="background1" w:themeShade="A6"/>
            </w:tcBorders>
          </w:tcPr>
          <w:p w:rsidR="00097741" w:rsidRDefault="00097741" w:rsidP="002B4F9D">
            <w:pPr>
              <w:pStyle w:val="NoSpacing"/>
            </w:pPr>
            <w:r>
              <w:t xml:space="preserve">All except </w:t>
            </w:r>
            <w:r w:rsidR="002B4F9D">
              <w:t>emergency journeys</w:t>
            </w:r>
          </w:p>
        </w:tc>
        <w:tc>
          <w:tcPr>
            <w:tcW w:w="3261" w:type="dxa"/>
            <w:tcBorders>
              <w:top w:val="single" w:sz="4" w:space="0" w:color="A6A6A6" w:themeColor="background1" w:themeShade="A6"/>
              <w:bottom w:val="single" w:sz="4" w:space="0" w:color="A6A6A6" w:themeColor="background1" w:themeShade="A6"/>
              <w:right w:val="nil"/>
            </w:tcBorders>
          </w:tcPr>
          <w:p w:rsidR="00097741" w:rsidRDefault="00097741" w:rsidP="002B4F9D">
            <w:pPr>
              <w:pStyle w:val="NoSpacing"/>
            </w:pPr>
            <w:r>
              <w:t xml:space="preserve">May </w:t>
            </w:r>
            <w:r w:rsidR="002B4F9D">
              <w:t>2013,</w:t>
            </w:r>
            <w:r>
              <w:t xml:space="preserve"> August 2013, April </w:t>
            </w:r>
            <w:r w:rsidR="002B4F9D">
              <w:t xml:space="preserve">2014, </w:t>
            </w:r>
            <w:r>
              <w:t>May 2014</w:t>
            </w:r>
          </w:p>
        </w:tc>
      </w:tr>
      <w:tr w:rsidR="00097741" w:rsidTr="002B4F9D">
        <w:tc>
          <w:tcPr>
            <w:tcW w:w="2093" w:type="dxa"/>
            <w:tcBorders>
              <w:top w:val="single" w:sz="4" w:space="0" w:color="A6A6A6" w:themeColor="background1" w:themeShade="A6"/>
              <w:left w:val="nil"/>
              <w:bottom w:val="single" w:sz="4" w:space="0" w:color="A6A6A6" w:themeColor="background1" w:themeShade="A6"/>
            </w:tcBorders>
          </w:tcPr>
          <w:p w:rsidR="00097741" w:rsidRDefault="00097741" w:rsidP="002633BD">
            <w:pPr>
              <w:pStyle w:val="NoSpacing"/>
            </w:pPr>
            <w:r>
              <w:t>South East Coast</w:t>
            </w:r>
          </w:p>
        </w:tc>
        <w:tc>
          <w:tcPr>
            <w:tcW w:w="3118" w:type="dxa"/>
            <w:tcBorders>
              <w:top w:val="single" w:sz="4" w:space="0" w:color="A6A6A6" w:themeColor="background1" w:themeShade="A6"/>
              <w:bottom w:val="single" w:sz="4" w:space="0" w:color="A6A6A6" w:themeColor="background1" w:themeShade="A6"/>
            </w:tcBorders>
          </w:tcPr>
          <w:p w:rsidR="00097741" w:rsidRDefault="00097741" w:rsidP="00097741">
            <w:pPr>
              <w:pStyle w:val="NoSpacing"/>
            </w:pPr>
            <w:r>
              <w:t>All except abandoned calls</w:t>
            </w:r>
          </w:p>
        </w:tc>
        <w:tc>
          <w:tcPr>
            <w:tcW w:w="3261" w:type="dxa"/>
            <w:tcBorders>
              <w:top w:val="single" w:sz="4" w:space="0" w:color="A6A6A6" w:themeColor="background1" w:themeShade="A6"/>
              <w:bottom w:val="single" w:sz="4" w:space="0" w:color="A6A6A6" w:themeColor="background1" w:themeShade="A6"/>
              <w:right w:val="nil"/>
            </w:tcBorders>
          </w:tcPr>
          <w:p w:rsidR="00097741" w:rsidRDefault="00097741" w:rsidP="002633BD">
            <w:pPr>
              <w:pStyle w:val="NoSpacing"/>
            </w:pPr>
            <w:r>
              <w:t>April to August 2014</w:t>
            </w:r>
          </w:p>
        </w:tc>
      </w:tr>
      <w:tr w:rsidR="002B4F9D" w:rsidTr="002B4F9D">
        <w:tc>
          <w:tcPr>
            <w:tcW w:w="2093" w:type="dxa"/>
            <w:tcBorders>
              <w:top w:val="single" w:sz="4" w:space="0" w:color="A6A6A6" w:themeColor="background1" w:themeShade="A6"/>
              <w:left w:val="nil"/>
              <w:bottom w:val="single" w:sz="4" w:space="0" w:color="A6A6A6" w:themeColor="background1" w:themeShade="A6"/>
            </w:tcBorders>
          </w:tcPr>
          <w:p w:rsidR="00097741" w:rsidRDefault="00097741" w:rsidP="00405444">
            <w:pPr>
              <w:pStyle w:val="NoSpacing"/>
            </w:pPr>
            <w:r>
              <w:t>South Central</w:t>
            </w:r>
          </w:p>
        </w:tc>
        <w:tc>
          <w:tcPr>
            <w:tcW w:w="3118" w:type="dxa"/>
            <w:tcBorders>
              <w:top w:val="single" w:sz="4" w:space="0" w:color="A6A6A6" w:themeColor="background1" w:themeShade="A6"/>
              <w:bottom w:val="single" w:sz="4" w:space="0" w:color="A6A6A6" w:themeColor="background1" w:themeShade="A6"/>
            </w:tcBorders>
          </w:tcPr>
          <w:p w:rsidR="00097741" w:rsidRDefault="00097741" w:rsidP="00405444">
            <w:pPr>
              <w:pStyle w:val="NoSpacing"/>
            </w:pPr>
            <w:r>
              <w:t>Abandoned calls</w:t>
            </w:r>
          </w:p>
        </w:tc>
        <w:tc>
          <w:tcPr>
            <w:tcW w:w="3261" w:type="dxa"/>
            <w:tcBorders>
              <w:top w:val="single" w:sz="4" w:space="0" w:color="A6A6A6" w:themeColor="background1" w:themeShade="A6"/>
              <w:bottom w:val="single" w:sz="4" w:space="0" w:color="A6A6A6" w:themeColor="background1" w:themeShade="A6"/>
              <w:right w:val="nil"/>
            </w:tcBorders>
          </w:tcPr>
          <w:p w:rsidR="00097741" w:rsidRDefault="00097741" w:rsidP="00405444">
            <w:pPr>
              <w:pStyle w:val="NoSpacing"/>
            </w:pPr>
            <w:r>
              <w:t>April to August 2014</w:t>
            </w:r>
          </w:p>
        </w:tc>
      </w:tr>
      <w:tr w:rsidR="00097741" w:rsidTr="002B4F9D">
        <w:tc>
          <w:tcPr>
            <w:tcW w:w="2093" w:type="dxa"/>
            <w:tcBorders>
              <w:top w:val="single" w:sz="4" w:space="0" w:color="A6A6A6" w:themeColor="background1" w:themeShade="A6"/>
              <w:left w:val="nil"/>
              <w:bottom w:val="single" w:sz="4" w:space="0" w:color="auto"/>
            </w:tcBorders>
          </w:tcPr>
          <w:p w:rsidR="00097741" w:rsidRDefault="00097741" w:rsidP="00736485">
            <w:pPr>
              <w:pStyle w:val="NoSpacing"/>
            </w:pPr>
            <w:r>
              <w:t>Isle of Wight</w:t>
            </w:r>
          </w:p>
        </w:tc>
        <w:tc>
          <w:tcPr>
            <w:tcW w:w="3118" w:type="dxa"/>
            <w:tcBorders>
              <w:top w:val="single" w:sz="4" w:space="0" w:color="A6A6A6" w:themeColor="background1" w:themeShade="A6"/>
              <w:bottom w:val="single" w:sz="4" w:space="0" w:color="auto"/>
            </w:tcBorders>
          </w:tcPr>
          <w:p w:rsidR="00097741" w:rsidRDefault="00097741" w:rsidP="00736485">
            <w:pPr>
              <w:pStyle w:val="NoSpacing"/>
            </w:pPr>
            <w:r>
              <w:t>Red 2</w:t>
            </w:r>
          </w:p>
        </w:tc>
        <w:tc>
          <w:tcPr>
            <w:tcW w:w="3261" w:type="dxa"/>
            <w:tcBorders>
              <w:top w:val="single" w:sz="4" w:space="0" w:color="A6A6A6" w:themeColor="background1" w:themeShade="A6"/>
              <w:bottom w:val="single" w:sz="4" w:space="0" w:color="auto"/>
              <w:right w:val="nil"/>
            </w:tcBorders>
          </w:tcPr>
          <w:p w:rsidR="00097741" w:rsidRDefault="00097741" w:rsidP="00736485">
            <w:pPr>
              <w:pStyle w:val="NoSpacing"/>
            </w:pPr>
            <w:r>
              <w:t>April 2014</w:t>
            </w:r>
          </w:p>
        </w:tc>
      </w:tr>
    </w:tbl>
    <w:p w:rsidR="00155E50" w:rsidRDefault="00155E50" w:rsidP="00605F7E"/>
    <w:p w:rsidR="00605F7E" w:rsidRDefault="00605F7E" w:rsidP="00605F7E">
      <w:r>
        <w:lastRenderedPageBreak/>
        <w:t>The only percentages revised by more than 1 percentage point are:</w:t>
      </w:r>
    </w:p>
    <w:tbl>
      <w:tblPr>
        <w:tblStyle w:val="TableGrid"/>
        <w:tblW w:w="0" w:type="auto"/>
        <w:tblLook w:val="04A0" w:firstRow="1" w:lastRow="0" w:firstColumn="1" w:lastColumn="0" w:noHBand="0" w:noVBand="1"/>
      </w:tblPr>
      <w:tblGrid>
        <w:gridCol w:w="2235"/>
        <w:gridCol w:w="2835"/>
        <w:gridCol w:w="1417"/>
        <w:gridCol w:w="992"/>
        <w:gridCol w:w="993"/>
      </w:tblGrid>
      <w:tr w:rsidR="00605F7E" w:rsidTr="00155E50">
        <w:tc>
          <w:tcPr>
            <w:tcW w:w="2235" w:type="dxa"/>
            <w:tcBorders>
              <w:top w:val="nil"/>
              <w:left w:val="nil"/>
              <w:bottom w:val="single" w:sz="4" w:space="0" w:color="auto"/>
              <w:right w:val="nil"/>
            </w:tcBorders>
          </w:tcPr>
          <w:p w:rsidR="00605F7E" w:rsidRDefault="00605F7E" w:rsidP="002633BD">
            <w:pPr>
              <w:pStyle w:val="Heading4"/>
            </w:pPr>
            <w:r>
              <w:t>Trust</w:t>
            </w:r>
          </w:p>
        </w:tc>
        <w:tc>
          <w:tcPr>
            <w:tcW w:w="2835" w:type="dxa"/>
            <w:tcBorders>
              <w:top w:val="nil"/>
              <w:left w:val="nil"/>
              <w:bottom w:val="single" w:sz="4" w:space="0" w:color="auto"/>
              <w:right w:val="nil"/>
            </w:tcBorders>
          </w:tcPr>
          <w:p w:rsidR="00605F7E" w:rsidRDefault="00605F7E" w:rsidP="002633BD">
            <w:pPr>
              <w:pStyle w:val="Heading4"/>
            </w:pPr>
            <w:r>
              <w:t>Item</w:t>
            </w:r>
          </w:p>
        </w:tc>
        <w:tc>
          <w:tcPr>
            <w:tcW w:w="1417" w:type="dxa"/>
            <w:tcBorders>
              <w:top w:val="nil"/>
              <w:left w:val="nil"/>
              <w:bottom w:val="single" w:sz="4" w:space="0" w:color="auto"/>
              <w:right w:val="nil"/>
            </w:tcBorders>
          </w:tcPr>
          <w:p w:rsidR="00605F7E" w:rsidRDefault="00605F7E" w:rsidP="002633BD">
            <w:pPr>
              <w:pStyle w:val="Heading4"/>
            </w:pPr>
            <w:r>
              <w:t>Month</w:t>
            </w:r>
          </w:p>
        </w:tc>
        <w:tc>
          <w:tcPr>
            <w:tcW w:w="992" w:type="dxa"/>
            <w:tcBorders>
              <w:top w:val="nil"/>
              <w:left w:val="nil"/>
              <w:bottom w:val="single" w:sz="4" w:space="0" w:color="auto"/>
              <w:right w:val="nil"/>
            </w:tcBorders>
          </w:tcPr>
          <w:p w:rsidR="00605F7E" w:rsidRDefault="00605F7E" w:rsidP="002633BD">
            <w:pPr>
              <w:pStyle w:val="Heading4"/>
            </w:pPr>
            <w:r>
              <w:t>From</w:t>
            </w:r>
          </w:p>
        </w:tc>
        <w:tc>
          <w:tcPr>
            <w:tcW w:w="993" w:type="dxa"/>
            <w:tcBorders>
              <w:top w:val="nil"/>
              <w:left w:val="nil"/>
              <w:bottom w:val="single" w:sz="4" w:space="0" w:color="auto"/>
              <w:right w:val="nil"/>
            </w:tcBorders>
          </w:tcPr>
          <w:p w:rsidR="00605F7E" w:rsidRDefault="00605F7E" w:rsidP="002633BD">
            <w:pPr>
              <w:pStyle w:val="Heading4"/>
            </w:pPr>
            <w:r>
              <w:t>To</w:t>
            </w:r>
          </w:p>
        </w:tc>
      </w:tr>
      <w:tr w:rsidR="00605F7E" w:rsidTr="002B4F9D">
        <w:tc>
          <w:tcPr>
            <w:tcW w:w="2235" w:type="dxa"/>
            <w:tcBorders>
              <w:top w:val="single" w:sz="4" w:space="0" w:color="auto"/>
              <w:left w:val="nil"/>
              <w:bottom w:val="single" w:sz="4" w:space="0" w:color="A6A6A6" w:themeColor="background1" w:themeShade="A6"/>
              <w:right w:val="nil"/>
            </w:tcBorders>
          </w:tcPr>
          <w:p w:rsidR="00605F7E" w:rsidRDefault="00605F7E" w:rsidP="002633BD">
            <w:pPr>
              <w:pStyle w:val="NoSpacing"/>
              <w:jc w:val="center"/>
            </w:pPr>
            <w:r>
              <w:t>South East Coast</w:t>
            </w:r>
          </w:p>
        </w:tc>
        <w:tc>
          <w:tcPr>
            <w:tcW w:w="2835" w:type="dxa"/>
            <w:tcBorders>
              <w:top w:val="single" w:sz="4" w:space="0" w:color="auto"/>
              <w:left w:val="nil"/>
              <w:bottom w:val="single" w:sz="4" w:space="0" w:color="A6A6A6" w:themeColor="background1" w:themeShade="A6"/>
              <w:right w:val="nil"/>
            </w:tcBorders>
          </w:tcPr>
          <w:p w:rsidR="00605F7E" w:rsidRDefault="00605F7E" w:rsidP="002633BD">
            <w:pPr>
              <w:pStyle w:val="NoSpacing"/>
              <w:jc w:val="center"/>
            </w:pPr>
            <w:r>
              <w:t>Red 1 response</w:t>
            </w:r>
          </w:p>
        </w:tc>
        <w:tc>
          <w:tcPr>
            <w:tcW w:w="1417" w:type="dxa"/>
            <w:tcBorders>
              <w:top w:val="single" w:sz="4" w:space="0" w:color="auto"/>
              <w:left w:val="nil"/>
              <w:bottom w:val="single" w:sz="4" w:space="0" w:color="A6A6A6" w:themeColor="background1" w:themeShade="A6"/>
              <w:right w:val="nil"/>
            </w:tcBorders>
          </w:tcPr>
          <w:p w:rsidR="00605F7E" w:rsidRDefault="00605F7E" w:rsidP="002633BD">
            <w:pPr>
              <w:pStyle w:val="NoSpacing"/>
              <w:jc w:val="center"/>
            </w:pPr>
            <w:r>
              <w:t>April 2014</w:t>
            </w:r>
          </w:p>
        </w:tc>
        <w:tc>
          <w:tcPr>
            <w:tcW w:w="992" w:type="dxa"/>
            <w:tcBorders>
              <w:top w:val="single" w:sz="4" w:space="0" w:color="auto"/>
              <w:left w:val="nil"/>
              <w:bottom w:val="single" w:sz="4" w:space="0" w:color="A6A6A6" w:themeColor="background1" w:themeShade="A6"/>
              <w:right w:val="nil"/>
            </w:tcBorders>
          </w:tcPr>
          <w:p w:rsidR="00605F7E" w:rsidRDefault="00605F7E" w:rsidP="002633BD">
            <w:pPr>
              <w:pStyle w:val="NoSpacing"/>
              <w:jc w:val="right"/>
            </w:pPr>
            <w:r>
              <w:t>75.4%</w:t>
            </w:r>
          </w:p>
        </w:tc>
        <w:tc>
          <w:tcPr>
            <w:tcW w:w="993" w:type="dxa"/>
            <w:tcBorders>
              <w:top w:val="single" w:sz="4" w:space="0" w:color="auto"/>
              <w:left w:val="nil"/>
              <w:bottom w:val="single" w:sz="4" w:space="0" w:color="A6A6A6" w:themeColor="background1" w:themeShade="A6"/>
              <w:right w:val="nil"/>
            </w:tcBorders>
          </w:tcPr>
          <w:p w:rsidR="00605F7E" w:rsidRDefault="00605F7E" w:rsidP="002633BD">
            <w:pPr>
              <w:pStyle w:val="NoSpacing"/>
              <w:jc w:val="right"/>
            </w:pPr>
            <w:r>
              <w:t>77.8%</w:t>
            </w:r>
          </w:p>
        </w:tc>
      </w:tr>
      <w:tr w:rsidR="00605F7E" w:rsidTr="00155E50">
        <w:tc>
          <w:tcPr>
            <w:tcW w:w="2235" w:type="dxa"/>
            <w:vMerge w:val="restart"/>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p>
          <w:p w:rsidR="00605F7E" w:rsidRDefault="00605F7E" w:rsidP="002633BD">
            <w:pPr>
              <w:pStyle w:val="NoSpacing"/>
              <w:jc w:val="center"/>
            </w:pPr>
            <w:r>
              <w:t>East Midlands</w:t>
            </w:r>
          </w:p>
        </w:tc>
        <w:tc>
          <w:tcPr>
            <w:tcW w:w="2835"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r>
              <w:t>Abandoned calls</w:t>
            </w:r>
          </w:p>
        </w:tc>
        <w:tc>
          <w:tcPr>
            <w:tcW w:w="1417"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r>
              <w:t>April 2014</w:t>
            </w:r>
          </w:p>
        </w:tc>
        <w:tc>
          <w:tcPr>
            <w:tcW w:w="992"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right"/>
            </w:pPr>
            <w:r>
              <w:t>3.4%</w:t>
            </w:r>
          </w:p>
        </w:tc>
        <w:tc>
          <w:tcPr>
            <w:tcW w:w="993"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right"/>
            </w:pPr>
            <w:r>
              <w:t>0.3%</w:t>
            </w:r>
          </w:p>
        </w:tc>
      </w:tr>
      <w:tr w:rsidR="00605F7E" w:rsidTr="00155E50">
        <w:tc>
          <w:tcPr>
            <w:tcW w:w="2235" w:type="dxa"/>
            <w:vMerge/>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p>
        </w:tc>
        <w:tc>
          <w:tcPr>
            <w:tcW w:w="2835" w:type="dxa"/>
            <w:vMerge w:val="restart"/>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r>
              <w:t xml:space="preserve">Re-contact after discharge on </w:t>
            </w:r>
            <w:r w:rsidR="00155E50">
              <w:t xml:space="preserve">the </w:t>
            </w:r>
            <w:r>
              <w:t>scene</w:t>
            </w:r>
          </w:p>
        </w:tc>
        <w:tc>
          <w:tcPr>
            <w:tcW w:w="1417"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r>
              <w:t>April 2014</w:t>
            </w:r>
          </w:p>
        </w:tc>
        <w:tc>
          <w:tcPr>
            <w:tcW w:w="992"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right"/>
            </w:pPr>
            <w:r>
              <w:t>7.0%</w:t>
            </w:r>
          </w:p>
        </w:tc>
        <w:tc>
          <w:tcPr>
            <w:tcW w:w="993" w:type="dxa"/>
            <w:tcBorders>
              <w:top w:val="single" w:sz="4" w:space="0" w:color="A6A6A6" w:themeColor="background1" w:themeShade="A6"/>
              <w:left w:val="nil"/>
              <w:bottom w:val="single" w:sz="4" w:space="0" w:color="A6A6A6" w:themeColor="background1" w:themeShade="A6"/>
              <w:right w:val="nil"/>
            </w:tcBorders>
          </w:tcPr>
          <w:p w:rsidR="00605F7E" w:rsidRDefault="006B3E8A" w:rsidP="002633BD">
            <w:pPr>
              <w:pStyle w:val="NoSpacing"/>
              <w:jc w:val="right"/>
            </w:pPr>
            <w:r>
              <w:t>4.2%</w:t>
            </w:r>
            <w:bookmarkStart w:id="1" w:name="_GoBack"/>
            <w:bookmarkEnd w:id="1"/>
          </w:p>
        </w:tc>
      </w:tr>
      <w:tr w:rsidR="00605F7E" w:rsidTr="002B4F9D">
        <w:tc>
          <w:tcPr>
            <w:tcW w:w="2235" w:type="dxa"/>
            <w:vMerge/>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p>
        </w:tc>
        <w:tc>
          <w:tcPr>
            <w:tcW w:w="2835" w:type="dxa"/>
            <w:vMerge/>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p>
        </w:tc>
        <w:tc>
          <w:tcPr>
            <w:tcW w:w="1417"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center"/>
            </w:pPr>
            <w:r>
              <w:t>May 2014</w:t>
            </w:r>
          </w:p>
        </w:tc>
        <w:tc>
          <w:tcPr>
            <w:tcW w:w="992"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right"/>
            </w:pPr>
            <w:r>
              <w:t>13.2%</w:t>
            </w:r>
          </w:p>
        </w:tc>
        <w:tc>
          <w:tcPr>
            <w:tcW w:w="993" w:type="dxa"/>
            <w:tcBorders>
              <w:top w:val="single" w:sz="4" w:space="0" w:color="A6A6A6" w:themeColor="background1" w:themeShade="A6"/>
              <w:left w:val="nil"/>
              <w:bottom w:val="single" w:sz="4" w:space="0" w:color="A6A6A6" w:themeColor="background1" w:themeShade="A6"/>
              <w:right w:val="nil"/>
            </w:tcBorders>
          </w:tcPr>
          <w:p w:rsidR="00605F7E" w:rsidRDefault="00605F7E" w:rsidP="002633BD">
            <w:pPr>
              <w:pStyle w:val="NoSpacing"/>
              <w:jc w:val="right"/>
            </w:pPr>
            <w:r>
              <w:t>4.2%</w:t>
            </w:r>
          </w:p>
        </w:tc>
      </w:tr>
      <w:tr w:rsidR="002B4F9D" w:rsidTr="00155E50">
        <w:tc>
          <w:tcPr>
            <w:tcW w:w="2235" w:type="dxa"/>
            <w:tcBorders>
              <w:top w:val="single" w:sz="4" w:space="0" w:color="A6A6A6" w:themeColor="background1" w:themeShade="A6"/>
              <w:left w:val="nil"/>
              <w:right w:val="nil"/>
            </w:tcBorders>
          </w:tcPr>
          <w:p w:rsidR="002B4F9D" w:rsidRDefault="002B4F9D" w:rsidP="00AE12B9">
            <w:pPr>
              <w:pStyle w:val="NoSpacing"/>
              <w:jc w:val="center"/>
            </w:pPr>
            <w:r>
              <w:t>Isle of Wight</w:t>
            </w:r>
          </w:p>
        </w:tc>
        <w:tc>
          <w:tcPr>
            <w:tcW w:w="2835" w:type="dxa"/>
            <w:tcBorders>
              <w:top w:val="single" w:sz="4" w:space="0" w:color="A6A6A6" w:themeColor="background1" w:themeShade="A6"/>
              <w:left w:val="nil"/>
              <w:right w:val="nil"/>
            </w:tcBorders>
          </w:tcPr>
          <w:p w:rsidR="002B4F9D" w:rsidRDefault="002B4F9D" w:rsidP="00AE12B9">
            <w:pPr>
              <w:pStyle w:val="NoSpacing"/>
              <w:jc w:val="center"/>
            </w:pPr>
            <w:r>
              <w:t>Red 2 response</w:t>
            </w:r>
          </w:p>
        </w:tc>
        <w:tc>
          <w:tcPr>
            <w:tcW w:w="1417" w:type="dxa"/>
            <w:tcBorders>
              <w:top w:val="single" w:sz="4" w:space="0" w:color="A6A6A6" w:themeColor="background1" w:themeShade="A6"/>
              <w:left w:val="nil"/>
              <w:right w:val="nil"/>
            </w:tcBorders>
          </w:tcPr>
          <w:p w:rsidR="002B4F9D" w:rsidRDefault="002B4F9D" w:rsidP="00AE12B9">
            <w:pPr>
              <w:pStyle w:val="NoSpacing"/>
              <w:jc w:val="center"/>
            </w:pPr>
            <w:r>
              <w:t>April 2014</w:t>
            </w:r>
          </w:p>
        </w:tc>
        <w:tc>
          <w:tcPr>
            <w:tcW w:w="992" w:type="dxa"/>
            <w:tcBorders>
              <w:top w:val="single" w:sz="4" w:space="0" w:color="A6A6A6" w:themeColor="background1" w:themeShade="A6"/>
              <w:left w:val="nil"/>
              <w:right w:val="nil"/>
            </w:tcBorders>
          </w:tcPr>
          <w:p w:rsidR="002B4F9D" w:rsidRDefault="002B4F9D" w:rsidP="00AE12B9">
            <w:pPr>
              <w:pStyle w:val="NoSpacing"/>
              <w:jc w:val="right"/>
            </w:pPr>
            <w:r>
              <w:t>74.5%</w:t>
            </w:r>
          </w:p>
        </w:tc>
        <w:tc>
          <w:tcPr>
            <w:tcW w:w="993" w:type="dxa"/>
            <w:tcBorders>
              <w:top w:val="single" w:sz="4" w:space="0" w:color="A6A6A6" w:themeColor="background1" w:themeShade="A6"/>
              <w:left w:val="nil"/>
              <w:right w:val="nil"/>
            </w:tcBorders>
          </w:tcPr>
          <w:p w:rsidR="002B4F9D" w:rsidRDefault="002B4F9D" w:rsidP="00AE12B9">
            <w:pPr>
              <w:pStyle w:val="NoSpacing"/>
              <w:jc w:val="right"/>
            </w:pPr>
            <w:r>
              <w:t>76.9%</w:t>
            </w:r>
          </w:p>
        </w:tc>
      </w:tr>
    </w:tbl>
    <w:p w:rsidR="00605F7E" w:rsidRDefault="00605F7E" w:rsidP="00605F7E">
      <w:pPr>
        <w:pStyle w:val="NoSpacing"/>
      </w:pPr>
    </w:p>
    <w:p w:rsidR="00605F7E" w:rsidRDefault="00605F7E" w:rsidP="00605F7E">
      <w:r w:rsidRPr="00E47C1E">
        <w:t xml:space="preserve">The only national </w:t>
      </w:r>
      <w:r>
        <w:t xml:space="preserve">percentages revised by more than </w:t>
      </w:r>
      <w:r w:rsidRPr="00E47C1E">
        <w:t>0.1</w:t>
      </w:r>
      <w:r>
        <w:t xml:space="preserve"> percentage point</w:t>
      </w:r>
      <w:r w:rsidR="00A22978">
        <w:t>s</w:t>
      </w:r>
      <w:r>
        <w:t xml:space="preserve"> are: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35"/>
        <w:gridCol w:w="2835"/>
        <w:gridCol w:w="1417"/>
        <w:gridCol w:w="992"/>
        <w:gridCol w:w="993"/>
      </w:tblGrid>
      <w:tr w:rsidR="002B4F9D" w:rsidTr="002B4F9D">
        <w:tc>
          <w:tcPr>
            <w:tcW w:w="2235" w:type="dxa"/>
            <w:tcBorders>
              <w:bottom w:val="single" w:sz="4" w:space="0" w:color="auto"/>
            </w:tcBorders>
          </w:tcPr>
          <w:p w:rsidR="00605F7E" w:rsidRDefault="00605F7E" w:rsidP="002633BD">
            <w:pPr>
              <w:pStyle w:val="Heading4"/>
            </w:pPr>
          </w:p>
        </w:tc>
        <w:tc>
          <w:tcPr>
            <w:tcW w:w="2835" w:type="dxa"/>
            <w:tcBorders>
              <w:bottom w:val="single" w:sz="4" w:space="0" w:color="auto"/>
            </w:tcBorders>
          </w:tcPr>
          <w:p w:rsidR="00605F7E" w:rsidRDefault="00605F7E" w:rsidP="002633BD">
            <w:pPr>
              <w:pStyle w:val="Heading4"/>
            </w:pPr>
            <w:r>
              <w:t>Item</w:t>
            </w:r>
          </w:p>
        </w:tc>
        <w:tc>
          <w:tcPr>
            <w:tcW w:w="1417" w:type="dxa"/>
            <w:tcBorders>
              <w:bottom w:val="single" w:sz="4" w:space="0" w:color="auto"/>
            </w:tcBorders>
          </w:tcPr>
          <w:p w:rsidR="00605F7E" w:rsidRDefault="00605F7E" w:rsidP="002633BD">
            <w:pPr>
              <w:pStyle w:val="Heading4"/>
            </w:pPr>
            <w:r>
              <w:t>Month</w:t>
            </w:r>
          </w:p>
        </w:tc>
        <w:tc>
          <w:tcPr>
            <w:tcW w:w="992" w:type="dxa"/>
            <w:tcBorders>
              <w:bottom w:val="single" w:sz="4" w:space="0" w:color="auto"/>
            </w:tcBorders>
          </w:tcPr>
          <w:p w:rsidR="00605F7E" w:rsidRDefault="00605F7E" w:rsidP="002633BD">
            <w:pPr>
              <w:pStyle w:val="Heading4"/>
            </w:pPr>
            <w:r>
              <w:t>From</w:t>
            </w:r>
          </w:p>
        </w:tc>
        <w:tc>
          <w:tcPr>
            <w:tcW w:w="993" w:type="dxa"/>
            <w:tcBorders>
              <w:bottom w:val="single" w:sz="4" w:space="0" w:color="auto"/>
            </w:tcBorders>
          </w:tcPr>
          <w:p w:rsidR="00605F7E" w:rsidRDefault="00605F7E" w:rsidP="002633BD">
            <w:pPr>
              <w:pStyle w:val="Heading4"/>
            </w:pPr>
            <w:r>
              <w:t>To</w:t>
            </w:r>
          </w:p>
        </w:tc>
      </w:tr>
      <w:tr w:rsidR="00605F7E" w:rsidTr="002B4F9D">
        <w:tc>
          <w:tcPr>
            <w:tcW w:w="2235" w:type="dxa"/>
            <w:vMerge w:val="restart"/>
            <w:tcBorders>
              <w:top w:val="single" w:sz="4" w:space="0" w:color="auto"/>
              <w:bottom w:val="single" w:sz="4" w:space="0" w:color="A6A6A6" w:themeColor="background1" w:themeShade="A6"/>
            </w:tcBorders>
          </w:tcPr>
          <w:p w:rsidR="00A22978" w:rsidRDefault="00A22978" w:rsidP="002633BD">
            <w:pPr>
              <w:pStyle w:val="NoSpacing"/>
              <w:jc w:val="center"/>
            </w:pPr>
          </w:p>
          <w:p w:rsidR="00605F7E" w:rsidRDefault="00605F7E" w:rsidP="002633BD">
            <w:pPr>
              <w:pStyle w:val="NoSpacing"/>
              <w:jc w:val="center"/>
            </w:pPr>
            <w:r>
              <w:t>All England</w:t>
            </w:r>
          </w:p>
          <w:p w:rsidR="00605F7E" w:rsidRDefault="00605F7E" w:rsidP="002633BD">
            <w:pPr>
              <w:pStyle w:val="NoSpacing"/>
              <w:jc w:val="center"/>
            </w:pPr>
          </w:p>
        </w:tc>
        <w:tc>
          <w:tcPr>
            <w:tcW w:w="2835" w:type="dxa"/>
            <w:tcBorders>
              <w:top w:val="single" w:sz="4" w:space="0" w:color="auto"/>
              <w:bottom w:val="single" w:sz="4" w:space="0" w:color="A6A6A6" w:themeColor="background1" w:themeShade="A6"/>
            </w:tcBorders>
          </w:tcPr>
          <w:p w:rsidR="00605F7E" w:rsidRDefault="00605F7E" w:rsidP="002633BD">
            <w:pPr>
              <w:pStyle w:val="NoSpacing"/>
              <w:jc w:val="center"/>
            </w:pPr>
            <w:r>
              <w:t>Red 1 response</w:t>
            </w:r>
          </w:p>
        </w:tc>
        <w:tc>
          <w:tcPr>
            <w:tcW w:w="1417" w:type="dxa"/>
            <w:tcBorders>
              <w:top w:val="single" w:sz="4" w:space="0" w:color="auto"/>
              <w:bottom w:val="single" w:sz="4" w:space="0" w:color="A6A6A6" w:themeColor="background1" w:themeShade="A6"/>
            </w:tcBorders>
          </w:tcPr>
          <w:p w:rsidR="00605F7E" w:rsidRDefault="00605F7E" w:rsidP="002633BD">
            <w:pPr>
              <w:pStyle w:val="NoSpacing"/>
              <w:jc w:val="center"/>
            </w:pPr>
            <w:r>
              <w:t>April 2014</w:t>
            </w:r>
          </w:p>
        </w:tc>
        <w:tc>
          <w:tcPr>
            <w:tcW w:w="992" w:type="dxa"/>
            <w:tcBorders>
              <w:top w:val="single" w:sz="4" w:space="0" w:color="auto"/>
              <w:bottom w:val="single" w:sz="4" w:space="0" w:color="A6A6A6" w:themeColor="background1" w:themeShade="A6"/>
            </w:tcBorders>
          </w:tcPr>
          <w:p w:rsidR="00605F7E" w:rsidRDefault="00605F7E" w:rsidP="002633BD">
            <w:pPr>
              <w:pStyle w:val="NoSpacing"/>
              <w:jc w:val="right"/>
            </w:pPr>
            <w:r w:rsidRPr="00983F79">
              <w:t>75.2%</w:t>
            </w:r>
          </w:p>
        </w:tc>
        <w:tc>
          <w:tcPr>
            <w:tcW w:w="993" w:type="dxa"/>
            <w:tcBorders>
              <w:top w:val="single" w:sz="4" w:space="0" w:color="auto"/>
              <w:bottom w:val="single" w:sz="4" w:space="0" w:color="A6A6A6" w:themeColor="background1" w:themeShade="A6"/>
            </w:tcBorders>
          </w:tcPr>
          <w:p w:rsidR="00605F7E" w:rsidRDefault="00605F7E" w:rsidP="002633BD">
            <w:pPr>
              <w:pStyle w:val="NoSpacing"/>
              <w:jc w:val="right"/>
            </w:pPr>
            <w:r w:rsidRPr="00983F79">
              <w:t>75.4%</w:t>
            </w:r>
          </w:p>
        </w:tc>
      </w:tr>
      <w:tr w:rsidR="00605F7E" w:rsidTr="002B4F9D">
        <w:tc>
          <w:tcPr>
            <w:tcW w:w="2235" w:type="dxa"/>
            <w:vMerge/>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center"/>
            </w:pPr>
          </w:p>
        </w:tc>
        <w:tc>
          <w:tcPr>
            <w:tcW w:w="2835" w:type="dxa"/>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center"/>
            </w:pPr>
            <w:r>
              <w:t>Abandoned calls</w:t>
            </w:r>
          </w:p>
        </w:tc>
        <w:tc>
          <w:tcPr>
            <w:tcW w:w="1417" w:type="dxa"/>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center"/>
            </w:pPr>
            <w:r>
              <w:t>April 2014</w:t>
            </w:r>
          </w:p>
        </w:tc>
        <w:tc>
          <w:tcPr>
            <w:tcW w:w="992" w:type="dxa"/>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right"/>
            </w:pPr>
            <w:r w:rsidRPr="00983F79">
              <w:t>1.2%</w:t>
            </w:r>
          </w:p>
        </w:tc>
        <w:tc>
          <w:tcPr>
            <w:tcW w:w="993" w:type="dxa"/>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right"/>
            </w:pPr>
            <w:r w:rsidRPr="00983F79">
              <w:t>0.9%</w:t>
            </w:r>
          </w:p>
        </w:tc>
      </w:tr>
      <w:tr w:rsidR="00605F7E" w:rsidTr="002B4F9D">
        <w:tc>
          <w:tcPr>
            <w:tcW w:w="2235" w:type="dxa"/>
            <w:vMerge/>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center"/>
            </w:pPr>
          </w:p>
        </w:tc>
        <w:tc>
          <w:tcPr>
            <w:tcW w:w="2835" w:type="dxa"/>
            <w:vMerge w:val="restart"/>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center"/>
            </w:pPr>
            <w:r>
              <w:t xml:space="preserve">Re-contact after discharge on </w:t>
            </w:r>
            <w:r w:rsidR="002B4F9D">
              <w:t xml:space="preserve">the </w:t>
            </w:r>
            <w:r>
              <w:t>scene</w:t>
            </w:r>
          </w:p>
        </w:tc>
        <w:tc>
          <w:tcPr>
            <w:tcW w:w="1417" w:type="dxa"/>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center"/>
            </w:pPr>
            <w:r>
              <w:t>April 2014</w:t>
            </w:r>
          </w:p>
        </w:tc>
        <w:tc>
          <w:tcPr>
            <w:tcW w:w="992" w:type="dxa"/>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right"/>
            </w:pPr>
            <w:r w:rsidRPr="00983F79">
              <w:t>4.9%</w:t>
            </w:r>
          </w:p>
        </w:tc>
        <w:tc>
          <w:tcPr>
            <w:tcW w:w="993" w:type="dxa"/>
            <w:tcBorders>
              <w:top w:val="single" w:sz="4" w:space="0" w:color="A6A6A6" w:themeColor="background1" w:themeShade="A6"/>
              <w:bottom w:val="single" w:sz="4" w:space="0" w:color="A6A6A6" w:themeColor="background1" w:themeShade="A6"/>
            </w:tcBorders>
          </w:tcPr>
          <w:p w:rsidR="00605F7E" w:rsidRDefault="00605F7E" w:rsidP="002633BD">
            <w:pPr>
              <w:pStyle w:val="NoSpacing"/>
              <w:jc w:val="right"/>
            </w:pPr>
            <w:r w:rsidRPr="00983F79">
              <w:t>4.6%</w:t>
            </w:r>
          </w:p>
        </w:tc>
      </w:tr>
      <w:tr w:rsidR="00605F7E" w:rsidTr="002B4F9D">
        <w:tc>
          <w:tcPr>
            <w:tcW w:w="2235" w:type="dxa"/>
            <w:vMerge/>
            <w:tcBorders>
              <w:top w:val="single" w:sz="4" w:space="0" w:color="A6A6A6" w:themeColor="background1" w:themeShade="A6"/>
              <w:bottom w:val="single" w:sz="4" w:space="0" w:color="auto"/>
            </w:tcBorders>
          </w:tcPr>
          <w:p w:rsidR="00605F7E" w:rsidRDefault="00605F7E" w:rsidP="002633BD">
            <w:pPr>
              <w:pStyle w:val="NoSpacing"/>
              <w:jc w:val="center"/>
            </w:pPr>
          </w:p>
        </w:tc>
        <w:tc>
          <w:tcPr>
            <w:tcW w:w="2835" w:type="dxa"/>
            <w:vMerge/>
            <w:tcBorders>
              <w:top w:val="single" w:sz="4" w:space="0" w:color="A6A6A6" w:themeColor="background1" w:themeShade="A6"/>
              <w:bottom w:val="single" w:sz="4" w:space="0" w:color="auto"/>
            </w:tcBorders>
          </w:tcPr>
          <w:p w:rsidR="00605F7E" w:rsidRDefault="00605F7E" w:rsidP="002633BD">
            <w:pPr>
              <w:pStyle w:val="NoSpacing"/>
              <w:jc w:val="center"/>
            </w:pPr>
          </w:p>
        </w:tc>
        <w:tc>
          <w:tcPr>
            <w:tcW w:w="1417" w:type="dxa"/>
            <w:tcBorders>
              <w:top w:val="single" w:sz="4" w:space="0" w:color="A6A6A6" w:themeColor="background1" w:themeShade="A6"/>
              <w:bottom w:val="single" w:sz="4" w:space="0" w:color="auto"/>
            </w:tcBorders>
          </w:tcPr>
          <w:p w:rsidR="00605F7E" w:rsidRDefault="00605F7E" w:rsidP="002633BD">
            <w:pPr>
              <w:pStyle w:val="NoSpacing"/>
              <w:jc w:val="center"/>
            </w:pPr>
            <w:r>
              <w:t>May 2014</w:t>
            </w:r>
          </w:p>
        </w:tc>
        <w:tc>
          <w:tcPr>
            <w:tcW w:w="992" w:type="dxa"/>
            <w:tcBorders>
              <w:top w:val="single" w:sz="4" w:space="0" w:color="A6A6A6" w:themeColor="background1" w:themeShade="A6"/>
              <w:bottom w:val="single" w:sz="4" w:space="0" w:color="auto"/>
            </w:tcBorders>
          </w:tcPr>
          <w:p w:rsidR="00605F7E" w:rsidRDefault="00605F7E" w:rsidP="002633BD">
            <w:pPr>
              <w:pStyle w:val="NoSpacing"/>
              <w:jc w:val="right"/>
            </w:pPr>
            <w:r>
              <w:t>6.0%</w:t>
            </w:r>
          </w:p>
        </w:tc>
        <w:tc>
          <w:tcPr>
            <w:tcW w:w="993" w:type="dxa"/>
            <w:tcBorders>
              <w:top w:val="single" w:sz="4" w:space="0" w:color="A6A6A6" w:themeColor="background1" w:themeShade="A6"/>
              <w:bottom w:val="single" w:sz="4" w:space="0" w:color="auto"/>
            </w:tcBorders>
          </w:tcPr>
          <w:p w:rsidR="00605F7E" w:rsidRDefault="00605F7E" w:rsidP="002633BD">
            <w:pPr>
              <w:pStyle w:val="NoSpacing"/>
              <w:jc w:val="right"/>
            </w:pPr>
            <w:r>
              <w:t>5.2%</w:t>
            </w:r>
          </w:p>
        </w:tc>
      </w:tr>
    </w:tbl>
    <w:p w:rsidR="00155E50" w:rsidRDefault="00155E50" w:rsidP="00DE4AEF">
      <w:pPr>
        <w:pStyle w:val="NoSpacing"/>
      </w:pPr>
    </w:p>
    <w:p w:rsidR="00155E50" w:rsidRDefault="00E26E89" w:rsidP="00DE4AEF">
      <w:pPr>
        <w:pStyle w:val="NoSpacing"/>
      </w:pPr>
      <w:r>
        <w:t xml:space="preserve">The Red 1 response revision would not be perceptible if shown in Figure 1. </w:t>
      </w:r>
      <w:r w:rsidR="00155E50">
        <w:t xml:space="preserve">Figures 4 and 5 demonstrate the revisions </w:t>
      </w:r>
      <w:r>
        <w:t xml:space="preserve">at national level </w:t>
      </w:r>
      <w:r w:rsidR="00155E50">
        <w:t>to abandoned calls, and re-contact after discharge on the scene.</w:t>
      </w:r>
    </w:p>
    <w:p w:rsidR="00155E50" w:rsidRDefault="00155E50" w:rsidP="00DE4AEF">
      <w:pPr>
        <w:pStyle w:val="NoSpacing"/>
      </w:pPr>
    </w:p>
    <w:p w:rsidR="00097741" w:rsidRDefault="003336E9" w:rsidP="00DE4AEF">
      <w:pPr>
        <w:pStyle w:val="NoSpacing"/>
        <w:rPr>
          <w:noProof/>
        </w:rPr>
      </w:pPr>
      <w:r>
        <w:rPr>
          <w:noProof/>
        </w:rPr>
        <w:drawing>
          <wp:inline distT="0" distB="0" distL="0" distR="0" wp14:anchorId="6934A8FA">
            <wp:extent cx="5206365" cy="2280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6365" cy="2280285"/>
                    </a:xfrm>
                    <a:prstGeom prst="rect">
                      <a:avLst/>
                    </a:prstGeom>
                    <a:noFill/>
                  </pic:spPr>
                </pic:pic>
              </a:graphicData>
            </a:graphic>
          </wp:inline>
        </w:drawing>
      </w:r>
    </w:p>
    <w:p w:rsidR="00155E50" w:rsidRDefault="00155E50" w:rsidP="00DE4AEF">
      <w:pPr>
        <w:pStyle w:val="NoSpacing"/>
      </w:pPr>
    </w:p>
    <w:p w:rsidR="002B4F9D" w:rsidRDefault="003336E9" w:rsidP="00DE4AEF">
      <w:pPr>
        <w:pStyle w:val="NoSpacing"/>
      </w:pPr>
      <w:r>
        <w:rPr>
          <w:noProof/>
        </w:rPr>
        <w:drawing>
          <wp:inline distT="0" distB="0" distL="0" distR="0" wp14:anchorId="3A512E92" wp14:editId="57745710">
            <wp:extent cx="5206365" cy="22802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280285"/>
                    </a:xfrm>
                    <a:prstGeom prst="rect">
                      <a:avLst/>
                    </a:prstGeom>
                    <a:noFill/>
                  </pic:spPr>
                </pic:pic>
              </a:graphicData>
            </a:graphic>
          </wp:inline>
        </w:drawing>
      </w:r>
    </w:p>
    <w:p w:rsidR="00155E50" w:rsidRDefault="00155E50" w:rsidP="00DE4AEF">
      <w:pPr>
        <w:pStyle w:val="NoSpacing"/>
      </w:pPr>
    </w:p>
    <w:p w:rsidR="002C522F" w:rsidRDefault="002C522F" w:rsidP="00F01361">
      <w:pPr>
        <w:pStyle w:val="Heading2"/>
      </w:pPr>
      <w:r>
        <w:lastRenderedPageBreak/>
        <w:t>B.</w:t>
      </w:r>
      <w:r>
        <w:tab/>
      </w:r>
      <w:r w:rsidR="000B1B66" w:rsidRPr="00151AF2">
        <w:t>Clinical Outcomes</w:t>
      </w:r>
    </w:p>
    <w:p w:rsidR="005C1BA6" w:rsidRPr="005C1BA6" w:rsidRDefault="005C1BA6" w:rsidP="005C1BA6">
      <w:r>
        <w:t>N</w:t>
      </w:r>
      <w:r w:rsidRPr="005538AF">
        <w:t xml:space="preserve">o thresholds to denote “poor” care </w:t>
      </w:r>
      <w:r>
        <w:t xml:space="preserve">are </w:t>
      </w:r>
      <w:r w:rsidRPr="005538AF">
        <w:t>set for</w:t>
      </w:r>
      <w:r>
        <w:t xml:space="preserve"> Clinical Outcomes</w:t>
      </w:r>
      <w:r w:rsidR="00C7779C">
        <w:t xml:space="preserve"> (CO)</w:t>
      </w:r>
      <w:r w:rsidR="00E76C17">
        <w:t xml:space="preserve">. </w:t>
      </w:r>
      <w:r w:rsidR="00E76C17" w:rsidRPr="00E76C17">
        <w:t xml:space="preserve">Commissioners </w:t>
      </w:r>
      <w:r w:rsidR="00E76C17">
        <w:t xml:space="preserve">are </w:t>
      </w:r>
      <w:r w:rsidR="00E76C17" w:rsidRPr="00E76C17">
        <w:t>expected to examine trends in these data, and work in collaboration with ambulance trusts to achieve sustained improvements over time</w:t>
      </w:r>
      <w:r w:rsidR="00E76C17" w:rsidRPr="005538AF">
        <w:t xml:space="preserve"> improvement in patient outcomes over time</w:t>
      </w:r>
      <w:r w:rsidR="00E76C17">
        <w:t>; but c</w:t>
      </w:r>
      <w:r w:rsidR="00E76C17" w:rsidRPr="00E76C17">
        <w:t xml:space="preserve">ommissioners </w:t>
      </w:r>
      <w:r w:rsidR="00E76C17">
        <w:t xml:space="preserve">are </w:t>
      </w:r>
      <w:r w:rsidR="00E76C17" w:rsidRPr="00E76C17">
        <w:t xml:space="preserve">not expected to use Clinical Outcomes to performance manage trusts, </w:t>
      </w:r>
      <w:r w:rsidR="00E76C17">
        <w:t xml:space="preserve">because </w:t>
      </w:r>
      <w:r w:rsidR="00E76C17" w:rsidRPr="00E76C17">
        <w:t>there will be significant variations in the populations served</w:t>
      </w:r>
      <w:r w:rsidR="00E76C17">
        <w:t>.</w:t>
      </w:r>
    </w:p>
    <w:p w:rsidR="00BC435A" w:rsidRPr="00151AF2" w:rsidRDefault="00C9746F" w:rsidP="002C522F">
      <w:pPr>
        <w:pStyle w:val="Heading3"/>
      </w:pPr>
      <w:r>
        <w:t>B</w:t>
      </w:r>
      <w:r w:rsidR="00BD48E2">
        <w:t>1</w:t>
      </w:r>
      <w:r w:rsidR="00E0653D">
        <w:t xml:space="preserve">. </w:t>
      </w:r>
      <w:r w:rsidR="006303F7">
        <w:t>Cardiac arrest</w:t>
      </w:r>
      <w:r w:rsidR="00992442">
        <w:t>:</w:t>
      </w:r>
      <w:r w:rsidR="00992442" w:rsidRPr="00992442">
        <w:t xml:space="preserve"> </w:t>
      </w:r>
      <w:r w:rsidR="00992442" w:rsidRPr="00DA6E95">
        <w:t>return of spontaneous circulation (ROSC</w:t>
      </w:r>
      <w:r w:rsidR="00992442">
        <w:t>)</w:t>
      </w:r>
      <w:r w:rsidR="003336E9">
        <w:t xml:space="preserve"> (Figure 6</w:t>
      </w:r>
      <w:r w:rsidR="00E0653D">
        <w:t>)</w:t>
      </w:r>
    </w:p>
    <w:p w:rsidR="00322346" w:rsidRDefault="00DA6E95" w:rsidP="00322346">
      <w:r w:rsidRPr="00DA6E95">
        <w:t xml:space="preserve">In </w:t>
      </w:r>
      <w:r w:rsidR="00EB7483">
        <w:t>June 2</w:t>
      </w:r>
      <w:r w:rsidR="00517BD3">
        <w:t>014,</w:t>
      </w:r>
      <w:r w:rsidRPr="00DA6E95">
        <w:t xml:space="preserve"> </w:t>
      </w:r>
      <w:r w:rsidR="001407C4">
        <w:t xml:space="preserve">there were </w:t>
      </w:r>
      <w:r w:rsidR="00EB7483" w:rsidRPr="00EB7483">
        <w:t>2,417</w:t>
      </w:r>
      <w:r w:rsidR="00EB7483">
        <w:t xml:space="preserve"> </w:t>
      </w:r>
      <w:r w:rsidR="00277342" w:rsidRPr="00DA6E95">
        <w:t xml:space="preserve">patients </w:t>
      </w:r>
      <w:r w:rsidR="00D40138">
        <w:t xml:space="preserve">with </w:t>
      </w:r>
      <w:r w:rsidRPr="00DA6E95">
        <w:t xml:space="preserve">resuscitation commenced or continued by ambulance staff following </w:t>
      </w:r>
      <w:r w:rsidR="00277342" w:rsidRPr="00DA6E95">
        <w:t>an out-of-hospital cardiac arrest</w:t>
      </w:r>
      <w:r w:rsidR="001407C4">
        <w:t xml:space="preserve">. Of these, </w:t>
      </w:r>
      <w:r w:rsidR="00E51A9F" w:rsidRPr="00E51A9F">
        <w:t>640</w:t>
      </w:r>
      <w:r w:rsidR="00322346">
        <w:t xml:space="preserve"> (2</w:t>
      </w:r>
      <w:r w:rsidR="00E51A9F">
        <w:t>6</w:t>
      </w:r>
      <w:r w:rsidR="00322346">
        <w:t>.</w:t>
      </w:r>
      <w:r w:rsidR="00E51A9F">
        <w:t>5</w:t>
      </w:r>
      <w:r w:rsidR="00277342" w:rsidRPr="00DA6E95">
        <w:t>%</w:t>
      </w:r>
      <w:r w:rsidR="00322346">
        <w:t>)</w:t>
      </w:r>
      <w:r w:rsidR="00277342" w:rsidRPr="00DA6E95">
        <w:t xml:space="preserve"> had </w:t>
      </w:r>
      <w:r w:rsidR="00992442">
        <w:t>ROSC</w:t>
      </w:r>
      <w:r w:rsidR="00277342" w:rsidRPr="00DA6E95">
        <w:t xml:space="preserve"> on arrival </w:t>
      </w:r>
      <w:r>
        <w:t>at hospital</w:t>
      </w:r>
      <w:r w:rsidR="00D40138">
        <w:t xml:space="preserve">. This was </w:t>
      </w:r>
      <w:r w:rsidR="00322346">
        <w:t xml:space="preserve">similar to </w:t>
      </w:r>
      <w:r w:rsidR="00E0653D">
        <w:t xml:space="preserve">the average of </w:t>
      </w:r>
      <w:r w:rsidR="00322346">
        <w:t xml:space="preserve">26.1% </w:t>
      </w:r>
      <w:r w:rsidR="00E0653D">
        <w:t xml:space="preserve">for </w:t>
      </w:r>
      <w:r w:rsidR="001407C4">
        <w:t>2013-14.</w:t>
      </w:r>
      <w:r w:rsidR="00947505">
        <w:t xml:space="preserve"> </w:t>
      </w:r>
      <w:r w:rsidR="00322346">
        <w:t xml:space="preserve">In </w:t>
      </w:r>
      <w:r w:rsidR="00244F63">
        <w:t xml:space="preserve">June </w:t>
      </w:r>
      <w:r w:rsidR="00322346">
        <w:t xml:space="preserve">2014, the </w:t>
      </w:r>
      <w:r w:rsidR="00871ADB">
        <w:t>largest</w:t>
      </w:r>
      <w:r w:rsidR="00947505">
        <w:rPr>
          <w:rStyle w:val="FootnoteReference"/>
        </w:rPr>
        <w:footnoteReference w:id="7"/>
      </w:r>
      <w:r w:rsidR="00992442" w:rsidRPr="00992442">
        <w:t xml:space="preserve"> </w:t>
      </w:r>
      <w:r w:rsidR="00992442">
        <w:t xml:space="preserve">proportion was </w:t>
      </w:r>
      <w:r w:rsidR="00244F63" w:rsidRPr="00244F63">
        <w:t>47.1%</w:t>
      </w:r>
      <w:r w:rsidR="00992442">
        <w:t xml:space="preserve"> for South Central and the </w:t>
      </w:r>
      <w:r w:rsidR="00871ADB">
        <w:t>small</w:t>
      </w:r>
      <w:r w:rsidR="00992442">
        <w:t>est</w:t>
      </w:r>
      <w:r w:rsidR="00322346">
        <w:t xml:space="preserve"> was </w:t>
      </w:r>
      <w:r w:rsidR="00CA5B86" w:rsidRPr="00CA5B86">
        <w:t>14.2%</w:t>
      </w:r>
      <w:r w:rsidR="00CA5B86">
        <w:t xml:space="preserve"> </w:t>
      </w:r>
      <w:r w:rsidR="001C688D">
        <w:t xml:space="preserve">for </w:t>
      </w:r>
      <w:r w:rsidR="00CA5B86">
        <w:t>Yorkshire</w:t>
      </w:r>
      <w:r w:rsidR="001C688D" w:rsidRPr="001C688D">
        <w:t>.</w:t>
      </w:r>
    </w:p>
    <w:p w:rsidR="00992442" w:rsidRDefault="00992442" w:rsidP="00992442">
      <w:pPr>
        <w:rPr>
          <w:rFonts w:cs="Arial"/>
        </w:rPr>
      </w:pPr>
      <w:r>
        <w:t xml:space="preserve">The Utstein group comprises patients who had resuscitation commenced or </w:t>
      </w:r>
      <w:r w:rsidRPr="00DA6E95">
        <w:t>continued by ambulance service</w:t>
      </w:r>
      <w:r>
        <w:t>,</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 They therefore have a better chance of survival.</w:t>
      </w:r>
    </w:p>
    <w:p w:rsidR="00E0653D" w:rsidRDefault="00992442" w:rsidP="00992442">
      <w:pPr>
        <w:rPr>
          <w:noProof/>
        </w:rPr>
      </w:pPr>
      <w:r>
        <w:rPr>
          <w:rFonts w:cs="Arial"/>
        </w:rPr>
        <w:t xml:space="preserve">In this group, </w:t>
      </w:r>
      <w:r w:rsidR="00511984" w:rsidRPr="00511984">
        <w:t>51.4%</w:t>
      </w:r>
      <w:r w:rsidR="003635DF">
        <w:t xml:space="preserve"> </w:t>
      </w:r>
      <w:r>
        <w:t>had ROSC</w:t>
      </w:r>
      <w:r w:rsidRPr="00992442">
        <w:rPr>
          <w:rFonts w:cs="Arial"/>
        </w:rPr>
        <w:t xml:space="preserve"> </w:t>
      </w:r>
      <w:r w:rsidR="00C26738">
        <w:rPr>
          <w:rFonts w:cs="Arial"/>
        </w:rPr>
        <w:t xml:space="preserve">in </w:t>
      </w:r>
      <w:r w:rsidR="00511984">
        <w:rPr>
          <w:rFonts w:cs="Arial"/>
        </w:rPr>
        <w:t xml:space="preserve">June </w:t>
      </w:r>
      <w:r>
        <w:rPr>
          <w:rFonts w:cs="Arial"/>
        </w:rPr>
        <w:t>2014</w:t>
      </w:r>
      <w:r w:rsidR="003635DF">
        <w:rPr>
          <w:rFonts w:cs="Arial"/>
        </w:rPr>
        <w:t xml:space="preserve">. </w:t>
      </w:r>
      <w:r w:rsidR="003635DF">
        <w:t>The</w:t>
      </w:r>
      <w:r>
        <w:t xml:space="preserve"> </w:t>
      </w:r>
      <w:r w:rsidR="00E0653D">
        <w:t xml:space="preserve">average for </w:t>
      </w:r>
      <w:r>
        <w:t xml:space="preserve">2013-14 </w:t>
      </w:r>
      <w:r w:rsidR="00E0653D">
        <w:t xml:space="preserve">was </w:t>
      </w:r>
      <w:r>
        <w:t>46.9%. The largest</w:t>
      </w:r>
      <w:r w:rsidR="00947505">
        <w:rPr>
          <w:vertAlign w:val="superscript"/>
        </w:rPr>
        <w:t>7</w:t>
      </w:r>
      <w:r w:rsidR="003635DF">
        <w:rPr>
          <w:vertAlign w:val="superscript"/>
        </w:rPr>
        <w:t xml:space="preserve"> </w:t>
      </w:r>
      <w:r>
        <w:t xml:space="preserve">proportion in </w:t>
      </w:r>
      <w:r w:rsidR="00260C5F">
        <w:t>June</w:t>
      </w:r>
      <w:r w:rsidR="001407C4">
        <w:t xml:space="preserve"> </w:t>
      </w:r>
      <w:r>
        <w:t xml:space="preserve">2014 was </w:t>
      </w:r>
      <w:r w:rsidR="00511984" w:rsidRPr="00511984">
        <w:t>83.3%</w:t>
      </w:r>
      <w:r w:rsidR="00511984">
        <w:t xml:space="preserve"> </w:t>
      </w:r>
      <w:r>
        <w:t xml:space="preserve">for </w:t>
      </w:r>
      <w:r w:rsidR="00511984">
        <w:t>North East</w:t>
      </w:r>
      <w:r>
        <w:t xml:space="preserve">, and the smallest was </w:t>
      </w:r>
      <w:r w:rsidR="00511984" w:rsidRPr="00511984">
        <w:t>24.0%</w:t>
      </w:r>
      <w:r>
        <w:t xml:space="preserve"> for East Midlands.</w:t>
      </w:r>
    </w:p>
    <w:p w:rsidR="00992442" w:rsidRDefault="00C957A6" w:rsidP="00992442">
      <w:r>
        <w:rPr>
          <w:noProof/>
        </w:rPr>
        <w:drawing>
          <wp:inline distT="0" distB="0" distL="0" distR="0" wp14:anchorId="7BCBD2AF">
            <wp:extent cx="5212715" cy="3462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715" cy="3462655"/>
                    </a:xfrm>
                    <a:prstGeom prst="rect">
                      <a:avLst/>
                    </a:prstGeom>
                    <a:noFill/>
                  </pic:spPr>
                </pic:pic>
              </a:graphicData>
            </a:graphic>
          </wp:inline>
        </w:drawing>
      </w:r>
    </w:p>
    <w:p w:rsidR="00992442" w:rsidRDefault="00BD48E2" w:rsidP="00992442">
      <w:pPr>
        <w:pStyle w:val="Heading3"/>
      </w:pPr>
      <w:r>
        <w:lastRenderedPageBreak/>
        <w:t>B2</w:t>
      </w:r>
      <w:r w:rsidR="00E0653D">
        <w:t xml:space="preserve">. </w:t>
      </w:r>
      <w:r w:rsidR="00992442">
        <w:t>Cardiac arrest: survival to discharge</w:t>
      </w:r>
      <w:r w:rsidR="00F26900">
        <w:t xml:space="preserve"> </w:t>
      </w:r>
      <w:r w:rsidR="003336E9">
        <w:t>(Figure 7</w:t>
      </w:r>
      <w:r w:rsidR="00E0653D">
        <w:t>)</w:t>
      </w:r>
    </w:p>
    <w:p w:rsidR="00322346" w:rsidRDefault="00B21E1C" w:rsidP="00322346">
      <w:r>
        <w:t xml:space="preserve">In June </w:t>
      </w:r>
      <w:r w:rsidR="009B166A">
        <w:t xml:space="preserve">2014, </w:t>
      </w:r>
      <w:r w:rsidRPr="00B21E1C">
        <w:t>8.5%</w:t>
      </w:r>
      <w:r>
        <w:t xml:space="preserve"> </w:t>
      </w:r>
      <w:r w:rsidR="00322346">
        <w:t xml:space="preserve">of </w:t>
      </w:r>
      <w:r w:rsidR="001C688D">
        <w:t xml:space="preserve">cardiac arrest patients were </w:t>
      </w:r>
      <w:r w:rsidR="00322346">
        <w:t xml:space="preserve">discharged from hospital alive, </w:t>
      </w:r>
      <w:r w:rsidR="001C688D">
        <w:t>similar to the</w:t>
      </w:r>
      <w:r w:rsidR="00E0653D">
        <w:t xml:space="preserve"> average for</w:t>
      </w:r>
      <w:r w:rsidR="001C688D">
        <w:t xml:space="preserve"> 2013-14 proportion of 8.7%</w:t>
      </w:r>
      <w:r w:rsidR="0031060B">
        <w:t xml:space="preserve">. </w:t>
      </w:r>
      <w:r w:rsidR="00871ADB">
        <w:t>The largest</w:t>
      </w:r>
      <w:r w:rsidR="002E6965">
        <w:rPr>
          <w:rStyle w:val="FootnoteReference"/>
        </w:rPr>
        <w:footnoteReference w:id="8"/>
      </w:r>
      <w:r w:rsidR="003635DF">
        <w:rPr>
          <w:vertAlign w:val="superscript"/>
        </w:rPr>
        <w:t xml:space="preserve"> </w:t>
      </w:r>
      <w:r w:rsidR="00871ADB">
        <w:t xml:space="preserve">proportion in </w:t>
      </w:r>
      <w:r>
        <w:t xml:space="preserve">June </w:t>
      </w:r>
      <w:r w:rsidR="00871ADB">
        <w:t xml:space="preserve">2014 was </w:t>
      </w:r>
      <w:r w:rsidRPr="00B21E1C">
        <w:t>15.3%</w:t>
      </w:r>
      <w:r w:rsidR="009B166A">
        <w:t xml:space="preserve"> </w:t>
      </w:r>
      <w:r w:rsidR="00322346">
        <w:t>for South Central</w:t>
      </w:r>
      <w:r w:rsidR="00E0653D">
        <w:t>,</w:t>
      </w:r>
      <w:r w:rsidR="00322346">
        <w:t xml:space="preserve"> </w:t>
      </w:r>
      <w:r w:rsidR="00871ADB">
        <w:t xml:space="preserve">and the smallest was </w:t>
      </w:r>
      <w:r w:rsidRPr="00B21E1C">
        <w:t>3.9%</w:t>
      </w:r>
      <w:r w:rsidR="00322346">
        <w:t xml:space="preserve"> for North East.</w:t>
      </w:r>
    </w:p>
    <w:p w:rsidR="00971C38" w:rsidRDefault="009B166A" w:rsidP="00971C38">
      <w:r>
        <w:t xml:space="preserve">For the Utstein group, </w:t>
      </w:r>
      <w:r w:rsidR="00971C38" w:rsidRPr="00971C38">
        <w:t>23.2%</w:t>
      </w:r>
      <w:r w:rsidR="00CE2AB5">
        <w:t xml:space="preserve"> </w:t>
      </w:r>
      <w:r w:rsidR="00CE2AB5" w:rsidRPr="00CE2AB5">
        <w:t>were discharged fro</w:t>
      </w:r>
      <w:r w:rsidR="00CE2AB5">
        <w:t xml:space="preserve">m hospital alive in </w:t>
      </w:r>
      <w:r w:rsidR="00971C38">
        <w:t xml:space="preserve">June </w:t>
      </w:r>
      <w:r>
        <w:t>2014</w:t>
      </w:r>
      <w:r w:rsidR="00CE2AB5">
        <w:t xml:space="preserve">. </w:t>
      </w:r>
      <w:r w:rsidR="003635DF">
        <w:t xml:space="preserve">The </w:t>
      </w:r>
      <w:r w:rsidR="00E0653D">
        <w:t>average</w:t>
      </w:r>
      <w:r w:rsidR="003635DF">
        <w:t xml:space="preserve"> for 2013-14 was 26.3%. </w:t>
      </w:r>
      <w:r w:rsidR="00992442">
        <w:t>The largest</w:t>
      </w:r>
      <w:r w:rsidR="002E6965" w:rsidRPr="002E6965">
        <w:rPr>
          <w:vertAlign w:val="superscript"/>
        </w:rPr>
        <w:t>8</w:t>
      </w:r>
      <w:r w:rsidR="003635DF">
        <w:rPr>
          <w:vertAlign w:val="superscript"/>
        </w:rPr>
        <w:t xml:space="preserve"> </w:t>
      </w:r>
      <w:r w:rsidR="00992442">
        <w:t xml:space="preserve">proportion </w:t>
      </w:r>
      <w:r w:rsidR="00260C5F">
        <w:t xml:space="preserve">in June 2014 </w:t>
      </w:r>
      <w:r w:rsidR="00992442">
        <w:t xml:space="preserve">was </w:t>
      </w:r>
      <w:r w:rsidR="00971C38" w:rsidRPr="00971C38">
        <w:t>51.6%</w:t>
      </w:r>
      <w:r w:rsidR="00F06D35">
        <w:t xml:space="preserve"> for </w:t>
      </w:r>
      <w:r w:rsidR="00CE2AB5">
        <w:t>Yorkshire</w:t>
      </w:r>
      <w:r w:rsidR="00E0653D">
        <w:t>,</w:t>
      </w:r>
      <w:r w:rsidR="00CE2AB5">
        <w:t xml:space="preserve"> </w:t>
      </w:r>
      <w:r w:rsidR="00F06D35">
        <w:t>and the smallest</w:t>
      </w:r>
      <w:r w:rsidR="008301F3">
        <w:rPr>
          <w:vertAlign w:val="superscript"/>
        </w:rPr>
        <w:t xml:space="preserve"> </w:t>
      </w:r>
      <w:r w:rsidR="00F06D35">
        <w:t xml:space="preserve">was </w:t>
      </w:r>
      <w:r w:rsidR="00971C38" w:rsidRPr="00971C38">
        <w:t>4.8%</w:t>
      </w:r>
      <w:r w:rsidR="00F06D35">
        <w:t xml:space="preserve"> for </w:t>
      </w:r>
      <w:r w:rsidR="00971C38">
        <w:t>East</w:t>
      </w:r>
      <w:r w:rsidR="003635DF">
        <w:t xml:space="preserve"> Midlands</w:t>
      </w:r>
      <w:r w:rsidR="00971C38">
        <w:t>.</w:t>
      </w:r>
    </w:p>
    <w:p w:rsidR="00E0653D" w:rsidRDefault="00C957A6" w:rsidP="00971C38">
      <w:r>
        <w:rPr>
          <w:noProof/>
        </w:rPr>
        <w:drawing>
          <wp:inline distT="0" distB="0" distL="0" distR="0" wp14:anchorId="4BA1B257">
            <wp:extent cx="5231130" cy="262763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1130" cy="2627630"/>
                    </a:xfrm>
                    <a:prstGeom prst="rect">
                      <a:avLst/>
                    </a:prstGeom>
                    <a:noFill/>
                  </pic:spPr>
                </pic:pic>
              </a:graphicData>
            </a:graphic>
          </wp:inline>
        </w:drawing>
      </w:r>
    </w:p>
    <w:p w:rsidR="00E324F3" w:rsidRDefault="00BD48E2" w:rsidP="00E324F3">
      <w:pPr>
        <w:pStyle w:val="Heading3"/>
      </w:pPr>
      <w:r>
        <w:t>B3</w:t>
      </w:r>
      <w:r w:rsidR="0044771F">
        <w:t xml:space="preserve">. </w:t>
      </w:r>
      <w:r w:rsidR="00E324F3" w:rsidRPr="00DA6E95">
        <w:t>ST-Elevation myocardial infarction</w:t>
      </w:r>
      <w:r w:rsidR="00E324F3">
        <w:t xml:space="preserve"> (STEMI)</w:t>
      </w:r>
      <w:r w:rsidR="003336E9">
        <w:t xml:space="preserve"> (Figure 8</w:t>
      </w:r>
      <w:r w:rsidR="00260C5F">
        <w:t>)</w:t>
      </w:r>
    </w:p>
    <w:p w:rsidR="002E6965" w:rsidRPr="00DA6E95" w:rsidRDefault="002E6965" w:rsidP="002E6965">
      <w:pPr>
        <w:rPr>
          <w:bCs/>
        </w:rPr>
      </w:pPr>
      <w:r>
        <w:rPr>
          <w:rFonts w:cs="Arial"/>
        </w:rPr>
        <w:t>ST-</w:t>
      </w:r>
      <w:r w:rsidRPr="002C522F">
        <w:rPr>
          <w:rFonts w:cs="Arial"/>
        </w:rPr>
        <w:t>segment elevation myocardial infarction</w:t>
      </w:r>
      <w:r>
        <w:rPr>
          <w:rFonts w:cs="Arial"/>
        </w:rPr>
        <w:t xml:space="preserve">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F06D35" w:rsidRDefault="00E324F3" w:rsidP="00E324F3">
      <w:r>
        <w:t xml:space="preserve">In </w:t>
      </w:r>
      <w:r w:rsidR="00B66678">
        <w:t xml:space="preserve">June </w:t>
      </w:r>
      <w:r>
        <w:t xml:space="preserve">2014, </w:t>
      </w:r>
      <w:r w:rsidR="00D40138">
        <w:t xml:space="preserve">of </w:t>
      </w:r>
      <w:r w:rsidR="00B66678" w:rsidRPr="00B66678">
        <w:t>1,304</w:t>
      </w:r>
      <w:r w:rsidR="00B66678">
        <w:t xml:space="preserve"> </w:t>
      </w:r>
      <w:r w:rsidRPr="00DA6E95">
        <w:t>patients with an acute STEMI</w:t>
      </w:r>
      <w:r>
        <w:t xml:space="preserve">, </w:t>
      </w:r>
      <w:r w:rsidR="00B66678" w:rsidRPr="00B66678">
        <w:t xml:space="preserve">1,040 </w:t>
      </w:r>
      <w:r w:rsidR="00F06D35">
        <w:t>(</w:t>
      </w:r>
      <w:r w:rsidR="00B66678" w:rsidRPr="00B66678">
        <w:t>79.8%</w:t>
      </w:r>
      <w:r w:rsidR="00E55FAB">
        <w:t xml:space="preserve">) </w:t>
      </w:r>
      <w:r w:rsidRPr="00DA6E95">
        <w:t>received the appropriate care bundle</w:t>
      </w:r>
      <w:r w:rsidR="0044771F">
        <w:rPr>
          <w:rStyle w:val="FootnoteReference"/>
        </w:rPr>
        <w:footnoteReference w:id="9"/>
      </w:r>
      <w:r w:rsidR="00F06D35">
        <w:t xml:space="preserve">, </w:t>
      </w:r>
      <w:r w:rsidR="009B166A">
        <w:t xml:space="preserve">similar to the </w:t>
      </w:r>
      <w:r w:rsidR="00EF6133">
        <w:t xml:space="preserve">proportion of </w:t>
      </w:r>
      <w:r w:rsidR="00F06D35">
        <w:t>80.1% for 2013-14</w:t>
      </w:r>
      <w:r w:rsidRPr="00DA6E95">
        <w:t>.</w:t>
      </w:r>
      <w:r>
        <w:t xml:space="preserve"> </w:t>
      </w:r>
      <w:r w:rsidR="00D40138">
        <w:t xml:space="preserve">North </w:t>
      </w:r>
      <w:r w:rsidR="00E55FAB">
        <w:t xml:space="preserve">East </w:t>
      </w:r>
      <w:r w:rsidR="00F06D35">
        <w:t>had the larges</w:t>
      </w:r>
      <w:r w:rsidR="002E3DEA">
        <w:t>t</w:t>
      </w:r>
      <w:r w:rsidR="00B66678">
        <w:rPr>
          <w:vertAlign w:val="superscript"/>
        </w:rPr>
        <w:t xml:space="preserve"> </w:t>
      </w:r>
      <w:r w:rsidR="00F06D35">
        <w:t xml:space="preserve">proportion, with </w:t>
      </w:r>
      <w:r w:rsidR="00E55FAB">
        <w:t>93.4</w:t>
      </w:r>
      <w:r w:rsidR="00B66678" w:rsidRPr="00B66678">
        <w:t>%</w:t>
      </w:r>
      <w:r w:rsidR="00B66678">
        <w:t xml:space="preserve">, </w:t>
      </w:r>
      <w:r w:rsidR="00F06D35">
        <w:t xml:space="preserve">and the smallest was </w:t>
      </w:r>
      <w:r w:rsidR="00B66678" w:rsidRPr="00B66678">
        <w:t>66.0%</w:t>
      </w:r>
      <w:r w:rsidR="002E3DEA">
        <w:t xml:space="preserve"> </w:t>
      </w:r>
      <w:r w:rsidR="00F06D35">
        <w:t>in South</w:t>
      </w:r>
      <w:r w:rsidR="00D40138">
        <w:t xml:space="preserve"> Central</w:t>
      </w:r>
      <w:r w:rsidR="00F06D35">
        <w:t>.</w:t>
      </w:r>
    </w:p>
    <w:p w:rsidR="00260C5F" w:rsidRDefault="00D40138" w:rsidP="00E324F3">
      <w:r>
        <w:t xml:space="preserve">Of </w:t>
      </w:r>
      <w:r w:rsidR="00FD58E1" w:rsidRPr="00FD58E1">
        <w:t>926</w:t>
      </w:r>
      <w:r w:rsidR="00FD58E1">
        <w:t xml:space="preserve"> </w:t>
      </w:r>
      <w:r>
        <w:t xml:space="preserve">STEMI patients </w:t>
      </w:r>
      <w:r w:rsidRPr="00DA6E95">
        <w:t>receiv</w:t>
      </w:r>
      <w:r>
        <w:t xml:space="preserve">ing </w:t>
      </w:r>
      <w:r w:rsidRPr="00DA6E95">
        <w:t>primary angioplasty</w:t>
      </w:r>
      <w:r w:rsidR="00E324F3" w:rsidRPr="00DA6E95">
        <w:t xml:space="preserve">, </w:t>
      </w:r>
      <w:r w:rsidR="00FD58E1" w:rsidRPr="00FD58E1">
        <w:t>824</w:t>
      </w:r>
      <w:r w:rsidR="00F06D35">
        <w:t xml:space="preserve"> (</w:t>
      </w:r>
      <w:r w:rsidR="00FD58E1" w:rsidRPr="00FD58E1">
        <w:t>89.0%</w:t>
      </w:r>
      <w:r w:rsidR="00FD58E1">
        <w:t xml:space="preserve">) </w:t>
      </w:r>
      <w:r w:rsidR="00E324F3">
        <w:t xml:space="preserve">of them </w:t>
      </w:r>
      <w:r w:rsidR="00E324F3" w:rsidRPr="00DA6E95">
        <w:t xml:space="preserve">received </w:t>
      </w:r>
      <w:r>
        <w:t xml:space="preserve">it </w:t>
      </w:r>
      <w:r w:rsidR="00E324F3" w:rsidRPr="00DA6E95">
        <w:t>within 150 minutes of the call being connected to the ambulance service</w:t>
      </w:r>
      <w:r w:rsidR="00F06D35">
        <w:t xml:space="preserve">, </w:t>
      </w:r>
      <w:r w:rsidR="00FD58E1" w:rsidRPr="00FD58E1">
        <w:t xml:space="preserve">similar to </w:t>
      </w:r>
      <w:r w:rsidR="00F06D35">
        <w:t xml:space="preserve">the 2013-14 </w:t>
      </w:r>
      <w:r w:rsidR="00EF6133">
        <w:t xml:space="preserve">proportion </w:t>
      </w:r>
      <w:r w:rsidR="00F06D35">
        <w:t>of 88.9%</w:t>
      </w:r>
      <w:r>
        <w:t>. The largest</w:t>
      </w:r>
      <w:r w:rsidR="0044771F">
        <w:rPr>
          <w:vertAlign w:val="superscript"/>
        </w:rPr>
        <w:t>8</w:t>
      </w:r>
      <w:r w:rsidRPr="00D40138">
        <w:t xml:space="preserve"> </w:t>
      </w:r>
      <w:r>
        <w:t xml:space="preserve">proportion was </w:t>
      </w:r>
      <w:r w:rsidR="00FD58E1" w:rsidRPr="00FD58E1">
        <w:t xml:space="preserve">95.7% </w:t>
      </w:r>
      <w:r>
        <w:t>in</w:t>
      </w:r>
      <w:r w:rsidR="006201BE" w:rsidRPr="006201BE">
        <w:t xml:space="preserve"> </w:t>
      </w:r>
      <w:r w:rsidR="00FD58E1" w:rsidRPr="00FD58E1">
        <w:t>South Central</w:t>
      </w:r>
      <w:r w:rsidR="00260C5F">
        <w:t xml:space="preserve">, and the smallest was </w:t>
      </w:r>
      <w:r w:rsidR="00CC4553" w:rsidRPr="00CC4553">
        <w:t>81.4%</w:t>
      </w:r>
      <w:r>
        <w:t xml:space="preserve"> in </w:t>
      </w:r>
      <w:r w:rsidR="00CC4553">
        <w:t xml:space="preserve">North </w:t>
      </w:r>
      <w:r>
        <w:t>West.</w:t>
      </w:r>
    </w:p>
    <w:p w:rsidR="00260C5F" w:rsidRDefault="00C957A6" w:rsidP="00E324F3">
      <w:pPr>
        <w:rPr>
          <w:noProof/>
        </w:rPr>
      </w:pPr>
      <w:r>
        <w:rPr>
          <w:noProof/>
        </w:rPr>
        <w:lastRenderedPageBreak/>
        <w:drawing>
          <wp:inline distT="0" distB="0" distL="0" distR="0" wp14:anchorId="41D359DA">
            <wp:extent cx="5236845" cy="22987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6845" cy="2298700"/>
                    </a:xfrm>
                    <a:prstGeom prst="rect">
                      <a:avLst/>
                    </a:prstGeom>
                    <a:noFill/>
                  </pic:spPr>
                </pic:pic>
              </a:graphicData>
            </a:graphic>
          </wp:inline>
        </w:drawing>
      </w:r>
    </w:p>
    <w:p w:rsidR="00E324F3" w:rsidRDefault="00E324F3" w:rsidP="00E324F3">
      <w:pPr>
        <w:pStyle w:val="Heading3"/>
      </w:pPr>
      <w:r>
        <w:t>B</w:t>
      </w:r>
      <w:r w:rsidR="00BD48E2">
        <w:t>4</w:t>
      </w:r>
      <w:r>
        <w:t>.</w:t>
      </w:r>
      <w:r w:rsidR="0044771F">
        <w:t xml:space="preserve"> </w:t>
      </w:r>
      <w:r>
        <w:t>Stroke</w:t>
      </w:r>
      <w:r w:rsidR="003336E9">
        <w:t xml:space="preserve"> (Figure 9</w:t>
      </w:r>
      <w:r w:rsidR="00260C5F">
        <w:t>)</w:t>
      </w:r>
    </w:p>
    <w:p w:rsidR="00E324F3" w:rsidRDefault="00E324F3" w:rsidP="00E324F3">
      <w:pPr>
        <w:pStyle w:val="NoSpacing"/>
      </w:pPr>
      <w:r>
        <w:t xml:space="preserve">The </w:t>
      </w:r>
      <w:r w:rsidR="00260C5F">
        <w:t xml:space="preserve">FAST </w:t>
      </w:r>
      <w:r>
        <w:t>procedure helps assess whether someone has suffered a stroke:</w:t>
      </w:r>
    </w:p>
    <w:p w:rsidR="00E324F3" w:rsidRDefault="00E324F3" w:rsidP="00E324F3">
      <w:pPr>
        <w:pStyle w:val="ListBullet"/>
      </w:pPr>
      <w:r w:rsidRPr="002E6965">
        <w:rPr>
          <w:b/>
        </w:rPr>
        <w:t>F</w:t>
      </w:r>
      <w:r>
        <w:t>acial weakness – can the person smile? Has their mouth or eye drooped?</w:t>
      </w:r>
    </w:p>
    <w:p w:rsidR="00E324F3" w:rsidRDefault="00E324F3" w:rsidP="00E324F3">
      <w:pPr>
        <w:pStyle w:val="ListBullet"/>
      </w:pPr>
      <w:r w:rsidRPr="002E6965">
        <w:rPr>
          <w:b/>
        </w:rPr>
        <w:t>A</w:t>
      </w:r>
      <w:r>
        <w:t>rm weakness – can the person raise both arms?</w:t>
      </w:r>
    </w:p>
    <w:p w:rsidR="00E324F3" w:rsidRDefault="00E324F3" w:rsidP="00E324F3">
      <w:pPr>
        <w:pStyle w:val="ListBullet"/>
      </w:pPr>
      <w:r w:rsidRPr="002E6965">
        <w:rPr>
          <w:b/>
        </w:rPr>
        <w:t>S</w:t>
      </w:r>
      <w:r>
        <w:t>peech problems – can the person speak clearly and understand what you say?</w:t>
      </w:r>
    </w:p>
    <w:p w:rsidR="00E324F3" w:rsidRDefault="00E324F3" w:rsidP="00E324F3">
      <w:pPr>
        <w:pStyle w:val="ListBullet"/>
      </w:pPr>
      <w:r w:rsidRPr="002E6965">
        <w:rPr>
          <w:b/>
        </w:rPr>
        <w:t>T</w:t>
      </w:r>
      <w:r>
        <w:t>ime to call 999 for an ambulance if you spot any one of these signs.</w:t>
      </w:r>
    </w:p>
    <w:p w:rsidR="00E324F3" w:rsidRDefault="00E324F3" w:rsidP="00E324F3">
      <w:r>
        <w:t xml:space="preserve">In </w:t>
      </w:r>
      <w:r w:rsidR="004D1017">
        <w:t xml:space="preserve">June </w:t>
      </w:r>
      <w:r>
        <w:t xml:space="preserve">2014, </w:t>
      </w:r>
      <w:r w:rsidR="00D40138">
        <w:t xml:space="preserve">of </w:t>
      </w:r>
      <w:r w:rsidR="004D1017" w:rsidRPr="004D1017">
        <w:t>3,096</w:t>
      </w:r>
      <w:r w:rsidR="004D1017">
        <w:t xml:space="preserve"> </w:t>
      </w:r>
      <w:r>
        <w:t xml:space="preserve">FAST positive patients, assessed face to face, </w:t>
      </w:r>
      <w:r w:rsidR="00D40138">
        <w:t xml:space="preserve">and </w:t>
      </w:r>
      <w:r>
        <w:t>potentially eligible for stroke thrombolysis</w:t>
      </w:r>
      <w:r w:rsidR="00D40138">
        <w:t xml:space="preserve"> within agreed local guidelines, </w:t>
      </w:r>
      <w:r w:rsidR="004D1017" w:rsidRPr="004D1017">
        <w:t xml:space="preserve">1,951 </w:t>
      </w:r>
      <w:r w:rsidR="00D40138">
        <w:t>(6</w:t>
      </w:r>
      <w:r w:rsidR="004D1017">
        <w:t>3.0</w:t>
      </w:r>
      <w:r w:rsidR="00D40138">
        <w:t>%)</w:t>
      </w:r>
      <w:r>
        <w:t xml:space="preserve"> arrived at hospitals with</w:t>
      </w:r>
      <w:r w:rsidRPr="00DA6E95">
        <w:t xml:space="preserve"> a hyperacute stroke unit within 60 minutes</w:t>
      </w:r>
      <w:r>
        <w:t xml:space="preserve"> of an emergency call connecting to the ambulance service.</w:t>
      </w:r>
      <w:r w:rsidR="00D40138">
        <w:t xml:space="preserve"> This was </w:t>
      </w:r>
      <w:r w:rsidR="00FC53E3">
        <w:t>the same</w:t>
      </w:r>
      <w:r w:rsidR="00D40138">
        <w:t xml:space="preserve"> </w:t>
      </w:r>
      <w:r w:rsidR="00FC53E3">
        <w:t xml:space="preserve">as </w:t>
      </w:r>
      <w:r w:rsidR="00947505">
        <w:t xml:space="preserve">63.0% in 2013/14. </w:t>
      </w:r>
      <w:r w:rsidR="00D40138">
        <w:t xml:space="preserve">The largest proportion in </w:t>
      </w:r>
      <w:r w:rsidR="004D1017">
        <w:t xml:space="preserve">June </w:t>
      </w:r>
      <w:r w:rsidR="00D40138">
        <w:t xml:space="preserve">2014 was </w:t>
      </w:r>
      <w:r w:rsidR="00FC53E3">
        <w:t>76.0</w:t>
      </w:r>
      <w:r w:rsidR="004D1017" w:rsidRPr="004D1017">
        <w:t>%</w:t>
      </w:r>
      <w:r w:rsidR="004D1017">
        <w:t xml:space="preserve"> </w:t>
      </w:r>
      <w:r w:rsidR="00D40138">
        <w:t>in Nor</w:t>
      </w:r>
      <w:r w:rsidR="00133520">
        <w:t xml:space="preserve">th </w:t>
      </w:r>
      <w:r w:rsidR="00FC53E3">
        <w:t>West</w:t>
      </w:r>
      <w:r w:rsidR="00133520">
        <w:t xml:space="preserve">, and the smallest was </w:t>
      </w:r>
      <w:r w:rsidR="004D1017" w:rsidRPr="004D1017">
        <w:t>48.4%</w:t>
      </w:r>
      <w:r w:rsidR="004D1017">
        <w:t xml:space="preserve"> </w:t>
      </w:r>
      <w:r w:rsidR="00D40138">
        <w:t xml:space="preserve">in </w:t>
      </w:r>
      <w:r w:rsidR="004D1017">
        <w:t xml:space="preserve">West Midlands. </w:t>
      </w:r>
    </w:p>
    <w:p w:rsidR="007B2D4E" w:rsidRDefault="00D40138" w:rsidP="00453F16">
      <w:r>
        <w:t xml:space="preserve">Of </w:t>
      </w:r>
      <w:r w:rsidR="00251854" w:rsidRPr="00251854">
        <w:t>7,312</w:t>
      </w:r>
      <w:r w:rsidR="00251854">
        <w:t xml:space="preserve"> </w:t>
      </w:r>
      <w:r>
        <w:t xml:space="preserve">stroke </w:t>
      </w:r>
      <w:r w:rsidR="00E324F3">
        <w:t>patients assessed face to face</w:t>
      </w:r>
      <w:r>
        <w:t xml:space="preserve">, </w:t>
      </w:r>
      <w:bookmarkStart w:id="2" w:name="OLE_LINK3"/>
      <w:r w:rsidR="00251854" w:rsidRPr="00251854">
        <w:t xml:space="preserve">7,101 </w:t>
      </w:r>
      <w:r>
        <w:t>(97.</w:t>
      </w:r>
      <w:r w:rsidR="007C393E">
        <w:t>1</w:t>
      </w:r>
      <w:r>
        <w:t xml:space="preserve">%) </w:t>
      </w:r>
      <w:r w:rsidR="00E324F3" w:rsidRPr="00DA6E95">
        <w:t>received the appropriate care bundle</w:t>
      </w:r>
      <w:bookmarkEnd w:id="2"/>
      <w:r w:rsidR="00FC53E3">
        <w:t>, similar to</w:t>
      </w:r>
      <w:r w:rsidR="00947505">
        <w:t xml:space="preserve"> the average of 96.4% for 2013/14</w:t>
      </w:r>
      <w:r>
        <w:t xml:space="preserve">. The </w:t>
      </w:r>
      <w:r w:rsidR="00453F16">
        <w:t xml:space="preserve">smallest </w:t>
      </w:r>
      <w:r>
        <w:t>proportion in</w:t>
      </w:r>
      <w:r w:rsidR="007C393E">
        <w:t xml:space="preserve"> </w:t>
      </w:r>
      <w:r w:rsidR="00251854">
        <w:t xml:space="preserve">June </w:t>
      </w:r>
      <w:r>
        <w:t xml:space="preserve">2014 was </w:t>
      </w:r>
      <w:r w:rsidR="00FC53E3">
        <w:t>92.9</w:t>
      </w:r>
      <w:r w:rsidR="00251854" w:rsidRPr="00251854">
        <w:t>%</w:t>
      </w:r>
      <w:r w:rsidR="007C393E" w:rsidRPr="007C393E">
        <w:t xml:space="preserve"> </w:t>
      </w:r>
      <w:r w:rsidR="00453F16">
        <w:t>in</w:t>
      </w:r>
      <w:r w:rsidR="00FC53E3">
        <w:t xml:space="preserve"> South East Coast</w:t>
      </w:r>
      <w:r w:rsidR="00947505">
        <w:t>, and the largest was 100% in South Central.</w:t>
      </w:r>
    </w:p>
    <w:p w:rsidR="002E6965" w:rsidRDefault="00C957A6" w:rsidP="00453F16">
      <w:r>
        <w:rPr>
          <w:noProof/>
        </w:rPr>
        <w:drawing>
          <wp:inline distT="0" distB="0" distL="0" distR="0" wp14:anchorId="5FE8F99A">
            <wp:extent cx="5231130" cy="26517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1130" cy="2651760"/>
                    </a:xfrm>
                    <a:prstGeom prst="rect">
                      <a:avLst/>
                    </a:prstGeom>
                    <a:noFill/>
                  </pic:spPr>
                </pic:pic>
              </a:graphicData>
            </a:graphic>
          </wp:inline>
        </w:drawing>
      </w:r>
    </w:p>
    <w:p w:rsidR="00875FD5" w:rsidRDefault="00737724" w:rsidP="00737724">
      <w:pPr>
        <w:pStyle w:val="Heading2"/>
      </w:pPr>
      <w:r>
        <w:lastRenderedPageBreak/>
        <w:t>C.</w:t>
      </w:r>
      <w:r>
        <w:tab/>
      </w:r>
      <w:r w:rsidR="00E274DD">
        <w:t>F</w:t>
      </w:r>
      <w:r w:rsidR="00875FD5">
        <w:t xml:space="preserve">urther </w:t>
      </w:r>
      <w:r w:rsidR="00551D2D">
        <w:t>i</w:t>
      </w:r>
      <w:r w:rsidR="00875FD5">
        <w:t>nformation</w:t>
      </w:r>
      <w:r w:rsidR="00E274DD">
        <w:t xml:space="preserve"> on AQI</w:t>
      </w:r>
    </w:p>
    <w:p w:rsidR="00EF6133" w:rsidRPr="00EF6133" w:rsidRDefault="00EF6133" w:rsidP="00EF6133">
      <w:r>
        <w:t>AQI include calls made by dialling either 999 or 112.</w:t>
      </w:r>
    </w:p>
    <w:p w:rsidR="00E324F3" w:rsidRDefault="0039160E" w:rsidP="00E324F3">
      <w:pPr>
        <w:pStyle w:val="Heading3"/>
      </w:pPr>
      <w:r>
        <w:t>C1.</w:t>
      </w:r>
      <w:r w:rsidR="0044771F">
        <w:t xml:space="preserve"> </w:t>
      </w:r>
      <w:r w:rsidR="00E324F3">
        <w:t>Quality Statement</w:t>
      </w:r>
      <w:r w:rsidR="006817AD" w:rsidRPr="006817AD">
        <w:t xml:space="preserve"> </w:t>
      </w:r>
      <w:r w:rsidR="006817AD">
        <w:t>and</w:t>
      </w:r>
      <w:r w:rsidR="006817AD" w:rsidRPr="006817AD">
        <w:t xml:space="preserve"> </w:t>
      </w:r>
      <w:r w:rsidR="006817AD">
        <w:t>data specification</w:t>
      </w:r>
    </w:p>
    <w:p w:rsidR="003336E9" w:rsidRDefault="003336E9" w:rsidP="00551D2D">
      <w:pPr>
        <w:rPr>
          <w:rFonts w:cs="Arial"/>
        </w:rPr>
      </w:pPr>
      <w:hyperlink r:id="rId18" w:history="1">
        <w:r w:rsidRPr="005D248D">
          <w:rPr>
            <w:rStyle w:val="Hyperlink"/>
            <w:rFonts w:cs="Arial"/>
          </w:rPr>
          <w:t>www.england.nhs.uk/statistics/statistical-work-areas/ambulance-quality-indi</w:t>
        </w:r>
        <w:r w:rsidRPr="005D248D">
          <w:rPr>
            <w:rStyle w:val="Hyperlink"/>
            <w:rFonts w:cs="Arial"/>
          </w:rPr>
          <w:t>c</w:t>
        </w:r>
        <w:r w:rsidRPr="005D248D">
          <w:rPr>
            <w:rStyle w:val="Hyperlink"/>
            <w:rFonts w:cs="Arial"/>
          </w:rPr>
          <w:t>ators</w:t>
        </w:r>
      </w:hyperlink>
      <w:r w:rsidRPr="00775632">
        <w:rPr>
          <w:rFonts w:cs="Arial"/>
        </w:rPr>
        <w:t xml:space="preserve"> </w:t>
      </w:r>
      <w:r>
        <w:rPr>
          <w:rFonts w:cs="Arial"/>
        </w:rPr>
        <w:t>is t</w:t>
      </w:r>
      <w:r w:rsidR="00875FD5">
        <w:rPr>
          <w:rFonts w:cs="Arial"/>
        </w:rPr>
        <w:t xml:space="preserve">he </w:t>
      </w:r>
      <w:r w:rsidR="00E274DD" w:rsidRPr="007A138E">
        <w:t>Ambulance Quality Indicators</w:t>
      </w:r>
      <w:r w:rsidR="00E274DD">
        <w:t xml:space="preserve"> (</w:t>
      </w:r>
      <w:r w:rsidR="00875FD5">
        <w:rPr>
          <w:rFonts w:cs="Arial"/>
        </w:rPr>
        <w:t>AQI</w:t>
      </w:r>
      <w:r w:rsidR="00E274DD">
        <w:rPr>
          <w:rFonts w:cs="Arial"/>
        </w:rPr>
        <w:t>)</w:t>
      </w:r>
      <w:r>
        <w:rPr>
          <w:rFonts w:cs="Arial"/>
        </w:rPr>
        <w:t xml:space="preserve"> landing page, which holds:</w:t>
      </w:r>
    </w:p>
    <w:p w:rsidR="00551D2D" w:rsidRDefault="003336E9" w:rsidP="003336E9">
      <w:pPr>
        <w:pStyle w:val="ListBullet2"/>
      </w:pPr>
      <w:r>
        <w:t xml:space="preserve">The </w:t>
      </w:r>
      <w:r w:rsidR="00551D2D">
        <w:t>specification guidanc</w:t>
      </w:r>
      <w:r>
        <w:t>e for those who supply the data;</w:t>
      </w:r>
    </w:p>
    <w:p w:rsidR="0036445B" w:rsidRDefault="003336E9" w:rsidP="003336E9">
      <w:pPr>
        <w:pStyle w:val="ListBullet2"/>
      </w:pPr>
      <w:r>
        <w:t>A</w:t>
      </w:r>
      <w:r w:rsidR="00775632" w:rsidRPr="00875FD5">
        <w:t xml:space="preserve"> Quality Statement</w:t>
      </w:r>
      <w:r w:rsidR="00775632">
        <w:t xml:space="preserve"> for these statistics</w:t>
      </w:r>
      <w:r w:rsidR="0036445B">
        <w:t xml:space="preserve">, </w:t>
      </w:r>
      <w:r w:rsidR="006817AD">
        <w:t>which includes</w:t>
      </w:r>
      <w:r w:rsidR="0036445B">
        <w:t xml:space="preserve"> information on relevance, accuracy, timelines</w:t>
      </w:r>
      <w:r w:rsidR="006817AD">
        <w:t xml:space="preserve">s, </w:t>
      </w:r>
      <w:r w:rsidR="0036445B">
        <w:t>coherence</w:t>
      </w:r>
      <w:r w:rsidR="00775632">
        <w:t xml:space="preserve">, </w:t>
      </w:r>
      <w:r w:rsidR="006817AD">
        <w:t xml:space="preserve">and </w:t>
      </w:r>
      <w:r>
        <w:t>user engagement;</w:t>
      </w:r>
    </w:p>
    <w:p w:rsidR="003336E9" w:rsidRDefault="003336E9" w:rsidP="003336E9">
      <w:pPr>
        <w:pStyle w:val="ListBullet2"/>
      </w:pPr>
      <w:r>
        <w:t>Publication timetables</w:t>
      </w:r>
      <w:r>
        <w:t>;</w:t>
      </w:r>
    </w:p>
    <w:p w:rsidR="003336E9" w:rsidRDefault="003336E9" w:rsidP="003336E9">
      <w:pPr>
        <w:pStyle w:val="ListBullet2"/>
      </w:pPr>
      <w:r>
        <w:t>Statistical Notes from previous months;</w:t>
      </w:r>
    </w:p>
    <w:p w:rsidR="00775632" w:rsidRDefault="003336E9" w:rsidP="003336E9">
      <w:pPr>
        <w:pStyle w:val="ListBullet2"/>
      </w:pPr>
      <w:r>
        <w:t>T</w:t>
      </w:r>
      <w:r w:rsidR="00775632">
        <w:t xml:space="preserve">ext files and </w:t>
      </w:r>
      <w:r w:rsidR="00775632" w:rsidRPr="00875FD5">
        <w:t>time series spreadsheets</w:t>
      </w:r>
      <w:r w:rsidR="00775632">
        <w:t xml:space="preserve"> containing all </w:t>
      </w:r>
      <w:r w:rsidR="00775632" w:rsidRPr="00875FD5">
        <w:t xml:space="preserve">data </w:t>
      </w:r>
      <w:r w:rsidR="00775632">
        <w:t xml:space="preserve">from </w:t>
      </w:r>
      <w:r w:rsidR="00775632" w:rsidRPr="00875FD5">
        <w:t>April 2011</w:t>
      </w:r>
      <w:r w:rsidR="00775632">
        <w:t xml:space="preserve"> </w:t>
      </w:r>
      <w:r w:rsidR="0036445B">
        <w:t xml:space="preserve">up </w:t>
      </w:r>
      <w:r>
        <w:t>to the latest month.</w:t>
      </w:r>
    </w:p>
    <w:p w:rsidR="00AD6F90" w:rsidRDefault="00AD6F90" w:rsidP="00AD6F90"/>
    <w:p w:rsidR="00A4253D" w:rsidRDefault="00E324F3" w:rsidP="00875FD5">
      <w:pPr>
        <w:pStyle w:val="Heading3"/>
      </w:pPr>
      <w:r>
        <w:t>C2.</w:t>
      </w:r>
      <w:r w:rsidR="0044771F">
        <w:t xml:space="preserve"> </w:t>
      </w:r>
      <w:r w:rsidR="00335EE6">
        <w:t>Revisions</w:t>
      </w:r>
    </w:p>
    <w:p w:rsidR="00D01436" w:rsidRDefault="006817AD" w:rsidP="006817AD">
      <w:r>
        <w:t>The Quality Statement above contains more information on the revisions policy.</w:t>
      </w:r>
      <w:r w:rsidR="00483782">
        <w:t xml:space="preserve"> F</w:t>
      </w:r>
      <w:r w:rsidRPr="005538AF">
        <w:t xml:space="preserve">uture revisions will </w:t>
      </w:r>
      <w:r w:rsidR="00483782">
        <w:t xml:space="preserve">usually </w:t>
      </w:r>
      <w:r w:rsidR="00AD6F90">
        <w:t>continue the</w:t>
      </w:r>
      <w:r w:rsidRPr="005538AF">
        <w:t xml:space="preserve"> six-monthly cycle</w:t>
      </w:r>
      <w:r w:rsidR="00483782">
        <w:t>:</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2"/>
        <w:gridCol w:w="283"/>
        <w:gridCol w:w="2286"/>
        <w:gridCol w:w="236"/>
        <w:gridCol w:w="3585"/>
      </w:tblGrid>
      <w:tr w:rsidR="00483782" w:rsidTr="00AD6F90">
        <w:tc>
          <w:tcPr>
            <w:tcW w:w="2132" w:type="dxa"/>
            <w:tcBorders>
              <w:bottom w:val="single" w:sz="4" w:space="0" w:color="auto"/>
            </w:tcBorders>
            <w:tcMar>
              <w:left w:w="0" w:type="dxa"/>
              <w:right w:w="0" w:type="dxa"/>
            </w:tcMar>
          </w:tcPr>
          <w:p w:rsidR="00483782" w:rsidRDefault="00483782" w:rsidP="00AD6F90">
            <w:pPr>
              <w:pStyle w:val="Heading4"/>
            </w:pPr>
            <w:r>
              <w:t>Publication date</w:t>
            </w:r>
          </w:p>
        </w:tc>
        <w:tc>
          <w:tcPr>
            <w:tcW w:w="283" w:type="dxa"/>
            <w:tcMar>
              <w:left w:w="0" w:type="dxa"/>
              <w:right w:w="0" w:type="dxa"/>
            </w:tcMar>
          </w:tcPr>
          <w:p w:rsidR="00483782" w:rsidRDefault="00483782" w:rsidP="00AD6F90">
            <w:pPr>
              <w:pStyle w:val="NoSpacing"/>
            </w:pPr>
          </w:p>
        </w:tc>
        <w:tc>
          <w:tcPr>
            <w:tcW w:w="2286" w:type="dxa"/>
            <w:tcBorders>
              <w:bottom w:val="single" w:sz="4" w:space="0" w:color="auto"/>
            </w:tcBorders>
            <w:tcMar>
              <w:left w:w="0" w:type="dxa"/>
              <w:right w:w="0" w:type="dxa"/>
            </w:tcMar>
          </w:tcPr>
          <w:p w:rsidR="00483782" w:rsidRDefault="00483782" w:rsidP="00AD6F90">
            <w:pPr>
              <w:pStyle w:val="Heading4"/>
            </w:pPr>
            <w:r>
              <w:t xml:space="preserve">Series revised </w:t>
            </w:r>
          </w:p>
        </w:tc>
        <w:tc>
          <w:tcPr>
            <w:tcW w:w="236" w:type="dxa"/>
            <w:tcMar>
              <w:left w:w="0" w:type="dxa"/>
              <w:right w:w="0" w:type="dxa"/>
            </w:tcMar>
          </w:tcPr>
          <w:p w:rsidR="00483782" w:rsidRDefault="00483782" w:rsidP="00AD6F90">
            <w:pPr>
              <w:pStyle w:val="NoSpacing"/>
            </w:pPr>
          </w:p>
        </w:tc>
        <w:tc>
          <w:tcPr>
            <w:tcW w:w="3585" w:type="dxa"/>
            <w:tcBorders>
              <w:bottom w:val="single" w:sz="4" w:space="0" w:color="auto"/>
            </w:tcBorders>
            <w:tcMar>
              <w:left w:w="0" w:type="dxa"/>
              <w:right w:w="0" w:type="dxa"/>
            </w:tcMar>
          </w:tcPr>
          <w:p w:rsidR="00483782" w:rsidRDefault="00483782" w:rsidP="00AD6F90">
            <w:pPr>
              <w:pStyle w:val="Heading4"/>
            </w:pPr>
            <w:r>
              <w:t>Months affected</w:t>
            </w:r>
          </w:p>
        </w:tc>
      </w:tr>
      <w:tr w:rsidR="00AD6F90" w:rsidTr="00AD6F90">
        <w:tc>
          <w:tcPr>
            <w:tcW w:w="2132" w:type="dxa"/>
            <w:tcBorders>
              <w:top w:val="single" w:sz="4" w:space="0" w:color="auto"/>
            </w:tcBorders>
            <w:tcMar>
              <w:left w:w="57" w:type="dxa"/>
              <w:right w:w="57" w:type="dxa"/>
            </w:tcMar>
          </w:tcPr>
          <w:p w:rsidR="00AD6F90" w:rsidRDefault="00AD6F90" w:rsidP="00AD6F90">
            <w:pPr>
              <w:pStyle w:val="NoSpacing"/>
              <w:jc w:val="right"/>
            </w:pPr>
            <w:r w:rsidRPr="00875FD5">
              <w:t>November</w:t>
            </w:r>
            <w:r>
              <w:t xml:space="preserve"> 2015</w:t>
            </w:r>
          </w:p>
        </w:tc>
        <w:tc>
          <w:tcPr>
            <w:tcW w:w="283" w:type="dxa"/>
            <w:tcMar>
              <w:left w:w="57" w:type="dxa"/>
              <w:right w:w="57" w:type="dxa"/>
            </w:tcMar>
          </w:tcPr>
          <w:p w:rsidR="00AD6F90" w:rsidRPr="00B4687B" w:rsidRDefault="00AD6F90" w:rsidP="00D522C1">
            <w:pPr>
              <w:pStyle w:val="NoSpacing"/>
            </w:pPr>
          </w:p>
        </w:tc>
        <w:tc>
          <w:tcPr>
            <w:tcW w:w="2286" w:type="dxa"/>
            <w:tcBorders>
              <w:top w:val="single" w:sz="4" w:space="0" w:color="auto"/>
            </w:tcBorders>
            <w:tcMar>
              <w:left w:w="57" w:type="dxa"/>
              <w:right w:w="57" w:type="dxa"/>
            </w:tcMar>
          </w:tcPr>
          <w:p w:rsidR="00AD6F90" w:rsidRPr="00B4687B" w:rsidRDefault="00AD6F90" w:rsidP="00D522C1">
            <w:pPr>
              <w:pStyle w:val="NoSpacing"/>
            </w:pPr>
            <w:r w:rsidRPr="00B4687B">
              <w:t>Systems Indicators</w:t>
            </w:r>
          </w:p>
        </w:tc>
        <w:tc>
          <w:tcPr>
            <w:tcW w:w="236" w:type="dxa"/>
            <w:tcMar>
              <w:left w:w="57" w:type="dxa"/>
              <w:right w:w="57" w:type="dxa"/>
            </w:tcMar>
          </w:tcPr>
          <w:p w:rsidR="00AD6F90" w:rsidRDefault="00AD6F90" w:rsidP="00D522C1">
            <w:pPr>
              <w:pStyle w:val="NoSpacing"/>
            </w:pPr>
          </w:p>
        </w:tc>
        <w:tc>
          <w:tcPr>
            <w:tcW w:w="3585" w:type="dxa"/>
            <w:tcBorders>
              <w:top w:val="single" w:sz="4" w:space="0" w:color="auto"/>
            </w:tcBorders>
            <w:tcMar>
              <w:left w:w="57" w:type="dxa"/>
              <w:right w:w="57" w:type="dxa"/>
            </w:tcMar>
          </w:tcPr>
          <w:p w:rsidR="00AD6F90" w:rsidRDefault="00AD6F90" w:rsidP="002D10A5">
            <w:pPr>
              <w:pStyle w:val="NoSpacing"/>
            </w:pPr>
            <w:r>
              <w:t xml:space="preserve">April 2015 to </w:t>
            </w:r>
            <w:r w:rsidR="002D10A5">
              <w:t>August</w:t>
            </w:r>
            <w:r>
              <w:t xml:space="preserve"> 2015</w:t>
            </w:r>
          </w:p>
        </w:tc>
      </w:tr>
      <w:tr w:rsidR="00AD6F90" w:rsidTr="00AD6F90">
        <w:tc>
          <w:tcPr>
            <w:tcW w:w="2132" w:type="dxa"/>
            <w:tcMar>
              <w:left w:w="57" w:type="dxa"/>
              <w:right w:w="57" w:type="dxa"/>
            </w:tcMar>
          </w:tcPr>
          <w:p w:rsidR="00AD6F90" w:rsidRDefault="00AD6F90" w:rsidP="00AD6F90">
            <w:pPr>
              <w:pStyle w:val="NoSpacing"/>
              <w:jc w:val="right"/>
            </w:pPr>
            <w:r>
              <w:t>September 2015</w:t>
            </w:r>
          </w:p>
        </w:tc>
        <w:tc>
          <w:tcPr>
            <w:tcW w:w="283" w:type="dxa"/>
            <w:tcMar>
              <w:left w:w="57" w:type="dxa"/>
              <w:right w:w="57" w:type="dxa"/>
            </w:tcMar>
          </w:tcPr>
          <w:p w:rsidR="00AD6F90" w:rsidRPr="00B4687B" w:rsidRDefault="00AD6F90" w:rsidP="001F1530">
            <w:pPr>
              <w:pStyle w:val="NoSpacing"/>
            </w:pPr>
          </w:p>
        </w:tc>
        <w:tc>
          <w:tcPr>
            <w:tcW w:w="2286" w:type="dxa"/>
            <w:tcMar>
              <w:left w:w="57" w:type="dxa"/>
              <w:right w:w="57" w:type="dxa"/>
            </w:tcMar>
          </w:tcPr>
          <w:p w:rsidR="00AD6F90" w:rsidRPr="00B4687B" w:rsidRDefault="00AD6F90" w:rsidP="001F1530">
            <w:pPr>
              <w:pStyle w:val="NoSpacing"/>
            </w:pPr>
            <w:r w:rsidRPr="00B4687B">
              <w:t>Clinical Outcomes</w:t>
            </w:r>
          </w:p>
        </w:tc>
        <w:tc>
          <w:tcPr>
            <w:tcW w:w="236" w:type="dxa"/>
            <w:tcMar>
              <w:left w:w="57" w:type="dxa"/>
              <w:right w:w="57" w:type="dxa"/>
            </w:tcMar>
          </w:tcPr>
          <w:p w:rsidR="00AD6F90" w:rsidRDefault="00AD6F90" w:rsidP="001F1530">
            <w:pPr>
              <w:pStyle w:val="NoSpacing"/>
            </w:pPr>
          </w:p>
        </w:tc>
        <w:tc>
          <w:tcPr>
            <w:tcW w:w="3585" w:type="dxa"/>
            <w:tcMar>
              <w:left w:w="57" w:type="dxa"/>
              <w:right w:w="57" w:type="dxa"/>
            </w:tcMar>
          </w:tcPr>
          <w:p w:rsidR="00AD6F90" w:rsidRDefault="00AD6F90" w:rsidP="001F1530">
            <w:pPr>
              <w:pStyle w:val="NoSpacing"/>
            </w:pPr>
            <w:r>
              <w:t>April 2014 to March 2015</w:t>
            </w:r>
          </w:p>
        </w:tc>
      </w:tr>
      <w:tr w:rsidR="00AD6F90" w:rsidTr="00AD6F90">
        <w:tc>
          <w:tcPr>
            <w:tcW w:w="2132" w:type="dxa"/>
            <w:tcMar>
              <w:left w:w="57" w:type="dxa"/>
              <w:right w:w="57" w:type="dxa"/>
            </w:tcMar>
          </w:tcPr>
          <w:p w:rsidR="00AD6F90" w:rsidRDefault="00AD6F90" w:rsidP="00AD6F90">
            <w:pPr>
              <w:pStyle w:val="NoSpacing"/>
              <w:jc w:val="right"/>
            </w:pPr>
            <w:r>
              <w:t>30 April 2015</w:t>
            </w:r>
          </w:p>
        </w:tc>
        <w:tc>
          <w:tcPr>
            <w:tcW w:w="283" w:type="dxa"/>
            <w:tcMar>
              <w:left w:w="57" w:type="dxa"/>
              <w:right w:w="57" w:type="dxa"/>
            </w:tcMar>
          </w:tcPr>
          <w:p w:rsidR="00AD6F90" w:rsidRPr="00B4687B" w:rsidRDefault="00AD6F90" w:rsidP="001F1530">
            <w:pPr>
              <w:pStyle w:val="NoSpacing"/>
            </w:pPr>
          </w:p>
        </w:tc>
        <w:tc>
          <w:tcPr>
            <w:tcW w:w="2286" w:type="dxa"/>
            <w:tcMar>
              <w:left w:w="57" w:type="dxa"/>
              <w:right w:w="57" w:type="dxa"/>
            </w:tcMar>
          </w:tcPr>
          <w:p w:rsidR="00AD6F90" w:rsidRPr="00B4687B" w:rsidRDefault="00AD6F90" w:rsidP="001F1530">
            <w:pPr>
              <w:pStyle w:val="NoSpacing"/>
            </w:pPr>
            <w:r w:rsidRPr="00B4687B">
              <w:t>Systems Indicators</w:t>
            </w:r>
          </w:p>
        </w:tc>
        <w:tc>
          <w:tcPr>
            <w:tcW w:w="236" w:type="dxa"/>
            <w:tcMar>
              <w:left w:w="57" w:type="dxa"/>
              <w:right w:w="57" w:type="dxa"/>
            </w:tcMar>
          </w:tcPr>
          <w:p w:rsidR="00AD6F90" w:rsidRDefault="00AD6F90" w:rsidP="001F1530">
            <w:pPr>
              <w:pStyle w:val="NoSpacing"/>
            </w:pPr>
          </w:p>
        </w:tc>
        <w:tc>
          <w:tcPr>
            <w:tcW w:w="3585" w:type="dxa"/>
            <w:tcMar>
              <w:left w:w="57" w:type="dxa"/>
              <w:right w:w="57" w:type="dxa"/>
            </w:tcMar>
          </w:tcPr>
          <w:p w:rsidR="00AD6F90" w:rsidRDefault="00AD6F90" w:rsidP="001F1530">
            <w:pPr>
              <w:pStyle w:val="NoSpacing"/>
            </w:pPr>
            <w:r>
              <w:t>April 2014 to February 2015</w:t>
            </w:r>
          </w:p>
        </w:tc>
      </w:tr>
      <w:tr w:rsidR="00AD6F90" w:rsidTr="00AD6F90">
        <w:tc>
          <w:tcPr>
            <w:tcW w:w="2132" w:type="dxa"/>
            <w:tcMar>
              <w:left w:w="57" w:type="dxa"/>
              <w:right w:w="57" w:type="dxa"/>
            </w:tcMar>
          </w:tcPr>
          <w:p w:rsidR="00AD6F90" w:rsidRDefault="00AD6F90" w:rsidP="00AD6F90">
            <w:pPr>
              <w:pStyle w:val="NoSpacing"/>
              <w:jc w:val="right"/>
            </w:pPr>
            <w:r>
              <w:t>5 March 2015</w:t>
            </w:r>
          </w:p>
        </w:tc>
        <w:tc>
          <w:tcPr>
            <w:tcW w:w="283" w:type="dxa"/>
            <w:tcMar>
              <w:left w:w="57" w:type="dxa"/>
              <w:right w:w="57" w:type="dxa"/>
            </w:tcMar>
          </w:tcPr>
          <w:p w:rsidR="00AD6F90" w:rsidRPr="00B4687B" w:rsidRDefault="00AD6F90" w:rsidP="001F1530">
            <w:pPr>
              <w:pStyle w:val="NoSpacing"/>
            </w:pPr>
          </w:p>
        </w:tc>
        <w:tc>
          <w:tcPr>
            <w:tcW w:w="2286" w:type="dxa"/>
            <w:tcMar>
              <w:left w:w="57" w:type="dxa"/>
              <w:right w:w="57" w:type="dxa"/>
            </w:tcMar>
          </w:tcPr>
          <w:p w:rsidR="00AD6F90" w:rsidRPr="00B4687B" w:rsidRDefault="00AD6F90" w:rsidP="001F1530">
            <w:pPr>
              <w:pStyle w:val="NoSpacing"/>
            </w:pPr>
            <w:r w:rsidRPr="00B4687B">
              <w:t>Clinical Outcomes</w:t>
            </w:r>
          </w:p>
        </w:tc>
        <w:tc>
          <w:tcPr>
            <w:tcW w:w="236" w:type="dxa"/>
            <w:tcMar>
              <w:left w:w="57" w:type="dxa"/>
              <w:right w:w="57" w:type="dxa"/>
            </w:tcMar>
          </w:tcPr>
          <w:p w:rsidR="00AD6F90" w:rsidRDefault="00AD6F90" w:rsidP="001F1530">
            <w:pPr>
              <w:pStyle w:val="NoSpacing"/>
            </w:pPr>
          </w:p>
        </w:tc>
        <w:tc>
          <w:tcPr>
            <w:tcW w:w="3585" w:type="dxa"/>
            <w:tcMar>
              <w:left w:w="57" w:type="dxa"/>
              <w:right w:w="57" w:type="dxa"/>
            </w:tcMar>
          </w:tcPr>
          <w:p w:rsidR="00AD6F90" w:rsidRDefault="00AD6F90" w:rsidP="001F1530">
            <w:pPr>
              <w:pStyle w:val="NoSpacing"/>
            </w:pPr>
            <w:r>
              <w:t>April 2014 to September 2014</w:t>
            </w:r>
          </w:p>
        </w:tc>
      </w:tr>
      <w:tr w:rsidR="00AD6F90" w:rsidTr="00AD6F90">
        <w:trPr>
          <w:trHeight w:val="137"/>
        </w:trPr>
        <w:tc>
          <w:tcPr>
            <w:tcW w:w="2132" w:type="dxa"/>
            <w:tcMar>
              <w:left w:w="57" w:type="dxa"/>
              <w:right w:w="57" w:type="dxa"/>
            </w:tcMar>
          </w:tcPr>
          <w:p w:rsidR="00AD6F90" w:rsidRDefault="00AD6F90" w:rsidP="00AD6F90">
            <w:pPr>
              <w:pStyle w:val="NoSpacing"/>
              <w:jc w:val="right"/>
            </w:pPr>
            <w:r>
              <w:t>6 November 2014</w:t>
            </w:r>
          </w:p>
        </w:tc>
        <w:tc>
          <w:tcPr>
            <w:tcW w:w="283" w:type="dxa"/>
            <w:tcMar>
              <w:left w:w="57" w:type="dxa"/>
              <w:right w:w="57" w:type="dxa"/>
            </w:tcMar>
          </w:tcPr>
          <w:p w:rsidR="00AD6F90" w:rsidRPr="00B4687B" w:rsidRDefault="00AD6F90" w:rsidP="00CD11F6">
            <w:pPr>
              <w:pStyle w:val="NoSpacing"/>
            </w:pPr>
          </w:p>
        </w:tc>
        <w:tc>
          <w:tcPr>
            <w:tcW w:w="2286" w:type="dxa"/>
            <w:tcMar>
              <w:left w:w="57" w:type="dxa"/>
              <w:right w:w="57" w:type="dxa"/>
            </w:tcMar>
          </w:tcPr>
          <w:p w:rsidR="00AD6F90" w:rsidRPr="00B4687B" w:rsidRDefault="00AD6F90" w:rsidP="00CD11F6">
            <w:pPr>
              <w:pStyle w:val="NoSpacing"/>
            </w:pPr>
            <w:r>
              <w:t>Systems Indicators</w:t>
            </w:r>
          </w:p>
        </w:tc>
        <w:tc>
          <w:tcPr>
            <w:tcW w:w="236" w:type="dxa"/>
            <w:tcMar>
              <w:left w:w="57" w:type="dxa"/>
              <w:right w:w="57" w:type="dxa"/>
            </w:tcMar>
          </w:tcPr>
          <w:p w:rsidR="00AD6F90" w:rsidRDefault="00AD6F90" w:rsidP="00CD11F6">
            <w:pPr>
              <w:pStyle w:val="NoSpacing"/>
            </w:pPr>
          </w:p>
        </w:tc>
        <w:tc>
          <w:tcPr>
            <w:tcW w:w="3585" w:type="dxa"/>
            <w:tcMar>
              <w:left w:w="57" w:type="dxa"/>
              <w:right w:w="57" w:type="dxa"/>
            </w:tcMar>
          </w:tcPr>
          <w:p w:rsidR="00AD6F90" w:rsidRDefault="00AD6F90" w:rsidP="00CD11F6">
            <w:pPr>
              <w:pStyle w:val="NoSpacing"/>
            </w:pPr>
            <w:r>
              <w:t>April 2013 to August 2014</w:t>
            </w:r>
          </w:p>
        </w:tc>
      </w:tr>
      <w:tr w:rsidR="00AD6F90" w:rsidTr="00AD6F90">
        <w:trPr>
          <w:trHeight w:val="137"/>
        </w:trPr>
        <w:tc>
          <w:tcPr>
            <w:tcW w:w="2132" w:type="dxa"/>
            <w:tcMar>
              <w:left w:w="57" w:type="dxa"/>
              <w:right w:w="57" w:type="dxa"/>
            </w:tcMar>
          </w:tcPr>
          <w:p w:rsidR="00AD6F90" w:rsidRPr="00875FD5" w:rsidRDefault="00AD6F90" w:rsidP="00AD6F90">
            <w:pPr>
              <w:pStyle w:val="NoSpacing"/>
              <w:jc w:val="right"/>
            </w:pPr>
            <w:r>
              <w:t>5 September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March 2014</w:t>
            </w:r>
          </w:p>
        </w:tc>
      </w:tr>
      <w:tr w:rsidR="00AD6F90" w:rsidTr="00AD6F90">
        <w:trPr>
          <w:trHeight w:val="271"/>
        </w:trPr>
        <w:tc>
          <w:tcPr>
            <w:tcW w:w="2132" w:type="dxa"/>
            <w:tcMar>
              <w:left w:w="57" w:type="dxa"/>
              <w:right w:w="57" w:type="dxa"/>
            </w:tcMar>
          </w:tcPr>
          <w:p w:rsidR="00AD6F90" w:rsidRDefault="00AD6F90" w:rsidP="00AD6F90">
            <w:pPr>
              <w:pStyle w:val="NoSpacing"/>
              <w:jc w:val="right"/>
            </w:pPr>
            <w:r>
              <w:t>2 May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February 2014</w:t>
            </w:r>
          </w:p>
        </w:tc>
      </w:tr>
      <w:tr w:rsidR="00AD6F90" w:rsidTr="00AD6F90">
        <w:trPr>
          <w:trHeight w:val="70"/>
        </w:trPr>
        <w:tc>
          <w:tcPr>
            <w:tcW w:w="2132" w:type="dxa"/>
            <w:tcMar>
              <w:left w:w="57" w:type="dxa"/>
              <w:right w:w="57" w:type="dxa"/>
            </w:tcMar>
          </w:tcPr>
          <w:p w:rsidR="00AD6F90" w:rsidRDefault="00AD6F90" w:rsidP="00AD6F90">
            <w:pPr>
              <w:pStyle w:val="NoSpacing"/>
              <w:jc w:val="right"/>
            </w:pPr>
            <w:r>
              <w:t>7 March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September 2013</w:t>
            </w:r>
          </w:p>
        </w:tc>
      </w:tr>
      <w:tr w:rsidR="00AD6F90" w:rsidTr="00AD6F90">
        <w:trPr>
          <w:trHeight w:val="123"/>
        </w:trPr>
        <w:tc>
          <w:tcPr>
            <w:tcW w:w="2132" w:type="dxa"/>
            <w:tcMar>
              <w:left w:w="57" w:type="dxa"/>
              <w:right w:w="57" w:type="dxa"/>
            </w:tcMar>
          </w:tcPr>
          <w:p w:rsidR="00AD6F90" w:rsidRDefault="00AD6F90" w:rsidP="00AD6F90">
            <w:pPr>
              <w:pStyle w:val="NoSpacing"/>
              <w:jc w:val="right"/>
            </w:pPr>
            <w:r>
              <w:t>1 November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August 2013</w:t>
            </w:r>
          </w:p>
        </w:tc>
      </w:tr>
      <w:tr w:rsidR="00AD6F90" w:rsidTr="00AD6F90">
        <w:trPr>
          <w:trHeight w:val="269"/>
        </w:trPr>
        <w:tc>
          <w:tcPr>
            <w:tcW w:w="2132" w:type="dxa"/>
            <w:tcMar>
              <w:left w:w="57" w:type="dxa"/>
              <w:right w:w="57" w:type="dxa"/>
            </w:tcMar>
          </w:tcPr>
          <w:p w:rsidR="00AD6F90" w:rsidRDefault="00AD6F90" w:rsidP="00AD6F90">
            <w:pPr>
              <w:pStyle w:val="NoSpacing"/>
              <w:jc w:val="right"/>
            </w:pPr>
            <w:r>
              <w:t>2 August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March 2013</w:t>
            </w:r>
          </w:p>
        </w:tc>
      </w:tr>
      <w:tr w:rsidR="00AD6F90" w:rsidTr="00AD6F90">
        <w:trPr>
          <w:trHeight w:val="118"/>
        </w:trPr>
        <w:tc>
          <w:tcPr>
            <w:tcW w:w="2132" w:type="dxa"/>
            <w:tcMar>
              <w:left w:w="57" w:type="dxa"/>
              <w:right w:w="57" w:type="dxa"/>
            </w:tcMar>
          </w:tcPr>
          <w:p w:rsidR="00AD6F90" w:rsidRDefault="00AD6F90" w:rsidP="00AD6F90">
            <w:pPr>
              <w:pStyle w:val="NoSpacing"/>
              <w:jc w:val="right"/>
            </w:pPr>
            <w:r>
              <w:t>3 May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March 2013</w:t>
            </w:r>
          </w:p>
        </w:tc>
      </w:tr>
      <w:tr w:rsidR="00AD6F90" w:rsidTr="00AD6F90">
        <w:trPr>
          <w:trHeight w:val="121"/>
        </w:trPr>
        <w:tc>
          <w:tcPr>
            <w:tcW w:w="2132" w:type="dxa"/>
            <w:tcMar>
              <w:left w:w="57" w:type="dxa"/>
              <w:right w:w="57" w:type="dxa"/>
            </w:tcMar>
          </w:tcPr>
          <w:p w:rsidR="00AD6F90" w:rsidRDefault="00AD6F90" w:rsidP="00AD6F90">
            <w:pPr>
              <w:pStyle w:val="NoSpacing"/>
              <w:jc w:val="right"/>
            </w:pPr>
            <w:r>
              <w:t>1 February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August 2012</w:t>
            </w:r>
          </w:p>
        </w:tc>
      </w:tr>
      <w:tr w:rsidR="00AD6F90" w:rsidTr="00AD6F90">
        <w:trPr>
          <w:trHeight w:val="267"/>
        </w:trPr>
        <w:tc>
          <w:tcPr>
            <w:tcW w:w="2132" w:type="dxa"/>
            <w:tcMar>
              <w:left w:w="57" w:type="dxa"/>
              <w:right w:w="57" w:type="dxa"/>
            </w:tcMar>
          </w:tcPr>
          <w:p w:rsidR="00AD6F90" w:rsidRDefault="00AD6F90" w:rsidP="00AD6F90">
            <w:pPr>
              <w:pStyle w:val="NoSpacing"/>
              <w:jc w:val="right"/>
            </w:pPr>
            <w:r>
              <w:t>11 January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2011 to October 2012</w:t>
            </w:r>
          </w:p>
        </w:tc>
      </w:tr>
      <w:tr w:rsidR="00AD6F90" w:rsidTr="00AD6F90">
        <w:trPr>
          <w:trHeight w:val="115"/>
        </w:trPr>
        <w:tc>
          <w:tcPr>
            <w:tcW w:w="2132" w:type="dxa"/>
            <w:tcMar>
              <w:left w:w="57" w:type="dxa"/>
              <w:right w:w="57" w:type="dxa"/>
            </w:tcMar>
          </w:tcPr>
          <w:p w:rsidR="00AD6F90" w:rsidRDefault="00AD6F90" w:rsidP="00AD6F90">
            <w:pPr>
              <w:pStyle w:val="NoSpacing"/>
              <w:jc w:val="right"/>
            </w:pPr>
            <w:r>
              <w:t>31 August 2012</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2011 to March 2012</w:t>
            </w:r>
          </w:p>
        </w:tc>
      </w:tr>
    </w:tbl>
    <w:p w:rsidR="00C739C2" w:rsidRDefault="00C739C2" w:rsidP="00AD6F90"/>
    <w:p w:rsidR="0052145B" w:rsidRDefault="0044771F" w:rsidP="00875FD5">
      <w:pPr>
        <w:pStyle w:val="Heading3"/>
      </w:pPr>
      <w:r>
        <w:t xml:space="preserve">C3. </w:t>
      </w:r>
      <w:r w:rsidR="0052145B" w:rsidRPr="00335EE6">
        <w:t xml:space="preserve">Related </w:t>
      </w:r>
      <w:r w:rsidR="005C1BA6">
        <w:t>statistics in England</w:t>
      </w:r>
    </w:p>
    <w:p w:rsidR="00E274DD" w:rsidRDefault="005C1BA6" w:rsidP="00E274DD">
      <w:r>
        <w:t xml:space="preserve">The AQI appear </w:t>
      </w:r>
      <w:r w:rsidR="00E274DD">
        <w:t xml:space="preserve">in </w:t>
      </w:r>
      <w:r w:rsidR="000C2092">
        <w:t xml:space="preserve">a Clinical Dashboard, available from </w:t>
      </w:r>
      <w:r w:rsidR="003336E9">
        <w:t xml:space="preserve">the AQI landing page, and </w:t>
      </w:r>
      <w:hyperlink r:id="rId19" w:history="1">
        <w:r w:rsidR="00E274DD" w:rsidRPr="000772FB">
          <w:rPr>
            <w:rStyle w:val="Hyperlink"/>
            <w:lang w:eastAsia="en-US"/>
          </w:rPr>
          <w:t>http://aace.org.uk/national-performance/national-clinical-dashboards</w:t>
        </w:r>
      </w:hyperlink>
      <w:r w:rsidR="000C2092">
        <w:rPr>
          <w:rStyle w:val="Hyperlink"/>
          <w:lang w:eastAsia="en-US"/>
        </w:rPr>
        <w:t>,</w:t>
      </w:r>
      <w:r w:rsidRPr="005C1BA6">
        <w:t xml:space="preserve"> </w:t>
      </w:r>
      <w:r>
        <w:t>and the websites of most Ambulance Trusts.</w:t>
      </w:r>
      <w:r w:rsidR="007B2D4E">
        <w:t xml:space="preserve"> </w:t>
      </w:r>
      <w:r w:rsidR="00E274DD" w:rsidRPr="000D14CB">
        <w:t>One of the aims of the</w:t>
      </w:r>
      <w:r>
        <w:t>se</w:t>
      </w:r>
      <w:r w:rsidR="00E274DD" w:rsidRPr="000D14CB">
        <w:t xml:space="preserve"> </w:t>
      </w:r>
      <w:r>
        <w:t>D</w:t>
      </w:r>
      <w:r w:rsidR="00E274DD" w:rsidRPr="000D14CB">
        <w:t>ashboard</w:t>
      </w:r>
      <w:r>
        <w:t>s</w:t>
      </w:r>
      <w:r w:rsidR="00E274DD" w:rsidRPr="000D14CB">
        <w:t xml:space="preserve"> is to use statistical process control</w:t>
      </w:r>
      <w:r w:rsidR="000C2092">
        <w:t>,</w:t>
      </w:r>
      <w:r w:rsidR="00E274DD" w:rsidRPr="000D14CB">
        <w:t xml:space="preserve"> to indicate whether variation in performance reflects underlying change</w:t>
      </w:r>
      <w:r w:rsidR="000C2092">
        <w:t>,</w:t>
      </w:r>
      <w:r w:rsidR="00E274DD" w:rsidRPr="000D14CB">
        <w:t xml:space="preserve"> or merely natural variance, unavoidable even when a health system is performing well.</w:t>
      </w:r>
    </w:p>
    <w:p w:rsidR="00C739C2" w:rsidRDefault="005C1BA6" w:rsidP="00AD6F90">
      <w:r>
        <w:t xml:space="preserve">The AQI </w:t>
      </w:r>
      <w:r w:rsidR="007B2D4E">
        <w:t xml:space="preserve">also </w:t>
      </w:r>
      <w:r>
        <w:t xml:space="preserve">appear in the </w:t>
      </w:r>
      <w:r w:rsidR="007B2D4E">
        <w:t xml:space="preserve">latest </w:t>
      </w:r>
      <w:r>
        <w:t xml:space="preserve">annual KA34 publication </w:t>
      </w:r>
      <w:hyperlink r:id="rId20" w:history="1">
        <w:r w:rsidR="007B2D4E" w:rsidRPr="00C33A47">
          <w:rPr>
            <w:rStyle w:val="Hyperlink"/>
          </w:rPr>
          <w:t>www.hscic.gov.uk/article/2021/Website-Search?productid=15165</w:t>
        </w:r>
      </w:hyperlink>
      <w:r w:rsidR="007B2D4E">
        <w:t xml:space="preserve"> by the Health and Social Care Information Centre. The KA34 was a</w:t>
      </w:r>
      <w:r w:rsidR="00C739C2">
        <w:t>n</w:t>
      </w:r>
      <w:r w:rsidR="007B2D4E">
        <w:t xml:space="preserve"> </w:t>
      </w:r>
      <w:r w:rsidR="00C739C2">
        <w:t xml:space="preserve">annual </w:t>
      </w:r>
      <w:r w:rsidR="007B2D4E">
        <w:t>set of similar Systems</w:t>
      </w:r>
      <w:r w:rsidR="000C2092">
        <w:t xml:space="preserve"> Indicators</w:t>
      </w:r>
      <w:r w:rsidR="007B2D4E">
        <w:t xml:space="preserve">, not quite comparable with the AQI, that </w:t>
      </w:r>
      <w:r w:rsidR="000C2092">
        <w:t xml:space="preserve">ceased collection </w:t>
      </w:r>
      <w:r w:rsidR="007B2D4E">
        <w:t>in March 2013</w:t>
      </w:r>
      <w:r w:rsidR="00C739C2">
        <w:t xml:space="preserve">, and therefore this publication now uses the same data as the AQI, with additional </w:t>
      </w:r>
      <w:r w:rsidR="00C739C2" w:rsidRPr="00C739C2">
        <w:t>annual analysis and commentary</w:t>
      </w:r>
      <w:r w:rsidR="007B2D4E">
        <w:t xml:space="preserve">. </w:t>
      </w:r>
      <w:r w:rsidR="006817AD">
        <w:t xml:space="preserve">The Quality Statement </w:t>
      </w:r>
      <w:r w:rsidR="007B2D4E">
        <w:t>above</w:t>
      </w:r>
      <w:r w:rsidR="006817AD">
        <w:t xml:space="preserve"> contains more information</w:t>
      </w:r>
      <w:r w:rsidR="007B2D4E">
        <w:t>.</w:t>
      </w:r>
    </w:p>
    <w:p w:rsidR="00E274DD" w:rsidRDefault="00AD6F90" w:rsidP="00230B2D">
      <w:pPr>
        <w:pStyle w:val="NoSpacing"/>
      </w:pPr>
      <w:r>
        <w:t>Similar d</w:t>
      </w:r>
      <w:r w:rsidR="00E274DD" w:rsidRPr="005538AF">
        <w:t xml:space="preserve">ata </w:t>
      </w:r>
      <w:r w:rsidR="00E274DD">
        <w:t xml:space="preserve">from </w:t>
      </w:r>
      <w:r w:rsidR="00E274DD" w:rsidRPr="005538AF">
        <w:t>8 November 2010 to 29 May 2011</w:t>
      </w:r>
      <w:r w:rsidR="00E274DD" w:rsidRPr="00E274DD">
        <w:t xml:space="preserve"> </w:t>
      </w:r>
      <w:r w:rsidR="00E274DD" w:rsidRPr="005538AF">
        <w:t xml:space="preserve">were collected </w:t>
      </w:r>
      <w:r w:rsidR="00E274DD">
        <w:t>in</w:t>
      </w:r>
      <w:r w:rsidR="00E274DD" w:rsidRPr="005538AF">
        <w:t xml:space="preserve"> Weekly Situation Reports</w:t>
      </w:r>
      <w:r w:rsidR="0036445B">
        <w:t>, including</w:t>
      </w:r>
      <w:r w:rsidR="00E274DD">
        <w:t>:</w:t>
      </w:r>
    </w:p>
    <w:p w:rsidR="0036445B" w:rsidRPr="00B4687B" w:rsidRDefault="005C1BA6" w:rsidP="00E274DD">
      <w:pPr>
        <w:pStyle w:val="ListBullet"/>
      </w:pPr>
      <w:r>
        <w:t>C</w:t>
      </w:r>
      <w:r w:rsidR="00096A9C" w:rsidRPr="005538AF">
        <w:t xml:space="preserve">ategory A </w:t>
      </w:r>
      <w:r w:rsidR="00096A9C" w:rsidRPr="00B4687B">
        <w:t xml:space="preserve">and </w:t>
      </w:r>
      <w:r w:rsidRPr="00B4687B">
        <w:t>C</w:t>
      </w:r>
      <w:r w:rsidR="00096A9C" w:rsidRPr="00B4687B">
        <w:t xml:space="preserve">ategory B calls made </w:t>
      </w:r>
      <w:r w:rsidRPr="00B4687B">
        <w:t>to ambulance trusts in England;</w:t>
      </w:r>
    </w:p>
    <w:p w:rsidR="0036445B" w:rsidRPr="00B4687B" w:rsidRDefault="005C1BA6" w:rsidP="00E274DD">
      <w:pPr>
        <w:pStyle w:val="ListBullet"/>
      </w:pPr>
      <w:r w:rsidRPr="00B4687B">
        <w:t>o</w:t>
      </w:r>
      <w:r w:rsidR="00096A9C" w:rsidRPr="00B4687B">
        <w:t>f th</w:t>
      </w:r>
      <w:r w:rsidRPr="00B4687B">
        <w:t>o</w:t>
      </w:r>
      <w:r w:rsidR="00096A9C" w:rsidRPr="00B4687B">
        <w:t xml:space="preserve">se </w:t>
      </w:r>
      <w:r w:rsidRPr="00B4687B">
        <w:t xml:space="preserve">calls, </w:t>
      </w:r>
      <w:r w:rsidR="00096A9C" w:rsidRPr="00B4687B">
        <w:t>how many were responded to within 8 minutes (category</w:t>
      </w:r>
      <w:r w:rsidR="00E274DD" w:rsidRPr="00B4687B">
        <w:t xml:space="preserve"> A) or 19 minutes (category B)</w:t>
      </w:r>
      <w:r w:rsidRPr="00B4687B">
        <w:t>;</w:t>
      </w:r>
    </w:p>
    <w:p w:rsidR="0036445B" w:rsidRPr="00B4687B" w:rsidRDefault="00096A9C" w:rsidP="00E274DD">
      <w:pPr>
        <w:pStyle w:val="ListBullet"/>
      </w:pPr>
      <w:r w:rsidRPr="00B4687B">
        <w:t>the number o</w:t>
      </w:r>
      <w:r w:rsidR="00E274DD" w:rsidRPr="00B4687B">
        <w:t>f urgent and emergency journeys</w:t>
      </w:r>
      <w:r w:rsidR="005C1BA6" w:rsidRPr="00B4687B">
        <w:t>;</w:t>
      </w:r>
    </w:p>
    <w:p w:rsidR="00096A9C" w:rsidRPr="00B4687B" w:rsidRDefault="00096A9C" w:rsidP="00E274DD">
      <w:pPr>
        <w:pStyle w:val="ListBullet"/>
      </w:pPr>
      <w:r w:rsidRPr="00B4687B">
        <w:t>instances of delayed handover to A&amp;E s</w:t>
      </w:r>
      <w:r w:rsidR="0053124D" w:rsidRPr="00B4687B">
        <w:t>taff.</w:t>
      </w:r>
    </w:p>
    <w:p w:rsidR="0036445B" w:rsidRDefault="0036445B" w:rsidP="0036445B">
      <w:r>
        <w:lastRenderedPageBreak/>
        <w:t xml:space="preserve">These are available at </w:t>
      </w:r>
      <w:hyperlink r:id="rId21" w:history="1">
        <w:r w:rsidRPr="005C1BA6">
          <w:rPr>
            <w:rStyle w:val="Hyperlink"/>
            <w:rFonts w:cs="Arial"/>
          </w:rPr>
          <w:t>http://webarchive.nationalarchives.gov.uk/</w:t>
        </w:r>
      </w:hyperlink>
      <w:r w:rsidRPr="005C1BA6">
        <w:br/>
      </w:r>
      <w:hyperlink r:id="rId22" w:history="1">
        <w:r w:rsidRPr="005C1BA6">
          <w:rPr>
            <w:rStyle w:val="Hyperlink"/>
            <w:rFonts w:cs="Arial"/>
          </w:rPr>
          <w:t>20130107105354/http://www.dh.gov.uk/en/Publicationsandstatistics/Statistics/Performancedataandstatistics/WeeklySituationReports/DH_128506</w:t>
        </w:r>
      </w:hyperlink>
      <w:r>
        <w:rPr>
          <w:rStyle w:val="Hyperlink"/>
          <w:rFonts w:cs="Arial"/>
        </w:rPr>
        <w:t>.</w:t>
      </w:r>
    </w:p>
    <w:p w:rsidR="005C1BA6" w:rsidRDefault="005C1BA6" w:rsidP="005C1BA6">
      <w:pPr>
        <w:pStyle w:val="Heading3"/>
      </w:pPr>
      <w:r>
        <w:t>C4.</w:t>
      </w:r>
      <w:r w:rsidR="0044771F">
        <w:t xml:space="preserve"> </w:t>
      </w:r>
      <w:r>
        <w:t>Rest of UK</w:t>
      </w:r>
    </w:p>
    <w:p w:rsidR="00096A9C" w:rsidRDefault="005C1BA6" w:rsidP="005538AF">
      <w:pPr>
        <w:rPr>
          <w:rFonts w:cs="Arial"/>
        </w:rPr>
      </w:pPr>
      <w:r>
        <w:rPr>
          <w:rFonts w:cs="Arial"/>
        </w:rPr>
        <w:t xml:space="preserve">Other </w:t>
      </w:r>
      <w:r w:rsidR="00096A9C" w:rsidRPr="005538AF">
        <w:rPr>
          <w:rFonts w:cs="Arial"/>
        </w:rPr>
        <w:t xml:space="preserve">ambulance </w:t>
      </w:r>
      <w:r w:rsidRPr="005538AF">
        <w:rPr>
          <w:rFonts w:cs="Arial"/>
        </w:rPr>
        <w:t xml:space="preserve">statistics </w:t>
      </w:r>
      <w:r w:rsidR="00096A9C" w:rsidRPr="005538AF">
        <w:rPr>
          <w:rFonts w:cs="Arial"/>
        </w:rPr>
        <w:t>can be found at</w:t>
      </w:r>
      <w:r w:rsidR="0036445B">
        <w:rPr>
          <w:rFonts w:cs="Arial"/>
        </w:rPr>
        <w:t xml:space="preserve"> the following websites. The Quality Statement described in section C1 contains more information about the comparability of these statistics</w:t>
      </w:r>
      <w:r w:rsidR="00096A9C" w:rsidRPr="005538AF">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7B2D4E" w:rsidTr="000C2092">
        <w:trPr>
          <w:trHeight w:val="669"/>
        </w:trPr>
        <w:tc>
          <w:tcPr>
            <w:tcW w:w="1242" w:type="dxa"/>
          </w:tcPr>
          <w:p w:rsidR="007B2D4E" w:rsidRDefault="007B2D4E" w:rsidP="0039160E">
            <w:pPr>
              <w:pStyle w:val="NoSpacing"/>
            </w:pPr>
            <w:r w:rsidRPr="000F5B3F">
              <w:t>Wales</w:t>
            </w:r>
            <w:r w:rsidRPr="00151AF2">
              <w:t>:</w:t>
            </w:r>
          </w:p>
        </w:tc>
        <w:tc>
          <w:tcPr>
            <w:tcW w:w="7280" w:type="dxa"/>
          </w:tcPr>
          <w:p w:rsidR="007B2D4E" w:rsidRDefault="006B3E8A" w:rsidP="0039160E">
            <w:pPr>
              <w:pStyle w:val="NoSpacing"/>
            </w:pPr>
            <w:hyperlink r:id="rId23" w:history="1">
              <w:r w:rsidR="0039160E" w:rsidRPr="00C33A47">
                <w:rPr>
                  <w:rStyle w:val="Hyperlink"/>
                </w:rPr>
                <w:t>http://wales.gov.uk/statistics-and-research/ambulance-services/?lang=en</w:t>
              </w:r>
            </w:hyperlink>
          </w:p>
        </w:tc>
      </w:tr>
      <w:tr w:rsidR="007B2D4E" w:rsidTr="000C2092">
        <w:trPr>
          <w:trHeight w:val="693"/>
        </w:trPr>
        <w:tc>
          <w:tcPr>
            <w:tcW w:w="1242" w:type="dxa"/>
          </w:tcPr>
          <w:p w:rsidR="007B2D4E" w:rsidRDefault="007B2D4E" w:rsidP="0039160E">
            <w:pPr>
              <w:pStyle w:val="NoSpacing"/>
            </w:pPr>
            <w:r w:rsidRPr="000F5B3F">
              <w:t>Scotland</w:t>
            </w:r>
            <w:r>
              <w:t>:</w:t>
            </w:r>
          </w:p>
        </w:tc>
        <w:tc>
          <w:tcPr>
            <w:tcW w:w="7280" w:type="dxa"/>
          </w:tcPr>
          <w:p w:rsidR="007B2D4E" w:rsidRDefault="0039160E" w:rsidP="0039160E">
            <w:pPr>
              <w:pStyle w:val="NoSpacing"/>
            </w:pPr>
            <w:r>
              <w:t xml:space="preserve">See </w:t>
            </w:r>
            <w:r>
              <w:rPr>
                <w:lang w:eastAsia="en-US"/>
              </w:rPr>
              <w:t>Quality Improvement Indicators (QII) documents at</w:t>
            </w:r>
            <w:r>
              <w:t xml:space="preserve"> </w:t>
            </w:r>
            <w:hyperlink r:id="rId24" w:history="1">
              <w:r w:rsidRPr="0042008D">
                <w:rPr>
                  <w:rStyle w:val="Hyperlink"/>
                  <w:lang w:eastAsia="en-US"/>
                </w:rPr>
                <w:t>www.scottishambulance.com/TheService/BoardPapers.aspx</w:t>
              </w:r>
            </w:hyperlink>
          </w:p>
        </w:tc>
      </w:tr>
      <w:tr w:rsidR="007B2D4E" w:rsidTr="000C2092">
        <w:tc>
          <w:tcPr>
            <w:tcW w:w="1242" w:type="dxa"/>
          </w:tcPr>
          <w:p w:rsidR="007B2D4E" w:rsidRDefault="007B2D4E" w:rsidP="0039160E">
            <w:pPr>
              <w:pStyle w:val="NoSpacing"/>
            </w:pPr>
            <w:r w:rsidRPr="000F5B3F">
              <w:t>Northern Ireland</w:t>
            </w:r>
            <w:r>
              <w:t>:</w:t>
            </w:r>
          </w:p>
        </w:tc>
        <w:tc>
          <w:tcPr>
            <w:tcW w:w="7280" w:type="dxa"/>
          </w:tcPr>
          <w:p w:rsidR="007B2D4E" w:rsidRPr="0039160E" w:rsidRDefault="006B3E8A" w:rsidP="0039160E">
            <w:pPr>
              <w:pStyle w:val="NoSpacing"/>
              <w:rPr>
                <w:color w:val="0000FF"/>
                <w:u w:val="single"/>
                <w:lang w:eastAsia="en-US"/>
              </w:rPr>
            </w:pPr>
            <w:hyperlink r:id="rId25" w:history="1">
              <w:r w:rsidR="0039160E" w:rsidRPr="005A79FF">
                <w:rPr>
                  <w:rStyle w:val="Hyperlink"/>
                  <w:lang w:eastAsia="en-US"/>
                </w:rPr>
                <w:t>www.dhsspsni.gov.uk/index/stats_research/hospital-stats/emergency_care-3/emergency-care-stats.htm</w:t>
              </w:r>
            </w:hyperlink>
          </w:p>
        </w:tc>
      </w:tr>
    </w:tbl>
    <w:p w:rsidR="00737724" w:rsidRDefault="00737724" w:rsidP="00737724">
      <w:pPr>
        <w:pStyle w:val="NoSpacing"/>
      </w:pPr>
    </w:p>
    <w:p w:rsidR="0052145B" w:rsidRPr="000D14CB" w:rsidRDefault="00E324F3" w:rsidP="0039160E">
      <w:pPr>
        <w:pStyle w:val="Heading3"/>
      </w:pPr>
      <w:r>
        <w:t>C</w:t>
      </w:r>
      <w:r w:rsidR="005C1BA6">
        <w:t>5</w:t>
      </w:r>
      <w:r>
        <w:t>.</w:t>
      </w:r>
      <w:r w:rsidR="0044771F">
        <w:t xml:space="preserve"> </w:t>
      </w:r>
      <w:r w:rsidR="00E274DD">
        <w:t>C</w:t>
      </w:r>
      <w:r w:rsidR="000C2092">
        <w:t>ontact information</w:t>
      </w:r>
    </w:p>
    <w:p w:rsidR="00A4253D" w:rsidRDefault="00A4253D" w:rsidP="00A4253D">
      <w:pPr>
        <w:autoSpaceDE w:val="0"/>
        <w:autoSpaceDN w:val="0"/>
        <w:adjustRightInd w:val="0"/>
        <w:rPr>
          <w:rFonts w:cs="Arial"/>
        </w:rPr>
      </w:pPr>
      <w:r w:rsidRPr="000F5B3F">
        <w:rPr>
          <w:rFonts w:cs="Arial"/>
        </w:rPr>
        <w:t xml:space="preserve">For press enquiries, please contact the </w:t>
      </w:r>
      <w:r w:rsidR="00144A92">
        <w:rPr>
          <w:rFonts w:cs="Arial"/>
        </w:rPr>
        <w:t xml:space="preserve">NHS England </w:t>
      </w:r>
      <w:r w:rsidRPr="000F5B3F">
        <w:rPr>
          <w:rFonts w:cs="Arial"/>
        </w:rPr>
        <w:t>press office</w:t>
      </w:r>
      <w:r w:rsidR="00144A92">
        <w:rPr>
          <w:rFonts w:cs="Arial"/>
        </w:rPr>
        <w:t xml:space="preserve"> on 0113 825 0958 or </w:t>
      </w:r>
      <w:hyperlink r:id="rId26" w:history="1">
        <w:r w:rsidR="00144A92" w:rsidRPr="008369E4">
          <w:rPr>
            <w:rStyle w:val="Hyperlink"/>
            <w:rFonts w:cs="Arial"/>
          </w:rPr>
          <w:t>nhsengland.media@nhs.net</w:t>
        </w:r>
      </w:hyperlink>
      <w:r w:rsidR="00144A92">
        <w:rPr>
          <w:rFonts w:cs="Arial"/>
        </w:rPr>
        <w:t>.</w:t>
      </w:r>
    </w:p>
    <w:p w:rsidR="00A4253D" w:rsidRPr="000F5B3F" w:rsidRDefault="00A4253D" w:rsidP="00A4253D">
      <w:pPr>
        <w:autoSpaceDE w:val="0"/>
        <w:autoSpaceDN w:val="0"/>
        <w:adjustRightInd w:val="0"/>
        <w:rPr>
          <w:rFonts w:cs="Arial"/>
        </w:rPr>
      </w:pPr>
      <w:r w:rsidRPr="000F5B3F">
        <w:rPr>
          <w:rFonts w:cs="Arial"/>
        </w:rPr>
        <w:t>The Government Statistical Service (GSS) statistician responsible for producing these data is:</w:t>
      </w:r>
    </w:p>
    <w:p w:rsidR="00C21149" w:rsidRDefault="00151AF2" w:rsidP="00C21149">
      <w:pPr>
        <w:pStyle w:val="NoSpacing"/>
      </w:pPr>
      <w:r w:rsidRPr="000F5B3F">
        <w:t>Ian Kay</w:t>
      </w:r>
      <w:r w:rsidR="00C21149">
        <w:t>,</w:t>
      </w:r>
      <w:r w:rsidR="00C21149" w:rsidRPr="00C21149">
        <w:t xml:space="preserve"> </w:t>
      </w:r>
      <w:r w:rsidR="00C21149" w:rsidRPr="000F5B3F">
        <w:t>Analytical Services (Operations)</w:t>
      </w:r>
      <w:r w:rsidR="00C21149">
        <w:t xml:space="preserve">, </w:t>
      </w:r>
      <w:r w:rsidR="00C21149" w:rsidRPr="000F5B3F">
        <w:t>NHS England</w:t>
      </w:r>
      <w:r w:rsidR="00C21149">
        <w:t xml:space="preserve">, </w:t>
      </w:r>
      <w:r w:rsidR="00C21149" w:rsidRPr="000F5B3F">
        <w:t xml:space="preserve">Room </w:t>
      </w:r>
      <w:r w:rsidR="00C21149">
        <w:t>5E24</w:t>
      </w:r>
      <w:r w:rsidR="00C21149" w:rsidRPr="000F5B3F">
        <w:t>, Quarry House, Leeds, LS2 7UE</w:t>
      </w:r>
    </w:p>
    <w:p w:rsidR="0053124D" w:rsidRPr="000F5B3F" w:rsidRDefault="0053124D" w:rsidP="00C21149">
      <w:pPr>
        <w:pStyle w:val="NoSpacing"/>
      </w:pPr>
      <w:r>
        <w:t>0113 824 9411</w:t>
      </w:r>
    </w:p>
    <w:p w:rsidR="00C21149" w:rsidRDefault="006B3E8A" w:rsidP="00C21149">
      <w:pPr>
        <w:pStyle w:val="NoSpacing"/>
      </w:pPr>
      <w:hyperlink r:id="rId27" w:history="1">
        <w:r w:rsidR="00C21149" w:rsidRPr="009A0418">
          <w:rPr>
            <w:rStyle w:val="Hyperlink"/>
          </w:rPr>
          <w:t>i.kay@nhs.net</w:t>
        </w:r>
      </w:hyperlink>
    </w:p>
    <w:sectPr w:rsidR="00C21149" w:rsidSect="0044771F">
      <w:footerReference w:type="default" r:id="rId2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B5" w:rsidRDefault="00CE2AB5" w:rsidP="008C63D3">
      <w:r>
        <w:separator/>
      </w:r>
    </w:p>
  </w:endnote>
  <w:endnote w:type="continuationSeparator" w:id="0">
    <w:p w:rsidR="00CE2AB5" w:rsidRDefault="00CE2AB5"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B5" w:rsidRDefault="00CE2AB5" w:rsidP="00AC3DAD">
    <w:pPr>
      <w:pStyle w:val="Footer"/>
      <w:tabs>
        <w:tab w:val="clear" w:pos="9026"/>
        <w:tab w:val="left" w:pos="5025"/>
        <w:tab w:val="right" w:pos="8364"/>
      </w:tabs>
      <w:jc w:val="center"/>
    </w:pPr>
    <w:r>
      <w:t>NHS England AQI Stat</w:t>
    </w:r>
    <w:r w:rsidR="00BC6A0B">
      <w:t xml:space="preserve">istical Note, </w:t>
    </w:r>
    <w:r w:rsidR="00E76C17">
      <w:t>6 November</w:t>
    </w:r>
    <w:r w:rsidR="00BC6A0B">
      <w:t xml:space="preserve"> </w:t>
    </w:r>
    <w:r>
      <w:t>2014.</w:t>
    </w:r>
    <w:r>
      <w:tab/>
    </w:r>
    <w:r>
      <w:tab/>
      <w:t xml:space="preserve">Page </w:t>
    </w:r>
    <w:r>
      <w:fldChar w:fldCharType="begin"/>
    </w:r>
    <w:r>
      <w:instrText xml:space="preserve"> PAGE   \* MERGEFORMAT </w:instrText>
    </w:r>
    <w:r>
      <w:fldChar w:fldCharType="separate"/>
    </w:r>
    <w:r w:rsidR="006B3E8A">
      <w:rPr>
        <w:noProof/>
      </w:rPr>
      <w:t>5</w:t>
    </w:r>
    <w:r>
      <w:rPr>
        <w:noProof/>
      </w:rPr>
      <w:fldChar w:fldCharType="end"/>
    </w:r>
    <w:r>
      <w:rPr>
        <w:noProof/>
      </w:rPr>
      <w:t xml:space="preserve"> of </w:t>
    </w:r>
    <w:fldSimple w:instr=" NUMPAGES   \* MERGEFORMAT ">
      <w:r w:rsidR="006B3E8A">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B5" w:rsidRDefault="00CE2AB5" w:rsidP="008C63D3">
      <w:r>
        <w:separator/>
      </w:r>
    </w:p>
  </w:footnote>
  <w:footnote w:type="continuationSeparator" w:id="0">
    <w:p w:rsidR="00CE2AB5" w:rsidRDefault="00CE2AB5" w:rsidP="008C63D3">
      <w:r>
        <w:continuationSeparator/>
      </w:r>
    </w:p>
  </w:footnote>
  <w:footnote w:id="1">
    <w:p w:rsidR="00CE2AB5" w:rsidRDefault="00CE2AB5"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1" w:history="1">
        <w:r w:rsidRPr="00340492">
          <w:rPr>
            <w:rStyle w:val="Hyperlink"/>
            <w:rFonts w:cs="Arial"/>
            <w:szCs w:val="20"/>
          </w:rPr>
          <w:t>www.gov.uk/government/news/changes-to-ambulance-response-time-categories</w:t>
        </w:r>
      </w:hyperlink>
    </w:p>
    <w:p w:rsidR="00A65D0F" w:rsidRDefault="00A65D0F" w:rsidP="00526112">
      <w:pPr>
        <w:pStyle w:val="Footer"/>
        <w:rPr>
          <w:rStyle w:val="Hyperlink"/>
          <w:rFonts w:cs="Arial"/>
          <w:szCs w:val="20"/>
        </w:rPr>
      </w:pPr>
    </w:p>
    <w:p w:rsidR="00A65D0F" w:rsidRDefault="00A65D0F" w:rsidP="00526112">
      <w:pPr>
        <w:pStyle w:val="Footer"/>
        <w:rPr>
          <w:rStyle w:val="Hyperlink"/>
        </w:rPr>
      </w:pPr>
      <w:r w:rsidRPr="00151AF2">
        <w:rPr>
          <w:rFonts w:cs="Arial"/>
        </w:rPr>
        <w:t>Due to 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into a total Category A performance</w:t>
      </w:r>
      <w:r>
        <w:rPr>
          <w:rFonts w:cs="Arial"/>
        </w:rPr>
        <w:t>.</w:t>
      </w:r>
      <w:r>
        <w:t xml:space="preserve"> Clock definitions appear in the specification guidance for data suppliers on the AQI landing page at </w:t>
      </w:r>
      <w:hyperlink r:id="rId2" w:history="1">
        <w:r w:rsidRPr="00C33A47">
          <w:rPr>
            <w:rStyle w:val="Hyperlink"/>
          </w:rPr>
          <w:t>www.england.nhs.uk/statistics/statistical-work-areas/ambulance-quality-indicators</w:t>
        </w:r>
      </w:hyperlink>
    </w:p>
    <w:p w:rsidR="00A65D0F" w:rsidRPr="00735077" w:rsidRDefault="00A65D0F" w:rsidP="00526112">
      <w:pPr>
        <w:pStyle w:val="Footer"/>
      </w:pPr>
    </w:p>
  </w:footnote>
  <w:footnote w:id="2">
    <w:p w:rsidR="00CE2AB5" w:rsidRDefault="00CE2AB5" w:rsidP="00775632">
      <w:pPr>
        <w:pStyle w:val="Footer"/>
      </w:pPr>
      <w:r>
        <w:rPr>
          <w:rStyle w:val="FootnoteReference"/>
        </w:rPr>
        <w:footnoteRef/>
      </w:r>
      <w:r>
        <w:t xml:space="preserve"> </w:t>
      </w:r>
      <w:r w:rsidR="00921ACE">
        <w:t>Ambulance response time</w:t>
      </w:r>
      <w:r>
        <w:t xml:space="preserve"> </w:t>
      </w:r>
      <w:r w:rsidR="00921ACE">
        <w:t xml:space="preserve">standards </w:t>
      </w:r>
      <w:r>
        <w:t xml:space="preserve">are </w:t>
      </w:r>
      <w:r w:rsidR="00921ACE">
        <w:t xml:space="preserve">on page 30, </w:t>
      </w:r>
      <w:r w:rsidRPr="000F3EC8">
        <w:t>Handbook to the NHS Constitution</w:t>
      </w:r>
      <w:r w:rsidR="00921ACE">
        <w:t xml:space="preserve">, </w:t>
      </w:r>
      <w:hyperlink r:id="rId3" w:history="1">
        <w:r w:rsidRPr="00CD4562">
          <w:rPr>
            <w:rStyle w:val="Hyperlink"/>
            <w:lang w:eastAsia="en-US"/>
          </w:rPr>
          <w:t>www.nhs.uk/choiceintheNHS/Rightsandpledges/NHSConstitution/Pages/Overview.aspx</w:t>
        </w:r>
      </w:hyperlink>
      <w:r>
        <w:rPr>
          <w:rStyle w:val="Hyperlink"/>
          <w:lang w:eastAsia="en-US"/>
        </w:rPr>
        <w:t>.</w:t>
      </w:r>
    </w:p>
  </w:footnote>
  <w:footnote w:id="3">
    <w:p w:rsidR="00CE2AB5" w:rsidRDefault="00CE2AB5" w:rsidP="0044771F">
      <w:pPr>
        <w:pStyle w:val="FootnoteText"/>
        <w:spacing w:after="0"/>
      </w:pPr>
      <w:r>
        <w:rPr>
          <w:rStyle w:val="FootnoteReference"/>
        </w:rPr>
        <w:footnoteRef/>
      </w:r>
      <w:r>
        <w:t xml:space="preserve"> </w:t>
      </w:r>
      <w:r w:rsidRPr="00C71776">
        <w:t xml:space="preserve">The </w:t>
      </w:r>
      <w:r w:rsidR="00E0653D" w:rsidRPr="00C71776">
        <w:t>number of</w:t>
      </w:r>
      <w:r w:rsidR="00E0653D">
        <w:t xml:space="preserve"> </w:t>
      </w:r>
      <w:r w:rsidR="00E0653D" w:rsidRPr="00C71776">
        <w:t xml:space="preserve">calls presented </w:t>
      </w:r>
      <w:r w:rsidR="00E0653D">
        <w:t>to switchboard</w:t>
      </w:r>
      <w:r w:rsidR="00E0653D" w:rsidRPr="00C71776">
        <w:t xml:space="preserve"> </w:t>
      </w:r>
      <w:r w:rsidR="00E0653D">
        <w:t xml:space="preserve">does not usually include </w:t>
      </w:r>
      <w:r w:rsidRPr="00C71776">
        <w:t xml:space="preserve">calls </w:t>
      </w:r>
      <w:r w:rsidR="00E0653D">
        <w:t xml:space="preserve">made </w:t>
      </w:r>
      <w:r w:rsidRPr="00C71776">
        <w:t xml:space="preserve">to </w:t>
      </w:r>
      <w:r w:rsidR="00AD051D">
        <w:t xml:space="preserve">NHS </w:t>
      </w:r>
      <w:r w:rsidRPr="00C71776">
        <w:t>111 that require an ambulance</w:t>
      </w:r>
      <w:r w:rsidR="00AD051D">
        <w:t xml:space="preserve">. This is because </w:t>
      </w:r>
      <w:r w:rsidR="00E0653D">
        <w:t xml:space="preserve">111 calls requiring an ambulance are usually </w:t>
      </w:r>
      <w:r w:rsidR="00E0653D" w:rsidRPr="00C71776">
        <w:t>tra</w:t>
      </w:r>
      <w:r w:rsidR="00E0653D">
        <w:t xml:space="preserve">nsferred electronically direct to ambulance dispatch, and </w:t>
      </w:r>
      <w:r w:rsidR="00EF6133" w:rsidRPr="00C71776">
        <w:t xml:space="preserve">not </w:t>
      </w:r>
      <w:r w:rsidR="00EF6133">
        <w:t xml:space="preserve">routed </w:t>
      </w:r>
      <w:r w:rsidR="00EF6133" w:rsidRPr="00C71776">
        <w:t>via 999 call handlers</w:t>
      </w:r>
      <w:r w:rsidRPr="00C71776">
        <w:t xml:space="preserve">. Occasionally, a manual request for an ambulance </w:t>
      </w:r>
      <w:r w:rsidR="00E0653D">
        <w:t>may be</w:t>
      </w:r>
      <w:r w:rsidRPr="00C71776">
        <w:t xml:space="preserve"> </w:t>
      </w:r>
      <w:r w:rsidR="00EF6133">
        <w:t xml:space="preserve">made </w:t>
      </w:r>
      <w:r w:rsidRPr="00C71776">
        <w:t xml:space="preserve">from a 111 call handler to a 999 call handler, and </w:t>
      </w:r>
      <w:r w:rsidR="00EF6133">
        <w:t xml:space="preserve">such calls </w:t>
      </w:r>
      <w:r w:rsidRPr="00C71776">
        <w:t xml:space="preserve">are included in the </w:t>
      </w:r>
      <w:r w:rsidR="00AD051D">
        <w:t>number of calls presented</w:t>
      </w:r>
      <w:r w:rsidR="00E0653D">
        <w:t xml:space="preserve"> to switchboard</w:t>
      </w:r>
      <w:r w:rsidR="00AD051D">
        <w:t>.</w:t>
      </w:r>
    </w:p>
    <w:p w:rsidR="0044771F" w:rsidRDefault="0044771F" w:rsidP="0044771F">
      <w:pPr>
        <w:pStyle w:val="FootnoteText"/>
        <w:spacing w:after="0"/>
      </w:pPr>
    </w:p>
  </w:footnote>
  <w:footnote w:id="4">
    <w:p w:rsidR="00C957A6" w:rsidRDefault="00C957A6" w:rsidP="00C957A6">
      <w:pPr>
        <w:pStyle w:val="FootnoteText"/>
        <w:spacing w:after="0"/>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C957A6" w:rsidRDefault="00C957A6" w:rsidP="00C957A6">
      <w:pPr>
        <w:pStyle w:val="FootnoteText"/>
        <w:spacing w:after="0"/>
      </w:pPr>
      <w:r>
        <w:t>Type 2 offer a consultant-led speciality A&amp;E service such as ophthalmology or dental.</w:t>
      </w:r>
    </w:p>
    <w:p w:rsidR="00C957A6" w:rsidRDefault="00C957A6" w:rsidP="00C957A6">
      <w:pPr>
        <w:pStyle w:val="FootnoteText"/>
        <w:spacing w:after="0"/>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C957A6" w:rsidRDefault="00C957A6" w:rsidP="00C957A6">
      <w:pPr>
        <w:pStyle w:val="FootnoteText"/>
        <w:spacing w:after="0"/>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5">
    <w:p w:rsidR="003708E7" w:rsidRDefault="003708E7" w:rsidP="0044771F">
      <w:pPr>
        <w:pStyle w:val="FootnoteText"/>
        <w:spacing w:after="0"/>
      </w:pPr>
      <w:r>
        <w:rPr>
          <w:rStyle w:val="FootnoteReference"/>
        </w:rPr>
        <w:footnoteRef/>
      </w:r>
      <w:r>
        <w:t xml:space="preserve"> </w:t>
      </w:r>
      <w:r w:rsidR="0095462C" w:rsidRPr="0095462C">
        <w:t xml:space="preserve">Due to its small size, performance on the Isle of Wight tends to vary more than other Trusts. If the Isle of Wight has the lowest or highest value, the Table in A4 shows the second lowest or highest value, but with a footnote marker to show that the Isle of Wight is more extreme. This system is also used </w:t>
      </w:r>
      <w:r w:rsidR="007017DC">
        <w:t xml:space="preserve">for </w:t>
      </w:r>
      <w:r w:rsidR="0095462C" w:rsidRPr="0095462C">
        <w:t xml:space="preserve">Clinical Outcomes </w:t>
      </w:r>
      <w:r w:rsidR="007017DC">
        <w:t xml:space="preserve">in </w:t>
      </w:r>
      <w:r w:rsidR="0095462C" w:rsidRPr="0095462C">
        <w:t>section</w:t>
      </w:r>
      <w:r w:rsidR="007017DC">
        <w:t xml:space="preserve"> B</w:t>
      </w:r>
      <w:r w:rsidR="0095462C">
        <w:t>.</w:t>
      </w:r>
    </w:p>
    <w:p w:rsidR="0044771F" w:rsidRDefault="0044771F" w:rsidP="0044771F">
      <w:pPr>
        <w:pStyle w:val="FootnoteText"/>
        <w:spacing w:after="0"/>
      </w:pPr>
    </w:p>
  </w:footnote>
  <w:footnote w:id="6">
    <w:p w:rsidR="0095462C" w:rsidRDefault="0095462C" w:rsidP="0044771F">
      <w:pPr>
        <w:pStyle w:val="FootnoteText"/>
        <w:spacing w:after="0"/>
      </w:pPr>
      <w:r>
        <w:rPr>
          <w:rStyle w:val="FootnoteReference"/>
        </w:rPr>
        <w:footnoteRef/>
      </w:r>
      <w:r>
        <w:t xml:space="preserve"> </w:t>
      </w:r>
      <w:r w:rsidRPr="0095462C">
        <w:t xml:space="preserve">East of England Ambulance Service </w:t>
      </w:r>
      <w:r>
        <w:t xml:space="preserve">was </w:t>
      </w:r>
      <w:r w:rsidRPr="0095462C">
        <w:t xml:space="preserve">unable to extract </w:t>
      </w:r>
      <w:r>
        <w:t xml:space="preserve">data on </w:t>
      </w:r>
      <w:r w:rsidRPr="0095462C">
        <w:t>abandoned call</w:t>
      </w:r>
      <w:r>
        <w:t>s or frequent callers</w:t>
      </w:r>
      <w:r w:rsidR="00F703B0">
        <w:t>,</w:t>
      </w:r>
      <w:r w:rsidRPr="0095462C">
        <w:t xml:space="preserve"> prior to a change to its telephony system</w:t>
      </w:r>
      <w:r w:rsidR="00F703B0">
        <w:t>,</w:t>
      </w:r>
      <w:r w:rsidRPr="0095462C">
        <w:t xml:space="preserve"> </w:t>
      </w:r>
      <w:r w:rsidR="00F703B0">
        <w:t>to improve</w:t>
      </w:r>
      <w:r w:rsidRPr="0095462C">
        <w:t xml:space="preserve"> how calls are routed to call handlers</w:t>
      </w:r>
      <w:r>
        <w:t>.</w:t>
      </w:r>
    </w:p>
  </w:footnote>
  <w:footnote w:id="7">
    <w:p w:rsidR="00947505" w:rsidRDefault="00947505" w:rsidP="0044771F">
      <w:pPr>
        <w:pStyle w:val="FootnoteText"/>
        <w:spacing w:after="0"/>
      </w:pPr>
      <w:r>
        <w:rPr>
          <w:rStyle w:val="FootnoteReference"/>
        </w:rPr>
        <w:footnoteRef/>
      </w:r>
      <w:r>
        <w:t xml:space="preserve"> Excluding Isle of Wight.</w:t>
      </w:r>
      <w:r w:rsidR="0044771F">
        <w:t xml:space="preserve"> See note 5 on page 4.</w:t>
      </w:r>
    </w:p>
  </w:footnote>
  <w:footnote w:id="8">
    <w:p w:rsidR="002E6965" w:rsidRDefault="002E6965" w:rsidP="0044771F">
      <w:pPr>
        <w:pStyle w:val="FootnoteText"/>
        <w:spacing w:after="0"/>
      </w:pPr>
      <w:r>
        <w:rPr>
          <w:rStyle w:val="FootnoteReference"/>
        </w:rPr>
        <w:footnoteRef/>
      </w:r>
      <w:r>
        <w:t xml:space="preserve"> Excluding Isle of </w:t>
      </w:r>
      <w:r w:rsidR="0044771F">
        <w:t>Wight. See note 5 on page 4.</w:t>
      </w:r>
    </w:p>
    <w:p w:rsidR="0044771F" w:rsidRDefault="0044771F" w:rsidP="0044771F">
      <w:pPr>
        <w:pStyle w:val="FootnoteText"/>
        <w:spacing w:after="0"/>
      </w:pPr>
    </w:p>
  </w:footnote>
  <w:footnote w:id="9">
    <w:p w:rsidR="0044771F" w:rsidRDefault="0044771F" w:rsidP="0044771F">
      <w:pPr>
        <w:pStyle w:val="FootnoteText"/>
        <w:spacing w:after="0"/>
      </w:pPr>
      <w:r>
        <w:rPr>
          <w:rStyle w:val="FootnoteReference"/>
        </w:rPr>
        <w:footnoteRef/>
      </w:r>
      <w:r>
        <w:t xml:space="preserve"> Pages 21 to 25 of the specification guidance for data suppliers on the AQI landing page at </w:t>
      </w:r>
      <w:hyperlink r:id="rId6" w:history="1">
        <w:r w:rsidRPr="00BF4F52">
          <w:rPr>
            <w:rStyle w:val="Hyperlink"/>
          </w:rPr>
          <w:t>www.england.nhs.uk/statistics/statistical-work-areas/ambulance-quality-indicators</w:t>
        </w:r>
      </w:hyperlink>
      <w:r>
        <w:t xml:space="preserve"> describe, for STEMI and stroke, the care bundles, and certain exclusions.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512CF4A"/>
    <w:lvl w:ilvl="0">
      <w:start w:val="1"/>
      <w:numFmt w:val="decimal"/>
      <w:lvlText w:val="%1."/>
      <w:lvlJc w:val="left"/>
      <w:pPr>
        <w:tabs>
          <w:tab w:val="num" w:pos="643"/>
        </w:tabs>
        <w:ind w:left="643" w:hanging="360"/>
      </w:pPr>
    </w:lvl>
  </w:abstractNum>
  <w:abstractNum w:abstractNumId="1">
    <w:nsid w:val="FFFFFF83"/>
    <w:multiLevelType w:val="singleLevel"/>
    <w:tmpl w:val="286E6340"/>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3B7C5528"/>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8"/>
  </w:num>
  <w:num w:numId="4">
    <w:abstractNumId w:val="9"/>
  </w:num>
  <w:num w:numId="5">
    <w:abstractNumId w:val="7"/>
  </w:num>
  <w:num w:numId="6">
    <w:abstractNumId w:val="10"/>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17E64"/>
    <w:rsid w:val="00024821"/>
    <w:rsid w:val="000274BA"/>
    <w:rsid w:val="00036949"/>
    <w:rsid w:val="00042A5D"/>
    <w:rsid w:val="000442D5"/>
    <w:rsid w:val="0005401E"/>
    <w:rsid w:val="0005599E"/>
    <w:rsid w:val="00065110"/>
    <w:rsid w:val="000670B6"/>
    <w:rsid w:val="0007019A"/>
    <w:rsid w:val="00072DE5"/>
    <w:rsid w:val="000768E8"/>
    <w:rsid w:val="0007786F"/>
    <w:rsid w:val="00085AC3"/>
    <w:rsid w:val="000871A7"/>
    <w:rsid w:val="00092393"/>
    <w:rsid w:val="000965D6"/>
    <w:rsid w:val="00096A9C"/>
    <w:rsid w:val="00097741"/>
    <w:rsid w:val="000B1B66"/>
    <w:rsid w:val="000B2219"/>
    <w:rsid w:val="000B2586"/>
    <w:rsid w:val="000C2092"/>
    <w:rsid w:val="000C3202"/>
    <w:rsid w:val="000D14CB"/>
    <w:rsid w:val="000D3FB5"/>
    <w:rsid w:val="000D6BA7"/>
    <w:rsid w:val="000F0D83"/>
    <w:rsid w:val="000F3EC8"/>
    <w:rsid w:val="000F4631"/>
    <w:rsid w:val="000F5B3F"/>
    <w:rsid w:val="000F6221"/>
    <w:rsid w:val="001000B2"/>
    <w:rsid w:val="0010506D"/>
    <w:rsid w:val="00111B6E"/>
    <w:rsid w:val="0011384E"/>
    <w:rsid w:val="0012242C"/>
    <w:rsid w:val="00127A5B"/>
    <w:rsid w:val="00127E1D"/>
    <w:rsid w:val="00127FD0"/>
    <w:rsid w:val="00133520"/>
    <w:rsid w:val="001359EC"/>
    <w:rsid w:val="00136E8B"/>
    <w:rsid w:val="001405FE"/>
    <w:rsid w:val="001407C4"/>
    <w:rsid w:val="0014147C"/>
    <w:rsid w:val="001417C4"/>
    <w:rsid w:val="00144A92"/>
    <w:rsid w:val="00151567"/>
    <w:rsid w:val="00151AF2"/>
    <w:rsid w:val="0015216C"/>
    <w:rsid w:val="00155E50"/>
    <w:rsid w:val="00160F31"/>
    <w:rsid w:val="00170786"/>
    <w:rsid w:val="00175513"/>
    <w:rsid w:val="00186446"/>
    <w:rsid w:val="001876F0"/>
    <w:rsid w:val="00190332"/>
    <w:rsid w:val="00190BCC"/>
    <w:rsid w:val="00193CB9"/>
    <w:rsid w:val="0019534B"/>
    <w:rsid w:val="00197242"/>
    <w:rsid w:val="001A3A2C"/>
    <w:rsid w:val="001B68DB"/>
    <w:rsid w:val="001C3052"/>
    <w:rsid w:val="001C3165"/>
    <w:rsid w:val="001C5911"/>
    <w:rsid w:val="001C688D"/>
    <w:rsid w:val="001C6E6A"/>
    <w:rsid w:val="001D3157"/>
    <w:rsid w:val="001D5DCC"/>
    <w:rsid w:val="001E3296"/>
    <w:rsid w:val="001F1181"/>
    <w:rsid w:val="002055F7"/>
    <w:rsid w:val="002067E2"/>
    <w:rsid w:val="00214510"/>
    <w:rsid w:val="00214A55"/>
    <w:rsid w:val="00222B38"/>
    <w:rsid w:val="00230B2D"/>
    <w:rsid w:val="002346FC"/>
    <w:rsid w:val="00241F79"/>
    <w:rsid w:val="00244F63"/>
    <w:rsid w:val="00247D97"/>
    <w:rsid w:val="00251383"/>
    <w:rsid w:val="00251854"/>
    <w:rsid w:val="002529A4"/>
    <w:rsid w:val="00252C62"/>
    <w:rsid w:val="00254237"/>
    <w:rsid w:val="0025490C"/>
    <w:rsid w:val="00254B9C"/>
    <w:rsid w:val="00260C5F"/>
    <w:rsid w:val="00261C03"/>
    <w:rsid w:val="0026240F"/>
    <w:rsid w:val="00263BD6"/>
    <w:rsid w:val="00265EFB"/>
    <w:rsid w:val="00267437"/>
    <w:rsid w:val="00270C17"/>
    <w:rsid w:val="002719AC"/>
    <w:rsid w:val="002760F7"/>
    <w:rsid w:val="00277342"/>
    <w:rsid w:val="0028035E"/>
    <w:rsid w:val="00280386"/>
    <w:rsid w:val="0029257D"/>
    <w:rsid w:val="00297264"/>
    <w:rsid w:val="002A0F67"/>
    <w:rsid w:val="002A3DFB"/>
    <w:rsid w:val="002B4DD9"/>
    <w:rsid w:val="002B4F9D"/>
    <w:rsid w:val="002B55AA"/>
    <w:rsid w:val="002C1974"/>
    <w:rsid w:val="002C1DD5"/>
    <w:rsid w:val="002C3ECB"/>
    <w:rsid w:val="002C522F"/>
    <w:rsid w:val="002D10A5"/>
    <w:rsid w:val="002D2035"/>
    <w:rsid w:val="002E3DEA"/>
    <w:rsid w:val="002E6965"/>
    <w:rsid w:val="002F3C5E"/>
    <w:rsid w:val="00300176"/>
    <w:rsid w:val="00300551"/>
    <w:rsid w:val="003076B8"/>
    <w:rsid w:val="00310203"/>
    <w:rsid w:val="0031043B"/>
    <w:rsid w:val="0031060B"/>
    <w:rsid w:val="0031228A"/>
    <w:rsid w:val="00322346"/>
    <w:rsid w:val="0032556F"/>
    <w:rsid w:val="003336E9"/>
    <w:rsid w:val="00335EE6"/>
    <w:rsid w:val="0033606F"/>
    <w:rsid w:val="0034037C"/>
    <w:rsid w:val="00340492"/>
    <w:rsid w:val="00340769"/>
    <w:rsid w:val="00346087"/>
    <w:rsid w:val="00346103"/>
    <w:rsid w:val="00347494"/>
    <w:rsid w:val="003635DF"/>
    <w:rsid w:val="0036445B"/>
    <w:rsid w:val="003674CA"/>
    <w:rsid w:val="003708E7"/>
    <w:rsid w:val="003723D5"/>
    <w:rsid w:val="00377786"/>
    <w:rsid w:val="00377FF6"/>
    <w:rsid w:val="00387879"/>
    <w:rsid w:val="0039160E"/>
    <w:rsid w:val="00395D9D"/>
    <w:rsid w:val="00396DD4"/>
    <w:rsid w:val="00396E0E"/>
    <w:rsid w:val="003A63FB"/>
    <w:rsid w:val="003A7386"/>
    <w:rsid w:val="003B164C"/>
    <w:rsid w:val="003B628A"/>
    <w:rsid w:val="003D5086"/>
    <w:rsid w:val="003E38D7"/>
    <w:rsid w:val="003E540C"/>
    <w:rsid w:val="003F43AB"/>
    <w:rsid w:val="00407A2A"/>
    <w:rsid w:val="00410783"/>
    <w:rsid w:val="00413F2F"/>
    <w:rsid w:val="004140F7"/>
    <w:rsid w:val="0042340C"/>
    <w:rsid w:val="0042443A"/>
    <w:rsid w:val="00436A36"/>
    <w:rsid w:val="004370AB"/>
    <w:rsid w:val="00440EF3"/>
    <w:rsid w:val="00444612"/>
    <w:rsid w:val="004446CF"/>
    <w:rsid w:val="0044623C"/>
    <w:rsid w:val="0044771F"/>
    <w:rsid w:val="00453F16"/>
    <w:rsid w:val="004550F1"/>
    <w:rsid w:val="00456108"/>
    <w:rsid w:val="00465847"/>
    <w:rsid w:val="0047575F"/>
    <w:rsid w:val="004769D3"/>
    <w:rsid w:val="00480623"/>
    <w:rsid w:val="00483782"/>
    <w:rsid w:val="00483F77"/>
    <w:rsid w:val="00493002"/>
    <w:rsid w:val="004953E1"/>
    <w:rsid w:val="004A2A45"/>
    <w:rsid w:val="004B46D5"/>
    <w:rsid w:val="004B592C"/>
    <w:rsid w:val="004C0D17"/>
    <w:rsid w:val="004C377A"/>
    <w:rsid w:val="004C5144"/>
    <w:rsid w:val="004D083F"/>
    <w:rsid w:val="004D1017"/>
    <w:rsid w:val="004F2D5D"/>
    <w:rsid w:val="004F3810"/>
    <w:rsid w:val="004F6290"/>
    <w:rsid w:val="00511984"/>
    <w:rsid w:val="00513897"/>
    <w:rsid w:val="00517BD3"/>
    <w:rsid w:val="0052145B"/>
    <w:rsid w:val="005239BD"/>
    <w:rsid w:val="00523BFF"/>
    <w:rsid w:val="00526112"/>
    <w:rsid w:val="005261D8"/>
    <w:rsid w:val="0053124D"/>
    <w:rsid w:val="00531825"/>
    <w:rsid w:val="00531A75"/>
    <w:rsid w:val="0053266B"/>
    <w:rsid w:val="0054261F"/>
    <w:rsid w:val="0054766B"/>
    <w:rsid w:val="00551D2D"/>
    <w:rsid w:val="00551DDC"/>
    <w:rsid w:val="005538AF"/>
    <w:rsid w:val="005719BB"/>
    <w:rsid w:val="00572500"/>
    <w:rsid w:val="0057661C"/>
    <w:rsid w:val="005772D5"/>
    <w:rsid w:val="005945B8"/>
    <w:rsid w:val="005950EE"/>
    <w:rsid w:val="0059638C"/>
    <w:rsid w:val="005B4A17"/>
    <w:rsid w:val="005C1BA6"/>
    <w:rsid w:val="005C59BC"/>
    <w:rsid w:val="005C6B63"/>
    <w:rsid w:val="005D2E52"/>
    <w:rsid w:val="005D348F"/>
    <w:rsid w:val="005F2095"/>
    <w:rsid w:val="005F53BA"/>
    <w:rsid w:val="005F60A6"/>
    <w:rsid w:val="00603940"/>
    <w:rsid w:val="006059ED"/>
    <w:rsid w:val="00605F7E"/>
    <w:rsid w:val="006157C7"/>
    <w:rsid w:val="006201BE"/>
    <w:rsid w:val="00621A41"/>
    <w:rsid w:val="00624EB5"/>
    <w:rsid w:val="006272D8"/>
    <w:rsid w:val="006303F7"/>
    <w:rsid w:val="006306D8"/>
    <w:rsid w:val="00634165"/>
    <w:rsid w:val="00642E05"/>
    <w:rsid w:val="00642E76"/>
    <w:rsid w:val="00644C87"/>
    <w:rsid w:val="00655F0D"/>
    <w:rsid w:val="00656C83"/>
    <w:rsid w:val="006653DB"/>
    <w:rsid w:val="00676BD5"/>
    <w:rsid w:val="006817AD"/>
    <w:rsid w:val="00694FB2"/>
    <w:rsid w:val="00695304"/>
    <w:rsid w:val="006A61BC"/>
    <w:rsid w:val="006A6856"/>
    <w:rsid w:val="006B2BEA"/>
    <w:rsid w:val="006B3E8A"/>
    <w:rsid w:val="006D5EDF"/>
    <w:rsid w:val="006E0760"/>
    <w:rsid w:val="006E2C05"/>
    <w:rsid w:val="006E58F5"/>
    <w:rsid w:val="00700863"/>
    <w:rsid w:val="007017DC"/>
    <w:rsid w:val="00701D5C"/>
    <w:rsid w:val="0070276C"/>
    <w:rsid w:val="007027B5"/>
    <w:rsid w:val="0071673C"/>
    <w:rsid w:val="007177B5"/>
    <w:rsid w:val="00720B11"/>
    <w:rsid w:val="00724971"/>
    <w:rsid w:val="0073041B"/>
    <w:rsid w:val="00735077"/>
    <w:rsid w:val="00737724"/>
    <w:rsid w:val="00741E8A"/>
    <w:rsid w:val="00747269"/>
    <w:rsid w:val="00761FF8"/>
    <w:rsid w:val="007639D5"/>
    <w:rsid w:val="007700CE"/>
    <w:rsid w:val="00771043"/>
    <w:rsid w:val="00775632"/>
    <w:rsid w:val="007804B7"/>
    <w:rsid w:val="00793660"/>
    <w:rsid w:val="007A138E"/>
    <w:rsid w:val="007A2AF5"/>
    <w:rsid w:val="007B0D9A"/>
    <w:rsid w:val="007B2807"/>
    <w:rsid w:val="007B2D4E"/>
    <w:rsid w:val="007B5C09"/>
    <w:rsid w:val="007C0F9B"/>
    <w:rsid w:val="007C0FC7"/>
    <w:rsid w:val="007C393E"/>
    <w:rsid w:val="007C6985"/>
    <w:rsid w:val="007D2957"/>
    <w:rsid w:val="007E3671"/>
    <w:rsid w:val="007F02F1"/>
    <w:rsid w:val="007F6B19"/>
    <w:rsid w:val="00806B8A"/>
    <w:rsid w:val="008113A4"/>
    <w:rsid w:val="00815169"/>
    <w:rsid w:val="008227CE"/>
    <w:rsid w:val="00822C2F"/>
    <w:rsid w:val="008231E3"/>
    <w:rsid w:val="0082452F"/>
    <w:rsid w:val="00826D43"/>
    <w:rsid w:val="008301F3"/>
    <w:rsid w:val="008340D3"/>
    <w:rsid w:val="008404D1"/>
    <w:rsid w:val="00841DFF"/>
    <w:rsid w:val="00843ABC"/>
    <w:rsid w:val="00844712"/>
    <w:rsid w:val="00861B67"/>
    <w:rsid w:val="00862969"/>
    <w:rsid w:val="00865E6C"/>
    <w:rsid w:val="00871ADB"/>
    <w:rsid w:val="00875FD5"/>
    <w:rsid w:val="00880163"/>
    <w:rsid w:val="008805A7"/>
    <w:rsid w:val="00883B6B"/>
    <w:rsid w:val="00887DBB"/>
    <w:rsid w:val="0089121D"/>
    <w:rsid w:val="00891640"/>
    <w:rsid w:val="008A503B"/>
    <w:rsid w:val="008A6950"/>
    <w:rsid w:val="008B579C"/>
    <w:rsid w:val="008C63D3"/>
    <w:rsid w:val="008D61DF"/>
    <w:rsid w:val="008D69BA"/>
    <w:rsid w:val="008E2FEE"/>
    <w:rsid w:val="008E6B23"/>
    <w:rsid w:val="008F1385"/>
    <w:rsid w:val="008F5EE8"/>
    <w:rsid w:val="008F78EA"/>
    <w:rsid w:val="0090071E"/>
    <w:rsid w:val="00900AD0"/>
    <w:rsid w:val="009038ED"/>
    <w:rsid w:val="0090527D"/>
    <w:rsid w:val="0090652B"/>
    <w:rsid w:val="00915F3E"/>
    <w:rsid w:val="00921ACE"/>
    <w:rsid w:val="00924E3D"/>
    <w:rsid w:val="00927612"/>
    <w:rsid w:val="00947505"/>
    <w:rsid w:val="0095462C"/>
    <w:rsid w:val="00954E2E"/>
    <w:rsid w:val="00965572"/>
    <w:rsid w:val="00971C38"/>
    <w:rsid w:val="0097213E"/>
    <w:rsid w:val="0097321C"/>
    <w:rsid w:val="00975BA9"/>
    <w:rsid w:val="00981224"/>
    <w:rsid w:val="00983F79"/>
    <w:rsid w:val="00992442"/>
    <w:rsid w:val="00995CC1"/>
    <w:rsid w:val="009969BD"/>
    <w:rsid w:val="009A4919"/>
    <w:rsid w:val="009B166A"/>
    <w:rsid w:val="009B5D9A"/>
    <w:rsid w:val="009B72C4"/>
    <w:rsid w:val="009D34C0"/>
    <w:rsid w:val="009E6DA1"/>
    <w:rsid w:val="009F060C"/>
    <w:rsid w:val="00A039C6"/>
    <w:rsid w:val="00A13D6C"/>
    <w:rsid w:val="00A1696C"/>
    <w:rsid w:val="00A17A58"/>
    <w:rsid w:val="00A22978"/>
    <w:rsid w:val="00A3104B"/>
    <w:rsid w:val="00A33BDB"/>
    <w:rsid w:val="00A4253D"/>
    <w:rsid w:val="00A42A6B"/>
    <w:rsid w:val="00A458E0"/>
    <w:rsid w:val="00A46C32"/>
    <w:rsid w:val="00A54078"/>
    <w:rsid w:val="00A56831"/>
    <w:rsid w:val="00A575B0"/>
    <w:rsid w:val="00A65D0F"/>
    <w:rsid w:val="00A72E13"/>
    <w:rsid w:val="00A778EA"/>
    <w:rsid w:val="00A831DC"/>
    <w:rsid w:val="00A914E9"/>
    <w:rsid w:val="00A92F4D"/>
    <w:rsid w:val="00A9585B"/>
    <w:rsid w:val="00AA3CDD"/>
    <w:rsid w:val="00AA6B6B"/>
    <w:rsid w:val="00AA7926"/>
    <w:rsid w:val="00AC2C68"/>
    <w:rsid w:val="00AC3DAD"/>
    <w:rsid w:val="00AD051D"/>
    <w:rsid w:val="00AD6F90"/>
    <w:rsid w:val="00AE110A"/>
    <w:rsid w:val="00AE15EE"/>
    <w:rsid w:val="00AE2AEE"/>
    <w:rsid w:val="00AE4993"/>
    <w:rsid w:val="00AE7530"/>
    <w:rsid w:val="00AF1AD9"/>
    <w:rsid w:val="00AF24DB"/>
    <w:rsid w:val="00AF2574"/>
    <w:rsid w:val="00B02804"/>
    <w:rsid w:val="00B03698"/>
    <w:rsid w:val="00B05CB0"/>
    <w:rsid w:val="00B0776C"/>
    <w:rsid w:val="00B10ECF"/>
    <w:rsid w:val="00B176FE"/>
    <w:rsid w:val="00B21E1C"/>
    <w:rsid w:val="00B40C2F"/>
    <w:rsid w:val="00B441CC"/>
    <w:rsid w:val="00B4687B"/>
    <w:rsid w:val="00B477EF"/>
    <w:rsid w:val="00B63CE9"/>
    <w:rsid w:val="00B66678"/>
    <w:rsid w:val="00B71432"/>
    <w:rsid w:val="00B72C29"/>
    <w:rsid w:val="00B82858"/>
    <w:rsid w:val="00B828B6"/>
    <w:rsid w:val="00B86E93"/>
    <w:rsid w:val="00B93837"/>
    <w:rsid w:val="00BB35BC"/>
    <w:rsid w:val="00BC03EF"/>
    <w:rsid w:val="00BC435A"/>
    <w:rsid w:val="00BC6A0B"/>
    <w:rsid w:val="00BD1EA6"/>
    <w:rsid w:val="00BD48E2"/>
    <w:rsid w:val="00BE1CE7"/>
    <w:rsid w:val="00BE741D"/>
    <w:rsid w:val="00BE7849"/>
    <w:rsid w:val="00BF2C50"/>
    <w:rsid w:val="00C0131F"/>
    <w:rsid w:val="00C14E1D"/>
    <w:rsid w:val="00C16133"/>
    <w:rsid w:val="00C21149"/>
    <w:rsid w:val="00C25A42"/>
    <w:rsid w:val="00C26738"/>
    <w:rsid w:val="00C307CE"/>
    <w:rsid w:val="00C3190D"/>
    <w:rsid w:val="00C3443F"/>
    <w:rsid w:val="00C34B3D"/>
    <w:rsid w:val="00C40D56"/>
    <w:rsid w:val="00C418B2"/>
    <w:rsid w:val="00C445E6"/>
    <w:rsid w:val="00C521D4"/>
    <w:rsid w:val="00C532C8"/>
    <w:rsid w:val="00C611A3"/>
    <w:rsid w:val="00C61AF0"/>
    <w:rsid w:val="00C66ACE"/>
    <w:rsid w:val="00C70840"/>
    <w:rsid w:val="00C70AC7"/>
    <w:rsid w:val="00C71776"/>
    <w:rsid w:val="00C7319F"/>
    <w:rsid w:val="00C739C2"/>
    <w:rsid w:val="00C757AB"/>
    <w:rsid w:val="00C7779C"/>
    <w:rsid w:val="00C957A6"/>
    <w:rsid w:val="00C973AE"/>
    <w:rsid w:val="00C9746F"/>
    <w:rsid w:val="00CA1AE1"/>
    <w:rsid w:val="00CA5B86"/>
    <w:rsid w:val="00CC4553"/>
    <w:rsid w:val="00CE2AB5"/>
    <w:rsid w:val="00CF1DB8"/>
    <w:rsid w:val="00D01436"/>
    <w:rsid w:val="00D02FA8"/>
    <w:rsid w:val="00D05B8F"/>
    <w:rsid w:val="00D11CB6"/>
    <w:rsid w:val="00D1660D"/>
    <w:rsid w:val="00D166D9"/>
    <w:rsid w:val="00D2535D"/>
    <w:rsid w:val="00D3262A"/>
    <w:rsid w:val="00D35203"/>
    <w:rsid w:val="00D37FEA"/>
    <w:rsid w:val="00D40138"/>
    <w:rsid w:val="00D4130A"/>
    <w:rsid w:val="00D43749"/>
    <w:rsid w:val="00D44AE7"/>
    <w:rsid w:val="00D51401"/>
    <w:rsid w:val="00D51658"/>
    <w:rsid w:val="00D63B78"/>
    <w:rsid w:val="00D706BD"/>
    <w:rsid w:val="00D7215A"/>
    <w:rsid w:val="00D75F20"/>
    <w:rsid w:val="00D82D27"/>
    <w:rsid w:val="00D847FB"/>
    <w:rsid w:val="00D868A7"/>
    <w:rsid w:val="00D915B6"/>
    <w:rsid w:val="00DA4CE4"/>
    <w:rsid w:val="00DA6E95"/>
    <w:rsid w:val="00DB3336"/>
    <w:rsid w:val="00DC48A5"/>
    <w:rsid w:val="00DD21E6"/>
    <w:rsid w:val="00DD280D"/>
    <w:rsid w:val="00DD791D"/>
    <w:rsid w:val="00DE4AEF"/>
    <w:rsid w:val="00DE5B0A"/>
    <w:rsid w:val="00DF0993"/>
    <w:rsid w:val="00DF0ADA"/>
    <w:rsid w:val="00DF1F6C"/>
    <w:rsid w:val="00DF69D1"/>
    <w:rsid w:val="00E0266B"/>
    <w:rsid w:val="00E043A8"/>
    <w:rsid w:val="00E055D4"/>
    <w:rsid w:val="00E0653D"/>
    <w:rsid w:val="00E132B5"/>
    <w:rsid w:val="00E135D5"/>
    <w:rsid w:val="00E21DD4"/>
    <w:rsid w:val="00E24229"/>
    <w:rsid w:val="00E25C7B"/>
    <w:rsid w:val="00E25E8A"/>
    <w:rsid w:val="00E26E89"/>
    <w:rsid w:val="00E274DD"/>
    <w:rsid w:val="00E3113C"/>
    <w:rsid w:val="00E324F3"/>
    <w:rsid w:val="00E42D6F"/>
    <w:rsid w:val="00E44882"/>
    <w:rsid w:val="00E47C1E"/>
    <w:rsid w:val="00E51A9F"/>
    <w:rsid w:val="00E55FAB"/>
    <w:rsid w:val="00E639AA"/>
    <w:rsid w:val="00E74035"/>
    <w:rsid w:val="00E759ED"/>
    <w:rsid w:val="00E76C17"/>
    <w:rsid w:val="00E77913"/>
    <w:rsid w:val="00E940EF"/>
    <w:rsid w:val="00E94351"/>
    <w:rsid w:val="00EA10A9"/>
    <w:rsid w:val="00EB27D0"/>
    <w:rsid w:val="00EB4830"/>
    <w:rsid w:val="00EB4C29"/>
    <w:rsid w:val="00EB5DF3"/>
    <w:rsid w:val="00EB7483"/>
    <w:rsid w:val="00ED3F78"/>
    <w:rsid w:val="00EE7507"/>
    <w:rsid w:val="00EF2D87"/>
    <w:rsid w:val="00EF6133"/>
    <w:rsid w:val="00F01361"/>
    <w:rsid w:val="00F031F0"/>
    <w:rsid w:val="00F04282"/>
    <w:rsid w:val="00F06D35"/>
    <w:rsid w:val="00F11CDA"/>
    <w:rsid w:val="00F14A46"/>
    <w:rsid w:val="00F16EE8"/>
    <w:rsid w:val="00F26900"/>
    <w:rsid w:val="00F27645"/>
    <w:rsid w:val="00F30584"/>
    <w:rsid w:val="00F33E46"/>
    <w:rsid w:val="00F55DB5"/>
    <w:rsid w:val="00F56F7A"/>
    <w:rsid w:val="00F57F10"/>
    <w:rsid w:val="00F608D1"/>
    <w:rsid w:val="00F62D81"/>
    <w:rsid w:val="00F63C46"/>
    <w:rsid w:val="00F65B38"/>
    <w:rsid w:val="00F703B0"/>
    <w:rsid w:val="00F735BC"/>
    <w:rsid w:val="00F83563"/>
    <w:rsid w:val="00F84799"/>
    <w:rsid w:val="00F912AC"/>
    <w:rsid w:val="00F92432"/>
    <w:rsid w:val="00F96341"/>
    <w:rsid w:val="00FB225C"/>
    <w:rsid w:val="00FB353C"/>
    <w:rsid w:val="00FB5A5C"/>
    <w:rsid w:val="00FB6979"/>
    <w:rsid w:val="00FC53E3"/>
    <w:rsid w:val="00FD58E1"/>
    <w:rsid w:val="00FF1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4687B"/>
    <w:pPr>
      <w:spacing w:after="240"/>
    </w:pPr>
    <w:rPr>
      <w:rFonts w:ascii="Arial" w:hAnsi="Arial"/>
      <w:sz w:val="24"/>
      <w:szCs w:val="24"/>
    </w:rPr>
  </w:style>
  <w:style w:type="paragraph" w:styleId="Heading1">
    <w:name w:val="heading 1"/>
    <w:basedOn w:val="Normal"/>
    <w:next w:val="Normal"/>
    <w:link w:val="Heading1Char"/>
    <w:uiPriority w:val="9"/>
    <w:qFormat/>
    <w:rsid w:val="00F01361"/>
    <w:pPr>
      <w:keepNext/>
      <w:keepLines/>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737724"/>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737724"/>
    <w:pPr>
      <w:keepNext/>
      <w:keepLines/>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483782"/>
    <w:pPr>
      <w:keepNext/>
      <w:keepLines/>
      <w:spacing w:after="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44771F"/>
    <w:pPr>
      <w:tabs>
        <w:tab w:val="center" w:pos="4513"/>
        <w:tab w:val="right" w:pos="9026"/>
      </w:tabs>
      <w:spacing w:after="0"/>
    </w:pPr>
    <w:rPr>
      <w:sz w:val="20"/>
    </w:rPr>
  </w:style>
  <w:style w:type="character" w:customStyle="1" w:styleId="FooterChar">
    <w:name w:val="Footer Char"/>
    <w:link w:val="Footer"/>
    <w:uiPriority w:val="99"/>
    <w:rsid w:val="0044771F"/>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01361"/>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73772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37724"/>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483782"/>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ListBullet2">
    <w:name w:val="List Bullet 2"/>
    <w:basedOn w:val="Normal"/>
    <w:uiPriority w:val="99"/>
    <w:rsid w:val="00E47C1E"/>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4687B"/>
    <w:pPr>
      <w:spacing w:after="240"/>
    </w:pPr>
    <w:rPr>
      <w:rFonts w:ascii="Arial" w:hAnsi="Arial"/>
      <w:sz w:val="24"/>
      <w:szCs w:val="24"/>
    </w:rPr>
  </w:style>
  <w:style w:type="paragraph" w:styleId="Heading1">
    <w:name w:val="heading 1"/>
    <w:basedOn w:val="Normal"/>
    <w:next w:val="Normal"/>
    <w:link w:val="Heading1Char"/>
    <w:uiPriority w:val="9"/>
    <w:qFormat/>
    <w:rsid w:val="00F01361"/>
    <w:pPr>
      <w:keepNext/>
      <w:keepLines/>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737724"/>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737724"/>
    <w:pPr>
      <w:keepNext/>
      <w:keepLines/>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483782"/>
    <w:pPr>
      <w:keepNext/>
      <w:keepLines/>
      <w:spacing w:after="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44771F"/>
    <w:pPr>
      <w:tabs>
        <w:tab w:val="center" w:pos="4513"/>
        <w:tab w:val="right" w:pos="9026"/>
      </w:tabs>
      <w:spacing w:after="0"/>
    </w:pPr>
    <w:rPr>
      <w:sz w:val="20"/>
    </w:rPr>
  </w:style>
  <w:style w:type="character" w:customStyle="1" w:styleId="FooterChar">
    <w:name w:val="Footer Char"/>
    <w:link w:val="Footer"/>
    <w:uiPriority w:val="99"/>
    <w:rsid w:val="0044771F"/>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01361"/>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73772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37724"/>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483782"/>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ListBullet2">
    <w:name w:val="List Bullet 2"/>
    <w:basedOn w:val="Normal"/>
    <w:uiPriority w:val="99"/>
    <w:rsid w:val="00E47C1E"/>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hyperlink" Target="http://webarchive.nationalarchives.gov.uk/20130107105354/http:/www.dh.gov.uk/en/Publicationsandstatistics/Statistics/Performancedataandstatistics/WeeklySituationReports/DH_128506"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dhsspsni.gov.uk/index/stats_research/hospital-stats/emergency_care-3/emergency-care-stats.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hscic.gov.uk/article/2021/Website-Search?productid=1516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cottishambulance.com/TheService/BoardPapers.aspx"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ales.gov.uk/statistics-and-research/ambulance-services/?lang=en"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aace.org.uk/national-performance/national-clinical-dashboard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ebarchive.nationalarchives.gov.uk/20130107105354/http:/www.dh.gov.uk/en/Publicationsandstatistics/Statistics/Performancedataandstatistics/WeeklySituationReports/DH_128506" TargetMode="External"/><Relationship Id="rId27" Type="http://schemas.openxmlformats.org/officeDocument/2006/relationships/hyperlink" Target="mailto:i.kay@nhs.ne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hs.uk/choiceintheNHS/Rightsandpledges/NHSConstitution/Pages/Overview.aspx" TargetMode="External"/><Relationship Id="rId2" Type="http://schemas.openxmlformats.org/officeDocument/2006/relationships/hyperlink" Target="http://www.england.nhs.uk/statistics/statistical-work-areas/ambulance-quality-indicators" TargetMode="External"/><Relationship Id="rId1" Type="http://schemas.openxmlformats.org/officeDocument/2006/relationships/hyperlink" Target="http://www.gov.uk/government/news/changes-to-ambulance-response-time-categories" TargetMode="External"/><Relationship Id="rId6" Type="http://schemas.openxmlformats.org/officeDocument/2006/relationships/hyperlink" Target="http://www.england.nhs.uk/statistics/statistical-work-areas/ambulance-quality-indicators"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54B0-CC8B-4C15-9FB7-6C2821D3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1982</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14064</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7</cp:revision>
  <cp:lastPrinted>2014-11-06T07:48:00Z</cp:lastPrinted>
  <dcterms:created xsi:type="dcterms:W3CDTF">2014-11-05T18:08:00Z</dcterms:created>
  <dcterms:modified xsi:type="dcterms:W3CDTF">2014-11-06T08:59:00Z</dcterms:modified>
</cp:coreProperties>
</file>