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492" w:rsidRDefault="00C21149" w:rsidP="00C96A98">
      <w:pPr>
        <w:pStyle w:val="Heading2"/>
      </w:pPr>
      <w:bookmarkStart w:id="0" w:name="_GoBack"/>
      <w:bookmarkEnd w:id="0"/>
      <w:r>
        <w:t xml:space="preserve">Statistical Note: </w:t>
      </w:r>
      <w:r w:rsidR="00340492" w:rsidRPr="007A138E">
        <w:t>Ambulance Quality Indicators</w:t>
      </w:r>
      <w:r w:rsidR="002C522F">
        <w:t xml:space="preserve"> (AQI</w:t>
      </w:r>
      <w:r w:rsidR="00DC4BF3">
        <w:t>)</w:t>
      </w:r>
    </w:p>
    <w:p w:rsidR="0058750D" w:rsidRDefault="0058750D" w:rsidP="00C03D2B">
      <w:pPr>
        <w:pStyle w:val="ListBullet"/>
      </w:pPr>
      <w:r>
        <w:t>The latest data for</w:t>
      </w:r>
      <w:r w:rsidR="00225C13">
        <w:t xml:space="preserve"> </w:t>
      </w:r>
      <w:r w:rsidR="001A3F6B">
        <w:t>Dece</w:t>
      </w:r>
      <w:r w:rsidR="00225C13">
        <w:t xml:space="preserve">mber </w:t>
      </w:r>
      <w:r w:rsidR="00C03D2B">
        <w:t xml:space="preserve">2014 </w:t>
      </w:r>
      <w:r w:rsidR="00966F66">
        <w:t xml:space="preserve">show that </w:t>
      </w:r>
      <w:r>
        <w:t xml:space="preserve">emergency responses by Ambulance Services </w:t>
      </w:r>
      <w:r w:rsidR="00966F66">
        <w:t>in England did not meet the NHS constitution</w:t>
      </w:r>
      <w:r w:rsidR="00966F66" w:rsidRPr="00966F66">
        <w:t xml:space="preserve"> </w:t>
      </w:r>
      <w:r w:rsidR="00966F66">
        <w:t xml:space="preserve">standards, and the proportions arriving in the required time decreased </w:t>
      </w:r>
      <w:r w:rsidR="00E24A7F">
        <w:t>considerably</w:t>
      </w:r>
      <w:r>
        <w:t>.</w:t>
      </w:r>
    </w:p>
    <w:p w:rsidR="0058750D" w:rsidRDefault="0058750D" w:rsidP="00C03D2B">
      <w:pPr>
        <w:pStyle w:val="ListBullet"/>
      </w:pPr>
      <w:r>
        <w:t xml:space="preserve">The latest </w:t>
      </w:r>
      <w:r w:rsidR="00966F66">
        <w:t xml:space="preserve">clinical outcomes </w:t>
      </w:r>
      <w:r>
        <w:t xml:space="preserve">data </w:t>
      </w:r>
      <w:r w:rsidR="00C03D2B">
        <w:t xml:space="preserve">for </w:t>
      </w:r>
      <w:r w:rsidR="001A3F6B">
        <w:t xml:space="preserve">September </w:t>
      </w:r>
      <w:r w:rsidR="00225C13">
        <w:t>2</w:t>
      </w:r>
      <w:r w:rsidR="00C03D2B">
        <w:t xml:space="preserve">014 </w:t>
      </w:r>
      <w:r w:rsidR="00966F66">
        <w:t xml:space="preserve">for patients transported by Ambulance Services </w:t>
      </w:r>
      <w:r w:rsidR="00EA1F50">
        <w:t>are generally stable</w:t>
      </w:r>
      <w:r w:rsidR="00C03D2B">
        <w:t>.</w:t>
      </w:r>
    </w:p>
    <w:p w:rsidR="002C522F" w:rsidRDefault="002C522F" w:rsidP="00737724">
      <w:pPr>
        <w:pStyle w:val="Heading2"/>
      </w:pPr>
      <w:r>
        <w:t>A.</w:t>
      </w:r>
      <w:r>
        <w:tab/>
      </w:r>
      <w:r w:rsidR="00C3443F" w:rsidRPr="00151AF2">
        <w:t xml:space="preserve">Systems </w:t>
      </w:r>
      <w:r w:rsidR="00465847">
        <w:t>Indicators</w:t>
      </w:r>
    </w:p>
    <w:p w:rsidR="00C3443F" w:rsidRPr="00127FD0" w:rsidRDefault="0044771F" w:rsidP="002C522F">
      <w:pPr>
        <w:pStyle w:val="Heading3"/>
      </w:pPr>
      <w:r>
        <w:t>A1</w:t>
      </w:r>
      <w:r w:rsidR="0066320C">
        <w:tab/>
      </w:r>
      <w:r w:rsidR="00D3262A">
        <w:t xml:space="preserve">Emergency </w:t>
      </w:r>
      <w:r w:rsidR="0089121D" w:rsidRPr="00C21149">
        <w:t>response</w:t>
      </w:r>
      <w:r w:rsidR="00D3262A">
        <w:t xml:space="preserve"> in 8 minutes</w:t>
      </w:r>
    </w:p>
    <w:p w:rsidR="00513897" w:rsidRPr="00513897" w:rsidRDefault="00526112" w:rsidP="00513897">
      <w:r>
        <w:t>In</w:t>
      </w:r>
      <w:r w:rsidR="00AA7926">
        <w:t xml:space="preserve"> </w:t>
      </w:r>
      <w:r w:rsidR="001A3F6B">
        <w:t xml:space="preserve">December </w:t>
      </w:r>
      <w:r>
        <w:t xml:space="preserve">2014, </w:t>
      </w:r>
      <w:r w:rsidR="004C377A" w:rsidRPr="00513897">
        <w:t xml:space="preserve">of Category </w:t>
      </w:r>
      <w:proofErr w:type="gramStart"/>
      <w:r w:rsidR="004C377A" w:rsidRPr="00513897">
        <w:t>A Red</w:t>
      </w:r>
      <w:r w:rsidR="0090527D" w:rsidRPr="00513897">
        <w:rPr>
          <w:rStyle w:val="FootnoteReference"/>
          <w:rFonts w:cs="Arial"/>
        </w:rPr>
        <w:footnoteReference w:id="1"/>
      </w:r>
      <w:proofErr w:type="gramEnd"/>
      <w:r w:rsidR="00513897">
        <w:t xml:space="preserve"> 1</w:t>
      </w:r>
      <w:r w:rsidR="004C377A" w:rsidRPr="00513897">
        <w:t xml:space="preserve"> calls </w:t>
      </w:r>
      <w:r w:rsidR="00513897" w:rsidRPr="00513897">
        <w:t xml:space="preserve">in England </w:t>
      </w:r>
      <w:r w:rsidR="004C377A" w:rsidRPr="00513897">
        <w:t>res</w:t>
      </w:r>
      <w:r>
        <w:t>ulting in an emergency response, t</w:t>
      </w:r>
      <w:r w:rsidRPr="00A575B0">
        <w:t xml:space="preserve">he </w:t>
      </w:r>
      <w:r w:rsidRPr="00513897">
        <w:t xml:space="preserve">proportion </w:t>
      </w:r>
      <w:r w:rsidR="004C377A" w:rsidRPr="00513897">
        <w:t xml:space="preserve">arriving within 8 minutes was </w:t>
      </w:r>
      <w:r w:rsidR="007F366E">
        <w:t>66.0</w:t>
      </w:r>
      <w:r w:rsidR="00940ADF" w:rsidRPr="00940ADF">
        <w:t>%</w:t>
      </w:r>
      <w:r w:rsidR="00E24A7F">
        <w:t>.</w:t>
      </w:r>
    </w:p>
    <w:p w:rsidR="00E924D4" w:rsidRDefault="00526112" w:rsidP="00513897">
      <w:r>
        <w:t xml:space="preserve">In </w:t>
      </w:r>
      <w:r w:rsidR="007F366E">
        <w:t xml:space="preserve">December </w:t>
      </w:r>
      <w:r>
        <w:t xml:space="preserve">2014, </w:t>
      </w:r>
      <w:r w:rsidR="00513897" w:rsidRPr="00513897">
        <w:t xml:space="preserve">of Category </w:t>
      </w:r>
      <w:proofErr w:type="gramStart"/>
      <w:r w:rsidR="00513897" w:rsidRPr="00513897">
        <w:t>A</w:t>
      </w:r>
      <w:proofErr w:type="gramEnd"/>
      <w:r w:rsidR="00513897" w:rsidRPr="00513897">
        <w:t xml:space="preserve"> </w:t>
      </w:r>
      <w:r w:rsidR="00513897">
        <w:t>Red 2</w:t>
      </w:r>
      <w:r w:rsidR="00513897" w:rsidRPr="00513897">
        <w:t xml:space="preserve"> calls in England res</w:t>
      </w:r>
      <w:r>
        <w:t>ulting in an emergency response, t</w:t>
      </w:r>
      <w:r w:rsidRPr="00513897">
        <w:t xml:space="preserve">he proportion </w:t>
      </w:r>
      <w:r w:rsidR="00513897" w:rsidRPr="00513897">
        <w:t>arriving</w:t>
      </w:r>
      <w:r w:rsidR="00513897" w:rsidRPr="0053124D">
        <w:t xml:space="preserve"> within</w:t>
      </w:r>
      <w:r w:rsidR="00513897" w:rsidRPr="00513897">
        <w:t xml:space="preserve"> 8 minutes was </w:t>
      </w:r>
      <w:r w:rsidR="00940ADF">
        <w:t>6</w:t>
      </w:r>
      <w:r w:rsidR="007F366E">
        <w:t>1.1</w:t>
      </w:r>
      <w:r w:rsidR="00940ADF">
        <w:t>%</w:t>
      </w:r>
      <w:r w:rsidR="00E924D4">
        <w:t>.</w:t>
      </w:r>
    </w:p>
    <w:p w:rsidR="00C96A98" w:rsidRDefault="00966F66" w:rsidP="00BE72B7">
      <w:pPr>
        <w:jc w:val="center"/>
      </w:pPr>
      <w:r>
        <w:rPr>
          <w:noProof/>
        </w:rPr>
        <w:drawing>
          <wp:inline distT="0" distB="0" distL="0" distR="0" wp14:anchorId="7F9FD70C">
            <wp:extent cx="5621020" cy="2932430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020" cy="2932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90C28" w:rsidRPr="00A90C28" w:rsidRDefault="00396DD4" w:rsidP="00A90C28">
      <w:pPr>
        <w:rPr>
          <w:szCs w:val="20"/>
        </w:rPr>
      </w:pPr>
      <w:r>
        <w:t>The standard</w:t>
      </w:r>
      <w:r>
        <w:rPr>
          <w:rStyle w:val="FootnoteReference"/>
        </w:rPr>
        <w:footnoteReference w:id="2"/>
      </w:r>
      <w:r>
        <w:t xml:space="preserve"> for </w:t>
      </w:r>
      <w:r w:rsidR="0089121D">
        <w:t>A</w:t>
      </w:r>
      <w:r w:rsidR="00513897" w:rsidRPr="00513897">
        <w:t xml:space="preserve">mbulance </w:t>
      </w:r>
      <w:r w:rsidR="00732ECD">
        <w:t>Services</w:t>
      </w:r>
      <w:r w:rsidR="0089121D">
        <w:t xml:space="preserve"> </w:t>
      </w:r>
      <w:r>
        <w:t xml:space="preserve">is </w:t>
      </w:r>
      <w:r w:rsidR="00513897" w:rsidRPr="00513897">
        <w:t xml:space="preserve">to </w:t>
      </w:r>
      <w:r w:rsidR="0089121D">
        <w:t xml:space="preserve">send an emergency response, with a defibrillator, </w:t>
      </w:r>
      <w:r w:rsidR="0089121D" w:rsidRPr="00513897">
        <w:t xml:space="preserve">within </w:t>
      </w:r>
      <w:r w:rsidR="00440EF3">
        <w:t>8</w:t>
      </w:r>
      <w:r w:rsidR="0089121D" w:rsidRPr="00513897">
        <w:t xml:space="preserve"> minutes</w:t>
      </w:r>
      <w:r w:rsidR="0089121D">
        <w:t>,</w:t>
      </w:r>
      <w:r w:rsidR="0089121D" w:rsidRPr="00513897">
        <w:t xml:space="preserve"> </w:t>
      </w:r>
      <w:r w:rsidR="005C1025">
        <w:t>to 75%</w:t>
      </w:r>
      <w:r w:rsidR="00513897" w:rsidRPr="00513897">
        <w:t xml:space="preserve"> of Category </w:t>
      </w:r>
      <w:proofErr w:type="gramStart"/>
      <w:r w:rsidR="00513897" w:rsidRPr="00513897">
        <w:t>A</w:t>
      </w:r>
      <w:proofErr w:type="gramEnd"/>
      <w:r w:rsidR="00E924D4" w:rsidRPr="00E924D4">
        <w:t xml:space="preserve"> </w:t>
      </w:r>
      <w:r w:rsidR="00E924D4" w:rsidRPr="00513897">
        <w:t>calls</w:t>
      </w:r>
      <w:r w:rsidR="00E924D4">
        <w:rPr>
          <w:rStyle w:val="FootnoteReference"/>
        </w:rPr>
        <w:footnoteReference w:id="3"/>
      </w:r>
      <w:r w:rsidR="006653DB">
        <w:t>.</w:t>
      </w:r>
      <w:r w:rsidR="00D427DF">
        <w:t xml:space="preserve"> </w:t>
      </w:r>
      <w:r w:rsidR="006653DB">
        <w:t xml:space="preserve">Figure 1 shows that </w:t>
      </w:r>
      <w:r w:rsidR="005C1025">
        <w:t>for</w:t>
      </w:r>
      <w:r w:rsidR="00867D59">
        <w:t xml:space="preserve"> </w:t>
      </w:r>
      <w:r w:rsidR="005C1025">
        <w:lastRenderedPageBreak/>
        <w:t xml:space="preserve">England as a whole, </w:t>
      </w:r>
      <w:r w:rsidR="006653DB">
        <w:t xml:space="preserve">this </w:t>
      </w:r>
      <w:r w:rsidR="001B68DB">
        <w:t xml:space="preserve">standard </w:t>
      </w:r>
      <w:r w:rsidR="006653DB">
        <w:t xml:space="preserve">has not been met for Red 1 since April 2014, and has </w:t>
      </w:r>
      <w:r w:rsidR="00513897">
        <w:t xml:space="preserve">not </w:t>
      </w:r>
      <w:r w:rsidR="006653DB">
        <w:t xml:space="preserve">been </w:t>
      </w:r>
      <w:r w:rsidR="00513897">
        <w:t xml:space="preserve">met </w:t>
      </w:r>
      <w:r w:rsidR="006653DB">
        <w:t>f</w:t>
      </w:r>
      <w:r w:rsidR="00513897">
        <w:t>or Red 2</w:t>
      </w:r>
      <w:r w:rsidR="006653DB">
        <w:t xml:space="preserve"> since January 2014</w:t>
      </w:r>
      <w:r w:rsidR="00E24A7F">
        <w:t>.</w:t>
      </w:r>
    </w:p>
    <w:p w:rsidR="00A90C28" w:rsidRDefault="00EA1F50" w:rsidP="00513897">
      <w:r>
        <w:t>For the months covered by this data collection, t</w:t>
      </w:r>
      <w:r w:rsidR="00120401">
        <w:t>he</w:t>
      </w:r>
      <w:r>
        <w:t xml:space="preserve"> 8 minute measures always decrease</w:t>
      </w:r>
      <w:r w:rsidR="00120401">
        <w:t xml:space="preserve"> between November and December</w:t>
      </w:r>
      <w:r>
        <w:t>. However, the decreases</w:t>
      </w:r>
      <w:r w:rsidR="00120401">
        <w:t xml:space="preserve"> between November and December 2014 </w:t>
      </w:r>
      <w:r>
        <w:t xml:space="preserve">were larger </w:t>
      </w:r>
      <w:r w:rsidR="00966F66">
        <w:t xml:space="preserve">than in </w:t>
      </w:r>
      <w:r>
        <w:t xml:space="preserve">any </w:t>
      </w:r>
      <w:r w:rsidR="00966F66">
        <w:t xml:space="preserve">previous </w:t>
      </w:r>
      <w:r>
        <w:t>year.</w:t>
      </w:r>
    </w:p>
    <w:p w:rsidR="00C3404F" w:rsidRDefault="00C3404F" w:rsidP="00513897">
      <w:r>
        <w:t xml:space="preserve">Isle of Wight achieved </w:t>
      </w:r>
      <w:r w:rsidR="00120401">
        <w:t xml:space="preserve">both the </w:t>
      </w:r>
      <w:r>
        <w:t xml:space="preserve">Red 1 and 2 </w:t>
      </w:r>
      <w:r w:rsidRPr="00C3404F">
        <w:t>standards</w:t>
      </w:r>
      <w:r>
        <w:t xml:space="preserve"> </w:t>
      </w:r>
      <w:r w:rsidRPr="00C3404F">
        <w:t xml:space="preserve">in </w:t>
      </w:r>
      <w:r>
        <w:t>Dece</w:t>
      </w:r>
      <w:r w:rsidRPr="00C3404F">
        <w:t xml:space="preserve">mber 2014. </w:t>
      </w:r>
      <w:r w:rsidR="004D3B3C">
        <w:t>The other</w:t>
      </w:r>
      <w:r w:rsidR="00120401">
        <w:t xml:space="preserve"> ten Ambulance Trusts </w:t>
      </w:r>
      <w:r w:rsidR="004D3B3C">
        <w:t>all failed to achieve</w:t>
      </w:r>
      <w:r w:rsidR="00120401">
        <w:t xml:space="preserve"> either standard,</w:t>
      </w:r>
      <w:r w:rsidR="004D3B3C">
        <w:t xml:space="preserve"> and</w:t>
      </w:r>
      <w:r w:rsidR="00120401">
        <w:t xml:space="preserve"> </w:t>
      </w:r>
      <w:r w:rsidR="004D3B3C">
        <w:t xml:space="preserve">all had lower proportions in December 2014 than in November 2014. In December 2014, excepting Isle of Wight, </w:t>
      </w:r>
      <w:r>
        <w:rPr>
          <w:szCs w:val="20"/>
        </w:rPr>
        <w:t>Red 1</w:t>
      </w:r>
      <w:r w:rsidR="00120401">
        <w:rPr>
          <w:szCs w:val="20"/>
        </w:rPr>
        <w:t xml:space="preserve"> proportions rang</w:t>
      </w:r>
      <w:r w:rsidR="004D3B3C">
        <w:rPr>
          <w:szCs w:val="20"/>
        </w:rPr>
        <w:t>ed</w:t>
      </w:r>
      <w:r w:rsidR="00120401">
        <w:rPr>
          <w:szCs w:val="20"/>
        </w:rPr>
        <w:t xml:space="preserve"> from 58.9% for </w:t>
      </w:r>
      <w:r w:rsidRPr="00C3404F">
        <w:rPr>
          <w:szCs w:val="20"/>
        </w:rPr>
        <w:t xml:space="preserve">North West </w:t>
      </w:r>
      <w:r w:rsidR="00120401">
        <w:rPr>
          <w:szCs w:val="20"/>
        </w:rPr>
        <w:t>to 72.8% for West Midlands</w:t>
      </w:r>
      <w:r w:rsidR="004D3B3C">
        <w:rPr>
          <w:szCs w:val="20"/>
        </w:rPr>
        <w:t xml:space="preserve">, and </w:t>
      </w:r>
      <w:r w:rsidR="00120401">
        <w:rPr>
          <w:szCs w:val="20"/>
        </w:rPr>
        <w:t xml:space="preserve">Red 2 proportions </w:t>
      </w:r>
      <w:r w:rsidR="004D3B3C">
        <w:rPr>
          <w:szCs w:val="20"/>
        </w:rPr>
        <w:t xml:space="preserve">ranged </w:t>
      </w:r>
      <w:r w:rsidR="00120401">
        <w:rPr>
          <w:szCs w:val="20"/>
        </w:rPr>
        <w:t>from 47.7% for</w:t>
      </w:r>
      <w:r w:rsidRPr="00C3404F">
        <w:rPr>
          <w:szCs w:val="20"/>
        </w:rPr>
        <w:t xml:space="preserve"> London </w:t>
      </w:r>
      <w:r w:rsidR="00120401">
        <w:rPr>
          <w:szCs w:val="20"/>
        </w:rPr>
        <w:t xml:space="preserve">to </w:t>
      </w:r>
      <w:r w:rsidR="002B6786">
        <w:rPr>
          <w:szCs w:val="20"/>
        </w:rPr>
        <w:t>71.4% for West</w:t>
      </w:r>
      <w:r w:rsidR="002B6786">
        <w:t xml:space="preserve"> Midlands.</w:t>
      </w:r>
      <w:r>
        <w:t xml:space="preserve"> </w:t>
      </w:r>
    </w:p>
    <w:p w:rsidR="00D3262A" w:rsidRPr="00127FD0" w:rsidRDefault="002C522F" w:rsidP="006303F7">
      <w:pPr>
        <w:pStyle w:val="Heading3"/>
      </w:pPr>
      <w:r>
        <w:t>A2</w:t>
      </w:r>
      <w:r w:rsidR="0066320C">
        <w:tab/>
      </w:r>
      <w:r w:rsidR="00D3262A" w:rsidRPr="00151AF2">
        <w:t xml:space="preserve">Systems </w:t>
      </w:r>
      <w:r w:rsidR="00D3262A">
        <w:t>Indicators: Ambulance response in 19 minutes</w:t>
      </w:r>
    </w:p>
    <w:p w:rsidR="00AE71D4" w:rsidRDefault="0089121D" w:rsidP="00AE71D4">
      <w:r>
        <w:t xml:space="preserve">The other standard for </w:t>
      </w:r>
      <w:r w:rsidR="00396DD4">
        <w:t>A</w:t>
      </w:r>
      <w:r>
        <w:t xml:space="preserve">mbulance </w:t>
      </w:r>
      <w:r w:rsidR="00732ECD">
        <w:t>Services</w:t>
      </w:r>
      <w:r w:rsidR="00396DD4">
        <w:t xml:space="preserve"> in the Handbook to the NHS Constitution </w:t>
      </w:r>
      <w:r>
        <w:t xml:space="preserve">is for </w:t>
      </w:r>
      <w:r w:rsidR="00732ECD">
        <w:t>Trus</w:t>
      </w:r>
      <w:r>
        <w:t>ts to send</w:t>
      </w:r>
      <w:r w:rsidR="00966F66">
        <w:t>,</w:t>
      </w:r>
      <w:r>
        <w:t xml:space="preserve"> </w:t>
      </w:r>
      <w:r w:rsidR="00966F66">
        <w:t xml:space="preserve">within 19 minutes, </w:t>
      </w:r>
      <w:r>
        <w:t>a fully-equipped ambulance vehicle</w:t>
      </w:r>
      <w:r w:rsidR="004D3B3C">
        <w:t>,</w:t>
      </w:r>
      <w:r>
        <w:t xml:space="preserve"> </w:t>
      </w:r>
      <w:r w:rsidR="00AE71D4">
        <w:t>able to transport the patient in a clinically safe manner</w:t>
      </w:r>
      <w:r w:rsidR="004D3B3C">
        <w:t>,</w:t>
      </w:r>
      <w:r w:rsidR="00AE71D4">
        <w:t xml:space="preserve"> </w:t>
      </w:r>
      <w:r>
        <w:t>to 9</w:t>
      </w:r>
      <w:r w:rsidR="003E4789">
        <w:t>5%</w:t>
      </w:r>
      <w:r w:rsidR="00A65D0F">
        <w:t xml:space="preserve"> of Category A calls.</w:t>
      </w:r>
    </w:p>
    <w:p w:rsidR="002B6786" w:rsidRDefault="001F48A8" w:rsidP="00B143DF">
      <w:r>
        <w:t xml:space="preserve">In </w:t>
      </w:r>
      <w:r w:rsidR="00867D59">
        <w:t xml:space="preserve">December </w:t>
      </w:r>
      <w:r w:rsidRPr="00035B25">
        <w:t>2014</w:t>
      </w:r>
      <w:r>
        <w:t xml:space="preserve">, </w:t>
      </w:r>
      <w:r w:rsidR="00C75DDB" w:rsidRPr="00C75DDB">
        <w:t>90.1%</w:t>
      </w:r>
      <w:r w:rsidR="00035B25" w:rsidRPr="00035B25">
        <w:t xml:space="preserve"> </w:t>
      </w:r>
      <w:r w:rsidR="003E4789">
        <w:t xml:space="preserve">of such </w:t>
      </w:r>
      <w:r>
        <w:t>responses were within 19 minutes</w:t>
      </w:r>
      <w:r w:rsidR="002B6786">
        <w:t xml:space="preserve">. Figure 2 shows that this was the lowest proportion since the series began in </w:t>
      </w:r>
      <w:proofErr w:type="gramStart"/>
      <w:r w:rsidR="002B6786">
        <w:t>2011,</w:t>
      </w:r>
      <w:proofErr w:type="gramEnd"/>
      <w:r w:rsidR="002B6786">
        <w:t xml:space="preserve"> and less than the standard for the seventh month in a row</w:t>
      </w:r>
      <w:r w:rsidR="00B4687B">
        <w:t>.</w:t>
      </w:r>
    </w:p>
    <w:p w:rsidR="00B143DF" w:rsidRDefault="00AE71D4" w:rsidP="00B143DF">
      <w:r>
        <w:t>Isle of Wight had the largest proportion, 96.3%</w:t>
      </w:r>
      <w:r w:rsidR="004D3B3C">
        <w:t>, and was also the only Ambulance Service to increase its proportion from November 2014</w:t>
      </w:r>
      <w:r>
        <w:t>. West Midlands, with 95.7%, was the only other Trust to achieve the standard</w:t>
      </w:r>
      <w:r w:rsidR="004D3B3C">
        <w:t xml:space="preserve"> in December 2014</w:t>
      </w:r>
      <w:r>
        <w:t xml:space="preserve">. </w:t>
      </w:r>
      <w:r w:rsidR="00B143DF">
        <w:t xml:space="preserve">London </w:t>
      </w:r>
      <w:r>
        <w:t xml:space="preserve">had the lowest proportion, </w:t>
      </w:r>
      <w:r w:rsidR="00B143DF">
        <w:t>84.8</w:t>
      </w:r>
      <w:r>
        <w:t>%.</w:t>
      </w:r>
    </w:p>
    <w:p w:rsidR="00A65D0F" w:rsidRDefault="00966F66" w:rsidP="00BE72B7">
      <w:pPr>
        <w:pStyle w:val="NoSpacing"/>
        <w:jc w:val="center"/>
      </w:pPr>
      <w:r>
        <w:rPr>
          <w:noProof/>
        </w:rPr>
        <w:drawing>
          <wp:inline distT="0" distB="0" distL="0" distR="0" wp14:anchorId="08739FB6">
            <wp:extent cx="5657850" cy="2773680"/>
            <wp:effectExtent l="0" t="0" r="0" b="762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2773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B5410" w:rsidRDefault="00EB5410" w:rsidP="00EB5410">
      <w:pPr>
        <w:pStyle w:val="NoSpacing"/>
      </w:pPr>
    </w:p>
    <w:p w:rsidR="00B71432" w:rsidRPr="00127FD0" w:rsidRDefault="002C522F" w:rsidP="006303F7">
      <w:pPr>
        <w:pStyle w:val="Heading3"/>
      </w:pPr>
      <w:r>
        <w:lastRenderedPageBreak/>
        <w:t>A3</w:t>
      </w:r>
      <w:r w:rsidR="0066320C">
        <w:tab/>
      </w:r>
      <w:r w:rsidR="00B71432" w:rsidRPr="00151AF2">
        <w:t xml:space="preserve">Systems </w:t>
      </w:r>
      <w:r w:rsidR="00B71432">
        <w:t>Indicators: Ambulance volumes</w:t>
      </w:r>
      <w:r w:rsidR="00917404">
        <w:t xml:space="preserve"> (Figure 3)</w:t>
      </w:r>
    </w:p>
    <w:p w:rsidR="004D3B3C" w:rsidRDefault="00BE7849" w:rsidP="00C957A6">
      <w:r w:rsidRPr="001B68DB">
        <w:t>Th</w:t>
      </w:r>
      <w:r w:rsidR="00F56F7A" w:rsidRPr="001B68DB">
        <w:t xml:space="preserve">e </w:t>
      </w:r>
      <w:r w:rsidR="00E0653D" w:rsidRPr="001B68DB">
        <w:t>number</w:t>
      </w:r>
      <w:r w:rsidR="00C71776">
        <w:rPr>
          <w:rStyle w:val="FootnoteReference"/>
        </w:rPr>
        <w:footnoteReference w:id="4"/>
      </w:r>
      <w:r w:rsidR="00F56F7A" w:rsidRPr="001B68DB">
        <w:t xml:space="preserve"> of</w:t>
      </w:r>
      <w:r w:rsidR="00E21DD4" w:rsidRPr="001B68DB">
        <w:t xml:space="preserve"> emergency</w:t>
      </w:r>
      <w:r w:rsidR="00DF3C09">
        <w:t xml:space="preserve"> telephone</w:t>
      </w:r>
      <w:r w:rsidR="00F56F7A" w:rsidRPr="001B68DB">
        <w:t xml:space="preserve"> calls </w:t>
      </w:r>
      <w:r w:rsidR="00E21DD4" w:rsidRPr="001B68DB">
        <w:t>presented to switchboard</w:t>
      </w:r>
      <w:r w:rsidR="004D3B3C" w:rsidRPr="004D3B3C">
        <w:t xml:space="preserve"> </w:t>
      </w:r>
      <w:r w:rsidR="004D3B3C">
        <w:t xml:space="preserve">in December </w:t>
      </w:r>
      <w:r w:rsidR="004D3B3C" w:rsidRPr="001C2BC2">
        <w:t>2014</w:t>
      </w:r>
      <w:r w:rsidR="004D3B3C">
        <w:t>,</w:t>
      </w:r>
      <w:r w:rsidR="001C2BC2">
        <w:t xml:space="preserve"> </w:t>
      </w:r>
      <w:r w:rsidR="004D3B3C" w:rsidRPr="00151236">
        <w:t>883,741</w:t>
      </w:r>
      <w:r w:rsidR="004D3B3C">
        <w:t>,</w:t>
      </w:r>
      <w:r w:rsidR="004D3B3C" w:rsidRPr="004D3B3C">
        <w:t xml:space="preserve"> </w:t>
      </w:r>
      <w:r w:rsidR="004D3B3C">
        <w:t>or 29 thousand</w:t>
      </w:r>
      <w:r w:rsidR="004D3B3C" w:rsidRPr="00151236">
        <w:t xml:space="preserve"> </w:t>
      </w:r>
      <w:r w:rsidR="004D3B3C" w:rsidRPr="001C2BC2">
        <w:t>per day</w:t>
      </w:r>
      <w:r w:rsidR="004D3B3C">
        <w:t>,</w:t>
      </w:r>
      <w:r w:rsidR="004D3B3C" w:rsidRPr="00151236">
        <w:t xml:space="preserve"> </w:t>
      </w:r>
      <w:r w:rsidR="00F56F7A" w:rsidRPr="001B68DB">
        <w:t>was</w:t>
      </w:r>
      <w:r w:rsidR="00642E05">
        <w:t xml:space="preserve"> </w:t>
      </w:r>
      <w:r w:rsidR="004D3B3C">
        <w:t>the largest since the series began</w:t>
      </w:r>
      <w:r w:rsidR="009D0C4D">
        <w:t xml:space="preserve">. </w:t>
      </w:r>
      <w:r w:rsidR="004D3B3C">
        <w:t>The previous largest figure was 828,194 in December 2012.</w:t>
      </w:r>
    </w:p>
    <w:p w:rsidR="00C957A6" w:rsidRPr="008E5931" w:rsidRDefault="006561AF" w:rsidP="00C957A6">
      <w:pPr>
        <w:rPr>
          <w:rFonts w:cs="Arial"/>
        </w:rPr>
      </w:pPr>
      <w:r>
        <w:t>Figure 3 shows that this number varies considerably from month to month</w:t>
      </w:r>
      <w:r w:rsidR="004D3B3C">
        <w:t xml:space="preserve">, </w:t>
      </w:r>
      <w:r w:rsidR="009638D7">
        <w:t>unlike the</w:t>
      </w:r>
      <w:r w:rsidR="00C957A6">
        <w:t xml:space="preserve"> </w:t>
      </w:r>
      <w:r w:rsidR="00C61A40">
        <w:t xml:space="preserve">number of </w:t>
      </w:r>
      <w:r w:rsidR="00C957A6">
        <w:t>incidents requiring emergency patient journeys to Type 1 or Type 2 A&amp;E</w:t>
      </w:r>
      <w:r w:rsidR="00C957A6">
        <w:rPr>
          <w:rStyle w:val="FootnoteReference"/>
        </w:rPr>
        <w:footnoteReference w:id="5"/>
      </w:r>
      <w:r w:rsidR="00EC65C3">
        <w:t>,</w:t>
      </w:r>
      <w:r w:rsidR="008E5931">
        <w:t xml:space="preserve"> </w:t>
      </w:r>
      <w:r w:rsidR="00EC65C3">
        <w:t>which</w:t>
      </w:r>
      <w:r w:rsidR="004D3B3C">
        <w:t xml:space="preserve"> </w:t>
      </w:r>
      <w:r w:rsidR="00C61A40">
        <w:t xml:space="preserve">was </w:t>
      </w:r>
      <w:r w:rsidR="00474435" w:rsidRPr="00474435">
        <w:t xml:space="preserve">422,964 </w:t>
      </w:r>
      <w:r w:rsidR="00C957A6">
        <w:t xml:space="preserve">in </w:t>
      </w:r>
      <w:r w:rsidR="00474435">
        <w:t>Dece</w:t>
      </w:r>
      <w:r w:rsidR="002A7621">
        <w:t xml:space="preserve">mber </w:t>
      </w:r>
      <w:r w:rsidR="00C957A6">
        <w:t xml:space="preserve">2014, </w:t>
      </w:r>
      <w:r>
        <w:t>or</w:t>
      </w:r>
      <w:r w:rsidR="005F3B29">
        <w:t xml:space="preserve"> </w:t>
      </w:r>
      <w:r w:rsidR="00474435" w:rsidRPr="00474435">
        <w:t>1</w:t>
      </w:r>
      <w:r w:rsidR="004D3B3C">
        <w:t>4 thousand</w:t>
      </w:r>
      <w:r w:rsidR="00474435" w:rsidRPr="00474435">
        <w:t xml:space="preserve"> </w:t>
      </w:r>
      <w:r w:rsidR="00C957A6">
        <w:t>per day</w:t>
      </w:r>
      <w:r w:rsidR="00DF3C09">
        <w:t>. This was</w:t>
      </w:r>
      <w:r w:rsidR="00EC65C3">
        <w:t xml:space="preserve"> </w:t>
      </w:r>
      <w:r w:rsidR="004D3B3C">
        <w:t xml:space="preserve">slightly larger than </w:t>
      </w:r>
      <w:r w:rsidR="00EC65C3">
        <w:t>most months in 2014 which had 13 thousand per day</w:t>
      </w:r>
      <w:r w:rsidR="004D3B3C">
        <w:t>.</w:t>
      </w:r>
      <w:r w:rsidR="008E5931">
        <w:t xml:space="preserve"> </w:t>
      </w:r>
    </w:p>
    <w:p w:rsidR="00DF3C09" w:rsidRDefault="001857AC" w:rsidP="001857AC">
      <w:r>
        <w:t xml:space="preserve">The number of category </w:t>
      </w:r>
      <w:proofErr w:type="gramStart"/>
      <w:r>
        <w:t>A</w:t>
      </w:r>
      <w:proofErr w:type="gramEnd"/>
      <w:r>
        <w:t xml:space="preserve"> calls that resulted in an ambulance arriving at the scene</w:t>
      </w:r>
      <w:r w:rsidR="009638D7">
        <w:t xml:space="preserve"> is</w:t>
      </w:r>
      <w:r>
        <w:t xml:space="preserve"> also </w:t>
      </w:r>
      <w:r w:rsidR="009638D7">
        <w:t>more stable</w:t>
      </w:r>
      <w:r w:rsidR="00DF3C09">
        <w:t xml:space="preserve"> than the number of telephone calls</w:t>
      </w:r>
      <w:r w:rsidR="009638D7">
        <w:t xml:space="preserve">. </w:t>
      </w:r>
      <w:r w:rsidR="00966F66">
        <w:t>However,</w:t>
      </w:r>
      <w:r w:rsidR="009638D7">
        <w:t xml:space="preserve"> </w:t>
      </w:r>
      <w:r w:rsidR="00966F66">
        <w:t xml:space="preserve">it continued to increase, and </w:t>
      </w:r>
      <w:r w:rsidR="009638D7">
        <w:t xml:space="preserve">the December 2014 value was the first to exceed 300,000. </w:t>
      </w:r>
      <w:r w:rsidR="00966F66">
        <w:t xml:space="preserve">The average for December 2014 </w:t>
      </w:r>
      <w:r w:rsidR="009638D7">
        <w:t xml:space="preserve">was 9,779 </w:t>
      </w:r>
      <w:r>
        <w:t>per day</w:t>
      </w:r>
      <w:r w:rsidR="004D05E1">
        <w:t xml:space="preserve">. This </w:t>
      </w:r>
      <w:r w:rsidR="009638D7">
        <w:t xml:space="preserve">was 11% larger than the previous largest </w:t>
      </w:r>
      <w:r w:rsidR="00966F66">
        <w:t xml:space="preserve">average, which </w:t>
      </w:r>
      <w:proofErr w:type="gramStart"/>
      <w:r w:rsidR="00966F66">
        <w:t>was</w:t>
      </w:r>
      <w:proofErr w:type="gramEnd"/>
      <w:r w:rsidR="00966F66">
        <w:t xml:space="preserve"> </w:t>
      </w:r>
      <w:r w:rsidR="009638D7">
        <w:t>8,809 per day in November</w:t>
      </w:r>
      <w:r w:rsidR="00AC597D">
        <w:t xml:space="preserve"> </w:t>
      </w:r>
      <w:r w:rsidR="00426208">
        <w:t>2</w:t>
      </w:r>
      <w:r w:rsidR="009638D7">
        <w:t>014</w:t>
      </w:r>
      <w:r>
        <w:t>.</w:t>
      </w:r>
    </w:p>
    <w:p w:rsidR="001857AC" w:rsidRDefault="00DF3C09" w:rsidP="001857AC">
      <w:r>
        <w:rPr>
          <w:noProof/>
        </w:rPr>
        <w:drawing>
          <wp:inline distT="0" distB="0" distL="0" distR="0" wp14:anchorId="1B8B7DD3" wp14:editId="5166D9EC">
            <wp:extent cx="5562600" cy="356235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3562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C4BF3" w:rsidRDefault="00A26CA7" w:rsidP="001857AC">
      <w:r>
        <w:lastRenderedPageBreak/>
        <w:t xml:space="preserve">Table A4 shows the latest monthly data for </w:t>
      </w:r>
      <w:r w:rsidR="00814AF3">
        <w:t xml:space="preserve">all the </w:t>
      </w:r>
      <w:r>
        <w:t xml:space="preserve">Systems Indicators in the </w:t>
      </w:r>
      <w:r w:rsidR="004D05E1">
        <w:t>AQI</w:t>
      </w:r>
      <w:r>
        <w:t>:</w:t>
      </w:r>
    </w:p>
    <w:p w:rsidR="009B5D9A" w:rsidRDefault="002C522F" w:rsidP="00ED3F78">
      <w:pPr>
        <w:pStyle w:val="Heading3"/>
      </w:pPr>
      <w:r>
        <w:t>A4</w:t>
      </w:r>
      <w:r w:rsidR="0066320C">
        <w:tab/>
      </w:r>
      <w:r w:rsidR="00551D2D">
        <w:t>T</w:t>
      </w:r>
      <w:r w:rsidR="009B5D9A" w:rsidRPr="009B5D9A">
        <w:t>rust averages and extremes</w:t>
      </w:r>
      <w:r w:rsidR="0044771F">
        <w:t xml:space="preserve"> for System</w:t>
      </w:r>
      <w:r w:rsidR="00407A2A">
        <w:t xml:space="preserve"> Indicators</w:t>
      </w:r>
      <w:r w:rsidR="003076B8">
        <w:t xml:space="preserve">, </w:t>
      </w:r>
      <w:r w:rsidR="003A398E">
        <w:t xml:space="preserve">December </w:t>
      </w:r>
      <w:r w:rsidR="00551D2D">
        <w:t>2014</w:t>
      </w:r>
    </w:p>
    <w:tbl>
      <w:tblPr>
        <w:tblW w:w="8472" w:type="dxa"/>
        <w:tblLayout w:type="fixed"/>
        <w:tblLook w:val="04A0" w:firstRow="1" w:lastRow="0" w:firstColumn="1" w:lastColumn="0" w:noHBand="0" w:noVBand="1"/>
      </w:tblPr>
      <w:tblGrid>
        <w:gridCol w:w="4503"/>
        <w:gridCol w:w="1275"/>
        <w:gridCol w:w="1276"/>
        <w:gridCol w:w="1418"/>
      </w:tblGrid>
      <w:tr w:rsidR="009B5D9A" w:rsidTr="00702DCC">
        <w:trPr>
          <w:trHeight w:val="567"/>
        </w:trPr>
        <w:tc>
          <w:tcPr>
            <w:tcW w:w="4503" w:type="dxa"/>
            <w:tcBorders>
              <w:bottom w:val="single" w:sz="4" w:space="0" w:color="auto"/>
            </w:tcBorders>
            <w:shd w:val="clear" w:color="000000" w:fill="E0E0E0"/>
            <w:vAlign w:val="center"/>
            <w:hideMark/>
          </w:tcPr>
          <w:p w:rsidR="009B5D9A" w:rsidRDefault="009B5D9A" w:rsidP="00761FF8">
            <w:pPr>
              <w:pStyle w:val="Heading4"/>
            </w:pPr>
            <w:r>
              <w:t>Indicator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000000" w:fill="E0E0E0"/>
            <w:vAlign w:val="center"/>
            <w:hideMark/>
          </w:tcPr>
          <w:p w:rsidR="009B5D9A" w:rsidRDefault="009B5D9A" w:rsidP="00761FF8">
            <w:pPr>
              <w:pStyle w:val="Heading4"/>
            </w:pPr>
            <w:r>
              <w:t>All England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000000" w:fill="E0E0E0"/>
            <w:vAlign w:val="center"/>
            <w:hideMark/>
          </w:tcPr>
          <w:p w:rsidR="009B5D9A" w:rsidRDefault="009B5D9A" w:rsidP="00761FF8">
            <w:pPr>
              <w:pStyle w:val="Heading4"/>
            </w:pPr>
            <w:r>
              <w:t>Lowest Trust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000000" w:fill="E0E0E0"/>
            <w:vAlign w:val="center"/>
            <w:hideMark/>
          </w:tcPr>
          <w:p w:rsidR="009B5D9A" w:rsidRDefault="009B5D9A" w:rsidP="00761FF8">
            <w:pPr>
              <w:pStyle w:val="Heading4"/>
            </w:pPr>
            <w:r>
              <w:t>Highest Trust</w:t>
            </w:r>
          </w:p>
        </w:tc>
      </w:tr>
      <w:tr w:rsidR="005945B8" w:rsidTr="00702DCC">
        <w:trPr>
          <w:trHeight w:val="567"/>
        </w:trPr>
        <w:tc>
          <w:tcPr>
            <w:tcW w:w="4503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5945B8" w:rsidRDefault="005945B8" w:rsidP="00761FF8">
            <w:pPr>
              <w:pStyle w:val="NoSpacing"/>
            </w:pPr>
            <w:r>
              <w:t xml:space="preserve">Red 1: 8 minute </w:t>
            </w:r>
            <w:r w:rsidR="00407A2A">
              <w:t xml:space="preserve">emergency </w:t>
            </w:r>
            <w:r>
              <w:t>response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407A2A" w:rsidRDefault="00702DCC" w:rsidP="00702DCC">
            <w:pPr>
              <w:pStyle w:val="NoSpacing"/>
              <w:jc w:val="right"/>
            </w:pPr>
            <w:r>
              <w:t>66</w:t>
            </w:r>
            <w:r w:rsidR="005945B8">
              <w:t>.</w:t>
            </w:r>
            <w:r>
              <w:t>0</w:t>
            </w:r>
            <w:r w:rsidR="005945B8">
              <w:t>%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5945B8" w:rsidRDefault="00702DCC" w:rsidP="00702DCC">
            <w:pPr>
              <w:pStyle w:val="NoSpacing"/>
              <w:jc w:val="right"/>
            </w:pPr>
            <w:r>
              <w:t>58.9</w:t>
            </w:r>
            <w:r w:rsidR="005945B8">
              <w:t>%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5945B8" w:rsidRDefault="00917404" w:rsidP="00702DCC">
            <w:pPr>
              <w:pStyle w:val="NoSpacing"/>
              <w:jc w:val="right"/>
            </w:pPr>
            <w:r>
              <w:t>7</w:t>
            </w:r>
            <w:r w:rsidR="00702DCC">
              <w:t>2.8</w:t>
            </w:r>
            <w:r w:rsidR="005945B8">
              <w:t>%</w:t>
            </w:r>
            <w:r>
              <w:rPr>
                <w:rStyle w:val="FootnoteReference"/>
              </w:rPr>
              <w:footnoteReference w:id="6"/>
            </w:r>
            <w:r w:rsidR="00265EFB">
              <w:t xml:space="preserve"> </w:t>
            </w:r>
          </w:p>
        </w:tc>
      </w:tr>
      <w:tr w:rsidR="005945B8" w:rsidTr="00702DCC">
        <w:trPr>
          <w:trHeight w:val="567"/>
        </w:trPr>
        <w:tc>
          <w:tcPr>
            <w:tcW w:w="4503" w:type="dxa"/>
            <w:shd w:val="clear" w:color="000000" w:fill="FFFFFF"/>
            <w:vAlign w:val="center"/>
            <w:hideMark/>
          </w:tcPr>
          <w:p w:rsidR="005945B8" w:rsidRDefault="005945B8" w:rsidP="00097741">
            <w:pPr>
              <w:pStyle w:val="NoSpacing"/>
            </w:pPr>
            <w:r>
              <w:t xml:space="preserve">Red 2: 8 minute </w:t>
            </w:r>
            <w:r w:rsidR="00407A2A">
              <w:t>emergency response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5945B8" w:rsidRDefault="00D87887" w:rsidP="00702DCC">
            <w:pPr>
              <w:pStyle w:val="NoSpacing"/>
              <w:jc w:val="right"/>
            </w:pPr>
            <w:r>
              <w:t>6</w:t>
            </w:r>
            <w:r w:rsidR="00702DCC">
              <w:t>1.1</w:t>
            </w:r>
            <w:r w:rsidR="005945B8">
              <w:t>%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945B8" w:rsidRDefault="00702DCC" w:rsidP="00702DCC">
            <w:pPr>
              <w:pStyle w:val="NoSpacing"/>
              <w:jc w:val="right"/>
            </w:pPr>
            <w:r>
              <w:t>47</w:t>
            </w:r>
            <w:r w:rsidR="00917404">
              <w:t>.</w:t>
            </w:r>
            <w:r>
              <w:t>7</w:t>
            </w:r>
            <w:r w:rsidR="005945B8">
              <w:t>%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945B8" w:rsidRDefault="00407A2A" w:rsidP="00702DCC">
            <w:pPr>
              <w:pStyle w:val="NoSpacing"/>
              <w:jc w:val="right"/>
            </w:pPr>
            <w:r>
              <w:t>7</w:t>
            </w:r>
            <w:r w:rsidR="00702DCC">
              <w:t>1</w:t>
            </w:r>
            <w:r w:rsidR="003076B8">
              <w:t>.</w:t>
            </w:r>
            <w:r w:rsidR="00702DCC">
              <w:t>4</w:t>
            </w:r>
            <w:r w:rsidR="003076B8">
              <w:t>%</w:t>
            </w:r>
            <w:r w:rsidR="00702DCC">
              <w:rPr>
                <w:vertAlign w:val="superscript"/>
              </w:rPr>
              <w:t>6</w:t>
            </w:r>
          </w:p>
        </w:tc>
      </w:tr>
      <w:tr w:rsidR="005945B8" w:rsidTr="00702DCC">
        <w:trPr>
          <w:trHeight w:val="567"/>
        </w:trPr>
        <w:tc>
          <w:tcPr>
            <w:tcW w:w="4503" w:type="dxa"/>
            <w:shd w:val="clear" w:color="000000" w:fill="FFFFFF"/>
            <w:vAlign w:val="center"/>
            <w:hideMark/>
          </w:tcPr>
          <w:p w:rsidR="005945B8" w:rsidRDefault="005945B8" w:rsidP="00761FF8">
            <w:pPr>
              <w:pStyle w:val="NoSpacing"/>
            </w:pPr>
            <w:r>
              <w:t>Category A: 19 minute</w:t>
            </w:r>
            <w:r w:rsidR="00407A2A">
              <w:t xml:space="preserve"> ambulance</w:t>
            </w:r>
            <w:r>
              <w:t xml:space="preserve"> response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5945B8" w:rsidRDefault="00407A2A" w:rsidP="00702DCC">
            <w:pPr>
              <w:pStyle w:val="NoSpacing"/>
              <w:jc w:val="right"/>
            </w:pPr>
            <w:r>
              <w:t>9</w:t>
            </w:r>
            <w:r w:rsidR="00702DCC">
              <w:t>0.1</w:t>
            </w:r>
            <w:r w:rsidR="005945B8">
              <w:t>%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945B8" w:rsidRDefault="00702DCC" w:rsidP="00D87887">
            <w:pPr>
              <w:pStyle w:val="NoSpacing"/>
              <w:jc w:val="right"/>
            </w:pPr>
            <w:r>
              <w:t>84.8</w:t>
            </w:r>
            <w:r w:rsidR="00407A2A">
              <w:t>%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945B8" w:rsidRDefault="00917404" w:rsidP="00702DCC">
            <w:pPr>
              <w:pStyle w:val="NoSpacing"/>
              <w:jc w:val="right"/>
            </w:pPr>
            <w:r>
              <w:t>9</w:t>
            </w:r>
            <w:r w:rsidR="00702DCC">
              <w:t>5.7</w:t>
            </w:r>
            <w:r w:rsidR="005945B8">
              <w:t>%</w:t>
            </w:r>
            <w:r w:rsidR="00BD4D0C">
              <w:rPr>
                <w:vertAlign w:val="superscript"/>
              </w:rPr>
              <w:t>6</w:t>
            </w:r>
            <w:r w:rsidR="00F703B0">
              <w:t xml:space="preserve"> </w:t>
            </w:r>
          </w:p>
        </w:tc>
      </w:tr>
      <w:tr w:rsidR="005945B8" w:rsidTr="00702DCC">
        <w:trPr>
          <w:trHeight w:val="567"/>
        </w:trPr>
        <w:tc>
          <w:tcPr>
            <w:tcW w:w="4503" w:type="dxa"/>
            <w:shd w:val="clear" w:color="000000" w:fill="FFFFFF"/>
            <w:vAlign w:val="center"/>
            <w:hideMark/>
          </w:tcPr>
          <w:p w:rsidR="005945B8" w:rsidRDefault="005945B8" w:rsidP="00C26810">
            <w:pPr>
              <w:pStyle w:val="NoSpacing"/>
            </w:pPr>
            <w:r>
              <w:t>Calls abandoned before being answered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5945B8" w:rsidRDefault="003076B8" w:rsidP="00917404">
            <w:pPr>
              <w:pStyle w:val="NoSpacing"/>
              <w:jc w:val="right"/>
            </w:pPr>
            <w:r>
              <w:t>1.</w:t>
            </w:r>
            <w:r w:rsidR="00702DCC">
              <w:t>9</w:t>
            </w:r>
            <w:r w:rsidR="00407A2A">
              <w:t>%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945B8" w:rsidRDefault="005945B8" w:rsidP="00DF69D1">
            <w:pPr>
              <w:pStyle w:val="NoSpacing"/>
              <w:jc w:val="right"/>
            </w:pPr>
            <w:r>
              <w:t>0.</w:t>
            </w:r>
            <w:r w:rsidR="00702DCC">
              <w:t>5</w:t>
            </w:r>
            <w:r>
              <w:t>%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945B8" w:rsidRDefault="00702DCC" w:rsidP="001C5911">
            <w:pPr>
              <w:pStyle w:val="NoSpacing"/>
              <w:jc w:val="right"/>
            </w:pPr>
            <w:r>
              <w:t>5</w:t>
            </w:r>
            <w:r w:rsidR="00D87887">
              <w:t>.1</w:t>
            </w:r>
            <w:r w:rsidR="005945B8">
              <w:t>%</w:t>
            </w:r>
          </w:p>
        </w:tc>
      </w:tr>
      <w:tr w:rsidR="005945B8" w:rsidTr="00702DCC">
        <w:trPr>
          <w:trHeight w:val="567"/>
        </w:trPr>
        <w:tc>
          <w:tcPr>
            <w:tcW w:w="4503" w:type="dxa"/>
            <w:shd w:val="clear" w:color="000000" w:fill="FFFFFF"/>
            <w:vAlign w:val="center"/>
            <w:hideMark/>
          </w:tcPr>
          <w:p w:rsidR="005945B8" w:rsidRDefault="005945B8" w:rsidP="00ED3F78">
            <w:pPr>
              <w:pStyle w:val="NoSpacing"/>
            </w:pPr>
            <w:r>
              <w:t>Calls resolved through telephone assessment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5945B8" w:rsidRDefault="00702DCC" w:rsidP="00702DCC">
            <w:pPr>
              <w:pStyle w:val="NoSpacing"/>
              <w:jc w:val="right"/>
            </w:pPr>
            <w:r>
              <w:t>9</w:t>
            </w:r>
            <w:r w:rsidR="00917404">
              <w:t>.</w:t>
            </w:r>
            <w:r>
              <w:t>9</w:t>
            </w:r>
            <w:r w:rsidR="00407A2A">
              <w:t>%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945B8" w:rsidRDefault="002C1974" w:rsidP="00D87887">
            <w:pPr>
              <w:pStyle w:val="NoSpacing"/>
              <w:jc w:val="right"/>
            </w:pPr>
            <w:r>
              <w:t>3.</w:t>
            </w:r>
            <w:r w:rsidR="00702DCC">
              <w:t>9</w:t>
            </w:r>
            <w:r w:rsidR="005945B8">
              <w:t>%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945B8" w:rsidRDefault="00D87887" w:rsidP="00702DCC">
            <w:pPr>
              <w:pStyle w:val="NoSpacing"/>
              <w:jc w:val="right"/>
            </w:pPr>
            <w:r>
              <w:t>1</w:t>
            </w:r>
            <w:r w:rsidR="00702DCC">
              <w:t>7.6</w:t>
            </w:r>
            <w:r w:rsidR="005945B8">
              <w:t>%</w:t>
            </w:r>
          </w:p>
        </w:tc>
      </w:tr>
      <w:tr w:rsidR="005945B8" w:rsidTr="00702DCC">
        <w:trPr>
          <w:trHeight w:val="567"/>
        </w:trPr>
        <w:tc>
          <w:tcPr>
            <w:tcW w:w="4503" w:type="dxa"/>
            <w:shd w:val="clear" w:color="000000" w:fill="FFFFFF"/>
            <w:vAlign w:val="center"/>
            <w:hideMark/>
          </w:tcPr>
          <w:p w:rsidR="005945B8" w:rsidRDefault="005945B8" w:rsidP="00761FF8">
            <w:pPr>
              <w:pStyle w:val="NoSpacing"/>
            </w:pPr>
            <w:r>
              <w:t>Calls resolved without transport to Type 1 or Type 2 A&amp;E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5945B8" w:rsidRDefault="005945B8" w:rsidP="00702DCC">
            <w:pPr>
              <w:pStyle w:val="NoSpacing"/>
              <w:jc w:val="right"/>
            </w:pPr>
            <w:r>
              <w:t>3</w:t>
            </w:r>
            <w:r w:rsidR="00702DCC">
              <w:t>7.9</w:t>
            </w:r>
            <w:r>
              <w:t>%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945B8" w:rsidRDefault="002C1974" w:rsidP="00D87887">
            <w:pPr>
              <w:pStyle w:val="NoSpacing"/>
              <w:jc w:val="right"/>
            </w:pPr>
            <w:r>
              <w:t>27</w:t>
            </w:r>
            <w:r w:rsidR="00B85756">
              <w:t>.</w:t>
            </w:r>
            <w:r w:rsidR="00702DCC">
              <w:t>7</w:t>
            </w:r>
            <w:r w:rsidR="005945B8">
              <w:t>%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945B8" w:rsidRDefault="00B85756" w:rsidP="00702DCC">
            <w:pPr>
              <w:pStyle w:val="NoSpacing"/>
              <w:jc w:val="right"/>
            </w:pPr>
            <w:r>
              <w:t>5</w:t>
            </w:r>
            <w:r w:rsidR="00702DCC">
              <w:t>4</w:t>
            </w:r>
            <w:r>
              <w:t>.</w:t>
            </w:r>
            <w:r w:rsidR="00702DCC">
              <w:t>1</w:t>
            </w:r>
            <w:r w:rsidR="00407A2A">
              <w:t>%</w:t>
            </w:r>
          </w:p>
        </w:tc>
      </w:tr>
      <w:tr w:rsidR="005945B8" w:rsidTr="00702DCC">
        <w:trPr>
          <w:trHeight w:val="567"/>
        </w:trPr>
        <w:tc>
          <w:tcPr>
            <w:tcW w:w="4503" w:type="dxa"/>
            <w:shd w:val="clear" w:color="000000" w:fill="FFFFFF"/>
            <w:vAlign w:val="center"/>
            <w:hideMark/>
          </w:tcPr>
          <w:p w:rsidR="005945B8" w:rsidRDefault="005945B8" w:rsidP="00761FF8">
            <w:pPr>
              <w:pStyle w:val="NoSpacing"/>
            </w:pPr>
            <w:bookmarkStart w:id="1" w:name="RANGE!A22"/>
            <w:r>
              <w:t>Recontact rate following discharge by telephone advice</w:t>
            </w:r>
            <w:bookmarkEnd w:id="1"/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5945B8" w:rsidRDefault="003E3082" w:rsidP="00702DCC">
            <w:pPr>
              <w:pStyle w:val="NoSpacing"/>
              <w:jc w:val="right"/>
            </w:pPr>
            <w:r>
              <w:t>8.</w:t>
            </w:r>
            <w:r w:rsidR="00702DCC">
              <w:t>3</w:t>
            </w:r>
            <w:r w:rsidR="006303F7">
              <w:t>%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945B8" w:rsidRDefault="00702DCC" w:rsidP="00702DCC">
            <w:pPr>
              <w:pStyle w:val="NoSpacing"/>
              <w:jc w:val="right"/>
            </w:pPr>
            <w:r>
              <w:t>3</w:t>
            </w:r>
            <w:r w:rsidR="003E3082">
              <w:t>.</w:t>
            </w:r>
            <w:r>
              <w:t>4</w:t>
            </w:r>
            <w:r w:rsidR="006303F7">
              <w:t>%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945B8" w:rsidRDefault="00B85756" w:rsidP="00702DCC">
            <w:pPr>
              <w:pStyle w:val="NoSpacing"/>
              <w:jc w:val="right"/>
            </w:pPr>
            <w:r>
              <w:t>1</w:t>
            </w:r>
            <w:r w:rsidR="003E3082">
              <w:t>4</w:t>
            </w:r>
            <w:r>
              <w:t>.</w:t>
            </w:r>
            <w:r w:rsidR="00702DCC">
              <w:t>8</w:t>
            </w:r>
            <w:r w:rsidR="006303F7">
              <w:t>%</w:t>
            </w:r>
          </w:p>
        </w:tc>
      </w:tr>
      <w:tr w:rsidR="005945B8" w:rsidTr="00702DCC">
        <w:trPr>
          <w:trHeight w:val="567"/>
        </w:trPr>
        <w:tc>
          <w:tcPr>
            <w:tcW w:w="4503" w:type="dxa"/>
            <w:shd w:val="clear" w:color="000000" w:fill="FFFFFF"/>
            <w:vAlign w:val="center"/>
            <w:hideMark/>
          </w:tcPr>
          <w:p w:rsidR="005945B8" w:rsidRDefault="005945B8" w:rsidP="00761FF8">
            <w:pPr>
              <w:pStyle w:val="NoSpacing"/>
            </w:pPr>
            <w:r>
              <w:t>Recontact rate following face-to-face treatment at scene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5945B8" w:rsidRDefault="00A458E0" w:rsidP="00702DCC">
            <w:pPr>
              <w:pStyle w:val="NoSpacing"/>
              <w:jc w:val="right"/>
            </w:pPr>
            <w:r>
              <w:t>5.</w:t>
            </w:r>
            <w:r w:rsidR="00702DCC">
              <w:t>9</w:t>
            </w:r>
            <w:r w:rsidR="006303F7">
              <w:t>%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5945B8" w:rsidRDefault="00B85756" w:rsidP="00ED3292">
            <w:pPr>
              <w:pStyle w:val="NoSpacing"/>
              <w:jc w:val="right"/>
            </w:pPr>
            <w:r>
              <w:t>3.</w:t>
            </w:r>
            <w:r w:rsidR="00702DCC">
              <w:t>6</w:t>
            </w:r>
            <w:r w:rsidR="005945B8">
              <w:t>%</w:t>
            </w:r>
            <w:r w:rsidR="00702DCC" w:rsidRPr="00702DCC">
              <w:rPr>
                <w:vertAlign w:val="superscript"/>
              </w:rPr>
              <w:t>6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945B8" w:rsidRDefault="00702DCC" w:rsidP="00702DCC">
            <w:pPr>
              <w:pStyle w:val="NoSpacing"/>
              <w:jc w:val="right"/>
            </w:pPr>
            <w:r>
              <w:t>9.0</w:t>
            </w:r>
            <w:r w:rsidR="005945B8">
              <w:t>%</w:t>
            </w:r>
          </w:p>
        </w:tc>
      </w:tr>
      <w:tr w:rsidR="006303F7" w:rsidTr="00702DCC">
        <w:trPr>
          <w:trHeight w:val="567"/>
        </w:trPr>
        <w:tc>
          <w:tcPr>
            <w:tcW w:w="450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303F7" w:rsidRDefault="006303F7" w:rsidP="00761FF8">
            <w:pPr>
              <w:pStyle w:val="NoSpacing"/>
            </w:pPr>
            <w:r>
              <w:t>Number of emergency journeys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303F7" w:rsidRDefault="00667CEB" w:rsidP="00407A2A">
            <w:pPr>
              <w:pStyle w:val="NoSpacing"/>
              <w:jc w:val="right"/>
            </w:pPr>
            <w:r w:rsidRPr="00667CEB">
              <w:t>422,964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303F7" w:rsidRDefault="00ED3292" w:rsidP="00667CEB">
            <w:pPr>
              <w:pStyle w:val="NoSpacing"/>
              <w:jc w:val="right"/>
            </w:pPr>
            <w:r w:rsidRPr="00ED3292">
              <w:t>2</w:t>
            </w:r>
            <w:r w:rsidR="00667CEB">
              <w:t>2,418</w:t>
            </w:r>
            <w:r w:rsidR="00702DCC">
              <w:rPr>
                <w:vertAlign w:val="superscript"/>
              </w:rPr>
              <w:t>6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303F7" w:rsidRDefault="00667CEB" w:rsidP="005F3B29">
            <w:pPr>
              <w:pStyle w:val="NoSpacing"/>
              <w:jc w:val="right"/>
            </w:pPr>
            <w:r w:rsidRPr="00667CEB">
              <w:t>66,686</w:t>
            </w:r>
          </w:p>
        </w:tc>
      </w:tr>
    </w:tbl>
    <w:p w:rsidR="00605F7E" w:rsidRDefault="00605F7E" w:rsidP="00605F7E">
      <w:pPr>
        <w:pStyle w:val="NoSpacing"/>
      </w:pPr>
    </w:p>
    <w:p w:rsidR="00B41F06" w:rsidRDefault="0066320C" w:rsidP="00B41F06">
      <w:pPr>
        <w:pStyle w:val="Heading3"/>
      </w:pPr>
      <w:r>
        <w:t>A5</w:t>
      </w:r>
      <w:r>
        <w:tab/>
      </w:r>
      <w:r w:rsidR="00B41F06">
        <w:t>Pilot of possible changes to emergency response measures</w:t>
      </w:r>
    </w:p>
    <w:p w:rsidR="00814AF3" w:rsidRDefault="00B41F06" w:rsidP="00B41F06">
      <w:r w:rsidRPr="00B41F06">
        <w:t>In January 2015, the Secretary of State for Health announced</w:t>
      </w:r>
      <w:r>
        <w:rPr>
          <w:rStyle w:val="FootnoteReference"/>
        </w:rPr>
        <w:footnoteReference w:id="7"/>
      </w:r>
      <w:r w:rsidRPr="00B41F06">
        <w:t xml:space="preserve"> a pilot of possible changes to the way Ambulance Services respond to 999 calls, based on clinical advice that this will improve the chances of survival for patients</w:t>
      </w:r>
      <w:r>
        <w:t>. The latest data in this Statistical release are not yet affected by this pilot.</w:t>
      </w:r>
    </w:p>
    <w:p w:rsidR="004D05E1" w:rsidRDefault="004D05E1" w:rsidP="00F01361">
      <w:pPr>
        <w:pStyle w:val="Heading2"/>
      </w:pPr>
    </w:p>
    <w:p w:rsidR="002C522F" w:rsidRDefault="002C522F" w:rsidP="00F01361">
      <w:pPr>
        <w:pStyle w:val="Heading2"/>
      </w:pPr>
      <w:r>
        <w:t>B</w:t>
      </w:r>
      <w:r w:rsidR="003E4789">
        <w:t>.</w:t>
      </w:r>
      <w:r>
        <w:tab/>
      </w:r>
      <w:r w:rsidR="000B1B66" w:rsidRPr="00151AF2">
        <w:t>Clinical Outcomes</w:t>
      </w:r>
    </w:p>
    <w:p w:rsidR="005C1BA6" w:rsidRPr="005C1BA6" w:rsidRDefault="005C1BA6" w:rsidP="005C1BA6">
      <w:r>
        <w:t>N</w:t>
      </w:r>
      <w:r w:rsidRPr="005538AF">
        <w:t xml:space="preserve">o thresholds to denote “poor” care </w:t>
      </w:r>
      <w:r>
        <w:t xml:space="preserve">are </w:t>
      </w:r>
      <w:r w:rsidRPr="005538AF">
        <w:t>set for</w:t>
      </w:r>
      <w:r>
        <w:t xml:space="preserve"> Clinical Outcomes</w:t>
      </w:r>
      <w:r w:rsidR="00E76C17">
        <w:t xml:space="preserve">. </w:t>
      </w:r>
      <w:r w:rsidR="00E76C17" w:rsidRPr="00E76C17">
        <w:t xml:space="preserve">Commissioners </w:t>
      </w:r>
      <w:r w:rsidR="00E76C17">
        <w:t xml:space="preserve">are </w:t>
      </w:r>
      <w:r w:rsidR="00E76C17" w:rsidRPr="00E76C17">
        <w:t xml:space="preserve">expected to examine trends in these data, and work in collaboration with </w:t>
      </w:r>
      <w:r w:rsidR="00732ECD">
        <w:t>Ambu</w:t>
      </w:r>
      <w:r w:rsidR="00E76C17" w:rsidRPr="00E76C17">
        <w:t xml:space="preserve">lance </w:t>
      </w:r>
      <w:r w:rsidR="00732ECD">
        <w:t>Trus</w:t>
      </w:r>
      <w:r w:rsidR="00E76C17" w:rsidRPr="00E76C17">
        <w:t>ts to achieve sustained improvements over time</w:t>
      </w:r>
      <w:r w:rsidR="00E76C17" w:rsidRPr="005538AF">
        <w:t xml:space="preserve"> improvement in patient outcomes over time</w:t>
      </w:r>
      <w:r w:rsidR="00E76C17">
        <w:t>; but c</w:t>
      </w:r>
      <w:r w:rsidR="00E76C17" w:rsidRPr="00E76C17">
        <w:t xml:space="preserve">ommissioners </w:t>
      </w:r>
      <w:r w:rsidR="00E76C17">
        <w:t xml:space="preserve">are </w:t>
      </w:r>
      <w:r w:rsidR="00E76C17" w:rsidRPr="00E76C17">
        <w:t xml:space="preserve">not expected to use Clinical Outcomes to performance manage </w:t>
      </w:r>
      <w:r w:rsidR="00732ECD">
        <w:t>Trus</w:t>
      </w:r>
      <w:r w:rsidR="00E76C17" w:rsidRPr="00E76C17">
        <w:t xml:space="preserve">ts, </w:t>
      </w:r>
      <w:r w:rsidR="00E76C17">
        <w:t xml:space="preserve">because </w:t>
      </w:r>
      <w:r w:rsidR="00E76C17" w:rsidRPr="00E76C17">
        <w:t>there will be significant variations in the populations served</w:t>
      </w:r>
      <w:r w:rsidR="00E76C17">
        <w:t>.</w:t>
      </w:r>
    </w:p>
    <w:p w:rsidR="00BC435A" w:rsidRPr="00151AF2" w:rsidRDefault="00C9746F" w:rsidP="002C522F">
      <w:pPr>
        <w:pStyle w:val="Heading3"/>
      </w:pPr>
      <w:r>
        <w:lastRenderedPageBreak/>
        <w:t>B</w:t>
      </w:r>
      <w:r w:rsidR="00BD48E2">
        <w:t>1</w:t>
      </w:r>
      <w:r w:rsidR="0066320C">
        <w:tab/>
      </w:r>
      <w:r w:rsidR="006303F7">
        <w:t>Cardiac arrest</w:t>
      </w:r>
      <w:r w:rsidR="00992442">
        <w:t>:</w:t>
      </w:r>
      <w:r w:rsidR="00992442" w:rsidRPr="00992442">
        <w:t xml:space="preserve"> </w:t>
      </w:r>
      <w:r w:rsidR="00992442" w:rsidRPr="00DA6E95">
        <w:t>return of spontaneous circulation (ROSC</w:t>
      </w:r>
      <w:r w:rsidR="00992442">
        <w:t>)</w:t>
      </w:r>
      <w:r w:rsidR="00B85756">
        <w:t xml:space="preserve"> (Figure 4</w:t>
      </w:r>
      <w:r w:rsidR="00E0653D">
        <w:t>)</w:t>
      </w:r>
    </w:p>
    <w:p w:rsidR="00322346" w:rsidRDefault="00DA6E95" w:rsidP="00322346">
      <w:r w:rsidRPr="00DA6E95">
        <w:t xml:space="preserve">In </w:t>
      </w:r>
      <w:r w:rsidR="00085B01">
        <w:t xml:space="preserve">September </w:t>
      </w:r>
      <w:r w:rsidR="00EB7483">
        <w:t>2</w:t>
      </w:r>
      <w:r w:rsidR="00517BD3">
        <w:t>014,</w:t>
      </w:r>
      <w:r w:rsidRPr="00DA6E95">
        <w:t xml:space="preserve"> </w:t>
      </w:r>
      <w:r w:rsidR="001407C4">
        <w:t xml:space="preserve">there were </w:t>
      </w:r>
      <w:r w:rsidR="00085B01" w:rsidRPr="00085B01">
        <w:t>2,190</w:t>
      </w:r>
      <w:r w:rsidR="00085B01">
        <w:t xml:space="preserve"> </w:t>
      </w:r>
      <w:r w:rsidR="00277342" w:rsidRPr="00DA6E95">
        <w:t xml:space="preserve">patients </w:t>
      </w:r>
      <w:r w:rsidR="00D40138">
        <w:t xml:space="preserve">with </w:t>
      </w:r>
      <w:r w:rsidRPr="00DA6E95">
        <w:t xml:space="preserve">resuscitation commenced or continued by ambulance staff following </w:t>
      </w:r>
      <w:r w:rsidR="00277342" w:rsidRPr="00DA6E95">
        <w:t>an out-of-hospital cardiac arrest</w:t>
      </w:r>
      <w:r w:rsidR="001407C4">
        <w:t xml:space="preserve">. Of these, </w:t>
      </w:r>
      <w:r w:rsidR="00085B01" w:rsidRPr="00085B01">
        <w:t>648</w:t>
      </w:r>
      <w:r w:rsidR="00322346">
        <w:t xml:space="preserve"> (</w:t>
      </w:r>
      <w:r w:rsidR="00085B01" w:rsidRPr="00085B01">
        <w:t>29.6%</w:t>
      </w:r>
      <w:r w:rsidR="00FE12CD">
        <w:t xml:space="preserve">) </w:t>
      </w:r>
      <w:r w:rsidR="00277342" w:rsidRPr="00DA6E95">
        <w:t xml:space="preserve">had </w:t>
      </w:r>
      <w:r w:rsidR="00992442">
        <w:t>ROSC</w:t>
      </w:r>
      <w:r w:rsidR="00277342" w:rsidRPr="00DA6E95">
        <w:t xml:space="preserve"> on arrival </w:t>
      </w:r>
      <w:r>
        <w:t>at hospital</w:t>
      </w:r>
      <w:r w:rsidR="00085B01">
        <w:t xml:space="preserve">. </w:t>
      </w:r>
      <w:r w:rsidR="00C344CA">
        <w:t>T</w:t>
      </w:r>
      <w:r w:rsidR="00296E05">
        <w:t xml:space="preserve">he average </w:t>
      </w:r>
      <w:r w:rsidR="00296E05" w:rsidRPr="00296E05">
        <w:t xml:space="preserve">for </w:t>
      </w:r>
      <w:r w:rsidR="00C344CA">
        <w:t xml:space="preserve">the </w:t>
      </w:r>
      <w:r w:rsidR="00296E05" w:rsidRPr="00296E05">
        <w:t>year ending September 2014</w:t>
      </w:r>
      <w:r w:rsidR="00C344CA" w:rsidRPr="00C344CA">
        <w:t xml:space="preserve"> </w:t>
      </w:r>
      <w:r w:rsidR="00C344CA">
        <w:t>was 26</w:t>
      </w:r>
      <w:r w:rsidR="00C344CA" w:rsidRPr="00296E05">
        <w:t>.5%</w:t>
      </w:r>
      <w:r w:rsidR="00296E05" w:rsidRPr="00296E05">
        <w:t>.</w:t>
      </w:r>
      <w:r w:rsidR="00296E05">
        <w:t xml:space="preserve"> </w:t>
      </w:r>
      <w:r w:rsidR="00322346">
        <w:t xml:space="preserve">In </w:t>
      </w:r>
      <w:r w:rsidR="00C344CA">
        <w:t xml:space="preserve">the month of </w:t>
      </w:r>
      <w:r w:rsidR="00085B01">
        <w:t xml:space="preserve">September </w:t>
      </w:r>
      <w:r w:rsidR="00322346">
        <w:t xml:space="preserve">2014, the </w:t>
      </w:r>
      <w:r w:rsidR="00871ADB">
        <w:t>largest</w:t>
      </w:r>
      <w:r w:rsidR="00F57C7B">
        <w:rPr>
          <w:rStyle w:val="FootnoteReference"/>
        </w:rPr>
        <w:footnoteReference w:id="8"/>
      </w:r>
      <w:r w:rsidR="00992442" w:rsidRPr="00992442">
        <w:t xml:space="preserve"> </w:t>
      </w:r>
      <w:r w:rsidR="00992442">
        <w:t xml:space="preserve">proportion was </w:t>
      </w:r>
      <w:r w:rsidR="00F57C7B" w:rsidRPr="00F57C7B">
        <w:t>47.7%</w:t>
      </w:r>
      <w:r w:rsidR="00F57C7B">
        <w:t xml:space="preserve"> </w:t>
      </w:r>
      <w:r w:rsidR="00992442">
        <w:t xml:space="preserve">for </w:t>
      </w:r>
      <w:r w:rsidR="00AF0B61" w:rsidRPr="00AF0B61">
        <w:t>South Central</w:t>
      </w:r>
      <w:r w:rsidR="00A26CA7">
        <w:t>,</w:t>
      </w:r>
      <w:r w:rsidR="007B22A7">
        <w:t xml:space="preserve"> </w:t>
      </w:r>
      <w:r w:rsidR="00992442">
        <w:t xml:space="preserve">and the </w:t>
      </w:r>
      <w:r w:rsidR="00871ADB">
        <w:t>small</w:t>
      </w:r>
      <w:r w:rsidR="00992442">
        <w:t>est</w:t>
      </w:r>
      <w:r w:rsidR="00F57C7B">
        <w:t xml:space="preserve"> </w:t>
      </w:r>
      <w:r w:rsidR="00322346">
        <w:t xml:space="preserve">was </w:t>
      </w:r>
      <w:r w:rsidR="00F57C7B" w:rsidRPr="00F57C7B">
        <w:t>22.7%</w:t>
      </w:r>
      <w:r w:rsidR="007B22A7" w:rsidRPr="007B22A7">
        <w:t xml:space="preserve"> </w:t>
      </w:r>
      <w:r w:rsidR="001C688D">
        <w:t xml:space="preserve">for </w:t>
      </w:r>
      <w:r w:rsidR="00B85756">
        <w:t>East Midlands</w:t>
      </w:r>
      <w:r w:rsidR="001C688D" w:rsidRPr="001C688D">
        <w:t>.</w:t>
      </w:r>
      <w:r w:rsidR="00F57C7B">
        <w:t xml:space="preserve"> </w:t>
      </w:r>
    </w:p>
    <w:p w:rsidR="00992442" w:rsidRDefault="00992442" w:rsidP="00A76C6D">
      <w:pPr>
        <w:rPr>
          <w:rFonts w:cs="Arial"/>
        </w:rPr>
      </w:pPr>
      <w:r>
        <w:t xml:space="preserve">The Utstein group comprises patients who had resuscitation commenced or </w:t>
      </w:r>
      <w:r w:rsidRPr="00DA6E95">
        <w:t xml:space="preserve">continued by </w:t>
      </w:r>
      <w:r w:rsidR="00732ECD">
        <w:t>the A</w:t>
      </w:r>
      <w:r w:rsidRPr="00DA6E95">
        <w:t xml:space="preserve">mbulance </w:t>
      </w:r>
      <w:r w:rsidR="00732ECD">
        <w:t>S</w:t>
      </w:r>
      <w:r w:rsidRPr="00DA6E95">
        <w:t>ervice</w:t>
      </w:r>
      <w:r w:rsidR="00732ECD">
        <w:t>s</w:t>
      </w:r>
      <w:r>
        <w:t>,</w:t>
      </w:r>
      <w:r w:rsidRPr="00DA6E95">
        <w:t xml:space="preserve"> following an out-of-hospital cardiac arrest of presumed cardiac origin, where the arrest was bystander witnessed</w:t>
      </w:r>
      <w:r>
        <w:t>,</w:t>
      </w:r>
      <w:r w:rsidRPr="00DA6E95">
        <w:t xml:space="preserve"> and the initial rhythm was </w:t>
      </w:r>
      <w:r w:rsidRPr="00444612">
        <w:rPr>
          <w:rFonts w:cs="Arial"/>
        </w:rPr>
        <w:t>Ventricular Fibrillation or Ventricular Tachycardia</w:t>
      </w:r>
      <w:r>
        <w:rPr>
          <w:rFonts w:cs="Arial"/>
        </w:rPr>
        <w:t>. They therefore have a better chance of survival.</w:t>
      </w:r>
      <w:r w:rsidR="00DB41B0">
        <w:rPr>
          <w:rFonts w:cs="Arial"/>
        </w:rPr>
        <w:t xml:space="preserve"> This definition was proposed by an international group of cardiologists and other health professionals meeting at Utstein Abbey in Norway in 1990.</w:t>
      </w:r>
      <w:r w:rsidR="00DB41B0">
        <w:rPr>
          <w:rStyle w:val="FootnoteReference"/>
          <w:rFonts w:cs="Arial"/>
        </w:rPr>
        <w:footnoteReference w:id="9"/>
      </w:r>
    </w:p>
    <w:p w:rsidR="00E0653D" w:rsidRDefault="005C7B11" w:rsidP="00992442">
      <w:pPr>
        <w:rPr>
          <w:noProof/>
        </w:rPr>
      </w:pPr>
      <w:r>
        <w:rPr>
          <w:rFonts w:cs="Arial"/>
        </w:rPr>
        <w:t>Of</w:t>
      </w:r>
      <w:r w:rsidR="00BF249B" w:rsidRPr="00BF249B">
        <w:rPr>
          <w:rFonts w:cs="Arial"/>
        </w:rPr>
        <w:t xml:space="preserve"> </w:t>
      </w:r>
      <w:r>
        <w:rPr>
          <w:rFonts w:cs="Arial"/>
        </w:rPr>
        <w:t xml:space="preserve">the </w:t>
      </w:r>
      <w:r w:rsidR="00BF249B" w:rsidRPr="00BF249B">
        <w:rPr>
          <w:rFonts w:cs="Arial"/>
        </w:rPr>
        <w:t>308 such patients in September 2014, 57</w:t>
      </w:r>
      <w:r w:rsidR="00F40B3B">
        <w:rPr>
          <w:rFonts w:cs="Arial"/>
        </w:rPr>
        <w:t>.1</w:t>
      </w:r>
      <w:r w:rsidR="00BF249B" w:rsidRPr="00BF249B">
        <w:rPr>
          <w:rFonts w:cs="Arial"/>
        </w:rPr>
        <w:t xml:space="preserve">% had </w:t>
      </w:r>
      <w:r>
        <w:rPr>
          <w:rFonts w:cs="Arial"/>
        </w:rPr>
        <w:t>ROSC</w:t>
      </w:r>
      <w:r w:rsidR="00BF249B" w:rsidRPr="00BF249B">
        <w:rPr>
          <w:rFonts w:cs="Arial"/>
        </w:rPr>
        <w:t xml:space="preserve"> on arrival at hospital, </w:t>
      </w:r>
      <w:r>
        <w:rPr>
          <w:rFonts w:cs="Arial"/>
        </w:rPr>
        <w:t xml:space="preserve">significantly larger than the </w:t>
      </w:r>
      <w:r w:rsidR="00BF249B" w:rsidRPr="00BF249B">
        <w:rPr>
          <w:rFonts w:cs="Arial"/>
        </w:rPr>
        <w:t>average of 4</w:t>
      </w:r>
      <w:r w:rsidR="00F40B3B">
        <w:rPr>
          <w:rFonts w:cs="Arial"/>
        </w:rPr>
        <w:t>7.9</w:t>
      </w:r>
      <w:r w:rsidR="00BF249B" w:rsidRPr="00BF249B">
        <w:rPr>
          <w:rFonts w:cs="Arial"/>
        </w:rPr>
        <w:t>% for the year ending September 2014.</w:t>
      </w:r>
      <w:r w:rsidR="00BF249B">
        <w:rPr>
          <w:rFonts w:cs="Arial"/>
        </w:rPr>
        <w:t xml:space="preserve"> </w:t>
      </w:r>
      <w:r w:rsidR="00992442">
        <w:t>The largest</w:t>
      </w:r>
      <w:r w:rsidR="003635DF">
        <w:rPr>
          <w:vertAlign w:val="superscript"/>
        </w:rPr>
        <w:t xml:space="preserve"> </w:t>
      </w:r>
      <w:r w:rsidR="00992442">
        <w:t xml:space="preserve">proportion in </w:t>
      </w:r>
      <w:r w:rsidR="0066320C" w:rsidRPr="00BF249B">
        <w:rPr>
          <w:rFonts w:cs="Arial"/>
        </w:rPr>
        <w:t>the month of September 2014</w:t>
      </w:r>
      <w:r w:rsidR="0066320C">
        <w:rPr>
          <w:rFonts w:cs="Arial"/>
        </w:rPr>
        <w:t xml:space="preserve"> </w:t>
      </w:r>
      <w:r w:rsidR="00992442">
        <w:t xml:space="preserve">was </w:t>
      </w:r>
      <w:r w:rsidR="00F40B3B" w:rsidRPr="00F40B3B">
        <w:t>66.7%</w:t>
      </w:r>
      <w:r w:rsidR="00EA5D90" w:rsidRPr="00EA5D90">
        <w:t xml:space="preserve"> </w:t>
      </w:r>
      <w:r w:rsidR="00992442">
        <w:t xml:space="preserve">for </w:t>
      </w:r>
      <w:r w:rsidR="00AF0B61" w:rsidRPr="00AF0B61">
        <w:t>South Central</w:t>
      </w:r>
      <w:r w:rsidR="00992442">
        <w:t>, and the smallest</w:t>
      </w:r>
      <w:r w:rsidR="005F272A">
        <w:t xml:space="preserve"> </w:t>
      </w:r>
      <w:r w:rsidR="00992442">
        <w:t xml:space="preserve">was </w:t>
      </w:r>
      <w:r w:rsidR="00F40B3B" w:rsidRPr="00F40B3B">
        <w:t xml:space="preserve">43.5% </w:t>
      </w:r>
      <w:r w:rsidR="00992442">
        <w:t xml:space="preserve">for </w:t>
      </w:r>
      <w:r w:rsidR="00F40B3B">
        <w:t xml:space="preserve">East Midlands. </w:t>
      </w:r>
    </w:p>
    <w:p w:rsidR="00992442" w:rsidRDefault="005C7B11" w:rsidP="00BE72B7">
      <w:pPr>
        <w:jc w:val="center"/>
      </w:pPr>
      <w:r>
        <w:rPr>
          <w:noProof/>
        </w:rPr>
        <w:drawing>
          <wp:inline distT="0" distB="0" distL="0" distR="0" wp14:anchorId="3E2645F2">
            <wp:extent cx="5681980" cy="3462655"/>
            <wp:effectExtent l="0" t="0" r="0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1980" cy="3462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92442" w:rsidRDefault="00BD48E2" w:rsidP="00992442">
      <w:pPr>
        <w:pStyle w:val="Heading3"/>
      </w:pPr>
      <w:r>
        <w:lastRenderedPageBreak/>
        <w:t>B2</w:t>
      </w:r>
      <w:r w:rsidR="0066320C">
        <w:tab/>
      </w:r>
      <w:r w:rsidR="00992442">
        <w:t>Cardiac arrest: survival to discharge</w:t>
      </w:r>
      <w:r w:rsidR="00F26900">
        <w:t xml:space="preserve"> </w:t>
      </w:r>
      <w:r w:rsidR="003336E9">
        <w:t xml:space="preserve">(Figure </w:t>
      </w:r>
      <w:r w:rsidR="00B85756">
        <w:t>5</w:t>
      </w:r>
      <w:r w:rsidR="00E0653D">
        <w:t>)</w:t>
      </w:r>
    </w:p>
    <w:p w:rsidR="00A10CE7" w:rsidRDefault="00A26CA7" w:rsidP="00A10CE7">
      <w:r>
        <w:t xml:space="preserve">The proportion of cardiac arrest patients </w:t>
      </w:r>
      <w:r w:rsidR="00A10CE7">
        <w:t>discharged from hospital alive</w:t>
      </w:r>
      <w:r w:rsidR="007F39C7">
        <w:t xml:space="preserve"> was 8.2% in September</w:t>
      </w:r>
      <w:r w:rsidR="005C7B11">
        <w:t xml:space="preserve"> 2014, very similar to the average of 8.3% for the year ending September 2014.</w:t>
      </w:r>
      <w:r w:rsidR="004B7035">
        <w:t xml:space="preserve"> </w:t>
      </w:r>
      <w:r w:rsidR="00A10CE7">
        <w:t>The largest</w:t>
      </w:r>
      <w:r w:rsidR="00A10CE7">
        <w:rPr>
          <w:vertAlign w:val="superscript"/>
        </w:rPr>
        <w:t xml:space="preserve"> </w:t>
      </w:r>
      <w:r w:rsidR="00A10CE7">
        <w:t xml:space="preserve">proportion </w:t>
      </w:r>
      <w:r w:rsidR="00EB4DFD">
        <w:t>for survival to discharge</w:t>
      </w:r>
      <w:r w:rsidR="0066320C" w:rsidRPr="0066320C">
        <w:rPr>
          <w:rFonts w:cs="Arial"/>
        </w:rPr>
        <w:t xml:space="preserve"> </w:t>
      </w:r>
      <w:r w:rsidR="0066320C">
        <w:rPr>
          <w:rFonts w:cs="Arial"/>
        </w:rPr>
        <w:t xml:space="preserve">in </w:t>
      </w:r>
      <w:r w:rsidR="0066320C" w:rsidRPr="00BF249B">
        <w:rPr>
          <w:rFonts w:cs="Arial"/>
        </w:rPr>
        <w:t>the month of September 2014</w:t>
      </w:r>
      <w:r w:rsidR="00EB4DFD">
        <w:t xml:space="preserve"> </w:t>
      </w:r>
      <w:r w:rsidR="00A10CE7">
        <w:t xml:space="preserve">was </w:t>
      </w:r>
      <w:r w:rsidR="00C344CA">
        <w:t>19.5</w:t>
      </w:r>
      <w:r w:rsidR="00A10CE7" w:rsidRPr="00B21E1C">
        <w:t>%</w:t>
      </w:r>
      <w:r w:rsidR="00A10CE7">
        <w:t xml:space="preserve"> for South Central, and the smallest</w:t>
      </w:r>
      <w:r w:rsidR="00AF0B61">
        <w:t xml:space="preserve"> </w:t>
      </w:r>
      <w:r w:rsidR="00A10CE7">
        <w:t xml:space="preserve">was </w:t>
      </w:r>
      <w:r w:rsidR="00AF0B61" w:rsidRPr="00AF0B61">
        <w:t>1.9%</w:t>
      </w:r>
      <w:r w:rsidR="00A10CE7">
        <w:t xml:space="preserve"> for </w:t>
      </w:r>
      <w:r w:rsidR="00AF0B61" w:rsidRPr="00AF0B61">
        <w:t>East Midlands</w:t>
      </w:r>
      <w:r w:rsidR="00A10CE7">
        <w:t>.</w:t>
      </w:r>
    </w:p>
    <w:p w:rsidR="001857AC" w:rsidRDefault="005C7B11" w:rsidP="00BE72B7">
      <w:pPr>
        <w:jc w:val="center"/>
      </w:pPr>
      <w:r>
        <w:rPr>
          <w:noProof/>
        </w:rPr>
        <w:drawing>
          <wp:inline distT="0" distB="0" distL="0" distR="0" wp14:anchorId="42E70556">
            <wp:extent cx="5669915" cy="2974975"/>
            <wp:effectExtent l="0" t="0" r="698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915" cy="2974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6320C" w:rsidRDefault="005C7B11" w:rsidP="00A10CE7">
      <w:r>
        <w:t xml:space="preserve">Although </w:t>
      </w:r>
      <w:r w:rsidR="00A10CE7">
        <w:t>the Utstein group</w:t>
      </w:r>
      <w:r>
        <w:t xml:space="preserve"> had an increase in ROSC in September 2014, this did not result in a similarly large increase in survival to discharge, </w:t>
      </w:r>
      <w:r w:rsidR="0066320C">
        <w:t xml:space="preserve">which was 27.0%, not significantly larger than the </w:t>
      </w:r>
      <w:r w:rsidR="002A2463" w:rsidRPr="002A2463">
        <w:t>average of 25.5%</w:t>
      </w:r>
      <w:r w:rsidR="005A79AD">
        <w:t xml:space="preserve"> for </w:t>
      </w:r>
      <w:r w:rsidR="0066320C">
        <w:t xml:space="preserve">the </w:t>
      </w:r>
      <w:r w:rsidR="005A79AD">
        <w:t>year ending September 2014</w:t>
      </w:r>
      <w:r w:rsidR="002A2463">
        <w:t>.</w:t>
      </w:r>
    </w:p>
    <w:p w:rsidR="00A10CE7" w:rsidRDefault="00A10CE7" w:rsidP="00A10CE7">
      <w:r>
        <w:t>The largest</w:t>
      </w:r>
      <w:r w:rsidR="00694D98">
        <w:t xml:space="preserve"> </w:t>
      </w:r>
      <w:r>
        <w:t xml:space="preserve">proportion in </w:t>
      </w:r>
      <w:r w:rsidR="0066320C" w:rsidRPr="00BF249B">
        <w:rPr>
          <w:rFonts w:cs="Arial"/>
        </w:rPr>
        <w:t>the month of September 2014</w:t>
      </w:r>
      <w:r>
        <w:t xml:space="preserve"> was </w:t>
      </w:r>
      <w:r w:rsidR="00F23D7E" w:rsidRPr="00F23D7E">
        <w:t xml:space="preserve">38.1% </w:t>
      </w:r>
      <w:r>
        <w:t xml:space="preserve">for </w:t>
      </w:r>
      <w:r w:rsidR="00F23D7E" w:rsidRPr="00F23D7E">
        <w:t>South Central</w:t>
      </w:r>
      <w:r>
        <w:t>, and the smallest</w:t>
      </w:r>
      <w:r w:rsidR="00F23D7E">
        <w:t xml:space="preserve"> </w:t>
      </w:r>
      <w:r>
        <w:t xml:space="preserve">was </w:t>
      </w:r>
      <w:r w:rsidR="00F23D7E" w:rsidRPr="00F23D7E">
        <w:t>11.8%</w:t>
      </w:r>
      <w:r w:rsidR="00F23D7E">
        <w:t xml:space="preserve"> </w:t>
      </w:r>
      <w:r>
        <w:t xml:space="preserve">for </w:t>
      </w:r>
      <w:r w:rsidR="00F23D7E" w:rsidRPr="00F23D7E">
        <w:t>East Midlands</w:t>
      </w:r>
      <w:r w:rsidR="001857AC">
        <w:t>.</w:t>
      </w:r>
      <w:r w:rsidR="00FD06F7">
        <w:t xml:space="preserve"> </w:t>
      </w:r>
    </w:p>
    <w:p w:rsidR="00E324F3" w:rsidRDefault="00BD48E2" w:rsidP="00A10CE7">
      <w:pPr>
        <w:pStyle w:val="Heading3"/>
      </w:pPr>
      <w:r>
        <w:t>B3</w:t>
      </w:r>
      <w:r w:rsidR="0066320C">
        <w:tab/>
      </w:r>
      <w:r w:rsidR="00E324F3" w:rsidRPr="00DA6E95">
        <w:t>ST-Elevation myocardial infarction</w:t>
      </w:r>
      <w:r w:rsidR="00E324F3">
        <w:t xml:space="preserve"> (STEMI)</w:t>
      </w:r>
      <w:r w:rsidR="003336E9">
        <w:t xml:space="preserve"> (Figure </w:t>
      </w:r>
      <w:r w:rsidR="00B85756">
        <w:t>6</w:t>
      </w:r>
      <w:r w:rsidR="00260C5F">
        <w:t>)</w:t>
      </w:r>
    </w:p>
    <w:p w:rsidR="008132F5" w:rsidRDefault="002E6965" w:rsidP="008132F5">
      <w:r>
        <w:rPr>
          <w:rFonts w:cs="Arial"/>
        </w:rPr>
        <w:t>ST-</w:t>
      </w:r>
      <w:r w:rsidRPr="002C522F">
        <w:rPr>
          <w:rFonts w:cs="Arial"/>
        </w:rPr>
        <w:t>segment elevation myocardial infarction</w:t>
      </w:r>
      <w:r>
        <w:rPr>
          <w:rFonts w:cs="Arial"/>
        </w:rPr>
        <w:t xml:space="preserve"> </w:t>
      </w:r>
      <w:r w:rsidRPr="002C522F">
        <w:rPr>
          <w:rFonts w:cs="Arial"/>
        </w:rPr>
        <w:t>is a type of heart</w:t>
      </w:r>
      <w:r>
        <w:rPr>
          <w:rFonts w:cs="Arial"/>
        </w:rPr>
        <w:t xml:space="preserve"> </w:t>
      </w:r>
      <w:r w:rsidRPr="002C522F">
        <w:rPr>
          <w:rFonts w:cs="Arial"/>
        </w:rPr>
        <w:t>attack</w:t>
      </w:r>
      <w:r>
        <w:rPr>
          <w:rFonts w:cs="Arial"/>
        </w:rPr>
        <w:t xml:space="preserve">, </w:t>
      </w:r>
      <w:r w:rsidRPr="002C522F">
        <w:rPr>
          <w:rFonts w:cs="Arial"/>
        </w:rPr>
        <w:t>determined by an electrocardiogram (ECG) test.</w:t>
      </w:r>
      <w:r>
        <w:rPr>
          <w:rFonts w:cs="Arial"/>
        </w:rPr>
        <w:t xml:space="preserve"> Early access to reperfusion,</w:t>
      </w:r>
      <w:r w:rsidRPr="002C522F">
        <w:rPr>
          <w:rFonts w:cs="Arial"/>
        </w:rPr>
        <w:t xml:space="preserve"> where blocked arteries are op</w:t>
      </w:r>
      <w:r>
        <w:rPr>
          <w:rFonts w:cs="Arial"/>
        </w:rPr>
        <w:t xml:space="preserve">ened to re-establish blood flow, </w:t>
      </w:r>
      <w:r w:rsidRPr="002C522F">
        <w:rPr>
          <w:rFonts w:cs="Arial"/>
        </w:rPr>
        <w:t>and other assessment and care interventions</w:t>
      </w:r>
      <w:r>
        <w:rPr>
          <w:rFonts w:cs="Arial"/>
        </w:rPr>
        <w:t>,</w:t>
      </w:r>
      <w:r w:rsidRPr="002C522F">
        <w:rPr>
          <w:rFonts w:cs="Arial"/>
        </w:rPr>
        <w:t xml:space="preserve"> are associated with reductions in STEMI</w:t>
      </w:r>
      <w:r>
        <w:rPr>
          <w:rFonts w:cs="Arial"/>
        </w:rPr>
        <w:t xml:space="preserve"> </w:t>
      </w:r>
      <w:r w:rsidRPr="002C522F">
        <w:rPr>
          <w:rFonts w:cs="Arial"/>
        </w:rPr>
        <w:t>mortality and morbidity.</w:t>
      </w:r>
    </w:p>
    <w:p w:rsidR="008132F5" w:rsidRDefault="008132F5" w:rsidP="008132F5">
      <w:r>
        <w:t xml:space="preserve">In </w:t>
      </w:r>
      <w:r w:rsidR="002A2463">
        <w:t xml:space="preserve">September </w:t>
      </w:r>
      <w:r>
        <w:t xml:space="preserve">2014, of </w:t>
      </w:r>
      <w:r w:rsidR="002A2463" w:rsidRPr="002A2463">
        <w:t xml:space="preserve">1,382 </w:t>
      </w:r>
      <w:r w:rsidRPr="00DA6E95">
        <w:t>patients with an acute STEMI</w:t>
      </w:r>
      <w:r>
        <w:t xml:space="preserve">, </w:t>
      </w:r>
      <w:r w:rsidR="002A2463" w:rsidRPr="002A2463">
        <w:t xml:space="preserve">1,089 </w:t>
      </w:r>
      <w:r>
        <w:t>(</w:t>
      </w:r>
      <w:r w:rsidR="002A2463" w:rsidRPr="002A2463">
        <w:t>78.8%</w:t>
      </w:r>
      <w:r w:rsidR="007155C3">
        <w:t xml:space="preserve">) </w:t>
      </w:r>
      <w:r w:rsidRPr="00DA6E95">
        <w:t>received the appropriate care bundle</w:t>
      </w:r>
      <w:r w:rsidR="004D05E1">
        <w:t>,</w:t>
      </w:r>
      <w:r>
        <w:rPr>
          <w:rStyle w:val="FootnoteReference"/>
        </w:rPr>
        <w:footnoteReference w:id="10"/>
      </w:r>
      <w:r>
        <w:t xml:space="preserve"> similar to the proportion of 80.1% for 2013-14</w:t>
      </w:r>
      <w:r w:rsidR="004F37AE">
        <w:t xml:space="preserve"> </w:t>
      </w:r>
      <w:r w:rsidR="00BE72B7">
        <w:t>for</w:t>
      </w:r>
      <w:r w:rsidR="004F37AE" w:rsidRPr="004F37AE">
        <w:t xml:space="preserve"> the year ending September 2014</w:t>
      </w:r>
      <w:r w:rsidR="00320970">
        <w:t xml:space="preserve">. </w:t>
      </w:r>
      <w:r w:rsidRPr="008132F5">
        <w:t>The largest</w:t>
      </w:r>
      <w:r w:rsidR="009E31EF">
        <w:rPr>
          <w:rStyle w:val="FootnoteReference"/>
        </w:rPr>
        <w:footnoteReference w:id="11"/>
      </w:r>
      <w:r w:rsidRPr="008132F5">
        <w:t xml:space="preserve"> proportion </w:t>
      </w:r>
      <w:r w:rsidR="00BE72B7">
        <w:t xml:space="preserve">for the month of September 2014 </w:t>
      </w:r>
      <w:r w:rsidRPr="008132F5">
        <w:t xml:space="preserve">was </w:t>
      </w:r>
      <w:r w:rsidR="007D1A84" w:rsidRPr="007D1A84">
        <w:t>90.5%</w:t>
      </w:r>
      <w:r w:rsidR="007D1A84">
        <w:t xml:space="preserve"> </w:t>
      </w:r>
      <w:r w:rsidR="00405587">
        <w:t>for</w:t>
      </w:r>
      <w:r w:rsidRPr="008132F5">
        <w:t xml:space="preserve"> </w:t>
      </w:r>
      <w:r w:rsidR="007D1A84" w:rsidRPr="007D1A84">
        <w:t>South Western</w:t>
      </w:r>
      <w:r w:rsidR="00C10486">
        <w:t xml:space="preserve">, and the </w:t>
      </w:r>
      <w:r w:rsidRPr="008132F5">
        <w:t>smallest</w:t>
      </w:r>
      <w:r w:rsidR="0058367E">
        <w:rPr>
          <w:vertAlign w:val="superscript"/>
        </w:rPr>
        <w:t xml:space="preserve"> </w:t>
      </w:r>
      <w:r w:rsidRPr="008132F5">
        <w:t xml:space="preserve">was </w:t>
      </w:r>
      <w:r w:rsidR="0058367E" w:rsidRPr="0058367E">
        <w:t>62.2%</w:t>
      </w:r>
      <w:r w:rsidR="00C10486">
        <w:t xml:space="preserve"> </w:t>
      </w:r>
      <w:r w:rsidR="00405587">
        <w:t>for</w:t>
      </w:r>
      <w:r w:rsidRPr="008132F5">
        <w:t xml:space="preserve"> </w:t>
      </w:r>
      <w:r w:rsidR="0058367E">
        <w:t>West Midlands</w:t>
      </w:r>
      <w:r w:rsidRPr="008132F5">
        <w:t>.</w:t>
      </w:r>
    </w:p>
    <w:p w:rsidR="008132F5" w:rsidRPr="008132F5" w:rsidRDefault="008132F5" w:rsidP="008132F5">
      <w:r>
        <w:lastRenderedPageBreak/>
        <w:t xml:space="preserve">Of </w:t>
      </w:r>
      <w:r w:rsidR="005347A4" w:rsidRPr="005347A4">
        <w:t>924</w:t>
      </w:r>
      <w:r>
        <w:t xml:space="preserve"> STEMI patients </w:t>
      </w:r>
      <w:r w:rsidRPr="00DA6E95">
        <w:t>receiv</w:t>
      </w:r>
      <w:r>
        <w:t xml:space="preserve">ing </w:t>
      </w:r>
      <w:r w:rsidRPr="00DA6E95">
        <w:t xml:space="preserve">primary angioplasty, </w:t>
      </w:r>
      <w:r w:rsidR="005347A4" w:rsidRPr="005347A4">
        <w:t>818</w:t>
      </w:r>
      <w:r w:rsidRPr="00B66678">
        <w:t xml:space="preserve"> </w:t>
      </w:r>
      <w:r>
        <w:t>(</w:t>
      </w:r>
      <w:r w:rsidR="005347A4" w:rsidRPr="005347A4">
        <w:t>88.5%</w:t>
      </w:r>
      <w:r w:rsidR="005347A4">
        <w:t xml:space="preserve">) </w:t>
      </w:r>
      <w:r>
        <w:t xml:space="preserve">of them </w:t>
      </w:r>
      <w:r w:rsidRPr="00DA6E95">
        <w:t xml:space="preserve">received </w:t>
      </w:r>
      <w:r>
        <w:t xml:space="preserve">it </w:t>
      </w:r>
      <w:r w:rsidRPr="00DA6E95">
        <w:t>within 150 minutes of the call being connected to the ambulance service</w:t>
      </w:r>
      <w:r>
        <w:t xml:space="preserve">, </w:t>
      </w:r>
      <w:r w:rsidRPr="00FD58E1">
        <w:t xml:space="preserve">similar to </w:t>
      </w:r>
      <w:r>
        <w:t>the 2013-14 proportion of 88.9%</w:t>
      </w:r>
      <w:r w:rsidR="00320970">
        <w:t xml:space="preserve"> and </w:t>
      </w:r>
      <w:r w:rsidR="00320970" w:rsidRPr="00320970">
        <w:t>88.0%</w:t>
      </w:r>
      <w:r w:rsidR="00320970">
        <w:t xml:space="preserve"> by the </w:t>
      </w:r>
      <w:r w:rsidR="00320970" w:rsidRPr="00320970">
        <w:t>year ending September 2014</w:t>
      </w:r>
      <w:r w:rsidR="00320970">
        <w:t>.</w:t>
      </w:r>
      <w:r w:rsidR="00320970" w:rsidRPr="00320970">
        <w:t xml:space="preserve"> </w:t>
      </w:r>
      <w:r w:rsidR="00C344CA">
        <w:t>London</w:t>
      </w:r>
      <w:r>
        <w:t xml:space="preserve"> had the largest</w:t>
      </w:r>
      <w:r>
        <w:rPr>
          <w:vertAlign w:val="superscript"/>
        </w:rPr>
        <w:t xml:space="preserve"> </w:t>
      </w:r>
      <w:r>
        <w:t>proportion</w:t>
      </w:r>
      <w:r w:rsidR="00F2562E">
        <w:t xml:space="preserve"> for the month of September 2014</w:t>
      </w:r>
      <w:r>
        <w:t xml:space="preserve">, with </w:t>
      </w:r>
      <w:r w:rsidR="00C344CA">
        <w:t>97.8</w:t>
      </w:r>
      <w:r w:rsidR="00AC617A" w:rsidRPr="00AC617A">
        <w:t>%</w:t>
      </w:r>
      <w:r>
        <w:t>, and the smallest</w:t>
      </w:r>
      <w:r w:rsidR="00AC617A">
        <w:rPr>
          <w:rStyle w:val="FootnoteReference"/>
        </w:rPr>
        <w:footnoteReference w:id="12"/>
      </w:r>
      <w:r w:rsidR="00AC617A">
        <w:t xml:space="preserve"> </w:t>
      </w:r>
      <w:r>
        <w:t xml:space="preserve">was </w:t>
      </w:r>
      <w:r w:rsidR="00AC617A" w:rsidRPr="00AC617A">
        <w:t>76.6%</w:t>
      </w:r>
      <w:r>
        <w:t xml:space="preserve"> </w:t>
      </w:r>
      <w:r w:rsidR="00405587">
        <w:t>for</w:t>
      </w:r>
      <w:r>
        <w:t xml:space="preserve"> </w:t>
      </w:r>
      <w:r w:rsidR="005F272A">
        <w:t>South Western</w:t>
      </w:r>
      <w:r>
        <w:t>.</w:t>
      </w:r>
    </w:p>
    <w:p w:rsidR="002E6965" w:rsidRDefault="004D05E1" w:rsidP="00BE72B7">
      <w:pPr>
        <w:jc w:val="center"/>
        <w:rPr>
          <w:bCs/>
        </w:rPr>
      </w:pPr>
      <w:r>
        <w:rPr>
          <w:bCs/>
          <w:noProof/>
        </w:rPr>
        <w:drawing>
          <wp:inline distT="0" distB="0" distL="0" distR="0" wp14:anchorId="5DD87A39">
            <wp:extent cx="5602605" cy="2828925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2605" cy="2828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24F3" w:rsidRDefault="00E324F3" w:rsidP="00E324F3">
      <w:pPr>
        <w:pStyle w:val="Heading3"/>
      </w:pPr>
      <w:r>
        <w:t>B</w:t>
      </w:r>
      <w:r w:rsidR="00BD48E2">
        <w:t>4</w:t>
      </w:r>
      <w:r w:rsidR="0066320C">
        <w:tab/>
      </w:r>
      <w:r>
        <w:t>Stroke</w:t>
      </w:r>
      <w:r w:rsidR="00B85756">
        <w:t xml:space="preserve"> (Figure 7</w:t>
      </w:r>
      <w:r w:rsidR="00260C5F">
        <w:t>)</w:t>
      </w:r>
    </w:p>
    <w:p w:rsidR="00E324F3" w:rsidRDefault="00E324F3" w:rsidP="00E324F3">
      <w:pPr>
        <w:pStyle w:val="NoSpacing"/>
      </w:pPr>
      <w:r>
        <w:t xml:space="preserve">The </w:t>
      </w:r>
      <w:r w:rsidR="00260C5F">
        <w:t xml:space="preserve">FAST </w:t>
      </w:r>
      <w:r>
        <w:t>procedure helps assess whether someone has suffered a stroke:</w:t>
      </w:r>
    </w:p>
    <w:p w:rsidR="00E324F3" w:rsidRDefault="00E324F3" w:rsidP="00E324F3">
      <w:pPr>
        <w:pStyle w:val="ListBullet"/>
      </w:pPr>
      <w:r w:rsidRPr="002E6965">
        <w:rPr>
          <w:b/>
        </w:rPr>
        <w:t>F</w:t>
      </w:r>
      <w:r>
        <w:t>acial weakness</w:t>
      </w:r>
      <w:r w:rsidR="001E0C96">
        <w:t>:</w:t>
      </w:r>
      <w:r>
        <w:t xml:space="preserve"> can the person smile? Has their mouth or eye drooped?</w:t>
      </w:r>
    </w:p>
    <w:p w:rsidR="00E324F3" w:rsidRDefault="00E324F3" w:rsidP="00E324F3">
      <w:pPr>
        <w:pStyle w:val="ListBullet"/>
      </w:pPr>
      <w:r w:rsidRPr="002E6965">
        <w:rPr>
          <w:b/>
        </w:rPr>
        <w:t>A</w:t>
      </w:r>
      <w:r w:rsidR="001E0C96">
        <w:t>rm weakness:</w:t>
      </w:r>
      <w:r>
        <w:t xml:space="preserve"> can the person raise both arms?</w:t>
      </w:r>
    </w:p>
    <w:p w:rsidR="00E324F3" w:rsidRDefault="00E324F3" w:rsidP="00E324F3">
      <w:pPr>
        <w:pStyle w:val="ListBullet"/>
      </w:pPr>
      <w:r w:rsidRPr="002E6965">
        <w:rPr>
          <w:b/>
        </w:rPr>
        <w:t>S</w:t>
      </w:r>
      <w:r>
        <w:t>peech problems</w:t>
      </w:r>
      <w:r w:rsidR="001E0C96">
        <w:t>:</w:t>
      </w:r>
      <w:r>
        <w:t xml:space="preserve"> can the person speak clearly and understand what you say?</w:t>
      </w:r>
    </w:p>
    <w:p w:rsidR="00E324F3" w:rsidRDefault="00E324F3" w:rsidP="00E324F3">
      <w:pPr>
        <w:pStyle w:val="ListBullet"/>
      </w:pPr>
      <w:r w:rsidRPr="002E6965">
        <w:rPr>
          <w:b/>
        </w:rPr>
        <w:t>T</w:t>
      </w:r>
      <w:r>
        <w:t>ime to call 999 for an ambulance if you spot any one of these signs.</w:t>
      </w:r>
    </w:p>
    <w:p w:rsidR="00F2562E" w:rsidRDefault="00E324F3" w:rsidP="00E324F3">
      <w:r>
        <w:t xml:space="preserve">In </w:t>
      </w:r>
      <w:r w:rsidR="00EA2A84">
        <w:t>September</w:t>
      </w:r>
      <w:r w:rsidR="00174FF6">
        <w:t xml:space="preserve"> </w:t>
      </w:r>
      <w:r>
        <w:t xml:space="preserve">2014, </w:t>
      </w:r>
      <w:r w:rsidR="00D40138">
        <w:t xml:space="preserve">of </w:t>
      </w:r>
      <w:r w:rsidR="00FF38FD" w:rsidRPr="00FF38FD">
        <w:t>2,795</w:t>
      </w:r>
      <w:r w:rsidR="00FF38FD">
        <w:t xml:space="preserve"> </w:t>
      </w:r>
      <w:r>
        <w:t xml:space="preserve">FAST positive patients, assessed face to face, </w:t>
      </w:r>
      <w:r w:rsidR="00D40138">
        <w:t xml:space="preserve">and </w:t>
      </w:r>
      <w:r>
        <w:t>potentially eligible for stroke thrombolysis</w:t>
      </w:r>
      <w:r w:rsidR="00D40138">
        <w:t xml:space="preserve"> within agreed local guidelines, </w:t>
      </w:r>
      <w:r w:rsidR="00FF38FD" w:rsidRPr="00FF38FD">
        <w:t xml:space="preserve">1,615 </w:t>
      </w:r>
      <w:r w:rsidR="00F2562E">
        <w:t xml:space="preserve">(57.8%) </w:t>
      </w:r>
      <w:r>
        <w:t>arrived at hospitals with</w:t>
      </w:r>
      <w:r w:rsidRPr="00DA6E95">
        <w:t xml:space="preserve"> a hyperacute stroke unit within 60 minutes</w:t>
      </w:r>
      <w:r>
        <w:t xml:space="preserve"> of an emergency call connecting to the ambulance service.</w:t>
      </w:r>
      <w:r w:rsidR="00F2562E">
        <w:t xml:space="preserve"> This was significantly less than the average of 61.7% for the year ending September 2014.</w:t>
      </w:r>
    </w:p>
    <w:p w:rsidR="00E324F3" w:rsidRDefault="00D40138" w:rsidP="00E324F3">
      <w:r>
        <w:t>The largest</w:t>
      </w:r>
      <w:r w:rsidR="009E31EF">
        <w:rPr>
          <w:vertAlign w:val="superscript"/>
        </w:rPr>
        <w:t>12</w:t>
      </w:r>
      <w:r>
        <w:t xml:space="preserve"> proportion in </w:t>
      </w:r>
      <w:r w:rsidR="00F2562E">
        <w:t xml:space="preserve">the month of </w:t>
      </w:r>
      <w:r w:rsidR="00CF22D9">
        <w:t xml:space="preserve">September </w:t>
      </w:r>
      <w:r>
        <w:t xml:space="preserve">2014 was </w:t>
      </w:r>
      <w:r w:rsidR="00C344CA">
        <w:t>65.5</w:t>
      </w:r>
      <w:r w:rsidR="005F1398" w:rsidRPr="005F1398">
        <w:t>%</w:t>
      </w:r>
      <w:r w:rsidR="005F1398">
        <w:t xml:space="preserve"> </w:t>
      </w:r>
      <w:r w:rsidR="00405587">
        <w:t>for</w:t>
      </w:r>
      <w:r>
        <w:t xml:space="preserve"> </w:t>
      </w:r>
      <w:r w:rsidR="00C344CA">
        <w:t>North</w:t>
      </w:r>
      <w:r w:rsidR="005F1398">
        <w:t xml:space="preserve"> East</w:t>
      </w:r>
      <w:r w:rsidR="00133520">
        <w:t xml:space="preserve">, and the smallest was </w:t>
      </w:r>
      <w:r w:rsidR="005F1398" w:rsidRPr="005F1398">
        <w:t>45.6%</w:t>
      </w:r>
      <w:r w:rsidR="005F1398">
        <w:t xml:space="preserve"> </w:t>
      </w:r>
      <w:r w:rsidR="00405587">
        <w:t>for</w:t>
      </w:r>
      <w:r>
        <w:t xml:space="preserve"> </w:t>
      </w:r>
      <w:r w:rsidR="00F2562E">
        <w:t>West Midlands.</w:t>
      </w:r>
    </w:p>
    <w:p w:rsidR="002E6965" w:rsidRDefault="004D05E1" w:rsidP="00453F16">
      <w:r>
        <w:t xml:space="preserve">Although the thrombolysis proportion decreased, </w:t>
      </w:r>
      <w:bookmarkStart w:id="2" w:name="OLE_LINK3"/>
      <w:r w:rsidR="009D0DA1">
        <w:t xml:space="preserve">the increase </w:t>
      </w:r>
      <w:r>
        <w:t xml:space="preserve">since 2011 was maintained for stroke patients, assessed face to face, </w:t>
      </w:r>
      <w:r w:rsidR="009D0DA1">
        <w:t xml:space="preserve">receiving </w:t>
      </w:r>
      <w:r w:rsidR="009D0DA1" w:rsidRPr="00DA6E95">
        <w:t>the appropriate care bundle</w:t>
      </w:r>
      <w:r w:rsidR="009D0DA1">
        <w:t xml:space="preserve">. </w:t>
      </w:r>
      <w:r>
        <w:t>In the month of September 2014, t</w:t>
      </w:r>
      <w:r w:rsidR="009D0DA1">
        <w:t xml:space="preserve">his proportion was </w:t>
      </w:r>
      <w:r w:rsidR="009D0DA1" w:rsidRPr="002A79F0">
        <w:t>96.8%</w:t>
      </w:r>
      <w:r w:rsidR="009D0DA1">
        <w:t xml:space="preserve"> out of 6,543 such patients</w:t>
      </w:r>
      <w:r>
        <w:t>, the same as the average for the year ending September 2014</w:t>
      </w:r>
      <w:r w:rsidR="009D0DA1">
        <w:t xml:space="preserve">. </w:t>
      </w:r>
      <w:bookmarkEnd w:id="2"/>
      <w:r w:rsidR="00D40138">
        <w:t xml:space="preserve">The </w:t>
      </w:r>
      <w:r w:rsidR="000B17F3">
        <w:t xml:space="preserve">largest </w:t>
      </w:r>
      <w:r w:rsidR="00D40138">
        <w:t>proportion in</w:t>
      </w:r>
      <w:r w:rsidR="007C393E">
        <w:t xml:space="preserve"> </w:t>
      </w:r>
      <w:r w:rsidR="009D0DA1">
        <w:t xml:space="preserve">the month of </w:t>
      </w:r>
      <w:r w:rsidR="00D547A7">
        <w:t xml:space="preserve">September </w:t>
      </w:r>
      <w:r w:rsidR="00D40138">
        <w:t xml:space="preserve">2014 was </w:t>
      </w:r>
      <w:r w:rsidR="00D547A7" w:rsidRPr="00D547A7">
        <w:t>99.6%</w:t>
      </w:r>
      <w:r w:rsidR="00D547A7">
        <w:t xml:space="preserve"> </w:t>
      </w:r>
      <w:r w:rsidR="009D0DA1">
        <w:t xml:space="preserve">for </w:t>
      </w:r>
      <w:r w:rsidR="00EB5410">
        <w:t xml:space="preserve">North </w:t>
      </w:r>
      <w:r w:rsidR="009D0DA1">
        <w:t>West</w:t>
      </w:r>
      <w:r w:rsidR="00947505">
        <w:t xml:space="preserve"> and the </w:t>
      </w:r>
      <w:r w:rsidR="000B17F3">
        <w:t>smallest</w:t>
      </w:r>
      <w:r w:rsidR="00D547A7">
        <w:rPr>
          <w:vertAlign w:val="superscript"/>
        </w:rPr>
        <w:t>1</w:t>
      </w:r>
      <w:r w:rsidR="009E31EF">
        <w:rPr>
          <w:vertAlign w:val="superscript"/>
        </w:rPr>
        <w:t>2</w:t>
      </w:r>
      <w:r w:rsidR="009D0DA1">
        <w:t xml:space="preserve"> was 9</w:t>
      </w:r>
      <w:r w:rsidR="00D547A7" w:rsidRPr="00D547A7">
        <w:t>3.7%</w:t>
      </w:r>
      <w:r w:rsidR="00947505">
        <w:t xml:space="preserve"> </w:t>
      </w:r>
      <w:r w:rsidR="009D0DA1">
        <w:t xml:space="preserve">for </w:t>
      </w:r>
      <w:r w:rsidR="00D547A7" w:rsidRPr="00D547A7">
        <w:t>West Midlands</w:t>
      </w:r>
      <w:r w:rsidR="009D0DA1">
        <w:t>.</w:t>
      </w:r>
    </w:p>
    <w:p w:rsidR="00F2562E" w:rsidRDefault="00F2562E" w:rsidP="00F2562E">
      <w:pPr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 wp14:anchorId="60620111">
            <wp:extent cx="5663565" cy="3291840"/>
            <wp:effectExtent l="0" t="0" r="0" b="381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3565" cy="3291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E31EF" w:rsidRDefault="009E31EF" w:rsidP="00737724">
      <w:pPr>
        <w:pStyle w:val="Heading2"/>
      </w:pPr>
    </w:p>
    <w:p w:rsidR="00875FD5" w:rsidRDefault="00737724" w:rsidP="00737724">
      <w:pPr>
        <w:pStyle w:val="Heading2"/>
      </w:pPr>
      <w:r>
        <w:t>C</w:t>
      </w:r>
      <w:r w:rsidR="003E4789">
        <w:t>.</w:t>
      </w:r>
      <w:r>
        <w:tab/>
      </w:r>
      <w:r w:rsidR="00E274DD">
        <w:t>F</w:t>
      </w:r>
      <w:r w:rsidR="00875FD5">
        <w:t xml:space="preserve">urther </w:t>
      </w:r>
      <w:r w:rsidR="00551D2D">
        <w:t>i</w:t>
      </w:r>
      <w:r w:rsidR="00875FD5">
        <w:t>nformation</w:t>
      </w:r>
      <w:r w:rsidR="00E274DD">
        <w:t xml:space="preserve"> on AQI</w:t>
      </w:r>
    </w:p>
    <w:p w:rsidR="00E324F3" w:rsidRDefault="00D04686" w:rsidP="00E324F3">
      <w:pPr>
        <w:pStyle w:val="Heading3"/>
      </w:pPr>
      <w:r>
        <w:t>C</w:t>
      </w:r>
      <w:r w:rsidR="00DC4BF3">
        <w:t>1</w:t>
      </w:r>
      <w:r w:rsidR="0066320C">
        <w:tab/>
      </w:r>
      <w:r w:rsidR="001A471D">
        <w:t xml:space="preserve">The AQI </w:t>
      </w:r>
      <w:r w:rsidR="00BE72B7">
        <w:t xml:space="preserve">landing page and </w:t>
      </w:r>
      <w:r w:rsidR="00E324F3">
        <w:t>Quality Statement</w:t>
      </w:r>
    </w:p>
    <w:p w:rsidR="003336E9" w:rsidRDefault="008A5626" w:rsidP="00551D2D">
      <w:pPr>
        <w:rPr>
          <w:rFonts w:cs="Arial"/>
        </w:rPr>
      </w:pPr>
      <w:hyperlink r:id="rId16" w:history="1">
        <w:r w:rsidR="003336E9" w:rsidRPr="005D248D">
          <w:rPr>
            <w:rStyle w:val="Hyperlink"/>
            <w:rFonts w:cs="Arial"/>
          </w:rPr>
          <w:t>www.england.nhs.uk/statistics/statistical-work-areas/ambulance-quality-indicators</w:t>
        </w:r>
      </w:hyperlink>
      <w:r w:rsidR="003336E9" w:rsidRPr="00775632">
        <w:rPr>
          <w:rFonts w:cs="Arial"/>
        </w:rPr>
        <w:t xml:space="preserve"> </w:t>
      </w:r>
      <w:r w:rsidR="003336E9">
        <w:rPr>
          <w:rFonts w:cs="Arial"/>
        </w:rPr>
        <w:t>is t</w:t>
      </w:r>
      <w:r w:rsidR="00875FD5">
        <w:rPr>
          <w:rFonts w:cs="Arial"/>
        </w:rPr>
        <w:t xml:space="preserve">he </w:t>
      </w:r>
      <w:r w:rsidR="004B77EC">
        <w:t xml:space="preserve">AQI </w:t>
      </w:r>
      <w:r w:rsidR="003336E9">
        <w:rPr>
          <w:rFonts w:cs="Arial"/>
        </w:rPr>
        <w:t xml:space="preserve">landing page, </w:t>
      </w:r>
      <w:r w:rsidR="009E31EF">
        <w:rPr>
          <w:rFonts w:cs="Arial"/>
        </w:rPr>
        <w:t>and it holds</w:t>
      </w:r>
      <w:r w:rsidR="003336E9">
        <w:rPr>
          <w:rFonts w:cs="Arial"/>
        </w:rPr>
        <w:t>:</w:t>
      </w:r>
    </w:p>
    <w:p w:rsidR="00D04686" w:rsidRDefault="009E31EF" w:rsidP="00D04686">
      <w:pPr>
        <w:pStyle w:val="ListBullet"/>
      </w:pPr>
      <w:r>
        <w:t>a</w:t>
      </w:r>
      <w:r w:rsidR="00775632" w:rsidRPr="00875FD5">
        <w:t xml:space="preserve"> Quality Statement</w:t>
      </w:r>
      <w:r w:rsidR="00775632">
        <w:t xml:space="preserve"> for these statistics</w:t>
      </w:r>
      <w:r w:rsidR="0036445B">
        <w:t xml:space="preserve">, </w:t>
      </w:r>
      <w:r w:rsidR="006817AD">
        <w:t>which includes</w:t>
      </w:r>
      <w:r w:rsidR="0036445B">
        <w:t xml:space="preserve"> information on relevance, accuracy, timelines</w:t>
      </w:r>
      <w:r w:rsidR="006817AD">
        <w:t xml:space="preserve">s, </w:t>
      </w:r>
      <w:r w:rsidR="0036445B">
        <w:t>coherence</w:t>
      </w:r>
      <w:r w:rsidR="00775632">
        <w:t xml:space="preserve">, </w:t>
      </w:r>
      <w:r w:rsidR="00054879">
        <w:t>and user engagement</w:t>
      </w:r>
      <w:r w:rsidR="003336E9">
        <w:t>;</w:t>
      </w:r>
    </w:p>
    <w:p w:rsidR="00D04686" w:rsidRDefault="009E31EF" w:rsidP="00D04686">
      <w:pPr>
        <w:pStyle w:val="ListBullet"/>
      </w:pPr>
      <w:r>
        <w:t>t</w:t>
      </w:r>
      <w:r w:rsidR="00D04686">
        <w:t>he specification guidance for those who supply the data;</w:t>
      </w:r>
    </w:p>
    <w:p w:rsidR="003336E9" w:rsidRDefault="009E31EF" w:rsidP="00C03D2B">
      <w:pPr>
        <w:pStyle w:val="ListBullet"/>
      </w:pPr>
      <w:r>
        <w:t>timetables for d</w:t>
      </w:r>
      <w:r w:rsidR="003E4789">
        <w:t>ata collection and p</w:t>
      </w:r>
      <w:r w:rsidR="003336E9">
        <w:t>ublication</w:t>
      </w:r>
      <w:r>
        <w:t>;</w:t>
      </w:r>
    </w:p>
    <w:p w:rsidR="00775632" w:rsidRDefault="009E31EF" w:rsidP="00C03D2B">
      <w:pPr>
        <w:pStyle w:val="ListBullet"/>
      </w:pPr>
      <w:r>
        <w:t>t</w:t>
      </w:r>
      <w:r w:rsidR="00775632">
        <w:t xml:space="preserve">ext files and </w:t>
      </w:r>
      <w:r w:rsidR="00775632" w:rsidRPr="00875FD5">
        <w:t>time series spreadsheets</w:t>
      </w:r>
      <w:r w:rsidR="00775632">
        <w:t xml:space="preserve"> containing all </w:t>
      </w:r>
      <w:r w:rsidR="00775632" w:rsidRPr="00875FD5">
        <w:t xml:space="preserve">data </w:t>
      </w:r>
      <w:r w:rsidR="00775632">
        <w:t xml:space="preserve">from </w:t>
      </w:r>
      <w:r w:rsidR="00775632" w:rsidRPr="00875FD5">
        <w:t>April 2011</w:t>
      </w:r>
      <w:r w:rsidR="00775632">
        <w:t xml:space="preserve"> </w:t>
      </w:r>
      <w:r w:rsidR="0036445B">
        <w:t xml:space="preserve">up </w:t>
      </w:r>
      <w:r w:rsidR="00D04686">
        <w:t>to the latest month;</w:t>
      </w:r>
    </w:p>
    <w:p w:rsidR="009D0DA1" w:rsidRDefault="009E31EF" w:rsidP="00C03D2B">
      <w:pPr>
        <w:pStyle w:val="ListBullet"/>
      </w:pPr>
      <w:proofErr w:type="gramStart"/>
      <w:r>
        <w:t>l</w:t>
      </w:r>
      <w:r w:rsidR="00D04686">
        <w:t>inks</w:t>
      </w:r>
      <w:proofErr w:type="gramEnd"/>
      <w:r w:rsidR="00D04686">
        <w:t xml:space="preserve"> to individual pages for each financial year</w:t>
      </w:r>
      <w:r w:rsidR="009D0DA1">
        <w:t>.</w:t>
      </w:r>
    </w:p>
    <w:p w:rsidR="009D0DA1" w:rsidRDefault="009D0DA1" w:rsidP="009D0DA1">
      <w:r>
        <w:t>The pages for each financial year hold:</w:t>
      </w:r>
    </w:p>
    <w:p w:rsidR="009D0DA1" w:rsidRDefault="009E31EF" w:rsidP="00C03D2B">
      <w:pPr>
        <w:pStyle w:val="ListBullet"/>
      </w:pPr>
      <w:r>
        <w:t>s</w:t>
      </w:r>
      <w:r w:rsidR="004B77EC">
        <w:t>eparate spreadsheets of each month’s data</w:t>
      </w:r>
      <w:r w:rsidR="009D0DA1">
        <w:t>;</w:t>
      </w:r>
    </w:p>
    <w:p w:rsidR="009D0DA1" w:rsidRDefault="009D0DA1" w:rsidP="00C03D2B">
      <w:pPr>
        <w:pStyle w:val="ListBullet"/>
      </w:pPr>
      <w:r>
        <w:t>this Statistical Note, and equivalent versions from previous months;</w:t>
      </w:r>
    </w:p>
    <w:p w:rsidR="00D04686" w:rsidRDefault="009E31EF" w:rsidP="00C03D2B">
      <w:pPr>
        <w:pStyle w:val="ListBullet"/>
      </w:pPr>
      <w:proofErr w:type="gramStart"/>
      <w:r>
        <w:t>the</w:t>
      </w:r>
      <w:proofErr w:type="gramEnd"/>
      <w:r>
        <w:t xml:space="preserve"> list </w:t>
      </w:r>
      <w:r w:rsidR="009D0DA1">
        <w:t xml:space="preserve">of </w:t>
      </w:r>
      <w:r>
        <w:t xml:space="preserve">people </w:t>
      </w:r>
      <w:r w:rsidR="009D0DA1">
        <w:t xml:space="preserve">with </w:t>
      </w:r>
      <w:r w:rsidR="00D04686">
        <w:t xml:space="preserve">pre-release access </w:t>
      </w:r>
      <w:r w:rsidR="009D0DA1">
        <w:t>to the data.</w:t>
      </w:r>
    </w:p>
    <w:p w:rsidR="00A4253D" w:rsidRDefault="00E324F3" w:rsidP="00875FD5">
      <w:pPr>
        <w:pStyle w:val="Heading3"/>
      </w:pPr>
      <w:r>
        <w:t>C</w:t>
      </w:r>
      <w:r w:rsidR="009E31EF">
        <w:t>2</w:t>
      </w:r>
      <w:r w:rsidR="0066320C">
        <w:tab/>
      </w:r>
      <w:r w:rsidR="00335EE6">
        <w:t>Revisions</w:t>
      </w:r>
    </w:p>
    <w:p w:rsidR="00D01436" w:rsidRDefault="00D04686" w:rsidP="006817AD">
      <w:r>
        <w:t>R</w:t>
      </w:r>
      <w:r w:rsidR="006817AD" w:rsidRPr="005538AF">
        <w:t xml:space="preserve">evisions </w:t>
      </w:r>
      <w:r w:rsidR="00483782">
        <w:t xml:space="preserve">usually </w:t>
      </w:r>
      <w:r w:rsidR="004B77EC">
        <w:t>follow</w:t>
      </w:r>
      <w:r w:rsidR="00AD6F90">
        <w:t xml:space="preserve"> </w:t>
      </w:r>
      <w:r>
        <w:t>a</w:t>
      </w:r>
      <w:r w:rsidR="006817AD" w:rsidRPr="005538AF">
        <w:t xml:space="preserve"> six-monthly cycle</w:t>
      </w:r>
      <w:r w:rsidR="00054879">
        <w:t>.</w:t>
      </w:r>
      <w:r w:rsidR="009E31EF">
        <w:t xml:space="preserve"> </w:t>
      </w:r>
      <w:r w:rsidR="001A471D">
        <w:t>T</w:t>
      </w:r>
      <w:r w:rsidR="00054879">
        <w:t xml:space="preserve">he dates for past and future </w:t>
      </w:r>
      <w:r w:rsidR="001A471D">
        <w:t xml:space="preserve">AQI </w:t>
      </w:r>
      <w:r w:rsidR="00054879">
        <w:t xml:space="preserve">revisions are </w:t>
      </w:r>
      <w:r w:rsidR="009E31EF">
        <w:t>overleaf</w:t>
      </w:r>
      <w:r w:rsidR="001A471D">
        <w:t xml:space="preserve">. The </w:t>
      </w:r>
      <w:r w:rsidR="001847B2">
        <w:t xml:space="preserve">AQI </w:t>
      </w:r>
      <w:r w:rsidR="001A471D">
        <w:t>Quality Statement above contains a more detailed revisions policy.</w:t>
      </w:r>
    </w:p>
    <w:tbl>
      <w:tblPr>
        <w:tblStyle w:val="TableGrid"/>
        <w:tblW w:w="8522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32"/>
        <w:gridCol w:w="283"/>
        <w:gridCol w:w="2286"/>
        <w:gridCol w:w="236"/>
        <w:gridCol w:w="3585"/>
      </w:tblGrid>
      <w:tr w:rsidR="00483782" w:rsidTr="00AD6F90">
        <w:tc>
          <w:tcPr>
            <w:tcW w:w="213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483782" w:rsidRDefault="00483782" w:rsidP="00AD6F90">
            <w:pPr>
              <w:pStyle w:val="Heading4"/>
            </w:pPr>
            <w:r>
              <w:lastRenderedPageBreak/>
              <w:t>Publication date</w:t>
            </w:r>
          </w:p>
        </w:tc>
        <w:tc>
          <w:tcPr>
            <w:tcW w:w="283" w:type="dxa"/>
            <w:tcMar>
              <w:left w:w="0" w:type="dxa"/>
              <w:right w:w="0" w:type="dxa"/>
            </w:tcMar>
          </w:tcPr>
          <w:p w:rsidR="00483782" w:rsidRDefault="00483782" w:rsidP="00AD6F90">
            <w:pPr>
              <w:pStyle w:val="NoSpacing"/>
            </w:pPr>
          </w:p>
        </w:tc>
        <w:tc>
          <w:tcPr>
            <w:tcW w:w="228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483782" w:rsidRDefault="00483782" w:rsidP="00AD6F90">
            <w:pPr>
              <w:pStyle w:val="Heading4"/>
            </w:pPr>
            <w:r>
              <w:t xml:space="preserve">Series revised 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483782" w:rsidRDefault="00483782" w:rsidP="00AD6F90">
            <w:pPr>
              <w:pStyle w:val="NoSpacing"/>
            </w:pPr>
          </w:p>
        </w:tc>
        <w:tc>
          <w:tcPr>
            <w:tcW w:w="358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483782" w:rsidRDefault="00483782" w:rsidP="00AD6F90">
            <w:pPr>
              <w:pStyle w:val="Heading4"/>
            </w:pPr>
            <w:r>
              <w:t>Months affected</w:t>
            </w:r>
          </w:p>
        </w:tc>
      </w:tr>
      <w:tr w:rsidR="00AD6F90" w:rsidTr="00AD6F90">
        <w:tc>
          <w:tcPr>
            <w:tcW w:w="2132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AD6F90" w:rsidRDefault="00BD4D0C" w:rsidP="00AD6F90">
            <w:pPr>
              <w:pStyle w:val="NoSpacing"/>
              <w:jc w:val="right"/>
            </w:pPr>
            <w:r>
              <w:t xml:space="preserve"> 5 </w:t>
            </w:r>
            <w:r w:rsidR="00AD6F90" w:rsidRPr="00875FD5">
              <w:t>November</w:t>
            </w:r>
            <w:r w:rsidR="00AD6F90">
              <w:t xml:space="preserve"> 2015</w:t>
            </w:r>
          </w:p>
        </w:tc>
        <w:tc>
          <w:tcPr>
            <w:tcW w:w="283" w:type="dxa"/>
            <w:tcMar>
              <w:left w:w="57" w:type="dxa"/>
              <w:right w:w="57" w:type="dxa"/>
            </w:tcMar>
          </w:tcPr>
          <w:p w:rsidR="00AD6F90" w:rsidRPr="00B4687B" w:rsidRDefault="00AD6F90" w:rsidP="00D522C1">
            <w:pPr>
              <w:pStyle w:val="NoSpacing"/>
            </w:pPr>
          </w:p>
        </w:tc>
        <w:tc>
          <w:tcPr>
            <w:tcW w:w="2286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AD6F90" w:rsidRPr="00B4687B" w:rsidRDefault="00AD6F90" w:rsidP="00D522C1">
            <w:pPr>
              <w:pStyle w:val="NoSpacing"/>
            </w:pPr>
            <w:r w:rsidRPr="00B4687B">
              <w:t>Systems Indicators</w:t>
            </w: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AD6F90" w:rsidRDefault="00AD6F90" w:rsidP="00D522C1">
            <w:pPr>
              <w:pStyle w:val="NoSpacing"/>
            </w:pPr>
          </w:p>
        </w:tc>
        <w:tc>
          <w:tcPr>
            <w:tcW w:w="358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AD6F90" w:rsidRDefault="00AD6F90" w:rsidP="002D10A5">
            <w:pPr>
              <w:pStyle w:val="NoSpacing"/>
            </w:pPr>
            <w:r>
              <w:t xml:space="preserve">April 2015 to </w:t>
            </w:r>
            <w:r w:rsidR="002D10A5">
              <w:t>August</w:t>
            </w:r>
            <w:r>
              <w:t xml:space="preserve"> 2015</w:t>
            </w:r>
          </w:p>
        </w:tc>
      </w:tr>
      <w:tr w:rsidR="00AD6F90" w:rsidTr="00AD6F90">
        <w:tc>
          <w:tcPr>
            <w:tcW w:w="2132" w:type="dxa"/>
            <w:tcMar>
              <w:left w:w="57" w:type="dxa"/>
              <w:right w:w="57" w:type="dxa"/>
            </w:tcMar>
          </w:tcPr>
          <w:p w:rsidR="00AD6F90" w:rsidRDefault="00BD4D0C" w:rsidP="00AD6F90">
            <w:pPr>
              <w:pStyle w:val="NoSpacing"/>
              <w:jc w:val="right"/>
            </w:pPr>
            <w:r>
              <w:t xml:space="preserve">3 </w:t>
            </w:r>
            <w:r w:rsidR="00AD6F90">
              <w:t>September 2015</w:t>
            </w:r>
          </w:p>
        </w:tc>
        <w:tc>
          <w:tcPr>
            <w:tcW w:w="283" w:type="dxa"/>
            <w:tcMar>
              <w:left w:w="57" w:type="dxa"/>
              <w:right w:w="57" w:type="dxa"/>
            </w:tcMar>
          </w:tcPr>
          <w:p w:rsidR="00AD6F90" w:rsidRPr="00B4687B" w:rsidRDefault="00AD6F90" w:rsidP="001F1530">
            <w:pPr>
              <w:pStyle w:val="NoSpacing"/>
            </w:pPr>
          </w:p>
        </w:tc>
        <w:tc>
          <w:tcPr>
            <w:tcW w:w="2286" w:type="dxa"/>
            <w:tcMar>
              <w:left w:w="57" w:type="dxa"/>
              <w:right w:w="57" w:type="dxa"/>
            </w:tcMar>
          </w:tcPr>
          <w:p w:rsidR="00AD6F90" w:rsidRPr="00B4687B" w:rsidRDefault="00AD6F90" w:rsidP="001F1530">
            <w:pPr>
              <w:pStyle w:val="NoSpacing"/>
            </w:pPr>
            <w:r w:rsidRPr="00B4687B">
              <w:t>Clinical Outcomes</w:t>
            </w: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AD6F90" w:rsidRDefault="00AD6F90" w:rsidP="001F1530">
            <w:pPr>
              <w:pStyle w:val="NoSpacing"/>
            </w:pPr>
          </w:p>
        </w:tc>
        <w:tc>
          <w:tcPr>
            <w:tcW w:w="3585" w:type="dxa"/>
            <w:tcMar>
              <w:left w:w="57" w:type="dxa"/>
              <w:right w:w="57" w:type="dxa"/>
            </w:tcMar>
          </w:tcPr>
          <w:p w:rsidR="00AD6F90" w:rsidRDefault="00AD6F90" w:rsidP="001F1530">
            <w:pPr>
              <w:pStyle w:val="NoSpacing"/>
            </w:pPr>
            <w:r>
              <w:t>April 2014 to March 2015</w:t>
            </w:r>
          </w:p>
        </w:tc>
      </w:tr>
      <w:tr w:rsidR="00AD6F90" w:rsidTr="00AD6F90">
        <w:tc>
          <w:tcPr>
            <w:tcW w:w="2132" w:type="dxa"/>
            <w:tcMar>
              <w:left w:w="57" w:type="dxa"/>
              <w:right w:w="57" w:type="dxa"/>
            </w:tcMar>
          </w:tcPr>
          <w:p w:rsidR="00AD6F90" w:rsidRDefault="00AD6F90" w:rsidP="00AD6F90">
            <w:pPr>
              <w:pStyle w:val="NoSpacing"/>
              <w:jc w:val="right"/>
            </w:pPr>
            <w:r>
              <w:t>30 April 2015</w:t>
            </w:r>
          </w:p>
        </w:tc>
        <w:tc>
          <w:tcPr>
            <w:tcW w:w="283" w:type="dxa"/>
            <w:tcMar>
              <w:left w:w="57" w:type="dxa"/>
              <w:right w:w="57" w:type="dxa"/>
            </w:tcMar>
          </w:tcPr>
          <w:p w:rsidR="00AD6F90" w:rsidRPr="00B4687B" w:rsidRDefault="00AD6F90" w:rsidP="001F1530">
            <w:pPr>
              <w:pStyle w:val="NoSpacing"/>
            </w:pPr>
          </w:p>
        </w:tc>
        <w:tc>
          <w:tcPr>
            <w:tcW w:w="2286" w:type="dxa"/>
            <w:tcMar>
              <w:left w:w="57" w:type="dxa"/>
              <w:right w:w="57" w:type="dxa"/>
            </w:tcMar>
          </w:tcPr>
          <w:p w:rsidR="00AD6F90" w:rsidRPr="00B4687B" w:rsidRDefault="00AD6F90" w:rsidP="001F1530">
            <w:pPr>
              <w:pStyle w:val="NoSpacing"/>
            </w:pPr>
            <w:r w:rsidRPr="00B4687B">
              <w:t>Systems Indicators</w:t>
            </w: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AD6F90" w:rsidRDefault="00AD6F90" w:rsidP="001F1530">
            <w:pPr>
              <w:pStyle w:val="NoSpacing"/>
            </w:pPr>
          </w:p>
        </w:tc>
        <w:tc>
          <w:tcPr>
            <w:tcW w:w="3585" w:type="dxa"/>
            <w:tcMar>
              <w:left w:w="57" w:type="dxa"/>
              <w:right w:w="57" w:type="dxa"/>
            </w:tcMar>
          </w:tcPr>
          <w:p w:rsidR="00AD6F90" w:rsidRDefault="00AD6F90" w:rsidP="001F1530">
            <w:pPr>
              <w:pStyle w:val="NoSpacing"/>
            </w:pPr>
            <w:r>
              <w:t>April 2014 to February 2015</w:t>
            </w:r>
          </w:p>
        </w:tc>
      </w:tr>
      <w:tr w:rsidR="00AD6F90" w:rsidTr="004B77EC">
        <w:trPr>
          <w:trHeight w:val="345"/>
        </w:trPr>
        <w:tc>
          <w:tcPr>
            <w:tcW w:w="2132" w:type="dxa"/>
            <w:tcMar>
              <w:left w:w="57" w:type="dxa"/>
              <w:right w:w="57" w:type="dxa"/>
            </w:tcMar>
          </w:tcPr>
          <w:p w:rsidR="00AD6F90" w:rsidRDefault="00AD6F90" w:rsidP="00AD6F90">
            <w:pPr>
              <w:pStyle w:val="NoSpacing"/>
              <w:jc w:val="right"/>
            </w:pPr>
            <w:r>
              <w:t>5 March 2015</w:t>
            </w:r>
          </w:p>
        </w:tc>
        <w:tc>
          <w:tcPr>
            <w:tcW w:w="283" w:type="dxa"/>
            <w:tcMar>
              <w:left w:w="57" w:type="dxa"/>
              <w:right w:w="57" w:type="dxa"/>
            </w:tcMar>
          </w:tcPr>
          <w:p w:rsidR="00AD6F90" w:rsidRPr="00B4687B" w:rsidRDefault="00AD6F90" w:rsidP="001F1530">
            <w:pPr>
              <w:pStyle w:val="NoSpacing"/>
            </w:pPr>
          </w:p>
        </w:tc>
        <w:tc>
          <w:tcPr>
            <w:tcW w:w="2286" w:type="dxa"/>
            <w:tcMar>
              <w:left w:w="57" w:type="dxa"/>
              <w:right w:w="57" w:type="dxa"/>
            </w:tcMar>
          </w:tcPr>
          <w:p w:rsidR="00AD6F90" w:rsidRPr="00B4687B" w:rsidRDefault="00AD6F90" w:rsidP="001F1530">
            <w:pPr>
              <w:pStyle w:val="NoSpacing"/>
            </w:pPr>
            <w:r w:rsidRPr="00B4687B">
              <w:t>Clinical Outcomes</w:t>
            </w: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AD6F90" w:rsidRDefault="00AD6F90" w:rsidP="001F1530">
            <w:pPr>
              <w:pStyle w:val="NoSpacing"/>
            </w:pPr>
          </w:p>
        </w:tc>
        <w:tc>
          <w:tcPr>
            <w:tcW w:w="3585" w:type="dxa"/>
            <w:tcMar>
              <w:left w:w="57" w:type="dxa"/>
              <w:right w:w="57" w:type="dxa"/>
            </w:tcMar>
          </w:tcPr>
          <w:p w:rsidR="00AD6F90" w:rsidRDefault="00AD6F90" w:rsidP="001F1530">
            <w:pPr>
              <w:pStyle w:val="NoSpacing"/>
            </w:pPr>
            <w:r>
              <w:t>April 2014 to September 2014</w:t>
            </w:r>
          </w:p>
        </w:tc>
      </w:tr>
      <w:tr w:rsidR="00AD6F90" w:rsidTr="00AD6F90">
        <w:trPr>
          <w:trHeight w:val="137"/>
        </w:trPr>
        <w:tc>
          <w:tcPr>
            <w:tcW w:w="2132" w:type="dxa"/>
            <w:tcMar>
              <w:left w:w="57" w:type="dxa"/>
              <w:right w:w="57" w:type="dxa"/>
            </w:tcMar>
          </w:tcPr>
          <w:p w:rsidR="00AD6F90" w:rsidRDefault="00AD6F90" w:rsidP="00AD6F90">
            <w:pPr>
              <w:pStyle w:val="NoSpacing"/>
              <w:jc w:val="right"/>
            </w:pPr>
            <w:r>
              <w:t>6 November 2014</w:t>
            </w:r>
          </w:p>
        </w:tc>
        <w:tc>
          <w:tcPr>
            <w:tcW w:w="283" w:type="dxa"/>
            <w:tcMar>
              <w:left w:w="57" w:type="dxa"/>
              <w:right w:w="57" w:type="dxa"/>
            </w:tcMar>
          </w:tcPr>
          <w:p w:rsidR="00AD6F90" w:rsidRPr="00B4687B" w:rsidRDefault="00AD6F90" w:rsidP="00CD11F6">
            <w:pPr>
              <w:pStyle w:val="NoSpacing"/>
            </w:pPr>
          </w:p>
        </w:tc>
        <w:tc>
          <w:tcPr>
            <w:tcW w:w="2286" w:type="dxa"/>
            <w:tcMar>
              <w:left w:w="57" w:type="dxa"/>
              <w:right w:w="57" w:type="dxa"/>
            </w:tcMar>
          </w:tcPr>
          <w:p w:rsidR="00AD6F90" w:rsidRPr="00B4687B" w:rsidRDefault="00AD6F90" w:rsidP="00CD11F6">
            <w:pPr>
              <w:pStyle w:val="NoSpacing"/>
            </w:pPr>
            <w:r>
              <w:t>Systems Indicators</w:t>
            </w: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AD6F90" w:rsidRDefault="00AD6F90" w:rsidP="00CD11F6">
            <w:pPr>
              <w:pStyle w:val="NoSpacing"/>
            </w:pPr>
          </w:p>
        </w:tc>
        <w:tc>
          <w:tcPr>
            <w:tcW w:w="3585" w:type="dxa"/>
            <w:tcMar>
              <w:left w:w="57" w:type="dxa"/>
              <w:right w:w="57" w:type="dxa"/>
            </w:tcMar>
          </w:tcPr>
          <w:p w:rsidR="00AD6F90" w:rsidRDefault="00AD6F90" w:rsidP="00CD11F6">
            <w:pPr>
              <w:pStyle w:val="NoSpacing"/>
            </w:pPr>
            <w:r>
              <w:t>April 2013 to August 2014</w:t>
            </w:r>
          </w:p>
        </w:tc>
      </w:tr>
      <w:tr w:rsidR="00AD6F90" w:rsidTr="00AD6F90">
        <w:trPr>
          <w:trHeight w:val="137"/>
        </w:trPr>
        <w:tc>
          <w:tcPr>
            <w:tcW w:w="2132" w:type="dxa"/>
            <w:tcMar>
              <w:left w:w="57" w:type="dxa"/>
              <w:right w:w="57" w:type="dxa"/>
            </w:tcMar>
          </w:tcPr>
          <w:p w:rsidR="00AD6F90" w:rsidRPr="00875FD5" w:rsidRDefault="00AD6F90" w:rsidP="00AD6F90">
            <w:pPr>
              <w:pStyle w:val="NoSpacing"/>
              <w:jc w:val="right"/>
            </w:pPr>
            <w:r>
              <w:t>5 September 2014</w:t>
            </w:r>
          </w:p>
        </w:tc>
        <w:tc>
          <w:tcPr>
            <w:tcW w:w="283" w:type="dxa"/>
            <w:tcMar>
              <w:left w:w="57" w:type="dxa"/>
              <w:right w:w="57" w:type="dxa"/>
            </w:tcMar>
          </w:tcPr>
          <w:p w:rsidR="00AD6F90" w:rsidRPr="00B4687B" w:rsidRDefault="00AD6F90" w:rsidP="00AD6F90">
            <w:pPr>
              <w:pStyle w:val="NoSpacing"/>
            </w:pPr>
          </w:p>
        </w:tc>
        <w:tc>
          <w:tcPr>
            <w:tcW w:w="2286" w:type="dxa"/>
            <w:tcMar>
              <w:left w:w="57" w:type="dxa"/>
              <w:right w:w="57" w:type="dxa"/>
            </w:tcMar>
          </w:tcPr>
          <w:p w:rsidR="00AD6F90" w:rsidRPr="00B4687B" w:rsidRDefault="00AD6F90" w:rsidP="00AD6F90">
            <w:pPr>
              <w:pStyle w:val="NoSpacing"/>
            </w:pPr>
            <w:r w:rsidRPr="00B4687B">
              <w:t>Clinical Outcomes</w:t>
            </w: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AD6F90" w:rsidRDefault="00AD6F90" w:rsidP="00AD6F90">
            <w:pPr>
              <w:pStyle w:val="NoSpacing"/>
            </w:pPr>
          </w:p>
        </w:tc>
        <w:tc>
          <w:tcPr>
            <w:tcW w:w="3585" w:type="dxa"/>
            <w:tcMar>
              <w:left w:w="57" w:type="dxa"/>
              <w:right w:w="57" w:type="dxa"/>
            </w:tcMar>
          </w:tcPr>
          <w:p w:rsidR="00AD6F90" w:rsidRDefault="00AD6F90" w:rsidP="00AD6F90">
            <w:pPr>
              <w:pStyle w:val="NoSpacing"/>
            </w:pPr>
            <w:r>
              <w:t>April 2013 to March 2014</w:t>
            </w:r>
          </w:p>
        </w:tc>
      </w:tr>
      <w:tr w:rsidR="00AD6F90" w:rsidTr="00AD6F90">
        <w:trPr>
          <w:trHeight w:val="271"/>
        </w:trPr>
        <w:tc>
          <w:tcPr>
            <w:tcW w:w="2132" w:type="dxa"/>
            <w:tcMar>
              <w:left w:w="57" w:type="dxa"/>
              <w:right w:w="57" w:type="dxa"/>
            </w:tcMar>
          </w:tcPr>
          <w:p w:rsidR="00AD6F90" w:rsidRDefault="00AD6F90" w:rsidP="00AD6F90">
            <w:pPr>
              <w:pStyle w:val="NoSpacing"/>
              <w:jc w:val="right"/>
            </w:pPr>
            <w:r>
              <w:t>2 May 2014</w:t>
            </w:r>
          </w:p>
        </w:tc>
        <w:tc>
          <w:tcPr>
            <w:tcW w:w="283" w:type="dxa"/>
            <w:tcMar>
              <w:left w:w="57" w:type="dxa"/>
              <w:right w:w="57" w:type="dxa"/>
            </w:tcMar>
          </w:tcPr>
          <w:p w:rsidR="00AD6F90" w:rsidRPr="00B4687B" w:rsidRDefault="00AD6F90" w:rsidP="00AD6F90">
            <w:pPr>
              <w:pStyle w:val="NoSpacing"/>
            </w:pPr>
          </w:p>
        </w:tc>
        <w:tc>
          <w:tcPr>
            <w:tcW w:w="2286" w:type="dxa"/>
            <w:tcMar>
              <w:left w:w="57" w:type="dxa"/>
              <w:right w:w="57" w:type="dxa"/>
            </w:tcMar>
          </w:tcPr>
          <w:p w:rsidR="00AD6F90" w:rsidRPr="00B4687B" w:rsidRDefault="00AD6F90" w:rsidP="00AD6F90">
            <w:pPr>
              <w:pStyle w:val="NoSpacing"/>
            </w:pPr>
            <w:r w:rsidRPr="00B4687B">
              <w:t>Systems Indicators</w:t>
            </w: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AD6F90" w:rsidRDefault="00AD6F90" w:rsidP="00AD6F90">
            <w:pPr>
              <w:pStyle w:val="NoSpacing"/>
            </w:pPr>
          </w:p>
        </w:tc>
        <w:tc>
          <w:tcPr>
            <w:tcW w:w="3585" w:type="dxa"/>
            <w:tcMar>
              <w:left w:w="57" w:type="dxa"/>
              <w:right w:w="57" w:type="dxa"/>
            </w:tcMar>
          </w:tcPr>
          <w:p w:rsidR="00AD6F90" w:rsidRDefault="00AD6F90" w:rsidP="00AD6F90">
            <w:pPr>
              <w:pStyle w:val="NoSpacing"/>
            </w:pPr>
            <w:r>
              <w:t>April 2013 to February 2014</w:t>
            </w:r>
          </w:p>
        </w:tc>
      </w:tr>
      <w:tr w:rsidR="00AD6F90" w:rsidTr="00AD6F90">
        <w:trPr>
          <w:trHeight w:val="70"/>
        </w:trPr>
        <w:tc>
          <w:tcPr>
            <w:tcW w:w="2132" w:type="dxa"/>
            <w:tcMar>
              <w:left w:w="57" w:type="dxa"/>
              <w:right w:w="57" w:type="dxa"/>
            </w:tcMar>
          </w:tcPr>
          <w:p w:rsidR="00AD6F90" w:rsidRDefault="00AD6F90" w:rsidP="00AD6F90">
            <w:pPr>
              <w:pStyle w:val="NoSpacing"/>
              <w:jc w:val="right"/>
            </w:pPr>
            <w:r>
              <w:t>7 March 2014</w:t>
            </w:r>
          </w:p>
        </w:tc>
        <w:tc>
          <w:tcPr>
            <w:tcW w:w="283" w:type="dxa"/>
            <w:tcMar>
              <w:left w:w="57" w:type="dxa"/>
              <w:right w:w="57" w:type="dxa"/>
            </w:tcMar>
          </w:tcPr>
          <w:p w:rsidR="00AD6F90" w:rsidRPr="00B4687B" w:rsidRDefault="00AD6F90" w:rsidP="00AD6F90">
            <w:pPr>
              <w:pStyle w:val="NoSpacing"/>
            </w:pPr>
          </w:p>
        </w:tc>
        <w:tc>
          <w:tcPr>
            <w:tcW w:w="2286" w:type="dxa"/>
            <w:tcMar>
              <w:left w:w="57" w:type="dxa"/>
              <w:right w:w="57" w:type="dxa"/>
            </w:tcMar>
          </w:tcPr>
          <w:p w:rsidR="00AD6F90" w:rsidRPr="00B4687B" w:rsidRDefault="00AD6F90" w:rsidP="00AD6F90">
            <w:pPr>
              <w:pStyle w:val="NoSpacing"/>
            </w:pPr>
            <w:r w:rsidRPr="00B4687B">
              <w:t>Clinical Outcomes</w:t>
            </w: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AD6F90" w:rsidRDefault="00AD6F90" w:rsidP="00AD6F90">
            <w:pPr>
              <w:pStyle w:val="NoSpacing"/>
            </w:pPr>
          </w:p>
        </w:tc>
        <w:tc>
          <w:tcPr>
            <w:tcW w:w="3585" w:type="dxa"/>
            <w:tcMar>
              <w:left w:w="57" w:type="dxa"/>
              <w:right w:w="57" w:type="dxa"/>
            </w:tcMar>
          </w:tcPr>
          <w:p w:rsidR="00AD6F90" w:rsidRDefault="00AD6F90" w:rsidP="00AD6F90">
            <w:pPr>
              <w:pStyle w:val="NoSpacing"/>
            </w:pPr>
            <w:r>
              <w:t>April 2013 to September 2013</w:t>
            </w:r>
          </w:p>
        </w:tc>
      </w:tr>
      <w:tr w:rsidR="00AD6F90" w:rsidTr="00AD6F90">
        <w:trPr>
          <w:trHeight w:val="123"/>
        </w:trPr>
        <w:tc>
          <w:tcPr>
            <w:tcW w:w="2132" w:type="dxa"/>
            <w:tcMar>
              <w:left w:w="57" w:type="dxa"/>
              <w:right w:w="57" w:type="dxa"/>
            </w:tcMar>
          </w:tcPr>
          <w:p w:rsidR="00AD6F90" w:rsidRDefault="00AD6F90" w:rsidP="00AD6F90">
            <w:pPr>
              <w:pStyle w:val="NoSpacing"/>
              <w:jc w:val="right"/>
            </w:pPr>
            <w:r>
              <w:t>1 November 2013</w:t>
            </w:r>
          </w:p>
        </w:tc>
        <w:tc>
          <w:tcPr>
            <w:tcW w:w="283" w:type="dxa"/>
            <w:tcMar>
              <w:left w:w="57" w:type="dxa"/>
              <w:right w:w="57" w:type="dxa"/>
            </w:tcMar>
          </w:tcPr>
          <w:p w:rsidR="00AD6F90" w:rsidRPr="00B4687B" w:rsidRDefault="00AD6F90" w:rsidP="00AD6F90">
            <w:pPr>
              <w:pStyle w:val="NoSpacing"/>
            </w:pPr>
          </w:p>
        </w:tc>
        <w:tc>
          <w:tcPr>
            <w:tcW w:w="2286" w:type="dxa"/>
            <w:tcMar>
              <w:left w:w="57" w:type="dxa"/>
              <w:right w:w="57" w:type="dxa"/>
            </w:tcMar>
          </w:tcPr>
          <w:p w:rsidR="00AD6F90" w:rsidRPr="00B4687B" w:rsidRDefault="00AD6F90" w:rsidP="00AD6F90">
            <w:pPr>
              <w:pStyle w:val="NoSpacing"/>
            </w:pPr>
            <w:r w:rsidRPr="00B4687B">
              <w:t>Systems Indicators</w:t>
            </w: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AD6F90" w:rsidRDefault="00AD6F90" w:rsidP="00AD6F90">
            <w:pPr>
              <w:pStyle w:val="NoSpacing"/>
            </w:pPr>
          </w:p>
        </w:tc>
        <w:tc>
          <w:tcPr>
            <w:tcW w:w="3585" w:type="dxa"/>
            <w:tcMar>
              <w:left w:w="57" w:type="dxa"/>
              <w:right w:w="57" w:type="dxa"/>
            </w:tcMar>
          </w:tcPr>
          <w:p w:rsidR="00AD6F90" w:rsidRDefault="00AD6F90" w:rsidP="00AD6F90">
            <w:pPr>
              <w:pStyle w:val="NoSpacing"/>
            </w:pPr>
            <w:r>
              <w:t>April 2013 to August 2013</w:t>
            </w:r>
          </w:p>
        </w:tc>
      </w:tr>
      <w:tr w:rsidR="00AD6F90" w:rsidTr="00AD6F90">
        <w:trPr>
          <w:trHeight w:val="269"/>
        </w:trPr>
        <w:tc>
          <w:tcPr>
            <w:tcW w:w="2132" w:type="dxa"/>
            <w:tcMar>
              <w:left w:w="57" w:type="dxa"/>
              <w:right w:w="57" w:type="dxa"/>
            </w:tcMar>
          </w:tcPr>
          <w:p w:rsidR="00AD6F90" w:rsidRDefault="00AD6F90" w:rsidP="00AD6F90">
            <w:pPr>
              <w:pStyle w:val="NoSpacing"/>
              <w:jc w:val="right"/>
            </w:pPr>
            <w:r>
              <w:t>2 August 2013</w:t>
            </w:r>
          </w:p>
        </w:tc>
        <w:tc>
          <w:tcPr>
            <w:tcW w:w="283" w:type="dxa"/>
            <w:tcMar>
              <w:left w:w="57" w:type="dxa"/>
              <w:right w:w="57" w:type="dxa"/>
            </w:tcMar>
          </w:tcPr>
          <w:p w:rsidR="00AD6F90" w:rsidRPr="00B4687B" w:rsidRDefault="00AD6F90" w:rsidP="00AD6F90">
            <w:pPr>
              <w:pStyle w:val="NoSpacing"/>
            </w:pPr>
          </w:p>
        </w:tc>
        <w:tc>
          <w:tcPr>
            <w:tcW w:w="2286" w:type="dxa"/>
            <w:tcMar>
              <w:left w:w="57" w:type="dxa"/>
              <w:right w:w="57" w:type="dxa"/>
            </w:tcMar>
          </w:tcPr>
          <w:p w:rsidR="00AD6F90" w:rsidRPr="00B4687B" w:rsidRDefault="00AD6F90" w:rsidP="00AD6F90">
            <w:pPr>
              <w:pStyle w:val="NoSpacing"/>
            </w:pPr>
            <w:r w:rsidRPr="00B4687B">
              <w:t>Clinical Outcomes</w:t>
            </w: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AD6F90" w:rsidRDefault="00AD6F90" w:rsidP="00AD6F90">
            <w:pPr>
              <w:pStyle w:val="NoSpacing"/>
            </w:pPr>
          </w:p>
        </w:tc>
        <w:tc>
          <w:tcPr>
            <w:tcW w:w="3585" w:type="dxa"/>
            <w:tcMar>
              <w:left w:w="57" w:type="dxa"/>
              <w:right w:w="57" w:type="dxa"/>
            </w:tcMar>
          </w:tcPr>
          <w:p w:rsidR="00AD6F90" w:rsidRDefault="00AD6F90" w:rsidP="00AD6F90">
            <w:pPr>
              <w:pStyle w:val="NoSpacing"/>
            </w:pPr>
            <w:r>
              <w:t>April 2012 to March 2013</w:t>
            </w:r>
          </w:p>
        </w:tc>
      </w:tr>
      <w:tr w:rsidR="00AD6F90" w:rsidTr="00AD6F90">
        <w:trPr>
          <w:trHeight w:val="118"/>
        </w:trPr>
        <w:tc>
          <w:tcPr>
            <w:tcW w:w="2132" w:type="dxa"/>
            <w:tcMar>
              <w:left w:w="57" w:type="dxa"/>
              <w:right w:w="57" w:type="dxa"/>
            </w:tcMar>
          </w:tcPr>
          <w:p w:rsidR="00AD6F90" w:rsidRDefault="00AD6F90" w:rsidP="00AD6F90">
            <w:pPr>
              <w:pStyle w:val="NoSpacing"/>
              <w:jc w:val="right"/>
            </w:pPr>
            <w:r>
              <w:t>3 May 2013</w:t>
            </w:r>
          </w:p>
        </w:tc>
        <w:tc>
          <w:tcPr>
            <w:tcW w:w="283" w:type="dxa"/>
            <w:tcMar>
              <w:left w:w="57" w:type="dxa"/>
              <w:right w:w="57" w:type="dxa"/>
            </w:tcMar>
          </w:tcPr>
          <w:p w:rsidR="00AD6F90" w:rsidRPr="00B4687B" w:rsidRDefault="00AD6F90" w:rsidP="00AD6F90">
            <w:pPr>
              <w:pStyle w:val="NoSpacing"/>
            </w:pPr>
          </w:p>
        </w:tc>
        <w:tc>
          <w:tcPr>
            <w:tcW w:w="2286" w:type="dxa"/>
            <w:tcMar>
              <w:left w:w="57" w:type="dxa"/>
              <w:right w:w="57" w:type="dxa"/>
            </w:tcMar>
          </w:tcPr>
          <w:p w:rsidR="00AD6F90" w:rsidRPr="00B4687B" w:rsidRDefault="00AD6F90" w:rsidP="00AD6F90">
            <w:pPr>
              <w:pStyle w:val="NoSpacing"/>
            </w:pPr>
            <w:r w:rsidRPr="00B4687B">
              <w:t>Systems Indicators</w:t>
            </w: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AD6F90" w:rsidRDefault="00AD6F90" w:rsidP="00AD6F90">
            <w:pPr>
              <w:pStyle w:val="NoSpacing"/>
            </w:pPr>
          </w:p>
        </w:tc>
        <w:tc>
          <w:tcPr>
            <w:tcW w:w="3585" w:type="dxa"/>
            <w:tcMar>
              <w:left w:w="57" w:type="dxa"/>
              <w:right w:w="57" w:type="dxa"/>
            </w:tcMar>
          </w:tcPr>
          <w:p w:rsidR="00AD6F90" w:rsidRDefault="00AD6F90" w:rsidP="00AD6F90">
            <w:pPr>
              <w:pStyle w:val="NoSpacing"/>
            </w:pPr>
            <w:r>
              <w:t>April 2012 to March 2013</w:t>
            </w:r>
          </w:p>
        </w:tc>
      </w:tr>
      <w:tr w:rsidR="00AD6F90" w:rsidTr="00AD6F90">
        <w:trPr>
          <w:trHeight w:val="121"/>
        </w:trPr>
        <w:tc>
          <w:tcPr>
            <w:tcW w:w="2132" w:type="dxa"/>
            <w:tcMar>
              <w:left w:w="57" w:type="dxa"/>
              <w:right w:w="57" w:type="dxa"/>
            </w:tcMar>
          </w:tcPr>
          <w:p w:rsidR="00AD6F90" w:rsidRDefault="00AD6F90" w:rsidP="00AD6F90">
            <w:pPr>
              <w:pStyle w:val="NoSpacing"/>
              <w:jc w:val="right"/>
            </w:pPr>
            <w:r>
              <w:t>1 February 2013</w:t>
            </w:r>
          </w:p>
        </w:tc>
        <w:tc>
          <w:tcPr>
            <w:tcW w:w="283" w:type="dxa"/>
            <w:tcMar>
              <w:left w:w="57" w:type="dxa"/>
              <w:right w:w="57" w:type="dxa"/>
            </w:tcMar>
          </w:tcPr>
          <w:p w:rsidR="00AD6F90" w:rsidRPr="00B4687B" w:rsidRDefault="00AD6F90" w:rsidP="00AD6F90">
            <w:pPr>
              <w:pStyle w:val="NoSpacing"/>
            </w:pPr>
          </w:p>
        </w:tc>
        <w:tc>
          <w:tcPr>
            <w:tcW w:w="2286" w:type="dxa"/>
            <w:tcMar>
              <w:left w:w="57" w:type="dxa"/>
              <w:right w:w="57" w:type="dxa"/>
            </w:tcMar>
          </w:tcPr>
          <w:p w:rsidR="00AD6F90" w:rsidRPr="00B4687B" w:rsidRDefault="00AD6F90" w:rsidP="00AD6F90">
            <w:pPr>
              <w:pStyle w:val="NoSpacing"/>
            </w:pPr>
            <w:r w:rsidRPr="00B4687B">
              <w:t>Clinical Outcomes</w:t>
            </w: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AD6F90" w:rsidRDefault="00AD6F90" w:rsidP="00AD6F90">
            <w:pPr>
              <w:pStyle w:val="NoSpacing"/>
            </w:pPr>
          </w:p>
        </w:tc>
        <w:tc>
          <w:tcPr>
            <w:tcW w:w="3585" w:type="dxa"/>
            <w:tcMar>
              <w:left w:w="57" w:type="dxa"/>
              <w:right w:w="57" w:type="dxa"/>
            </w:tcMar>
          </w:tcPr>
          <w:p w:rsidR="00AD6F90" w:rsidRDefault="00AD6F90" w:rsidP="00AD6F90">
            <w:pPr>
              <w:pStyle w:val="NoSpacing"/>
            </w:pPr>
            <w:r>
              <w:t>April 2012 to August 2012</w:t>
            </w:r>
          </w:p>
        </w:tc>
      </w:tr>
      <w:tr w:rsidR="00AD6F90" w:rsidTr="00AD6F90">
        <w:trPr>
          <w:trHeight w:val="267"/>
        </w:trPr>
        <w:tc>
          <w:tcPr>
            <w:tcW w:w="2132" w:type="dxa"/>
            <w:tcMar>
              <w:left w:w="57" w:type="dxa"/>
              <w:right w:w="57" w:type="dxa"/>
            </w:tcMar>
          </w:tcPr>
          <w:p w:rsidR="00AD6F90" w:rsidRDefault="00AD6F90" w:rsidP="00AD6F90">
            <w:pPr>
              <w:pStyle w:val="NoSpacing"/>
              <w:jc w:val="right"/>
            </w:pPr>
            <w:r>
              <w:t>11 January 2013</w:t>
            </w:r>
          </w:p>
        </w:tc>
        <w:tc>
          <w:tcPr>
            <w:tcW w:w="283" w:type="dxa"/>
            <w:tcMar>
              <w:left w:w="57" w:type="dxa"/>
              <w:right w:w="57" w:type="dxa"/>
            </w:tcMar>
          </w:tcPr>
          <w:p w:rsidR="00AD6F90" w:rsidRPr="00B4687B" w:rsidRDefault="00AD6F90" w:rsidP="00AD6F90">
            <w:pPr>
              <w:pStyle w:val="NoSpacing"/>
            </w:pPr>
          </w:p>
        </w:tc>
        <w:tc>
          <w:tcPr>
            <w:tcW w:w="2286" w:type="dxa"/>
            <w:tcMar>
              <w:left w:w="57" w:type="dxa"/>
              <w:right w:w="57" w:type="dxa"/>
            </w:tcMar>
          </w:tcPr>
          <w:p w:rsidR="00AD6F90" w:rsidRPr="00B4687B" w:rsidRDefault="00AD6F90" w:rsidP="00AD6F90">
            <w:pPr>
              <w:pStyle w:val="NoSpacing"/>
            </w:pPr>
            <w:r w:rsidRPr="00B4687B">
              <w:t>Systems Indicators</w:t>
            </w: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AD6F90" w:rsidRDefault="00AD6F90" w:rsidP="00AD6F90">
            <w:pPr>
              <w:pStyle w:val="NoSpacing"/>
            </w:pPr>
          </w:p>
        </w:tc>
        <w:tc>
          <w:tcPr>
            <w:tcW w:w="3585" w:type="dxa"/>
            <w:tcMar>
              <w:left w:w="57" w:type="dxa"/>
              <w:right w:w="57" w:type="dxa"/>
            </w:tcMar>
          </w:tcPr>
          <w:p w:rsidR="00AD6F90" w:rsidRDefault="00AD6F90" w:rsidP="00AD6F90">
            <w:pPr>
              <w:pStyle w:val="NoSpacing"/>
            </w:pPr>
            <w:r>
              <w:t>April 2011 to October 2012</w:t>
            </w:r>
          </w:p>
        </w:tc>
      </w:tr>
      <w:tr w:rsidR="00AD6F90" w:rsidTr="00AD6F90">
        <w:trPr>
          <w:trHeight w:val="115"/>
        </w:trPr>
        <w:tc>
          <w:tcPr>
            <w:tcW w:w="2132" w:type="dxa"/>
            <w:tcMar>
              <w:left w:w="57" w:type="dxa"/>
              <w:right w:w="57" w:type="dxa"/>
            </w:tcMar>
          </w:tcPr>
          <w:p w:rsidR="00AD6F90" w:rsidRDefault="00AD6F90" w:rsidP="00AD6F90">
            <w:pPr>
              <w:pStyle w:val="NoSpacing"/>
              <w:jc w:val="right"/>
            </w:pPr>
            <w:r>
              <w:t>31 August 2012</w:t>
            </w:r>
          </w:p>
        </w:tc>
        <w:tc>
          <w:tcPr>
            <w:tcW w:w="283" w:type="dxa"/>
            <w:tcMar>
              <w:left w:w="57" w:type="dxa"/>
              <w:right w:w="57" w:type="dxa"/>
            </w:tcMar>
          </w:tcPr>
          <w:p w:rsidR="00AD6F90" w:rsidRPr="00B4687B" w:rsidRDefault="00AD6F90" w:rsidP="00AD6F90">
            <w:pPr>
              <w:pStyle w:val="NoSpacing"/>
            </w:pPr>
          </w:p>
        </w:tc>
        <w:tc>
          <w:tcPr>
            <w:tcW w:w="2286" w:type="dxa"/>
            <w:tcMar>
              <w:left w:w="57" w:type="dxa"/>
              <w:right w:w="57" w:type="dxa"/>
            </w:tcMar>
          </w:tcPr>
          <w:p w:rsidR="00AD6F90" w:rsidRPr="00B4687B" w:rsidRDefault="00AD6F90" w:rsidP="00AD6F90">
            <w:pPr>
              <w:pStyle w:val="NoSpacing"/>
            </w:pPr>
            <w:r w:rsidRPr="00B4687B">
              <w:t>Clinical Outcomes</w:t>
            </w:r>
          </w:p>
        </w:tc>
        <w:tc>
          <w:tcPr>
            <w:tcW w:w="236" w:type="dxa"/>
            <w:tcMar>
              <w:left w:w="57" w:type="dxa"/>
              <w:right w:w="57" w:type="dxa"/>
            </w:tcMar>
          </w:tcPr>
          <w:p w:rsidR="00AD6F90" w:rsidRDefault="00AD6F90" w:rsidP="00AD6F90">
            <w:pPr>
              <w:pStyle w:val="NoSpacing"/>
            </w:pPr>
          </w:p>
        </w:tc>
        <w:tc>
          <w:tcPr>
            <w:tcW w:w="3585" w:type="dxa"/>
            <w:tcMar>
              <w:left w:w="57" w:type="dxa"/>
              <w:right w:w="57" w:type="dxa"/>
            </w:tcMar>
          </w:tcPr>
          <w:p w:rsidR="00AD6F90" w:rsidRDefault="00AD6F90" w:rsidP="00AD6F90">
            <w:pPr>
              <w:pStyle w:val="NoSpacing"/>
            </w:pPr>
            <w:r>
              <w:t>April 2011 to March 2012</w:t>
            </w:r>
          </w:p>
        </w:tc>
      </w:tr>
    </w:tbl>
    <w:p w:rsidR="00C739C2" w:rsidRDefault="00C739C2" w:rsidP="004B77EC">
      <w:pPr>
        <w:pStyle w:val="NoSpacing"/>
      </w:pPr>
    </w:p>
    <w:p w:rsidR="009E31EF" w:rsidRDefault="009E31EF" w:rsidP="009E31EF">
      <w:pPr>
        <w:pStyle w:val="Heading3"/>
      </w:pPr>
      <w:r>
        <w:t>C3</w:t>
      </w:r>
      <w:r>
        <w:tab/>
        <w:t>AQI Scope</w:t>
      </w:r>
    </w:p>
    <w:p w:rsidR="009E31EF" w:rsidRDefault="009E31EF" w:rsidP="009E31EF">
      <w:r>
        <w:t xml:space="preserve">The Ambulance Quality Indicators (AQI) </w:t>
      </w:r>
      <w:proofErr w:type="gramStart"/>
      <w:r>
        <w:t>include</w:t>
      </w:r>
      <w:proofErr w:type="gramEnd"/>
      <w:r>
        <w:t xml:space="preserve"> calls made by dialling either the usual UK-wide number 999 or its EU equivalent 112.</w:t>
      </w:r>
    </w:p>
    <w:p w:rsidR="009E31EF" w:rsidRDefault="009E31EF" w:rsidP="009E31EF">
      <w:r>
        <w:t xml:space="preserve">As </w:t>
      </w:r>
      <w:r w:rsidR="004D05E1">
        <w:t>described</w:t>
      </w:r>
      <w:r>
        <w:t xml:space="preserve"> in the specification guidance mentioned above, calls made to NHS 111 are not included in AQI </w:t>
      </w:r>
      <w:r w:rsidR="004D05E1">
        <w:t xml:space="preserve">telephony </w:t>
      </w:r>
      <w:r>
        <w:t>data items. These comprise the measures for calls abandoned (SQU03_1_1), re-contacts (SQU03_2_1 and SQU03_2_2), frequent callers (SQU03_2_3), time to answer calls (SQU03_8_1_1) and calls resolved by telephone advice (SQU03_10_1).</w:t>
      </w:r>
    </w:p>
    <w:p w:rsidR="009E31EF" w:rsidRDefault="009E31EF" w:rsidP="009E31EF">
      <w:r>
        <w:t>All other Systems Indicators involve the dispatch of an ambulance, and they include ambulances dispatched as a result of a call to NHS 111, as well as 999 or 112. Footnotes i</w:t>
      </w:r>
      <w:r w:rsidR="004D05E1">
        <w:t>n the published spreadsheets re</w:t>
      </w:r>
      <w:r>
        <w:t>iterate which data items do and do not include ambulances dispatched as a result of a call to NHS 111.</w:t>
      </w:r>
    </w:p>
    <w:p w:rsidR="0052145B" w:rsidRDefault="0066320C" w:rsidP="00875FD5">
      <w:pPr>
        <w:pStyle w:val="Heading3"/>
      </w:pPr>
      <w:r>
        <w:t>C</w:t>
      </w:r>
      <w:r w:rsidR="00637766">
        <w:t>4</w:t>
      </w:r>
      <w:r>
        <w:tab/>
      </w:r>
      <w:r w:rsidR="0052145B" w:rsidRPr="00335EE6">
        <w:t xml:space="preserve">Related </w:t>
      </w:r>
      <w:r w:rsidR="005C1BA6">
        <w:t>statistics in England</w:t>
      </w:r>
    </w:p>
    <w:p w:rsidR="00E274DD" w:rsidRDefault="005C1BA6" w:rsidP="00E274DD">
      <w:r>
        <w:t xml:space="preserve">The AQI appear </w:t>
      </w:r>
      <w:r w:rsidR="00E274DD">
        <w:t xml:space="preserve">in </w:t>
      </w:r>
      <w:r w:rsidR="000C2092">
        <w:t xml:space="preserve">a Clinical Dashboard, available from </w:t>
      </w:r>
      <w:r w:rsidR="004D05E1">
        <w:t xml:space="preserve">the AQI landing page, the websites of the Ambulance Trusts (listed in the AQI Quality Statement), and </w:t>
      </w:r>
      <w:hyperlink r:id="rId17" w:history="1">
        <w:r w:rsidR="00E274DD" w:rsidRPr="000772FB">
          <w:rPr>
            <w:rStyle w:val="Hyperlink"/>
            <w:lang w:eastAsia="en-US"/>
          </w:rPr>
          <w:t>http://aace.org.uk/national-performance/national-clinical-dashboards</w:t>
        </w:r>
      </w:hyperlink>
      <w:r>
        <w:t>.</w:t>
      </w:r>
      <w:r w:rsidR="007B2D4E">
        <w:t xml:space="preserve"> </w:t>
      </w:r>
      <w:r w:rsidR="00E274DD" w:rsidRPr="000D14CB">
        <w:t>One of the aims of the</w:t>
      </w:r>
      <w:r>
        <w:t>se</w:t>
      </w:r>
      <w:r w:rsidR="00E274DD" w:rsidRPr="000D14CB">
        <w:t xml:space="preserve"> </w:t>
      </w:r>
      <w:r>
        <w:t>D</w:t>
      </w:r>
      <w:r w:rsidR="00E274DD" w:rsidRPr="000D14CB">
        <w:t>ashboard</w:t>
      </w:r>
      <w:r>
        <w:t>s</w:t>
      </w:r>
      <w:r w:rsidR="00E274DD" w:rsidRPr="000D14CB">
        <w:t xml:space="preserve"> is to use statistical process control</w:t>
      </w:r>
      <w:r w:rsidR="000C2092">
        <w:t>,</w:t>
      </w:r>
      <w:r w:rsidR="00E274DD" w:rsidRPr="000D14CB">
        <w:t xml:space="preserve"> to indicate whether variation in performance reflects underlying change</w:t>
      </w:r>
      <w:r w:rsidR="000C2092">
        <w:t>,</w:t>
      </w:r>
      <w:r w:rsidR="00E274DD" w:rsidRPr="000D14CB">
        <w:t xml:space="preserve"> or merely natural variance, unavoidable even when a health system is performing well.</w:t>
      </w:r>
    </w:p>
    <w:p w:rsidR="00054879" w:rsidRDefault="005C1BA6" w:rsidP="00AD6F90">
      <w:r>
        <w:t xml:space="preserve">The AQI </w:t>
      </w:r>
      <w:r w:rsidR="004D05E1">
        <w:t>are also used</w:t>
      </w:r>
      <w:r>
        <w:t xml:space="preserve"> in the </w:t>
      </w:r>
      <w:r w:rsidR="007B2D4E">
        <w:t xml:space="preserve">latest </w:t>
      </w:r>
      <w:r>
        <w:t xml:space="preserve">annual </w:t>
      </w:r>
      <w:r w:rsidR="001A471D">
        <w:t xml:space="preserve">Ambulance Services </w:t>
      </w:r>
      <w:r>
        <w:t xml:space="preserve">publication </w:t>
      </w:r>
      <w:hyperlink r:id="rId18" w:history="1">
        <w:r w:rsidR="007B2D4E" w:rsidRPr="00C33A47">
          <w:rPr>
            <w:rStyle w:val="Hyperlink"/>
          </w:rPr>
          <w:t>www.hscic.gov.uk/article/2021/Website-Search?productid=15165</w:t>
        </w:r>
      </w:hyperlink>
      <w:r w:rsidR="007B2D4E">
        <w:t xml:space="preserve"> by the Health and Social Care Information Centre</w:t>
      </w:r>
      <w:r w:rsidR="001A471D">
        <w:t xml:space="preserve"> (HSCIC)</w:t>
      </w:r>
      <w:r w:rsidR="003E4789">
        <w:t xml:space="preserve">, which includes additional </w:t>
      </w:r>
      <w:r w:rsidR="003E4789" w:rsidRPr="00C739C2">
        <w:t>annual analysis and commentary</w:t>
      </w:r>
      <w:r w:rsidR="003E4789">
        <w:t xml:space="preserve">. </w:t>
      </w:r>
      <w:r w:rsidR="001A471D">
        <w:t xml:space="preserve">Originally, this </w:t>
      </w:r>
      <w:r w:rsidR="003E4789">
        <w:t xml:space="preserve">publication </w:t>
      </w:r>
      <w:r w:rsidR="001A471D">
        <w:t>used t</w:t>
      </w:r>
      <w:r w:rsidR="007B2D4E">
        <w:t xml:space="preserve">he KA34 </w:t>
      </w:r>
      <w:r w:rsidR="001A471D">
        <w:t>data collection</w:t>
      </w:r>
      <w:r w:rsidR="004D05E1">
        <w:t xml:space="preserve">. This </w:t>
      </w:r>
      <w:r w:rsidR="003E4789">
        <w:t xml:space="preserve">was </w:t>
      </w:r>
      <w:r w:rsidR="001A471D">
        <w:t xml:space="preserve">similar to </w:t>
      </w:r>
      <w:r w:rsidR="007B2D4E">
        <w:t>the AQI</w:t>
      </w:r>
      <w:r w:rsidR="003E4789" w:rsidRPr="003E4789">
        <w:t xml:space="preserve"> </w:t>
      </w:r>
      <w:r w:rsidR="003E4789">
        <w:t>Systems Indicators</w:t>
      </w:r>
      <w:r w:rsidR="007B2D4E">
        <w:t xml:space="preserve">, </w:t>
      </w:r>
      <w:r w:rsidR="003E4789">
        <w:t xml:space="preserve">but annual, and </w:t>
      </w:r>
      <w:r w:rsidR="000C2092">
        <w:t xml:space="preserve">ceased collection </w:t>
      </w:r>
      <w:r w:rsidR="007B2D4E">
        <w:t>in March 2013</w:t>
      </w:r>
      <w:r w:rsidR="001A471D">
        <w:t>.</w:t>
      </w:r>
      <w:r w:rsidR="003E4789">
        <w:t xml:space="preserve"> T</w:t>
      </w:r>
      <w:r w:rsidR="001A471D">
        <w:t>he HSCIC</w:t>
      </w:r>
      <w:r w:rsidR="00C739C2">
        <w:t xml:space="preserve"> </w:t>
      </w:r>
      <w:r w:rsidR="001A471D">
        <w:t>release</w:t>
      </w:r>
      <w:r w:rsidR="00C739C2">
        <w:t xml:space="preserve"> </w:t>
      </w:r>
      <w:r w:rsidR="003E4789">
        <w:t xml:space="preserve">therefore </w:t>
      </w:r>
      <w:r w:rsidR="00C739C2">
        <w:t xml:space="preserve">uses </w:t>
      </w:r>
      <w:r w:rsidR="001A471D">
        <w:t xml:space="preserve">AQI </w:t>
      </w:r>
      <w:r w:rsidR="00C739C2">
        <w:t>data</w:t>
      </w:r>
      <w:r w:rsidR="003E4789">
        <w:t xml:space="preserve"> </w:t>
      </w:r>
      <w:r w:rsidR="006606D4">
        <w:t>thereafter.</w:t>
      </w:r>
    </w:p>
    <w:p w:rsidR="00C739C2" w:rsidRDefault="006817AD" w:rsidP="00AD6F90">
      <w:r>
        <w:lastRenderedPageBreak/>
        <w:t xml:space="preserve">The </w:t>
      </w:r>
      <w:r w:rsidR="001A471D">
        <w:t xml:space="preserve">AQI </w:t>
      </w:r>
      <w:r>
        <w:t xml:space="preserve">Quality Statement </w:t>
      </w:r>
      <w:r w:rsidR="00054879">
        <w:t xml:space="preserve">described in section C1 </w:t>
      </w:r>
      <w:r>
        <w:t>contains more information</w:t>
      </w:r>
      <w:r w:rsidR="00054879">
        <w:t xml:space="preserve"> on </w:t>
      </w:r>
      <w:r w:rsidR="004D05E1">
        <w:t xml:space="preserve">the </w:t>
      </w:r>
      <w:r w:rsidR="001A471D">
        <w:t>HSCIC publication</w:t>
      </w:r>
      <w:r w:rsidR="00054879">
        <w:t xml:space="preserve">. It also contains </w:t>
      </w:r>
      <w:r w:rsidR="001A471D">
        <w:t xml:space="preserve">details of </w:t>
      </w:r>
      <w:r w:rsidR="00054879">
        <w:t>weekly ambulance situation reports that NHS England collected for six months from November 2010.</w:t>
      </w:r>
    </w:p>
    <w:p w:rsidR="005C1BA6" w:rsidRDefault="005C1BA6" w:rsidP="005C1BA6">
      <w:pPr>
        <w:pStyle w:val="Heading3"/>
      </w:pPr>
      <w:r>
        <w:t>C</w:t>
      </w:r>
      <w:r w:rsidR="00637766">
        <w:t>5</w:t>
      </w:r>
      <w:r w:rsidR="0066320C">
        <w:tab/>
      </w:r>
      <w:r>
        <w:t>Rest of UK</w:t>
      </w:r>
    </w:p>
    <w:p w:rsidR="00096A9C" w:rsidRDefault="004D05E1" w:rsidP="005538AF">
      <w:pPr>
        <w:rPr>
          <w:rFonts w:cs="Arial"/>
        </w:rPr>
      </w:pPr>
      <w:r>
        <w:rPr>
          <w:rFonts w:cs="Arial"/>
        </w:rPr>
        <w:t>A</w:t>
      </w:r>
      <w:r w:rsidR="00096A9C" w:rsidRPr="005538AF">
        <w:rPr>
          <w:rFonts w:cs="Arial"/>
        </w:rPr>
        <w:t xml:space="preserve">mbulance </w:t>
      </w:r>
      <w:r w:rsidR="005C1BA6" w:rsidRPr="005538AF">
        <w:rPr>
          <w:rFonts w:cs="Arial"/>
        </w:rPr>
        <w:t xml:space="preserve">statistics </w:t>
      </w:r>
      <w:r>
        <w:rPr>
          <w:rFonts w:cs="Arial"/>
        </w:rPr>
        <w:t xml:space="preserve">for other countries of the UK </w:t>
      </w:r>
      <w:r w:rsidR="00096A9C" w:rsidRPr="005538AF">
        <w:rPr>
          <w:rFonts w:cs="Arial"/>
        </w:rPr>
        <w:t>can be found at</w:t>
      </w:r>
      <w:r w:rsidR="0036445B">
        <w:rPr>
          <w:rFonts w:cs="Arial"/>
        </w:rPr>
        <w:t xml:space="preserve"> the following websites. The </w:t>
      </w:r>
      <w:r w:rsidR="001847B2">
        <w:rPr>
          <w:rFonts w:cs="Arial"/>
        </w:rPr>
        <w:t xml:space="preserve">AQI </w:t>
      </w:r>
      <w:r w:rsidR="0036445B">
        <w:rPr>
          <w:rFonts w:cs="Arial"/>
        </w:rPr>
        <w:t>Quality Statement described in section C1 contains more information about the comparability of these statistics</w:t>
      </w:r>
      <w:r>
        <w:rPr>
          <w:rFonts w:cs="Arial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7280"/>
      </w:tblGrid>
      <w:tr w:rsidR="007B2D4E" w:rsidTr="000C2092">
        <w:trPr>
          <w:trHeight w:val="669"/>
        </w:trPr>
        <w:tc>
          <w:tcPr>
            <w:tcW w:w="1242" w:type="dxa"/>
          </w:tcPr>
          <w:p w:rsidR="007B2D4E" w:rsidRDefault="007B2D4E" w:rsidP="0039160E">
            <w:pPr>
              <w:pStyle w:val="NoSpacing"/>
            </w:pPr>
            <w:r w:rsidRPr="000F5B3F">
              <w:t>Wales</w:t>
            </w:r>
            <w:r w:rsidRPr="00151AF2">
              <w:t>:</w:t>
            </w:r>
          </w:p>
        </w:tc>
        <w:tc>
          <w:tcPr>
            <w:tcW w:w="7280" w:type="dxa"/>
          </w:tcPr>
          <w:p w:rsidR="007B2D4E" w:rsidRDefault="008A5626" w:rsidP="0039160E">
            <w:pPr>
              <w:pStyle w:val="NoSpacing"/>
            </w:pPr>
            <w:hyperlink r:id="rId19" w:history="1">
              <w:r w:rsidR="0039160E" w:rsidRPr="00C33A47">
                <w:rPr>
                  <w:rStyle w:val="Hyperlink"/>
                </w:rPr>
                <w:t>http://wales.gov.uk/statistics-and-research/ambulance-services/?lang=en</w:t>
              </w:r>
            </w:hyperlink>
          </w:p>
        </w:tc>
      </w:tr>
      <w:tr w:rsidR="007B2D4E" w:rsidTr="000C2092">
        <w:trPr>
          <w:trHeight w:val="693"/>
        </w:trPr>
        <w:tc>
          <w:tcPr>
            <w:tcW w:w="1242" w:type="dxa"/>
          </w:tcPr>
          <w:p w:rsidR="007B2D4E" w:rsidRDefault="007B2D4E" w:rsidP="0039160E">
            <w:pPr>
              <w:pStyle w:val="NoSpacing"/>
            </w:pPr>
            <w:r w:rsidRPr="000F5B3F">
              <w:t>Scotland</w:t>
            </w:r>
            <w:r>
              <w:t>:</w:t>
            </w:r>
          </w:p>
        </w:tc>
        <w:tc>
          <w:tcPr>
            <w:tcW w:w="7280" w:type="dxa"/>
          </w:tcPr>
          <w:p w:rsidR="007B2D4E" w:rsidRDefault="0039160E" w:rsidP="0039160E">
            <w:pPr>
              <w:pStyle w:val="NoSpacing"/>
            </w:pPr>
            <w:r>
              <w:t xml:space="preserve">See </w:t>
            </w:r>
            <w:r>
              <w:rPr>
                <w:lang w:eastAsia="en-US"/>
              </w:rPr>
              <w:t>Quality Improvement Indicators (QII) documents at</w:t>
            </w:r>
            <w:r>
              <w:t xml:space="preserve"> </w:t>
            </w:r>
            <w:hyperlink r:id="rId20" w:history="1">
              <w:r w:rsidRPr="0042008D">
                <w:rPr>
                  <w:rStyle w:val="Hyperlink"/>
                  <w:lang w:eastAsia="en-US"/>
                </w:rPr>
                <w:t>www.scottishambulance.com/TheService/BoardPapers.aspx</w:t>
              </w:r>
            </w:hyperlink>
          </w:p>
        </w:tc>
      </w:tr>
      <w:tr w:rsidR="007B2D4E" w:rsidTr="000C2092">
        <w:tc>
          <w:tcPr>
            <w:tcW w:w="1242" w:type="dxa"/>
          </w:tcPr>
          <w:p w:rsidR="007B2D4E" w:rsidRDefault="007B2D4E" w:rsidP="0039160E">
            <w:pPr>
              <w:pStyle w:val="NoSpacing"/>
            </w:pPr>
            <w:r w:rsidRPr="000F5B3F">
              <w:t>Northern Ireland</w:t>
            </w:r>
            <w:r>
              <w:t>:</w:t>
            </w:r>
          </w:p>
        </w:tc>
        <w:tc>
          <w:tcPr>
            <w:tcW w:w="7280" w:type="dxa"/>
          </w:tcPr>
          <w:p w:rsidR="007B2D4E" w:rsidRPr="0039160E" w:rsidRDefault="008A5626" w:rsidP="004B77EC">
            <w:pPr>
              <w:rPr>
                <w:lang w:eastAsia="en-US"/>
              </w:rPr>
            </w:pPr>
            <w:hyperlink r:id="rId21" w:history="1">
              <w:r w:rsidR="004B77EC" w:rsidRPr="00F76843">
                <w:rPr>
                  <w:rStyle w:val="Hyperlink"/>
                  <w:lang w:eastAsia="en-US"/>
                </w:rPr>
                <w:t>www.dhsspsni.gov.uk/index/statistics/hospital/emergency-care/ambulance-statistics.htm</w:t>
              </w:r>
            </w:hyperlink>
          </w:p>
        </w:tc>
      </w:tr>
    </w:tbl>
    <w:p w:rsidR="0052145B" w:rsidRPr="000D14CB" w:rsidRDefault="00E324F3" w:rsidP="0039160E">
      <w:pPr>
        <w:pStyle w:val="Heading3"/>
      </w:pPr>
      <w:r>
        <w:t>C</w:t>
      </w:r>
      <w:r w:rsidR="00637766">
        <w:t>6</w:t>
      </w:r>
      <w:r w:rsidR="0066320C">
        <w:tab/>
      </w:r>
      <w:r w:rsidR="00E274DD">
        <w:t>C</w:t>
      </w:r>
      <w:r w:rsidR="000C2092">
        <w:t>ontact information</w:t>
      </w:r>
    </w:p>
    <w:p w:rsidR="00A4253D" w:rsidRDefault="00A4253D" w:rsidP="00A4253D">
      <w:pPr>
        <w:autoSpaceDE w:val="0"/>
        <w:autoSpaceDN w:val="0"/>
        <w:adjustRightInd w:val="0"/>
        <w:rPr>
          <w:rFonts w:cs="Arial"/>
        </w:rPr>
      </w:pPr>
      <w:r w:rsidRPr="000F5B3F">
        <w:rPr>
          <w:rFonts w:cs="Arial"/>
        </w:rPr>
        <w:t xml:space="preserve">For press enquiries, please contact the </w:t>
      </w:r>
      <w:r w:rsidR="00144A92">
        <w:rPr>
          <w:rFonts w:cs="Arial"/>
        </w:rPr>
        <w:t xml:space="preserve">NHS England </w:t>
      </w:r>
      <w:r w:rsidRPr="000F5B3F">
        <w:rPr>
          <w:rFonts w:cs="Arial"/>
        </w:rPr>
        <w:t>press office</w:t>
      </w:r>
      <w:r w:rsidR="00144A92">
        <w:rPr>
          <w:rFonts w:cs="Arial"/>
        </w:rPr>
        <w:t xml:space="preserve"> on 0113 825 0958 or </w:t>
      </w:r>
      <w:hyperlink r:id="rId22" w:history="1">
        <w:r w:rsidR="00144A92" w:rsidRPr="008369E4">
          <w:rPr>
            <w:rStyle w:val="Hyperlink"/>
            <w:rFonts w:cs="Arial"/>
          </w:rPr>
          <w:t>nhsengland.media@nhs.net</w:t>
        </w:r>
      </w:hyperlink>
      <w:r w:rsidR="00144A92">
        <w:rPr>
          <w:rFonts w:cs="Arial"/>
        </w:rPr>
        <w:t>.</w:t>
      </w:r>
    </w:p>
    <w:p w:rsidR="00A4253D" w:rsidRPr="000F5B3F" w:rsidRDefault="00A4253D" w:rsidP="00A4253D">
      <w:pPr>
        <w:autoSpaceDE w:val="0"/>
        <w:autoSpaceDN w:val="0"/>
        <w:adjustRightInd w:val="0"/>
        <w:rPr>
          <w:rFonts w:cs="Arial"/>
        </w:rPr>
      </w:pPr>
      <w:r w:rsidRPr="000F5B3F">
        <w:rPr>
          <w:rFonts w:cs="Arial"/>
        </w:rPr>
        <w:t>The Government Statistical Service (GSS) statistician responsible for producing these data is:</w:t>
      </w:r>
    </w:p>
    <w:p w:rsidR="00C21149" w:rsidRDefault="00151AF2" w:rsidP="00C21149">
      <w:pPr>
        <w:pStyle w:val="NoSpacing"/>
      </w:pPr>
      <w:r w:rsidRPr="000F5B3F">
        <w:t>Ian Kay</w:t>
      </w:r>
      <w:r w:rsidR="00C21149">
        <w:t>,</w:t>
      </w:r>
      <w:r w:rsidR="00C21149" w:rsidRPr="00C21149">
        <w:t xml:space="preserve"> </w:t>
      </w:r>
      <w:r w:rsidR="00C21149" w:rsidRPr="000F5B3F">
        <w:t>Analytical Services (Operations)</w:t>
      </w:r>
      <w:r w:rsidR="00C21149">
        <w:t xml:space="preserve">, </w:t>
      </w:r>
      <w:r w:rsidR="00C21149" w:rsidRPr="000F5B3F">
        <w:t>NHS England</w:t>
      </w:r>
      <w:r w:rsidR="00C21149">
        <w:t xml:space="preserve">, </w:t>
      </w:r>
      <w:r w:rsidR="00C21149" w:rsidRPr="000F5B3F">
        <w:t xml:space="preserve">Room </w:t>
      </w:r>
      <w:r w:rsidR="00C21149">
        <w:t>5E24</w:t>
      </w:r>
      <w:r w:rsidR="00C21149" w:rsidRPr="000F5B3F">
        <w:t>, Quarry House, Leeds, LS2 7UE</w:t>
      </w:r>
    </w:p>
    <w:p w:rsidR="0053124D" w:rsidRPr="000F5B3F" w:rsidRDefault="0053124D" w:rsidP="00C21149">
      <w:pPr>
        <w:pStyle w:val="NoSpacing"/>
      </w:pPr>
      <w:r>
        <w:t>0113 824 9411</w:t>
      </w:r>
    </w:p>
    <w:p w:rsidR="00C21149" w:rsidRDefault="008A5626" w:rsidP="00C21149">
      <w:pPr>
        <w:pStyle w:val="NoSpacing"/>
      </w:pPr>
      <w:hyperlink r:id="rId23" w:history="1">
        <w:r w:rsidR="00C21149" w:rsidRPr="009A0418">
          <w:rPr>
            <w:rStyle w:val="Hyperlink"/>
          </w:rPr>
          <w:t>i.kay@nhs.net</w:t>
        </w:r>
      </w:hyperlink>
    </w:p>
    <w:sectPr w:rsidR="00C21149" w:rsidSect="00B412D1">
      <w:headerReference w:type="default" r:id="rId24"/>
      <w:footerReference w:type="default" r:id="rId25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AB5" w:rsidRDefault="00CE2AB5" w:rsidP="008C63D3">
      <w:r>
        <w:separator/>
      </w:r>
    </w:p>
  </w:endnote>
  <w:endnote w:type="continuationSeparator" w:id="0">
    <w:p w:rsidR="00CE2AB5" w:rsidRDefault="00CE2AB5" w:rsidP="008C6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AB5" w:rsidRDefault="00CE2AB5" w:rsidP="00E924D4">
    <w:pPr>
      <w:pStyle w:val="Footer"/>
      <w:tabs>
        <w:tab w:val="clear" w:pos="9026"/>
        <w:tab w:val="left" w:pos="5025"/>
        <w:tab w:val="right" w:pos="8364"/>
      </w:tabs>
    </w:pPr>
    <w:r>
      <w:t>NHS England AQI Stat</w:t>
    </w:r>
    <w:r w:rsidR="00BC6A0B">
      <w:t xml:space="preserve">istical Note, </w:t>
    </w:r>
    <w:r w:rsidR="008F3E74">
      <w:t>5</w:t>
    </w:r>
    <w:r w:rsidR="004B77EC">
      <w:t xml:space="preserve"> </w:t>
    </w:r>
    <w:r w:rsidR="008F3E74">
      <w:t xml:space="preserve">February </w:t>
    </w:r>
    <w:r w:rsidR="004B77EC">
      <w:t>2015</w:t>
    </w:r>
    <w:r>
      <w:t>.</w:t>
    </w:r>
    <w:r>
      <w:tab/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8A5626">
      <w:rPr>
        <w:noProof/>
      </w:rPr>
      <w:t>1</w:t>
    </w:r>
    <w:r>
      <w:rPr>
        <w:noProof/>
      </w:rPr>
      <w:fldChar w:fldCharType="end"/>
    </w:r>
    <w:r>
      <w:rPr>
        <w:noProof/>
      </w:rPr>
      <w:t xml:space="preserve"> of </w:t>
    </w:r>
    <w:fldSimple w:instr=" NUMPAGES   \* MERGEFORMAT ">
      <w:r w:rsidR="008A5626">
        <w:rPr>
          <w:noProof/>
        </w:rPr>
        <w:t>10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AB5" w:rsidRDefault="00CE2AB5" w:rsidP="008C63D3">
      <w:r>
        <w:separator/>
      </w:r>
    </w:p>
  </w:footnote>
  <w:footnote w:type="continuationSeparator" w:id="0">
    <w:p w:rsidR="00CE2AB5" w:rsidRDefault="00CE2AB5" w:rsidP="008C63D3">
      <w:r>
        <w:continuationSeparator/>
      </w:r>
    </w:p>
  </w:footnote>
  <w:footnote w:id="1">
    <w:p w:rsidR="00A65D0F" w:rsidRPr="00DC4BF3" w:rsidRDefault="00CE2AB5" w:rsidP="00526112">
      <w:pPr>
        <w:pStyle w:val="Footer"/>
        <w:rPr>
          <w:rFonts w:cs="Arial"/>
          <w:color w:val="0000FF"/>
          <w:szCs w:val="20"/>
          <w:u w:val="single"/>
        </w:rPr>
      </w:pPr>
      <w:r>
        <w:rPr>
          <w:rStyle w:val="FootnoteReference"/>
        </w:rPr>
        <w:footnoteRef/>
      </w:r>
      <w:r>
        <w:t xml:space="preserve"> On 1 June 2012, </w:t>
      </w:r>
      <w:r w:rsidRPr="00340492">
        <w:t xml:space="preserve">Category </w:t>
      </w:r>
      <w:proofErr w:type="gramStart"/>
      <w:r w:rsidRPr="00340492">
        <w:t>A</w:t>
      </w:r>
      <w:proofErr w:type="gramEnd"/>
      <w:r w:rsidRPr="00340492">
        <w:t xml:space="preserve"> (immediately life-threatening)</w:t>
      </w:r>
      <w:r>
        <w:t xml:space="preserve"> calls were </w:t>
      </w:r>
      <w:r w:rsidRPr="00E043A8">
        <w:t xml:space="preserve">split into </w:t>
      </w:r>
      <w:r>
        <w:t xml:space="preserve">Red 1 and Red 2. </w:t>
      </w:r>
      <w:r w:rsidRPr="00340492">
        <w:t>Red 1 calls are the most time critical, and cover cardiac arrest patients who are not breathing and do not have a pulse, and other severe conditions such as airway obstruction. Red 2 calls are serious, but less immediately time critical, and cover conditions such as stroke and fits</w:t>
      </w:r>
      <w:r>
        <w:t xml:space="preserve">. </w:t>
      </w:r>
      <w:hyperlink r:id="rId1" w:history="1">
        <w:r w:rsidRPr="00340492">
          <w:rPr>
            <w:rStyle w:val="Hyperlink"/>
            <w:rFonts w:cs="Arial"/>
            <w:szCs w:val="20"/>
          </w:rPr>
          <w:t>www.gov.uk/government/news/changes-to-ambulance-response-time-categories</w:t>
        </w:r>
      </w:hyperlink>
    </w:p>
  </w:footnote>
  <w:footnote w:id="2">
    <w:p w:rsidR="00E924D4" w:rsidRDefault="00CE2AB5" w:rsidP="00775632">
      <w:pPr>
        <w:pStyle w:val="Footer"/>
      </w:pPr>
      <w:r>
        <w:rPr>
          <w:rStyle w:val="FootnoteReference"/>
        </w:rPr>
        <w:footnoteRef/>
      </w:r>
      <w:r>
        <w:t xml:space="preserve"> </w:t>
      </w:r>
      <w:r w:rsidR="00921ACE">
        <w:t>Ambulance response time</w:t>
      </w:r>
      <w:r>
        <w:t xml:space="preserve"> </w:t>
      </w:r>
      <w:r w:rsidR="00921ACE">
        <w:t xml:space="preserve">standards </w:t>
      </w:r>
      <w:r>
        <w:t xml:space="preserve">are </w:t>
      </w:r>
      <w:r w:rsidR="00921ACE">
        <w:t xml:space="preserve">on page 30, </w:t>
      </w:r>
      <w:r w:rsidRPr="000F3EC8">
        <w:t>Handbook to the NHS Constitution</w:t>
      </w:r>
      <w:r w:rsidR="00921ACE">
        <w:t xml:space="preserve">, </w:t>
      </w:r>
      <w:hyperlink r:id="rId2" w:history="1">
        <w:r w:rsidRPr="00CD4562">
          <w:rPr>
            <w:rStyle w:val="Hyperlink"/>
            <w:lang w:eastAsia="en-US"/>
          </w:rPr>
          <w:t>www.nhs.uk/choiceintheNHS/Rightsandpledges/NHSConstitution/Pages/Overview.aspx</w:t>
        </w:r>
      </w:hyperlink>
      <w:r>
        <w:rPr>
          <w:rStyle w:val="Hyperlink"/>
          <w:lang w:eastAsia="en-US"/>
        </w:rPr>
        <w:t>.</w:t>
      </w:r>
    </w:p>
  </w:footnote>
  <w:footnote w:id="3">
    <w:p w:rsidR="00E924D4" w:rsidRDefault="00E924D4" w:rsidP="00E924D4">
      <w:pPr>
        <w:pStyle w:val="Footer"/>
      </w:pPr>
      <w:r>
        <w:rPr>
          <w:rStyle w:val="FootnoteReference"/>
        </w:rPr>
        <w:footnoteRef/>
      </w:r>
      <w:r>
        <w:t xml:space="preserve"> </w:t>
      </w:r>
      <w:r w:rsidRPr="00151AF2">
        <w:rPr>
          <w:rFonts w:cs="Arial"/>
        </w:rPr>
        <w:t>Due to differences in clock start definitions for</w:t>
      </w:r>
      <w:r>
        <w:rPr>
          <w:rFonts w:cs="Arial"/>
        </w:rPr>
        <w:t xml:space="preserve"> Red 1 and Red 2,</w:t>
      </w:r>
      <w:r w:rsidRPr="00151AF2">
        <w:rPr>
          <w:rFonts w:cs="Arial"/>
        </w:rPr>
        <w:t xml:space="preserve"> it is not possible to aggregate </w:t>
      </w:r>
      <w:r>
        <w:rPr>
          <w:rFonts w:cs="Arial"/>
        </w:rPr>
        <w:t xml:space="preserve">them </w:t>
      </w:r>
      <w:r w:rsidRPr="00151AF2">
        <w:rPr>
          <w:rFonts w:cs="Arial"/>
        </w:rPr>
        <w:t>into a total Category A performance</w:t>
      </w:r>
      <w:r>
        <w:rPr>
          <w:rFonts w:cs="Arial"/>
        </w:rPr>
        <w:t>.</w:t>
      </w:r>
      <w:r>
        <w:t xml:space="preserve"> Definitions appear in the specification guidance for data suppliers, on the AQI landing page at </w:t>
      </w:r>
      <w:hyperlink r:id="rId3" w:history="1">
        <w:r w:rsidRPr="00C33A47">
          <w:rPr>
            <w:rStyle w:val="Hyperlink"/>
          </w:rPr>
          <w:t>www.england.nhs.uk/statistics/statistical-work-areas/ambulance-quality-indicators</w:t>
        </w:r>
      </w:hyperlink>
      <w:r>
        <w:rPr>
          <w:rStyle w:val="Hyperlink"/>
        </w:rPr>
        <w:t>.</w:t>
      </w:r>
    </w:p>
  </w:footnote>
  <w:footnote w:id="4">
    <w:p w:rsidR="0044771F" w:rsidRDefault="00CE2AB5" w:rsidP="008969B0">
      <w:pPr>
        <w:pStyle w:val="Footer"/>
      </w:pPr>
      <w:r>
        <w:rPr>
          <w:rStyle w:val="FootnoteReference"/>
        </w:rPr>
        <w:footnoteRef/>
      </w:r>
      <w:r>
        <w:t xml:space="preserve"> </w:t>
      </w:r>
      <w:r w:rsidRPr="00C71776">
        <w:t xml:space="preserve">The </w:t>
      </w:r>
      <w:r w:rsidR="00E0653D" w:rsidRPr="00C71776">
        <w:t>number of</w:t>
      </w:r>
      <w:r w:rsidR="00E0653D">
        <w:t xml:space="preserve"> </w:t>
      </w:r>
      <w:r w:rsidR="005F3B29">
        <w:t xml:space="preserve">emergency </w:t>
      </w:r>
      <w:r w:rsidR="00E0653D" w:rsidRPr="00C71776">
        <w:t xml:space="preserve">calls presented </w:t>
      </w:r>
      <w:r w:rsidR="00E0653D">
        <w:t>to switchboard</w:t>
      </w:r>
      <w:r w:rsidR="00E0653D" w:rsidRPr="00C71776">
        <w:t xml:space="preserve"> </w:t>
      </w:r>
      <w:r w:rsidR="00E0653D">
        <w:t xml:space="preserve">does not usually include </w:t>
      </w:r>
      <w:r w:rsidRPr="00C71776">
        <w:t xml:space="preserve">calls </w:t>
      </w:r>
      <w:r w:rsidR="00E0653D">
        <w:t xml:space="preserve">made </w:t>
      </w:r>
      <w:r w:rsidRPr="00C71776">
        <w:t xml:space="preserve">to </w:t>
      </w:r>
      <w:r w:rsidR="00AD051D">
        <w:t xml:space="preserve">NHS </w:t>
      </w:r>
      <w:r w:rsidRPr="00C71776">
        <w:t xml:space="preserve">111 </w:t>
      </w:r>
      <w:r w:rsidR="005C1025">
        <w:t>requiring</w:t>
      </w:r>
      <w:r w:rsidRPr="00C71776">
        <w:t xml:space="preserve"> an ambulance</w:t>
      </w:r>
      <w:r w:rsidR="00AD051D">
        <w:t xml:space="preserve">. </w:t>
      </w:r>
      <w:r w:rsidR="00E0653D">
        <w:t xml:space="preserve">111 calls requiring an ambulance are usually </w:t>
      </w:r>
      <w:r w:rsidR="00E0653D" w:rsidRPr="00C71776">
        <w:t>tra</w:t>
      </w:r>
      <w:r w:rsidR="00E0653D">
        <w:t xml:space="preserve">nsferred electronically direct to ambulance dispatch, and </w:t>
      </w:r>
      <w:r w:rsidR="00EF6133" w:rsidRPr="00C71776">
        <w:t xml:space="preserve">not </w:t>
      </w:r>
      <w:r w:rsidR="00EF6133">
        <w:t xml:space="preserve">routed </w:t>
      </w:r>
      <w:r w:rsidR="00EF6133" w:rsidRPr="00C71776">
        <w:t>via 999 call handlers</w:t>
      </w:r>
      <w:r w:rsidRPr="00C71776">
        <w:t>. Occasionally, manual request</w:t>
      </w:r>
      <w:r w:rsidR="005C1025">
        <w:t xml:space="preserve">s for </w:t>
      </w:r>
      <w:r w:rsidR="005C1025" w:rsidRPr="00C71776">
        <w:t>ambulance</w:t>
      </w:r>
      <w:r w:rsidR="005C1025">
        <w:t xml:space="preserve"> are </w:t>
      </w:r>
      <w:r w:rsidR="00EF6133">
        <w:t xml:space="preserve">made </w:t>
      </w:r>
      <w:r w:rsidR="005C1025">
        <w:t xml:space="preserve">between </w:t>
      </w:r>
      <w:r w:rsidRPr="00C71776">
        <w:t xml:space="preserve">111 </w:t>
      </w:r>
      <w:r w:rsidR="005C1025">
        <w:t xml:space="preserve">and 999 </w:t>
      </w:r>
      <w:r w:rsidRPr="00C71776">
        <w:t>call handler</w:t>
      </w:r>
      <w:r w:rsidR="005C1025">
        <w:t>s</w:t>
      </w:r>
      <w:r w:rsidRPr="00C71776">
        <w:t xml:space="preserve">, and </w:t>
      </w:r>
      <w:r w:rsidR="00EF6133">
        <w:t xml:space="preserve">such calls </w:t>
      </w:r>
      <w:r w:rsidRPr="00C71776">
        <w:t xml:space="preserve">are included in </w:t>
      </w:r>
      <w:r w:rsidR="005F3B29">
        <w:t xml:space="preserve">the number of emergency </w:t>
      </w:r>
      <w:r w:rsidR="00AD051D">
        <w:t>calls presented</w:t>
      </w:r>
      <w:r w:rsidR="00E0653D">
        <w:t xml:space="preserve"> to switchboard</w:t>
      </w:r>
      <w:r w:rsidR="00AD051D">
        <w:t>.</w:t>
      </w:r>
    </w:p>
    <w:p w:rsidR="00814AF3" w:rsidRDefault="00814AF3" w:rsidP="008969B0">
      <w:pPr>
        <w:pStyle w:val="Footer"/>
      </w:pPr>
    </w:p>
  </w:footnote>
  <w:footnote w:id="5">
    <w:p w:rsidR="00C957A6" w:rsidRDefault="00C957A6" w:rsidP="008969B0">
      <w:pPr>
        <w:pStyle w:val="Footer"/>
      </w:pPr>
      <w:r>
        <w:rPr>
          <w:rStyle w:val="FootnoteReference"/>
        </w:rPr>
        <w:footnoteRef/>
      </w:r>
      <w:r>
        <w:t xml:space="preserve"> </w:t>
      </w:r>
      <w:proofErr w:type="gramStart"/>
      <w:r>
        <w:t>Type 1 are</w:t>
      </w:r>
      <w:proofErr w:type="gramEnd"/>
      <w:r>
        <w:t xml:space="preserve"> consultant-led 24 hour emergency departments with full resuscitation facilities.</w:t>
      </w:r>
    </w:p>
    <w:p w:rsidR="00C957A6" w:rsidRDefault="00C957A6" w:rsidP="008969B0">
      <w:pPr>
        <w:pStyle w:val="Footer"/>
      </w:pPr>
      <w:r>
        <w:t>Type 2 offer a consultant-led speciality A&amp;E service such as ophthalmology or dental.</w:t>
      </w:r>
    </w:p>
    <w:p w:rsidR="00C957A6" w:rsidRDefault="00C957A6" w:rsidP="008969B0">
      <w:pPr>
        <w:pStyle w:val="Footer"/>
      </w:pPr>
      <w:r>
        <w:t xml:space="preserve">Type 3 is </w:t>
      </w:r>
      <w:r w:rsidRPr="005239BD">
        <w:t>A&amp;E</w:t>
      </w:r>
      <w:r>
        <w:t xml:space="preserve"> </w:t>
      </w:r>
      <w:r w:rsidRPr="005239BD">
        <w:t>/</w:t>
      </w:r>
      <w:r>
        <w:t xml:space="preserve"> </w:t>
      </w:r>
      <w:r w:rsidRPr="005239BD">
        <w:t xml:space="preserve">minor injury </w:t>
      </w:r>
      <w:r>
        <w:t>activity that may be doctor-led or nurse-led.</w:t>
      </w:r>
    </w:p>
    <w:p w:rsidR="00C957A6" w:rsidRDefault="00C957A6" w:rsidP="008969B0">
      <w:pPr>
        <w:pStyle w:val="Footer"/>
      </w:pPr>
      <w:r>
        <w:t>Type 4 are NHS walk-in centres. (</w:t>
      </w:r>
      <w:hyperlink r:id="rId4" w:history="1">
        <w:r w:rsidRPr="005239BD">
          <w:rPr>
            <w:rStyle w:val="Hyperlink"/>
          </w:rPr>
          <w:t>www.datadictionary.nhs.uk/data_dictionary/attributes/a/acc/</w:t>
        </w:r>
      </w:hyperlink>
      <w:r>
        <w:br/>
      </w:r>
      <w:hyperlink r:id="rId5" w:history="1">
        <w:r w:rsidRPr="005239BD">
          <w:rPr>
            <w:rStyle w:val="Hyperlink"/>
          </w:rPr>
          <w:t>accident_and_emergency_department_type_de.asp</w:t>
        </w:r>
      </w:hyperlink>
      <w:r>
        <w:rPr>
          <w:rStyle w:val="Hyperlink"/>
        </w:rPr>
        <w:t>)</w:t>
      </w:r>
    </w:p>
  </w:footnote>
  <w:footnote w:id="6">
    <w:p w:rsidR="00917404" w:rsidRDefault="00917404" w:rsidP="00917404">
      <w:pPr>
        <w:pStyle w:val="FootnoteText"/>
        <w:spacing w:after="0"/>
      </w:pPr>
      <w:r>
        <w:rPr>
          <w:rStyle w:val="FootnoteReference"/>
        </w:rPr>
        <w:footnoteRef/>
      </w:r>
      <w:r>
        <w:t xml:space="preserve"> </w:t>
      </w:r>
      <w:r w:rsidRPr="0095462C">
        <w:t xml:space="preserve">Due to its small size, performance on Isle of Wight tends to vary more than other Trusts. If Isle of Wight has the </w:t>
      </w:r>
      <w:r w:rsidR="004D2EE5">
        <w:t xml:space="preserve">largest </w:t>
      </w:r>
      <w:r w:rsidRPr="0095462C">
        <w:t xml:space="preserve">or </w:t>
      </w:r>
      <w:r w:rsidR="004D2EE5">
        <w:t>small</w:t>
      </w:r>
      <w:r w:rsidRPr="0095462C">
        <w:t xml:space="preserve">est value, the Table in A4 shows the second </w:t>
      </w:r>
      <w:r w:rsidR="004D2EE5">
        <w:t xml:space="preserve">largest </w:t>
      </w:r>
      <w:r w:rsidR="004D2EE5" w:rsidRPr="0095462C">
        <w:t xml:space="preserve">or </w:t>
      </w:r>
      <w:r w:rsidR="004D2EE5">
        <w:t>small</w:t>
      </w:r>
      <w:r w:rsidR="004D2EE5" w:rsidRPr="0095462C">
        <w:t xml:space="preserve">est </w:t>
      </w:r>
      <w:r w:rsidRPr="0095462C">
        <w:t xml:space="preserve">value, but with a footnote marker to show that Isle of Wight is more extreme. This system is also used </w:t>
      </w:r>
      <w:r>
        <w:t xml:space="preserve">for </w:t>
      </w:r>
      <w:r w:rsidRPr="0095462C">
        <w:t xml:space="preserve">Clinical Outcomes </w:t>
      </w:r>
      <w:r>
        <w:t xml:space="preserve">in </w:t>
      </w:r>
      <w:r w:rsidRPr="0095462C">
        <w:t>section</w:t>
      </w:r>
      <w:r>
        <w:t xml:space="preserve"> B.</w:t>
      </w:r>
    </w:p>
  </w:footnote>
  <w:footnote w:id="7">
    <w:p w:rsidR="00B41F06" w:rsidRDefault="00B41F06" w:rsidP="00F2562E">
      <w:pPr>
        <w:pStyle w:val="FootnoteText"/>
        <w:spacing w:after="0"/>
      </w:pPr>
      <w:r>
        <w:rPr>
          <w:rStyle w:val="FootnoteReference"/>
        </w:rPr>
        <w:footnoteRef/>
      </w:r>
      <w:r>
        <w:t xml:space="preserve"> </w:t>
      </w:r>
      <w:hyperlink r:id="rId6" w:history="1">
        <w:r w:rsidRPr="00470B85">
          <w:rPr>
            <w:rStyle w:val="Hyperlink"/>
          </w:rPr>
          <w:t>www.parliament.uk/business/publications/written-questions-answers-statements/written-statement/Commons/2015-01-16/HCWS201</w:t>
        </w:r>
      </w:hyperlink>
    </w:p>
  </w:footnote>
  <w:footnote w:id="8">
    <w:p w:rsidR="00F57C7B" w:rsidRDefault="00F57C7B" w:rsidP="00F57C7B">
      <w:pPr>
        <w:pStyle w:val="FootnoteText"/>
        <w:spacing w:after="0"/>
      </w:pPr>
      <w:r>
        <w:rPr>
          <w:rStyle w:val="FootnoteReference"/>
        </w:rPr>
        <w:footnoteRef/>
      </w:r>
      <w:r>
        <w:t xml:space="preserve"> </w:t>
      </w:r>
      <w:proofErr w:type="gramStart"/>
      <w:r>
        <w:t>Exc</w:t>
      </w:r>
      <w:r w:rsidR="002F5002">
        <w:t>luding Isle of Wight.</w:t>
      </w:r>
      <w:proofErr w:type="gramEnd"/>
      <w:r w:rsidR="002F5002" w:rsidRPr="002F5002">
        <w:t xml:space="preserve"> See note 6 on page 4.</w:t>
      </w:r>
    </w:p>
  </w:footnote>
  <w:footnote w:id="9">
    <w:p w:rsidR="00DB41B0" w:rsidRDefault="00DB41B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7" w:history="1">
        <w:r w:rsidRPr="00416EE1">
          <w:rPr>
            <w:rStyle w:val="Hyperlink"/>
          </w:rPr>
          <w:t>http://circ.ahajournals.org/content/84/2/960.citation</w:t>
        </w:r>
      </w:hyperlink>
    </w:p>
  </w:footnote>
  <w:footnote w:id="10">
    <w:p w:rsidR="008132F5" w:rsidRDefault="008132F5" w:rsidP="008132F5">
      <w:pPr>
        <w:pStyle w:val="FootnoteText"/>
        <w:spacing w:after="0"/>
      </w:pPr>
      <w:r>
        <w:rPr>
          <w:rStyle w:val="FootnoteReference"/>
        </w:rPr>
        <w:footnoteRef/>
      </w:r>
      <w:r>
        <w:t xml:space="preserve"> Pages 21 to 25 of the specification guidance for data suppliers on the AQI landing page at </w:t>
      </w:r>
      <w:hyperlink r:id="rId8" w:history="1">
        <w:r w:rsidRPr="00BF4F52">
          <w:rPr>
            <w:rStyle w:val="Hyperlink"/>
          </w:rPr>
          <w:t>www.england.nhs.uk/statistics/statistical-work-areas/ambulance-quality-indicators</w:t>
        </w:r>
      </w:hyperlink>
      <w:r>
        <w:t xml:space="preserve"> describe</w:t>
      </w:r>
      <w:r w:rsidR="00BE72B7" w:rsidRPr="00BE72B7">
        <w:t xml:space="preserve"> </w:t>
      </w:r>
      <w:r w:rsidR="00BE72B7">
        <w:t>the care bundles, and certain exclusions, for the STEMI and stroke indicators</w:t>
      </w:r>
      <w:r>
        <w:t>.</w:t>
      </w:r>
    </w:p>
  </w:footnote>
  <w:footnote w:id="11">
    <w:p w:rsidR="009E31EF" w:rsidRDefault="009E31E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gramStart"/>
      <w:r>
        <w:t>Excluding Isle of Wight.</w:t>
      </w:r>
      <w:proofErr w:type="gramEnd"/>
      <w:r w:rsidRPr="002F5002">
        <w:t xml:space="preserve"> See note 6 on page 4</w:t>
      </w:r>
      <w:r>
        <w:t>.</w:t>
      </w:r>
    </w:p>
  </w:footnote>
  <w:footnote w:id="12">
    <w:p w:rsidR="00AC617A" w:rsidRDefault="00AC617A" w:rsidP="00AC617A">
      <w:pPr>
        <w:pStyle w:val="FootnoteText"/>
        <w:spacing w:after="0"/>
      </w:pPr>
      <w:r>
        <w:rPr>
          <w:rStyle w:val="FootnoteReference"/>
        </w:rPr>
        <w:footnoteRef/>
      </w:r>
      <w:r>
        <w:t xml:space="preserve"> </w:t>
      </w:r>
      <w:proofErr w:type="gramStart"/>
      <w:r>
        <w:t>Excluding Isle of Wight.</w:t>
      </w:r>
      <w:proofErr w:type="gramEnd"/>
      <w:r w:rsidRPr="002F5002">
        <w:t xml:space="preserve"> See note 6 on page 4.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4D4" w:rsidRDefault="00E924D4" w:rsidP="00E924D4">
    <w:pPr>
      <w:pStyle w:val="Header"/>
      <w:tabs>
        <w:tab w:val="clear" w:pos="9026"/>
        <w:tab w:val="left" w:pos="3255"/>
        <w:tab w:val="right" w:pos="9356"/>
      </w:tabs>
      <w:ind w:right="-238"/>
    </w:pPr>
    <w:r>
      <w:tab/>
    </w:r>
    <w:r>
      <w:tab/>
    </w:r>
    <w:r>
      <w:tab/>
    </w:r>
    <w:r>
      <w:rPr>
        <w:noProof/>
      </w:rPr>
      <w:drawing>
        <wp:inline distT="0" distB="0" distL="0" distR="0" wp14:anchorId="169086BB" wp14:editId="418D6131">
          <wp:extent cx="1155194" cy="719329"/>
          <wp:effectExtent l="0" t="0" r="6985" b="508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HS%20England%20logo%20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5194" cy="71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427DF" w:rsidRDefault="00D427DF" w:rsidP="00E924D4">
    <w:pPr>
      <w:pStyle w:val="Header"/>
      <w:tabs>
        <w:tab w:val="clear" w:pos="9026"/>
        <w:tab w:val="left" w:pos="3255"/>
        <w:tab w:val="right" w:pos="9356"/>
      </w:tabs>
      <w:ind w:right="-23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1FEA8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47FE727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3D6258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1178AD2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2225D14"/>
    <w:multiLevelType w:val="hybridMultilevel"/>
    <w:tmpl w:val="86EA467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7520A6"/>
    <w:multiLevelType w:val="hybridMultilevel"/>
    <w:tmpl w:val="807ECED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BED15B9"/>
    <w:multiLevelType w:val="hybridMultilevel"/>
    <w:tmpl w:val="161CA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BC2248"/>
    <w:multiLevelType w:val="hybridMultilevel"/>
    <w:tmpl w:val="D2CEE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704040"/>
    <w:multiLevelType w:val="hybridMultilevel"/>
    <w:tmpl w:val="F5601D12"/>
    <w:lvl w:ilvl="0" w:tplc="B9568B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7C6173C"/>
    <w:multiLevelType w:val="hybridMultilevel"/>
    <w:tmpl w:val="3E78DB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96F419A"/>
    <w:multiLevelType w:val="hybridMultilevel"/>
    <w:tmpl w:val="96AE18B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2096E4D"/>
    <w:multiLevelType w:val="hybridMultilevel"/>
    <w:tmpl w:val="756AFB28"/>
    <w:lvl w:ilvl="0" w:tplc="C4A2FD8E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 w:tplc="F5E6FB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8562792"/>
    <w:multiLevelType w:val="hybridMultilevel"/>
    <w:tmpl w:val="8F203C8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9CF346F"/>
    <w:multiLevelType w:val="hybridMultilevel"/>
    <w:tmpl w:val="9FB6B5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4C0C4D"/>
    <w:multiLevelType w:val="hybridMultilevel"/>
    <w:tmpl w:val="3EE097F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EDF7D1F"/>
    <w:multiLevelType w:val="hybridMultilevel"/>
    <w:tmpl w:val="E034CCA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9"/>
  </w:num>
  <w:num w:numId="4">
    <w:abstractNumId w:val="10"/>
  </w:num>
  <w:num w:numId="5">
    <w:abstractNumId w:val="8"/>
  </w:num>
  <w:num w:numId="6">
    <w:abstractNumId w:val="11"/>
  </w:num>
  <w:num w:numId="7">
    <w:abstractNumId w:val="14"/>
  </w:num>
  <w:num w:numId="8">
    <w:abstractNumId w:val="4"/>
  </w:num>
  <w:num w:numId="9">
    <w:abstractNumId w:val="3"/>
  </w:num>
  <w:num w:numId="10">
    <w:abstractNumId w:val="1"/>
  </w:num>
  <w:num w:numId="11">
    <w:abstractNumId w:val="0"/>
  </w:num>
  <w:num w:numId="12">
    <w:abstractNumId w:val="2"/>
  </w:num>
  <w:num w:numId="13">
    <w:abstractNumId w:val="13"/>
  </w:num>
  <w:num w:numId="14">
    <w:abstractNumId w:val="5"/>
  </w:num>
  <w:num w:numId="15">
    <w:abstractNumId w:val="7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2F1"/>
    <w:rsid w:val="000007F1"/>
    <w:rsid w:val="00002502"/>
    <w:rsid w:val="0000477A"/>
    <w:rsid w:val="00007EAE"/>
    <w:rsid w:val="00017E64"/>
    <w:rsid w:val="00024821"/>
    <w:rsid w:val="000274BA"/>
    <w:rsid w:val="00035B25"/>
    <w:rsid w:val="00036949"/>
    <w:rsid w:val="00040A6E"/>
    <w:rsid w:val="00042A5D"/>
    <w:rsid w:val="000442D5"/>
    <w:rsid w:val="000452BC"/>
    <w:rsid w:val="0005401E"/>
    <w:rsid w:val="00054879"/>
    <w:rsid w:val="0005599E"/>
    <w:rsid w:val="00065110"/>
    <w:rsid w:val="000670B6"/>
    <w:rsid w:val="00070143"/>
    <w:rsid w:val="0007019A"/>
    <w:rsid w:val="00072DE5"/>
    <w:rsid w:val="000768E8"/>
    <w:rsid w:val="0007786F"/>
    <w:rsid w:val="00085AC3"/>
    <w:rsid w:val="00085B01"/>
    <w:rsid w:val="000871A7"/>
    <w:rsid w:val="00092393"/>
    <w:rsid w:val="00095266"/>
    <w:rsid w:val="000965D6"/>
    <w:rsid w:val="00096A9C"/>
    <w:rsid w:val="00097741"/>
    <w:rsid w:val="000B17F3"/>
    <w:rsid w:val="000B1B66"/>
    <w:rsid w:val="000B2219"/>
    <w:rsid w:val="000B2586"/>
    <w:rsid w:val="000B6AA0"/>
    <w:rsid w:val="000C2092"/>
    <w:rsid w:val="000C3202"/>
    <w:rsid w:val="000D14CB"/>
    <w:rsid w:val="000D3FB5"/>
    <w:rsid w:val="000D6BA7"/>
    <w:rsid w:val="000D71FF"/>
    <w:rsid w:val="000F027D"/>
    <w:rsid w:val="000F0D83"/>
    <w:rsid w:val="000F3EC8"/>
    <w:rsid w:val="000F4631"/>
    <w:rsid w:val="000F5B3F"/>
    <w:rsid w:val="000F6221"/>
    <w:rsid w:val="001000B2"/>
    <w:rsid w:val="0010506D"/>
    <w:rsid w:val="00111B6E"/>
    <w:rsid w:val="0011384E"/>
    <w:rsid w:val="00120401"/>
    <w:rsid w:val="00120424"/>
    <w:rsid w:val="0012242C"/>
    <w:rsid w:val="001275F2"/>
    <w:rsid w:val="00127A5B"/>
    <w:rsid w:val="00127E1D"/>
    <w:rsid w:val="00127FD0"/>
    <w:rsid w:val="00133520"/>
    <w:rsid w:val="001359EC"/>
    <w:rsid w:val="00136E8B"/>
    <w:rsid w:val="001405FE"/>
    <w:rsid w:val="001407C4"/>
    <w:rsid w:val="0014147C"/>
    <w:rsid w:val="001417C4"/>
    <w:rsid w:val="00144A92"/>
    <w:rsid w:val="00151236"/>
    <w:rsid w:val="0015128C"/>
    <w:rsid w:val="00151567"/>
    <w:rsid w:val="00151AF2"/>
    <w:rsid w:val="0015216C"/>
    <w:rsid w:val="00155E50"/>
    <w:rsid w:val="00160F31"/>
    <w:rsid w:val="00170786"/>
    <w:rsid w:val="00174FF6"/>
    <w:rsid w:val="00175513"/>
    <w:rsid w:val="001847B2"/>
    <w:rsid w:val="001857AC"/>
    <w:rsid w:val="00186446"/>
    <w:rsid w:val="001876F0"/>
    <w:rsid w:val="0019011B"/>
    <w:rsid w:val="00190332"/>
    <w:rsid w:val="00190BCC"/>
    <w:rsid w:val="00193CB9"/>
    <w:rsid w:val="0019534B"/>
    <w:rsid w:val="00196595"/>
    <w:rsid w:val="00197242"/>
    <w:rsid w:val="001A3A2C"/>
    <w:rsid w:val="001A3F6B"/>
    <w:rsid w:val="001A471D"/>
    <w:rsid w:val="001B68DB"/>
    <w:rsid w:val="001C2BC2"/>
    <w:rsid w:val="001C3052"/>
    <w:rsid w:val="001C3165"/>
    <w:rsid w:val="001C5911"/>
    <w:rsid w:val="001C688D"/>
    <w:rsid w:val="001C6E6A"/>
    <w:rsid w:val="001D3157"/>
    <w:rsid w:val="001D5DCC"/>
    <w:rsid w:val="001E0C96"/>
    <w:rsid w:val="001E2906"/>
    <w:rsid w:val="001E3296"/>
    <w:rsid w:val="001F1181"/>
    <w:rsid w:val="001F48A8"/>
    <w:rsid w:val="002055F7"/>
    <w:rsid w:val="002067E2"/>
    <w:rsid w:val="00214510"/>
    <w:rsid w:val="00214A55"/>
    <w:rsid w:val="00222B38"/>
    <w:rsid w:val="00225C13"/>
    <w:rsid w:val="00230B2D"/>
    <w:rsid w:val="002346FC"/>
    <w:rsid w:val="00241F79"/>
    <w:rsid w:val="00244F63"/>
    <w:rsid w:val="00247D97"/>
    <w:rsid w:val="00250AB3"/>
    <w:rsid w:val="00251383"/>
    <w:rsid w:val="00251854"/>
    <w:rsid w:val="002529A4"/>
    <w:rsid w:val="00252C62"/>
    <w:rsid w:val="00254237"/>
    <w:rsid w:val="0025490C"/>
    <w:rsid w:val="00254B9C"/>
    <w:rsid w:val="00260C5F"/>
    <w:rsid w:val="00261C03"/>
    <w:rsid w:val="00261FC5"/>
    <w:rsid w:val="0026240F"/>
    <w:rsid w:val="00263BD6"/>
    <w:rsid w:val="00265EFB"/>
    <w:rsid w:val="00267437"/>
    <w:rsid w:val="002674B1"/>
    <w:rsid w:val="00270C17"/>
    <w:rsid w:val="002719AC"/>
    <w:rsid w:val="002760F7"/>
    <w:rsid w:val="00277342"/>
    <w:rsid w:val="0028035E"/>
    <w:rsid w:val="00280386"/>
    <w:rsid w:val="00291664"/>
    <w:rsid w:val="0029257D"/>
    <w:rsid w:val="00296E05"/>
    <w:rsid w:val="00297264"/>
    <w:rsid w:val="002A0F67"/>
    <w:rsid w:val="002A2463"/>
    <w:rsid w:val="002A3DFB"/>
    <w:rsid w:val="002A4955"/>
    <w:rsid w:val="002A7621"/>
    <w:rsid w:val="002A79F0"/>
    <w:rsid w:val="002B4DD9"/>
    <w:rsid w:val="002B4F9D"/>
    <w:rsid w:val="002B55AA"/>
    <w:rsid w:val="002B6786"/>
    <w:rsid w:val="002C1974"/>
    <w:rsid w:val="002C1DD5"/>
    <w:rsid w:val="002C3ECB"/>
    <w:rsid w:val="002C4E14"/>
    <w:rsid w:val="002C522F"/>
    <w:rsid w:val="002D10A5"/>
    <w:rsid w:val="002D2035"/>
    <w:rsid w:val="002E3DEA"/>
    <w:rsid w:val="002E4181"/>
    <w:rsid w:val="002E6965"/>
    <w:rsid w:val="002F3C5E"/>
    <w:rsid w:val="002F5002"/>
    <w:rsid w:val="002F7555"/>
    <w:rsid w:val="00300176"/>
    <w:rsid w:val="00300551"/>
    <w:rsid w:val="003076B8"/>
    <w:rsid w:val="00310203"/>
    <w:rsid w:val="0031043B"/>
    <w:rsid w:val="0031060B"/>
    <w:rsid w:val="0031228A"/>
    <w:rsid w:val="00317C23"/>
    <w:rsid w:val="00320970"/>
    <w:rsid w:val="00322346"/>
    <w:rsid w:val="0032556F"/>
    <w:rsid w:val="003336E9"/>
    <w:rsid w:val="00335EE6"/>
    <w:rsid w:val="0033606F"/>
    <w:rsid w:val="0034037C"/>
    <w:rsid w:val="00340492"/>
    <w:rsid w:val="00340769"/>
    <w:rsid w:val="00346087"/>
    <w:rsid w:val="00346103"/>
    <w:rsid w:val="00347494"/>
    <w:rsid w:val="003518B6"/>
    <w:rsid w:val="003635DF"/>
    <w:rsid w:val="0036445B"/>
    <w:rsid w:val="003674CA"/>
    <w:rsid w:val="003708E7"/>
    <w:rsid w:val="003723D5"/>
    <w:rsid w:val="00377786"/>
    <w:rsid w:val="00377FF6"/>
    <w:rsid w:val="00387879"/>
    <w:rsid w:val="0039160E"/>
    <w:rsid w:val="00395D9D"/>
    <w:rsid w:val="00396552"/>
    <w:rsid w:val="00396DD4"/>
    <w:rsid w:val="00396E0E"/>
    <w:rsid w:val="003A398E"/>
    <w:rsid w:val="003A63FB"/>
    <w:rsid w:val="003A7386"/>
    <w:rsid w:val="003B164C"/>
    <w:rsid w:val="003B628A"/>
    <w:rsid w:val="003C007F"/>
    <w:rsid w:val="003D5086"/>
    <w:rsid w:val="003E3082"/>
    <w:rsid w:val="003E38D7"/>
    <w:rsid w:val="003E4789"/>
    <w:rsid w:val="003E540C"/>
    <w:rsid w:val="003E6081"/>
    <w:rsid w:val="003E62E5"/>
    <w:rsid w:val="003F43AB"/>
    <w:rsid w:val="00405587"/>
    <w:rsid w:val="00407A2A"/>
    <w:rsid w:val="00410783"/>
    <w:rsid w:val="00413F2F"/>
    <w:rsid w:val="004140F7"/>
    <w:rsid w:val="0042340C"/>
    <w:rsid w:val="0042443A"/>
    <w:rsid w:val="00426208"/>
    <w:rsid w:val="00436A36"/>
    <w:rsid w:val="004370AB"/>
    <w:rsid w:val="004379E9"/>
    <w:rsid w:val="00440EF3"/>
    <w:rsid w:val="00444612"/>
    <w:rsid w:val="004446CF"/>
    <w:rsid w:val="0044623C"/>
    <w:rsid w:val="0044771F"/>
    <w:rsid w:val="00453F16"/>
    <w:rsid w:val="004550F1"/>
    <w:rsid w:val="00456108"/>
    <w:rsid w:val="00465847"/>
    <w:rsid w:val="00474435"/>
    <w:rsid w:val="0047575F"/>
    <w:rsid w:val="004769D3"/>
    <w:rsid w:val="00480623"/>
    <w:rsid w:val="00483782"/>
    <w:rsid w:val="00483F77"/>
    <w:rsid w:val="00486866"/>
    <w:rsid w:val="00493002"/>
    <w:rsid w:val="004953E1"/>
    <w:rsid w:val="004A2A45"/>
    <w:rsid w:val="004B32DC"/>
    <w:rsid w:val="004B46D5"/>
    <w:rsid w:val="004B592C"/>
    <w:rsid w:val="004B7035"/>
    <w:rsid w:val="004B77EC"/>
    <w:rsid w:val="004C0D17"/>
    <w:rsid w:val="004C377A"/>
    <w:rsid w:val="004C5144"/>
    <w:rsid w:val="004D05E1"/>
    <w:rsid w:val="004D083F"/>
    <w:rsid w:val="004D1017"/>
    <w:rsid w:val="004D10AF"/>
    <w:rsid w:val="004D2EE5"/>
    <w:rsid w:val="004D3B3C"/>
    <w:rsid w:val="004F2D5D"/>
    <w:rsid w:val="004F37AE"/>
    <w:rsid w:val="004F3810"/>
    <w:rsid w:val="004F6290"/>
    <w:rsid w:val="00505BBA"/>
    <w:rsid w:val="00511984"/>
    <w:rsid w:val="00513897"/>
    <w:rsid w:val="00517BD3"/>
    <w:rsid w:val="0052145B"/>
    <w:rsid w:val="005239BD"/>
    <w:rsid w:val="00523BFF"/>
    <w:rsid w:val="00526112"/>
    <w:rsid w:val="005261D8"/>
    <w:rsid w:val="0053124D"/>
    <w:rsid w:val="00531825"/>
    <w:rsid w:val="00531A75"/>
    <w:rsid w:val="0053266B"/>
    <w:rsid w:val="005347A4"/>
    <w:rsid w:val="00536EBE"/>
    <w:rsid w:val="00537299"/>
    <w:rsid w:val="0054261F"/>
    <w:rsid w:val="0054766B"/>
    <w:rsid w:val="00551D2D"/>
    <w:rsid w:val="00551DDC"/>
    <w:rsid w:val="005538AF"/>
    <w:rsid w:val="005719BB"/>
    <w:rsid w:val="00572500"/>
    <w:rsid w:val="0057661C"/>
    <w:rsid w:val="005772D5"/>
    <w:rsid w:val="0058367E"/>
    <w:rsid w:val="0058750D"/>
    <w:rsid w:val="005945B8"/>
    <w:rsid w:val="005950EE"/>
    <w:rsid w:val="0059638C"/>
    <w:rsid w:val="005A79AD"/>
    <w:rsid w:val="005B4A17"/>
    <w:rsid w:val="005C1025"/>
    <w:rsid w:val="005C1BA6"/>
    <w:rsid w:val="005C59BC"/>
    <w:rsid w:val="005C6B63"/>
    <w:rsid w:val="005C7115"/>
    <w:rsid w:val="005C7B11"/>
    <w:rsid w:val="005D2E52"/>
    <w:rsid w:val="005D348F"/>
    <w:rsid w:val="005F1398"/>
    <w:rsid w:val="005F2095"/>
    <w:rsid w:val="005F272A"/>
    <w:rsid w:val="005F3B29"/>
    <w:rsid w:val="005F53BA"/>
    <w:rsid w:val="005F60A6"/>
    <w:rsid w:val="00603940"/>
    <w:rsid w:val="00603FEB"/>
    <w:rsid w:val="006059ED"/>
    <w:rsid w:val="00605F7E"/>
    <w:rsid w:val="006157C7"/>
    <w:rsid w:val="006201BE"/>
    <w:rsid w:val="00621A41"/>
    <w:rsid w:val="00624EB5"/>
    <w:rsid w:val="006272D8"/>
    <w:rsid w:val="006303F7"/>
    <w:rsid w:val="006306D8"/>
    <w:rsid w:val="00631E87"/>
    <w:rsid w:val="00634165"/>
    <w:rsid w:val="00637766"/>
    <w:rsid w:val="00642E05"/>
    <w:rsid w:val="00642E76"/>
    <w:rsid w:val="00644C87"/>
    <w:rsid w:val="00655F0D"/>
    <w:rsid w:val="006561AF"/>
    <w:rsid w:val="00656C83"/>
    <w:rsid w:val="006606D4"/>
    <w:rsid w:val="0066320C"/>
    <w:rsid w:val="006653DB"/>
    <w:rsid w:val="00667CEB"/>
    <w:rsid w:val="00676BD5"/>
    <w:rsid w:val="006817AD"/>
    <w:rsid w:val="00694D98"/>
    <w:rsid w:val="00694FB2"/>
    <w:rsid w:val="00695304"/>
    <w:rsid w:val="006A4A06"/>
    <w:rsid w:val="006A61BC"/>
    <w:rsid w:val="006A6856"/>
    <w:rsid w:val="006B2BEA"/>
    <w:rsid w:val="006B3E8A"/>
    <w:rsid w:val="006D0E12"/>
    <w:rsid w:val="006D5EDF"/>
    <w:rsid w:val="006E0760"/>
    <w:rsid w:val="006E2C05"/>
    <w:rsid w:val="006E58F5"/>
    <w:rsid w:val="00700863"/>
    <w:rsid w:val="007017DC"/>
    <w:rsid w:val="00701D5C"/>
    <w:rsid w:val="0070276C"/>
    <w:rsid w:val="007027B5"/>
    <w:rsid w:val="00702DCC"/>
    <w:rsid w:val="007155C3"/>
    <w:rsid w:val="0071673C"/>
    <w:rsid w:val="007177B5"/>
    <w:rsid w:val="007177FD"/>
    <w:rsid w:val="00720B11"/>
    <w:rsid w:val="00724971"/>
    <w:rsid w:val="0073041B"/>
    <w:rsid w:val="00732ECD"/>
    <w:rsid w:val="00735077"/>
    <w:rsid w:val="00737724"/>
    <w:rsid w:val="00741E8A"/>
    <w:rsid w:val="00742B0B"/>
    <w:rsid w:val="00747269"/>
    <w:rsid w:val="00761FF8"/>
    <w:rsid w:val="007639D5"/>
    <w:rsid w:val="0076596A"/>
    <w:rsid w:val="007700CE"/>
    <w:rsid w:val="00771043"/>
    <w:rsid w:val="00775632"/>
    <w:rsid w:val="007804B7"/>
    <w:rsid w:val="00793660"/>
    <w:rsid w:val="007A138E"/>
    <w:rsid w:val="007A2AF5"/>
    <w:rsid w:val="007A37B3"/>
    <w:rsid w:val="007B0D9A"/>
    <w:rsid w:val="007B22A7"/>
    <w:rsid w:val="007B2807"/>
    <w:rsid w:val="007B2D4E"/>
    <w:rsid w:val="007B5C09"/>
    <w:rsid w:val="007C0F9B"/>
    <w:rsid w:val="007C0FC7"/>
    <w:rsid w:val="007C393E"/>
    <w:rsid w:val="007C3B46"/>
    <w:rsid w:val="007C6985"/>
    <w:rsid w:val="007D1A84"/>
    <w:rsid w:val="007D2957"/>
    <w:rsid w:val="007E3671"/>
    <w:rsid w:val="007E7FAA"/>
    <w:rsid w:val="007F02F1"/>
    <w:rsid w:val="007F366E"/>
    <w:rsid w:val="007F39C7"/>
    <w:rsid w:val="007F6B19"/>
    <w:rsid w:val="00806B8A"/>
    <w:rsid w:val="008113A4"/>
    <w:rsid w:val="008132F5"/>
    <w:rsid w:val="00814AF3"/>
    <w:rsid w:val="00815169"/>
    <w:rsid w:val="008227CE"/>
    <w:rsid w:val="00822C2F"/>
    <w:rsid w:val="008231E3"/>
    <w:rsid w:val="0082452F"/>
    <w:rsid w:val="00826D43"/>
    <w:rsid w:val="008301F3"/>
    <w:rsid w:val="008340D3"/>
    <w:rsid w:val="008404D1"/>
    <w:rsid w:val="00841DFF"/>
    <w:rsid w:val="00843ABC"/>
    <w:rsid w:val="00844712"/>
    <w:rsid w:val="00861B67"/>
    <w:rsid w:val="00862969"/>
    <w:rsid w:val="00865E6C"/>
    <w:rsid w:val="00867D59"/>
    <w:rsid w:val="00871ADB"/>
    <w:rsid w:val="00875FD5"/>
    <w:rsid w:val="00880163"/>
    <w:rsid w:val="008805A7"/>
    <w:rsid w:val="00883B6B"/>
    <w:rsid w:val="00887DBB"/>
    <w:rsid w:val="0089121D"/>
    <w:rsid w:val="00891640"/>
    <w:rsid w:val="008969B0"/>
    <w:rsid w:val="008A503B"/>
    <w:rsid w:val="008A5626"/>
    <w:rsid w:val="008A6950"/>
    <w:rsid w:val="008B579C"/>
    <w:rsid w:val="008C4B8B"/>
    <w:rsid w:val="008C63D3"/>
    <w:rsid w:val="008D61DF"/>
    <w:rsid w:val="008D69BA"/>
    <w:rsid w:val="008E2FEE"/>
    <w:rsid w:val="008E5931"/>
    <w:rsid w:val="008E6B23"/>
    <w:rsid w:val="008F1385"/>
    <w:rsid w:val="008F3E74"/>
    <w:rsid w:val="008F5EE8"/>
    <w:rsid w:val="008F78EA"/>
    <w:rsid w:val="0090071E"/>
    <w:rsid w:val="00900AD0"/>
    <w:rsid w:val="009038ED"/>
    <w:rsid w:val="0090527D"/>
    <w:rsid w:val="0090652B"/>
    <w:rsid w:val="00910BE4"/>
    <w:rsid w:val="00915F3E"/>
    <w:rsid w:val="00917404"/>
    <w:rsid w:val="00921ACE"/>
    <w:rsid w:val="00924E3D"/>
    <w:rsid w:val="00927612"/>
    <w:rsid w:val="00940ADF"/>
    <w:rsid w:val="00947505"/>
    <w:rsid w:val="0095462C"/>
    <w:rsid w:val="00954E2E"/>
    <w:rsid w:val="00955D7C"/>
    <w:rsid w:val="009638D7"/>
    <w:rsid w:val="00965572"/>
    <w:rsid w:val="00966F66"/>
    <w:rsid w:val="00971C38"/>
    <w:rsid w:val="0097213E"/>
    <w:rsid w:val="0097321C"/>
    <w:rsid w:val="00974797"/>
    <w:rsid w:val="00975BA9"/>
    <w:rsid w:val="00981224"/>
    <w:rsid w:val="00983F79"/>
    <w:rsid w:val="00985A23"/>
    <w:rsid w:val="00992442"/>
    <w:rsid w:val="00995CC1"/>
    <w:rsid w:val="009969BD"/>
    <w:rsid w:val="009A4919"/>
    <w:rsid w:val="009B166A"/>
    <w:rsid w:val="009B5D9A"/>
    <w:rsid w:val="009B72C4"/>
    <w:rsid w:val="009C74A5"/>
    <w:rsid w:val="009D0C4D"/>
    <w:rsid w:val="009D0DA1"/>
    <w:rsid w:val="009D34C0"/>
    <w:rsid w:val="009E31EF"/>
    <w:rsid w:val="009E6DA1"/>
    <w:rsid w:val="009F060C"/>
    <w:rsid w:val="00A039C6"/>
    <w:rsid w:val="00A107A5"/>
    <w:rsid w:val="00A10CE7"/>
    <w:rsid w:val="00A13D6C"/>
    <w:rsid w:val="00A1696C"/>
    <w:rsid w:val="00A17A58"/>
    <w:rsid w:val="00A22978"/>
    <w:rsid w:val="00A26CA7"/>
    <w:rsid w:val="00A3104B"/>
    <w:rsid w:val="00A33BDB"/>
    <w:rsid w:val="00A4253D"/>
    <w:rsid w:val="00A42A6B"/>
    <w:rsid w:val="00A458E0"/>
    <w:rsid w:val="00A46C32"/>
    <w:rsid w:val="00A54078"/>
    <w:rsid w:val="00A56831"/>
    <w:rsid w:val="00A575B0"/>
    <w:rsid w:val="00A65D0F"/>
    <w:rsid w:val="00A66836"/>
    <w:rsid w:val="00A7265B"/>
    <w:rsid w:val="00A72E13"/>
    <w:rsid w:val="00A76C6D"/>
    <w:rsid w:val="00A778EA"/>
    <w:rsid w:val="00A831DC"/>
    <w:rsid w:val="00A90C28"/>
    <w:rsid w:val="00A914E9"/>
    <w:rsid w:val="00A92F4D"/>
    <w:rsid w:val="00A9585B"/>
    <w:rsid w:val="00A979C6"/>
    <w:rsid w:val="00AA3CDD"/>
    <w:rsid w:val="00AA6B6B"/>
    <w:rsid w:val="00AA7926"/>
    <w:rsid w:val="00AC2B2D"/>
    <w:rsid w:val="00AC2C68"/>
    <w:rsid w:val="00AC3DAD"/>
    <w:rsid w:val="00AC597D"/>
    <w:rsid w:val="00AC617A"/>
    <w:rsid w:val="00AD051D"/>
    <w:rsid w:val="00AD6F90"/>
    <w:rsid w:val="00AE110A"/>
    <w:rsid w:val="00AE15EE"/>
    <w:rsid w:val="00AE2AEE"/>
    <w:rsid w:val="00AE4993"/>
    <w:rsid w:val="00AE5C17"/>
    <w:rsid w:val="00AE71D4"/>
    <w:rsid w:val="00AE7530"/>
    <w:rsid w:val="00AF0B61"/>
    <w:rsid w:val="00AF1519"/>
    <w:rsid w:val="00AF1AD9"/>
    <w:rsid w:val="00AF24DB"/>
    <w:rsid w:val="00AF2574"/>
    <w:rsid w:val="00B02804"/>
    <w:rsid w:val="00B03698"/>
    <w:rsid w:val="00B05CB0"/>
    <w:rsid w:val="00B0776C"/>
    <w:rsid w:val="00B10ECF"/>
    <w:rsid w:val="00B143DF"/>
    <w:rsid w:val="00B176FE"/>
    <w:rsid w:val="00B21E1C"/>
    <w:rsid w:val="00B40C2F"/>
    <w:rsid w:val="00B412D1"/>
    <w:rsid w:val="00B41F06"/>
    <w:rsid w:val="00B441CC"/>
    <w:rsid w:val="00B4687B"/>
    <w:rsid w:val="00B477EF"/>
    <w:rsid w:val="00B63CE9"/>
    <w:rsid w:val="00B66678"/>
    <w:rsid w:val="00B71432"/>
    <w:rsid w:val="00B72C29"/>
    <w:rsid w:val="00B82858"/>
    <w:rsid w:val="00B828B6"/>
    <w:rsid w:val="00B85756"/>
    <w:rsid w:val="00B86E93"/>
    <w:rsid w:val="00B93837"/>
    <w:rsid w:val="00BB35BC"/>
    <w:rsid w:val="00BC03EF"/>
    <w:rsid w:val="00BC05C3"/>
    <w:rsid w:val="00BC10E3"/>
    <w:rsid w:val="00BC435A"/>
    <w:rsid w:val="00BC6A0B"/>
    <w:rsid w:val="00BD1EA6"/>
    <w:rsid w:val="00BD33CF"/>
    <w:rsid w:val="00BD48E2"/>
    <w:rsid w:val="00BD4D0C"/>
    <w:rsid w:val="00BE1CE7"/>
    <w:rsid w:val="00BE72B7"/>
    <w:rsid w:val="00BE741D"/>
    <w:rsid w:val="00BE7849"/>
    <w:rsid w:val="00BF249B"/>
    <w:rsid w:val="00BF2C50"/>
    <w:rsid w:val="00C00BBA"/>
    <w:rsid w:val="00C0131F"/>
    <w:rsid w:val="00C03D2B"/>
    <w:rsid w:val="00C10486"/>
    <w:rsid w:val="00C14E1D"/>
    <w:rsid w:val="00C16133"/>
    <w:rsid w:val="00C21149"/>
    <w:rsid w:val="00C25A42"/>
    <w:rsid w:val="00C26738"/>
    <w:rsid w:val="00C26810"/>
    <w:rsid w:val="00C307CE"/>
    <w:rsid w:val="00C3190D"/>
    <w:rsid w:val="00C3404F"/>
    <w:rsid w:val="00C3443F"/>
    <w:rsid w:val="00C344CA"/>
    <w:rsid w:val="00C34B3D"/>
    <w:rsid w:val="00C40D56"/>
    <w:rsid w:val="00C418B2"/>
    <w:rsid w:val="00C445E6"/>
    <w:rsid w:val="00C521D4"/>
    <w:rsid w:val="00C532C8"/>
    <w:rsid w:val="00C611A3"/>
    <w:rsid w:val="00C61A40"/>
    <w:rsid w:val="00C61AF0"/>
    <w:rsid w:val="00C66ACE"/>
    <w:rsid w:val="00C70840"/>
    <w:rsid w:val="00C70AC7"/>
    <w:rsid w:val="00C70C05"/>
    <w:rsid w:val="00C71776"/>
    <w:rsid w:val="00C7319F"/>
    <w:rsid w:val="00C739C2"/>
    <w:rsid w:val="00C757AB"/>
    <w:rsid w:val="00C75DDB"/>
    <w:rsid w:val="00C7779C"/>
    <w:rsid w:val="00C90FB6"/>
    <w:rsid w:val="00C957A6"/>
    <w:rsid w:val="00C96A98"/>
    <w:rsid w:val="00C973AE"/>
    <w:rsid w:val="00C9746F"/>
    <w:rsid w:val="00CA1AE1"/>
    <w:rsid w:val="00CA5B86"/>
    <w:rsid w:val="00CC4553"/>
    <w:rsid w:val="00CD369E"/>
    <w:rsid w:val="00CD5263"/>
    <w:rsid w:val="00CE2AB5"/>
    <w:rsid w:val="00CF1DB8"/>
    <w:rsid w:val="00CF22D9"/>
    <w:rsid w:val="00D01436"/>
    <w:rsid w:val="00D02FA8"/>
    <w:rsid w:val="00D04686"/>
    <w:rsid w:val="00D05B8F"/>
    <w:rsid w:val="00D11CB6"/>
    <w:rsid w:val="00D1660D"/>
    <w:rsid w:val="00D166D9"/>
    <w:rsid w:val="00D2535D"/>
    <w:rsid w:val="00D3262A"/>
    <w:rsid w:val="00D35203"/>
    <w:rsid w:val="00D37FEA"/>
    <w:rsid w:val="00D40138"/>
    <w:rsid w:val="00D4130A"/>
    <w:rsid w:val="00D427DF"/>
    <w:rsid w:val="00D43749"/>
    <w:rsid w:val="00D44AE7"/>
    <w:rsid w:val="00D51401"/>
    <w:rsid w:val="00D51658"/>
    <w:rsid w:val="00D51A2F"/>
    <w:rsid w:val="00D547A7"/>
    <w:rsid w:val="00D63B78"/>
    <w:rsid w:val="00D706BD"/>
    <w:rsid w:val="00D7215A"/>
    <w:rsid w:val="00D727BC"/>
    <w:rsid w:val="00D72F12"/>
    <w:rsid w:val="00D75F20"/>
    <w:rsid w:val="00D82D27"/>
    <w:rsid w:val="00D847FB"/>
    <w:rsid w:val="00D868A7"/>
    <w:rsid w:val="00D87887"/>
    <w:rsid w:val="00D915B6"/>
    <w:rsid w:val="00DA4CE4"/>
    <w:rsid w:val="00DA6E95"/>
    <w:rsid w:val="00DB3336"/>
    <w:rsid w:val="00DB41B0"/>
    <w:rsid w:val="00DC0B1E"/>
    <w:rsid w:val="00DC41F9"/>
    <w:rsid w:val="00DC48A5"/>
    <w:rsid w:val="00DC4BF3"/>
    <w:rsid w:val="00DC5551"/>
    <w:rsid w:val="00DD21E6"/>
    <w:rsid w:val="00DD280D"/>
    <w:rsid w:val="00DD791D"/>
    <w:rsid w:val="00DE353D"/>
    <w:rsid w:val="00DE4AEF"/>
    <w:rsid w:val="00DE5B0A"/>
    <w:rsid w:val="00DF0993"/>
    <w:rsid w:val="00DF0ADA"/>
    <w:rsid w:val="00DF1F6C"/>
    <w:rsid w:val="00DF3C09"/>
    <w:rsid w:val="00DF69D1"/>
    <w:rsid w:val="00E0266B"/>
    <w:rsid w:val="00E043A8"/>
    <w:rsid w:val="00E055D4"/>
    <w:rsid w:val="00E0653D"/>
    <w:rsid w:val="00E132B5"/>
    <w:rsid w:val="00E135D5"/>
    <w:rsid w:val="00E14C48"/>
    <w:rsid w:val="00E21DD4"/>
    <w:rsid w:val="00E24229"/>
    <w:rsid w:val="00E24A7F"/>
    <w:rsid w:val="00E25C7B"/>
    <w:rsid w:val="00E25E8A"/>
    <w:rsid w:val="00E26E89"/>
    <w:rsid w:val="00E274DD"/>
    <w:rsid w:val="00E3113C"/>
    <w:rsid w:val="00E324F3"/>
    <w:rsid w:val="00E34FE9"/>
    <w:rsid w:val="00E42D6F"/>
    <w:rsid w:val="00E44882"/>
    <w:rsid w:val="00E47C1E"/>
    <w:rsid w:val="00E51A9F"/>
    <w:rsid w:val="00E52476"/>
    <w:rsid w:val="00E55FAB"/>
    <w:rsid w:val="00E639AA"/>
    <w:rsid w:val="00E74035"/>
    <w:rsid w:val="00E759ED"/>
    <w:rsid w:val="00E76C17"/>
    <w:rsid w:val="00E77913"/>
    <w:rsid w:val="00E924D4"/>
    <w:rsid w:val="00E940EF"/>
    <w:rsid w:val="00E94351"/>
    <w:rsid w:val="00EA10A9"/>
    <w:rsid w:val="00EA1F50"/>
    <w:rsid w:val="00EA2A84"/>
    <w:rsid w:val="00EA5D90"/>
    <w:rsid w:val="00EB27D0"/>
    <w:rsid w:val="00EB4830"/>
    <w:rsid w:val="00EB4C29"/>
    <w:rsid w:val="00EB4DFD"/>
    <w:rsid w:val="00EB5410"/>
    <w:rsid w:val="00EB5DF3"/>
    <w:rsid w:val="00EB7483"/>
    <w:rsid w:val="00EC40B1"/>
    <w:rsid w:val="00EC65C3"/>
    <w:rsid w:val="00ED237F"/>
    <w:rsid w:val="00ED3292"/>
    <w:rsid w:val="00ED3F78"/>
    <w:rsid w:val="00EE7507"/>
    <w:rsid w:val="00EF2D87"/>
    <w:rsid w:val="00EF6133"/>
    <w:rsid w:val="00F01361"/>
    <w:rsid w:val="00F031F0"/>
    <w:rsid w:val="00F0321B"/>
    <w:rsid w:val="00F04282"/>
    <w:rsid w:val="00F06D35"/>
    <w:rsid w:val="00F11CDA"/>
    <w:rsid w:val="00F14A46"/>
    <w:rsid w:val="00F16D7A"/>
    <w:rsid w:val="00F16EE8"/>
    <w:rsid w:val="00F23D7E"/>
    <w:rsid w:val="00F2562E"/>
    <w:rsid w:val="00F26900"/>
    <w:rsid w:val="00F27645"/>
    <w:rsid w:val="00F30584"/>
    <w:rsid w:val="00F33E46"/>
    <w:rsid w:val="00F35268"/>
    <w:rsid w:val="00F40B3B"/>
    <w:rsid w:val="00F55DB5"/>
    <w:rsid w:val="00F56F7A"/>
    <w:rsid w:val="00F57C7B"/>
    <w:rsid w:val="00F57F10"/>
    <w:rsid w:val="00F608D1"/>
    <w:rsid w:val="00F62D81"/>
    <w:rsid w:val="00F63C46"/>
    <w:rsid w:val="00F65B38"/>
    <w:rsid w:val="00F703B0"/>
    <w:rsid w:val="00F735BC"/>
    <w:rsid w:val="00F83563"/>
    <w:rsid w:val="00F84799"/>
    <w:rsid w:val="00F912AC"/>
    <w:rsid w:val="00F92432"/>
    <w:rsid w:val="00F93A98"/>
    <w:rsid w:val="00F96341"/>
    <w:rsid w:val="00FB225C"/>
    <w:rsid w:val="00FB353C"/>
    <w:rsid w:val="00FB5A5C"/>
    <w:rsid w:val="00FB6979"/>
    <w:rsid w:val="00FC53E3"/>
    <w:rsid w:val="00FD06F7"/>
    <w:rsid w:val="00FD58E1"/>
    <w:rsid w:val="00FE12CD"/>
    <w:rsid w:val="00FF1418"/>
    <w:rsid w:val="00FF3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qFormat="1"/>
    <w:lsdException w:name="caption" w:uiPriority="35" w:qFormat="1"/>
    <w:lsdException w:name="footnote reference" w:uiPriority="0"/>
    <w:lsdException w:name="List Bullet" w:semiHidden="0" w:unhideWhenUsed="0"/>
    <w:lsdException w:name="List Number" w:semiHidden="0" w:unhideWhenUsed="0"/>
    <w:lsdException w:name="List Bullet 2" w:semiHidden="0" w:unhideWhenUsed="0"/>
    <w:lsdException w:name="List Number 2" w:semiHidden="0" w:unhideWhenUsed="0"/>
    <w:lsdException w:name="Title" w:uiPriority="10" w:unhideWhenUsed="0" w:qFormat="1"/>
    <w:lsdException w:name="Default Paragraph Font" w:uiPriority="1"/>
    <w:lsdException w:name="Subtitle" w:uiPriority="11" w:unhideWhenUsed="0" w:qFormat="1"/>
    <w:lsdException w:name="Strong" w:uiPriority="22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87B"/>
    <w:pPr>
      <w:spacing w:after="24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27DF"/>
    <w:pPr>
      <w:keepNext/>
      <w:keepLines/>
      <w:spacing w:after="12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737724"/>
    <w:pPr>
      <w:keepNext/>
      <w:keepLines/>
      <w:spacing w:after="0" w:line="360" w:lineRule="auto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737724"/>
    <w:pPr>
      <w:keepNext/>
      <w:keepLines/>
      <w:spacing w:after="0" w:line="360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qFormat/>
    <w:rsid w:val="00483782"/>
    <w:pPr>
      <w:keepNext/>
      <w:keepLines/>
      <w:spacing w:after="0"/>
      <w:jc w:val="center"/>
      <w:outlineLvl w:val="3"/>
    </w:pPr>
    <w:rPr>
      <w:rFonts w:eastAsiaTheme="majorEastAsia" w:cstheme="majorBidi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190332"/>
    <w:rPr>
      <w:sz w:val="20"/>
      <w:szCs w:val="20"/>
    </w:rPr>
  </w:style>
  <w:style w:type="character" w:styleId="FootnoteReference">
    <w:name w:val="footnote reference"/>
    <w:semiHidden/>
    <w:rsid w:val="00190332"/>
    <w:rPr>
      <w:vertAlign w:val="superscript"/>
    </w:rPr>
  </w:style>
  <w:style w:type="character" w:styleId="Hyperlink">
    <w:name w:val="Hyperlink"/>
    <w:uiPriority w:val="99"/>
    <w:rsid w:val="00F16EE8"/>
    <w:rPr>
      <w:b w:val="0"/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F24DB"/>
    <w:rPr>
      <w:color w:val="800080"/>
      <w:u w:val="single"/>
    </w:rPr>
  </w:style>
  <w:style w:type="table" w:styleId="TableGrid">
    <w:name w:val="Table Grid"/>
    <w:basedOn w:val="TableNormal"/>
    <w:uiPriority w:val="59"/>
    <w:rsid w:val="00BD1E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92393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23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92393"/>
    <w:rPr>
      <w:rFonts w:ascii="Tahoma" w:hAnsi="Tahoma" w:cs="Tahoma"/>
      <w:sz w:val="16"/>
      <w:szCs w:val="16"/>
      <w:lang w:eastAsia="en-GB"/>
    </w:rPr>
  </w:style>
  <w:style w:type="paragraph" w:styleId="Footer">
    <w:name w:val="footer"/>
    <w:basedOn w:val="Normal"/>
    <w:link w:val="FooterChar"/>
    <w:uiPriority w:val="99"/>
    <w:qFormat/>
    <w:rsid w:val="008969B0"/>
    <w:pPr>
      <w:tabs>
        <w:tab w:val="center" w:pos="4513"/>
        <w:tab w:val="right" w:pos="9026"/>
      </w:tabs>
      <w:spacing w:after="0"/>
    </w:pPr>
    <w:rPr>
      <w:sz w:val="20"/>
    </w:rPr>
  </w:style>
  <w:style w:type="character" w:customStyle="1" w:styleId="FooterChar">
    <w:name w:val="Footer Char"/>
    <w:link w:val="Footer"/>
    <w:uiPriority w:val="99"/>
    <w:rsid w:val="008969B0"/>
    <w:rPr>
      <w:rFonts w:ascii="Arial" w:hAnsi="Arial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312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12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124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12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124D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13D6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13D6C"/>
  </w:style>
  <w:style w:type="character" w:styleId="EndnoteReference">
    <w:name w:val="endnote reference"/>
    <w:basedOn w:val="DefaultParagraphFont"/>
    <w:uiPriority w:val="99"/>
    <w:semiHidden/>
    <w:unhideWhenUsed/>
    <w:rsid w:val="00A13D6C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D427DF"/>
    <w:rPr>
      <w:rFonts w:ascii="Arial" w:eastAsiaTheme="majorEastAsia" w:hAnsi="Arial" w:cstheme="majorBidi"/>
      <w:b/>
      <w:bCs/>
      <w:sz w:val="32"/>
      <w:szCs w:val="28"/>
    </w:rPr>
  </w:style>
  <w:style w:type="paragraph" w:styleId="NoSpacing">
    <w:name w:val="No Spacing"/>
    <w:uiPriority w:val="1"/>
    <w:qFormat/>
    <w:rsid w:val="0033606F"/>
    <w:rPr>
      <w:rFonts w:ascii="Arial" w:hAnsi="Arial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37724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37724"/>
    <w:rPr>
      <w:rFonts w:ascii="Arial" w:eastAsiaTheme="majorEastAsia" w:hAnsi="Arial" w:cstheme="majorBidi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83782"/>
    <w:rPr>
      <w:rFonts w:ascii="Arial" w:eastAsiaTheme="majorEastAsia" w:hAnsi="Arial" w:cstheme="majorBidi"/>
      <w:b/>
      <w:bCs/>
      <w:iCs/>
      <w:sz w:val="24"/>
      <w:szCs w:val="24"/>
    </w:rPr>
  </w:style>
  <w:style w:type="paragraph" w:styleId="ListBullet">
    <w:name w:val="List Bullet"/>
    <w:basedOn w:val="Normal"/>
    <w:uiPriority w:val="99"/>
    <w:rsid w:val="009D34C0"/>
    <w:pPr>
      <w:numPr>
        <w:numId w:val="9"/>
      </w:numPr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9160E"/>
    <w:pPr>
      <w:spacing w:before="480" w:after="0" w:line="276" w:lineRule="auto"/>
      <w:outlineLvl w:val="9"/>
    </w:pPr>
    <w:rPr>
      <w:rFonts w:asciiTheme="majorHAnsi" w:hAnsiTheme="majorHAnsi"/>
      <w:color w:val="365F91" w:themeColor="accent1" w:themeShade="BF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semiHidden/>
    <w:rsid w:val="0039160E"/>
    <w:pPr>
      <w:spacing w:after="100"/>
    </w:pPr>
  </w:style>
  <w:style w:type="paragraph" w:styleId="TOC3">
    <w:name w:val="toc 3"/>
    <w:basedOn w:val="Normal"/>
    <w:next w:val="Normal"/>
    <w:autoRedefine/>
    <w:uiPriority w:val="39"/>
    <w:semiHidden/>
    <w:rsid w:val="0039160E"/>
    <w:pPr>
      <w:spacing w:after="100"/>
      <w:ind w:left="480"/>
    </w:pPr>
  </w:style>
  <w:style w:type="paragraph" w:styleId="Header">
    <w:name w:val="header"/>
    <w:basedOn w:val="Normal"/>
    <w:link w:val="HeaderChar"/>
    <w:uiPriority w:val="99"/>
    <w:unhideWhenUsed/>
    <w:rsid w:val="00F35268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35268"/>
    <w:rPr>
      <w:rFonts w:ascii="Arial" w:hAnsi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58750D"/>
    <w:pPr>
      <w:ind w:left="720"/>
      <w:contextualSpacing/>
    </w:pPr>
  </w:style>
  <w:style w:type="character" w:customStyle="1" w:styleId="FootnoteTextChar">
    <w:name w:val="Footnote Text Char"/>
    <w:basedOn w:val="DefaultParagraphFont"/>
    <w:link w:val="FootnoteText"/>
    <w:semiHidden/>
    <w:rsid w:val="00694D98"/>
    <w:rPr>
      <w:rFonts w:ascii="Arial" w:hAnsi="Arial"/>
    </w:rPr>
  </w:style>
  <w:style w:type="paragraph" w:styleId="ListBullet2">
    <w:name w:val="List Bullet 2"/>
    <w:basedOn w:val="Normal"/>
    <w:uiPriority w:val="99"/>
    <w:rsid w:val="00A90C28"/>
    <w:pPr>
      <w:numPr>
        <w:numId w:val="10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qFormat="1"/>
    <w:lsdException w:name="caption" w:uiPriority="35" w:qFormat="1"/>
    <w:lsdException w:name="footnote reference" w:uiPriority="0"/>
    <w:lsdException w:name="List Bullet" w:semiHidden="0" w:unhideWhenUsed="0"/>
    <w:lsdException w:name="List Number" w:semiHidden="0" w:unhideWhenUsed="0"/>
    <w:lsdException w:name="List Bullet 2" w:semiHidden="0" w:unhideWhenUsed="0"/>
    <w:lsdException w:name="List Number 2" w:semiHidden="0" w:unhideWhenUsed="0"/>
    <w:lsdException w:name="Title" w:uiPriority="10" w:unhideWhenUsed="0" w:qFormat="1"/>
    <w:lsdException w:name="Default Paragraph Font" w:uiPriority="1"/>
    <w:lsdException w:name="Subtitle" w:uiPriority="11" w:unhideWhenUsed="0" w:qFormat="1"/>
    <w:lsdException w:name="Strong" w:uiPriority="22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87B"/>
    <w:pPr>
      <w:spacing w:after="24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27DF"/>
    <w:pPr>
      <w:keepNext/>
      <w:keepLines/>
      <w:spacing w:after="12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737724"/>
    <w:pPr>
      <w:keepNext/>
      <w:keepLines/>
      <w:spacing w:after="0" w:line="360" w:lineRule="auto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737724"/>
    <w:pPr>
      <w:keepNext/>
      <w:keepLines/>
      <w:spacing w:after="0" w:line="360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qFormat/>
    <w:rsid w:val="00483782"/>
    <w:pPr>
      <w:keepNext/>
      <w:keepLines/>
      <w:spacing w:after="0"/>
      <w:jc w:val="center"/>
      <w:outlineLvl w:val="3"/>
    </w:pPr>
    <w:rPr>
      <w:rFonts w:eastAsiaTheme="majorEastAsia" w:cstheme="majorBidi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190332"/>
    <w:rPr>
      <w:sz w:val="20"/>
      <w:szCs w:val="20"/>
    </w:rPr>
  </w:style>
  <w:style w:type="character" w:styleId="FootnoteReference">
    <w:name w:val="footnote reference"/>
    <w:semiHidden/>
    <w:rsid w:val="00190332"/>
    <w:rPr>
      <w:vertAlign w:val="superscript"/>
    </w:rPr>
  </w:style>
  <w:style w:type="character" w:styleId="Hyperlink">
    <w:name w:val="Hyperlink"/>
    <w:uiPriority w:val="99"/>
    <w:rsid w:val="00F16EE8"/>
    <w:rPr>
      <w:b w:val="0"/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F24DB"/>
    <w:rPr>
      <w:color w:val="800080"/>
      <w:u w:val="single"/>
    </w:rPr>
  </w:style>
  <w:style w:type="table" w:styleId="TableGrid">
    <w:name w:val="Table Grid"/>
    <w:basedOn w:val="TableNormal"/>
    <w:uiPriority w:val="59"/>
    <w:rsid w:val="00BD1E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92393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23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92393"/>
    <w:rPr>
      <w:rFonts w:ascii="Tahoma" w:hAnsi="Tahoma" w:cs="Tahoma"/>
      <w:sz w:val="16"/>
      <w:szCs w:val="16"/>
      <w:lang w:eastAsia="en-GB"/>
    </w:rPr>
  </w:style>
  <w:style w:type="paragraph" w:styleId="Footer">
    <w:name w:val="footer"/>
    <w:basedOn w:val="Normal"/>
    <w:link w:val="FooterChar"/>
    <w:uiPriority w:val="99"/>
    <w:qFormat/>
    <w:rsid w:val="008969B0"/>
    <w:pPr>
      <w:tabs>
        <w:tab w:val="center" w:pos="4513"/>
        <w:tab w:val="right" w:pos="9026"/>
      </w:tabs>
      <w:spacing w:after="0"/>
    </w:pPr>
    <w:rPr>
      <w:sz w:val="20"/>
    </w:rPr>
  </w:style>
  <w:style w:type="character" w:customStyle="1" w:styleId="FooterChar">
    <w:name w:val="Footer Char"/>
    <w:link w:val="Footer"/>
    <w:uiPriority w:val="99"/>
    <w:rsid w:val="008969B0"/>
    <w:rPr>
      <w:rFonts w:ascii="Arial" w:hAnsi="Arial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312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12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124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12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124D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13D6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13D6C"/>
  </w:style>
  <w:style w:type="character" w:styleId="EndnoteReference">
    <w:name w:val="endnote reference"/>
    <w:basedOn w:val="DefaultParagraphFont"/>
    <w:uiPriority w:val="99"/>
    <w:semiHidden/>
    <w:unhideWhenUsed/>
    <w:rsid w:val="00A13D6C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D427DF"/>
    <w:rPr>
      <w:rFonts w:ascii="Arial" w:eastAsiaTheme="majorEastAsia" w:hAnsi="Arial" w:cstheme="majorBidi"/>
      <w:b/>
      <w:bCs/>
      <w:sz w:val="32"/>
      <w:szCs w:val="28"/>
    </w:rPr>
  </w:style>
  <w:style w:type="paragraph" w:styleId="NoSpacing">
    <w:name w:val="No Spacing"/>
    <w:uiPriority w:val="1"/>
    <w:qFormat/>
    <w:rsid w:val="0033606F"/>
    <w:rPr>
      <w:rFonts w:ascii="Arial" w:hAnsi="Arial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37724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37724"/>
    <w:rPr>
      <w:rFonts w:ascii="Arial" w:eastAsiaTheme="majorEastAsia" w:hAnsi="Arial" w:cstheme="majorBidi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83782"/>
    <w:rPr>
      <w:rFonts w:ascii="Arial" w:eastAsiaTheme="majorEastAsia" w:hAnsi="Arial" w:cstheme="majorBidi"/>
      <w:b/>
      <w:bCs/>
      <w:iCs/>
      <w:sz w:val="24"/>
      <w:szCs w:val="24"/>
    </w:rPr>
  </w:style>
  <w:style w:type="paragraph" w:styleId="ListBullet">
    <w:name w:val="List Bullet"/>
    <w:basedOn w:val="Normal"/>
    <w:uiPriority w:val="99"/>
    <w:rsid w:val="009D34C0"/>
    <w:pPr>
      <w:numPr>
        <w:numId w:val="9"/>
      </w:numPr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9160E"/>
    <w:pPr>
      <w:spacing w:before="480" w:after="0" w:line="276" w:lineRule="auto"/>
      <w:outlineLvl w:val="9"/>
    </w:pPr>
    <w:rPr>
      <w:rFonts w:asciiTheme="majorHAnsi" w:hAnsiTheme="majorHAnsi"/>
      <w:color w:val="365F91" w:themeColor="accent1" w:themeShade="BF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semiHidden/>
    <w:rsid w:val="0039160E"/>
    <w:pPr>
      <w:spacing w:after="100"/>
    </w:pPr>
  </w:style>
  <w:style w:type="paragraph" w:styleId="TOC3">
    <w:name w:val="toc 3"/>
    <w:basedOn w:val="Normal"/>
    <w:next w:val="Normal"/>
    <w:autoRedefine/>
    <w:uiPriority w:val="39"/>
    <w:semiHidden/>
    <w:rsid w:val="0039160E"/>
    <w:pPr>
      <w:spacing w:after="100"/>
      <w:ind w:left="480"/>
    </w:pPr>
  </w:style>
  <w:style w:type="paragraph" w:styleId="Header">
    <w:name w:val="header"/>
    <w:basedOn w:val="Normal"/>
    <w:link w:val="HeaderChar"/>
    <w:uiPriority w:val="99"/>
    <w:unhideWhenUsed/>
    <w:rsid w:val="00F35268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35268"/>
    <w:rPr>
      <w:rFonts w:ascii="Arial" w:hAnsi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58750D"/>
    <w:pPr>
      <w:ind w:left="720"/>
      <w:contextualSpacing/>
    </w:pPr>
  </w:style>
  <w:style w:type="character" w:customStyle="1" w:styleId="FootnoteTextChar">
    <w:name w:val="Footnote Text Char"/>
    <w:basedOn w:val="DefaultParagraphFont"/>
    <w:link w:val="FootnoteText"/>
    <w:semiHidden/>
    <w:rsid w:val="00694D98"/>
    <w:rPr>
      <w:rFonts w:ascii="Arial" w:hAnsi="Arial"/>
    </w:rPr>
  </w:style>
  <w:style w:type="paragraph" w:styleId="ListBullet2">
    <w:name w:val="List Bullet 2"/>
    <w:basedOn w:val="Normal"/>
    <w:uiPriority w:val="99"/>
    <w:rsid w:val="00A90C28"/>
    <w:pPr>
      <w:numPr>
        <w:numId w:val="10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9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40764">
                  <w:marLeft w:val="165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62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594701">
                          <w:marLeft w:val="165"/>
                          <w:marRight w:val="16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034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58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625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276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9332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548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1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yperlink" Target="http://www.hscic.gov.uk/article/2021/Website-Search?productid=15165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dhsspsni.gov.uk/index/statistics/hospital/emergency-care/ambulance-statistics.htm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yperlink" Target="http://aace.org.uk/national-performance/national-clinical-dashboards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england.nhs.uk/statistics/statistical-work-areas/ambulance-quality-indicators" TargetMode="External"/><Relationship Id="rId20" Type="http://schemas.openxmlformats.org/officeDocument/2006/relationships/hyperlink" Target="http://www.scottishambulance.com/TheService/BoardPapers.asp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hyperlink" Target="mailto:i.kay@nhs.net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://wales.gov.uk/statistics-and-research/ambulance-services/?lang=e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hyperlink" Target="mailto:nhsengland.media@nhs.net" TargetMode="External"/><Relationship Id="rId27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gland.nhs.uk/statistics/statistical-work-areas/ambulance-quality-indicators" TargetMode="External"/><Relationship Id="rId3" Type="http://schemas.openxmlformats.org/officeDocument/2006/relationships/hyperlink" Target="http://www.england.nhs.uk/statistics/statistical-work-areas/ambulance-quality-indicators" TargetMode="External"/><Relationship Id="rId7" Type="http://schemas.openxmlformats.org/officeDocument/2006/relationships/hyperlink" Target="http://circ.ahajournals.org/content/84/2/960.citation" TargetMode="External"/><Relationship Id="rId2" Type="http://schemas.openxmlformats.org/officeDocument/2006/relationships/hyperlink" Target="http://www.nhs.uk/choiceintheNHS/Rightsandpledges/NHSConstitution/Pages/Overview.aspx" TargetMode="External"/><Relationship Id="rId1" Type="http://schemas.openxmlformats.org/officeDocument/2006/relationships/hyperlink" Target="http://www.gov.uk/government/news/changes-to-ambulance-response-time-categories" TargetMode="External"/><Relationship Id="rId6" Type="http://schemas.openxmlformats.org/officeDocument/2006/relationships/hyperlink" Target="http://www.parliament.uk/business/publications/written-questions-answers-statements/written-statement/Commons/2015-01-16/HCWS201" TargetMode="External"/><Relationship Id="rId5" Type="http://schemas.openxmlformats.org/officeDocument/2006/relationships/hyperlink" Target="http://www.datadictionary.nhs.uk/data_dictionary/attributes/a/acc/accident_and_emergency_department_type_de.asp" TargetMode="External"/><Relationship Id="rId4" Type="http://schemas.openxmlformats.org/officeDocument/2006/relationships/hyperlink" Target="http://www.datadictionary.nhs.uk/data_dictionary/attributes/a/acc/accident_and_emergency_department_type_de.as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A2DC3-F063-4ACA-BB5C-181B13315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10</Pages>
  <Words>2180</Words>
  <Characters>12636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RESTRICTED – STATISTICS</vt:lpstr>
    </vt:vector>
  </TitlesOfParts>
  <Company>Department of Health</Company>
  <LinksUpToDate>false</LinksUpToDate>
  <CharactersWithSpaces>14787</CharactersWithSpaces>
  <SharedDoc>false</SharedDoc>
  <HLinks>
    <vt:vector size="54" baseType="variant">
      <vt:variant>
        <vt:i4>1769557</vt:i4>
      </vt:variant>
      <vt:variant>
        <vt:i4>24</vt:i4>
      </vt:variant>
      <vt:variant>
        <vt:i4>0</vt:i4>
      </vt:variant>
      <vt:variant>
        <vt:i4>5</vt:i4>
      </vt:variant>
      <vt:variant>
        <vt:lpwstr>http://www.england.nhs.uk/statistics/statistical-work-areas/ambulance-quality-indicators/</vt:lpwstr>
      </vt:variant>
      <vt:variant>
        <vt:lpwstr/>
      </vt:variant>
      <vt:variant>
        <vt:i4>655484</vt:i4>
      </vt:variant>
      <vt:variant>
        <vt:i4>21</vt:i4>
      </vt:variant>
      <vt:variant>
        <vt:i4>0</vt:i4>
      </vt:variant>
      <vt:variant>
        <vt:i4>5</vt:i4>
      </vt:variant>
      <vt:variant>
        <vt:lpwstr>http://www.niamb.co.uk/docs/corporate_info.html</vt:lpwstr>
      </vt:variant>
      <vt:variant>
        <vt:lpwstr/>
      </vt:variant>
      <vt:variant>
        <vt:i4>4391003</vt:i4>
      </vt:variant>
      <vt:variant>
        <vt:i4>18</vt:i4>
      </vt:variant>
      <vt:variant>
        <vt:i4>0</vt:i4>
      </vt:variant>
      <vt:variant>
        <vt:i4>5</vt:i4>
      </vt:variant>
      <vt:variant>
        <vt:lpwstr>http://www.scottishambulance.com/Performance/Default.aspx</vt:lpwstr>
      </vt:variant>
      <vt:variant>
        <vt:lpwstr/>
      </vt:variant>
      <vt:variant>
        <vt:i4>3145835</vt:i4>
      </vt:variant>
      <vt:variant>
        <vt:i4>15</vt:i4>
      </vt:variant>
      <vt:variant>
        <vt:i4>0</vt:i4>
      </vt:variant>
      <vt:variant>
        <vt:i4>5</vt:i4>
      </vt:variant>
      <vt:variant>
        <vt:lpwstr>http://wales.gov.uk/topics/statistics/headlines/health2012/120307/?lang=en</vt:lpwstr>
      </vt:variant>
      <vt:variant>
        <vt:lpwstr/>
      </vt:variant>
      <vt:variant>
        <vt:i4>8061018</vt:i4>
      </vt:variant>
      <vt:variant>
        <vt:i4>12</vt:i4>
      </vt:variant>
      <vt:variant>
        <vt:i4>0</vt:i4>
      </vt:variant>
      <vt:variant>
        <vt:i4>5</vt:i4>
      </vt:variant>
      <vt:variant>
        <vt:lpwstr>http://www.dh.gov.uk/en/Publicationsandstatistics/Statistics/Performanced ataandstatistics/WeeklySituationReports/DH_128506</vt:lpwstr>
      </vt:variant>
      <vt:variant>
        <vt:lpwstr/>
      </vt:variant>
      <vt:variant>
        <vt:i4>5570582</vt:i4>
      </vt:variant>
      <vt:variant>
        <vt:i4>9</vt:i4>
      </vt:variant>
      <vt:variant>
        <vt:i4>0</vt:i4>
      </vt:variant>
      <vt:variant>
        <vt:i4>5</vt:i4>
      </vt:variant>
      <vt:variant>
        <vt:lpwstr>http://www.england.nhs.uk/statistics/code-compliance/</vt:lpwstr>
      </vt:variant>
      <vt:variant>
        <vt:lpwstr/>
      </vt:variant>
      <vt:variant>
        <vt:i4>2162801</vt:i4>
      </vt:variant>
      <vt:variant>
        <vt:i4>6</vt:i4>
      </vt:variant>
      <vt:variant>
        <vt:i4>0</vt:i4>
      </vt:variant>
      <vt:variant>
        <vt:i4>5</vt:i4>
      </vt:variant>
      <vt:variant>
        <vt:lpwstr>http://www.england.nhs.uk/statistics/ambulance-quality-indicators/</vt:lpwstr>
      </vt:variant>
      <vt:variant>
        <vt:lpwstr/>
      </vt:variant>
      <vt:variant>
        <vt:i4>2097272</vt:i4>
      </vt:variant>
      <vt:variant>
        <vt:i4>3</vt:i4>
      </vt:variant>
      <vt:variant>
        <vt:i4>0</vt:i4>
      </vt:variant>
      <vt:variant>
        <vt:i4>5</vt:i4>
      </vt:variant>
      <vt:variant>
        <vt:lpwstr>http://www.england.nhs.uk/statistics/statistical-work-areas/ambulance-quality-indicators/ambulance-quality-indicators-data-2013-14/</vt:lpwstr>
      </vt:variant>
      <vt:variant>
        <vt:lpwstr/>
      </vt:variant>
      <vt:variant>
        <vt:i4>2097272</vt:i4>
      </vt:variant>
      <vt:variant>
        <vt:i4>0</vt:i4>
      </vt:variant>
      <vt:variant>
        <vt:i4>0</vt:i4>
      </vt:variant>
      <vt:variant>
        <vt:i4>5</vt:i4>
      </vt:variant>
      <vt:variant>
        <vt:lpwstr>http://www.england.nhs.uk/statistics/statistical-work-areas/ambulance-quality-indicators/ambulance-quality-indicators-data-2013-14/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RESTRICTED – STATISTICS</dc:title>
  <dc:creator>Ian Kay</dc:creator>
  <cp:lastModifiedBy>Kay, Ian</cp:lastModifiedBy>
  <cp:revision>6</cp:revision>
  <cp:lastPrinted>2014-12-03T16:46:00Z</cp:lastPrinted>
  <dcterms:created xsi:type="dcterms:W3CDTF">2015-02-04T12:05:00Z</dcterms:created>
  <dcterms:modified xsi:type="dcterms:W3CDTF">2015-02-05T08:54:00Z</dcterms:modified>
</cp:coreProperties>
</file>