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492" w:rsidRDefault="00C21149" w:rsidP="00C96A98">
      <w:pPr>
        <w:pStyle w:val="Heading2"/>
      </w:pPr>
      <w:r>
        <w:t xml:space="preserve">Statistical Note: </w:t>
      </w:r>
      <w:r w:rsidR="00340492" w:rsidRPr="007A138E">
        <w:t>Ambulance Quality Indicators</w:t>
      </w:r>
      <w:r w:rsidR="002C522F">
        <w:t xml:space="preserve"> (AQI</w:t>
      </w:r>
      <w:r w:rsidR="00DC4BF3">
        <w:t>)</w:t>
      </w:r>
    </w:p>
    <w:p w:rsidR="0058750D" w:rsidRDefault="0058750D" w:rsidP="00C03D2B">
      <w:pPr>
        <w:pStyle w:val="ListBullet"/>
      </w:pPr>
      <w:r>
        <w:t xml:space="preserve">The latest </w:t>
      </w:r>
      <w:r w:rsidR="0096283E">
        <w:t xml:space="preserve">emergency response </w:t>
      </w:r>
      <w:r>
        <w:t xml:space="preserve">data </w:t>
      </w:r>
      <w:r w:rsidR="00BE2594">
        <w:t xml:space="preserve">for Ambulance Services in England </w:t>
      </w:r>
      <w:r w:rsidR="0096283E">
        <w:t>for Febru</w:t>
      </w:r>
      <w:r w:rsidR="00BE2594">
        <w:t xml:space="preserve">ary 2015 </w:t>
      </w:r>
      <w:r w:rsidR="0096283E">
        <w:t xml:space="preserve">were similar to January 2015, and </w:t>
      </w:r>
      <w:r w:rsidR="00BE2594">
        <w:t>did not meet the standards in the Handbook</w:t>
      </w:r>
      <w:r w:rsidR="00BE2594">
        <w:rPr>
          <w:rStyle w:val="FootnoteReference"/>
        </w:rPr>
        <w:footnoteReference w:id="1"/>
      </w:r>
      <w:r w:rsidR="00BE2594">
        <w:t xml:space="preserve"> to the NHS constitution</w:t>
      </w:r>
      <w:r w:rsidR="0096283E">
        <w:t>.</w:t>
      </w:r>
    </w:p>
    <w:p w:rsidR="0058750D" w:rsidRDefault="0058750D" w:rsidP="00C03D2B">
      <w:pPr>
        <w:pStyle w:val="ListBullet"/>
      </w:pPr>
      <w:r>
        <w:t xml:space="preserve">The latest </w:t>
      </w:r>
      <w:r w:rsidR="00966F66">
        <w:t xml:space="preserve">clinical outcomes </w:t>
      </w:r>
      <w:r>
        <w:t xml:space="preserve">data </w:t>
      </w:r>
      <w:r w:rsidR="00C03D2B">
        <w:t xml:space="preserve">for </w:t>
      </w:r>
      <w:r w:rsidR="0096283E">
        <w:t>Novem</w:t>
      </w:r>
      <w:r w:rsidR="007E152B">
        <w:t xml:space="preserve">ber </w:t>
      </w:r>
      <w:r w:rsidR="00225C13">
        <w:t>2</w:t>
      </w:r>
      <w:r w:rsidR="00C03D2B">
        <w:t xml:space="preserve">014 </w:t>
      </w:r>
      <w:r w:rsidR="00966F66">
        <w:t xml:space="preserve">for patients transported by Ambulance Services </w:t>
      </w:r>
      <w:r w:rsidR="00EA1F50">
        <w:t>are stable</w:t>
      </w:r>
      <w:r w:rsidR="00CD037E">
        <w:t>, other than for stroke thrombolysis.</w:t>
      </w:r>
    </w:p>
    <w:p w:rsidR="002C522F" w:rsidRDefault="002C522F" w:rsidP="00737724">
      <w:pPr>
        <w:pStyle w:val="Heading2"/>
      </w:pPr>
      <w:r>
        <w:t>A.</w:t>
      </w:r>
      <w:r>
        <w:tab/>
      </w:r>
      <w:r w:rsidR="00C3443F" w:rsidRPr="00151AF2">
        <w:t xml:space="preserve">Systems </w:t>
      </w:r>
      <w:r w:rsidR="00465847">
        <w:t>Indicators</w:t>
      </w:r>
    </w:p>
    <w:p w:rsidR="00C3443F" w:rsidRPr="00127FD0" w:rsidRDefault="0044771F" w:rsidP="002C522F">
      <w:pPr>
        <w:pStyle w:val="Heading3"/>
      </w:pPr>
      <w:r>
        <w:t>A1</w:t>
      </w:r>
      <w:r w:rsidR="0066320C">
        <w:tab/>
      </w:r>
      <w:r w:rsidR="00D3262A">
        <w:t xml:space="preserve">Emergency </w:t>
      </w:r>
      <w:r w:rsidR="0089121D" w:rsidRPr="00C21149">
        <w:t>response</w:t>
      </w:r>
      <w:r w:rsidR="00D3262A">
        <w:t xml:space="preserve"> in 8 minutes</w:t>
      </w:r>
      <w:r w:rsidR="00774123">
        <w:t xml:space="preserve"> (Figure 1)</w:t>
      </w:r>
    </w:p>
    <w:p w:rsidR="00191AB9" w:rsidRDefault="00526112" w:rsidP="00191AB9">
      <w:r>
        <w:t>In</w:t>
      </w:r>
      <w:r w:rsidR="00AA7926">
        <w:t xml:space="preserve"> </w:t>
      </w:r>
      <w:r w:rsidR="0096283E">
        <w:t>Febru</w:t>
      </w:r>
      <w:r w:rsidR="00F10AC3" w:rsidRPr="00F10AC3">
        <w:t>ary 2015</w:t>
      </w:r>
      <w:r>
        <w:t xml:space="preserve">, </w:t>
      </w:r>
      <w:r w:rsidR="004C377A" w:rsidRPr="00513897">
        <w:t>of Category</w:t>
      </w:r>
      <w:r w:rsidR="0090527D" w:rsidRPr="00513897">
        <w:rPr>
          <w:rStyle w:val="FootnoteReference"/>
          <w:rFonts w:cs="Arial"/>
        </w:rPr>
        <w:footnoteReference w:id="2"/>
      </w:r>
      <w:r w:rsidR="00513897">
        <w:t xml:space="preserve"> </w:t>
      </w:r>
      <w:r w:rsidR="008D50FB" w:rsidRPr="00513897">
        <w:t>A Red</w:t>
      </w:r>
      <w:r w:rsidR="008D50FB">
        <w:t xml:space="preserve"> </w:t>
      </w:r>
      <w:r w:rsidR="00513897">
        <w:t>1</w:t>
      </w:r>
      <w:r w:rsidR="004C377A" w:rsidRPr="00513897">
        <w:t xml:space="preserve"> calls </w:t>
      </w:r>
      <w:r w:rsidR="00513897" w:rsidRPr="00513897">
        <w:t xml:space="preserve">in England </w:t>
      </w:r>
      <w:r w:rsidR="004C377A" w:rsidRPr="00513897">
        <w:t>res</w:t>
      </w:r>
      <w:r>
        <w:t>ulting in an emergency response, t</w:t>
      </w:r>
      <w:r w:rsidRPr="00A575B0">
        <w:t xml:space="preserve">he </w:t>
      </w:r>
      <w:r w:rsidRPr="00513897">
        <w:t xml:space="preserve">proportion </w:t>
      </w:r>
      <w:r w:rsidR="004C377A" w:rsidRPr="00513897">
        <w:t xml:space="preserve">arriving within 8 </w:t>
      </w:r>
      <w:r w:rsidR="00191AB9" w:rsidRPr="00513897">
        <w:t xml:space="preserve">minutes was </w:t>
      </w:r>
      <w:r w:rsidR="00191AB9" w:rsidRPr="00CE4C54">
        <w:t>72.0</w:t>
      </w:r>
      <w:r w:rsidR="00191AB9">
        <w:t xml:space="preserve">%. </w:t>
      </w:r>
    </w:p>
    <w:p w:rsidR="00E924D4" w:rsidRDefault="00526112" w:rsidP="00513897">
      <w:r>
        <w:t xml:space="preserve">In </w:t>
      </w:r>
      <w:r w:rsidR="0096283E">
        <w:t>Febr</w:t>
      </w:r>
      <w:r w:rsidR="00F10AC3" w:rsidRPr="00F10AC3">
        <w:t>uary 2015</w:t>
      </w:r>
      <w:r>
        <w:t xml:space="preserve">, </w:t>
      </w:r>
      <w:r w:rsidR="00513897" w:rsidRPr="00513897">
        <w:t xml:space="preserve">of Category A </w:t>
      </w:r>
      <w:r w:rsidR="00513897">
        <w:t>Red 2</w:t>
      </w:r>
      <w:r w:rsidR="00513897" w:rsidRPr="00513897">
        <w:t xml:space="preserve"> calls in England res</w:t>
      </w:r>
      <w:r>
        <w:t>ulting in an emergency response, t</w:t>
      </w:r>
      <w:r w:rsidRPr="00513897">
        <w:t xml:space="preserve">he proportion </w:t>
      </w:r>
      <w:r w:rsidR="00513897" w:rsidRPr="00513897">
        <w:t>arriving</w:t>
      </w:r>
      <w:r w:rsidR="00513897" w:rsidRPr="0053124D">
        <w:t xml:space="preserve"> within</w:t>
      </w:r>
      <w:r w:rsidR="00513897" w:rsidRPr="00513897">
        <w:t xml:space="preserve"> 8 minutes was </w:t>
      </w:r>
      <w:r w:rsidR="00774123">
        <w:t>67.5</w:t>
      </w:r>
      <w:r w:rsidR="00F10AC3" w:rsidRPr="00F10AC3">
        <w:t>%</w:t>
      </w:r>
      <w:r w:rsidR="00E924D4">
        <w:t>.</w:t>
      </w:r>
    </w:p>
    <w:p w:rsidR="001D4F10" w:rsidRDefault="001D4F10" w:rsidP="001D4F10">
      <w:r>
        <w:t xml:space="preserve">Red 2 data for February 2015 are not completely comparable </w:t>
      </w:r>
      <w:r w:rsidR="00620FE6">
        <w:t xml:space="preserve">across </w:t>
      </w:r>
      <w:r>
        <w:t>England</w:t>
      </w:r>
      <w:r w:rsidR="00620FE6">
        <w:t xml:space="preserve">; see section A2 on the Dispatch on Disposition </w:t>
      </w:r>
      <w:r>
        <w:t>pilot</w:t>
      </w:r>
      <w:r w:rsidR="00620FE6">
        <w:t>.</w:t>
      </w:r>
      <w:r>
        <w:t xml:space="preserve"> </w:t>
      </w:r>
    </w:p>
    <w:p w:rsidR="00C96A98" w:rsidRDefault="00B117F9" w:rsidP="00E53110">
      <w:r>
        <w:rPr>
          <w:noProof/>
        </w:rPr>
        <w:drawing>
          <wp:inline distT="0" distB="0" distL="0" distR="0" wp14:anchorId="55C1E372">
            <wp:extent cx="5621020" cy="29387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21020" cy="2938780"/>
                    </a:xfrm>
                    <a:prstGeom prst="rect">
                      <a:avLst/>
                    </a:prstGeom>
                    <a:noFill/>
                  </pic:spPr>
                </pic:pic>
              </a:graphicData>
            </a:graphic>
          </wp:inline>
        </w:drawing>
      </w:r>
    </w:p>
    <w:p w:rsidR="008076E2" w:rsidRDefault="008076E2" w:rsidP="00A90C28">
      <w:r>
        <w:t>The standard for A</w:t>
      </w:r>
      <w:r w:rsidRPr="00513897">
        <w:t xml:space="preserve">mbulance </w:t>
      </w:r>
      <w:r>
        <w:t xml:space="preserve">Services is </w:t>
      </w:r>
      <w:r w:rsidRPr="00513897">
        <w:t xml:space="preserve">to </w:t>
      </w:r>
      <w:r>
        <w:t xml:space="preserve">send an emergency response, with a defibrillator, </w:t>
      </w:r>
      <w:r w:rsidRPr="00513897">
        <w:t xml:space="preserve">within </w:t>
      </w:r>
      <w:r>
        <w:t>8</w:t>
      </w:r>
      <w:r w:rsidRPr="00513897">
        <w:t xml:space="preserve"> minutes</w:t>
      </w:r>
      <w:r>
        <w:t>,</w:t>
      </w:r>
      <w:r w:rsidRPr="00513897">
        <w:t xml:space="preserve"> </w:t>
      </w:r>
      <w:r>
        <w:t>to 75%</w:t>
      </w:r>
      <w:r w:rsidRPr="00513897">
        <w:t xml:space="preserve"> of Category A</w:t>
      </w:r>
      <w:r w:rsidRPr="00E924D4">
        <w:t xml:space="preserve"> </w:t>
      </w:r>
      <w:r w:rsidRPr="00513897">
        <w:t>calls</w:t>
      </w:r>
      <w:r>
        <w:rPr>
          <w:rStyle w:val="FootnoteReference"/>
        </w:rPr>
        <w:footnoteReference w:id="3"/>
      </w:r>
      <w:r>
        <w:t>. Figure 1 shows that for England as a whole,</w:t>
      </w:r>
      <w:r w:rsidR="0096283E">
        <w:t xml:space="preserve"> </w:t>
      </w:r>
      <w:r w:rsidR="00B91476">
        <w:t xml:space="preserve">the </w:t>
      </w:r>
      <w:r w:rsidR="0096283E">
        <w:t xml:space="preserve">standard </w:t>
      </w:r>
      <w:r>
        <w:t>has not been met for Red 1 since April 2014.</w:t>
      </w:r>
    </w:p>
    <w:p w:rsidR="00065771" w:rsidRDefault="008076E2" w:rsidP="00065771">
      <w:r>
        <w:lastRenderedPageBreak/>
        <w:t xml:space="preserve">The </w:t>
      </w:r>
      <w:r w:rsidR="00774123">
        <w:t xml:space="preserve">February 2015 </w:t>
      </w:r>
      <w:r>
        <w:t>Red 1 proportion was above the standard for three of the eleven Ambulance Services in England: West Midlands, East of England, and Isle of Wight. The Red 1 proportion was below 70% for North West, East Midlands and London.</w:t>
      </w:r>
      <w:r w:rsidR="00065771">
        <w:t xml:space="preserve"> </w:t>
      </w:r>
    </w:p>
    <w:p w:rsidR="00C54B5E" w:rsidRDefault="00620FE6" w:rsidP="00C54B5E">
      <w:pPr>
        <w:pStyle w:val="Heading3"/>
      </w:pPr>
      <w:r>
        <w:t>A2</w:t>
      </w:r>
      <w:r>
        <w:tab/>
        <w:t xml:space="preserve">Dispatch on Disposition </w:t>
      </w:r>
      <w:r w:rsidR="00533D03">
        <w:t xml:space="preserve">(DoD) </w:t>
      </w:r>
      <w:r w:rsidR="00C54B5E">
        <w:t>pilot</w:t>
      </w:r>
    </w:p>
    <w:p w:rsidR="00D67C11" w:rsidRDefault="008C5A76" w:rsidP="00D67C11">
      <w:r w:rsidRPr="00B41F06">
        <w:t>In January 2015, the Secretary of State for Health announced</w:t>
      </w:r>
      <w:r>
        <w:rPr>
          <w:rStyle w:val="FootnoteReference"/>
        </w:rPr>
        <w:footnoteReference w:id="4"/>
      </w:r>
      <w:r w:rsidR="00774123">
        <w:t xml:space="preserve"> the</w:t>
      </w:r>
      <w:r w:rsidR="00AF2C09">
        <w:t xml:space="preserve"> </w:t>
      </w:r>
      <w:r w:rsidR="00533D03">
        <w:t>Dispatch on Disposition (DoD) pilot</w:t>
      </w:r>
      <w:r w:rsidR="00AF2C09">
        <w:t xml:space="preserve">, allowing more time </w:t>
      </w:r>
      <w:r w:rsidR="00620FE6">
        <w:t xml:space="preserve">to </w:t>
      </w:r>
      <w:r w:rsidR="0096283E" w:rsidRPr="0096283E">
        <w:t>triage</w:t>
      </w:r>
      <w:r w:rsidR="00620FE6">
        <w:t xml:space="preserve"> (to </w:t>
      </w:r>
      <w:r w:rsidR="0096283E" w:rsidRPr="0096283E">
        <w:t>identify the clinical situation and take appropriate action</w:t>
      </w:r>
      <w:r w:rsidR="00620FE6">
        <w:t>)</w:t>
      </w:r>
      <w:r w:rsidR="0096283E">
        <w:t xml:space="preserve">, </w:t>
      </w:r>
      <w:r w:rsidR="008D50FB" w:rsidRPr="008D50FB">
        <w:t>based upon clinical advice that this would be likely to improve the overall outcomes for ambulance patients</w:t>
      </w:r>
      <w:r w:rsidR="0096283E">
        <w:t>.</w:t>
      </w:r>
    </w:p>
    <w:p w:rsidR="00AF2C09" w:rsidRDefault="00B91476" w:rsidP="00AF2C09">
      <w:r>
        <w:t xml:space="preserve">The </w:t>
      </w:r>
      <w:r w:rsidR="00533D03">
        <w:t xml:space="preserve">pilot </w:t>
      </w:r>
      <w:r w:rsidR="00AF2C09">
        <w:t>covered all calls received by London Ambulance Service (LAS) and South West</w:t>
      </w:r>
      <w:r w:rsidR="00AC23EC">
        <w:t>ern</w:t>
      </w:r>
      <w:r w:rsidR="00AF2C09">
        <w:t xml:space="preserve"> Ambulance Service (SWAS), and started on 10 February 2015, continuing into March 2015.</w:t>
      </w:r>
    </w:p>
    <w:p w:rsidR="00533D03" w:rsidRDefault="00AF2C09" w:rsidP="00146D12">
      <w:r>
        <w:t xml:space="preserve">For Red 1 calls, the clock start time </w:t>
      </w:r>
      <w:r w:rsidR="008076E2">
        <w:t xml:space="preserve">remains </w:t>
      </w:r>
      <w:r>
        <w:t>as soon</w:t>
      </w:r>
      <w:r w:rsidR="00620FE6">
        <w:t xml:space="preserve"> as the telephone call connects</w:t>
      </w:r>
      <w:r>
        <w:t>.</w:t>
      </w:r>
    </w:p>
    <w:p w:rsidR="00AF2C09" w:rsidRDefault="00533D03" w:rsidP="00146D12">
      <w:r>
        <w:t>H</w:t>
      </w:r>
      <w:r w:rsidR="00AF2C09">
        <w:t xml:space="preserve">owever, </w:t>
      </w:r>
      <w:r w:rsidR="00480A45">
        <w:t xml:space="preserve">to allow more time for triage, </w:t>
      </w:r>
      <w:r w:rsidR="00620FE6">
        <w:t>the</w:t>
      </w:r>
      <w:r w:rsidR="007F1EB3">
        <w:t xml:space="preserve"> clock </w:t>
      </w:r>
      <w:r w:rsidR="00620FE6">
        <w:t>start time</w:t>
      </w:r>
      <w:r w:rsidR="00480A45">
        <w:t xml:space="preserve"> changed for Red 2 calls</w:t>
      </w:r>
      <w:r w:rsidR="0096283E">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21"/>
        <w:gridCol w:w="4621"/>
      </w:tblGrid>
      <w:tr w:rsidR="00AF2C09" w:rsidRPr="00AF2C09" w:rsidTr="00AF2C09">
        <w:tc>
          <w:tcPr>
            <w:tcW w:w="4621" w:type="dxa"/>
          </w:tcPr>
          <w:p w:rsidR="00AF2C09" w:rsidRPr="00AF2C09" w:rsidRDefault="00AF2C09" w:rsidP="00480A45">
            <w:pPr>
              <w:pStyle w:val="Heading3"/>
            </w:pPr>
            <w:r>
              <w:t xml:space="preserve">Usual </w:t>
            </w:r>
            <w:r w:rsidR="00480A45">
              <w:t xml:space="preserve">pre-pilot </w:t>
            </w:r>
            <w:r>
              <w:t>Red 2 start time</w:t>
            </w:r>
          </w:p>
        </w:tc>
        <w:tc>
          <w:tcPr>
            <w:tcW w:w="4621" w:type="dxa"/>
          </w:tcPr>
          <w:p w:rsidR="00AF2C09" w:rsidRPr="00AF2C09" w:rsidRDefault="00480A45" w:rsidP="00480A45">
            <w:pPr>
              <w:pStyle w:val="Heading3"/>
            </w:pPr>
            <w:r>
              <w:t xml:space="preserve">DoD pilot </w:t>
            </w:r>
            <w:r w:rsidR="00AF2C09">
              <w:t>Red 2 start time</w:t>
            </w:r>
          </w:p>
        </w:tc>
      </w:tr>
      <w:tr w:rsidR="00AF2C09" w:rsidRPr="00AF2C09" w:rsidTr="00AF2C09">
        <w:tc>
          <w:tcPr>
            <w:tcW w:w="4621" w:type="dxa"/>
          </w:tcPr>
          <w:p w:rsidR="00AF2C09" w:rsidRPr="00AF2C09" w:rsidRDefault="00AF2C09" w:rsidP="00F64A2E">
            <w:pPr>
              <w:pStyle w:val="NoSpacing"/>
            </w:pPr>
            <w:r>
              <w:t>E</w:t>
            </w:r>
            <w:r w:rsidRPr="00AF2C09">
              <w:t>arliest of:</w:t>
            </w:r>
          </w:p>
          <w:p w:rsidR="00AF2C09" w:rsidRPr="00AF2C09" w:rsidRDefault="00AF2C09" w:rsidP="001D4F10">
            <w:pPr>
              <w:pStyle w:val="ListBullet2"/>
            </w:pPr>
            <w:r w:rsidRPr="00AF2C09">
              <w:t>chief complaint</w:t>
            </w:r>
            <w:r w:rsidR="00533D03">
              <w:t>,</w:t>
            </w:r>
            <w:r w:rsidRPr="00AF2C09">
              <w:t xml:space="preserve"> or Pathways initial D</w:t>
            </w:r>
            <w:r w:rsidR="0096283E">
              <w:t>x</w:t>
            </w:r>
            <w:r w:rsidRPr="00AF2C09">
              <w:t xml:space="preserve"> code information</w:t>
            </w:r>
            <w:r w:rsidR="00533D03">
              <w:t>,</w:t>
            </w:r>
            <w:r w:rsidRPr="00AF2C09">
              <w:t xml:space="preserve"> is obtained;</w:t>
            </w:r>
          </w:p>
          <w:p w:rsidR="00AF2C09" w:rsidRPr="00AF2C09" w:rsidRDefault="00AF2C09" w:rsidP="001D4F10">
            <w:pPr>
              <w:pStyle w:val="ListBullet2"/>
            </w:pPr>
            <w:r w:rsidRPr="00AF2C09">
              <w:t>first vehicle assigned;</w:t>
            </w:r>
          </w:p>
          <w:p w:rsidR="00AF2C09" w:rsidRPr="00AF2C09" w:rsidRDefault="0096283E" w:rsidP="001D4F10">
            <w:pPr>
              <w:pStyle w:val="ListBullet2"/>
            </w:pPr>
            <w:r>
              <w:t>60 seconds after c</w:t>
            </w:r>
            <w:r w:rsidR="00AF2C09" w:rsidRPr="00AF2C09">
              <w:t xml:space="preserve">all </w:t>
            </w:r>
            <w:r>
              <w:t>c</w:t>
            </w:r>
            <w:r w:rsidR="00AF2C09" w:rsidRPr="00AF2C09">
              <w:t>onnect</w:t>
            </w:r>
            <w:r w:rsidR="00480A45">
              <w:t>.</w:t>
            </w:r>
          </w:p>
        </w:tc>
        <w:tc>
          <w:tcPr>
            <w:tcW w:w="4621" w:type="dxa"/>
          </w:tcPr>
          <w:p w:rsidR="00AF2C09" w:rsidRPr="00AF2C09" w:rsidRDefault="00AF2C09" w:rsidP="00F64A2E">
            <w:pPr>
              <w:pStyle w:val="NoSpacing"/>
            </w:pPr>
            <w:r>
              <w:t>E</w:t>
            </w:r>
            <w:r w:rsidRPr="00AF2C09">
              <w:t>arliest of:</w:t>
            </w:r>
          </w:p>
          <w:p w:rsidR="00AF2C09" w:rsidRPr="00AF2C09" w:rsidRDefault="00AF2C09" w:rsidP="001D4F10">
            <w:pPr>
              <w:pStyle w:val="ListBullet2"/>
            </w:pPr>
            <w:r w:rsidRPr="00AF2C09">
              <w:t>chief complaint</w:t>
            </w:r>
            <w:r w:rsidR="00533D03">
              <w:t>,</w:t>
            </w:r>
            <w:r w:rsidRPr="00AF2C09">
              <w:t xml:space="preserve"> or Pathways initial D</w:t>
            </w:r>
            <w:r w:rsidR="0096283E">
              <w:t>x</w:t>
            </w:r>
            <w:r w:rsidRPr="00AF2C09">
              <w:t xml:space="preserve"> code information</w:t>
            </w:r>
            <w:r w:rsidR="00533D03">
              <w:t>,</w:t>
            </w:r>
            <w:r w:rsidRPr="00AF2C09">
              <w:t xml:space="preserve"> is obtained;</w:t>
            </w:r>
          </w:p>
          <w:p w:rsidR="00AF2C09" w:rsidRPr="00AF2C09" w:rsidRDefault="00AF2C09" w:rsidP="001D4F10">
            <w:pPr>
              <w:pStyle w:val="ListBullet2"/>
            </w:pPr>
            <w:r w:rsidRPr="00AF2C09">
              <w:t>first vehicle assigned;</w:t>
            </w:r>
          </w:p>
          <w:p w:rsidR="00AF2C09" w:rsidRPr="00AF2C09" w:rsidRDefault="00AF2C09" w:rsidP="001D4F10">
            <w:pPr>
              <w:pStyle w:val="ListBullet2"/>
            </w:pPr>
            <w:r>
              <w:t>18</w:t>
            </w:r>
            <w:r w:rsidRPr="00AF2C09">
              <w:t xml:space="preserve">0 seconds after </w:t>
            </w:r>
            <w:r w:rsidR="0096283E">
              <w:t>c</w:t>
            </w:r>
            <w:r w:rsidRPr="00AF2C09">
              <w:t xml:space="preserve">all </w:t>
            </w:r>
            <w:r w:rsidR="0096283E">
              <w:t>c</w:t>
            </w:r>
            <w:r w:rsidRPr="00AF2C09">
              <w:t>onnect</w:t>
            </w:r>
            <w:r w:rsidR="00480A45">
              <w:t>.</w:t>
            </w:r>
          </w:p>
        </w:tc>
      </w:tr>
    </w:tbl>
    <w:p w:rsidR="001D4F10" w:rsidRDefault="001D4F10" w:rsidP="001D4F10">
      <w:pPr>
        <w:pStyle w:val="NoSpacing"/>
      </w:pPr>
    </w:p>
    <w:p w:rsidR="00533D03" w:rsidRDefault="00774123" w:rsidP="00533D03">
      <w:r>
        <w:t>This AQI publication uses</w:t>
      </w:r>
      <w:r w:rsidR="00533D03">
        <w:t xml:space="preserve"> the same data that the Ambulance Services report to their Boards. </w:t>
      </w:r>
      <w:r>
        <w:t xml:space="preserve">For the pilot period, </w:t>
      </w:r>
      <w:r w:rsidR="00533D03">
        <w:t>LAS data use the new pilot start times</w:t>
      </w:r>
      <w:r>
        <w:t>, so th</w:t>
      </w:r>
      <w:r w:rsidR="00533D03">
        <w:t>eir data are not comparable with the rest of England.</w:t>
      </w:r>
    </w:p>
    <w:p w:rsidR="00533D03" w:rsidRDefault="00533D03" w:rsidP="00533D03">
      <w:r>
        <w:t xml:space="preserve">For the pilot period, SWAS data use the old pre-pilot start times, even though the extra time used for triage during the pilot means the clock can often start more than a minute before an ambulance is allocated to a call. A further consequence of this is, unlike other areas, SWAS data for the pilot period do not include calls where clinical assistance arrived on scene, while telephone triage was still ongoing. So, although SWAS data are measured using the same clock start time as other Trusts (except LAS), these factors will reduce their </w:t>
      </w:r>
      <w:r w:rsidR="000D4CAE">
        <w:t xml:space="preserve">Red 2 proportion </w:t>
      </w:r>
      <w:r>
        <w:t>in comparison with other trusts.</w:t>
      </w:r>
    </w:p>
    <w:p w:rsidR="00533D03" w:rsidRDefault="00533D03" w:rsidP="00533D03">
      <w:r>
        <w:t>To accurately measure the effect of the pilot would have required</w:t>
      </w:r>
      <w:r w:rsidRPr="00620FE6">
        <w:t xml:space="preserve"> </w:t>
      </w:r>
      <w:r>
        <w:t>running the pilot system simultaneously alongside the previous system within a single place, which was</w:t>
      </w:r>
      <w:r w:rsidRPr="008D50FB">
        <w:t xml:space="preserve"> impossible</w:t>
      </w:r>
      <w:r>
        <w:t xml:space="preserve">. However, the Systems Indicators Time Series spreadsheet on the AQI landing page </w:t>
      </w:r>
      <w:hyperlink r:id="rId10" w:history="1">
        <w:r w:rsidRPr="007C454C">
          <w:rPr>
            <w:rStyle w:val="Hyperlink"/>
          </w:rPr>
          <w:t>http://bit.ly/</w:t>
        </w:r>
        <w:r w:rsidRPr="007C454C">
          <w:rPr>
            <w:rStyle w:val="Hyperlink"/>
          </w:rPr>
          <w:t>N</w:t>
        </w:r>
        <w:r w:rsidRPr="007C454C">
          <w:rPr>
            <w:rStyle w:val="Hyperlink"/>
          </w:rPr>
          <w:t>HSAQI</w:t>
        </w:r>
      </w:hyperlink>
      <w:r>
        <w:t xml:space="preserve"> </w:t>
      </w:r>
      <w:r w:rsidR="00C94BBC">
        <w:t>now</w:t>
      </w:r>
      <w:r w:rsidR="00774123">
        <w:t xml:space="preserve"> include</w:t>
      </w:r>
      <w:r w:rsidR="00C94BBC">
        <w:t>s</w:t>
      </w:r>
      <w:r>
        <w:t xml:space="preserve"> an extra tab</w:t>
      </w:r>
      <w:r w:rsidR="00C94BBC">
        <w:t xml:space="preserve"> with numerators, denominators, and percentages, for the Red 2 </w:t>
      </w:r>
      <w:r>
        <w:t>time series, for all England, and for all England excluding LAS and SWAS.</w:t>
      </w:r>
    </w:p>
    <w:p w:rsidR="00D4605E" w:rsidRDefault="00D4605E" w:rsidP="00D4605E">
      <w:pPr>
        <w:pStyle w:val="Heading3"/>
      </w:pPr>
      <w:r>
        <w:lastRenderedPageBreak/>
        <w:t>A3</w:t>
      </w:r>
      <w:r>
        <w:tab/>
        <w:t xml:space="preserve">Red 2 </w:t>
      </w:r>
      <w:r w:rsidR="00774123">
        <w:t>emergency response within 8 minutes</w:t>
      </w:r>
    </w:p>
    <w:p w:rsidR="00D8793C" w:rsidRDefault="000F2BCC" w:rsidP="001D4F10">
      <w:r>
        <w:t xml:space="preserve">Figure 2 shows </w:t>
      </w:r>
      <w:r w:rsidR="00533D03">
        <w:t>that for all England,</w:t>
      </w:r>
      <w:r w:rsidR="00533D03" w:rsidRPr="00533D03">
        <w:t xml:space="preserve"> </w:t>
      </w:r>
      <w:r w:rsidR="00533D03">
        <w:t>the Red 2</w:t>
      </w:r>
      <w:r w:rsidR="00533D03" w:rsidRPr="00533D03">
        <w:t xml:space="preserve"> </w:t>
      </w:r>
      <w:r w:rsidR="00533D03">
        <w:t xml:space="preserve">measure decreased from </w:t>
      </w:r>
      <w:r w:rsidR="00D8793C">
        <w:t>68.0% to 67.5%. W</w:t>
      </w:r>
      <w:r w:rsidR="00533D03">
        <w:t>ith LAS and SWAS</w:t>
      </w:r>
      <w:r w:rsidR="00533D03" w:rsidRPr="00533D03">
        <w:t xml:space="preserve"> </w:t>
      </w:r>
      <w:r w:rsidR="00533D03">
        <w:t>excluded</w:t>
      </w:r>
      <w:r w:rsidR="00D8793C">
        <w:t>, the measure increased from 69.7% to 70.2%.</w:t>
      </w:r>
    </w:p>
    <w:p w:rsidR="00D8793C" w:rsidRDefault="00D8793C" w:rsidP="001D4F10">
      <w:r>
        <w:rPr>
          <w:noProof/>
        </w:rPr>
        <w:drawing>
          <wp:inline distT="0" distB="0" distL="0" distR="0" wp14:anchorId="69D0DB01" wp14:editId="0C6E9F9D">
            <wp:extent cx="5633085" cy="2688590"/>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33085" cy="2688590"/>
                    </a:xfrm>
                    <a:prstGeom prst="rect">
                      <a:avLst/>
                    </a:prstGeom>
                    <a:noFill/>
                  </pic:spPr>
                </pic:pic>
              </a:graphicData>
            </a:graphic>
          </wp:inline>
        </w:drawing>
      </w:r>
    </w:p>
    <w:p w:rsidR="00EA23A9" w:rsidRDefault="00D8793C" w:rsidP="00774123">
      <w:pPr>
        <w:rPr>
          <w:noProof/>
        </w:rPr>
      </w:pPr>
      <w:r>
        <w:t xml:space="preserve">There </w:t>
      </w:r>
      <w:r w:rsidR="00C94BBC">
        <w:t>will inevitably always be</w:t>
      </w:r>
      <w:r>
        <w:t xml:space="preserve"> uncertainty over what the Red 2 measure for all England would have been without the </w:t>
      </w:r>
      <w:proofErr w:type="gramStart"/>
      <w:r w:rsidR="00177CDB">
        <w:t>DoD</w:t>
      </w:r>
      <w:proofErr w:type="gramEnd"/>
      <w:r w:rsidR="00177CDB">
        <w:t xml:space="preserve"> </w:t>
      </w:r>
      <w:r>
        <w:t xml:space="preserve">pilot. However, </w:t>
      </w:r>
      <w:r>
        <w:rPr>
          <w:noProof/>
        </w:rPr>
        <w:t xml:space="preserve">LAS and SWAS </w:t>
      </w:r>
      <w:r>
        <w:t>take about a quarter of Category A calls in England each month</w:t>
      </w:r>
      <w:r w:rsidR="000776AF">
        <w:t xml:space="preserve">. Therefore, </w:t>
      </w:r>
      <w:r>
        <w:t xml:space="preserve">they </w:t>
      </w:r>
      <w:r w:rsidR="00EA23A9">
        <w:rPr>
          <w:noProof/>
        </w:rPr>
        <w:t>would have</w:t>
      </w:r>
      <w:r w:rsidR="000776AF">
        <w:rPr>
          <w:noProof/>
        </w:rPr>
        <w:t xml:space="preserve"> had</w:t>
      </w:r>
      <w:r w:rsidR="00EA23A9">
        <w:rPr>
          <w:noProof/>
        </w:rPr>
        <w:t xml:space="preserve"> to have </w:t>
      </w:r>
      <w:r w:rsidR="000776AF">
        <w:rPr>
          <w:noProof/>
        </w:rPr>
        <w:t xml:space="preserve">provided an emergency response within 8 minutes to </w:t>
      </w:r>
      <w:r w:rsidR="00F64A2E">
        <w:rPr>
          <w:noProof/>
        </w:rPr>
        <w:t xml:space="preserve">more than </w:t>
      </w:r>
      <w:r w:rsidR="00EA23A9">
        <w:rPr>
          <w:noProof/>
        </w:rPr>
        <w:t xml:space="preserve">88% </w:t>
      </w:r>
      <w:r w:rsidR="00F64A2E">
        <w:rPr>
          <w:noProof/>
        </w:rPr>
        <w:t>of Red 2 calls,</w:t>
      </w:r>
      <w:r w:rsidR="00EA23A9">
        <w:rPr>
          <w:noProof/>
        </w:rPr>
        <w:t xml:space="preserve"> </w:t>
      </w:r>
      <w:r>
        <w:rPr>
          <w:noProof/>
        </w:rPr>
        <w:t>in order for the 75% standard to be met</w:t>
      </w:r>
      <w:r w:rsidR="000776AF">
        <w:rPr>
          <w:noProof/>
        </w:rPr>
        <w:t xml:space="preserve"> in February 2015.</w:t>
      </w:r>
      <w:r w:rsidR="00774123">
        <w:rPr>
          <w:noProof/>
        </w:rPr>
        <w:t xml:space="preserve"> This would have been unpr</w:t>
      </w:r>
      <w:r w:rsidR="00C94BBC">
        <w:rPr>
          <w:noProof/>
        </w:rPr>
        <w:t>e</w:t>
      </w:r>
      <w:r w:rsidR="00774123">
        <w:rPr>
          <w:noProof/>
        </w:rPr>
        <w:t>c</w:t>
      </w:r>
      <w:r w:rsidR="00C94BBC">
        <w:rPr>
          <w:noProof/>
        </w:rPr>
        <w:t>e</w:t>
      </w:r>
      <w:r w:rsidR="00774123">
        <w:rPr>
          <w:noProof/>
        </w:rPr>
        <w:t>dented, and a very large increase upon their previous</w:t>
      </w:r>
      <w:r>
        <w:rPr>
          <w:noProof/>
        </w:rPr>
        <w:t xml:space="preserve"> 2014-15 averages for Red 2 </w:t>
      </w:r>
      <w:r w:rsidR="00774123">
        <w:rPr>
          <w:noProof/>
        </w:rPr>
        <w:t xml:space="preserve">of </w:t>
      </w:r>
      <w:r w:rsidR="007F1EB3">
        <w:rPr>
          <w:noProof/>
        </w:rPr>
        <w:t>60% (LAS) and 72% (SWAS).</w:t>
      </w:r>
    </w:p>
    <w:p w:rsidR="007F1EB3" w:rsidRDefault="007F1EB3" w:rsidP="00EA23A9">
      <w:r>
        <w:rPr>
          <w:noProof/>
        </w:rPr>
        <w:t>Of the Trusts unaffected by the pilot</w:t>
      </w:r>
      <w:r w:rsidR="00774123" w:rsidRPr="00774123">
        <w:rPr>
          <w:noProof/>
        </w:rPr>
        <w:t xml:space="preserve"> </w:t>
      </w:r>
      <w:r w:rsidR="00774123">
        <w:rPr>
          <w:noProof/>
        </w:rPr>
        <w:t>in February 2015</w:t>
      </w:r>
      <w:r>
        <w:rPr>
          <w:noProof/>
        </w:rPr>
        <w:t>, three had fewer than 70% of Red 2 responses within 8 minutes: North West, East Midlands and East of England. This was despite each of th</w:t>
      </w:r>
      <w:r w:rsidR="007B0011">
        <w:rPr>
          <w:noProof/>
        </w:rPr>
        <w:t xml:space="preserve">eir proportions </w:t>
      </w:r>
      <w:r>
        <w:rPr>
          <w:noProof/>
        </w:rPr>
        <w:t xml:space="preserve">increasing </w:t>
      </w:r>
      <w:r w:rsidR="00C94BBC">
        <w:rPr>
          <w:noProof/>
        </w:rPr>
        <w:t>by 1 percentage point between January and February</w:t>
      </w:r>
      <w:r>
        <w:rPr>
          <w:noProof/>
        </w:rPr>
        <w:t>.</w:t>
      </w:r>
      <w:r w:rsidR="00D4605E">
        <w:rPr>
          <w:noProof/>
        </w:rPr>
        <w:t xml:space="preserve"> </w:t>
      </w:r>
      <w:r>
        <w:rPr>
          <w:noProof/>
        </w:rPr>
        <w:t>Three trusts achi</w:t>
      </w:r>
      <w:r w:rsidR="00774123">
        <w:rPr>
          <w:noProof/>
        </w:rPr>
        <w:t>e</w:t>
      </w:r>
      <w:r>
        <w:rPr>
          <w:noProof/>
        </w:rPr>
        <w:t xml:space="preserve">ved the Red 2 standard in February 2015: North East, South Central, and Isle of Wight. </w:t>
      </w:r>
      <w:r w:rsidR="00C94BBC">
        <w:rPr>
          <w:noProof/>
        </w:rPr>
        <w:t>All three</w:t>
      </w:r>
      <w:r>
        <w:rPr>
          <w:noProof/>
        </w:rPr>
        <w:t xml:space="preserve"> achieved it in </w:t>
      </w:r>
      <w:r w:rsidR="00C94BBC">
        <w:rPr>
          <w:noProof/>
        </w:rPr>
        <w:t>January, too</w:t>
      </w:r>
      <w:r>
        <w:rPr>
          <w:noProof/>
        </w:rPr>
        <w:t>.</w:t>
      </w:r>
    </w:p>
    <w:p w:rsidR="007B0011" w:rsidRDefault="007B0011" w:rsidP="007B0011">
      <w:r>
        <w:t>The vast majority of Category A calls are Red 2 calls, so the pilot affect</w:t>
      </w:r>
      <w:r w:rsidR="006C336E">
        <w:t>ed</w:t>
      </w:r>
      <w:r>
        <w:t xml:space="preserve"> both the 8 minute Red 2 measure, and the 19 minute Category A measure.</w:t>
      </w:r>
    </w:p>
    <w:p w:rsidR="00EA23A9" w:rsidRPr="00127FD0" w:rsidRDefault="00EA23A9" w:rsidP="00EA23A9">
      <w:pPr>
        <w:pStyle w:val="Heading3"/>
      </w:pPr>
      <w:r>
        <w:t>A</w:t>
      </w:r>
      <w:r w:rsidR="00D4605E">
        <w:t>4</w:t>
      </w:r>
      <w:r>
        <w:tab/>
      </w:r>
      <w:r w:rsidR="00C94BBC">
        <w:t xml:space="preserve">Category </w:t>
      </w:r>
      <w:proofErr w:type="gramStart"/>
      <w:r w:rsidR="00C94BBC">
        <w:t>A</w:t>
      </w:r>
      <w:proofErr w:type="gramEnd"/>
      <w:r w:rsidR="00C94BBC">
        <w:t xml:space="preserve"> </w:t>
      </w:r>
      <w:r>
        <w:t>Ambulance response in 19 minutes</w:t>
      </w:r>
    </w:p>
    <w:p w:rsidR="00EA23A9" w:rsidRDefault="00EA23A9" w:rsidP="00EA23A9">
      <w:r>
        <w:t>The other standard for Ambulance Services in the Handbook to the NHS Constitution is for Trusts to send, within 19 minutes, a fully-equipped ambulance vehicle, able to transport the patient in a clinically safe manner, to 95% of Category A calls.</w:t>
      </w:r>
    </w:p>
    <w:p w:rsidR="007B0011" w:rsidRDefault="007B0011" w:rsidP="00EA23A9">
      <w:pPr>
        <w:rPr>
          <w:noProof/>
        </w:rPr>
      </w:pPr>
      <w:r>
        <w:rPr>
          <w:noProof/>
        </w:rPr>
        <w:t>Of the Trusts unaffected by the DoD pilot, three did not achieve this standard</w:t>
      </w:r>
      <w:r w:rsidR="00774123" w:rsidRPr="00774123">
        <w:rPr>
          <w:noProof/>
        </w:rPr>
        <w:t xml:space="preserve"> </w:t>
      </w:r>
      <w:r w:rsidR="00774123">
        <w:rPr>
          <w:noProof/>
        </w:rPr>
        <w:t>in February 2015</w:t>
      </w:r>
      <w:r>
        <w:rPr>
          <w:noProof/>
        </w:rPr>
        <w:t>: North West (91.4%), East Midlands (91.7%), East of England (93.2%), although each had a proportion that increased from the previous month.</w:t>
      </w:r>
    </w:p>
    <w:p w:rsidR="007B0011" w:rsidRDefault="007B0011" w:rsidP="00EA23A9">
      <w:r>
        <w:rPr>
          <w:noProof/>
        </w:rPr>
        <w:lastRenderedPageBreak/>
        <w:t xml:space="preserve">Figure 3 shows that for all England, the 19 minute proportion increased slightly from 93.3% to 93.5%. Excluding LAS and SWAS, it </w:t>
      </w:r>
      <w:r w:rsidR="00774123">
        <w:rPr>
          <w:noProof/>
        </w:rPr>
        <w:t>still</w:t>
      </w:r>
      <w:r>
        <w:rPr>
          <w:noProof/>
        </w:rPr>
        <w:t xml:space="preserve"> increased slightly, from </w:t>
      </w:r>
      <w:r w:rsidR="000776AF">
        <w:rPr>
          <w:noProof/>
        </w:rPr>
        <w:t>93.8% to 94.2%.</w:t>
      </w:r>
    </w:p>
    <w:p w:rsidR="001D4F10" w:rsidRDefault="00A32B3E" w:rsidP="00146D12">
      <w:bookmarkStart w:id="0" w:name="_GoBack"/>
      <w:r>
        <w:rPr>
          <w:noProof/>
        </w:rPr>
        <w:drawing>
          <wp:inline distT="0" distB="0" distL="0" distR="0" wp14:anchorId="27E4A36D">
            <wp:extent cx="5669915" cy="2444750"/>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69915" cy="2444750"/>
                    </a:xfrm>
                    <a:prstGeom prst="rect">
                      <a:avLst/>
                    </a:prstGeom>
                    <a:noFill/>
                  </pic:spPr>
                </pic:pic>
              </a:graphicData>
            </a:graphic>
          </wp:inline>
        </w:drawing>
      </w:r>
      <w:bookmarkEnd w:id="0"/>
    </w:p>
    <w:p w:rsidR="000776AF" w:rsidRDefault="006C336E" w:rsidP="00146D12">
      <w:r>
        <w:t xml:space="preserve">Without the </w:t>
      </w:r>
      <w:proofErr w:type="gramStart"/>
      <w:r w:rsidR="00177CDB">
        <w:t>DoD</w:t>
      </w:r>
      <w:proofErr w:type="gramEnd"/>
      <w:r w:rsidR="00177CDB">
        <w:t xml:space="preserve"> </w:t>
      </w:r>
      <w:r>
        <w:t>pilot, f</w:t>
      </w:r>
      <w:r w:rsidR="000776AF">
        <w:t>or the 95% standard to have been met for all England</w:t>
      </w:r>
      <w:r w:rsidR="000776AF" w:rsidRPr="000776AF">
        <w:t xml:space="preserve"> </w:t>
      </w:r>
      <w:r w:rsidR="000776AF">
        <w:t xml:space="preserve">in February 2015, LAS and SWAS </w:t>
      </w:r>
      <w:r w:rsidR="000776AF">
        <w:rPr>
          <w:noProof/>
        </w:rPr>
        <w:t xml:space="preserve">would have had to have provided an ambulance response </w:t>
      </w:r>
      <w:r w:rsidR="00A32B3E">
        <w:rPr>
          <w:noProof/>
        </w:rPr>
        <w:t>within 19 minutes</w:t>
      </w:r>
      <w:r w:rsidR="00A32B3E">
        <w:rPr>
          <w:noProof/>
        </w:rPr>
        <w:t xml:space="preserve"> </w:t>
      </w:r>
      <w:r w:rsidR="000776AF">
        <w:rPr>
          <w:noProof/>
        </w:rPr>
        <w:t>to more than 97% of category A calls</w:t>
      </w:r>
      <w:r w:rsidR="00774123">
        <w:rPr>
          <w:noProof/>
        </w:rPr>
        <w:t xml:space="preserve">, which would have been unprecedented </w:t>
      </w:r>
      <w:r w:rsidR="00A32B3E">
        <w:rPr>
          <w:noProof/>
        </w:rPr>
        <w:t xml:space="preserve">for them </w:t>
      </w:r>
      <w:r w:rsidR="000776AF">
        <w:t>in 2014-15.</w:t>
      </w:r>
    </w:p>
    <w:p w:rsidR="00774123" w:rsidRDefault="00774123" w:rsidP="00774123">
      <w:r>
        <w:t>Other Systems Indicators are still measured consistently during the pilot. The extra triage time may have increased the proportion of calls closed with telephone advice. For SWAS</w:t>
      </w:r>
      <w:r w:rsidR="000D4CAE">
        <w:t>,</w:t>
      </w:r>
      <w:r>
        <w:t xml:space="preserve"> this </w:t>
      </w:r>
      <w:r w:rsidR="000D4CAE">
        <w:t>was 11.4% in February 2015, its largest proportion in the series</w:t>
      </w:r>
      <w:r w:rsidR="000D4CAE">
        <w:t xml:space="preserve">; it </w:t>
      </w:r>
      <w:r>
        <w:t xml:space="preserve">was </w:t>
      </w:r>
      <w:r w:rsidR="000D4CAE">
        <w:t xml:space="preserve">always less than 8% before November 2014. </w:t>
      </w:r>
    </w:p>
    <w:p w:rsidR="003A0D0C" w:rsidRPr="00127FD0" w:rsidRDefault="003A0D0C" w:rsidP="003A0D0C">
      <w:pPr>
        <w:pStyle w:val="Heading3"/>
      </w:pPr>
      <w:r>
        <w:t>A</w:t>
      </w:r>
      <w:r w:rsidR="00D4605E">
        <w:t>5</w:t>
      </w:r>
      <w:r>
        <w:tab/>
      </w:r>
      <w:r w:rsidRPr="00151AF2">
        <w:t xml:space="preserve">Systems </w:t>
      </w:r>
      <w:r>
        <w:t xml:space="preserve">Indicators: Ambulance volumes (Figure </w:t>
      </w:r>
      <w:r w:rsidR="00177CDB">
        <w:t>4</w:t>
      </w:r>
      <w:r>
        <w:t>)</w:t>
      </w:r>
    </w:p>
    <w:p w:rsidR="00191AB9" w:rsidRDefault="00191AB9" w:rsidP="00191AB9">
      <w:r w:rsidRPr="001B68DB">
        <w:t>The number</w:t>
      </w:r>
      <w:r>
        <w:rPr>
          <w:rStyle w:val="FootnoteReference"/>
        </w:rPr>
        <w:footnoteReference w:id="5"/>
      </w:r>
      <w:r w:rsidRPr="001B68DB">
        <w:t xml:space="preserve"> of emergency</w:t>
      </w:r>
      <w:r>
        <w:t xml:space="preserve"> telephone</w:t>
      </w:r>
      <w:r w:rsidRPr="001B68DB">
        <w:t xml:space="preserve"> calls presented to switchboard</w:t>
      </w:r>
      <w:r w:rsidRPr="004D3B3C">
        <w:t xml:space="preserve"> </w:t>
      </w:r>
      <w:r>
        <w:t xml:space="preserve">in </w:t>
      </w:r>
      <w:r w:rsidRPr="00375331">
        <w:t>February</w:t>
      </w:r>
      <w:r>
        <w:t xml:space="preserve"> 2015 was </w:t>
      </w:r>
      <w:r w:rsidRPr="00375331">
        <w:t>628,898</w:t>
      </w:r>
      <w:r w:rsidR="009141A4">
        <w:t xml:space="preserve">, </w:t>
      </w:r>
      <w:r w:rsidR="00177CDB">
        <w:t>an average of</w:t>
      </w:r>
      <w:r>
        <w:t xml:space="preserve"> 22</w:t>
      </w:r>
      <w:r w:rsidRPr="005B7C87">
        <w:t xml:space="preserve"> thousand per day</w:t>
      </w:r>
      <w:r w:rsidR="00A32B3E">
        <w:t>. However, East of England</w:t>
      </w:r>
      <w:r w:rsidR="009141A4">
        <w:t xml:space="preserve"> </w:t>
      </w:r>
      <w:r w:rsidR="00A32B3E">
        <w:t>(</w:t>
      </w:r>
      <w:r w:rsidR="009141A4">
        <w:t>normally about 10% of calls in England</w:t>
      </w:r>
      <w:r w:rsidR="00A32B3E">
        <w:t>)</w:t>
      </w:r>
      <w:r w:rsidR="009141A4">
        <w:t xml:space="preserve"> did not provide this</w:t>
      </w:r>
      <w:r w:rsidR="00C94BBC">
        <w:t xml:space="preserve"> value</w:t>
      </w:r>
      <w:r w:rsidR="009141A4">
        <w:t xml:space="preserve">, so the average would probably have been the same as </w:t>
      </w:r>
      <w:r>
        <w:t xml:space="preserve">the average </w:t>
      </w:r>
      <w:r w:rsidR="00177CDB">
        <w:t>of 24 thousand per day</w:t>
      </w:r>
      <w:r w:rsidR="00C94BBC" w:rsidRPr="00C94BBC">
        <w:t xml:space="preserve"> </w:t>
      </w:r>
      <w:r w:rsidR="00C94BBC">
        <w:t xml:space="preserve">in </w:t>
      </w:r>
      <w:r w:rsidR="00C94BBC">
        <w:t>2014</w:t>
      </w:r>
      <w:r w:rsidR="00177CDB">
        <w:t>.</w:t>
      </w:r>
    </w:p>
    <w:p w:rsidR="00191AB9" w:rsidRPr="008E5931" w:rsidRDefault="00A32B3E" w:rsidP="00191AB9">
      <w:pPr>
        <w:rPr>
          <w:rFonts w:cs="Arial"/>
        </w:rPr>
      </w:pPr>
      <w:r>
        <w:t xml:space="preserve">There were </w:t>
      </w:r>
      <w:r w:rsidRPr="00115CFF">
        <w:t>359,188</w:t>
      </w:r>
      <w:r>
        <w:t xml:space="preserve"> incidents requiring </w:t>
      </w:r>
      <w:r w:rsidR="00191AB9">
        <w:t>emergency patient journeys to Type 1 or Type 2 A&amp;E</w:t>
      </w:r>
      <w:r w:rsidR="00191AB9">
        <w:rPr>
          <w:rStyle w:val="FootnoteReference"/>
        </w:rPr>
        <w:footnoteReference w:id="6"/>
      </w:r>
      <w:r w:rsidR="00191AB9">
        <w:t xml:space="preserve"> </w:t>
      </w:r>
      <w:r w:rsidR="00191AB9">
        <w:lastRenderedPageBreak/>
        <w:t xml:space="preserve">in </w:t>
      </w:r>
      <w:r w:rsidR="00191AB9" w:rsidRPr="00115CFF">
        <w:t xml:space="preserve">February </w:t>
      </w:r>
      <w:r w:rsidR="00191AB9">
        <w:t xml:space="preserve">2015, </w:t>
      </w:r>
      <w:r w:rsidR="00177CDB">
        <w:t xml:space="preserve">which was </w:t>
      </w:r>
      <w:r w:rsidR="00191AB9" w:rsidRPr="00474435">
        <w:t>1</w:t>
      </w:r>
      <w:r w:rsidR="00191AB9">
        <w:t>3 thousand</w:t>
      </w:r>
      <w:r w:rsidR="00191AB9" w:rsidRPr="00474435">
        <w:t xml:space="preserve"> </w:t>
      </w:r>
      <w:r w:rsidR="00191AB9">
        <w:t>per day</w:t>
      </w:r>
      <w:r w:rsidR="00177CDB">
        <w:t>, the same as in most months of 2014</w:t>
      </w:r>
      <w:r w:rsidR="00191AB9">
        <w:t>.</w:t>
      </w:r>
    </w:p>
    <w:p w:rsidR="00191AB9" w:rsidRDefault="003C24D1" w:rsidP="00191AB9">
      <w:r>
        <w:t xml:space="preserve">There were 241,338 Category A </w:t>
      </w:r>
      <w:r w:rsidR="00191AB9">
        <w:t>calls that resulted in a</w:t>
      </w:r>
      <w:r>
        <w:t xml:space="preserve"> full-equipped</w:t>
      </w:r>
      <w:r w:rsidR="00191AB9">
        <w:t xml:space="preserve"> ambulance </w:t>
      </w:r>
      <w:r>
        <w:t xml:space="preserve">vehicle </w:t>
      </w:r>
      <w:r w:rsidR="00191AB9">
        <w:t xml:space="preserve">arriving at the scene </w:t>
      </w:r>
      <w:r>
        <w:t xml:space="preserve">of the incident in </w:t>
      </w:r>
      <w:r w:rsidRPr="009801D1">
        <w:t>February</w:t>
      </w:r>
      <w:r>
        <w:t xml:space="preserve"> 2015. With the exception of temporary increases each December, this figure has increased steadily over the last four years</w:t>
      </w:r>
      <w:r w:rsidR="00191AB9">
        <w:t xml:space="preserve">. </w:t>
      </w:r>
      <w:r>
        <w:t>The</w:t>
      </w:r>
      <w:r w:rsidR="00177CDB">
        <w:t xml:space="preserve"> average </w:t>
      </w:r>
      <w:r>
        <w:t xml:space="preserve">for February 2015 was </w:t>
      </w:r>
      <w:r w:rsidR="00191AB9" w:rsidRPr="009801D1">
        <w:t xml:space="preserve">8,619 </w:t>
      </w:r>
      <w:r w:rsidR="00191AB9">
        <w:t xml:space="preserve">per day, fewer than </w:t>
      </w:r>
      <w:r>
        <w:t xml:space="preserve">each of </w:t>
      </w:r>
      <w:r w:rsidR="00177CDB">
        <w:t xml:space="preserve">the previous three months, but more </w:t>
      </w:r>
      <w:r>
        <w:t xml:space="preserve">than in </w:t>
      </w:r>
      <w:r w:rsidR="00177CDB">
        <w:t>e</w:t>
      </w:r>
      <w:r>
        <w:t>ach of the 43 months before those</w:t>
      </w:r>
      <w:r w:rsidR="00177CDB">
        <w:t>.</w:t>
      </w:r>
    </w:p>
    <w:p w:rsidR="00177CDB" w:rsidRDefault="008150FA" w:rsidP="00191AB9">
      <w:r>
        <w:rPr>
          <w:noProof/>
        </w:rPr>
        <w:drawing>
          <wp:inline distT="0" distB="0" distL="0" distR="0" wp14:anchorId="34C313BE">
            <wp:extent cx="5578475" cy="3822700"/>
            <wp:effectExtent l="0" t="0" r="317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78475" cy="3822700"/>
                    </a:xfrm>
                    <a:prstGeom prst="rect">
                      <a:avLst/>
                    </a:prstGeom>
                    <a:noFill/>
                  </pic:spPr>
                </pic:pic>
              </a:graphicData>
            </a:graphic>
          </wp:inline>
        </w:drawing>
      </w:r>
    </w:p>
    <w:p w:rsidR="003A0D0C" w:rsidRDefault="003A0D0C" w:rsidP="003A0D0C">
      <w:pPr>
        <w:pStyle w:val="Heading3"/>
      </w:pPr>
      <w:r>
        <w:t>A</w:t>
      </w:r>
      <w:r w:rsidR="00D4605E">
        <w:t>6</w:t>
      </w:r>
      <w:r>
        <w:tab/>
      </w:r>
      <w:r w:rsidR="003C24D1">
        <w:t xml:space="preserve">Latest monthly data </w:t>
      </w:r>
      <w:r>
        <w:t xml:space="preserve">for </w:t>
      </w:r>
      <w:r w:rsidR="003C24D1">
        <w:t xml:space="preserve">other </w:t>
      </w:r>
      <w:r>
        <w:t>System</w:t>
      </w:r>
      <w:r w:rsidR="003C24D1">
        <w:t>s</w:t>
      </w:r>
      <w:r>
        <w:t xml:space="preserve"> Indicators </w:t>
      </w:r>
    </w:p>
    <w:tbl>
      <w:tblPr>
        <w:tblW w:w="8954" w:type="dxa"/>
        <w:tblLayout w:type="fixed"/>
        <w:tblLook w:val="04A0" w:firstRow="1" w:lastRow="0" w:firstColumn="1" w:lastColumn="0" w:noHBand="0" w:noVBand="1"/>
      </w:tblPr>
      <w:tblGrid>
        <w:gridCol w:w="3369"/>
        <w:gridCol w:w="1275"/>
        <w:gridCol w:w="908"/>
        <w:gridCol w:w="226"/>
        <w:gridCol w:w="993"/>
        <w:gridCol w:w="1191"/>
        <w:gridCol w:w="992"/>
      </w:tblGrid>
      <w:tr w:rsidR="003A0D0C" w:rsidTr="00D124B3">
        <w:trPr>
          <w:trHeight w:val="567"/>
        </w:trPr>
        <w:tc>
          <w:tcPr>
            <w:tcW w:w="3369" w:type="dxa"/>
            <w:tcBorders>
              <w:right w:val="single" w:sz="4" w:space="0" w:color="auto"/>
            </w:tcBorders>
            <w:shd w:val="clear" w:color="000000" w:fill="E0E0E0"/>
            <w:vAlign w:val="center"/>
            <w:hideMark/>
          </w:tcPr>
          <w:p w:rsidR="003A0D0C" w:rsidRPr="00E53110" w:rsidRDefault="003A0D0C" w:rsidP="002221E6">
            <w:pPr>
              <w:pStyle w:val="Heading4"/>
            </w:pPr>
            <w:r w:rsidRPr="00E53110">
              <w:t>Indicator</w:t>
            </w:r>
          </w:p>
        </w:tc>
        <w:tc>
          <w:tcPr>
            <w:tcW w:w="1275" w:type="dxa"/>
            <w:tcBorders>
              <w:left w:val="single" w:sz="4" w:space="0" w:color="auto"/>
              <w:right w:val="single" w:sz="4" w:space="0" w:color="auto"/>
            </w:tcBorders>
            <w:shd w:val="clear" w:color="000000" w:fill="E0E0E0"/>
            <w:vAlign w:val="center"/>
            <w:hideMark/>
          </w:tcPr>
          <w:p w:rsidR="003A0D0C" w:rsidRPr="00E53110" w:rsidRDefault="003A0D0C" w:rsidP="002221E6">
            <w:pPr>
              <w:pStyle w:val="Heading4"/>
            </w:pPr>
            <w:r w:rsidRPr="00E53110">
              <w:t>All England</w:t>
            </w:r>
          </w:p>
        </w:tc>
        <w:tc>
          <w:tcPr>
            <w:tcW w:w="2127" w:type="dxa"/>
            <w:gridSpan w:val="3"/>
            <w:tcBorders>
              <w:left w:val="single" w:sz="4" w:space="0" w:color="auto"/>
              <w:right w:val="single" w:sz="4" w:space="0" w:color="auto"/>
            </w:tcBorders>
            <w:shd w:val="clear" w:color="000000" w:fill="E0E0E0"/>
            <w:vAlign w:val="center"/>
            <w:hideMark/>
          </w:tcPr>
          <w:p w:rsidR="003A0D0C" w:rsidRPr="00E53110" w:rsidRDefault="003A0D0C" w:rsidP="002221E6">
            <w:pPr>
              <w:pStyle w:val="Heading4"/>
            </w:pPr>
            <w:r w:rsidRPr="00E53110">
              <w:t>Lowest Trust</w:t>
            </w:r>
          </w:p>
        </w:tc>
        <w:tc>
          <w:tcPr>
            <w:tcW w:w="2183" w:type="dxa"/>
            <w:gridSpan w:val="2"/>
            <w:tcBorders>
              <w:left w:val="single" w:sz="4" w:space="0" w:color="auto"/>
            </w:tcBorders>
            <w:shd w:val="clear" w:color="000000" w:fill="E0E0E0"/>
            <w:vAlign w:val="center"/>
            <w:hideMark/>
          </w:tcPr>
          <w:p w:rsidR="003A0D0C" w:rsidRPr="00E53110" w:rsidRDefault="003A0D0C" w:rsidP="002221E6">
            <w:pPr>
              <w:pStyle w:val="Heading4"/>
            </w:pPr>
            <w:r w:rsidRPr="00E53110">
              <w:t>Highest Trust</w:t>
            </w:r>
          </w:p>
        </w:tc>
      </w:tr>
      <w:tr w:rsidR="0032599C" w:rsidTr="00D124B3">
        <w:trPr>
          <w:trHeight w:val="567"/>
        </w:trPr>
        <w:tc>
          <w:tcPr>
            <w:tcW w:w="3369" w:type="dxa"/>
            <w:tcBorders>
              <w:right w:val="single" w:sz="4" w:space="0" w:color="auto"/>
            </w:tcBorders>
            <w:shd w:val="clear" w:color="000000" w:fill="FFFFFF"/>
            <w:vAlign w:val="center"/>
            <w:hideMark/>
          </w:tcPr>
          <w:p w:rsidR="0032599C" w:rsidRPr="00E53110" w:rsidRDefault="0032599C" w:rsidP="002221E6">
            <w:pPr>
              <w:pStyle w:val="NoSpacing"/>
              <w:rPr>
                <w:sz w:val="22"/>
                <w:szCs w:val="22"/>
              </w:rPr>
            </w:pPr>
            <w:r w:rsidRPr="00E53110">
              <w:rPr>
                <w:sz w:val="22"/>
                <w:szCs w:val="22"/>
              </w:rPr>
              <w:t>Calls abandoned before being answered</w:t>
            </w:r>
          </w:p>
        </w:tc>
        <w:tc>
          <w:tcPr>
            <w:tcW w:w="1275" w:type="dxa"/>
            <w:tcBorders>
              <w:left w:val="single" w:sz="4" w:space="0" w:color="auto"/>
              <w:right w:val="single" w:sz="4" w:space="0" w:color="auto"/>
            </w:tcBorders>
            <w:shd w:val="clear" w:color="000000" w:fill="FFFFFF"/>
            <w:vAlign w:val="center"/>
            <w:hideMark/>
          </w:tcPr>
          <w:p w:rsidR="0032599C" w:rsidRPr="00E53110" w:rsidRDefault="0032599C" w:rsidP="002221E6">
            <w:pPr>
              <w:pStyle w:val="NoSpacing"/>
              <w:jc w:val="right"/>
              <w:rPr>
                <w:sz w:val="22"/>
                <w:szCs w:val="22"/>
              </w:rPr>
            </w:pPr>
            <w:r w:rsidRPr="00F7191D">
              <w:rPr>
                <w:sz w:val="22"/>
                <w:szCs w:val="22"/>
              </w:rPr>
              <w:t>0.9%</w:t>
            </w:r>
          </w:p>
        </w:tc>
        <w:tc>
          <w:tcPr>
            <w:tcW w:w="1134" w:type="dxa"/>
            <w:gridSpan w:val="2"/>
            <w:tcBorders>
              <w:left w:val="single" w:sz="4" w:space="0" w:color="auto"/>
            </w:tcBorders>
            <w:shd w:val="clear" w:color="000000" w:fill="FFFFFF"/>
            <w:vAlign w:val="center"/>
            <w:hideMark/>
          </w:tcPr>
          <w:p w:rsidR="0032599C" w:rsidRPr="00E53110" w:rsidRDefault="0032599C" w:rsidP="002221E6">
            <w:pPr>
              <w:pStyle w:val="NoSpacing"/>
              <w:jc w:val="center"/>
              <w:rPr>
                <w:sz w:val="22"/>
                <w:szCs w:val="22"/>
              </w:rPr>
            </w:pPr>
            <w:r w:rsidRPr="00E53110">
              <w:rPr>
                <w:sz w:val="22"/>
                <w:szCs w:val="22"/>
              </w:rPr>
              <w:t>London</w:t>
            </w:r>
          </w:p>
        </w:tc>
        <w:tc>
          <w:tcPr>
            <w:tcW w:w="993" w:type="dxa"/>
            <w:tcBorders>
              <w:right w:val="single" w:sz="4" w:space="0" w:color="auto"/>
            </w:tcBorders>
            <w:shd w:val="clear" w:color="000000" w:fill="FFFFFF"/>
            <w:vAlign w:val="center"/>
          </w:tcPr>
          <w:p w:rsidR="0032599C" w:rsidRPr="00E53110" w:rsidRDefault="0032599C" w:rsidP="002221E6">
            <w:pPr>
              <w:pStyle w:val="NoSpacing"/>
              <w:jc w:val="right"/>
              <w:rPr>
                <w:sz w:val="22"/>
                <w:szCs w:val="22"/>
              </w:rPr>
            </w:pPr>
            <w:r w:rsidRPr="00E53110">
              <w:rPr>
                <w:sz w:val="22"/>
                <w:szCs w:val="22"/>
              </w:rPr>
              <w:t>0.1%</w:t>
            </w:r>
          </w:p>
        </w:tc>
        <w:tc>
          <w:tcPr>
            <w:tcW w:w="1191" w:type="dxa"/>
            <w:tcBorders>
              <w:left w:val="single" w:sz="4" w:space="0" w:color="auto"/>
            </w:tcBorders>
            <w:shd w:val="clear" w:color="000000" w:fill="FFFFFF"/>
            <w:vAlign w:val="center"/>
            <w:hideMark/>
          </w:tcPr>
          <w:p w:rsidR="0032599C" w:rsidRPr="00E53110" w:rsidRDefault="0032599C" w:rsidP="002221E6">
            <w:pPr>
              <w:pStyle w:val="NoSpacing"/>
              <w:jc w:val="center"/>
              <w:rPr>
                <w:sz w:val="22"/>
                <w:szCs w:val="22"/>
              </w:rPr>
            </w:pPr>
            <w:r>
              <w:rPr>
                <w:sz w:val="22"/>
                <w:szCs w:val="22"/>
              </w:rPr>
              <w:t xml:space="preserve">North West </w:t>
            </w:r>
          </w:p>
        </w:tc>
        <w:tc>
          <w:tcPr>
            <w:tcW w:w="992" w:type="dxa"/>
            <w:shd w:val="clear" w:color="000000" w:fill="FFFFFF"/>
            <w:vAlign w:val="center"/>
          </w:tcPr>
          <w:p w:rsidR="0032599C" w:rsidRPr="00E53110" w:rsidRDefault="0032599C" w:rsidP="002221E6">
            <w:pPr>
              <w:pStyle w:val="NoSpacing"/>
              <w:jc w:val="right"/>
              <w:rPr>
                <w:sz w:val="22"/>
                <w:szCs w:val="22"/>
              </w:rPr>
            </w:pPr>
            <w:r w:rsidRPr="00F7191D">
              <w:rPr>
                <w:sz w:val="22"/>
                <w:szCs w:val="22"/>
              </w:rPr>
              <w:t>2.2%</w:t>
            </w:r>
          </w:p>
        </w:tc>
      </w:tr>
      <w:tr w:rsidR="0032599C" w:rsidTr="00D124B3">
        <w:trPr>
          <w:trHeight w:val="567"/>
        </w:trPr>
        <w:tc>
          <w:tcPr>
            <w:tcW w:w="3369" w:type="dxa"/>
            <w:tcBorders>
              <w:right w:val="single" w:sz="4" w:space="0" w:color="auto"/>
            </w:tcBorders>
            <w:shd w:val="clear" w:color="000000" w:fill="FFFFFF"/>
            <w:vAlign w:val="center"/>
            <w:hideMark/>
          </w:tcPr>
          <w:p w:rsidR="0032599C" w:rsidRPr="00E53110" w:rsidRDefault="0032599C" w:rsidP="002221E6">
            <w:pPr>
              <w:pStyle w:val="NoSpacing"/>
              <w:rPr>
                <w:sz w:val="22"/>
                <w:szCs w:val="22"/>
              </w:rPr>
            </w:pPr>
            <w:r w:rsidRPr="00E53110">
              <w:rPr>
                <w:sz w:val="22"/>
                <w:szCs w:val="22"/>
              </w:rPr>
              <w:t>Calls resolved through telephone assessment</w:t>
            </w:r>
          </w:p>
        </w:tc>
        <w:tc>
          <w:tcPr>
            <w:tcW w:w="1275" w:type="dxa"/>
            <w:tcBorders>
              <w:left w:val="single" w:sz="4" w:space="0" w:color="auto"/>
              <w:right w:val="single" w:sz="4" w:space="0" w:color="auto"/>
            </w:tcBorders>
            <w:shd w:val="clear" w:color="000000" w:fill="FFFFFF"/>
            <w:vAlign w:val="center"/>
            <w:hideMark/>
          </w:tcPr>
          <w:p w:rsidR="0032599C" w:rsidRPr="00E53110" w:rsidRDefault="0032599C" w:rsidP="002221E6">
            <w:pPr>
              <w:pStyle w:val="NoSpacing"/>
              <w:jc w:val="right"/>
              <w:rPr>
                <w:sz w:val="22"/>
                <w:szCs w:val="22"/>
              </w:rPr>
            </w:pPr>
            <w:r w:rsidRPr="00F7191D">
              <w:rPr>
                <w:sz w:val="22"/>
                <w:szCs w:val="22"/>
              </w:rPr>
              <w:t>8.9%</w:t>
            </w:r>
          </w:p>
        </w:tc>
        <w:tc>
          <w:tcPr>
            <w:tcW w:w="1134" w:type="dxa"/>
            <w:gridSpan w:val="2"/>
            <w:tcBorders>
              <w:left w:val="single" w:sz="4" w:space="0" w:color="auto"/>
            </w:tcBorders>
            <w:shd w:val="clear" w:color="000000" w:fill="FFFFFF"/>
            <w:vAlign w:val="center"/>
            <w:hideMark/>
          </w:tcPr>
          <w:p w:rsidR="0032599C" w:rsidRPr="00E53110" w:rsidRDefault="0032599C" w:rsidP="002221E6">
            <w:pPr>
              <w:pStyle w:val="NoSpacing"/>
              <w:jc w:val="center"/>
              <w:rPr>
                <w:sz w:val="22"/>
                <w:szCs w:val="22"/>
              </w:rPr>
            </w:pPr>
            <w:r w:rsidRPr="00E53110">
              <w:rPr>
                <w:sz w:val="22"/>
                <w:szCs w:val="22"/>
              </w:rPr>
              <w:t>North West</w:t>
            </w:r>
          </w:p>
        </w:tc>
        <w:tc>
          <w:tcPr>
            <w:tcW w:w="993" w:type="dxa"/>
            <w:tcBorders>
              <w:right w:val="single" w:sz="4" w:space="0" w:color="auto"/>
            </w:tcBorders>
            <w:shd w:val="clear" w:color="000000" w:fill="FFFFFF"/>
            <w:vAlign w:val="center"/>
          </w:tcPr>
          <w:p w:rsidR="0032599C" w:rsidRPr="00E53110" w:rsidRDefault="0032599C" w:rsidP="002221E6">
            <w:pPr>
              <w:pStyle w:val="NoSpacing"/>
              <w:jc w:val="right"/>
              <w:rPr>
                <w:sz w:val="22"/>
                <w:szCs w:val="22"/>
              </w:rPr>
            </w:pPr>
            <w:r w:rsidRPr="00F7191D">
              <w:rPr>
                <w:sz w:val="22"/>
                <w:szCs w:val="22"/>
              </w:rPr>
              <w:t>3.0%</w:t>
            </w:r>
          </w:p>
        </w:tc>
        <w:tc>
          <w:tcPr>
            <w:tcW w:w="1191" w:type="dxa"/>
            <w:tcBorders>
              <w:left w:val="single" w:sz="4" w:space="0" w:color="auto"/>
            </w:tcBorders>
            <w:shd w:val="clear" w:color="000000" w:fill="FFFFFF"/>
            <w:vAlign w:val="center"/>
            <w:hideMark/>
          </w:tcPr>
          <w:p w:rsidR="0032599C" w:rsidRPr="00E53110" w:rsidRDefault="0032599C" w:rsidP="002221E6">
            <w:pPr>
              <w:pStyle w:val="NoSpacing"/>
              <w:jc w:val="center"/>
              <w:rPr>
                <w:sz w:val="22"/>
                <w:szCs w:val="22"/>
              </w:rPr>
            </w:pPr>
            <w:r w:rsidRPr="00E53110">
              <w:rPr>
                <w:sz w:val="22"/>
                <w:szCs w:val="22"/>
              </w:rPr>
              <w:t>London</w:t>
            </w:r>
          </w:p>
        </w:tc>
        <w:tc>
          <w:tcPr>
            <w:tcW w:w="992" w:type="dxa"/>
            <w:shd w:val="clear" w:color="000000" w:fill="FFFFFF"/>
            <w:vAlign w:val="center"/>
          </w:tcPr>
          <w:p w:rsidR="0032599C" w:rsidRPr="00E53110" w:rsidRDefault="0032599C" w:rsidP="002221E6">
            <w:pPr>
              <w:pStyle w:val="NoSpacing"/>
              <w:jc w:val="right"/>
              <w:rPr>
                <w:sz w:val="22"/>
                <w:szCs w:val="22"/>
              </w:rPr>
            </w:pPr>
            <w:r w:rsidRPr="00F7191D">
              <w:rPr>
                <w:sz w:val="22"/>
                <w:szCs w:val="22"/>
              </w:rPr>
              <w:t>15.0%</w:t>
            </w:r>
          </w:p>
        </w:tc>
      </w:tr>
      <w:tr w:rsidR="0032599C" w:rsidTr="00D124B3">
        <w:trPr>
          <w:trHeight w:val="567"/>
        </w:trPr>
        <w:tc>
          <w:tcPr>
            <w:tcW w:w="3369" w:type="dxa"/>
            <w:tcBorders>
              <w:right w:val="single" w:sz="4" w:space="0" w:color="auto"/>
            </w:tcBorders>
            <w:shd w:val="clear" w:color="000000" w:fill="FFFFFF"/>
            <w:vAlign w:val="center"/>
            <w:hideMark/>
          </w:tcPr>
          <w:p w:rsidR="0032599C" w:rsidRPr="00E53110" w:rsidRDefault="0032599C" w:rsidP="002221E6">
            <w:pPr>
              <w:pStyle w:val="NoSpacing"/>
              <w:rPr>
                <w:sz w:val="22"/>
                <w:szCs w:val="22"/>
              </w:rPr>
            </w:pPr>
            <w:r w:rsidRPr="00E53110">
              <w:rPr>
                <w:sz w:val="22"/>
                <w:szCs w:val="22"/>
              </w:rPr>
              <w:t>Calls resolved without transport to Type 1 or Type 2 A&amp;E</w:t>
            </w:r>
          </w:p>
        </w:tc>
        <w:tc>
          <w:tcPr>
            <w:tcW w:w="1275" w:type="dxa"/>
            <w:tcBorders>
              <w:left w:val="single" w:sz="4" w:space="0" w:color="auto"/>
              <w:right w:val="single" w:sz="4" w:space="0" w:color="auto"/>
            </w:tcBorders>
            <w:shd w:val="clear" w:color="000000" w:fill="FFFFFF"/>
            <w:vAlign w:val="center"/>
            <w:hideMark/>
          </w:tcPr>
          <w:p w:rsidR="0032599C" w:rsidRPr="00E53110" w:rsidRDefault="0032599C" w:rsidP="002221E6">
            <w:pPr>
              <w:pStyle w:val="NoSpacing"/>
              <w:jc w:val="right"/>
              <w:rPr>
                <w:sz w:val="22"/>
                <w:szCs w:val="22"/>
              </w:rPr>
            </w:pPr>
            <w:r w:rsidRPr="00F7191D">
              <w:rPr>
                <w:sz w:val="22"/>
                <w:szCs w:val="22"/>
              </w:rPr>
              <w:t>36.6%</w:t>
            </w:r>
          </w:p>
        </w:tc>
        <w:tc>
          <w:tcPr>
            <w:tcW w:w="1134" w:type="dxa"/>
            <w:gridSpan w:val="2"/>
            <w:tcBorders>
              <w:left w:val="single" w:sz="4" w:space="0" w:color="auto"/>
            </w:tcBorders>
            <w:shd w:val="clear" w:color="000000" w:fill="FFFFFF"/>
            <w:vAlign w:val="center"/>
            <w:hideMark/>
          </w:tcPr>
          <w:p w:rsidR="0032599C" w:rsidRPr="00E53110" w:rsidRDefault="0032599C" w:rsidP="002221E6">
            <w:pPr>
              <w:pStyle w:val="NoSpacing"/>
              <w:jc w:val="center"/>
              <w:rPr>
                <w:sz w:val="22"/>
                <w:szCs w:val="22"/>
              </w:rPr>
            </w:pPr>
            <w:r w:rsidRPr="00E53110">
              <w:rPr>
                <w:sz w:val="22"/>
                <w:szCs w:val="22"/>
              </w:rPr>
              <w:t>North West</w:t>
            </w:r>
          </w:p>
        </w:tc>
        <w:tc>
          <w:tcPr>
            <w:tcW w:w="993" w:type="dxa"/>
            <w:tcBorders>
              <w:right w:val="single" w:sz="4" w:space="0" w:color="auto"/>
            </w:tcBorders>
            <w:shd w:val="clear" w:color="000000" w:fill="FFFFFF"/>
            <w:vAlign w:val="center"/>
          </w:tcPr>
          <w:p w:rsidR="0032599C" w:rsidRPr="00E53110" w:rsidRDefault="0032599C" w:rsidP="002221E6">
            <w:pPr>
              <w:pStyle w:val="NoSpacing"/>
              <w:jc w:val="right"/>
              <w:rPr>
                <w:sz w:val="22"/>
                <w:szCs w:val="22"/>
              </w:rPr>
            </w:pPr>
            <w:r w:rsidRPr="00F7191D">
              <w:rPr>
                <w:sz w:val="22"/>
                <w:szCs w:val="22"/>
              </w:rPr>
              <w:t>26.5%</w:t>
            </w:r>
          </w:p>
        </w:tc>
        <w:tc>
          <w:tcPr>
            <w:tcW w:w="1191" w:type="dxa"/>
            <w:tcBorders>
              <w:left w:val="single" w:sz="4" w:space="0" w:color="auto"/>
            </w:tcBorders>
            <w:shd w:val="clear" w:color="000000" w:fill="FFFFFF"/>
            <w:vAlign w:val="center"/>
            <w:hideMark/>
          </w:tcPr>
          <w:p w:rsidR="0032599C" w:rsidRPr="00E53110" w:rsidRDefault="0032599C" w:rsidP="00191AB9">
            <w:pPr>
              <w:pStyle w:val="NoSpacing"/>
              <w:jc w:val="center"/>
              <w:rPr>
                <w:sz w:val="22"/>
                <w:szCs w:val="22"/>
              </w:rPr>
            </w:pPr>
            <w:r w:rsidRPr="00E53110">
              <w:rPr>
                <w:sz w:val="22"/>
                <w:szCs w:val="22"/>
              </w:rPr>
              <w:t>South Western</w:t>
            </w:r>
          </w:p>
        </w:tc>
        <w:tc>
          <w:tcPr>
            <w:tcW w:w="992" w:type="dxa"/>
            <w:shd w:val="clear" w:color="000000" w:fill="FFFFFF"/>
            <w:vAlign w:val="center"/>
          </w:tcPr>
          <w:p w:rsidR="0032599C" w:rsidRPr="00E53110" w:rsidRDefault="0032599C" w:rsidP="002221E6">
            <w:pPr>
              <w:pStyle w:val="NoSpacing"/>
              <w:jc w:val="right"/>
              <w:rPr>
                <w:sz w:val="22"/>
                <w:szCs w:val="22"/>
              </w:rPr>
            </w:pPr>
            <w:r w:rsidRPr="00F7191D">
              <w:rPr>
                <w:sz w:val="22"/>
                <w:szCs w:val="22"/>
              </w:rPr>
              <w:t>52.6%</w:t>
            </w:r>
          </w:p>
        </w:tc>
      </w:tr>
      <w:tr w:rsidR="0032599C" w:rsidTr="00D124B3">
        <w:trPr>
          <w:trHeight w:val="567"/>
        </w:trPr>
        <w:tc>
          <w:tcPr>
            <w:tcW w:w="3369" w:type="dxa"/>
            <w:tcBorders>
              <w:right w:val="single" w:sz="4" w:space="0" w:color="auto"/>
            </w:tcBorders>
            <w:shd w:val="clear" w:color="000000" w:fill="FFFFFF"/>
            <w:vAlign w:val="center"/>
            <w:hideMark/>
          </w:tcPr>
          <w:p w:rsidR="0032599C" w:rsidRPr="00E53110" w:rsidRDefault="0032599C" w:rsidP="002221E6">
            <w:pPr>
              <w:pStyle w:val="NoSpacing"/>
              <w:rPr>
                <w:sz w:val="22"/>
                <w:szCs w:val="22"/>
              </w:rPr>
            </w:pPr>
            <w:bookmarkStart w:id="1" w:name="RANGE!A22"/>
            <w:r w:rsidRPr="00E53110">
              <w:rPr>
                <w:sz w:val="22"/>
                <w:szCs w:val="22"/>
              </w:rPr>
              <w:t>Recontact rate following discharge by telephone advice</w:t>
            </w:r>
            <w:bookmarkEnd w:id="1"/>
          </w:p>
        </w:tc>
        <w:tc>
          <w:tcPr>
            <w:tcW w:w="1275" w:type="dxa"/>
            <w:tcBorders>
              <w:left w:val="single" w:sz="4" w:space="0" w:color="auto"/>
              <w:right w:val="single" w:sz="4" w:space="0" w:color="auto"/>
            </w:tcBorders>
            <w:shd w:val="clear" w:color="000000" w:fill="FFFFFF"/>
            <w:vAlign w:val="center"/>
            <w:hideMark/>
          </w:tcPr>
          <w:p w:rsidR="0032599C" w:rsidRPr="00E53110" w:rsidRDefault="0032599C" w:rsidP="002221E6">
            <w:pPr>
              <w:pStyle w:val="NoSpacing"/>
              <w:jc w:val="right"/>
              <w:rPr>
                <w:sz w:val="22"/>
                <w:szCs w:val="22"/>
              </w:rPr>
            </w:pPr>
            <w:r w:rsidRPr="00E53110">
              <w:rPr>
                <w:sz w:val="22"/>
                <w:szCs w:val="22"/>
              </w:rPr>
              <w:t>7.6%</w:t>
            </w:r>
          </w:p>
        </w:tc>
        <w:tc>
          <w:tcPr>
            <w:tcW w:w="1134" w:type="dxa"/>
            <w:gridSpan w:val="2"/>
            <w:tcBorders>
              <w:left w:val="single" w:sz="4" w:space="0" w:color="auto"/>
            </w:tcBorders>
            <w:shd w:val="clear" w:color="000000" w:fill="FFFFFF"/>
            <w:vAlign w:val="center"/>
            <w:hideMark/>
          </w:tcPr>
          <w:p w:rsidR="0032599C" w:rsidRPr="00E53110" w:rsidRDefault="0032599C" w:rsidP="00191AB9">
            <w:pPr>
              <w:pStyle w:val="NoSpacing"/>
              <w:jc w:val="center"/>
              <w:rPr>
                <w:sz w:val="22"/>
                <w:szCs w:val="22"/>
              </w:rPr>
            </w:pPr>
            <w:r w:rsidRPr="00E53110">
              <w:rPr>
                <w:sz w:val="22"/>
                <w:szCs w:val="22"/>
              </w:rPr>
              <w:t>London</w:t>
            </w:r>
          </w:p>
        </w:tc>
        <w:tc>
          <w:tcPr>
            <w:tcW w:w="993" w:type="dxa"/>
            <w:tcBorders>
              <w:right w:val="single" w:sz="4" w:space="0" w:color="auto"/>
            </w:tcBorders>
            <w:shd w:val="clear" w:color="000000" w:fill="FFFFFF"/>
            <w:vAlign w:val="center"/>
          </w:tcPr>
          <w:p w:rsidR="0032599C" w:rsidRPr="00E53110" w:rsidRDefault="0032599C" w:rsidP="002221E6">
            <w:pPr>
              <w:pStyle w:val="NoSpacing"/>
              <w:jc w:val="right"/>
              <w:rPr>
                <w:sz w:val="22"/>
                <w:szCs w:val="22"/>
              </w:rPr>
            </w:pPr>
            <w:r w:rsidRPr="00F7191D">
              <w:rPr>
                <w:sz w:val="22"/>
                <w:szCs w:val="22"/>
              </w:rPr>
              <w:t>2.9%</w:t>
            </w:r>
          </w:p>
        </w:tc>
        <w:tc>
          <w:tcPr>
            <w:tcW w:w="1191" w:type="dxa"/>
            <w:tcBorders>
              <w:left w:val="single" w:sz="4" w:space="0" w:color="auto"/>
            </w:tcBorders>
            <w:shd w:val="clear" w:color="000000" w:fill="FFFFFF"/>
            <w:vAlign w:val="center"/>
            <w:hideMark/>
          </w:tcPr>
          <w:p w:rsidR="0032599C" w:rsidRPr="00E53110" w:rsidRDefault="0032599C" w:rsidP="002221E6">
            <w:pPr>
              <w:pStyle w:val="NoSpacing"/>
              <w:jc w:val="center"/>
              <w:rPr>
                <w:sz w:val="22"/>
                <w:szCs w:val="22"/>
              </w:rPr>
            </w:pPr>
            <w:r w:rsidRPr="00E53110">
              <w:rPr>
                <w:sz w:val="22"/>
                <w:szCs w:val="22"/>
              </w:rPr>
              <w:t>North East</w:t>
            </w:r>
          </w:p>
        </w:tc>
        <w:tc>
          <w:tcPr>
            <w:tcW w:w="992" w:type="dxa"/>
            <w:shd w:val="clear" w:color="000000" w:fill="FFFFFF"/>
            <w:vAlign w:val="center"/>
          </w:tcPr>
          <w:p w:rsidR="0032599C" w:rsidRPr="00E53110" w:rsidRDefault="0032599C" w:rsidP="002221E6">
            <w:pPr>
              <w:pStyle w:val="NoSpacing"/>
              <w:jc w:val="right"/>
              <w:rPr>
                <w:sz w:val="22"/>
                <w:szCs w:val="22"/>
              </w:rPr>
            </w:pPr>
            <w:r w:rsidRPr="00F7191D">
              <w:rPr>
                <w:sz w:val="22"/>
                <w:szCs w:val="22"/>
              </w:rPr>
              <w:t>14.2%</w:t>
            </w:r>
          </w:p>
        </w:tc>
      </w:tr>
      <w:tr w:rsidR="0032599C" w:rsidTr="00D124B3">
        <w:trPr>
          <w:trHeight w:val="567"/>
        </w:trPr>
        <w:tc>
          <w:tcPr>
            <w:tcW w:w="3369" w:type="dxa"/>
            <w:tcBorders>
              <w:right w:val="single" w:sz="4" w:space="0" w:color="auto"/>
            </w:tcBorders>
            <w:shd w:val="clear" w:color="000000" w:fill="FFFFFF"/>
            <w:vAlign w:val="center"/>
            <w:hideMark/>
          </w:tcPr>
          <w:p w:rsidR="0032599C" w:rsidRPr="00E53110" w:rsidRDefault="0032599C" w:rsidP="002221E6">
            <w:pPr>
              <w:pStyle w:val="NoSpacing"/>
              <w:rPr>
                <w:sz w:val="22"/>
                <w:szCs w:val="22"/>
              </w:rPr>
            </w:pPr>
            <w:r w:rsidRPr="00E53110">
              <w:rPr>
                <w:sz w:val="22"/>
                <w:szCs w:val="22"/>
              </w:rPr>
              <w:t>Recontact rate following face-to-face treatment at scene</w:t>
            </w:r>
          </w:p>
        </w:tc>
        <w:tc>
          <w:tcPr>
            <w:tcW w:w="1275" w:type="dxa"/>
            <w:tcBorders>
              <w:left w:val="single" w:sz="4" w:space="0" w:color="auto"/>
              <w:right w:val="single" w:sz="4" w:space="0" w:color="auto"/>
            </w:tcBorders>
            <w:shd w:val="clear" w:color="000000" w:fill="FFFFFF"/>
            <w:vAlign w:val="center"/>
            <w:hideMark/>
          </w:tcPr>
          <w:p w:rsidR="0032599C" w:rsidRPr="00E53110" w:rsidRDefault="0032599C" w:rsidP="002221E6">
            <w:pPr>
              <w:pStyle w:val="NoSpacing"/>
              <w:jc w:val="right"/>
              <w:rPr>
                <w:sz w:val="22"/>
                <w:szCs w:val="22"/>
              </w:rPr>
            </w:pPr>
            <w:r w:rsidRPr="00E53110">
              <w:rPr>
                <w:sz w:val="22"/>
                <w:szCs w:val="22"/>
              </w:rPr>
              <w:t>5.</w:t>
            </w:r>
            <w:r>
              <w:rPr>
                <w:sz w:val="22"/>
                <w:szCs w:val="22"/>
              </w:rPr>
              <w:t>7</w:t>
            </w:r>
            <w:r w:rsidRPr="00E53110">
              <w:rPr>
                <w:sz w:val="22"/>
                <w:szCs w:val="22"/>
              </w:rPr>
              <w:t>%</w:t>
            </w:r>
          </w:p>
        </w:tc>
        <w:tc>
          <w:tcPr>
            <w:tcW w:w="1134" w:type="dxa"/>
            <w:gridSpan w:val="2"/>
            <w:tcBorders>
              <w:left w:val="single" w:sz="4" w:space="0" w:color="auto"/>
            </w:tcBorders>
            <w:shd w:val="clear" w:color="000000" w:fill="FFFFFF"/>
            <w:vAlign w:val="center"/>
            <w:hideMark/>
          </w:tcPr>
          <w:p w:rsidR="0032599C" w:rsidRPr="00E53110" w:rsidRDefault="0032599C" w:rsidP="002221E6">
            <w:pPr>
              <w:pStyle w:val="NoSpacing"/>
              <w:jc w:val="center"/>
              <w:rPr>
                <w:sz w:val="22"/>
                <w:szCs w:val="22"/>
              </w:rPr>
            </w:pPr>
            <w:r w:rsidRPr="00E53110">
              <w:rPr>
                <w:sz w:val="22"/>
                <w:szCs w:val="22"/>
              </w:rPr>
              <w:t>York-shire</w:t>
            </w:r>
          </w:p>
        </w:tc>
        <w:tc>
          <w:tcPr>
            <w:tcW w:w="993" w:type="dxa"/>
            <w:tcBorders>
              <w:right w:val="single" w:sz="4" w:space="0" w:color="auto"/>
            </w:tcBorders>
            <w:shd w:val="clear" w:color="000000" w:fill="FFFFFF"/>
            <w:vAlign w:val="center"/>
          </w:tcPr>
          <w:p w:rsidR="0032599C" w:rsidRPr="00E53110" w:rsidRDefault="0032599C" w:rsidP="002221E6">
            <w:pPr>
              <w:pStyle w:val="NoSpacing"/>
              <w:jc w:val="right"/>
              <w:rPr>
                <w:sz w:val="22"/>
                <w:szCs w:val="22"/>
              </w:rPr>
            </w:pPr>
            <w:r w:rsidRPr="00F7191D">
              <w:rPr>
                <w:sz w:val="22"/>
                <w:szCs w:val="22"/>
              </w:rPr>
              <w:t>3.4%</w:t>
            </w:r>
          </w:p>
        </w:tc>
        <w:tc>
          <w:tcPr>
            <w:tcW w:w="1191" w:type="dxa"/>
            <w:tcBorders>
              <w:left w:val="single" w:sz="4" w:space="0" w:color="auto"/>
            </w:tcBorders>
            <w:shd w:val="clear" w:color="000000" w:fill="FFFFFF"/>
            <w:vAlign w:val="center"/>
            <w:hideMark/>
          </w:tcPr>
          <w:p w:rsidR="0032599C" w:rsidRPr="00E53110" w:rsidRDefault="0032599C" w:rsidP="002221E6">
            <w:pPr>
              <w:pStyle w:val="NoSpacing"/>
              <w:jc w:val="center"/>
              <w:rPr>
                <w:sz w:val="22"/>
                <w:szCs w:val="22"/>
              </w:rPr>
            </w:pPr>
            <w:r w:rsidRPr="00E53110">
              <w:rPr>
                <w:sz w:val="22"/>
                <w:szCs w:val="22"/>
              </w:rPr>
              <w:t>London</w:t>
            </w:r>
          </w:p>
        </w:tc>
        <w:tc>
          <w:tcPr>
            <w:tcW w:w="992" w:type="dxa"/>
            <w:shd w:val="clear" w:color="000000" w:fill="FFFFFF"/>
            <w:vAlign w:val="center"/>
          </w:tcPr>
          <w:p w:rsidR="0032599C" w:rsidRPr="00E53110" w:rsidRDefault="0032599C" w:rsidP="002221E6">
            <w:pPr>
              <w:pStyle w:val="NoSpacing"/>
              <w:jc w:val="right"/>
              <w:rPr>
                <w:sz w:val="22"/>
                <w:szCs w:val="22"/>
              </w:rPr>
            </w:pPr>
            <w:r w:rsidRPr="00E53110">
              <w:rPr>
                <w:sz w:val="22"/>
                <w:szCs w:val="22"/>
              </w:rPr>
              <w:t>8.</w:t>
            </w:r>
            <w:r>
              <w:rPr>
                <w:sz w:val="22"/>
                <w:szCs w:val="22"/>
              </w:rPr>
              <w:t>6</w:t>
            </w:r>
            <w:r w:rsidRPr="00E53110">
              <w:rPr>
                <w:sz w:val="22"/>
                <w:szCs w:val="22"/>
              </w:rPr>
              <w:t>%</w:t>
            </w:r>
          </w:p>
        </w:tc>
      </w:tr>
      <w:tr w:rsidR="0032599C" w:rsidTr="00D124B3">
        <w:trPr>
          <w:trHeight w:val="567"/>
        </w:trPr>
        <w:tc>
          <w:tcPr>
            <w:tcW w:w="3369" w:type="dxa"/>
            <w:tcBorders>
              <w:right w:val="single" w:sz="4" w:space="0" w:color="auto"/>
            </w:tcBorders>
            <w:shd w:val="clear" w:color="auto" w:fill="auto"/>
            <w:vAlign w:val="center"/>
            <w:hideMark/>
          </w:tcPr>
          <w:p w:rsidR="0032599C" w:rsidRPr="00E53110" w:rsidRDefault="0032599C" w:rsidP="002221E6">
            <w:pPr>
              <w:pStyle w:val="NoSpacing"/>
              <w:rPr>
                <w:sz w:val="22"/>
                <w:szCs w:val="22"/>
              </w:rPr>
            </w:pPr>
            <w:r w:rsidRPr="00E53110">
              <w:rPr>
                <w:sz w:val="22"/>
                <w:szCs w:val="22"/>
              </w:rPr>
              <w:t>Number of emergency journeys</w:t>
            </w:r>
          </w:p>
        </w:tc>
        <w:tc>
          <w:tcPr>
            <w:tcW w:w="1275" w:type="dxa"/>
            <w:tcBorders>
              <w:left w:val="single" w:sz="4" w:space="0" w:color="auto"/>
              <w:right w:val="single" w:sz="4" w:space="0" w:color="auto"/>
            </w:tcBorders>
            <w:shd w:val="clear" w:color="auto" w:fill="auto"/>
            <w:vAlign w:val="center"/>
            <w:hideMark/>
          </w:tcPr>
          <w:p w:rsidR="0032599C" w:rsidRPr="00E53110" w:rsidRDefault="0032599C" w:rsidP="002221E6">
            <w:pPr>
              <w:pStyle w:val="NoSpacing"/>
              <w:jc w:val="right"/>
              <w:rPr>
                <w:sz w:val="22"/>
                <w:szCs w:val="22"/>
              </w:rPr>
            </w:pPr>
            <w:r w:rsidRPr="00F7191D">
              <w:rPr>
                <w:sz w:val="22"/>
                <w:szCs w:val="22"/>
              </w:rPr>
              <w:t>359,188</w:t>
            </w:r>
          </w:p>
        </w:tc>
        <w:tc>
          <w:tcPr>
            <w:tcW w:w="908" w:type="dxa"/>
            <w:tcBorders>
              <w:left w:val="single" w:sz="4" w:space="0" w:color="auto"/>
            </w:tcBorders>
            <w:shd w:val="clear" w:color="auto" w:fill="auto"/>
            <w:noWrap/>
            <w:vAlign w:val="center"/>
          </w:tcPr>
          <w:p w:rsidR="0032599C" w:rsidRPr="00E53110" w:rsidRDefault="0032599C" w:rsidP="00B117F9">
            <w:pPr>
              <w:pStyle w:val="NoSpacing"/>
              <w:jc w:val="right"/>
              <w:rPr>
                <w:sz w:val="22"/>
                <w:szCs w:val="22"/>
              </w:rPr>
            </w:pPr>
            <w:r>
              <w:rPr>
                <w:sz w:val="22"/>
                <w:szCs w:val="22"/>
              </w:rPr>
              <w:t xml:space="preserve"> North  </w:t>
            </w:r>
            <w:r w:rsidRPr="00F7191D">
              <w:rPr>
                <w:sz w:val="22"/>
                <w:szCs w:val="22"/>
              </w:rPr>
              <w:t>East</w:t>
            </w:r>
            <w:r w:rsidR="00B117F9">
              <w:rPr>
                <w:rStyle w:val="FootnoteReference"/>
                <w:rFonts w:cs="Arial"/>
              </w:rPr>
              <w:footnoteReference w:id="7"/>
            </w:r>
          </w:p>
        </w:tc>
        <w:tc>
          <w:tcPr>
            <w:tcW w:w="1219" w:type="dxa"/>
            <w:gridSpan w:val="2"/>
            <w:tcBorders>
              <w:right w:val="single" w:sz="4" w:space="0" w:color="auto"/>
            </w:tcBorders>
            <w:shd w:val="clear" w:color="auto" w:fill="auto"/>
            <w:vAlign w:val="center"/>
          </w:tcPr>
          <w:p w:rsidR="0032599C" w:rsidRPr="00E53110" w:rsidRDefault="0032599C" w:rsidP="00B117F9">
            <w:pPr>
              <w:pStyle w:val="NoSpacing"/>
              <w:jc w:val="right"/>
              <w:rPr>
                <w:sz w:val="22"/>
                <w:szCs w:val="22"/>
              </w:rPr>
            </w:pPr>
            <w:r w:rsidRPr="00F7191D">
              <w:rPr>
                <w:sz w:val="22"/>
                <w:szCs w:val="22"/>
              </w:rPr>
              <w:t>19,319</w:t>
            </w:r>
            <w:r w:rsidR="00D124B3">
              <w:rPr>
                <w:sz w:val="22"/>
                <w:szCs w:val="22"/>
              </w:rPr>
              <w:t xml:space="preserve"> </w:t>
            </w:r>
          </w:p>
        </w:tc>
        <w:tc>
          <w:tcPr>
            <w:tcW w:w="1191" w:type="dxa"/>
            <w:tcBorders>
              <w:left w:val="single" w:sz="4" w:space="0" w:color="auto"/>
            </w:tcBorders>
            <w:shd w:val="clear" w:color="auto" w:fill="auto"/>
            <w:noWrap/>
            <w:vAlign w:val="center"/>
          </w:tcPr>
          <w:p w:rsidR="0032599C" w:rsidRPr="00E53110" w:rsidRDefault="0032599C" w:rsidP="002221E6">
            <w:pPr>
              <w:pStyle w:val="NoSpacing"/>
              <w:jc w:val="center"/>
              <w:rPr>
                <w:sz w:val="22"/>
                <w:szCs w:val="22"/>
              </w:rPr>
            </w:pPr>
            <w:r w:rsidRPr="00E53110">
              <w:rPr>
                <w:sz w:val="22"/>
                <w:szCs w:val="22"/>
              </w:rPr>
              <w:t>London</w:t>
            </w:r>
          </w:p>
        </w:tc>
        <w:tc>
          <w:tcPr>
            <w:tcW w:w="992" w:type="dxa"/>
            <w:shd w:val="clear" w:color="auto" w:fill="auto"/>
            <w:vAlign w:val="center"/>
          </w:tcPr>
          <w:p w:rsidR="0032599C" w:rsidRPr="00E53110" w:rsidRDefault="0032599C" w:rsidP="002221E6">
            <w:pPr>
              <w:pStyle w:val="NoSpacing"/>
              <w:jc w:val="right"/>
              <w:rPr>
                <w:sz w:val="22"/>
                <w:szCs w:val="22"/>
              </w:rPr>
            </w:pPr>
            <w:r w:rsidRPr="00F7191D">
              <w:rPr>
                <w:sz w:val="22"/>
                <w:szCs w:val="22"/>
              </w:rPr>
              <w:t>57,536</w:t>
            </w:r>
          </w:p>
        </w:tc>
      </w:tr>
    </w:tbl>
    <w:p w:rsidR="003A0D0C" w:rsidRDefault="003A0D0C" w:rsidP="003A0D0C">
      <w:pPr>
        <w:pStyle w:val="Heading2"/>
      </w:pPr>
      <w:r>
        <w:t>B.</w:t>
      </w:r>
      <w:r>
        <w:tab/>
      </w:r>
      <w:r w:rsidRPr="00151AF2">
        <w:t>Clinical Outcomes</w:t>
      </w:r>
    </w:p>
    <w:p w:rsidR="003A0D0C" w:rsidRDefault="003A0D0C" w:rsidP="003A0D0C">
      <w:r>
        <w:t>N</w:t>
      </w:r>
      <w:r w:rsidRPr="005538AF">
        <w:t xml:space="preserve">o thresholds to denote “poor” care </w:t>
      </w:r>
      <w:r>
        <w:t xml:space="preserve">are </w:t>
      </w:r>
      <w:r w:rsidRPr="005538AF">
        <w:t>set for</w:t>
      </w:r>
      <w:r>
        <w:t xml:space="preserve"> Clinical Outcomes. </w:t>
      </w:r>
      <w:r w:rsidRPr="00E76C17">
        <w:t xml:space="preserve">Commissioners </w:t>
      </w:r>
      <w:r>
        <w:t xml:space="preserve">are </w:t>
      </w:r>
      <w:r w:rsidRPr="00E76C17">
        <w:t xml:space="preserve">expected to examine trends in these data, and work in collaboration with </w:t>
      </w:r>
      <w:r>
        <w:t>Ambu</w:t>
      </w:r>
      <w:r w:rsidRPr="00E76C17">
        <w:t xml:space="preserve">lance </w:t>
      </w:r>
      <w:r>
        <w:t>Trus</w:t>
      </w:r>
      <w:r w:rsidRPr="00E76C17">
        <w:t>ts to achieve sustained improvements over time</w:t>
      </w:r>
      <w:r w:rsidRPr="005538AF">
        <w:t xml:space="preserve"> improvement in patient outcomes over time</w:t>
      </w:r>
      <w:r>
        <w:t>; but c</w:t>
      </w:r>
      <w:r w:rsidRPr="00E76C17">
        <w:t xml:space="preserve">ommissioners </w:t>
      </w:r>
      <w:r>
        <w:t xml:space="preserve">are </w:t>
      </w:r>
      <w:r w:rsidRPr="00E76C17">
        <w:t xml:space="preserve">not expected to use Clinical Outcomes to performance manage </w:t>
      </w:r>
      <w:r>
        <w:t>Trus</w:t>
      </w:r>
      <w:r w:rsidRPr="00E76C17">
        <w:t xml:space="preserve">ts, </w:t>
      </w:r>
      <w:r>
        <w:t xml:space="preserve">because </w:t>
      </w:r>
      <w:r w:rsidRPr="00E76C17">
        <w:t>there will be significant variations in the populations served</w:t>
      </w:r>
      <w:r>
        <w:t>.</w:t>
      </w:r>
    </w:p>
    <w:p w:rsidR="00177CDB" w:rsidRPr="005C1BA6" w:rsidRDefault="00177CDB" w:rsidP="003A0D0C">
      <w:r>
        <w:t>The latest Clinical Outcome data are for November 2014, so these do not yet overlap with the DoD pilot. The pilot will not affect how they are measured anyway.</w:t>
      </w:r>
    </w:p>
    <w:p w:rsidR="003A0D0C" w:rsidRPr="00151AF2" w:rsidRDefault="003A0D0C" w:rsidP="003A0D0C">
      <w:pPr>
        <w:pStyle w:val="Heading3"/>
      </w:pPr>
      <w:r>
        <w:t>B1</w:t>
      </w:r>
      <w:r>
        <w:tab/>
        <w:t>Cardiac arrest:</w:t>
      </w:r>
      <w:r w:rsidRPr="00992442">
        <w:t xml:space="preserve"> </w:t>
      </w:r>
      <w:r w:rsidRPr="00DA6E95">
        <w:t>return of spontaneous circulation (ROSC</w:t>
      </w:r>
      <w:r w:rsidR="00D4605E">
        <w:t>) (Figure 5</w:t>
      </w:r>
      <w:r>
        <w:t>)</w:t>
      </w:r>
    </w:p>
    <w:p w:rsidR="0032599C" w:rsidRDefault="0032599C" w:rsidP="0032599C">
      <w:r w:rsidRPr="00DA6E95">
        <w:t xml:space="preserve">In </w:t>
      </w:r>
      <w:r>
        <w:t>November 2014,</w:t>
      </w:r>
      <w:r w:rsidRPr="00DA6E95">
        <w:t xml:space="preserve"> </w:t>
      </w:r>
      <w:r>
        <w:t xml:space="preserve">there were </w:t>
      </w:r>
      <w:r w:rsidRPr="00C21811">
        <w:t xml:space="preserve">2,544 </w:t>
      </w:r>
      <w:r w:rsidRPr="00DA6E95">
        <w:t xml:space="preserve">patients </w:t>
      </w:r>
      <w:r>
        <w:t xml:space="preserve">with </w:t>
      </w:r>
      <w:r w:rsidRPr="00DA6E95">
        <w:t>resuscitation commenced or continued by ambulance staff following an out-of-hospital cardiac arrest</w:t>
      </w:r>
      <w:r>
        <w:t xml:space="preserve"> in England. Of these, </w:t>
      </w:r>
      <w:r w:rsidRPr="00C21811">
        <w:t>705</w:t>
      </w:r>
      <w:r>
        <w:t xml:space="preserve"> (</w:t>
      </w:r>
      <w:r w:rsidR="00D4605E">
        <w:t>28</w:t>
      </w:r>
      <w:r w:rsidRPr="00C21811">
        <w:t>%</w:t>
      </w:r>
      <w:r>
        <w:t xml:space="preserve">) </w:t>
      </w:r>
      <w:r w:rsidRPr="00DA6E95">
        <w:t xml:space="preserve">had </w:t>
      </w:r>
      <w:r>
        <w:t>ROSC</w:t>
      </w:r>
      <w:r w:rsidRPr="00DA6E95">
        <w:t xml:space="preserve"> on arrival </w:t>
      </w:r>
      <w:r>
        <w:t xml:space="preserve">at hospital, which was similar to the average </w:t>
      </w:r>
      <w:r w:rsidRPr="00296E05">
        <w:t xml:space="preserve">for </w:t>
      </w:r>
      <w:r>
        <w:t xml:space="preserve">the </w:t>
      </w:r>
      <w:r w:rsidRPr="00296E05">
        <w:t>year ending September 2014</w:t>
      </w:r>
      <w:r w:rsidRPr="00C344CA">
        <w:t xml:space="preserve"> </w:t>
      </w:r>
      <w:r>
        <w:t xml:space="preserve">of </w:t>
      </w:r>
      <w:r w:rsidR="00D4605E">
        <w:t>27</w:t>
      </w:r>
      <w:r w:rsidRPr="00D13275">
        <w:t>%</w:t>
      </w:r>
      <w:r w:rsidRPr="00296E05">
        <w:t>.</w:t>
      </w:r>
      <w:r w:rsidR="003C24D1">
        <w:t xml:space="preserve"> </w:t>
      </w:r>
      <w:r>
        <w:t>The largest</w:t>
      </w:r>
      <w:r w:rsidRPr="00992442">
        <w:t xml:space="preserve"> </w:t>
      </w:r>
      <w:r>
        <w:t xml:space="preserve">proportion </w:t>
      </w:r>
      <w:r w:rsidR="00D124B3">
        <w:t>i</w:t>
      </w:r>
      <w:r w:rsidR="00D124B3" w:rsidRPr="00DA6E95">
        <w:t xml:space="preserve">n </w:t>
      </w:r>
      <w:r w:rsidR="00D124B3">
        <w:t xml:space="preserve">November 2014 </w:t>
      </w:r>
      <w:r>
        <w:t xml:space="preserve">was </w:t>
      </w:r>
      <w:r w:rsidR="008D50FB">
        <w:t>42</w:t>
      </w:r>
      <w:r w:rsidRPr="00C21811">
        <w:t xml:space="preserve">% </w:t>
      </w:r>
      <w:r>
        <w:t xml:space="preserve">for </w:t>
      </w:r>
      <w:r w:rsidRPr="00AF0B61">
        <w:t>South Central</w:t>
      </w:r>
      <w:r>
        <w:t xml:space="preserve">, and the smallest was </w:t>
      </w:r>
      <w:r w:rsidR="008D50FB">
        <w:t>20</w:t>
      </w:r>
      <w:r w:rsidRPr="00C21811">
        <w:t xml:space="preserve">% </w:t>
      </w:r>
      <w:r>
        <w:t xml:space="preserve">for </w:t>
      </w:r>
      <w:r w:rsidRPr="00745962">
        <w:t>East Midlands</w:t>
      </w:r>
      <w:r w:rsidRPr="001C688D">
        <w:t>.</w:t>
      </w:r>
      <w:r>
        <w:t xml:space="preserve"> </w:t>
      </w:r>
    </w:p>
    <w:p w:rsidR="00D124B3" w:rsidRDefault="00D124B3" w:rsidP="003A0D0C">
      <w:r>
        <w:rPr>
          <w:noProof/>
        </w:rPr>
        <w:drawing>
          <wp:inline distT="0" distB="0" distL="0" distR="0" wp14:anchorId="2BBDDABD" wp14:editId="2D7D58A8">
            <wp:extent cx="5675630" cy="3462655"/>
            <wp:effectExtent l="0" t="0" r="127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75630" cy="3462655"/>
                    </a:xfrm>
                    <a:prstGeom prst="rect">
                      <a:avLst/>
                    </a:prstGeom>
                    <a:noFill/>
                  </pic:spPr>
                </pic:pic>
              </a:graphicData>
            </a:graphic>
          </wp:inline>
        </w:drawing>
      </w:r>
    </w:p>
    <w:p w:rsidR="002221E6" w:rsidRDefault="003A0D0C" w:rsidP="003A0D0C">
      <w:pPr>
        <w:rPr>
          <w:rFonts w:cs="Arial"/>
        </w:rPr>
      </w:pPr>
      <w:r>
        <w:t xml:space="preserve">The Utstein group comprises patients who had resuscitation commenced or </w:t>
      </w:r>
      <w:r w:rsidRPr="00DA6E95">
        <w:t xml:space="preserve">continued by </w:t>
      </w:r>
      <w:r>
        <w:t>the A</w:t>
      </w:r>
      <w:r w:rsidRPr="00DA6E95">
        <w:t xml:space="preserve">mbulance </w:t>
      </w:r>
      <w:r>
        <w:t>S</w:t>
      </w:r>
      <w:r w:rsidRPr="00DA6E95">
        <w:t>ervice</w:t>
      </w:r>
      <w:r>
        <w:t>s,</w:t>
      </w:r>
      <w:r w:rsidRPr="00DA6E95">
        <w:t xml:space="preserve"> following an out-of-hospital cardiac arrest of presumed cardiac origin, where the arrest was bystander witnessed</w:t>
      </w:r>
      <w:r>
        <w:t>,</w:t>
      </w:r>
      <w:r w:rsidRPr="00DA6E95">
        <w:t xml:space="preserve"> and the initial rhythm was </w:t>
      </w:r>
      <w:r w:rsidRPr="00444612">
        <w:rPr>
          <w:rFonts w:cs="Arial"/>
        </w:rPr>
        <w:t>Ventricular Fibrillation or Ventricular Tachycardia</w:t>
      </w:r>
      <w:r>
        <w:rPr>
          <w:rFonts w:cs="Arial"/>
        </w:rPr>
        <w:t>.</w:t>
      </w:r>
      <w:r>
        <w:rPr>
          <w:rStyle w:val="FootnoteReference"/>
          <w:rFonts w:cs="Arial"/>
        </w:rPr>
        <w:footnoteReference w:id="8"/>
      </w:r>
    </w:p>
    <w:p w:rsidR="003A0D0C" w:rsidRDefault="002221E6" w:rsidP="003A0D0C">
      <w:pPr>
        <w:rPr>
          <w:rFonts w:cs="Arial"/>
        </w:rPr>
      </w:pPr>
      <w:r>
        <w:rPr>
          <w:rFonts w:cs="Arial"/>
        </w:rPr>
        <w:lastRenderedPageBreak/>
        <w:t>The Utstein group therefore have a better chance of survival. There are generally fewer than 50 such patients in each trust each month, so percentages calculated</w:t>
      </w:r>
      <w:r w:rsidR="00D124B3">
        <w:rPr>
          <w:rFonts w:cs="Arial"/>
        </w:rPr>
        <w:t xml:space="preserve"> for them can vary considerably, and changes are often not statistically significant.</w:t>
      </w:r>
    </w:p>
    <w:p w:rsidR="0032599C" w:rsidRDefault="0032599C" w:rsidP="0032599C">
      <w:r>
        <w:rPr>
          <w:rFonts w:cs="Arial"/>
        </w:rPr>
        <w:t>Of</w:t>
      </w:r>
      <w:r w:rsidRPr="00BF249B">
        <w:rPr>
          <w:rFonts w:cs="Arial"/>
        </w:rPr>
        <w:t xml:space="preserve"> </w:t>
      </w:r>
      <w:r>
        <w:rPr>
          <w:rFonts w:cs="Arial"/>
        </w:rPr>
        <w:t xml:space="preserve">the </w:t>
      </w:r>
      <w:r w:rsidRPr="00745962">
        <w:rPr>
          <w:rFonts w:cs="Arial"/>
        </w:rPr>
        <w:t>309</w:t>
      </w:r>
      <w:r w:rsidRPr="00BF249B">
        <w:rPr>
          <w:rFonts w:cs="Arial"/>
        </w:rPr>
        <w:t xml:space="preserve"> </w:t>
      </w:r>
      <w:r>
        <w:rPr>
          <w:rFonts w:cs="Arial"/>
        </w:rPr>
        <w:t>Utstein</w:t>
      </w:r>
      <w:r w:rsidRPr="00BF249B">
        <w:rPr>
          <w:rFonts w:cs="Arial"/>
        </w:rPr>
        <w:t xml:space="preserve"> patients </w:t>
      </w:r>
      <w:r>
        <w:t>in England</w:t>
      </w:r>
      <w:r w:rsidRPr="00BF249B">
        <w:rPr>
          <w:rFonts w:cs="Arial"/>
        </w:rPr>
        <w:t xml:space="preserve"> in </w:t>
      </w:r>
      <w:r w:rsidRPr="00745962">
        <w:rPr>
          <w:rFonts w:cs="Arial"/>
        </w:rPr>
        <w:t>November</w:t>
      </w:r>
      <w:r w:rsidRPr="00BF249B">
        <w:rPr>
          <w:rFonts w:cs="Arial"/>
        </w:rPr>
        <w:t xml:space="preserve"> 2014, </w:t>
      </w:r>
      <w:r w:rsidR="002221E6">
        <w:rPr>
          <w:rFonts w:cs="Arial"/>
        </w:rPr>
        <w:t>51</w:t>
      </w:r>
      <w:r w:rsidRPr="00745962">
        <w:rPr>
          <w:rFonts w:cs="Arial"/>
        </w:rPr>
        <w:t xml:space="preserve">% </w:t>
      </w:r>
      <w:r w:rsidRPr="00BF249B">
        <w:rPr>
          <w:rFonts w:cs="Arial"/>
        </w:rPr>
        <w:t xml:space="preserve">had </w:t>
      </w:r>
      <w:r>
        <w:rPr>
          <w:rFonts w:cs="Arial"/>
        </w:rPr>
        <w:t>ROSC</w:t>
      </w:r>
      <w:r w:rsidRPr="00BF249B">
        <w:rPr>
          <w:rFonts w:cs="Arial"/>
        </w:rPr>
        <w:t xml:space="preserve"> on arrival at hospital</w:t>
      </w:r>
      <w:r>
        <w:rPr>
          <w:rFonts w:cs="Arial"/>
        </w:rPr>
        <w:t xml:space="preserve">, not significantly different to the </w:t>
      </w:r>
      <w:r w:rsidRPr="00BF249B">
        <w:rPr>
          <w:rFonts w:cs="Arial"/>
        </w:rPr>
        <w:t>average for the year ending September 2014</w:t>
      </w:r>
      <w:r>
        <w:rPr>
          <w:rFonts w:cs="Arial"/>
        </w:rPr>
        <w:t xml:space="preserve"> of </w:t>
      </w:r>
      <w:r w:rsidR="002221E6">
        <w:rPr>
          <w:rFonts w:cs="Arial"/>
        </w:rPr>
        <w:t>48</w:t>
      </w:r>
      <w:r w:rsidRPr="00BF249B">
        <w:rPr>
          <w:rFonts w:cs="Arial"/>
        </w:rPr>
        <w:t>%.</w:t>
      </w:r>
      <w:r>
        <w:rPr>
          <w:rFonts w:cs="Arial"/>
        </w:rPr>
        <w:t xml:space="preserve"> </w:t>
      </w:r>
      <w:r>
        <w:t>The largest</w:t>
      </w:r>
      <w:r>
        <w:rPr>
          <w:vertAlign w:val="superscript"/>
        </w:rPr>
        <w:t xml:space="preserve"> </w:t>
      </w:r>
      <w:r>
        <w:t xml:space="preserve">proportion in </w:t>
      </w:r>
      <w:r w:rsidRPr="00BF249B">
        <w:rPr>
          <w:rFonts w:cs="Arial"/>
        </w:rPr>
        <w:t xml:space="preserve">the month of </w:t>
      </w:r>
      <w:r w:rsidR="002221E6">
        <w:rPr>
          <w:rFonts w:cs="Arial"/>
        </w:rPr>
        <w:t>November</w:t>
      </w:r>
      <w:r w:rsidRPr="00BF249B">
        <w:rPr>
          <w:rFonts w:cs="Arial"/>
        </w:rPr>
        <w:t xml:space="preserve"> 2014</w:t>
      </w:r>
      <w:r>
        <w:rPr>
          <w:rFonts w:cs="Arial"/>
        </w:rPr>
        <w:t xml:space="preserve"> </w:t>
      </w:r>
      <w:r>
        <w:t xml:space="preserve">was </w:t>
      </w:r>
      <w:r w:rsidR="002221E6">
        <w:t>64</w:t>
      </w:r>
      <w:r w:rsidRPr="00745962">
        <w:t xml:space="preserve">% </w:t>
      </w:r>
      <w:r>
        <w:t xml:space="preserve">for </w:t>
      </w:r>
      <w:r w:rsidR="002221E6">
        <w:t>South Central</w:t>
      </w:r>
      <w:r>
        <w:t xml:space="preserve">, and the smallest was </w:t>
      </w:r>
      <w:r w:rsidR="002221E6">
        <w:t>35</w:t>
      </w:r>
      <w:r w:rsidRPr="00745962">
        <w:t>%</w:t>
      </w:r>
      <w:r w:rsidRPr="00EF3B4A">
        <w:t xml:space="preserve"> </w:t>
      </w:r>
      <w:r>
        <w:t xml:space="preserve">for </w:t>
      </w:r>
      <w:r w:rsidRPr="00745962">
        <w:t>East Midlands</w:t>
      </w:r>
      <w:r>
        <w:t>.</w:t>
      </w:r>
    </w:p>
    <w:p w:rsidR="003A0D0C" w:rsidRDefault="003A0D0C" w:rsidP="003A0D0C">
      <w:pPr>
        <w:pStyle w:val="Heading3"/>
      </w:pPr>
      <w:r>
        <w:t>B2</w:t>
      </w:r>
      <w:r>
        <w:tab/>
        <w:t xml:space="preserve">Cardiac arrest: survival to discharge (Figure </w:t>
      </w:r>
      <w:r w:rsidR="00D4605E">
        <w:t>6</w:t>
      </w:r>
      <w:r>
        <w:t>)</w:t>
      </w:r>
      <w:r w:rsidR="00D4605E" w:rsidRPr="00D4605E">
        <w:rPr>
          <w:noProof/>
        </w:rPr>
        <w:t xml:space="preserve"> </w:t>
      </w:r>
    </w:p>
    <w:p w:rsidR="0032599C" w:rsidRDefault="0032599C" w:rsidP="0032599C">
      <w:r>
        <w:t xml:space="preserve">The proportion of cardiac arrest patients in England discharged from hospital alive was </w:t>
      </w:r>
      <w:r w:rsidR="002221E6">
        <w:t>9</w:t>
      </w:r>
      <w:r>
        <w:t xml:space="preserve">% in </w:t>
      </w:r>
      <w:r w:rsidRPr="00FF2701">
        <w:t>November</w:t>
      </w:r>
      <w:r>
        <w:t xml:space="preserve"> 2014, </w:t>
      </w:r>
      <w:r w:rsidR="002221E6">
        <w:t xml:space="preserve">the same as </w:t>
      </w:r>
      <w:r>
        <w:t>the average for the year ending September 2014. The largest</w:t>
      </w:r>
      <w:r>
        <w:rPr>
          <w:vertAlign w:val="superscript"/>
        </w:rPr>
        <w:t xml:space="preserve"> </w:t>
      </w:r>
      <w:r>
        <w:t>proportion for survival to discharge</w:t>
      </w:r>
      <w:r w:rsidRPr="0066320C">
        <w:rPr>
          <w:rFonts w:cs="Arial"/>
        </w:rPr>
        <w:t xml:space="preserve"> </w:t>
      </w:r>
      <w:r>
        <w:rPr>
          <w:rFonts w:cs="Arial"/>
        </w:rPr>
        <w:t xml:space="preserve">in </w:t>
      </w:r>
      <w:r w:rsidRPr="00BF249B">
        <w:rPr>
          <w:rFonts w:cs="Arial"/>
        </w:rPr>
        <w:t xml:space="preserve">the month of </w:t>
      </w:r>
      <w:r w:rsidR="002221E6" w:rsidRPr="00FF2701">
        <w:t>November</w:t>
      </w:r>
      <w:r w:rsidR="002221E6">
        <w:t xml:space="preserve"> </w:t>
      </w:r>
      <w:r w:rsidRPr="00BF249B">
        <w:rPr>
          <w:rFonts w:cs="Arial"/>
        </w:rPr>
        <w:t>2014</w:t>
      </w:r>
      <w:r>
        <w:t xml:space="preserve"> was </w:t>
      </w:r>
      <w:r w:rsidR="002221E6">
        <w:t>16</w:t>
      </w:r>
      <w:r w:rsidRPr="005A5CE2">
        <w:t xml:space="preserve">% </w:t>
      </w:r>
      <w:r>
        <w:t>for South Central, and the smallest</w:t>
      </w:r>
      <w:r w:rsidR="003C24D1" w:rsidRPr="00E53110">
        <w:rPr>
          <w:sz w:val="22"/>
          <w:vertAlign w:val="superscript"/>
        </w:rPr>
        <w:footnoteReference w:id="9"/>
      </w:r>
      <w:r>
        <w:t xml:space="preserve"> was </w:t>
      </w:r>
      <w:r w:rsidR="002221E6">
        <w:t>4</w:t>
      </w:r>
      <w:r w:rsidRPr="005A5CE2">
        <w:t>%</w:t>
      </w:r>
      <w:r>
        <w:t xml:space="preserve"> for </w:t>
      </w:r>
      <w:r w:rsidR="002221E6">
        <w:t xml:space="preserve">North </w:t>
      </w:r>
      <w:r w:rsidRPr="00AF0B61">
        <w:t>East</w:t>
      </w:r>
      <w:r>
        <w:t>.</w:t>
      </w:r>
    </w:p>
    <w:p w:rsidR="00D124B3" w:rsidRDefault="0032599C" w:rsidP="0032599C">
      <w:r>
        <w:t xml:space="preserve">For the Utstein group in </w:t>
      </w:r>
      <w:r w:rsidRPr="004C6F83">
        <w:t xml:space="preserve">November </w:t>
      </w:r>
      <w:r>
        <w:t xml:space="preserve">2014, survival to discharge was </w:t>
      </w:r>
      <w:r w:rsidR="002221E6">
        <w:t>24</w:t>
      </w:r>
      <w:r w:rsidRPr="004C6F83">
        <w:t>%</w:t>
      </w:r>
      <w:r>
        <w:t xml:space="preserve"> in England, </w:t>
      </w:r>
      <w:r w:rsidR="002221E6">
        <w:t xml:space="preserve">not significantly different </w:t>
      </w:r>
      <w:r>
        <w:t xml:space="preserve">to the </w:t>
      </w:r>
      <w:r w:rsidRPr="002A2463">
        <w:t xml:space="preserve">average of </w:t>
      </w:r>
      <w:r w:rsidRPr="00F42D71">
        <w:t>26%</w:t>
      </w:r>
      <w:r>
        <w:t xml:space="preserve"> for the year ending September 2014. The largest proportion in </w:t>
      </w:r>
      <w:r w:rsidRPr="00BF249B">
        <w:rPr>
          <w:rFonts w:cs="Arial"/>
        </w:rPr>
        <w:t xml:space="preserve">the month of </w:t>
      </w:r>
      <w:r w:rsidRPr="004C6F83">
        <w:rPr>
          <w:rFonts w:cs="Arial"/>
        </w:rPr>
        <w:t xml:space="preserve">November </w:t>
      </w:r>
      <w:r w:rsidRPr="00BF249B">
        <w:rPr>
          <w:rFonts w:cs="Arial"/>
        </w:rPr>
        <w:t>2014</w:t>
      </w:r>
      <w:r>
        <w:t xml:space="preserve"> was </w:t>
      </w:r>
      <w:r w:rsidR="002221E6">
        <w:t>54</w:t>
      </w:r>
      <w:r w:rsidRPr="004C6F83">
        <w:t xml:space="preserve">% </w:t>
      </w:r>
      <w:r>
        <w:t xml:space="preserve">for </w:t>
      </w:r>
      <w:r w:rsidRPr="00F23D7E">
        <w:t xml:space="preserve">South </w:t>
      </w:r>
      <w:r>
        <w:t>Central, and the smallest</w:t>
      </w:r>
      <w:r w:rsidR="003C24D1" w:rsidRPr="003C24D1">
        <w:rPr>
          <w:vertAlign w:val="superscript"/>
        </w:rPr>
        <w:t>9</w:t>
      </w:r>
      <w:r>
        <w:t xml:space="preserve"> was </w:t>
      </w:r>
      <w:r w:rsidR="002221E6">
        <w:t>7</w:t>
      </w:r>
      <w:r w:rsidRPr="004C6F83">
        <w:t xml:space="preserve">% </w:t>
      </w:r>
      <w:r>
        <w:t xml:space="preserve">for West Midlands. </w:t>
      </w:r>
    </w:p>
    <w:p w:rsidR="0032599C" w:rsidRDefault="00D124B3" w:rsidP="0032599C">
      <w:r>
        <w:rPr>
          <w:noProof/>
        </w:rPr>
        <w:drawing>
          <wp:inline distT="0" distB="0" distL="0" distR="0" wp14:anchorId="3130C194">
            <wp:extent cx="5669915" cy="3523615"/>
            <wp:effectExtent l="0" t="0" r="6985" b="63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69915" cy="3523615"/>
                    </a:xfrm>
                    <a:prstGeom prst="rect">
                      <a:avLst/>
                    </a:prstGeom>
                    <a:noFill/>
                  </pic:spPr>
                </pic:pic>
              </a:graphicData>
            </a:graphic>
          </wp:inline>
        </w:drawing>
      </w:r>
    </w:p>
    <w:p w:rsidR="00D124B3" w:rsidRDefault="00D124B3" w:rsidP="003A0D0C">
      <w:pPr>
        <w:pStyle w:val="Heading3"/>
      </w:pPr>
    </w:p>
    <w:p w:rsidR="003A0D0C" w:rsidRDefault="003A0D0C" w:rsidP="003A0D0C">
      <w:pPr>
        <w:pStyle w:val="Heading3"/>
      </w:pPr>
      <w:r>
        <w:t>B3</w:t>
      </w:r>
      <w:r>
        <w:tab/>
      </w:r>
      <w:r w:rsidRPr="00DA6E95">
        <w:t>ST-Elevation myocardial infarction</w:t>
      </w:r>
      <w:r w:rsidR="00CD037E">
        <w:t xml:space="preserve"> </w:t>
      </w:r>
      <w:r>
        <w:t xml:space="preserve">(Figure </w:t>
      </w:r>
      <w:r w:rsidR="00CD037E">
        <w:t>7</w:t>
      </w:r>
      <w:r>
        <w:t>)</w:t>
      </w:r>
    </w:p>
    <w:p w:rsidR="003A0D0C" w:rsidRDefault="003A0D0C" w:rsidP="003A0D0C">
      <w:r>
        <w:rPr>
          <w:rFonts w:cs="Arial"/>
        </w:rPr>
        <w:t>ST-</w:t>
      </w:r>
      <w:r w:rsidRPr="002C522F">
        <w:rPr>
          <w:rFonts w:cs="Arial"/>
        </w:rPr>
        <w:t>segment elevation myocardial infarction</w:t>
      </w:r>
      <w:r>
        <w:rPr>
          <w:rFonts w:cs="Arial"/>
        </w:rPr>
        <w:t xml:space="preserve"> </w:t>
      </w:r>
      <w:r w:rsidR="00CD037E">
        <w:rPr>
          <w:rFonts w:cs="Arial"/>
        </w:rPr>
        <w:t xml:space="preserve">(STEMI) </w:t>
      </w:r>
      <w:r w:rsidRPr="002C522F">
        <w:rPr>
          <w:rFonts w:cs="Arial"/>
        </w:rPr>
        <w:t>is a type of heart</w:t>
      </w:r>
      <w:r>
        <w:rPr>
          <w:rFonts w:cs="Arial"/>
        </w:rPr>
        <w:t xml:space="preserve"> </w:t>
      </w:r>
      <w:r w:rsidRPr="002C522F">
        <w:rPr>
          <w:rFonts w:cs="Arial"/>
        </w:rPr>
        <w:t>attack</w:t>
      </w:r>
      <w:r>
        <w:rPr>
          <w:rFonts w:cs="Arial"/>
        </w:rPr>
        <w:t xml:space="preserve">, </w:t>
      </w:r>
      <w:r w:rsidRPr="002C522F">
        <w:rPr>
          <w:rFonts w:cs="Arial"/>
        </w:rPr>
        <w:t>determined by an electrocardiogram (ECG) test.</w:t>
      </w:r>
      <w:r>
        <w:rPr>
          <w:rFonts w:cs="Arial"/>
        </w:rPr>
        <w:t xml:space="preserve"> Early access to reperfusion,</w:t>
      </w:r>
      <w:r w:rsidRPr="002C522F">
        <w:rPr>
          <w:rFonts w:cs="Arial"/>
        </w:rPr>
        <w:t xml:space="preserve"> where blocked arteries are op</w:t>
      </w:r>
      <w:r>
        <w:rPr>
          <w:rFonts w:cs="Arial"/>
        </w:rPr>
        <w:t xml:space="preserve">ened to re-establish blood flow, </w:t>
      </w:r>
      <w:r w:rsidRPr="002C522F">
        <w:rPr>
          <w:rFonts w:cs="Arial"/>
        </w:rPr>
        <w:t>and other assessment and care interventions</w:t>
      </w:r>
      <w:r>
        <w:rPr>
          <w:rFonts w:cs="Arial"/>
        </w:rPr>
        <w:t>,</w:t>
      </w:r>
      <w:r w:rsidRPr="002C522F">
        <w:rPr>
          <w:rFonts w:cs="Arial"/>
        </w:rPr>
        <w:t xml:space="preserve"> are associated with reductions in STEMI</w:t>
      </w:r>
      <w:r>
        <w:rPr>
          <w:rFonts w:cs="Arial"/>
        </w:rPr>
        <w:t xml:space="preserve"> </w:t>
      </w:r>
      <w:r w:rsidRPr="002C522F">
        <w:rPr>
          <w:rFonts w:cs="Arial"/>
        </w:rPr>
        <w:t>mortality and morbidity.</w:t>
      </w:r>
    </w:p>
    <w:p w:rsidR="0032599C" w:rsidRDefault="0032599C" w:rsidP="0032599C">
      <w:r>
        <w:t xml:space="preserve">In </w:t>
      </w:r>
      <w:r w:rsidRPr="00432C67">
        <w:t>November</w:t>
      </w:r>
      <w:r>
        <w:t xml:space="preserve"> 2014, of </w:t>
      </w:r>
      <w:r w:rsidRPr="00432C67">
        <w:t xml:space="preserve">1,400 </w:t>
      </w:r>
      <w:r w:rsidRPr="00DA6E95">
        <w:t>patients with an acute STEMI</w:t>
      </w:r>
      <w:r w:rsidRPr="00940A61">
        <w:t xml:space="preserve"> </w:t>
      </w:r>
      <w:r>
        <w:t xml:space="preserve">in England, </w:t>
      </w:r>
      <w:r w:rsidRPr="00432C67">
        <w:t xml:space="preserve">1,109 </w:t>
      </w:r>
      <w:r>
        <w:t>(</w:t>
      </w:r>
      <w:r w:rsidRPr="00432C67">
        <w:t>79%</w:t>
      </w:r>
      <w:r>
        <w:t>)</w:t>
      </w:r>
      <w:r w:rsidRPr="00432C67">
        <w:t xml:space="preserve"> </w:t>
      </w:r>
      <w:r w:rsidRPr="00DA6E95">
        <w:t>received the appropriate care bundle</w:t>
      </w:r>
      <w:r>
        <w:t>,</w:t>
      </w:r>
      <w:r>
        <w:rPr>
          <w:rStyle w:val="FootnoteReference"/>
        </w:rPr>
        <w:footnoteReference w:id="10"/>
      </w:r>
      <w:r>
        <w:t xml:space="preserve"> similar to the proportion of </w:t>
      </w:r>
      <w:r w:rsidRPr="006A341E">
        <w:t xml:space="preserve">80% </w:t>
      </w:r>
      <w:r>
        <w:t>for</w:t>
      </w:r>
      <w:r w:rsidRPr="004F37AE">
        <w:t xml:space="preserve"> the year ending September 2014</w:t>
      </w:r>
      <w:r>
        <w:t xml:space="preserve">. </w:t>
      </w:r>
      <w:r w:rsidRPr="008132F5">
        <w:t xml:space="preserve">The largest proportion </w:t>
      </w:r>
      <w:r>
        <w:t xml:space="preserve">for the month of </w:t>
      </w:r>
      <w:r w:rsidRPr="00432C67">
        <w:t xml:space="preserve">November </w:t>
      </w:r>
      <w:r w:rsidRPr="00C57812">
        <w:t>2014</w:t>
      </w:r>
      <w:r>
        <w:t xml:space="preserve"> </w:t>
      </w:r>
      <w:r w:rsidRPr="008132F5">
        <w:t xml:space="preserve">was </w:t>
      </w:r>
      <w:r w:rsidR="00CD037E">
        <w:t>90</w:t>
      </w:r>
      <w:r w:rsidRPr="00432C67">
        <w:t xml:space="preserve">% </w:t>
      </w:r>
      <w:r>
        <w:t>for</w:t>
      </w:r>
      <w:r w:rsidRPr="008132F5">
        <w:t xml:space="preserve"> </w:t>
      </w:r>
      <w:r>
        <w:t xml:space="preserve">North West, and the </w:t>
      </w:r>
      <w:r w:rsidRPr="008132F5">
        <w:t>smallest</w:t>
      </w:r>
      <w:r>
        <w:rPr>
          <w:vertAlign w:val="superscript"/>
        </w:rPr>
        <w:t xml:space="preserve"> </w:t>
      </w:r>
      <w:r w:rsidRPr="008132F5">
        <w:t xml:space="preserve">was </w:t>
      </w:r>
      <w:r w:rsidR="00CD037E">
        <w:t>69</w:t>
      </w:r>
      <w:r w:rsidRPr="00432C67">
        <w:t xml:space="preserve">% </w:t>
      </w:r>
      <w:r>
        <w:t>for</w:t>
      </w:r>
      <w:r w:rsidR="00CD037E">
        <w:t xml:space="preserve"> South Central</w:t>
      </w:r>
      <w:r w:rsidRPr="008132F5">
        <w:t>.</w:t>
      </w:r>
    </w:p>
    <w:p w:rsidR="0032599C" w:rsidRDefault="0032599C" w:rsidP="0032599C">
      <w:r>
        <w:t xml:space="preserve">Of </w:t>
      </w:r>
      <w:r w:rsidRPr="00433A74">
        <w:t xml:space="preserve">951 </w:t>
      </w:r>
      <w:r>
        <w:t xml:space="preserve">STEMI patients </w:t>
      </w:r>
      <w:r w:rsidRPr="00DA6E95">
        <w:t>receiv</w:t>
      </w:r>
      <w:r>
        <w:t xml:space="preserve">ing </w:t>
      </w:r>
      <w:r w:rsidRPr="00DA6E95">
        <w:t>primary angioplasty</w:t>
      </w:r>
      <w:r w:rsidRPr="00940A61">
        <w:t xml:space="preserve"> </w:t>
      </w:r>
      <w:r>
        <w:t xml:space="preserve">in </w:t>
      </w:r>
      <w:r w:rsidRPr="00433A74">
        <w:t>November</w:t>
      </w:r>
      <w:r>
        <w:t xml:space="preserve"> 2014 in England</w:t>
      </w:r>
      <w:r w:rsidRPr="00DA6E95">
        <w:t xml:space="preserve">, </w:t>
      </w:r>
      <w:r w:rsidRPr="00433A74">
        <w:t>843</w:t>
      </w:r>
      <w:r w:rsidRPr="00210E7E">
        <w:t xml:space="preserve"> </w:t>
      </w:r>
      <w:r>
        <w:t>(</w:t>
      </w:r>
      <w:r w:rsidR="00CD037E">
        <w:t>89</w:t>
      </w:r>
      <w:r w:rsidRPr="00433A74">
        <w:t>%</w:t>
      </w:r>
      <w:r>
        <w:t xml:space="preserve">) of them </w:t>
      </w:r>
      <w:r w:rsidRPr="00DA6E95">
        <w:t xml:space="preserve">received </w:t>
      </w:r>
      <w:r>
        <w:t xml:space="preserve">it </w:t>
      </w:r>
      <w:r w:rsidRPr="00DA6E95">
        <w:t>within 150 minutes of the call being connected to the ambulance service</w:t>
      </w:r>
      <w:r>
        <w:t xml:space="preserve">, </w:t>
      </w:r>
      <w:r w:rsidRPr="00FD58E1">
        <w:t xml:space="preserve">similar to </w:t>
      </w:r>
      <w:r>
        <w:t xml:space="preserve">the average for the </w:t>
      </w:r>
      <w:r w:rsidRPr="00320970">
        <w:t>year ending September 2014</w:t>
      </w:r>
      <w:r>
        <w:t xml:space="preserve"> of  </w:t>
      </w:r>
      <w:r w:rsidR="00CD037E">
        <w:t>87</w:t>
      </w:r>
      <w:r w:rsidRPr="00210E7E">
        <w:t>%</w:t>
      </w:r>
      <w:r>
        <w:t>.</w:t>
      </w:r>
      <w:r w:rsidRPr="00320970">
        <w:t xml:space="preserve"> </w:t>
      </w:r>
      <w:r>
        <w:t>London had the largest</w:t>
      </w:r>
      <w:r>
        <w:rPr>
          <w:vertAlign w:val="superscript"/>
        </w:rPr>
        <w:t xml:space="preserve"> </w:t>
      </w:r>
      <w:r>
        <w:t xml:space="preserve">proportion for the month of </w:t>
      </w:r>
      <w:r w:rsidR="00CD037E" w:rsidRPr="00433A74">
        <w:t>November</w:t>
      </w:r>
      <w:r w:rsidR="00CD037E">
        <w:t xml:space="preserve"> </w:t>
      </w:r>
      <w:r>
        <w:t xml:space="preserve">2014, with </w:t>
      </w:r>
      <w:r w:rsidRPr="00433A74">
        <w:t>100%</w:t>
      </w:r>
      <w:r>
        <w:t>, and the smallest</w:t>
      </w:r>
      <w:r w:rsidR="00D124B3">
        <w:rPr>
          <w:rStyle w:val="FootnoteReference"/>
          <w:rFonts w:cs="Arial"/>
        </w:rPr>
        <w:footnoteReference w:id="11"/>
      </w:r>
      <w:r w:rsidR="00CD037E">
        <w:t xml:space="preserve"> </w:t>
      </w:r>
      <w:r>
        <w:t xml:space="preserve">was </w:t>
      </w:r>
      <w:r w:rsidRPr="00433A74">
        <w:t xml:space="preserve">75% </w:t>
      </w:r>
      <w:r>
        <w:t>for South Western.</w:t>
      </w:r>
    </w:p>
    <w:p w:rsidR="002221E6" w:rsidRPr="008132F5" w:rsidRDefault="00CD037E" w:rsidP="0032599C">
      <w:r>
        <w:rPr>
          <w:noProof/>
        </w:rPr>
        <w:drawing>
          <wp:inline distT="0" distB="0" distL="0" distR="0" wp14:anchorId="4EE874E9">
            <wp:extent cx="5602605" cy="364553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02605" cy="3645535"/>
                    </a:xfrm>
                    <a:prstGeom prst="rect">
                      <a:avLst/>
                    </a:prstGeom>
                    <a:noFill/>
                  </pic:spPr>
                </pic:pic>
              </a:graphicData>
            </a:graphic>
          </wp:inline>
        </w:drawing>
      </w:r>
    </w:p>
    <w:p w:rsidR="00D124B3" w:rsidRDefault="00D124B3" w:rsidP="00D124B3">
      <w:pPr>
        <w:pStyle w:val="NoSpacing"/>
      </w:pPr>
    </w:p>
    <w:p w:rsidR="003A0D0C" w:rsidRDefault="003A0D0C" w:rsidP="003A0D0C">
      <w:pPr>
        <w:pStyle w:val="Heading3"/>
      </w:pPr>
      <w:r>
        <w:lastRenderedPageBreak/>
        <w:t>B4</w:t>
      </w:r>
      <w:r>
        <w:tab/>
        <w:t xml:space="preserve">Stroke (Figure </w:t>
      </w:r>
      <w:r w:rsidR="00145BE4">
        <w:t>8</w:t>
      </w:r>
      <w:r>
        <w:t>)</w:t>
      </w:r>
    </w:p>
    <w:p w:rsidR="003A0D0C" w:rsidRDefault="003A0D0C" w:rsidP="003A0D0C">
      <w:pPr>
        <w:pStyle w:val="NoSpacing"/>
      </w:pPr>
      <w:r>
        <w:t>The FAST procedure helps assess whether someone has suffered a stroke:</w:t>
      </w:r>
    </w:p>
    <w:p w:rsidR="003A0D0C" w:rsidRDefault="003A0D0C" w:rsidP="003A0D0C">
      <w:pPr>
        <w:pStyle w:val="ListBullet"/>
      </w:pPr>
      <w:r w:rsidRPr="002E6965">
        <w:rPr>
          <w:b/>
        </w:rPr>
        <w:t>F</w:t>
      </w:r>
      <w:r>
        <w:t>acial weakness: can the person smile? Has their mouth or eye drooped?</w:t>
      </w:r>
    </w:p>
    <w:p w:rsidR="003A0D0C" w:rsidRDefault="003A0D0C" w:rsidP="003A0D0C">
      <w:pPr>
        <w:pStyle w:val="ListBullet"/>
      </w:pPr>
      <w:r w:rsidRPr="002E6965">
        <w:rPr>
          <w:b/>
        </w:rPr>
        <w:t>A</w:t>
      </w:r>
      <w:r>
        <w:t>rm weakness: can the person raise both arms?</w:t>
      </w:r>
    </w:p>
    <w:p w:rsidR="003A0D0C" w:rsidRDefault="003A0D0C" w:rsidP="003A0D0C">
      <w:pPr>
        <w:pStyle w:val="ListBullet"/>
      </w:pPr>
      <w:r w:rsidRPr="002E6965">
        <w:rPr>
          <w:b/>
        </w:rPr>
        <w:t>S</w:t>
      </w:r>
      <w:r>
        <w:t>peech problems: can the person speak clearly and understand what you say?</w:t>
      </w:r>
    </w:p>
    <w:p w:rsidR="003A0D0C" w:rsidRDefault="003A0D0C" w:rsidP="003A0D0C">
      <w:pPr>
        <w:pStyle w:val="ListBullet"/>
      </w:pPr>
      <w:r w:rsidRPr="002E6965">
        <w:rPr>
          <w:b/>
        </w:rPr>
        <w:t>T</w:t>
      </w:r>
      <w:r>
        <w:t>ime to call 999 for an ambulance if you spot any one of these signs.</w:t>
      </w:r>
    </w:p>
    <w:p w:rsidR="00CD037E" w:rsidRDefault="0032599C" w:rsidP="0032599C">
      <w:r>
        <w:t xml:space="preserve">In </w:t>
      </w:r>
      <w:r w:rsidRPr="00215FD8">
        <w:t>November</w:t>
      </w:r>
      <w:r>
        <w:t xml:space="preserve"> 2014, of </w:t>
      </w:r>
      <w:r w:rsidRPr="001067D4">
        <w:t>3,177</w:t>
      </w:r>
      <w:r w:rsidRPr="00417AB4">
        <w:t xml:space="preserve"> </w:t>
      </w:r>
      <w:r>
        <w:t>FAST positive patients</w:t>
      </w:r>
      <w:r w:rsidRPr="00940A61">
        <w:t xml:space="preserve"> </w:t>
      </w:r>
      <w:r>
        <w:t xml:space="preserve">in England, assessed face to face, and potentially eligible for stroke thrombolysis within agreed local guidelines, </w:t>
      </w:r>
      <w:r w:rsidRPr="001067D4">
        <w:t xml:space="preserve">1,797 </w:t>
      </w:r>
      <w:r>
        <w:t>(</w:t>
      </w:r>
      <w:r w:rsidR="00CD037E">
        <w:t>57</w:t>
      </w:r>
      <w:r w:rsidRPr="001067D4">
        <w:t>%</w:t>
      </w:r>
      <w:r>
        <w:t>) arrived at hospitals with</w:t>
      </w:r>
      <w:r w:rsidRPr="00DA6E95">
        <w:t xml:space="preserve"> a hyperacute stroke unit within 60 minutes</w:t>
      </w:r>
      <w:r>
        <w:t xml:space="preserve"> of an emergency call connecting to the ambulance service.</w:t>
      </w:r>
    </w:p>
    <w:p w:rsidR="00CD037E" w:rsidRDefault="00CD037E" w:rsidP="0032599C">
      <w:r>
        <w:t xml:space="preserve">This was the lowest figure since the time series began, and significantly less than the average </w:t>
      </w:r>
      <w:r w:rsidR="0032599C">
        <w:t xml:space="preserve">for the year ending September 2014 </w:t>
      </w:r>
      <w:r>
        <w:t>of 62</w:t>
      </w:r>
      <w:r w:rsidR="0032599C" w:rsidRPr="00210E7E">
        <w:t>%</w:t>
      </w:r>
      <w:r w:rsidR="0032599C">
        <w:t>.</w:t>
      </w:r>
    </w:p>
    <w:p w:rsidR="0032599C" w:rsidRDefault="00D124B3" w:rsidP="0032599C">
      <w:r>
        <w:rPr>
          <w:noProof/>
        </w:rPr>
        <w:drawing>
          <wp:inline distT="0" distB="0" distL="0" distR="0" wp14:anchorId="2F5067BF">
            <wp:extent cx="5663565" cy="3596640"/>
            <wp:effectExtent l="0" t="0" r="0" b="381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63565" cy="3596640"/>
                    </a:xfrm>
                    <a:prstGeom prst="rect">
                      <a:avLst/>
                    </a:prstGeom>
                    <a:noFill/>
                  </pic:spPr>
                </pic:pic>
              </a:graphicData>
            </a:graphic>
          </wp:inline>
        </w:drawing>
      </w:r>
    </w:p>
    <w:p w:rsidR="0032599C" w:rsidRDefault="0032599C" w:rsidP="0032599C">
      <w:r>
        <w:t>The largest proportion in the month of</w:t>
      </w:r>
      <w:r w:rsidRPr="00B009BE">
        <w:t xml:space="preserve"> November </w:t>
      </w:r>
      <w:r>
        <w:t xml:space="preserve">2014 was </w:t>
      </w:r>
      <w:r w:rsidR="00CD037E">
        <w:t>68</w:t>
      </w:r>
      <w:r w:rsidRPr="00B009BE">
        <w:t xml:space="preserve">% </w:t>
      </w:r>
      <w:r>
        <w:t>for North East, and the smallest</w:t>
      </w:r>
      <w:r w:rsidR="00CD037E">
        <w:rPr>
          <w:rStyle w:val="FootnoteReference"/>
          <w:rFonts w:cs="Arial"/>
        </w:rPr>
        <w:footnoteReference w:id="12"/>
      </w:r>
      <w:r>
        <w:t xml:space="preserve"> was </w:t>
      </w:r>
      <w:r w:rsidR="00CD037E">
        <w:t>45</w:t>
      </w:r>
      <w:r w:rsidRPr="00B009BE">
        <w:t xml:space="preserve">% </w:t>
      </w:r>
      <w:r>
        <w:t>for West Midlands.</w:t>
      </w:r>
    </w:p>
    <w:p w:rsidR="0032599C" w:rsidRDefault="0032599C" w:rsidP="0032599C">
      <w:bookmarkStart w:id="2" w:name="OLE_LINK3"/>
      <w:r>
        <w:t xml:space="preserve">There were </w:t>
      </w:r>
      <w:r w:rsidRPr="002502D1">
        <w:t xml:space="preserve">7,573 </w:t>
      </w:r>
      <w:r>
        <w:t>stroke patients</w:t>
      </w:r>
      <w:r w:rsidRPr="00940A61">
        <w:t xml:space="preserve"> </w:t>
      </w:r>
      <w:r>
        <w:t>assessed face to face</w:t>
      </w:r>
      <w:r w:rsidRPr="007920B1">
        <w:t xml:space="preserve"> </w:t>
      </w:r>
      <w:r>
        <w:t xml:space="preserve">in </w:t>
      </w:r>
      <w:r w:rsidRPr="00B009BE">
        <w:t>November</w:t>
      </w:r>
      <w:r>
        <w:t xml:space="preserve"> 2014</w:t>
      </w:r>
      <w:r w:rsidRPr="007920B1">
        <w:t xml:space="preserve"> </w:t>
      </w:r>
      <w:r>
        <w:t xml:space="preserve">in England, and </w:t>
      </w:r>
      <w:r w:rsidRPr="002502D1">
        <w:t xml:space="preserve">7,339 </w:t>
      </w:r>
      <w:r>
        <w:t>(</w:t>
      </w:r>
      <w:r w:rsidR="00CD037E">
        <w:t>97</w:t>
      </w:r>
      <w:r w:rsidRPr="002502D1">
        <w:t>%</w:t>
      </w:r>
      <w:r>
        <w:t>)</w:t>
      </w:r>
      <w:r w:rsidRPr="001A6875">
        <w:t xml:space="preserve"> </w:t>
      </w:r>
      <w:r>
        <w:t xml:space="preserve">received </w:t>
      </w:r>
      <w:r w:rsidRPr="00DA6E95">
        <w:t>the appropriate care bundle</w:t>
      </w:r>
      <w:r>
        <w:t xml:space="preserve">, the </w:t>
      </w:r>
      <w:r w:rsidR="00CD037E">
        <w:t xml:space="preserve">same </w:t>
      </w:r>
      <w:r w:rsidR="00D124B3">
        <w:t xml:space="preserve">proportion </w:t>
      </w:r>
      <w:r w:rsidR="00CD037E">
        <w:t xml:space="preserve">as the </w:t>
      </w:r>
      <w:r>
        <w:t xml:space="preserve">average for the year ending September 2014. </w:t>
      </w:r>
      <w:bookmarkEnd w:id="2"/>
      <w:r>
        <w:t xml:space="preserve">The largest proportion in the month of </w:t>
      </w:r>
      <w:r w:rsidRPr="002502D1">
        <w:t xml:space="preserve">November </w:t>
      </w:r>
      <w:r>
        <w:t xml:space="preserve">2014 was </w:t>
      </w:r>
      <w:r w:rsidR="00CD037E">
        <w:t>99</w:t>
      </w:r>
      <w:r w:rsidRPr="002502D1">
        <w:t xml:space="preserve">% </w:t>
      </w:r>
      <w:r>
        <w:t xml:space="preserve">for North West, and the smallest was </w:t>
      </w:r>
      <w:r w:rsidR="00CD037E">
        <w:t>93</w:t>
      </w:r>
      <w:r w:rsidRPr="002502D1">
        <w:t xml:space="preserve">% </w:t>
      </w:r>
      <w:r>
        <w:t xml:space="preserve">for </w:t>
      </w:r>
      <w:r w:rsidRPr="00D547A7">
        <w:t>West Midlands</w:t>
      </w:r>
      <w:r>
        <w:t>.</w:t>
      </w:r>
    </w:p>
    <w:p w:rsidR="003A0D0C" w:rsidRDefault="003A0D0C" w:rsidP="003A0D0C">
      <w:pPr>
        <w:pStyle w:val="Heading2"/>
      </w:pPr>
      <w:r>
        <w:lastRenderedPageBreak/>
        <w:t>C.</w:t>
      </w:r>
      <w:r>
        <w:tab/>
        <w:t>Further information on AQI</w:t>
      </w:r>
    </w:p>
    <w:p w:rsidR="003A0D0C" w:rsidRDefault="003A0D0C" w:rsidP="003A0D0C">
      <w:pPr>
        <w:pStyle w:val="Heading3"/>
      </w:pPr>
      <w:r>
        <w:t>C1</w:t>
      </w:r>
      <w:r>
        <w:tab/>
        <w:t>The AQI landing page and Quality Statement</w:t>
      </w:r>
    </w:p>
    <w:p w:rsidR="003A0D0C" w:rsidRDefault="003B72E1" w:rsidP="003A0D0C">
      <w:pPr>
        <w:rPr>
          <w:rFonts w:cs="Arial"/>
        </w:rPr>
      </w:pPr>
      <w:hyperlink r:id="rId18" w:history="1">
        <w:r w:rsidR="003A0D0C" w:rsidRPr="005D248D">
          <w:rPr>
            <w:rStyle w:val="Hyperlink"/>
            <w:rFonts w:cs="Arial"/>
          </w:rPr>
          <w:t>www.england.nhs.uk/statist</w:t>
        </w:r>
        <w:r w:rsidR="003A0D0C" w:rsidRPr="005D248D">
          <w:rPr>
            <w:rStyle w:val="Hyperlink"/>
            <w:rFonts w:cs="Arial"/>
          </w:rPr>
          <w:t>i</w:t>
        </w:r>
        <w:r w:rsidR="003A0D0C" w:rsidRPr="005D248D">
          <w:rPr>
            <w:rStyle w:val="Hyperlink"/>
            <w:rFonts w:cs="Arial"/>
          </w:rPr>
          <w:t>cs/statistical-work-areas/ambulance-quality-indicators</w:t>
        </w:r>
      </w:hyperlink>
      <w:r w:rsidR="003A0D0C">
        <w:rPr>
          <w:rFonts w:cs="Arial"/>
        </w:rPr>
        <w:t xml:space="preserve">, or </w:t>
      </w:r>
      <w:hyperlink r:id="rId19" w:history="1">
        <w:r w:rsidR="003A0D0C" w:rsidRPr="0088359D">
          <w:rPr>
            <w:rStyle w:val="Hyperlink"/>
            <w:rFonts w:cs="Arial"/>
          </w:rPr>
          <w:t>http://bit.ly/NH</w:t>
        </w:r>
        <w:r w:rsidR="003A0D0C" w:rsidRPr="0088359D">
          <w:rPr>
            <w:rStyle w:val="Hyperlink"/>
            <w:rFonts w:cs="Arial"/>
          </w:rPr>
          <w:t>S</w:t>
        </w:r>
        <w:r w:rsidR="003A0D0C" w:rsidRPr="0088359D">
          <w:rPr>
            <w:rStyle w:val="Hyperlink"/>
            <w:rFonts w:cs="Arial"/>
          </w:rPr>
          <w:t>AQI</w:t>
        </w:r>
      </w:hyperlink>
      <w:r w:rsidR="003A0D0C">
        <w:rPr>
          <w:rFonts w:cs="Arial"/>
        </w:rPr>
        <w:t xml:space="preserve">, is the </w:t>
      </w:r>
      <w:r w:rsidR="003A0D0C">
        <w:t xml:space="preserve">AQI </w:t>
      </w:r>
      <w:r w:rsidR="003A0D0C">
        <w:rPr>
          <w:rFonts w:cs="Arial"/>
        </w:rPr>
        <w:t>landing page, and it holds:</w:t>
      </w:r>
    </w:p>
    <w:p w:rsidR="003A0D0C" w:rsidRDefault="003A0D0C" w:rsidP="003A0D0C">
      <w:pPr>
        <w:pStyle w:val="ListBullet"/>
      </w:pPr>
      <w:r>
        <w:t>a</w:t>
      </w:r>
      <w:r w:rsidRPr="00875FD5">
        <w:t xml:space="preserve"> Quality Statement</w:t>
      </w:r>
      <w:r>
        <w:t xml:space="preserve"> for these statistics, which includes information on relevance, accuracy, timeliness, coherence, and user engagement</w:t>
      </w:r>
      <w:r w:rsidR="00145BE4">
        <w:t>;</w:t>
      </w:r>
    </w:p>
    <w:p w:rsidR="003A0D0C" w:rsidRDefault="003A0D0C" w:rsidP="003A0D0C">
      <w:pPr>
        <w:pStyle w:val="ListBullet"/>
      </w:pPr>
      <w:r>
        <w:t>the specification guidance for those who supply the data;</w:t>
      </w:r>
    </w:p>
    <w:p w:rsidR="003A0D0C" w:rsidRDefault="003A0D0C" w:rsidP="003A0D0C">
      <w:pPr>
        <w:pStyle w:val="ListBullet"/>
      </w:pPr>
      <w:r>
        <w:t>timetables for data collection and publication;</w:t>
      </w:r>
    </w:p>
    <w:p w:rsidR="003A0D0C" w:rsidRDefault="003A0D0C" w:rsidP="003A0D0C">
      <w:pPr>
        <w:pStyle w:val="ListBullet"/>
      </w:pPr>
      <w:r>
        <w:t xml:space="preserve">text files and </w:t>
      </w:r>
      <w:r w:rsidRPr="00875FD5">
        <w:t>time series spreadsheets</w:t>
      </w:r>
      <w:r>
        <w:t xml:space="preserve"> containing all </w:t>
      </w:r>
      <w:r w:rsidRPr="00875FD5">
        <w:t xml:space="preserve">data </w:t>
      </w:r>
      <w:r>
        <w:t xml:space="preserve">from </w:t>
      </w:r>
      <w:r w:rsidRPr="00875FD5">
        <w:t>April 2011</w:t>
      </w:r>
      <w:r>
        <w:t xml:space="preserve"> up to the latest month;</w:t>
      </w:r>
    </w:p>
    <w:p w:rsidR="003A0D0C" w:rsidRDefault="003A0D0C" w:rsidP="003A0D0C">
      <w:pPr>
        <w:pStyle w:val="ListBullet"/>
      </w:pPr>
      <w:r>
        <w:t xml:space="preserve">links to individual </w:t>
      </w:r>
      <w:r w:rsidR="00145BE4">
        <w:t xml:space="preserve">web </w:t>
      </w:r>
      <w:r>
        <w:t>pages for each financial year.</w:t>
      </w:r>
    </w:p>
    <w:p w:rsidR="003A0D0C" w:rsidRDefault="003A0D0C" w:rsidP="003A0D0C">
      <w:r>
        <w:t xml:space="preserve">The </w:t>
      </w:r>
      <w:r w:rsidR="00145BE4">
        <w:t xml:space="preserve">web </w:t>
      </w:r>
      <w:r>
        <w:t>pages for each financial year hold:</w:t>
      </w:r>
    </w:p>
    <w:p w:rsidR="003A0D0C" w:rsidRDefault="003A0D0C" w:rsidP="003A0D0C">
      <w:pPr>
        <w:pStyle w:val="ListBullet"/>
      </w:pPr>
      <w:r>
        <w:t>separate spreadsheets of each month’s data;</w:t>
      </w:r>
    </w:p>
    <w:p w:rsidR="003A0D0C" w:rsidRDefault="003A0D0C" w:rsidP="003A0D0C">
      <w:pPr>
        <w:pStyle w:val="ListBullet"/>
      </w:pPr>
      <w:r>
        <w:t>this Statistical Note, and equivalent versions from previous months;</w:t>
      </w:r>
    </w:p>
    <w:p w:rsidR="003A0D0C" w:rsidRDefault="003A0D0C" w:rsidP="003A0D0C">
      <w:pPr>
        <w:pStyle w:val="ListBullet"/>
      </w:pPr>
      <w:r>
        <w:t>the list of people with pre-release access to the data.</w:t>
      </w:r>
    </w:p>
    <w:p w:rsidR="003A0D0C" w:rsidRDefault="003A0D0C" w:rsidP="003A0D0C">
      <w:pPr>
        <w:pStyle w:val="Heading3"/>
      </w:pPr>
      <w:r>
        <w:t>C2</w:t>
      </w:r>
      <w:r>
        <w:tab/>
        <w:t>Revisions</w:t>
      </w:r>
    </w:p>
    <w:p w:rsidR="003A0D0C" w:rsidRDefault="003A0D0C" w:rsidP="003A0D0C">
      <w:r>
        <w:t>R</w:t>
      </w:r>
      <w:r w:rsidRPr="005538AF">
        <w:t xml:space="preserve">evisions </w:t>
      </w:r>
      <w:r>
        <w:t>usually follow a</w:t>
      </w:r>
      <w:r w:rsidRPr="005538AF">
        <w:t xml:space="preserve"> six-monthly cycle</w:t>
      </w:r>
      <w:r>
        <w:t xml:space="preserve">. The dates for past and future AQI revisions are </w:t>
      </w:r>
      <w:r w:rsidR="0032599C">
        <w:t>below</w:t>
      </w:r>
      <w:r>
        <w:t>. The AQI Quality Statement above contains a more detailed revisions policy.</w:t>
      </w:r>
    </w:p>
    <w:tbl>
      <w:tblPr>
        <w:tblStyle w:val="TableGrid"/>
        <w:tblW w:w="8522" w:type="dxa"/>
        <w:tblBorders>
          <w:top w:val="none" w:sz="0" w:space="0" w:color="auto"/>
          <w:left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132"/>
        <w:gridCol w:w="283"/>
        <w:gridCol w:w="2286"/>
        <w:gridCol w:w="236"/>
        <w:gridCol w:w="3585"/>
      </w:tblGrid>
      <w:tr w:rsidR="003A0D0C" w:rsidTr="002221E6">
        <w:trPr>
          <w:cantSplit/>
          <w:tblHeader/>
        </w:trPr>
        <w:tc>
          <w:tcPr>
            <w:tcW w:w="2132" w:type="dxa"/>
            <w:tcBorders>
              <w:bottom w:val="single" w:sz="4" w:space="0" w:color="auto"/>
            </w:tcBorders>
            <w:tcMar>
              <w:left w:w="0" w:type="dxa"/>
              <w:right w:w="0" w:type="dxa"/>
            </w:tcMar>
          </w:tcPr>
          <w:p w:rsidR="003A0D0C" w:rsidRDefault="003A0D0C" w:rsidP="002221E6">
            <w:pPr>
              <w:pStyle w:val="Heading4"/>
            </w:pPr>
            <w:r>
              <w:t>Publication date</w:t>
            </w:r>
          </w:p>
        </w:tc>
        <w:tc>
          <w:tcPr>
            <w:tcW w:w="283" w:type="dxa"/>
            <w:tcMar>
              <w:left w:w="0" w:type="dxa"/>
              <w:right w:w="0" w:type="dxa"/>
            </w:tcMar>
          </w:tcPr>
          <w:p w:rsidR="003A0D0C" w:rsidRDefault="003A0D0C" w:rsidP="002221E6">
            <w:pPr>
              <w:pStyle w:val="NoSpacing"/>
            </w:pPr>
          </w:p>
        </w:tc>
        <w:tc>
          <w:tcPr>
            <w:tcW w:w="2286" w:type="dxa"/>
            <w:tcBorders>
              <w:bottom w:val="single" w:sz="4" w:space="0" w:color="auto"/>
            </w:tcBorders>
            <w:tcMar>
              <w:left w:w="0" w:type="dxa"/>
              <w:right w:w="0" w:type="dxa"/>
            </w:tcMar>
          </w:tcPr>
          <w:p w:rsidR="003A0D0C" w:rsidRDefault="003A0D0C" w:rsidP="002221E6">
            <w:pPr>
              <w:pStyle w:val="Heading4"/>
            </w:pPr>
            <w:r>
              <w:t xml:space="preserve">Series revised </w:t>
            </w:r>
          </w:p>
        </w:tc>
        <w:tc>
          <w:tcPr>
            <w:tcW w:w="236" w:type="dxa"/>
            <w:tcMar>
              <w:left w:w="0" w:type="dxa"/>
              <w:right w:w="0" w:type="dxa"/>
            </w:tcMar>
          </w:tcPr>
          <w:p w:rsidR="003A0D0C" w:rsidRDefault="003A0D0C" w:rsidP="002221E6">
            <w:pPr>
              <w:pStyle w:val="NoSpacing"/>
            </w:pPr>
          </w:p>
        </w:tc>
        <w:tc>
          <w:tcPr>
            <w:tcW w:w="3585" w:type="dxa"/>
            <w:tcBorders>
              <w:bottom w:val="single" w:sz="4" w:space="0" w:color="auto"/>
            </w:tcBorders>
            <w:tcMar>
              <w:left w:w="0" w:type="dxa"/>
              <w:right w:w="0" w:type="dxa"/>
            </w:tcMar>
          </w:tcPr>
          <w:p w:rsidR="003A0D0C" w:rsidRDefault="003A0D0C" w:rsidP="002221E6">
            <w:pPr>
              <w:pStyle w:val="Heading4"/>
            </w:pPr>
            <w:r>
              <w:t>Months affected</w:t>
            </w:r>
          </w:p>
        </w:tc>
      </w:tr>
      <w:tr w:rsidR="003A0D0C" w:rsidTr="002221E6">
        <w:tc>
          <w:tcPr>
            <w:tcW w:w="2132" w:type="dxa"/>
            <w:tcBorders>
              <w:top w:val="single" w:sz="4" w:space="0" w:color="auto"/>
            </w:tcBorders>
            <w:tcMar>
              <w:left w:w="57" w:type="dxa"/>
              <w:right w:w="57" w:type="dxa"/>
            </w:tcMar>
          </w:tcPr>
          <w:p w:rsidR="003A0D0C" w:rsidRDefault="003A0D0C" w:rsidP="002221E6">
            <w:pPr>
              <w:pStyle w:val="NoSpacing"/>
              <w:jc w:val="right"/>
            </w:pPr>
            <w:r>
              <w:t xml:space="preserve"> 5 </w:t>
            </w:r>
            <w:r w:rsidRPr="00875FD5">
              <w:t>November</w:t>
            </w:r>
            <w:r>
              <w:t xml:space="preserve"> 2015</w:t>
            </w:r>
          </w:p>
        </w:tc>
        <w:tc>
          <w:tcPr>
            <w:tcW w:w="283" w:type="dxa"/>
            <w:tcMar>
              <w:left w:w="57" w:type="dxa"/>
              <w:right w:w="57" w:type="dxa"/>
            </w:tcMar>
          </w:tcPr>
          <w:p w:rsidR="003A0D0C" w:rsidRPr="00B4687B" w:rsidRDefault="003A0D0C" w:rsidP="002221E6">
            <w:pPr>
              <w:pStyle w:val="NoSpacing"/>
            </w:pPr>
          </w:p>
        </w:tc>
        <w:tc>
          <w:tcPr>
            <w:tcW w:w="2286" w:type="dxa"/>
            <w:tcBorders>
              <w:top w:val="single" w:sz="4" w:space="0" w:color="auto"/>
            </w:tcBorders>
            <w:tcMar>
              <w:left w:w="57" w:type="dxa"/>
              <w:right w:w="57" w:type="dxa"/>
            </w:tcMar>
          </w:tcPr>
          <w:p w:rsidR="003A0D0C" w:rsidRPr="00B4687B" w:rsidRDefault="003A0D0C" w:rsidP="002221E6">
            <w:pPr>
              <w:pStyle w:val="NoSpacing"/>
            </w:pPr>
            <w:r w:rsidRPr="00B4687B">
              <w:t>Systems Indicators</w:t>
            </w:r>
          </w:p>
        </w:tc>
        <w:tc>
          <w:tcPr>
            <w:tcW w:w="236" w:type="dxa"/>
            <w:tcMar>
              <w:left w:w="57" w:type="dxa"/>
              <w:right w:w="57" w:type="dxa"/>
            </w:tcMar>
          </w:tcPr>
          <w:p w:rsidR="003A0D0C" w:rsidRDefault="003A0D0C" w:rsidP="002221E6">
            <w:pPr>
              <w:pStyle w:val="NoSpacing"/>
            </w:pPr>
          </w:p>
        </w:tc>
        <w:tc>
          <w:tcPr>
            <w:tcW w:w="3585" w:type="dxa"/>
            <w:tcBorders>
              <w:top w:val="single" w:sz="4" w:space="0" w:color="auto"/>
            </w:tcBorders>
            <w:tcMar>
              <w:left w:w="57" w:type="dxa"/>
              <w:right w:w="57" w:type="dxa"/>
            </w:tcMar>
          </w:tcPr>
          <w:p w:rsidR="003A0D0C" w:rsidRDefault="003A0D0C" w:rsidP="002221E6">
            <w:pPr>
              <w:pStyle w:val="NoSpacing"/>
            </w:pPr>
            <w:r>
              <w:t>April 2015 to August 2015</w:t>
            </w:r>
          </w:p>
        </w:tc>
      </w:tr>
      <w:tr w:rsidR="003A0D0C" w:rsidTr="002221E6">
        <w:tc>
          <w:tcPr>
            <w:tcW w:w="2132" w:type="dxa"/>
            <w:tcMar>
              <w:left w:w="57" w:type="dxa"/>
              <w:right w:w="57" w:type="dxa"/>
            </w:tcMar>
          </w:tcPr>
          <w:p w:rsidR="003A0D0C" w:rsidRDefault="003A0D0C" w:rsidP="002221E6">
            <w:pPr>
              <w:pStyle w:val="NoSpacing"/>
              <w:jc w:val="right"/>
            </w:pPr>
            <w:r>
              <w:t>3 September 2015</w:t>
            </w:r>
          </w:p>
        </w:tc>
        <w:tc>
          <w:tcPr>
            <w:tcW w:w="283" w:type="dxa"/>
            <w:tcMar>
              <w:left w:w="57" w:type="dxa"/>
              <w:right w:w="57" w:type="dxa"/>
            </w:tcMar>
          </w:tcPr>
          <w:p w:rsidR="003A0D0C" w:rsidRPr="00B4687B" w:rsidRDefault="003A0D0C" w:rsidP="002221E6">
            <w:pPr>
              <w:pStyle w:val="NoSpacing"/>
            </w:pPr>
          </w:p>
        </w:tc>
        <w:tc>
          <w:tcPr>
            <w:tcW w:w="2286" w:type="dxa"/>
            <w:tcMar>
              <w:left w:w="57" w:type="dxa"/>
              <w:right w:w="57" w:type="dxa"/>
            </w:tcMar>
          </w:tcPr>
          <w:p w:rsidR="003A0D0C" w:rsidRPr="00B4687B" w:rsidRDefault="003A0D0C" w:rsidP="002221E6">
            <w:pPr>
              <w:pStyle w:val="NoSpacing"/>
            </w:pPr>
            <w:r w:rsidRPr="00B4687B">
              <w:t>Clinical Outcomes</w:t>
            </w:r>
          </w:p>
        </w:tc>
        <w:tc>
          <w:tcPr>
            <w:tcW w:w="236" w:type="dxa"/>
            <w:tcMar>
              <w:left w:w="57" w:type="dxa"/>
              <w:right w:w="57" w:type="dxa"/>
            </w:tcMar>
          </w:tcPr>
          <w:p w:rsidR="003A0D0C" w:rsidRDefault="003A0D0C" w:rsidP="002221E6">
            <w:pPr>
              <w:pStyle w:val="NoSpacing"/>
            </w:pPr>
          </w:p>
        </w:tc>
        <w:tc>
          <w:tcPr>
            <w:tcW w:w="3585" w:type="dxa"/>
            <w:tcMar>
              <w:left w:w="57" w:type="dxa"/>
              <w:right w:w="57" w:type="dxa"/>
            </w:tcMar>
          </w:tcPr>
          <w:p w:rsidR="003A0D0C" w:rsidRDefault="003A0D0C" w:rsidP="002221E6">
            <w:pPr>
              <w:pStyle w:val="NoSpacing"/>
            </w:pPr>
            <w:r>
              <w:t>April 2014 to March 2015</w:t>
            </w:r>
          </w:p>
        </w:tc>
      </w:tr>
      <w:tr w:rsidR="003A0D0C" w:rsidTr="0032599C">
        <w:trPr>
          <w:trHeight w:val="567"/>
        </w:trPr>
        <w:tc>
          <w:tcPr>
            <w:tcW w:w="2132" w:type="dxa"/>
            <w:tcMar>
              <w:left w:w="57" w:type="dxa"/>
              <w:right w:w="57" w:type="dxa"/>
            </w:tcMar>
          </w:tcPr>
          <w:p w:rsidR="003A0D0C" w:rsidRDefault="003A0D0C" w:rsidP="002221E6">
            <w:pPr>
              <w:pStyle w:val="NoSpacing"/>
              <w:jc w:val="right"/>
            </w:pPr>
            <w:r>
              <w:t>30 April 2015</w:t>
            </w:r>
          </w:p>
        </w:tc>
        <w:tc>
          <w:tcPr>
            <w:tcW w:w="283" w:type="dxa"/>
            <w:tcMar>
              <w:left w:w="57" w:type="dxa"/>
              <w:right w:w="57" w:type="dxa"/>
            </w:tcMar>
          </w:tcPr>
          <w:p w:rsidR="003A0D0C" w:rsidRPr="00B4687B" w:rsidRDefault="003A0D0C" w:rsidP="002221E6">
            <w:pPr>
              <w:pStyle w:val="NoSpacing"/>
            </w:pPr>
          </w:p>
        </w:tc>
        <w:tc>
          <w:tcPr>
            <w:tcW w:w="2286" w:type="dxa"/>
            <w:tcMar>
              <w:left w:w="57" w:type="dxa"/>
              <w:right w:w="57" w:type="dxa"/>
            </w:tcMar>
          </w:tcPr>
          <w:p w:rsidR="003A0D0C" w:rsidRPr="00B4687B" w:rsidRDefault="003A0D0C" w:rsidP="002221E6">
            <w:pPr>
              <w:pStyle w:val="NoSpacing"/>
            </w:pPr>
            <w:r w:rsidRPr="00B4687B">
              <w:t>Systems Indicators</w:t>
            </w:r>
          </w:p>
        </w:tc>
        <w:tc>
          <w:tcPr>
            <w:tcW w:w="236" w:type="dxa"/>
            <w:tcMar>
              <w:left w:w="57" w:type="dxa"/>
              <w:right w:w="57" w:type="dxa"/>
            </w:tcMar>
          </w:tcPr>
          <w:p w:rsidR="003A0D0C" w:rsidRDefault="003A0D0C" w:rsidP="002221E6">
            <w:pPr>
              <w:pStyle w:val="NoSpacing"/>
            </w:pPr>
          </w:p>
        </w:tc>
        <w:tc>
          <w:tcPr>
            <w:tcW w:w="3585" w:type="dxa"/>
            <w:tcMar>
              <w:left w:w="57" w:type="dxa"/>
              <w:right w:w="57" w:type="dxa"/>
            </w:tcMar>
          </w:tcPr>
          <w:p w:rsidR="003A0D0C" w:rsidRDefault="003A0D0C" w:rsidP="002221E6">
            <w:pPr>
              <w:pStyle w:val="NoSpacing"/>
            </w:pPr>
            <w:r>
              <w:t>April 2014 to February 2015</w:t>
            </w:r>
          </w:p>
        </w:tc>
      </w:tr>
      <w:tr w:rsidR="003A0D0C" w:rsidTr="002221E6">
        <w:trPr>
          <w:trHeight w:val="80"/>
        </w:trPr>
        <w:tc>
          <w:tcPr>
            <w:tcW w:w="2132" w:type="dxa"/>
            <w:tcMar>
              <w:left w:w="57" w:type="dxa"/>
              <w:right w:w="57" w:type="dxa"/>
            </w:tcMar>
          </w:tcPr>
          <w:p w:rsidR="003A0D0C" w:rsidRDefault="003A0D0C" w:rsidP="002221E6">
            <w:pPr>
              <w:pStyle w:val="NoSpacing"/>
              <w:jc w:val="right"/>
            </w:pPr>
            <w:r>
              <w:t>5 March 2015</w:t>
            </w:r>
          </w:p>
        </w:tc>
        <w:tc>
          <w:tcPr>
            <w:tcW w:w="283" w:type="dxa"/>
            <w:tcMar>
              <w:left w:w="57" w:type="dxa"/>
              <w:right w:w="57" w:type="dxa"/>
            </w:tcMar>
          </w:tcPr>
          <w:p w:rsidR="003A0D0C" w:rsidRPr="00B4687B" w:rsidRDefault="003A0D0C" w:rsidP="002221E6">
            <w:pPr>
              <w:pStyle w:val="NoSpacing"/>
            </w:pPr>
          </w:p>
        </w:tc>
        <w:tc>
          <w:tcPr>
            <w:tcW w:w="2286" w:type="dxa"/>
            <w:tcMar>
              <w:left w:w="57" w:type="dxa"/>
              <w:right w:w="57" w:type="dxa"/>
            </w:tcMar>
          </w:tcPr>
          <w:p w:rsidR="003A0D0C" w:rsidRPr="00B4687B" w:rsidRDefault="003A0D0C" w:rsidP="002221E6">
            <w:pPr>
              <w:pStyle w:val="NoSpacing"/>
            </w:pPr>
            <w:r w:rsidRPr="00B4687B">
              <w:t>Clinical Outcomes</w:t>
            </w:r>
          </w:p>
        </w:tc>
        <w:tc>
          <w:tcPr>
            <w:tcW w:w="236" w:type="dxa"/>
            <w:tcMar>
              <w:left w:w="57" w:type="dxa"/>
              <w:right w:w="57" w:type="dxa"/>
            </w:tcMar>
          </w:tcPr>
          <w:p w:rsidR="003A0D0C" w:rsidRDefault="003A0D0C" w:rsidP="002221E6">
            <w:pPr>
              <w:pStyle w:val="NoSpacing"/>
            </w:pPr>
          </w:p>
        </w:tc>
        <w:tc>
          <w:tcPr>
            <w:tcW w:w="3585" w:type="dxa"/>
            <w:tcMar>
              <w:left w:w="57" w:type="dxa"/>
              <w:right w:w="57" w:type="dxa"/>
            </w:tcMar>
          </w:tcPr>
          <w:p w:rsidR="003A0D0C" w:rsidRDefault="003A0D0C" w:rsidP="002221E6">
            <w:pPr>
              <w:pStyle w:val="NoSpacing"/>
            </w:pPr>
            <w:r>
              <w:t>April 2014 to September 2014</w:t>
            </w:r>
          </w:p>
        </w:tc>
      </w:tr>
      <w:tr w:rsidR="003A0D0C" w:rsidTr="002221E6">
        <w:trPr>
          <w:trHeight w:val="137"/>
        </w:trPr>
        <w:tc>
          <w:tcPr>
            <w:tcW w:w="2132" w:type="dxa"/>
            <w:tcMar>
              <w:left w:w="57" w:type="dxa"/>
              <w:right w:w="57" w:type="dxa"/>
            </w:tcMar>
          </w:tcPr>
          <w:p w:rsidR="003A0D0C" w:rsidRDefault="003A0D0C" w:rsidP="002221E6">
            <w:pPr>
              <w:pStyle w:val="NoSpacing"/>
              <w:jc w:val="right"/>
            </w:pPr>
            <w:r>
              <w:t>6 November 2014</w:t>
            </w:r>
          </w:p>
        </w:tc>
        <w:tc>
          <w:tcPr>
            <w:tcW w:w="283" w:type="dxa"/>
            <w:tcMar>
              <w:left w:w="57" w:type="dxa"/>
              <w:right w:w="57" w:type="dxa"/>
            </w:tcMar>
          </w:tcPr>
          <w:p w:rsidR="003A0D0C" w:rsidRPr="00B4687B" w:rsidRDefault="003A0D0C" w:rsidP="002221E6">
            <w:pPr>
              <w:pStyle w:val="NoSpacing"/>
            </w:pPr>
          </w:p>
        </w:tc>
        <w:tc>
          <w:tcPr>
            <w:tcW w:w="2286" w:type="dxa"/>
            <w:tcMar>
              <w:left w:w="57" w:type="dxa"/>
              <w:right w:w="57" w:type="dxa"/>
            </w:tcMar>
          </w:tcPr>
          <w:p w:rsidR="003A0D0C" w:rsidRPr="00B4687B" w:rsidRDefault="003A0D0C" w:rsidP="002221E6">
            <w:pPr>
              <w:pStyle w:val="NoSpacing"/>
            </w:pPr>
            <w:r>
              <w:t>Systems Indicators</w:t>
            </w:r>
          </w:p>
        </w:tc>
        <w:tc>
          <w:tcPr>
            <w:tcW w:w="236" w:type="dxa"/>
            <w:tcMar>
              <w:left w:w="57" w:type="dxa"/>
              <w:right w:w="57" w:type="dxa"/>
            </w:tcMar>
          </w:tcPr>
          <w:p w:rsidR="003A0D0C" w:rsidRDefault="003A0D0C" w:rsidP="002221E6">
            <w:pPr>
              <w:pStyle w:val="NoSpacing"/>
            </w:pPr>
          </w:p>
        </w:tc>
        <w:tc>
          <w:tcPr>
            <w:tcW w:w="3585" w:type="dxa"/>
            <w:tcMar>
              <w:left w:w="57" w:type="dxa"/>
              <w:right w:w="57" w:type="dxa"/>
            </w:tcMar>
          </w:tcPr>
          <w:p w:rsidR="003A0D0C" w:rsidRDefault="003A0D0C" w:rsidP="002221E6">
            <w:pPr>
              <w:pStyle w:val="NoSpacing"/>
            </w:pPr>
            <w:r>
              <w:t>April 2013 to August 2014</w:t>
            </w:r>
          </w:p>
        </w:tc>
      </w:tr>
      <w:tr w:rsidR="003A0D0C" w:rsidTr="002221E6">
        <w:trPr>
          <w:trHeight w:val="137"/>
        </w:trPr>
        <w:tc>
          <w:tcPr>
            <w:tcW w:w="2132" w:type="dxa"/>
            <w:tcMar>
              <w:left w:w="57" w:type="dxa"/>
              <w:right w:w="57" w:type="dxa"/>
            </w:tcMar>
          </w:tcPr>
          <w:p w:rsidR="003A0D0C" w:rsidRPr="00875FD5" w:rsidRDefault="003A0D0C" w:rsidP="002221E6">
            <w:pPr>
              <w:pStyle w:val="NoSpacing"/>
              <w:jc w:val="right"/>
            </w:pPr>
            <w:r>
              <w:t>5 September 2014</w:t>
            </w:r>
          </w:p>
        </w:tc>
        <w:tc>
          <w:tcPr>
            <w:tcW w:w="283" w:type="dxa"/>
            <w:tcMar>
              <w:left w:w="57" w:type="dxa"/>
              <w:right w:w="57" w:type="dxa"/>
            </w:tcMar>
          </w:tcPr>
          <w:p w:rsidR="003A0D0C" w:rsidRPr="00B4687B" w:rsidRDefault="003A0D0C" w:rsidP="002221E6">
            <w:pPr>
              <w:pStyle w:val="NoSpacing"/>
            </w:pPr>
          </w:p>
        </w:tc>
        <w:tc>
          <w:tcPr>
            <w:tcW w:w="2286" w:type="dxa"/>
            <w:tcMar>
              <w:left w:w="57" w:type="dxa"/>
              <w:right w:w="57" w:type="dxa"/>
            </w:tcMar>
          </w:tcPr>
          <w:p w:rsidR="003A0D0C" w:rsidRPr="00B4687B" w:rsidRDefault="003A0D0C" w:rsidP="002221E6">
            <w:pPr>
              <w:pStyle w:val="NoSpacing"/>
            </w:pPr>
            <w:r w:rsidRPr="00B4687B">
              <w:t>Clinical Outcomes</w:t>
            </w:r>
          </w:p>
        </w:tc>
        <w:tc>
          <w:tcPr>
            <w:tcW w:w="236" w:type="dxa"/>
            <w:tcMar>
              <w:left w:w="57" w:type="dxa"/>
              <w:right w:w="57" w:type="dxa"/>
            </w:tcMar>
          </w:tcPr>
          <w:p w:rsidR="003A0D0C" w:rsidRDefault="003A0D0C" w:rsidP="002221E6">
            <w:pPr>
              <w:pStyle w:val="NoSpacing"/>
            </w:pPr>
          </w:p>
        </w:tc>
        <w:tc>
          <w:tcPr>
            <w:tcW w:w="3585" w:type="dxa"/>
            <w:tcMar>
              <w:left w:w="57" w:type="dxa"/>
              <w:right w:w="57" w:type="dxa"/>
            </w:tcMar>
          </w:tcPr>
          <w:p w:rsidR="003A0D0C" w:rsidRDefault="003A0D0C" w:rsidP="002221E6">
            <w:pPr>
              <w:pStyle w:val="NoSpacing"/>
            </w:pPr>
            <w:r>
              <w:t>April 2013 to March 2014</w:t>
            </w:r>
          </w:p>
        </w:tc>
      </w:tr>
      <w:tr w:rsidR="003A0D0C" w:rsidTr="002221E6">
        <w:trPr>
          <w:trHeight w:val="271"/>
        </w:trPr>
        <w:tc>
          <w:tcPr>
            <w:tcW w:w="2132" w:type="dxa"/>
            <w:tcMar>
              <w:left w:w="57" w:type="dxa"/>
              <w:right w:w="57" w:type="dxa"/>
            </w:tcMar>
          </w:tcPr>
          <w:p w:rsidR="003A0D0C" w:rsidRDefault="003A0D0C" w:rsidP="002221E6">
            <w:pPr>
              <w:pStyle w:val="NoSpacing"/>
              <w:jc w:val="right"/>
            </w:pPr>
            <w:r>
              <w:t>2 May 2014</w:t>
            </w:r>
          </w:p>
        </w:tc>
        <w:tc>
          <w:tcPr>
            <w:tcW w:w="283" w:type="dxa"/>
            <w:tcMar>
              <w:left w:w="57" w:type="dxa"/>
              <w:right w:w="57" w:type="dxa"/>
            </w:tcMar>
          </w:tcPr>
          <w:p w:rsidR="003A0D0C" w:rsidRPr="00B4687B" w:rsidRDefault="003A0D0C" w:rsidP="002221E6">
            <w:pPr>
              <w:pStyle w:val="NoSpacing"/>
            </w:pPr>
          </w:p>
        </w:tc>
        <w:tc>
          <w:tcPr>
            <w:tcW w:w="2286" w:type="dxa"/>
            <w:tcMar>
              <w:left w:w="57" w:type="dxa"/>
              <w:right w:w="57" w:type="dxa"/>
            </w:tcMar>
          </w:tcPr>
          <w:p w:rsidR="003A0D0C" w:rsidRPr="00B4687B" w:rsidRDefault="003A0D0C" w:rsidP="002221E6">
            <w:pPr>
              <w:pStyle w:val="NoSpacing"/>
            </w:pPr>
            <w:r w:rsidRPr="00B4687B">
              <w:t>Systems Indicators</w:t>
            </w:r>
          </w:p>
        </w:tc>
        <w:tc>
          <w:tcPr>
            <w:tcW w:w="236" w:type="dxa"/>
            <w:tcMar>
              <w:left w:w="57" w:type="dxa"/>
              <w:right w:w="57" w:type="dxa"/>
            </w:tcMar>
          </w:tcPr>
          <w:p w:rsidR="003A0D0C" w:rsidRDefault="003A0D0C" w:rsidP="002221E6">
            <w:pPr>
              <w:pStyle w:val="NoSpacing"/>
            </w:pPr>
          </w:p>
        </w:tc>
        <w:tc>
          <w:tcPr>
            <w:tcW w:w="3585" w:type="dxa"/>
            <w:tcMar>
              <w:left w:w="57" w:type="dxa"/>
              <w:right w:w="57" w:type="dxa"/>
            </w:tcMar>
          </w:tcPr>
          <w:p w:rsidR="003A0D0C" w:rsidRDefault="003A0D0C" w:rsidP="002221E6">
            <w:pPr>
              <w:pStyle w:val="NoSpacing"/>
            </w:pPr>
            <w:r>
              <w:t>April 2013 to February 2014</w:t>
            </w:r>
          </w:p>
        </w:tc>
      </w:tr>
      <w:tr w:rsidR="003A0D0C" w:rsidTr="002221E6">
        <w:trPr>
          <w:trHeight w:val="70"/>
        </w:trPr>
        <w:tc>
          <w:tcPr>
            <w:tcW w:w="2132" w:type="dxa"/>
            <w:tcMar>
              <w:left w:w="57" w:type="dxa"/>
              <w:right w:w="57" w:type="dxa"/>
            </w:tcMar>
          </w:tcPr>
          <w:p w:rsidR="003A0D0C" w:rsidRDefault="003A0D0C" w:rsidP="002221E6">
            <w:pPr>
              <w:pStyle w:val="NoSpacing"/>
              <w:jc w:val="right"/>
            </w:pPr>
            <w:r>
              <w:t>7 March 2014</w:t>
            </w:r>
          </w:p>
        </w:tc>
        <w:tc>
          <w:tcPr>
            <w:tcW w:w="283" w:type="dxa"/>
            <w:tcMar>
              <w:left w:w="57" w:type="dxa"/>
              <w:right w:w="57" w:type="dxa"/>
            </w:tcMar>
          </w:tcPr>
          <w:p w:rsidR="003A0D0C" w:rsidRPr="00B4687B" w:rsidRDefault="003A0D0C" w:rsidP="002221E6">
            <w:pPr>
              <w:pStyle w:val="NoSpacing"/>
            </w:pPr>
          </w:p>
        </w:tc>
        <w:tc>
          <w:tcPr>
            <w:tcW w:w="2286" w:type="dxa"/>
            <w:tcMar>
              <w:left w:w="57" w:type="dxa"/>
              <w:right w:w="57" w:type="dxa"/>
            </w:tcMar>
          </w:tcPr>
          <w:p w:rsidR="003A0D0C" w:rsidRPr="00B4687B" w:rsidRDefault="003A0D0C" w:rsidP="002221E6">
            <w:pPr>
              <w:pStyle w:val="NoSpacing"/>
            </w:pPr>
            <w:r w:rsidRPr="00B4687B">
              <w:t>Clinical Outcomes</w:t>
            </w:r>
          </w:p>
        </w:tc>
        <w:tc>
          <w:tcPr>
            <w:tcW w:w="236" w:type="dxa"/>
            <w:tcMar>
              <w:left w:w="57" w:type="dxa"/>
              <w:right w:w="57" w:type="dxa"/>
            </w:tcMar>
          </w:tcPr>
          <w:p w:rsidR="003A0D0C" w:rsidRDefault="003A0D0C" w:rsidP="002221E6">
            <w:pPr>
              <w:pStyle w:val="NoSpacing"/>
            </w:pPr>
          </w:p>
        </w:tc>
        <w:tc>
          <w:tcPr>
            <w:tcW w:w="3585" w:type="dxa"/>
            <w:tcMar>
              <w:left w:w="57" w:type="dxa"/>
              <w:right w:w="57" w:type="dxa"/>
            </w:tcMar>
          </w:tcPr>
          <w:p w:rsidR="003A0D0C" w:rsidRDefault="003A0D0C" w:rsidP="002221E6">
            <w:pPr>
              <w:pStyle w:val="NoSpacing"/>
            </w:pPr>
            <w:r>
              <w:t>April 2013 to September 2013</w:t>
            </w:r>
          </w:p>
        </w:tc>
      </w:tr>
      <w:tr w:rsidR="003A0D0C" w:rsidTr="002221E6">
        <w:trPr>
          <w:trHeight w:val="123"/>
        </w:trPr>
        <w:tc>
          <w:tcPr>
            <w:tcW w:w="2132" w:type="dxa"/>
            <w:tcMar>
              <w:left w:w="57" w:type="dxa"/>
              <w:right w:w="57" w:type="dxa"/>
            </w:tcMar>
          </w:tcPr>
          <w:p w:rsidR="003A0D0C" w:rsidRDefault="003A0D0C" w:rsidP="002221E6">
            <w:pPr>
              <w:pStyle w:val="NoSpacing"/>
              <w:jc w:val="right"/>
            </w:pPr>
            <w:r>
              <w:t>1 November 2013</w:t>
            </w:r>
          </w:p>
        </w:tc>
        <w:tc>
          <w:tcPr>
            <w:tcW w:w="283" w:type="dxa"/>
            <w:tcMar>
              <w:left w:w="57" w:type="dxa"/>
              <w:right w:w="57" w:type="dxa"/>
            </w:tcMar>
          </w:tcPr>
          <w:p w:rsidR="003A0D0C" w:rsidRPr="00B4687B" w:rsidRDefault="003A0D0C" w:rsidP="002221E6">
            <w:pPr>
              <w:pStyle w:val="NoSpacing"/>
            </w:pPr>
          </w:p>
        </w:tc>
        <w:tc>
          <w:tcPr>
            <w:tcW w:w="2286" w:type="dxa"/>
            <w:tcMar>
              <w:left w:w="57" w:type="dxa"/>
              <w:right w:w="57" w:type="dxa"/>
            </w:tcMar>
          </w:tcPr>
          <w:p w:rsidR="003A0D0C" w:rsidRPr="00B4687B" w:rsidRDefault="003A0D0C" w:rsidP="002221E6">
            <w:pPr>
              <w:pStyle w:val="NoSpacing"/>
            </w:pPr>
            <w:r w:rsidRPr="00B4687B">
              <w:t>Systems Indicators</w:t>
            </w:r>
          </w:p>
        </w:tc>
        <w:tc>
          <w:tcPr>
            <w:tcW w:w="236" w:type="dxa"/>
            <w:tcMar>
              <w:left w:w="57" w:type="dxa"/>
              <w:right w:w="57" w:type="dxa"/>
            </w:tcMar>
          </w:tcPr>
          <w:p w:rsidR="003A0D0C" w:rsidRDefault="003A0D0C" w:rsidP="002221E6">
            <w:pPr>
              <w:pStyle w:val="NoSpacing"/>
            </w:pPr>
          </w:p>
        </w:tc>
        <w:tc>
          <w:tcPr>
            <w:tcW w:w="3585" w:type="dxa"/>
            <w:tcMar>
              <w:left w:w="57" w:type="dxa"/>
              <w:right w:w="57" w:type="dxa"/>
            </w:tcMar>
          </w:tcPr>
          <w:p w:rsidR="003A0D0C" w:rsidRDefault="003A0D0C" w:rsidP="002221E6">
            <w:pPr>
              <w:pStyle w:val="NoSpacing"/>
            </w:pPr>
            <w:r>
              <w:t>April 2013 to August 2013</w:t>
            </w:r>
          </w:p>
        </w:tc>
      </w:tr>
      <w:tr w:rsidR="003A0D0C" w:rsidTr="002221E6">
        <w:trPr>
          <w:trHeight w:val="269"/>
        </w:trPr>
        <w:tc>
          <w:tcPr>
            <w:tcW w:w="2132" w:type="dxa"/>
            <w:tcMar>
              <w:left w:w="57" w:type="dxa"/>
              <w:right w:w="57" w:type="dxa"/>
            </w:tcMar>
          </w:tcPr>
          <w:p w:rsidR="003A0D0C" w:rsidRDefault="003A0D0C" w:rsidP="002221E6">
            <w:pPr>
              <w:pStyle w:val="NoSpacing"/>
              <w:jc w:val="right"/>
            </w:pPr>
            <w:r>
              <w:t>2 August 2013</w:t>
            </w:r>
          </w:p>
        </w:tc>
        <w:tc>
          <w:tcPr>
            <w:tcW w:w="283" w:type="dxa"/>
            <w:tcMar>
              <w:left w:w="57" w:type="dxa"/>
              <w:right w:w="57" w:type="dxa"/>
            </w:tcMar>
          </w:tcPr>
          <w:p w:rsidR="003A0D0C" w:rsidRPr="00B4687B" w:rsidRDefault="003A0D0C" w:rsidP="002221E6">
            <w:pPr>
              <w:pStyle w:val="NoSpacing"/>
            </w:pPr>
          </w:p>
        </w:tc>
        <w:tc>
          <w:tcPr>
            <w:tcW w:w="2286" w:type="dxa"/>
            <w:tcMar>
              <w:left w:w="57" w:type="dxa"/>
              <w:right w:w="57" w:type="dxa"/>
            </w:tcMar>
          </w:tcPr>
          <w:p w:rsidR="003A0D0C" w:rsidRPr="00B4687B" w:rsidRDefault="003A0D0C" w:rsidP="002221E6">
            <w:pPr>
              <w:pStyle w:val="NoSpacing"/>
            </w:pPr>
            <w:r w:rsidRPr="00B4687B">
              <w:t>Clinical Outcomes</w:t>
            </w:r>
          </w:p>
        </w:tc>
        <w:tc>
          <w:tcPr>
            <w:tcW w:w="236" w:type="dxa"/>
            <w:tcMar>
              <w:left w:w="57" w:type="dxa"/>
              <w:right w:w="57" w:type="dxa"/>
            </w:tcMar>
          </w:tcPr>
          <w:p w:rsidR="003A0D0C" w:rsidRDefault="003A0D0C" w:rsidP="002221E6">
            <w:pPr>
              <w:pStyle w:val="NoSpacing"/>
            </w:pPr>
          </w:p>
        </w:tc>
        <w:tc>
          <w:tcPr>
            <w:tcW w:w="3585" w:type="dxa"/>
            <w:tcMar>
              <w:left w:w="57" w:type="dxa"/>
              <w:right w:w="57" w:type="dxa"/>
            </w:tcMar>
          </w:tcPr>
          <w:p w:rsidR="003A0D0C" w:rsidRDefault="003A0D0C" w:rsidP="002221E6">
            <w:pPr>
              <w:pStyle w:val="NoSpacing"/>
            </w:pPr>
            <w:r>
              <w:t>April 2012 to March 2013</w:t>
            </w:r>
          </w:p>
        </w:tc>
      </w:tr>
      <w:tr w:rsidR="003A0D0C" w:rsidTr="002221E6">
        <w:trPr>
          <w:trHeight w:val="118"/>
        </w:trPr>
        <w:tc>
          <w:tcPr>
            <w:tcW w:w="2132" w:type="dxa"/>
            <w:tcMar>
              <w:left w:w="57" w:type="dxa"/>
              <w:right w:w="57" w:type="dxa"/>
            </w:tcMar>
          </w:tcPr>
          <w:p w:rsidR="003A0D0C" w:rsidRDefault="003A0D0C" w:rsidP="002221E6">
            <w:pPr>
              <w:pStyle w:val="NoSpacing"/>
              <w:jc w:val="right"/>
            </w:pPr>
            <w:r>
              <w:t>3 May 2013</w:t>
            </w:r>
          </w:p>
        </w:tc>
        <w:tc>
          <w:tcPr>
            <w:tcW w:w="283" w:type="dxa"/>
            <w:tcMar>
              <w:left w:w="57" w:type="dxa"/>
              <w:right w:w="57" w:type="dxa"/>
            </w:tcMar>
          </w:tcPr>
          <w:p w:rsidR="003A0D0C" w:rsidRPr="00B4687B" w:rsidRDefault="003A0D0C" w:rsidP="002221E6">
            <w:pPr>
              <w:pStyle w:val="NoSpacing"/>
            </w:pPr>
          </w:p>
        </w:tc>
        <w:tc>
          <w:tcPr>
            <w:tcW w:w="2286" w:type="dxa"/>
            <w:tcMar>
              <w:left w:w="57" w:type="dxa"/>
              <w:right w:w="57" w:type="dxa"/>
            </w:tcMar>
          </w:tcPr>
          <w:p w:rsidR="003A0D0C" w:rsidRPr="00B4687B" w:rsidRDefault="003A0D0C" w:rsidP="002221E6">
            <w:pPr>
              <w:pStyle w:val="NoSpacing"/>
            </w:pPr>
            <w:r w:rsidRPr="00B4687B">
              <w:t>Systems Indicators</w:t>
            </w:r>
          </w:p>
        </w:tc>
        <w:tc>
          <w:tcPr>
            <w:tcW w:w="236" w:type="dxa"/>
            <w:tcMar>
              <w:left w:w="57" w:type="dxa"/>
              <w:right w:w="57" w:type="dxa"/>
            </w:tcMar>
          </w:tcPr>
          <w:p w:rsidR="003A0D0C" w:rsidRDefault="003A0D0C" w:rsidP="002221E6">
            <w:pPr>
              <w:pStyle w:val="NoSpacing"/>
            </w:pPr>
          </w:p>
        </w:tc>
        <w:tc>
          <w:tcPr>
            <w:tcW w:w="3585" w:type="dxa"/>
            <w:tcMar>
              <w:left w:w="57" w:type="dxa"/>
              <w:right w:w="57" w:type="dxa"/>
            </w:tcMar>
          </w:tcPr>
          <w:p w:rsidR="003A0D0C" w:rsidRDefault="003A0D0C" w:rsidP="002221E6">
            <w:pPr>
              <w:pStyle w:val="NoSpacing"/>
            </w:pPr>
            <w:r>
              <w:t>April 2012 to March 2013</w:t>
            </w:r>
          </w:p>
        </w:tc>
      </w:tr>
      <w:tr w:rsidR="003A0D0C" w:rsidTr="002221E6">
        <w:trPr>
          <w:trHeight w:val="121"/>
        </w:trPr>
        <w:tc>
          <w:tcPr>
            <w:tcW w:w="2132" w:type="dxa"/>
            <w:tcMar>
              <w:left w:w="57" w:type="dxa"/>
              <w:right w:w="57" w:type="dxa"/>
            </w:tcMar>
          </w:tcPr>
          <w:p w:rsidR="003A0D0C" w:rsidRDefault="003A0D0C" w:rsidP="002221E6">
            <w:pPr>
              <w:pStyle w:val="NoSpacing"/>
              <w:jc w:val="right"/>
            </w:pPr>
            <w:r>
              <w:t>1 February 2013</w:t>
            </w:r>
          </w:p>
        </w:tc>
        <w:tc>
          <w:tcPr>
            <w:tcW w:w="283" w:type="dxa"/>
            <w:tcMar>
              <w:left w:w="57" w:type="dxa"/>
              <w:right w:w="57" w:type="dxa"/>
            </w:tcMar>
          </w:tcPr>
          <w:p w:rsidR="003A0D0C" w:rsidRPr="00B4687B" w:rsidRDefault="003A0D0C" w:rsidP="002221E6">
            <w:pPr>
              <w:pStyle w:val="NoSpacing"/>
            </w:pPr>
          </w:p>
        </w:tc>
        <w:tc>
          <w:tcPr>
            <w:tcW w:w="2286" w:type="dxa"/>
            <w:tcMar>
              <w:left w:w="57" w:type="dxa"/>
              <w:right w:w="57" w:type="dxa"/>
            </w:tcMar>
          </w:tcPr>
          <w:p w:rsidR="003A0D0C" w:rsidRPr="00B4687B" w:rsidRDefault="003A0D0C" w:rsidP="002221E6">
            <w:pPr>
              <w:pStyle w:val="NoSpacing"/>
            </w:pPr>
            <w:r w:rsidRPr="00B4687B">
              <w:t>Clinical Outcomes</w:t>
            </w:r>
          </w:p>
        </w:tc>
        <w:tc>
          <w:tcPr>
            <w:tcW w:w="236" w:type="dxa"/>
            <w:tcMar>
              <w:left w:w="57" w:type="dxa"/>
              <w:right w:w="57" w:type="dxa"/>
            </w:tcMar>
          </w:tcPr>
          <w:p w:rsidR="003A0D0C" w:rsidRDefault="003A0D0C" w:rsidP="002221E6">
            <w:pPr>
              <w:pStyle w:val="NoSpacing"/>
            </w:pPr>
          </w:p>
        </w:tc>
        <w:tc>
          <w:tcPr>
            <w:tcW w:w="3585" w:type="dxa"/>
            <w:tcMar>
              <w:left w:w="57" w:type="dxa"/>
              <w:right w:w="57" w:type="dxa"/>
            </w:tcMar>
          </w:tcPr>
          <w:p w:rsidR="003A0D0C" w:rsidRDefault="003A0D0C" w:rsidP="002221E6">
            <w:pPr>
              <w:pStyle w:val="NoSpacing"/>
            </w:pPr>
            <w:r>
              <w:t>April 2012 to August 2012</w:t>
            </w:r>
          </w:p>
        </w:tc>
      </w:tr>
      <w:tr w:rsidR="003A0D0C" w:rsidTr="002221E6">
        <w:trPr>
          <w:trHeight w:val="267"/>
        </w:trPr>
        <w:tc>
          <w:tcPr>
            <w:tcW w:w="2132" w:type="dxa"/>
            <w:tcMar>
              <w:left w:w="57" w:type="dxa"/>
              <w:right w:w="57" w:type="dxa"/>
            </w:tcMar>
          </w:tcPr>
          <w:p w:rsidR="003A0D0C" w:rsidRDefault="003A0D0C" w:rsidP="002221E6">
            <w:pPr>
              <w:pStyle w:val="NoSpacing"/>
              <w:jc w:val="right"/>
            </w:pPr>
            <w:r>
              <w:t>11 January 2013</w:t>
            </w:r>
          </w:p>
        </w:tc>
        <w:tc>
          <w:tcPr>
            <w:tcW w:w="283" w:type="dxa"/>
            <w:tcMar>
              <w:left w:w="57" w:type="dxa"/>
              <w:right w:w="57" w:type="dxa"/>
            </w:tcMar>
          </w:tcPr>
          <w:p w:rsidR="003A0D0C" w:rsidRPr="00B4687B" w:rsidRDefault="003A0D0C" w:rsidP="002221E6">
            <w:pPr>
              <w:pStyle w:val="NoSpacing"/>
            </w:pPr>
          </w:p>
        </w:tc>
        <w:tc>
          <w:tcPr>
            <w:tcW w:w="2286" w:type="dxa"/>
            <w:tcMar>
              <w:left w:w="57" w:type="dxa"/>
              <w:right w:w="57" w:type="dxa"/>
            </w:tcMar>
          </w:tcPr>
          <w:p w:rsidR="003A0D0C" w:rsidRPr="00B4687B" w:rsidRDefault="003A0D0C" w:rsidP="002221E6">
            <w:pPr>
              <w:pStyle w:val="NoSpacing"/>
            </w:pPr>
            <w:r w:rsidRPr="00B4687B">
              <w:t>Systems Indicators</w:t>
            </w:r>
          </w:p>
        </w:tc>
        <w:tc>
          <w:tcPr>
            <w:tcW w:w="236" w:type="dxa"/>
            <w:tcMar>
              <w:left w:w="57" w:type="dxa"/>
              <w:right w:w="57" w:type="dxa"/>
            </w:tcMar>
          </w:tcPr>
          <w:p w:rsidR="003A0D0C" w:rsidRDefault="003A0D0C" w:rsidP="002221E6">
            <w:pPr>
              <w:pStyle w:val="NoSpacing"/>
            </w:pPr>
          </w:p>
        </w:tc>
        <w:tc>
          <w:tcPr>
            <w:tcW w:w="3585" w:type="dxa"/>
            <w:tcMar>
              <w:left w:w="57" w:type="dxa"/>
              <w:right w:w="57" w:type="dxa"/>
            </w:tcMar>
          </w:tcPr>
          <w:p w:rsidR="003A0D0C" w:rsidRDefault="003A0D0C" w:rsidP="002221E6">
            <w:pPr>
              <w:pStyle w:val="NoSpacing"/>
            </w:pPr>
            <w:r>
              <w:t>April 2011 to October 2012</w:t>
            </w:r>
          </w:p>
        </w:tc>
      </w:tr>
      <w:tr w:rsidR="003A0D0C" w:rsidTr="002221E6">
        <w:trPr>
          <w:trHeight w:val="115"/>
        </w:trPr>
        <w:tc>
          <w:tcPr>
            <w:tcW w:w="2132" w:type="dxa"/>
            <w:tcMar>
              <w:left w:w="57" w:type="dxa"/>
              <w:right w:w="57" w:type="dxa"/>
            </w:tcMar>
          </w:tcPr>
          <w:p w:rsidR="003A0D0C" w:rsidRDefault="003A0D0C" w:rsidP="002221E6">
            <w:pPr>
              <w:pStyle w:val="NoSpacing"/>
              <w:jc w:val="right"/>
            </w:pPr>
            <w:r>
              <w:t>31 August 2012</w:t>
            </w:r>
          </w:p>
        </w:tc>
        <w:tc>
          <w:tcPr>
            <w:tcW w:w="283" w:type="dxa"/>
            <w:tcMar>
              <w:left w:w="57" w:type="dxa"/>
              <w:right w:w="57" w:type="dxa"/>
            </w:tcMar>
          </w:tcPr>
          <w:p w:rsidR="003A0D0C" w:rsidRPr="00B4687B" w:rsidRDefault="003A0D0C" w:rsidP="002221E6">
            <w:pPr>
              <w:pStyle w:val="NoSpacing"/>
            </w:pPr>
          </w:p>
        </w:tc>
        <w:tc>
          <w:tcPr>
            <w:tcW w:w="2286" w:type="dxa"/>
            <w:tcMar>
              <w:left w:w="57" w:type="dxa"/>
              <w:right w:w="57" w:type="dxa"/>
            </w:tcMar>
          </w:tcPr>
          <w:p w:rsidR="003A0D0C" w:rsidRPr="00B4687B" w:rsidRDefault="003A0D0C" w:rsidP="002221E6">
            <w:pPr>
              <w:pStyle w:val="NoSpacing"/>
            </w:pPr>
            <w:r w:rsidRPr="00B4687B">
              <w:t>Clinical Outcomes</w:t>
            </w:r>
          </w:p>
        </w:tc>
        <w:tc>
          <w:tcPr>
            <w:tcW w:w="236" w:type="dxa"/>
            <w:tcMar>
              <w:left w:w="57" w:type="dxa"/>
              <w:right w:w="57" w:type="dxa"/>
            </w:tcMar>
          </w:tcPr>
          <w:p w:rsidR="003A0D0C" w:rsidRDefault="003A0D0C" w:rsidP="002221E6">
            <w:pPr>
              <w:pStyle w:val="NoSpacing"/>
            </w:pPr>
          </w:p>
        </w:tc>
        <w:tc>
          <w:tcPr>
            <w:tcW w:w="3585" w:type="dxa"/>
            <w:tcMar>
              <w:left w:w="57" w:type="dxa"/>
              <w:right w:w="57" w:type="dxa"/>
            </w:tcMar>
          </w:tcPr>
          <w:p w:rsidR="003A0D0C" w:rsidRDefault="003A0D0C" w:rsidP="002221E6">
            <w:pPr>
              <w:pStyle w:val="NoSpacing"/>
            </w:pPr>
            <w:r>
              <w:t>April 2011 to March 2012</w:t>
            </w:r>
          </w:p>
        </w:tc>
      </w:tr>
    </w:tbl>
    <w:p w:rsidR="003A0D0C" w:rsidRDefault="003A0D0C" w:rsidP="003A0D0C">
      <w:pPr>
        <w:pStyle w:val="NoSpacing"/>
      </w:pPr>
    </w:p>
    <w:p w:rsidR="003A0D0C" w:rsidRDefault="003A0D0C" w:rsidP="003A0D0C">
      <w:pPr>
        <w:pStyle w:val="Heading3"/>
      </w:pPr>
      <w:r>
        <w:t>C3</w:t>
      </w:r>
      <w:r>
        <w:tab/>
        <w:t>AQI Scope</w:t>
      </w:r>
    </w:p>
    <w:p w:rsidR="003A0D0C" w:rsidRDefault="003A0D0C" w:rsidP="003A0D0C">
      <w:r>
        <w:t>The Ambulance Quality Indicators (AQI) include calls made by dialling either the usual UK-wide number 999 or its EU equivalent 112.</w:t>
      </w:r>
    </w:p>
    <w:p w:rsidR="003A0D0C" w:rsidRDefault="003A0D0C" w:rsidP="003A0D0C">
      <w:r>
        <w:t xml:space="preserve">As described in the specification guidance </w:t>
      </w:r>
      <w:r w:rsidR="00145BE4">
        <w:t xml:space="preserve">document </w:t>
      </w:r>
      <w:r>
        <w:t xml:space="preserve">mentioned above, calls made to NHS 111 are not included in AQI telephony data items. These comprise the </w:t>
      </w:r>
      <w:r>
        <w:lastRenderedPageBreak/>
        <w:t>measures for calls abandoned (SQU03_1_1), re-contacts (SQU03_2_1 and SQU03_2_2), frequent callers (SQU03_2_3), time to answer calls (SQU03_8_1_1) and calls resolved by telephone advice (SQU03_10_1).</w:t>
      </w:r>
    </w:p>
    <w:p w:rsidR="003A0D0C" w:rsidRDefault="003A0D0C" w:rsidP="003A0D0C">
      <w:r>
        <w:t xml:space="preserve">All other Systems Indicators involve the dispatch of an ambulance, and they include ambulances dispatched as a result of a call to NHS 111, as well as 999 or 112. </w:t>
      </w:r>
    </w:p>
    <w:p w:rsidR="003A0D0C" w:rsidRDefault="003A0D0C" w:rsidP="003A0D0C">
      <w:pPr>
        <w:pStyle w:val="Heading3"/>
      </w:pPr>
      <w:r>
        <w:t>C4</w:t>
      </w:r>
      <w:r>
        <w:tab/>
      </w:r>
      <w:r w:rsidRPr="00335EE6">
        <w:t xml:space="preserve">Related </w:t>
      </w:r>
      <w:r>
        <w:t>statistics in England</w:t>
      </w:r>
    </w:p>
    <w:p w:rsidR="003A0D0C" w:rsidRDefault="003A0D0C" w:rsidP="003A0D0C">
      <w:r>
        <w:t xml:space="preserve">The AQI appear in a Clinical Dashboard, available from the AQI landing page, the websites of the Ambulance Trusts (listed in the AQI Quality Statement), and </w:t>
      </w:r>
      <w:hyperlink r:id="rId20" w:history="1">
        <w:r w:rsidRPr="000772FB">
          <w:rPr>
            <w:rStyle w:val="Hyperlink"/>
            <w:lang w:eastAsia="en-US"/>
          </w:rPr>
          <w:t>http://aace.org.uk/national-p</w:t>
        </w:r>
        <w:r w:rsidRPr="000772FB">
          <w:rPr>
            <w:rStyle w:val="Hyperlink"/>
            <w:lang w:eastAsia="en-US"/>
          </w:rPr>
          <w:t>e</w:t>
        </w:r>
        <w:r w:rsidRPr="000772FB">
          <w:rPr>
            <w:rStyle w:val="Hyperlink"/>
            <w:lang w:eastAsia="en-US"/>
          </w:rPr>
          <w:t>rformance/national-clinical-dashboards</w:t>
        </w:r>
      </w:hyperlink>
      <w:r>
        <w:t xml:space="preserve">. </w:t>
      </w:r>
      <w:r w:rsidRPr="000D14CB">
        <w:t>One of the aims of the</w:t>
      </w:r>
      <w:r>
        <w:t>se</w:t>
      </w:r>
      <w:r w:rsidRPr="000D14CB">
        <w:t xml:space="preserve"> </w:t>
      </w:r>
      <w:r>
        <w:t>D</w:t>
      </w:r>
      <w:r w:rsidRPr="000D14CB">
        <w:t>ashboard</w:t>
      </w:r>
      <w:r>
        <w:t>s</w:t>
      </w:r>
      <w:r w:rsidRPr="000D14CB">
        <w:t xml:space="preserve"> is to use statistical process control</w:t>
      </w:r>
      <w:r>
        <w:t>,</w:t>
      </w:r>
      <w:r w:rsidRPr="000D14CB">
        <w:t xml:space="preserve"> to indicate whether variation in </w:t>
      </w:r>
      <w:r w:rsidR="000D4CAE">
        <w:t>proportions</w:t>
      </w:r>
      <w:r w:rsidRPr="000D14CB">
        <w:t xml:space="preserve"> reflects underlying change</w:t>
      </w:r>
      <w:r>
        <w:t>,</w:t>
      </w:r>
      <w:r w:rsidRPr="000D14CB">
        <w:t xml:space="preserve"> or merely natural variance, unavoidable even when a health system is performing well.</w:t>
      </w:r>
    </w:p>
    <w:p w:rsidR="003A0D0C" w:rsidRDefault="003A0D0C" w:rsidP="003A0D0C">
      <w:r>
        <w:t xml:space="preserve">The AQI are also used in the latest annual Ambulance Services publication </w:t>
      </w:r>
      <w:hyperlink r:id="rId21" w:history="1">
        <w:r w:rsidRPr="00C33A47">
          <w:rPr>
            <w:rStyle w:val="Hyperlink"/>
          </w:rPr>
          <w:t>www.hscic.gov.uk/article/202</w:t>
        </w:r>
        <w:r w:rsidRPr="00C33A47">
          <w:rPr>
            <w:rStyle w:val="Hyperlink"/>
          </w:rPr>
          <w:t>1</w:t>
        </w:r>
        <w:r w:rsidRPr="00C33A47">
          <w:rPr>
            <w:rStyle w:val="Hyperlink"/>
          </w:rPr>
          <w:t>/Website-Search?productid=15165</w:t>
        </w:r>
      </w:hyperlink>
      <w:r>
        <w:t xml:space="preserve"> by the Health and Social Care Information Centre (HSCIC), which includes additional </w:t>
      </w:r>
      <w:r w:rsidRPr="00C739C2">
        <w:t>annual analysis and commentary</w:t>
      </w:r>
      <w:r>
        <w:t>. Originally, this publication</w:t>
      </w:r>
      <w:r w:rsidR="00D124B3">
        <w:t xml:space="preserve"> used the KA34 data collection, which </w:t>
      </w:r>
      <w:r>
        <w:t>was similar to the AQI</w:t>
      </w:r>
      <w:r w:rsidRPr="003E4789">
        <w:t xml:space="preserve"> </w:t>
      </w:r>
      <w:r>
        <w:t xml:space="preserve">Systems Indicators, but annual, and ceased collection in March 2013. The HSCIC </w:t>
      </w:r>
      <w:r w:rsidR="00D124B3">
        <w:t xml:space="preserve">publication </w:t>
      </w:r>
      <w:r>
        <w:t>therefore uses AQI data thereafter.</w:t>
      </w:r>
    </w:p>
    <w:p w:rsidR="003A0D0C" w:rsidRDefault="003A0D0C" w:rsidP="003A0D0C">
      <w:r>
        <w:t>The AQI Quality Statement described in section C1 contains more information on the HSCIC publication. It also contains details of weekly ambulance situation reports that NHS England collected for six months from November 2010.</w:t>
      </w:r>
    </w:p>
    <w:p w:rsidR="003A0D0C" w:rsidRDefault="003A0D0C" w:rsidP="003A0D0C">
      <w:pPr>
        <w:pStyle w:val="Heading3"/>
      </w:pPr>
      <w:r>
        <w:t>C5</w:t>
      </w:r>
      <w:r>
        <w:tab/>
        <w:t xml:space="preserve">Rest of </w:t>
      </w:r>
      <w:r w:rsidR="00D124B3">
        <w:t>United Kingdom</w:t>
      </w:r>
    </w:p>
    <w:p w:rsidR="003A0D0C" w:rsidRDefault="003A0D0C" w:rsidP="003A0D0C">
      <w:pPr>
        <w:rPr>
          <w:rFonts w:cs="Arial"/>
        </w:rPr>
      </w:pPr>
      <w:r>
        <w:rPr>
          <w:rFonts w:cs="Arial"/>
        </w:rPr>
        <w:t>A</w:t>
      </w:r>
      <w:r w:rsidRPr="005538AF">
        <w:rPr>
          <w:rFonts w:cs="Arial"/>
        </w:rPr>
        <w:t xml:space="preserve">mbulance statistics </w:t>
      </w:r>
      <w:r>
        <w:rPr>
          <w:rFonts w:cs="Arial"/>
        </w:rPr>
        <w:t xml:space="preserve">for other countries of the UK </w:t>
      </w:r>
      <w:r w:rsidRPr="005538AF">
        <w:rPr>
          <w:rFonts w:cs="Arial"/>
        </w:rPr>
        <w:t>can be found at</w:t>
      </w:r>
      <w:r>
        <w:rPr>
          <w:rFonts w:cs="Arial"/>
        </w:rPr>
        <w:t xml:space="preserve"> the following websites. The AQI Quality Statement described in section C1 contains more information about the comparability of these statistics.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7280"/>
      </w:tblGrid>
      <w:tr w:rsidR="003A0D0C" w:rsidTr="002221E6">
        <w:trPr>
          <w:trHeight w:val="669"/>
        </w:trPr>
        <w:tc>
          <w:tcPr>
            <w:tcW w:w="1242" w:type="dxa"/>
          </w:tcPr>
          <w:p w:rsidR="003A0D0C" w:rsidRDefault="003A0D0C" w:rsidP="002221E6">
            <w:pPr>
              <w:pStyle w:val="NoSpacing"/>
            </w:pPr>
            <w:r w:rsidRPr="000F5B3F">
              <w:t>Wales</w:t>
            </w:r>
            <w:r w:rsidRPr="00151AF2">
              <w:t>:</w:t>
            </w:r>
          </w:p>
        </w:tc>
        <w:tc>
          <w:tcPr>
            <w:tcW w:w="7280" w:type="dxa"/>
          </w:tcPr>
          <w:p w:rsidR="003A0D0C" w:rsidRDefault="003B72E1" w:rsidP="002221E6">
            <w:pPr>
              <w:pStyle w:val="NoSpacing"/>
            </w:pPr>
            <w:hyperlink r:id="rId22" w:history="1">
              <w:r w:rsidR="003A0D0C" w:rsidRPr="00C33A47">
                <w:rPr>
                  <w:rStyle w:val="Hyperlink"/>
                </w:rPr>
                <w:t>http://wales.</w:t>
              </w:r>
              <w:r w:rsidR="003A0D0C" w:rsidRPr="00C33A47">
                <w:rPr>
                  <w:rStyle w:val="Hyperlink"/>
                </w:rPr>
                <w:t>g</w:t>
              </w:r>
              <w:r w:rsidR="003A0D0C" w:rsidRPr="00C33A47">
                <w:rPr>
                  <w:rStyle w:val="Hyperlink"/>
                </w:rPr>
                <w:t>ov.uk/statistics-and-research/ambulance-services/?lang=en</w:t>
              </w:r>
            </w:hyperlink>
          </w:p>
        </w:tc>
      </w:tr>
      <w:tr w:rsidR="003A0D0C" w:rsidTr="002221E6">
        <w:trPr>
          <w:trHeight w:val="693"/>
        </w:trPr>
        <w:tc>
          <w:tcPr>
            <w:tcW w:w="1242" w:type="dxa"/>
          </w:tcPr>
          <w:p w:rsidR="003A0D0C" w:rsidRDefault="003A0D0C" w:rsidP="002221E6">
            <w:pPr>
              <w:pStyle w:val="NoSpacing"/>
            </w:pPr>
            <w:r w:rsidRPr="000F5B3F">
              <w:t>Scotland</w:t>
            </w:r>
            <w:r>
              <w:t>:</w:t>
            </w:r>
          </w:p>
        </w:tc>
        <w:tc>
          <w:tcPr>
            <w:tcW w:w="7280" w:type="dxa"/>
          </w:tcPr>
          <w:p w:rsidR="003A0D0C" w:rsidRDefault="003A0D0C" w:rsidP="002221E6">
            <w:pPr>
              <w:pStyle w:val="NoSpacing"/>
            </w:pPr>
            <w:r>
              <w:t xml:space="preserve">See </w:t>
            </w:r>
            <w:r>
              <w:rPr>
                <w:lang w:eastAsia="en-US"/>
              </w:rPr>
              <w:t>Quality Improvement Indicators (QII) documents at</w:t>
            </w:r>
            <w:r>
              <w:t xml:space="preserve"> </w:t>
            </w:r>
            <w:hyperlink r:id="rId23" w:history="1">
              <w:r w:rsidRPr="0042008D">
                <w:rPr>
                  <w:rStyle w:val="Hyperlink"/>
                  <w:lang w:eastAsia="en-US"/>
                </w:rPr>
                <w:t>www.scottishambul</w:t>
              </w:r>
              <w:r w:rsidRPr="0042008D">
                <w:rPr>
                  <w:rStyle w:val="Hyperlink"/>
                  <w:lang w:eastAsia="en-US"/>
                </w:rPr>
                <w:t>a</w:t>
              </w:r>
              <w:r w:rsidRPr="0042008D">
                <w:rPr>
                  <w:rStyle w:val="Hyperlink"/>
                  <w:lang w:eastAsia="en-US"/>
                </w:rPr>
                <w:t>nce.com/TheService/BoardPapers.aspx</w:t>
              </w:r>
            </w:hyperlink>
          </w:p>
        </w:tc>
      </w:tr>
      <w:tr w:rsidR="003A0D0C" w:rsidTr="002221E6">
        <w:tc>
          <w:tcPr>
            <w:tcW w:w="1242" w:type="dxa"/>
          </w:tcPr>
          <w:p w:rsidR="003A0D0C" w:rsidRDefault="003A0D0C" w:rsidP="002221E6">
            <w:pPr>
              <w:pStyle w:val="NoSpacing"/>
            </w:pPr>
            <w:r w:rsidRPr="000F5B3F">
              <w:t>Northern Ireland</w:t>
            </w:r>
            <w:r>
              <w:t>:</w:t>
            </w:r>
          </w:p>
        </w:tc>
        <w:tc>
          <w:tcPr>
            <w:tcW w:w="7280" w:type="dxa"/>
          </w:tcPr>
          <w:p w:rsidR="003A0D0C" w:rsidRPr="0039160E" w:rsidRDefault="003B72E1" w:rsidP="002221E6">
            <w:pPr>
              <w:rPr>
                <w:lang w:eastAsia="en-US"/>
              </w:rPr>
            </w:pPr>
            <w:hyperlink r:id="rId24" w:history="1">
              <w:r w:rsidR="003A0D0C" w:rsidRPr="00F76843">
                <w:rPr>
                  <w:rStyle w:val="Hyperlink"/>
                  <w:lang w:eastAsia="en-US"/>
                </w:rPr>
                <w:t>www.dhsspsni.g</w:t>
              </w:r>
              <w:r w:rsidR="003A0D0C" w:rsidRPr="00F76843">
                <w:rPr>
                  <w:rStyle w:val="Hyperlink"/>
                  <w:lang w:eastAsia="en-US"/>
                </w:rPr>
                <w:t>o</w:t>
              </w:r>
              <w:r w:rsidR="003A0D0C" w:rsidRPr="00F76843">
                <w:rPr>
                  <w:rStyle w:val="Hyperlink"/>
                  <w:lang w:eastAsia="en-US"/>
                </w:rPr>
                <w:t>v.uk/index/statistics/hospital/emergency-care/ambulance-statistics.htm</w:t>
              </w:r>
            </w:hyperlink>
          </w:p>
        </w:tc>
      </w:tr>
    </w:tbl>
    <w:p w:rsidR="003A0D0C" w:rsidRPr="000D14CB" w:rsidRDefault="003A0D0C" w:rsidP="003A0D0C">
      <w:pPr>
        <w:pStyle w:val="Heading3"/>
      </w:pPr>
      <w:r>
        <w:t>C6</w:t>
      </w:r>
      <w:r>
        <w:tab/>
        <w:t>Contact information</w:t>
      </w:r>
    </w:p>
    <w:p w:rsidR="003A0D0C" w:rsidRDefault="003A0D0C" w:rsidP="003A0D0C">
      <w:pPr>
        <w:autoSpaceDE w:val="0"/>
        <w:autoSpaceDN w:val="0"/>
        <w:adjustRightInd w:val="0"/>
        <w:rPr>
          <w:rFonts w:cs="Arial"/>
        </w:rPr>
      </w:pPr>
      <w:r w:rsidRPr="000F5B3F">
        <w:rPr>
          <w:rFonts w:cs="Arial"/>
        </w:rPr>
        <w:t xml:space="preserve">For press enquiries, please contact the </w:t>
      </w:r>
      <w:r>
        <w:rPr>
          <w:rFonts w:cs="Arial"/>
        </w:rPr>
        <w:t xml:space="preserve">NHS England </w:t>
      </w:r>
      <w:r w:rsidRPr="000F5B3F">
        <w:rPr>
          <w:rFonts w:cs="Arial"/>
        </w:rPr>
        <w:t>press office</w:t>
      </w:r>
      <w:r>
        <w:rPr>
          <w:rFonts w:cs="Arial"/>
        </w:rPr>
        <w:t xml:space="preserve"> on 0113 825 0958 or </w:t>
      </w:r>
      <w:hyperlink r:id="rId25" w:history="1">
        <w:r w:rsidRPr="008369E4">
          <w:rPr>
            <w:rStyle w:val="Hyperlink"/>
            <w:rFonts w:cs="Arial"/>
          </w:rPr>
          <w:t>nhsengland.medi</w:t>
        </w:r>
        <w:r w:rsidRPr="008369E4">
          <w:rPr>
            <w:rStyle w:val="Hyperlink"/>
            <w:rFonts w:cs="Arial"/>
          </w:rPr>
          <w:t>a</w:t>
        </w:r>
        <w:r w:rsidRPr="008369E4">
          <w:rPr>
            <w:rStyle w:val="Hyperlink"/>
            <w:rFonts w:cs="Arial"/>
          </w:rPr>
          <w:t>@nhs.net</w:t>
        </w:r>
      </w:hyperlink>
      <w:r>
        <w:rPr>
          <w:rFonts w:cs="Arial"/>
        </w:rPr>
        <w:t>.</w:t>
      </w:r>
    </w:p>
    <w:p w:rsidR="003A0D0C" w:rsidRPr="000F5B3F" w:rsidRDefault="003A0D0C" w:rsidP="003A0D0C">
      <w:pPr>
        <w:autoSpaceDE w:val="0"/>
        <w:autoSpaceDN w:val="0"/>
        <w:adjustRightInd w:val="0"/>
        <w:rPr>
          <w:rFonts w:cs="Arial"/>
        </w:rPr>
      </w:pPr>
      <w:r w:rsidRPr="000F5B3F">
        <w:rPr>
          <w:rFonts w:cs="Arial"/>
        </w:rPr>
        <w:t>The Government Statistical Service (GSS) statistician responsible for producing these data is:</w:t>
      </w:r>
    </w:p>
    <w:p w:rsidR="00145BE4" w:rsidRDefault="003A0D0C">
      <w:pPr>
        <w:pStyle w:val="NoSpacing"/>
      </w:pPr>
      <w:r w:rsidRPr="000F5B3F">
        <w:t>Ian Kay</w:t>
      </w:r>
      <w:r>
        <w:t>,</w:t>
      </w:r>
      <w:r w:rsidRPr="00C21149">
        <w:t xml:space="preserve"> </w:t>
      </w:r>
      <w:r w:rsidRPr="000F5B3F">
        <w:t>Analytical Services (Operations)</w:t>
      </w:r>
      <w:r>
        <w:t xml:space="preserve">, </w:t>
      </w:r>
      <w:r w:rsidRPr="000F5B3F">
        <w:t>NHS England</w:t>
      </w:r>
      <w:r>
        <w:t xml:space="preserve">, </w:t>
      </w:r>
      <w:r w:rsidRPr="000F5B3F">
        <w:t xml:space="preserve">Room </w:t>
      </w:r>
      <w:r>
        <w:t>5E24</w:t>
      </w:r>
      <w:r w:rsidRPr="000F5B3F">
        <w:t>, Quarry House, Leeds, LS2 7UE</w:t>
      </w:r>
      <w:r w:rsidR="00145BE4">
        <w:t xml:space="preserve">; </w:t>
      </w:r>
      <w:r>
        <w:t>0113 824 9411</w:t>
      </w:r>
      <w:r w:rsidR="00145BE4">
        <w:t xml:space="preserve">; </w:t>
      </w:r>
      <w:hyperlink r:id="rId26" w:history="1">
        <w:r w:rsidRPr="009A0418">
          <w:rPr>
            <w:rStyle w:val="Hyperlink"/>
          </w:rPr>
          <w:t>i.kay@</w:t>
        </w:r>
        <w:r w:rsidRPr="009A0418">
          <w:rPr>
            <w:rStyle w:val="Hyperlink"/>
          </w:rPr>
          <w:t>n</w:t>
        </w:r>
        <w:r w:rsidRPr="009A0418">
          <w:rPr>
            <w:rStyle w:val="Hyperlink"/>
          </w:rPr>
          <w:t>hs.net</w:t>
        </w:r>
      </w:hyperlink>
    </w:p>
    <w:sectPr w:rsidR="00145BE4" w:rsidSect="00B412D1">
      <w:headerReference w:type="default" r:id="rId27"/>
      <w:footerReference w:type="default" r:id="rId2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1E6" w:rsidRDefault="002221E6" w:rsidP="008C63D3">
      <w:r>
        <w:separator/>
      </w:r>
    </w:p>
  </w:endnote>
  <w:endnote w:type="continuationSeparator" w:id="0">
    <w:p w:rsidR="002221E6" w:rsidRDefault="002221E6" w:rsidP="008C6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1E6" w:rsidRDefault="002221E6" w:rsidP="00E924D4">
    <w:pPr>
      <w:pStyle w:val="Footer"/>
      <w:tabs>
        <w:tab w:val="clear" w:pos="9026"/>
        <w:tab w:val="left" w:pos="5025"/>
        <w:tab w:val="right" w:pos="8364"/>
      </w:tabs>
    </w:pPr>
    <w:r>
      <w:t>NHS England AQI Statistical Note, 9 April 2015.</w:t>
    </w:r>
    <w:r>
      <w:tab/>
    </w:r>
    <w:r>
      <w:tab/>
    </w:r>
    <w:r>
      <w:tab/>
      <w:t xml:space="preserve">Page </w:t>
    </w:r>
    <w:r>
      <w:fldChar w:fldCharType="begin"/>
    </w:r>
    <w:r>
      <w:instrText xml:space="preserve"> PAGE   \* MERGEFORMAT </w:instrText>
    </w:r>
    <w:r>
      <w:fldChar w:fldCharType="separate"/>
    </w:r>
    <w:r w:rsidR="00C94BBC">
      <w:rPr>
        <w:noProof/>
      </w:rPr>
      <w:t>4</w:t>
    </w:r>
    <w:r>
      <w:rPr>
        <w:noProof/>
      </w:rPr>
      <w:fldChar w:fldCharType="end"/>
    </w:r>
    <w:r>
      <w:rPr>
        <w:noProof/>
      </w:rPr>
      <w:t xml:space="preserve"> of </w:t>
    </w:r>
    <w:r w:rsidR="003B72E1">
      <w:fldChar w:fldCharType="begin"/>
    </w:r>
    <w:r w:rsidR="003B72E1">
      <w:instrText xml:space="preserve"> NUMPAGES   \* MERGEFORMAT </w:instrText>
    </w:r>
    <w:r w:rsidR="003B72E1">
      <w:fldChar w:fldCharType="separate"/>
    </w:r>
    <w:r w:rsidR="00C94BBC">
      <w:rPr>
        <w:noProof/>
      </w:rPr>
      <w:t>11</w:t>
    </w:r>
    <w:r w:rsidR="003B72E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1E6" w:rsidRDefault="002221E6" w:rsidP="008C63D3">
      <w:r>
        <w:separator/>
      </w:r>
    </w:p>
  </w:footnote>
  <w:footnote w:type="continuationSeparator" w:id="0">
    <w:p w:rsidR="002221E6" w:rsidRDefault="002221E6" w:rsidP="008C63D3">
      <w:r>
        <w:continuationSeparator/>
      </w:r>
    </w:p>
  </w:footnote>
  <w:footnote w:id="1">
    <w:p w:rsidR="002221E6" w:rsidRDefault="002221E6" w:rsidP="00BE2594">
      <w:pPr>
        <w:pStyle w:val="Footer"/>
        <w:rPr>
          <w:rStyle w:val="Hyperlink"/>
          <w:lang w:eastAsia="en-US"/>
        </w:rPr>
      </w:pPr>
      <w:r>
        <w:rPr>
          <w:rStyle w:val="FootnoteReference"/>
        </w:rPr>
        <w:footnoteRef/>
      </w:r>
      <w:r>
        <w:t xml:space="preserve"> </w:t>
      </w:r>
      <w:r w:rsidR="00774123">
        <w:t>Page 30 of the</w:t>
      </w:r>
      <w:r>
        <w:t xml:space="preserve"> </w:t>
      </w:r>
      <w:r w:rsidRPr="000F3EC8">
        <w:t>Handbook to the NHS Constitution</w:t>
      </w:r>
      <w:r w:rsidR="00774123">
        <w:t xml:space="preserve"> has</w:t>
      </w:r>
      <w:r w:rsidR="00774123" w:rsidRPr="00774123">
        <w:t xml:space="preserve"> </w:t>
      </w:r>
      <w:r w:rsidR="00774123">
        <w:t>Ambulance response time standards,</w:t>
      </w:r>
      <w:r>
        <w:t xml:space="preserve"> </w:t>
      </w:r>
      <w:hyperlink r:id="rId1" w:history="1">
        <w:r w:rsidRPr="00CD4562">
          <w:rPr>
            <w:rStyle w:val="Hyperlink"/>
            <w:lang w:eastAsia="en-US"/>
          </w:rPr>
          <w:t>www.nhs.uk/choiceinthe</w:t>
        </w:r>
        <w:r w:rsidRPr="00CD4562">
          <w:rPr>
            <w:rStyle w:val="Hyperlink"/>
            <w:lang w:eastAsia="en-US"/>
          </w:rPr>
          <w:t>N</w:t>
        </w:r>
        <w:r w:rsidRPr="00CD4562">
          <w:rPr>
            <w:rStyle w:val="Hyperlink"/>
            <w:lang w:eastAsia="en-US"/>
          </w:rPr>
          <w:t>HS/Rightsandpledges/NHSConstitutio</w:t>
        </w:r>
        <w:r w:rsidRPr="00CD4562">
          <w:rPr>
            <w:rStyle w:val="Hyperlink"/>
            <w:lang w:eastAsia="en-US"/>
          </w:rPr>
          <w:t>n</w:t>
        </w:r>
        <w:r w:rsidRPr="00CD4562">
          <w:rPr>
            <w:rStyle w:val="Hyperlink"/>
            <w:lang w:eastAsia="en-US"/>
          </w:rPr>
          <w:t>/Pages/Overview.aspx</w:t>
        </w:r>
      </w:hyperlink>
      <w:r>
        <w:rPr>
          <w:rStyle w:val="Hyperlink"/>
          <w:lang w:eastAsia="en-US"/>
        </w:rPr>
        <w:t>.</w:t>
      </w:r>
    </w:p>
    <w:p w:rsidR="00774123" w:rsidRDefault="00774123" w:rsidP="00BE2594">
      <w:pPr>
        <w:pStyle w:val="Footer"/>
      </w:pPr>
    </w:p>
  </w:footnote>
  <w:footnote w:id="2">
    <w:p w:rsidR="002221E6" w:rsidRPr="00DC4BF3" w:rsidRDefault="002221E6" w:rsidP="00526112">
      <w:pPr>
        <w:pStyle w:val="Footer"/>
        <w:rPr>
          <w:rFonts w:cs="Arial"/>
          <w:color w:val="0000FF"/>
          <w:szCs w:val="20"/>
          <w:u w:val="single"/>
        </w:rPr>
      </w:pPr>
      <w:r>
        <w:rPr>
          <w:rStyle w:val="FootnoteReference"/>
        </w:rPr>
        <w:footnoteRef/>
      </w:r>
      <w:r>
        <w:t xml:space="preserve"> On 1 June 2012, </w:t>
      </w:r>
      <w:r w:rsidRPr="00340492">
        <w:t>Category A (immediately life-threatening)</w:t>
      </w:r>
      <w:r>
        <w:t xml:space="preserve"> calls were </w:t>
      </w:r>
      <w:r w:rsidRPr="00E043A8">
        <w:t xml:space="preserve">split into </w:t>
      </w:r>
      <w:r>
        <w:t xml:space="preserve">Red 1 and Red 2. </w:t>
      </w:r>
      <w:r w:rsidRPr="00340492">
        <w:t>Red 1 calls are the most time critical, and cover cardiac arrest patients who are not breathing and do not have a pulse, and other severe conditions such as airway obstruction. Red 2 calls are serious, but less immediately time critical, and cover conditions such as stroke and fits</w:t>
      </w:r>
      <w:r>
        <w:t xml:space="preserve">. </w:t>
      </w:r>
      <w:hyperlink r:id="rId2" w:history="1">
        <w:r w:rsidRPr="00340492">
          <w:rPr>
            <w:rStyle w:val="Hyperlink"/>
            <w:rFonts w:cs="Arial"/>
            <w:szCs w:val="20"/>
          </w:rPr>
          <w:t>www.gov.uk/government/news/changes-to-ambulance-respons</w:t>
        </w:r>
        <w:r w:rsidRPr="00340492">
          <w:rPr>
            <w:rStyle w:val="Hyperlink"/>
            <w:rFonts w:cs="Arial"/>
            <w:szCs w:val="20"/>
          </w:rPr>
          <w:t>e</w:t>
        </w:r>
        <w:r w:rsidRPr="00340492">
          <w:rPr>
            <w:rStyle w:val="Hyperlink"/>
            <w:rFonts w:cs="Arial"/>
            <w:szCs w:val="20"/>
          </w:rPr>
          <w:t>-time-categories</w:t>
        </w:r>
      </w:hyperlink>
    </w:p>
  </w:footnote>
  <w:footnote w:id="3">
    <w:p w:rsidR="002221E6" w:rsidRDefault="002221E6" w:rsidP="008076E2">
      <w:pPr>
        <w:pStyle w:val="Footer"/>
      </w:pPr>
      <w:r>
        <w:rPr>
          <w:rStyle w:val="FootnoteReference"/>
        </w:rPr>
        <w:footnoteRef/>
      </w:r>
      <w:r>
        <w:t xml:space="preserve"> </w:t>
      </w:r>
      <w:r w:rsidRPr="00151AF2">
        <w:rPr>
          <w:rFonts w:cs="Arial"/>
        </w:rPr>
        <w:t>Due to differences in clock start definitions for</w:t>
      </w:r>
      <w:r>
        <w:rPr>
          <w:rFonts w:cs="Arial"/>
        </w:rPr>
        <w:t xml:space="preserve"> Red 1 and Red 2 (see section A2),</w:t>
      </w:r>
      <w:r w:rsidRPr="00151AF2">
        <w:rPr>
          <w:rFonts w:cs="Arial"/>
        </w:rPr>
        <w:t xml:space="preserve"> it is not possible to aggregate </w:t>
      </w:r>
      <w:r>
        <w:rPr>
          <w:rFonts w:cs="Arial"/>
        </w:rPr>
        <w:t xml:space="preserve">them </w:t>
      </w:r>
      <w:r w:rsidRPr="00151AF2">
        <w:rPr>
          <w:rFonts w:cs="Arial"/>
        </w:rPr>
        <w:t xml:space="preserve">into a </w:t>
      </w:r>
      <w:r w:rsidR="000D4CAE">
        <w:rPr>
          <w:rFonts w:cs="Arial"/>
        </w:rPr>
        <w:t xml:space="preserve">single </w:t>
      </w:r>
      <w:r w:rsidR="000D4CAE">
        <w:rPr>
          <w:rFonts w:cs="Arial"/>
        </w:rPr>
        <w:t xml:space="preserve">proportion </w:t>
      </w:r>
      <w:r w:rsidR="000D4CAE">
        <w:rPr>
          <w:rFonts w:cs="Arial"/>
        </w:rPr>
        <w:t xml:space="preserve">for </w:t>
      </w:r>
      <w:r w:rsidRPr="00151AF2">
        <w:rPr>
          <w:rFonts w:cs="Arial"/>
        </w:rPr>
        <w:t xml:space="preserve">Category A </w:t>
      </w:r>
      <w:r>
        <w:rPr>
          <w:rFonts w:cs="Arial"/>
        </w:rPr>
        <w:t>against the 8 minute standard.</w:t>
      </w:r>
    </w:p>
  </w:footnote>
  <w:footnote w:id="4">
    <w:p w:rsidR="002221E6" w:rsidRDefault="002221E6" w:rsidP="008C5A76">
      <w:pPr>
        <w:pStyle w:val="FootnoteText"/>
        <w:spacing w:after="0"/>
      </w:pPr>
      <w:r>
        <w:rPr>
          <w:rStyle w:val="FootnoteReference"/>
        </w:rPr>
        <w:footnoteRef/>
      </w:r>
      <w:r>
        <w:t xml:space="preserve"> DoD pilot announcement in January 2015: </w:t>
      </w:r>
      <w:hyperlink r:id="rId3" w:history="1">
        <w:r w:rsidRPr="00470B85">
          <w:rPr>
            <w:rStyle w:val="Hyperlink"/>
          </w:rPr>
          <w:t>www.parliam</w:t>
        </w:r>
        <w:r w:rsidRPr="00470B85">
          <w:rPr>
            <w:rStyle w:val="Hyperlink"/>
          </w:rPr>
          <w:t>e</w:t>
        </w:r>
        <w:r w:rsidRPr="00470B85">
          <w:rPr>
            <w:rStyle w:val="Hyperlink"/>
          </w:rPr>
          <w:t>nt.uk/business/publications/written-questions-answers-statements/written-statement/Commons/2015-01-16/HCWS201</w:t>
        </w:r>
      </w:hyperlink>
    </w:p>
  </w:footnote>
  <w:footnote w:id="5">
    <w:p w:rsidR="00A32B3E" w:rsidRDefault="002221E6" w:rsidP="00191AB9">
      <w:pPr>
        <w:pStyle w:val="Footer"/>
      </w:pPr>
      <w:r>
        <w:rPr>
          <w:rStyle w:val="FootnoteReference"/>
        </w:rPr>
        <w:footnoteRef/>
      </w:r>
      <w:r>
        <w:t xml:space="preserve"> </w:t>
      </w:r>
      <w:r w:rsidRPr="00C71776">
        <w:t>The number of</w:t>
      </w:r>
      <w:r>
        <w:t xml:space="preserve"> emergency </w:t>
      </w:r>
      <w:r w:rsidRPr="00C71776">
        <w:t xml:space="preserve">calls presented </w:t>
      </w:r>
      <w:r>
        <w:t>to switchboard</w:t>
      </w:r>
      <w:r w:rsidRPr="00C71776">
        <w:t xml:space="preserve"> </w:t>
      </w:r>
      <w:r>
        <w:t xml:space="preserve">does not usually include </w:t>
      </w:r>
      <w:r w:rsidRPr="00C71776">
        <w:t xml:space="preserve">calls </w:t>
      </w:r>
      <w:r>
        <w:t xml:space="preserve">made </w:t>
      </w:r>
      <w:r w:rsidRPr="00C71776">
        <w:t xml:space="preserve">to </w:t>
      </w:r>
      <w:r>
        <w:t xml:space="preserve">NHS </w:t>
      </w:r>
      <w:r w:rsidRPr="00C71776">
        <w:t xml:space="preserve">111 </w:t>
      </w:r>
      <w:r>
        <w:t>requiring</w:t>
      </w:r>
      <w:r w:rsidRPr="00C71776">
        <w:t xml:space="preserve"> an ambulance</w:t>
      </w:r>
      <w:r>
        <w:t xml:space="preserve">. 111 calls requiring an ambulance are usually </w:t>
      </w:r>
      <w:r w:rsidRPr="00C71776">
        <w:t>tra</w:t>
      </w:r>
      <w:r>
        <w:t xml:space="preserve">nsferred electronically direct to ambulance dispatch, and </w:t>
      </w:r>
      <w:r w:rsidRPr="00C71776">
        <w:t xml:space="preserve">not </w:t>
      </w:r>
      <w:r>
        <w:t xml:space="preserve">routed </w:t>
      </w:r>
      <w:r w:rsidRPr="00C71776">
        <w:t>via 999 call handlers. Occasionally, manual request</w:t>
      </w:r>
      <w:r>
        <w:t xml:space="preserve">s for </w:t>
      </w:r>
      <w:r w:rsidRPr="00C71776">
        <w:t>ambulance</w:t>
      </w:r>
      <w:r>
        <w:t xml:space="preserve"> are made between </w:t>
      </w:r>
      <w:r w:rsidRPr="00C71776">
        <w:t xml:space="preserve">111 </w:t>
      </w:r>
      <w:r>
        <w:t xml:space="preserve">and 999 </w:t>
      </w:r>
      <w:r w:rsidRPr="00C71776">
        <w:t>call handler</w:t>
      </w:r>
      <w:r>
        <w:t>s</w:t>
      </w:r>
      <w:r w:rsidRPr="00C71776">
        <w:t xml:space="preserve">, and </w:t>
      </w:r>
      <w:r>
        <w:t xml:space="preserve">such calls </w:t>
      </w:r>
      <w:r w:rsidRPr="00C71776">
        <w:t xml:space="preserve">are included in </w:t>
      </w:r>
      <w:r>
        <w:t>the number of emergency calls presented to switchboard.</w:t>
      </w:r>
    </w:p>
  </w:footnote>
  <w:footnote w:id="6">
    <w:p w:rsidR="002221E6" w:rsidRDefault="002221E6" w:rsidP="00191AB9">
      <w:pPr>
        <w:pStyle w:val="Footer"/>
      </w:pPr>
      <w:r>
        <w:rPr>
          <w:rStyle w:val="FootnoteReference"/>
        </w:rPr>
        <w:footnoteRef/>
      </w:r>
      <w:r>
        <w:t xml:space="preserve"> </w:t>
      </w:r>
      <w:proofErr w:type="gramStart"/>
      <w:r>
        <w:t>Type 1 are</w:t>
      </w:r>
      <w:proofErr w:type="gramEnd"/>
      <w:r>
        <w:t xml:space="preserve"> consultant-led 24 hour emergency departments with full resuscitation facilities.</w:t>
      </w:r>
    </w:p>
    <w:p w:rsidR="002221E6" w:rsidRDefault="002221E6" w:rsidP="00191AB9">
      <w:pPr>
        <w:pStyle w:val="Footer"/>
      </w:pPr>
      <w:r>
        <w:t>Type 2 offer a consultant-led speciality A&amp;E service such as ophthalmology or dental.</w:t>
      </w:r>
    </w:p>
    <w:p w:rsidR="002221E6" w:rsidRDefault="002221E6" w:rsidP="00191AB9">
      <w:pPr>
        <w:pStyle w:val="Footer"/>
      </w:pPr>
      <w:r>
        <w:t xml:space="preserve">Type 3 is </w:t>
      </w:r>
      <w:r w:rsidRPr="005239BD">
        <w:t>A&amp;E</w:t>
      </w:r>
      <w:r>
        <w:t xml:space="preserve"> </w:t>
      </w:r>
      <w:r w:rsidRPr="005239BD">
        <w:t>/</w:t>
      </w:r>
      <w:r>
        <w:t xml:space="preserve"> </w:t>
      </w:r>
      <w:r w:rsidRPr="005239BD">
        <w:t xml:space="preserve">minor injury </w:t>
      </w:r>
      <w:r>
        <w:t>activity that may be doctor-led or nurse-led.</w:t>
      </w:r>
    </w:p>
    <w:p w:rsidR="002221E6" w:rsidRDefault="002221E6" w:rsidP="00191AB9">
      <w:pPr>
        <w:pStyle w:val="Footer"/>
      </w:pPr>
      <w:r>
        <w:t>Type 4 are NHS walk-in centres. (</w:t>
      </w:r>
      <w:hyperlink r:id="rId4" w:history="1">
        <w:r w:rsidRPr="005239BD">
          <w:rPr>
            <w:rStyle w:val="Hyperlink"/>
          </w:rPr>
          <w:t>www.datadictionary.nh</w:t>
        </w:r>
        <w:r w:rsidRPr="005239BD">
          <w:rPr>
            <w:rStyle w:val="Hyperlink"/>
          </w:rPr>
          <w:t>s</w:t>
        </w:r>
        <w:r w:rsidRPr="005239BD">
          <w:rPr>
            <w:rStyle w:val="Hyperlink"/>
          </w:rPr>
          <w:t>.uk/data_dictionary/attributes/a/acc/</w:t>
        </w:r>
      </w:hyperlink>
      <w:r>
        <w:br/>
      </w:r>
      <w:hyperlink r:id="rId5" w:history="1">
        <w:r w:rsidRPr="005239BD">
          <w:rPr>
            <w:rStyle w:val="Hyperlink"/>
          </w:rPr>
          <w:t>accident_and_emergency_department_type_d</w:t>
        </w:r>
        <w:r w:rsidRPr="005239BD">
          <w:rPr>
            <w:rStyle w:val="Hyperlink"/>
          </w:rPr>
          <w:t>e</w:t>
        </w:r>
        <w:r w:rsidRPr="005239BD">
          <w:rPr>
            <w:rStyle w:val="Hyperlink"/>
          </w:rPr>
          <w:t>.asp</w:t>
        </w:r>
      </w:hyperlink>
      <w:r>
        <w:rPr>
          <w:rStyle w:val="Hyperlink"/>
        </w:rPr>
        <w:t>)</w:t>
      </w:r>
    </w:p>
  </w:footnote>
  <w:footnote w:id="7">
    <w:p w:rsidR="00B117F9" w:rsidRDefault="00B117F9" w:rsidP="00B117F9">
      <w:pPr>
        <w:pStyle w:val="FootnoteText"/>
        <w:spacing w:after="0"/>
      </w:pPr>
      <w:r>
        <w:rPr>
          <w:rStyle w:val="FootnoteReference"/>
        </w:rPr>
        <w:footnoteRef/>
      </w:r>
      <w:r>
        <w:t xml:space="preserve"> Excluding Isle of Wight.</w:t>
      </w:r>
    </w:p>
  </w:footnote>
  <w:footnote w:id="8">
    <w:p w:rsidR="002221E6" w:rsidRDefault="002221E6" w:rsidP="00C221BD">
      <w:pPr>
        <w:pStyle w:val="Footer"/>
      </w:pPr>
      <w:r>
        <w:rPr>
          <w:rStyle w:val="FootnoteReference"/>
        </w:rPr>
        <w:footnoteRef/>
      </w:r>
      <w:r>
        <w:t xml:space="preserve"> </w:t>
      </w:r>
      <w:r w:rsidRPr="007920B1">
        <w:t xml:space="preserve">This definition was proposed by an international group of cardiologists and </w:t>
      </w:r>
      <w:r w:rsidR="00B117F9">
        <w:t xml:space="preserve">other </w:t>
      </w:r>
      <w:r w:rsidRPr="007920B1">
        <w:t>health professionals at Utstein Abbey in Norway in 1990</w:t>
      </w:r>
      <w:r>
        <w:t xml:space="preserve">. </w:t>
      </w:r>
      <w:hyperlink r:id="rId6" w:history="1">
        <w:r w:rsidRPr="00416EE1">
          <w:rPr>
            <w:rStyle w:val="Hyperlink"/>
          </w:rPr>
          <w:t>http://</w:t>
        </w:r>
        <w:r w:rsidRPr="00416EE1">
          <w:rPr>
            <w:rStyle w:val="Hyperlink"/>
          </w:rPr>
          <w:t>c</w:t>
        </w:r>
        <w:r w:rsidRPr="00416EE1">
          <w:rPr>
            <w:rStyle w:val="Hyperlink"/>
          </w:rPr>
          <w:t>irc.ahajournals.org/content/84/2/960.citation</w:t>
        </w:r>
      </w:hyperlink>
    </w:p>
  </w:footnote>
  <w:footnote w:id="9">
    <w:p w:rsidR="003C24D1" w:rsidRDefault="003C24D1" w:rsidP="003C24D1">
      <w:pPr>
        <w:pStyle w:val="FootnoteText"/>
        <w:spacing w:after="0"/>
      </w:pPr>
      <w:r>
        <w:rPr>
          <w:rStyle w:val="FootnoteReference"/>
        </w:rPr>
        <w:footnoteRef/>
      </w:r>
      <w:r>
        <w:t xml:space="preserve"> </w:t>
      </w:r>
      <w:r w:rsidRPr="0095462C">
        <w:t xml:space="preserve">Due to its small size, </w:t>
      </w:r>
      <w:proofErr w:type="gramStart"/>
      <w:r w:rsidR="000D4CAE">
        <w:t xml:space="preserve">proportions for </w:t>
      </w:r>
      <w:r w:rsidRPr="0095462C">
        <w:t>Isle of Wight tends</w:t>
      </w:r>
      <w:proofErr w:type="gramEnd"/>
      <w:r w:rsidRPr="0095462C">
        <w:t xml:space="preserve"> </w:t>
      </w:r>
      <w:r>
        <w:t>to vary more than other Trusts.</w:t>
      </w:r>
    </w:p>
    <w:p w:rsidR="003C24D1" w:rsidRDefault="003C24D1" w:rsidP="003C24D1">
      <w:pPr>
        <w:pStyle w:val="FootnoteText"/>
        <w:spacing w:after="0"/>
      </w:pPr>
      <w:r w:rsidRPr="0095462C">
        <w:t xml:space="preserve">If Isle of Wight has the </w:t>
      </w:r>
      <w:r>
        <w:t xml:space="preserve">largest </w:t>
      </w:r>
      <w:r w:rsidRPr="0095462C">
        <w:t xml:space="preserve">or </w:t>
      </w:r>
      <w:r>
        <w:t>small</w:t>
      </w:r>
      <w:r w:rsidRPr="0095462C">
        <w:t xml:space="preserve">est value, </w:t>
      </w:r>
      <w:r>
        <w:t>Section B states</w:t>
      </w:r>
      <w:r w:rsidRPr="0095462C">
        <w:t xml:space="preserve"> the second </w:t>
      </w:r>
      <w:r>
        <w:t xml:space="preserve">largest </w:t>
      </w:r>
      <w:r w:rsidRPr="0095462C">
        <w:t xml:space="preserve">or </w:t>
      </w:r>
      <w:r>
        <w:t>small</w:t>
      </w:r>
      <w:r w:rsidRPr="0095462C">
        <w:t>est value, but with a footnote marker to show that</w:t>
      </w:r>
      <w:r>
        <w:t xml:space="preserve"> Isle of Wight is more extreme.</w:t>
      </w:r>
    </w:p>
  </w:footnote>
  <w:footnote w:id="10">
    <w:p w:rsidR="002221E6" w:rsidRDefault="002221E6" w:rsidP="0032599C">
      <w:pPr>
        <w:pStyle w:val="FootnoteText"/>
        <w:spacing w:after="0"/>
      </w:pPr>
      <w:r>
        <w:rPr>
          <w:rStyle w:val="FootnoteReference"/>
        </w:rPr>
        <w:footnoteRef/>
      </w:r>
      <w:r>
        <w:t xml:space="preserve"> Pages 21 to 25 of the specification guidance for data suppliers on the AQI landing page at </w:t>
      </w:r>
      <w:hyperlink r:id="rId7" w:history="1">
        <w:r w:rsidRPr="00BF4F52">
          <w:rPr>
            <w:rStyle w:val="Hyperlink"/>
          </w:rPr>
          <w:t>www.england.nhs.uk/statistics/statist</w:t>
        </w:r>
        <w:r w:rsidRPr="00BF4F52">
          <w:rPr>
            <w:rStyle w:val="Hyperlink"/>
          </w:rPr>
          <w:t>i</w:t>
        </w:r>
        <w:r w:rsidRPr="00BF4F52">
          <w:rPr>
            <w:rStyle w:val="Hyperlink"/>
          </w:rPr>
          <w:t>cal-work-areas/ambulance-quality-indicators</w:t>
        </w:r>
      </w:hyperlink>
      <w:r>
        <w:t xml:space="preserve"> describe</w:t>
      </w:r>
      <w:r w:rsidRPr="00BE72B7">
        <w:t xml:space="preserve"> </w:t>
      </w:r>
      <w:r>
        <w:t>the care bundles, and certain exclusions, for the STEMI and stroke indicators.</w:t>
      </w:r>
    </w:p>
    <w:p w:rsidR="00D124B3" w:rsidRDefault="00D124B3" w:rsidP="0032599C">
      <w:pPr>
        <w:pStyle w:val="FootnoteText"/>
        <w:spacing w:after="0"/>
      </w:pPr>
    </w:p>
  </w:footnote>
  <w:footnote w:id="11">
    <w:p w:rsidR="00D124B3" w:rsidRDefault="00D124B3" w:rsidP="00D124B3">
      <w:pPr>
        <w:pStyle w:val="FootnoteText"/>
        <w:spacing w:after="0"/>
      </w:pPr>
      <w:r>
        <w:rPr>
          <w:rStyle w:val="FootnoteReference"/>
        </w:rPr>
        <w:footnoteRef/>
      </w:r>
      <w:r>
        <w:t xml:space="preserve"> Excluding Isle of Wight.</w:t>
      </w:r>
      <w:r w:rsidRPr="002F5002">
        <w:t xml:space="preserve"> See note </w:t>
      </w:r>
      <w:r>
        <w:t>9 on page 7</w:t>
      </w:r>
      <w:r w:rsidRPr="002F5002">
        <w:t>.</w:t>
      </w:r>
    </w:p>
  </w:footnote>
  <w:footnote w:id="12">
    <w:p w:rsidR="00CD037E" w:rsidRDefault="00CD037E" w:rsidP="00CD037E">
      <w:pPr>
        <w:pStyle w:val="FootnoteText"/>
        <w:spacing w:after="0"/>
      </w:pPr>
      <w:r>
        <w:rPr>
          <w:rStyle w:val="FootnoteReference"/>
        </w:rPr>
        <w:footnoteRef/>
      </w:r>
      <w:r>
        <w:t xml:space="preserve"> Excluding Isle of Wight.</w:t>
      </w:r>
      <w:r w:rsidRPr="002F5002">
        <w:t xml:space="preserve"> See note </w:t>
      </w:r>
      <w:r w:rsidR="00B117F9">
        <w:t>9</w:t>
      </w:r>
      <w:r>
        <w:t xml:space="preserve"> on page </w:t>
      </w:r>
      <w:r w:rsidR="00B117F9">
        <w:t>7</w:t>
      </w:r>
      <w:r w:rsidRPr="002F5002">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1E6" w:rsidRDefault="002221E6" w:rsidP="00E924D4">
    <w:pPr>
      <w:pStyle w:val="Header"/>
      <w:tabs>
        <w:tab w:val="clear" w:pos="9026"/>
        <w:tab w:val="left" w:pos="3255"/>
        <w:tab w:val="right" w:pos="9356"/>
      </w:tabs>
      <w:ind w:right="-238"/>
    </w:pPr>
    <w:r>
      <w:tab/>
    </w:r>
    <w:r>
      <w:tab/>
    </w:r>
    <w:r>
      <w:tab/>
    </w:r>
    <w:r>
      <w:rPr>
        <w:noProof/>
      </w:rPr>
      <w:drawing>
        <wp:inline distT="0" distB="0" distL="0" distR="0" wp14:anchorId="3F4CA230" wp14:editId="79F6F1DC">
          <wp:extent cx="1155194" cy="719329"/>
          <wp:effectExtent l="0" t="0" r="698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20England%20logo%20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5194" cy="71932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9B0FF24"/>
    <w:lvl w:ilvl="0">
      <w:start w:val="1"/>
      <w:numFmt w:val="decimal"/>
      <w:lvlText w:val="%1."/>
      <w:lvlJc w:val="left"/>
      <w:pPr>
        <w:tabs>
          <w:tab w:val="num" w:pos="643"/>
        </w:tabs>
        <w:ind w:left="643" w:hanging="360"/>
      </w:pPr>
    </w:lvl>
  </w:abstractNum>
  <w:abstractNum w:abstractNumId="1">
    <w:nsid w:val="FFFFFF83"/>
    <w:multiLevelType w:val="singleLevel"/>
    <w:tmpl w:val="47FE727E"/>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8"/>
    <w:multiLevelType w:val="singleLevel"/>
    <w:tmpl w:val="D41A84CC"/>
    <w:lvl w:ilvl="0">
      <w:start w:val="1"/>
      <w:numFmt w:val="decimal"/>
      <w:lvlText w:val="%1."/>
      <w:lvlJc w:val="left"/>
      <w:pPr>
        <w:tabs>
          <w:tab w:val="num" w:pos="360"/>
        </w:tabs>
        <w:ind w:left="360" w:hanging="360"/>
      </w:pPr>
    </w:lvl>
  </w:abstractNum>
  <w:abstractNum w:abstractNumId="3">
    <w:nsid w:val="FFFFFF89"/>
    <w:multiLevelType w:val="singleLevel"/>
    <w:tmpl w:val="1178AD2A"/>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12225D14"/>
    <w:multiLevelType w:val="hybridMultilevel"/>
    <w:tmpl w:val="86EA467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A7520A6"/>
    <w:multiLevelType w:val="hybridMultilevel"/>
    <w:tmpl w:val="807ECE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nsid w:val="1BED15B9"/>
    <w:multiLevelType w:val="hybridMultilevel"/>
    <w:tmpl w:val="161CA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CBC2248"/>
    <w:multiLevelType w:val="hybridMultilevel"/>
    <w:tmpl w:val="D2CEE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704040"/>
    <w:multiLevelType w:val="hybridMultilevel"/>
    <w:tmpl w:val="F5601D12"/>
    <w:lvl w:ilvl="0" w:tplc="B9568BA0">
      <w:start w:val="1"/>
      <w:numFmt w:val="decimal"/>
      <w:lvlText w:val="%1."/>
      <w:lvlJc w:val="left"/>
      <w:pPr>
        <w:tabs>
          <w:tab w:val="num" w:pos="360"/>
        </w:tabs>
        <w:ind w:left="360" w:hanging="360"/>
      </w:pPr>
      <w:rPr>
        <w:rFonts w:hint="default"/>
        <w:b/>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nsid w:val="27C6173C"/>
    <w:multiLevelType w:val="hybridMultilevel"/>
    <w:tmpl w:val="3E78DB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96F419A"/>
    <w:multiLevelType w:val="hybridMultilevel"/>
    <w:tmpl w:val="96AE18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52096E4D"/>
    <w:multiLevelType w:val="hybridMultilevel"/>
    <w:tmpl w:val="756AFB28"/>
    <w:lvl w:ilvl="0" w:tplc="C4A2FD8E">
      <w:start w:val="1"/>
      <w:numFmt w:val="bullet"/>
      <w:lvlText w:val=""/>
      <w:lvlJc w:val="left"/>
      <w:pPr>
        <w:tabs>
          <w:tab w:val="num" w:pos="227"/>
        </w:tabs>
        <w:ind w:left="227" w:hanging="227"/>
      </w:pPr>
      <w:rPr>
        <w:rFonts w:ascii="Symbol" w:hAnsi="Symbol" w:hint="default"/>
        <w:color w:val="auto"/>
      </w:rPr>
    </w:lvl>
    <w:lvl w:ilvl="1" w:tplc="F5E6FB4E">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58562792"/>
    <w:multiLevelType w:val="hybridMultilevel"/>
    <w:tmpl w:val="8F203C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59CF346F"/>
    <w:multiLevelType w:val="hybridMultilevel"/>
    <w:tmpl w:val="9FB6B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34C0C4D"/>
    <w:multiLevelType w:val="hybridMultilevel"/>
    <w:tmpl w:val="3EE097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7EDF7D1F"/>
    <w:multiLevelType w:val="hybridMultilevel"/>
    <w:tmpl w:val="E034CC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5"/>
  </w:num>
  <w:num w:numId="3">
    <w:abstractNumId w:val="9"/>
  </w:num>
  <w:num w:numId="4">
    <w:abstractNumId w:val="10"/>
  </w:num>
  <w:num w:numId="5">
    <w:abstractNumId w:val="8"/>
  </w:num>
  <w:num w:numId="6">
    <w:abstractNumId w:val="11"/>
  </w:num>
  <w:num w:numId="7">
    <w:abstractNumId w:val="14"/>
  </w:num>
  <w:num w:numId="8">
    <w:abstractNumId w:val="4"/>
  </w:num>
  <w:num w:numId="9">
    <w:abstractNumId w:val="3"/>
  </w:num>
  <w:num w:numId="10">
    <w:abstractNumId w:val="1"/>
  </w:num>
  <w:num w:numId="11">
    <w:abstractNumId w:val="0"/>
  </w:num>
  <w:num w:numId="12">
    <w:abstractNumId w:val="2"/>
  </w:num>
  <w:num w:numId="13">
    <w:abstractNumId w:val="13"/>
  </w:num>
  <w:num w:numId="14">
    <w:abstractNumId w:val="5"/>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2F1"/>
    <w:rsid w:val="000007F1"/>
    <w:rsid w:val="00002502"/>
    <w:rsid w:val="0000477A"/>
    <w:rsid w:val="00007EAE"/>
    <w:rsid w:val="00017E64"/>
    <w:rsid w:val="00017EE8"/>
    <w:rsid w:val="00022C9A"/>
    <w:rsid w:val="00024821"/>
    <w:rsid w:val="000274BA"/>
    <w:rsid w:val="00035B25"/>
    <w:rsid w:val="00036949"/>
    <w:rsid w:val="00040A6E"/>
    <w:rsid w:val="00042A5D"/>
    <w:rsid w:val="000442D5"/>
    <w:rsid w:val="00044C0E"/>
    <w:rsid w:val="000452BC"/>
    <w:rsid w:val="0005401E"/>
    <w:rsid w:val="000543A2"/>
    <w:rsid w:val="00054879"/>
    <w:rsid w:val="000549C2"/>
    <w:rsid w:val="0005599E"/>
    <w:rsid w:val="00064B43"/>
    <w:rsid w:val="00065110"/>
    <w:rsid w:val="00065771"/>
    <w:rsid w:val="000670B6"/>
    <w:rsid w:val="00070143"/>
    <w:rsid w:val="0007019A"/>
    <w:rsid w:val="00072DE5"/>
    <w:rsid w:val="000768E8"/>
    <w:rsid w:val="000776AF"/>
    <w:rsid w:val="0007786F"/>
    <w:rsid w:val="00077876"/>
    <w:rsid w:val="00085AC3"/>
    <w:rsid w:val="00085B01"/>
    <w:rsid w:val="000871A7"/>
    <w:rsid w:val="00092393"/>
    <w:rsid w:val="00095266"/>
    <w:rsid w:val="000965D6"/>
    <w:rsid w:val="00096A9C"/>
    <w:rsid w:val="00097741"/>
    <w:rsid w:val="000A42E3"/>
    <w:rsid w:val="000B17F3"/>
    <w:rsid w:val="000B1B66"/>
    <w:rsid w:val="000B2219"/>
    <w:rsid w:val="000B2586"/>
    <w:rsid w:val="000B6AA0"/>
    <w:rsid w:val="000C2092"/>
    <w:rsid w:val="000C3202"/>
    <w:rsid w:val="000D14CB"/>
    <w:rsid w:val="000D3FB5"/>
    <w:rsid w:val="000D4CAE"/>
    <w:rsid w:val="000D6BA7"/>
    <w:rsid w:val="000D71FF"/>
    <w:rsid w:val="000F027D"/>
    <w:rsid w:val="000F0D83"/>
    <w:rsid w:val="000F2BCC"/>
    <w:rsid w:val="000F3EC8"/>
    <w:rsid w:val="000F4631"/>
    <w:rsid w:val="000F5B3F"/>
    <w:rsid w:val="000F6221"/>
    <w:rsid w:val="001000B2"/>
    <w:rsid w:val="0010506D"/>
    <w:rsid w:val="00111B6E"/>
    <w:rsid w:val="0011384E"/>
    <w:rsid w:val="00120401"/>
    <w:rsid w:val="00120424"/>
    <w:rsid w:val="0012242C"/>
    <w:rsid w:val="001251FA"/>
    <w:rsid w:val="001275F2"/>
    <w:rsid w:val="00127A5B"/>
    <w:rsid w:val="00127E1D"/>
    <w:rsid w:val="00127FD0"/>
    <w:rsid w:val="00133520"/>
    <w:rsid w:val="001359EC"/>
    <w:rsid w:val="00136E8B"/>
    <w:rsid w:val="001405FE"/>
    <w:rsid w:val="001407C4"/>
    <w:rsid w:val="0014147C"/>
    <w:rsid w:val="001417C4"/>
    <w:rsid w:val="00144A92"/>
    <w:rsid w:val="00145BE4"/>
    <w:rsid w:val="00146D12"/>
    <w:rsid w:val="00151236"/>
    <w:rsid w:val="0015128C"/>
    <w:rsid w:val="00151567"/>
    <w:rsid w:val="00151AF2"/>
    <w:rsid w:val="0015216C"/>
    <w:rsid w:val="00155E50"/>
    <w:rsid w:val="00160F31"/>
    <w:rsid w:val="00170786"/>
    <w:rsid w:val="0017281D"/>
    <w:rsid w:val="001747C9"/>
    <w:rsid w:val="00174FF6"/>
    <w:rsid w:val="00175513"/>
    <w:rsid w:val="00177CDB"/>
    <w:rsid w:val="00181692"/>
    <w:rsid w:val="00182E71"/>
    <w:rsid w:val="001847B2"/>
    <w:rsid w:val="001857AC"/>
    <w:rsid w:val="00186446"/>
    <w:rsid w:val="001876F0"/>
    <w:rsid w:val="0019011B"/>
    <w:rsid w:val="00190332"/>
    <w:rsid w:val="00190BCC"/>
    <w:rsid w:val="00191AB9"/>
    <w:rsid w:val="00193CB9"/>
    <w:rsid w:val="0019534B"/>
    <w:rsid w:val="00196595"/>
    <w:rsid w:val="00197242"/>
    <w:rsid w:val="001A2A3F"/>
    <w:rsid w:val="001A3A2C"/>
    <w:rsid w:val="001A3F6B"/>
    <w:rsid w:val="001A471D"/>
    <w:rsid w:val="001A6875"/>
    <w:rsid w:val="001B68DB"/>
    <w:rsid w:val="001B6963"/>
    <w:rsid w:val="001C2BC2"/>
    <w:rsid w:val="001C3052"/>
    <w:rsid w:val="001C3165"/>
    <w:rsid w:val="001C473C"/>
    <w:rsid w:val="001C5911"/>
    <w:rsid w:val="001C688D"/>
    <w:rsid w:val="001C6E6A"/>
    <w:rsid w:val="001D3157"/>
    <w:rsid w:val="001D4F10"/>
    <w:rsid w:val="001D5DCC"/>
    <w:rsid w:val="001E0C96"/>
    <w:rsid w:val="001E2906"/>
    <w:rsid w:val="001E3296"/>
    <w:rsid w:val="001F1181"/>
    <w:rsid w:val="001F48A8"/>
    <w:rsid w:val="002055F7"/>
    <w:rsid w:val="002067E2"/>
    <w:rsid w:val="00210E7E"/>
    <w:rsid w:val="00214510"/>
    <w:rsid w:val="00214A55"/>
    <w:rsid w:val="002221E6"/>
    <w:rsid w:val="00222B38"/>
    <w:rsid w:val="00225C13"/>
    <w:rsid w:val="00230B2D"/>
    <w:rsid w:val="002346FC"/>
    <w:rsid w:val="00241F79"/>
    <w:rsid w:val="00244F63"/>
    <w:rsid w:val="00247D97"/>
    <w:rsid w:val="00250AB3"/>
    <w:rsid w:val="00251383"/>
    <w:rsid w:val="00251854"/>
    <w:rsid w:val="002529A4"/>
    <w:rsid w:val="00252C62"/>
    <w:rsid w:val="00254237"/>
    <w:rsid w:val="0025490C"/>
    <w:rsid w:val="00254B9C"/>
    <w:rsid w:val="00260C5F"/>
    <w:rsid w:val="00261C03"/>
    <w:rsid w:val="00261FC5"/>
    <w:rsid w:val="0026240F"/>
    <w:rsid w:val="00263BD6"/>
    <w:rsid w:val="00265EFB"/>
    <w:rsid w:val="00267437"/>
    <w:rsid w:val="002674B1"/>
    <w:rsid w:val="00270C17"/>
    <w:rsid w:val="002719AC"/>
    <w:rsid w:val="002760F7"/>
    <w:rsid w:val="00277342"/>
    <w:rsid w:val="0028035E"/>
    <w:rsid w:val="00280386"/>
    <w:rsid w:val="00291664"/>
    <w:rsid w:val="0029257D"/>
    <w:rsid w:val="00296E05"/>
    <w:rsid w:val="00297264"/>
    <w:rsid w:val="002A0F67"/>
    <w:rsid w:val="002A2463"/>
    <w:rsid w:val="002A3DFB"/>
    <w:rsid w:val="002A4955"/>
    <w:rsid w:val="002A7621"/>
    <w:rsid w:val="002A79F0"/>
    <w:rsid w:val="002B4DD9"/>
    <w:rsid w:val="002B4F9D"/>
    <w:rsid w:val="002B55AA"/>
    <w:rsid w:val="002B6786"/>
    <w:rsid w:val="002C1974"/>
    <w:rsid w:val="002C1DD5"/>
    <w:rsid w:val="002C3ECB"/>
    <w:rsid w:val="002C4E14"/>
    <w:rsid w:val="002C522F"/>
    <w:rsid w:val="002D10A5"/>
    <w:rsid w:val="002D2035"/>
    <w:rsid w:val="002E3DEA"/>
    <w:rsid w:val="002E4181"/>
    <w:rsid w:val="002E6965"/>
    <w:rsid w:val="002F3C5E"/>
    <w:rsid w:val="002F5002"/>
    <w:rsid w:val="002F5385"/>
    <w:rsid w:val="002F7555"/>
    <w:rsid w:val="00300176"/>
    <w:rsid w:val="00300551"/>
    <w:rsid w:val="003076B8"/>
    <w:rsid w:val="00310203"/>
    <w:rsid w:val="0031043B"/>
    <w:rsid w:val="0031060B"/>
    <w:rsid w:val="0031228A"/>
    <w:rsid w:val="00317C23"/>
    <w:rsid w:val="00320970"/>
    <w:rsid w:val="00322346"/>
    <w:rsid w:val="0032556F"/>
    <w:rsid w:val="00325786"/>
    <w:rsid w:val="0032599C"/>
    <w:rsid w:val="00326A6F"/>
    <w:rsid w:val="003336E9"/>
    <w:rsid w:val="00335EE6"/>
    <w:rsid w:val="0033606F"/>
    <w:rsid w:val="0034037C"/>
    <w:rsid w:val="00340492"/>
    <w:rsid w:val="00340769"/>
    <w:rsid w:val="00346087"/>
    <w:rsid w:val="00346103"/>
    <w:rsid w:val="00347494"/>
    <w:rsid w:val="003518B6"/>
    <w:rsid w:val="00356BD0"/>
    <w:rsid w:val="003635DF"/>
    <w:rsid w:val="0036445B"/>
    <w:rsid w:val="003674CA"/>
    <w:rsid w:val="003708E7"/>
    <w:rsid w:val="003723D5"/>
    <w:rsid w:val="00377786"/>
    <w:rsid w:val="00377FF6"/>
    <w:rsid w:val="00387879"/>
    <w:rsid w:val="0039160E"/>
    <w:rsid w:val="00395D9D"/>
    <w:rsid w:val="00396552"/>
    <w:rsid w:val="00396DD4"/>
    <w:rsid w:val="00396E0E"/>
    <w:rsid w:val="003A0D0C"/>
    <w:rsid w:val="003A398E"/>
    <w:rsid w:val="003A63FB"/>
    <w:rsid w:val="003A67C6"/>
    <w:rsid w:val="003A7386"/>
    <w:rsid w:val="003B164C"/>
    <w:rsid w:val="003B628A"/>
    <w:rsid w:val="003C007F"/>
    <w:rsid w:val="003C24D1"/>
    <w:rsid w:val="003D5086"/>
    <w:rsid w:val="003E3082"/>
    <w:rsid w:val="003E38D7"/>
    <w:rsid w:val="003E411B"/>
    <w:rsid w:val="003E4789"/>
    <w:rsid w:val="003E540C"/>
    <w:rsid w:val="003E6081"/>
    <w:rsid w:val="003E62E5"/>
    <w:rsid w:val="003F43AB"/>
    <w:rsid w:val="00405587"/>
    <w:rsid w:val="00407A2A"/>
    <w:rsid w:val="0041065C"/>
    <w:rsid w:val="00410783"/>
    <w:rsid w:val="00413F2F"/>
    <w:rsid w:val="004140F7"/>
    <w:rsid w:val="0041753D"/>
    <w:rsid w:val="00417AB4"/>
    <w:rsid w:val="00421E46"/>
    <w:rsid w:val="0042340C"/>
    <w:rsid w:val="0042443A"/>
    <w:rsid w:val="00426208"/>
    <w:rsid w:val="00436A36"/>
    <w:rsid w:val="004370AB"/>
    <w:rsid w:val="004379E9"/>
    <w:rsid w:val="00440EF3"/>
    <w:rsid w:val="00444612"/>
    <w:rsid w:val="004446CF"/>
    <w:rsid w:val="0044623C"/>
    <w:rsid w:val="0044771F"/>
    <w:rsid w:val="00453F16"/>
    <w:rsid w:val="004550F1"/>
    <w:rsid w:val="00456108"/>
    <w:rsid w:val="00465847"/>
    <w:rsid w:val="00473BFA"/>
    <w:rsid w:val="00474435"/>
    <w:rsid w:val="0047575F"/>
    <w:rsid w:val="004769D3"/>
    <w:rsid w:val="00480623"/>
    <w:rsid w:val="00480A45"/>
    <w:rsid w:val="00483782"/>
    <w:rsid w:val="00483F77"/>
    <w:rsid w:val="00486866"/>
    <w:rsid w:val="00493002"/>
    <w:rsid w:val="004953E1"/>
    <w:rsid w:val="00496F34"/>
    <w:rsid w:val="004A2A45"/>
    <w:rsid w:val="004A75D3"/>
    <w:rsid w:val="004B32DC"/>
    <w:rsid w:val="004B46D5"/>
    <w:rsid w:val="004B592C"/>
    <w:rsid w:val="004B7035"/>
    <w:rsid w:val="004B77EC"/>
    <w:rsid w:val="004C0D17"/>
    <w:rsid w:val="004C2DB8"/>
    <w:rsid w:val="004C377A"/>
    <w:rsid w:val="004C5144"/>
    <w:rsid w:val="004D05E1"/>
    <w:rsid w:val="004D083F"/>
    <w:rsid w:val="004D1017"/>
    <w:rsid w:val="004D10AF"/>
    <w:rsid w:val="004D2EE5"/>
    <w:rsid w:val="004D3B3C"/>
    <w:rsid w:val="004F2D5D"/>
    <w:rsid w:val="004F37AE"/>
    <w:rsid w:val="004F3810"/>
    <w:rsid w:val="004F6290"/>
    <w:rsid w:val="005005D8"/>
    <w:rsid w:val="00505BBA"/>
    <w:rsid w:val="00511984"/>
    <w:rsid w:val="00513897"/>
    <w:rsid w:val="005168CD"/>
    <w:rsid w:val="00517BD3"/>
    <w:rsid w:val="0052145B"/>
    <w:rsid w:val="00522954"/>
    <w:rsid w:val="005239BD"/>
    <w:rsid w:val="00523BFF"/>
    <w:rsid w:val="00525B3E"/>
    <w:rsid w:val="00526112"/>
    <w:rsid w:val="005261D8"/>
    <w:rsid w:val="0053124D"/>
    <w:rsid w:val="00531825"/>
    <w:rsid w:val="00531A75"/>
    <w:rsid w:val="0053266B"/>
    <w:rsid w:val="00533D03"/>
    <w:rsid w:val="005347A4"/>
    <w:rsid w:val="00536B5E"/>
    <w:rsid w:val="00536EBE"/>
    <w:rsid w:val="00537299"/>
    <w:rsid w:val="0054261F"/>
    <w:rsid w:val="0054766B"/>
    <w:rsid w:val="00551D2D"/>
    <w:rsid w:val="00551DDC"/>
    <w:rsid w:val="00552E5E"/>
    <w:rsid w:val="005538AF"/>
    <w:rsid w:val="005719BB"/>
    <w:rsid w:val="00572500"/>
    <w:rsid w:val="0057661C"/>
    <w:rsid w:val="005772D5"/>
    <w:rsid w:val="0058367E"/>
    <w:rsid w:val="0058750D"/>
    <w:rsid w:val="00587D4D"/>
    <w:rsid w:val="005945B8"/>
    <w:rsid w:val="005946BA"/>
    <w:rsid w:val="005950EE"/>
    <w:rsid w:val="0059638C"/>
    <w:rsid w:val="005A79AD"/>
    <w:rsid w:val="005B4A17"/>
    <w:rsid w:val="005B7C87"/>
    <w:rsid w:val="005C1025"/>
    <w:rsid w:val="005C1BA6"/>
    <w:rsid w:val="005C1D5F"/>
    <w:rsid w:val="005C59BC"/>
    <w:rsid w:val="005C6B63"/>
    <w:rsid w:val="005C7115"/>
    <w:rsid w:val="005C7B11"/>
    <w:rsid w:val="005D2E52"/>
    <w:rsid w:val="005D348F"/>
    <w:rsid w:val="005F1398"/>
    <w:rsid w:val="005F2095"/>
    <w:rsid w:val="005F272A"/>
    <w:rsid w:val="005F3B29"/>
    <w:rsid w:val="005F53BA"/>
    <w:rsid w:val="005F60A6"/>
    <w:rsid w:val="00603940"/>
    <w:rsid w:val="00603FEB"/>
    <w:rsid w:val="006059ED"/>
    <w:rsid w:val="00605F7E"/>
    <w:rsid w:val="006157C7"/>
    <w:rsid w:val="006201BE"/>
    <w:rsid w:val="00620FE6"/>
    <w:rsid w:val="00621A41"/>
    <w:rsid w:val="00624EB5"/>
    <w:rsid w:val="006272D8"/>
    <w:rsid w:val="006303F7"/>
    <w:rsid w:val="006306D8"/>
    <w:rsid w:val="00631E87"/>
    <w:rsid w:val="00634165"/>
    <w:rsid w:val="00637766"/>
    <w:rsid w:val="00642E05"/>
    <w:rsid w:val="00642E76"/>
    <w:rsid w:val="00644C87"/>
    <w:rsid w:val="00655F0D"/>
    <w:rsid w:val="006561AF"/>
    <w:rsid w:val="00656C83"/>
    <w:rsid w:val="006606D4"/>
    <w:rsid w:val="0066320C"/>
    <w:rsid w:val="006653DB"/>
    <w:rsid w:val="00667CEB"/>
    <w:rsid w:val="00676BD5"/>
    <w:rsid w:val="006817AD"/>
    <w:rsid w:val="00694D98"/>
    <w:rsid w:val="00694FB2"/>
    <w:rsid w:val="00695304"/>
    <w:rsid w:val="006A341E"/>
    <w:rsid w:val="006A4A06"/>
    <w:rsid w:val="006A61BC"/>
    <w:rsid w:val="006A6856"/>
    <w:rsid w:val="006B2BEA"/>
    <w:rsid w:val="006B3E8A"/>
    <w:rsid w:val="006C336E"/>
    <w:rsid w:val="006D0E12"/>
    <w:rsid w:val="006D1E78"/>
    <w:rsid w:val="006D5EDF"/>
    <w:rsid w:val="006E0760"/>
    <w:rsid w:val="006E2C05"/>
    <w:rsid w:val="006E58F5"/>
    <w:rsid w:val="00700863"/>
    <w:rsid w:val="007017DC"/>
    <w:rsid w:val="00701D5C"/>
    <w:rsid w:val="0070276C"/>
    <w:rsid w:val="007027B5"/>
    <w:rsid w:val="00702DCC"/>
    <w:rsid w:val="00705EA9"/>
    <w:rsid w:val="007155C3"/>
    <w:rsid w:val="0071673C"/>
    <w:rsid w:val="007177B5"/>
    <w:rsid w:val="007177FD"/>
    <w:rsid w:val="00720B11"/>
    <w:rsid w:val="00724971"/>
    <w:rsid w:val="00725439"/>
    <w:rsid w:val="0073041B"/>
    <w:rsid w:val="00732ECD"/>
    <w:rsid w:val="00735077"/>
    <w:rsid w:val="00737724"/>
    <w:rsid w:val="00741E8A"/>
    <w:rsid w:val="00742B0B"/>
    <w:rsid w:val="00747269"/>
    <w:rsid w:val="00761FF8"/>
    <w:rsid w:val="007639D5"/>
    <w:rsid w:val="0076596A"/>
    <w:rsid w:val="007700CE"/>
    <w:rsid w:val="00771043"/>
    <w:rsid w:val="00774123"/>
    <w:rsid w:val="00775632"/>
    <w:rsid w:val="007804B7"/>
    <w:rsid w:val="007920B1"/>
    <w:rsid w:val="00793660"/>
    <w:rsid w:val="007A07DD"/>
    <w:rsid w:val="007A138E"/>
    <w:rsid w:val="007A2AF5"/>
    <w:rsid w:val="007A37B3"/>
    <w:rsid w:val="007B0011"/>
    <w:rsid w:val="007B0D9A"/>
    <w:rsid w:val="007B22A7"/>
    <w:rsid w:val="007B2807"/>
    <w:rsid w:val="007B2D4E"/>
    <w:rsid w:val="007B5B41"/>
    <w:rsid w:val="007B5C09"/>
    <w:rsid w:val="007C0F9B"/>
    <w:rsid w:val="007C0FC7"/>
    <w:rsid w:val="007C393E"/>
    <w:rsid w:val="007C3B46"/>
    <w:rsid w:val="007C6125"/>
    <w:rsid w:val="007C6985"/>
    <w:rsid w:val="007D1A84"/>
    <w:rsid w:val="007D2957"/>
    <w:rsid w:val="007E152B"/>
    <w:rsid w:val="007E3671"/>
    <w:rsid w:val="007E7FAA"/>
    <w:rsid w:val="007F02F1"/>
    <w:rsid w:val="007F1EB3"/>
    <w:rsid w:val="007F2531"/>
    <w:rsid w:val="007F277B"/>
    <w:rsid w:val="007F366E"/>
    <w:rsid w:val="007F39C7"/>
    <w:rsid w:val="007F6B19"/>
    <w:rsid w:val="00806B8A"/>
    <w:rsid w:val="008076E2"/>
    <w:rsid w:val="008113A4"/>
    <w:rsid w:val="008132F5"/>
    <w:rsid w:val="00814AF3"/>
    <w:rsid w:val="008150FA"/>
    <w:rsid w:val="00815169"/>
    <w:rsid w:val="00821EA9"/>
    <w:rsid w:val="008227CE"/>
    <w:rsid w:val="00822C2F"/>
    <w:rsid w:val="008231E3"/>
    <w:rsid w:val="0082452F"/>
    <w:rsid w:val="00826D43"/>
    <w:rsid w:val="008301F3"/>
    <w:rsid w:val="008340D3"/>
    <w:rsid w:val="008404D1"/>
    <w:rsid w:val="00841DFF"/>
    <w:rsid w:val="00843ABC"/>
    <w:rsid w:val="00844712"/>
    <w:rsid w:val="00845B66"/>
    <w:rsid w:val="00850F3E"/>
    <w:rsid w:val="00853643"/>
    <w:rsid w:val="0085446E"/>
    <w:rsid w:val="00861B67"/>
    <w:rsid w:val="00862969"/>
    <w:rsid w:val="00865E6C"/>
    <w:rsid w:val="00867D59"/>
    <w:rsid w:val="0087012E"/>
    <w:rsid w:val="00871ADB"/>
    <w:rsid w:val="008755AA"/>
    <w:rsid w:val="00875FD5"/>
    <w:rsid w:val="00876654"/>
    <w:rsid w:val="00880163"/>
    <w:rsid w:val="008805A7"/>
    <w:rsid w:val="00883B6B"/>
    <w:rsid w:val="00884B4D"/>
    <w:rsid w:val="00887DBB"/>
    <w:rsid w:val="0089121D"/>
    <w:rsid w:val="00891640"/>
    <w:rsid w:val="008969B0"/>
    <w:rsid w:val="008A503B"/>
    <w:rsid w:val="008A5185"/>
    <w:rsid w:val="008A5626"/>
    <w:rsid w:val="008A6950"/>
    <w:rsid w:val="008B579C"/>
    <w:rsid w:val="008C4B8B"/>
    <w:rsid w:val="008C5A76"/>
    <w:rsid w:val="008C63D3"/>
    <w:rsid w:val="008D1CF1"/>
    <w:rsid w:val="008D2F54"/>
    <w:rsid w:val="008D50FB"/>
    <w:rsid w:val="008D61DF"/>
    <w:rsid w:val="008D69BA"/>
    <w:rsid w:val="008E2FEE"/>
    <w:rsid w:val="008E3542"/>
    <w:rsid w:val="008E4F65"/>
    <w:rsid w:val="008E5931"/>
    <w:rsid w:val="008E6B23"/>
    <w:rsid w:val="008F1385"/>
    <w:rsid w:val="008F22AB"/>
    <w:rsid w:val="008F3E74"/>
    <w:rsid w:val="008F5EE8"/>
    <w:rsid w:val="008F78EA"/>
    <w:rsid w:val="0090071E"/>
    <w:rsid w:val="00900AD0"/>
    <w:rsid w:val="009038ED"/>
    <w:rsid w:val="0090527D"/>
    <w:rsid w:val="0090652B"/>
    <w:rsid w:val="00910BE4"/>
    <w:rsid w:val="009141A4"/>
    <w:rsid w:val="00915F3E"/>
    <w:rsid w:val="00917404"/>
    <w:rsid w:val="00921ACE"/>
    <w:rsid w:val="00924E3D"/>
    <w:rsid w:val="00927612"/>
    <w:rsid w:val="00940A61"/>
    <w:rsid w:val="00940ADF"/>
    <w:rsid w:val="00947505"/>
    <w:rsid w:val="0095462C"/>
    <w:rsid w:val="00954E2E"/>
    <w:rsid w:val="00954EA7"/>
    <w:rsid w:val="00955D7C"/>
    <w:rsid w:val="0096283E"/>
    <w:rsid w:val="009638D7"/>
    <w:rsid w:val="00965572"/>
    <w:rsid w:val="00966F66"/>
    <w:rsid w:val="00971C38"/>
    <w:rsid w:val="0097213E"/>
    <w:rsid w:val="0097321C"/>
    <w:rsid w:val="00974797"/>
    <w:rsid w:val="00975BA9"/>
    <w:rsid w:val="0097746A"/>
    <w:rsid w:val="00981224"/>
    <w:rsid w:val="00983F79"/>
    <w:rsid w:val="00985A23"/>
    <w:rsid w:val="00992442"/>
    <w:rsid w:val="00995CC1"/>
    <w:rsid w:val="009969BD"/>
    <w:rsid w:val="009A4919"/>
    <w:rsid w:val="009B166A"/>
    <w:rsid w:val="009B5925"/>
    <w:rsid w:val="009B5D9A"/>
    <w:rsid w:val="009B72C4"/>
    <w:rsid w:val="009C74A5"/>
    <w:rsid w:val="009D0C4D"/>
    <w:rsid w:val="009D0DA1"/>
    <w:rsid w:val="009D34C0"/>
    <w:rsid w:val="009E31EF"/>
    <w:rsid w:val="009E6DA1"/>
    <w:rsid w:val="009F060C"/>
    <w:rsid w:val="009F0F7A"/>
    <w:rsid w:val="009F1FA7"/>
    <w:rsid w:val="009F3BDF"/>
    <w:rsid w:val="00A039C6"/>
    <w:rsid w:val="00A107A5"/>
    <w:rsid w:val="00A10CE7"/>
    <w:rsid w:val="00A13D6C"/>
    <w:rsid w:val="00A1696C"/>
    <w:rsid w:val="00A17A58"/>
    <w:rsid w:val="00A22978"/>
    <w:rsid w:val="00A26CA7"/>
    <w:rsid w:val="00A3104B"/>
    <w:rsid w:val="00A32B3E"/>
    <w:rsid w:val="00A33BDB"/>
    <w:rsid w:val="00A4253D"/>
    <w:rsid w:val="00A42A6B"/>
    <w:rsid w:val="00A458E0"/>
    <w:rsid w:val="00A46C32"/>
    <w:rsid w:val="00A54078"/>
    <w:rsid w:val="00A56831"/>
    <w:rsid w:val="00A575B0"/>
    <w:rsid w:val="00A65D0F"/>
    <w:rsid w:val="00A66836"/>
    <w:rsid w:val="00A718FA"/>
    <w:rsid w:val="00A7265B"/>
    <w:rsid w:val="00A72E13"/>
    <w:rsid w:val="00A76C6D"/>
    <w:rsid w:val="00A778EA"/>
    <w:rsid w:val="00A831DC"/>
    <w:rsid w:val="00A855BD"/>
    <w:rsid w:val="00A90C28"/>
    <w:rsid w:val="00A914E9"/>
    <w:rsid w:val="00A91618"/>
    <w:rsid w:val="00A92F4D"/>
    <w:rsid w:val="00A9585B"/>
    <w:rsid w:val="00A979C6"/>
    <w:rsid w:val="00AA3CDD"/>
    <w:rsid w:val="00AA6B6B"/>
    <w:rsid w:val="00AA7926"/>
    <w:rsid w:val="00AC23EC"/>
    <w:rsid w:val="00AC2B2D"/>
    <w:rsid w:val="00AC2C68"/>
    <w:rsid w:val="00AC3DAD"/>
    <w:rsid w:val="00AC597D"/>
    <w:rsid w:val="00AC617A"/>
    <w:rsid w:val="00AD051D"/>
    <w:rsid w:val="00AD6F90"/>
    <w:rsid w:val="00AE110A"/>
    <w:rsid w:val="00AE15EE"/>
    <w:rsid w:val="00AE2AEE"/>
    <w:rsid w:val="00AE4993"/>
    <w:rsid w:val="00AE5C17"/>
    <w:rsid w:val="00AE71D4"/>
    <w:rsid w:val="00AE7530"/>
    <w:rsid w:val="00AF0B61"/>
    <w:rsid w:val="00AF1519"/>
    <w:rsid w:val="00AF1AD9"/>
    <w:rsid w:val="00AF24DB"/>
    <w:rsid w:val="00AF2574"/>
    <w:rsid w:val="00AF2C09"/>
    <w:rsid w:val="00B02804"/>
    <w:rsid w:val="00B03698"/>
    <w:rsid w:val="00B05CB0"/>
    <w:rsid w:val="00B0776C"/>
    <w:rsid w:val="00B10ECF"/>
    <w:rsid w:val="00B117F9"/>
    <w:rsid w:val="00B143DF"/>
    <w:rsid w:val="00B176FE"/>
    <w:rsid w:val="00B21E1C"/>
    <w:rsid w:val="00B33BAE"/>
    <w:rsid w:val="00B40C2F"/>
    <w:rsid w:val="00B412D1"/>
    <w:rsid w:val="00B41F06"/>
    <w:rsid w:val="00B441CC"/>
    <w:rsid w:val="00B45B8D"/>
    <w:rsid w:val="00B4687B"/>
    <w:rsid w:val="00B477EF"/>
    <w:rsid w:val="00B63CE9"/>
    <w:rsid w:val="00B66678"/>
    <w:rsid w:val="00B71432"/>
    <w:rsid w:val="00B72C29"/>
    <w:rsid w:val="00B82858"/>
    <w:rsid w:val="00B828B6"/>
    <w:rsid w:val="00B85756"/>
    <w:rsid w:val="00B86E93"/>
    <w:rsid w:val="00B91476"/>
    <w:rsid w:val="00B93837"/>
    <w:rsid w:val="00BB35BC"/>
    <w:rsid w:val="00BC03EF"/>
    <w:rsid w:val="00BC05C3"/>
    <w:rsid w:val="00BC10E3"/>
    <w:rsid w:val="00BC435A"/>
    <w:rsid w:val="00BC6A0B"/>
    <w:rsid w:val="00BD1057"/>
    <w:rsid w:val="00BD1EA6"/>
    <w:rsid w:val="00BD33CF"/>
    <w:rsid w:val="00BD48E2"/>
    <w:rsid w:val="00BD4D0C"/>
    <w:rsid w:val="00BE1CE7"/>
    <w:rsid w:val="00BE2594"/>
    <w:rsid w:val="00BE72B7"/>
    <w:rsid w:val="00BE741D"/>
    <w:rsid w:val="00BE7849"/>
    <w:rsid w:val="00BF249B"/>
    <w:rsid w:val="00BF2C50"/>
    <w:rsid w:val="00C00BBA"/>
    <w:rsid w:val="00C0131F"/>
    <w:rsid w:val="00C03D2B"/>
    <w:rsid w:val="00C10486"/>
    <w:rsid w:val="00C14E1D"/>
    <w:rsid w:val="00C16133"/>
    <w:rsid w:val="00C21149"/>
    <w:rsid w:val="00C221BD"/>
    <w:rsid w:val="00C25A42"/>
    <w:rsid w:val="00C26738"/>
    <w:rsid w:val="00C26810"/>
    <w:rsid w:val="00C307CE"/>
    <w:rsid w:val="00C3190D"/>
    <w:rsid w:val="00C3404F"/>
    <w:rsid w:val="00C3443F"/>
    <w:rsid w:val="00C344CA"/>
    <w:rsid w:val="00C34B3D"/>
    <w:rsid w:val="00C40D56"/>
    <w:rsid w:val="00C418B2"/>
    <w:rsid w:val="00C445E6"/>
    <w:rsid w:val="00C5192F"/>
    <w:rsid w:val="00C521D4"/>
    <w:rsid w:val="00C532C8"/>
    <w:rsid w:val="00C54B5E"/>
    <w:rsid w:val="00C57812"/>
    <w:rsid w:val="00C611A3"/>
    <w:rsid w:val="00C61A40"/>
    <w:rsid w:val="00C61AF0"/>
    <w:rsid w:val="00C64019"/>
    <w:rsid w:val="00C66ACE"/>
    <w:rsid w:val="00C70840"/>
    <w:rsid w:val="00C70AC7"/>
    <w:rsid w:val="00C70C05"/>
    <w:rsid w:val="00C71776"/>
    <w:rsid w:val="00C7319F"/>
    <w:rsid w:val="00C739C2"/>
    <w:rsid w:val="00C73A40"/>
    <w:rsid w:val="00C757AB"/>
    <w:rsid w:val="00C75B8F"/>
    <w:rsid w:val="00C75DDB"/>
    <w:rsid w:val="00C7779C"/>
    <w:rsid w:val="00C90FB6"/>
    <w:rsid w:val="00C94BBC"/>
    <w:rsid w:val="00C957A6"/>
    <w:rsid w:val="00C96A98"/>
    <w:rsid w:val="00C973AE"/>
    <w:rsid w:val="00C9746F"/>
    <w:rsid w:val="00CA1AE1"/>
    <w:rsid w:val="00CA53CE"/>
    <w:rsid w:val="00CA5B86"/>
    <w:rsid w:val="00CC4553"/>
    <w:rsid w:val="00CD037E"/>
    <w:rsid w:val="00CD369E"/>
    <w:rsid w:val="00CD5263"/>
    <w:rsid w:val="00CE2AB5"/>
    <w:rsid w:val="00CF1DB8"/>
    <w:rsid w:val="00CF22D9"/>
    <w:rsid w:val="00CF2301"/>
    <w:rsid w:val="00D01436"/>
    <w:rsid w:val="00D02FA8"/>
    <w:rsid w:val="00D04686"/>
    <w:rsid w:val="00D05B8F"/>
    <w:rsid w:val="00D064D4"/>
    <w:rsid w:val="00D11CB6"/>
    <w:rsid w:val="00D124B3"/>
    <w:rsid w:val="00D13275"/>
    <w:rsid w:val="00D1660D"/>
    <w:rsid w:val="00D166D9"/>
    <w:rsid w:val="00D2535D"/>
    <w:rsid w:val="00D25CD8"/>
    <w:rsid w:val="00D26C0F"/>
    <w:rsid w:val="00D30DAF"/>
    <w:rsid w:val="00D3262A"/>
    <w:rsid w:val="00D35203"/>
    <w:rsid w:val="00D37FEA"/>
    <w:rsid w:val="00D40138"/>
    <w:rsid w:val="00D4130A"/>
    <w:rsid w:val="00D427DF"/>
    <w:rsid w:val="00D43749"/>
    <w:rsid w:val="00D44AE7"/>
    <w:rsid w:val="00D4605E"/>
    <w:rsid w:val="00D50962"/>
    <w:rsid w:val="00D51401"/>
    <w:rsid w:val="00D51658"/>
    <w:rsid w:val="00D51A2F"/>
    <w:rsid w:val="00D547A7"/>
    <w:rsid w:val="00D56563"/>
    <w:rsid w:val="00D612EA"/>
    <w:rsid w:val="00D63B78"/>
    <w:rsid w:val="00D67C11"/>
    <w:rsid w:val="00D706BD"/>
    <w:rsid w:val="00D71457"/>
    <w:rsid w:val="00D7215A"/>
    <w:rsid w:val="00D727BC"/>
    <w:rsid w:val="00D72F12"/>
    <w:rsid w:val="00D75F20"/>
    <w:rsid w:val="00D82D27"/>
    <w:rsid w:val="00D847FB"/>
    <w:rsid w:val="00D868A7"/>
    <w:rsid w:val="00D87887"/>
    <w:rsid w:val="00D8793C"/>
    <w:rsid w:val="00D915B6"/>
    <w:rsid w:val="00DA4CE4"/>
    <w:rsid w:val="00DA6E95"/>
    <w:rsid w:val="00DB11F1"/>
    <w:rsid w:val="00DB3336"/>
    <w:rsid w:val="00DB41B0"/>
    <w:rsid w:val="00DC0B1E"/>
    <w:rsid w:val="00DC41F9"/>
    <w:rsid w:val="00DC48A5"/>
    <w:rsid w:val="00DC4BF3"/>
    <w:rsid w:val="00DC5551"/>
    <w:rsid w:val="00DD21E6"/>
    <w:rsid w:val="00DD280D"/>
    <w:rsid w:val="00DD3BB7"/>
    <w:rsid w:val="00DD791D"/>
    <w:rsid w:val="00DE353D"/>
    <w:rsid w:val="00DE4AEF"/>
    <w:rsid w:val="00DE5B0A"/>
    <w:rsid w:val="00DF0993"/>
    <w:rsid w:val="00DF0ADA"/>
    <w:rsid w:val="00DF1F6C"/>
    <w:rsid w:val="00DF3C09"/>
    <w:rsid w:val="00DF69D1"/>
    <w:rsid w:val="00E0266B"/>
    <w:rsid w:val="00E043A8"/>
    <w:rsid w:val="00E055D4"/>
    <w:rsid w:val="00E0653D"/>
    <w:rsid w:val="00E132B5"/>
    <w:rsid w:val="00E135D5"/>
    <w:rsid w:val="00E14C48"/>
    <w:rsid w:val="00E21DD4"/>
    <w:rsid w:val="00E24229"/>
    <w:rsid w:val="00E24A7F"/>
    <w:rsid w:val="00E25C7B"/>
    <w:rsid w:val="00E25E8A"/>
    <w:rsid w:val="00E26E89"/>
    <w:rsid w:val="00E274DD"/>
    <w:rsid w:val="00E3113C"/>
    <w:rsid w:val="00E318EF"/>
    <w:rsid w:val="00E324F3"/>
    <w:rsid w:val="00E34FE9"/>
    <w:rsid w:val="00E42D6F"/>
    <w:rsid w:val="00E44882"/>
    <w:rsid w:val="00E47C1E"/>
    <w:rsid w:val="00E51A9F"/>
    <w:rsid w:val="00E52050"/>
    <w:rsid w:val="00E52476"/>
    <w:rsid w:val="00E53110"/>
    <w:rsid w:val="00E55FAB"/>
    <w:rsid w:val="00E56682"/>
    <w:rsid w:val="00E575C0"/>
    <w:rsid w:val="00E639AA"/>
    <w:rsid w:val="00E74035"/>
    <w:rsid w:val="00E759ED"/>
    <w:rsid w:val="00E76C17"/>
    <w:rsid w:val="00E77913"/>
    <w:rsid w:val="00E924D4"/>
    <w:rsid w:val="00E940EF"/>
    <w:rsid w:val="00E94351"/>
    <w:rsid w:val="00EA10A9"/>
    <w:rsid w:val="00EA1F50"/>
    <w:rsid w:val="00EA23A9"/>
    <w:rsid w:val="00EA2A84"/>
    <w:rsid w:val="00EA5D90"/>
    <w:rsid w:val="00EB27D0"/>
    <w:rsid w:val="00EB4830"/>
    <w:rsid w:val="00EB4C29"/>
    <w:rsid w:val="00EB4DFD"/>
    <w:rsid w:val="00EB5410"/>
    <w:rsid w:val="00EB5DF3"/>
    <w:rsid w:val="00EB7483"/>
    <w:rsid w:val="00EC40B1"/>
    <w:rsid w:val="00EC65C3"/>
    <w:rsid w:val="00ED237F"/>
    <w:rsid w:val="00ED3292"/>
    <w:rsid w:val="00ED3F78"/>
    <w:rsid w:val="00ED4AE1"/>
    <w:rsid w:val="00ED7532"/>
    <w:rsid w:val="00EE6BE8"/>
    <w:rsid w:val="00EE7507"/>
    <w:rsid w:val="00EF2D87"/>
    <w:rsid w:val="00EF3B4A"/>
    <w:rsid w:val="00EF6133"/>
    <w:rsid w:val="00F01361"/>
    <w:rsid w:val="00F031F0"/>
    <w:rsid w:val="00F0321B"/>
    <w:rsid w:val="00F04282"/>
    <w:rsid w:val="00F06D35"/>
    <w:rsid w:val="00F10AC3"/>
    <w:rsid w:val="00F11CDA"/>
    <w:rsid w:val="00F14A46"/>
    <w:rsid w:val="00F16D7A"/>
    <w:rsid w:val="00F16EE8"/>
    <w:rsid w:val="00F23D7E"/>
    <w:rsid w:val="00F2562E"/>
    <w:rsid w:val="00F26900"/>
    <w:rsid w:val="00F27645"/>
    <w:rsid w:val="00F30584"/>
    <w:rsid w:val="00F33E46"/>
    <w:rsid w:val="00F35268"/>
    <w:rsid w:val="00F40B3B"/>
    <w:rsid w:val="00F42D71"/>
    <w:rsid w:val="00F55DB5"/>
    <w:rsid w:val="00F56F7A"/>
    <w:rsid w:val="00F57C7B"/>
    <w:rsid w:val="00F57F10"/>
    <w:rsid w:val="00F608D1"/>
    <w:rsid w:val="00F62D81"/>
    <w:rsid w:val="00F63C46"/>
    <w:rsid w:val="00F64A2E"/>
    <w:rsid w:val="00F65B38"/>
    <w:rsid w:val="00F661D9"/>
    <w:rsid w:val="00F703B0"/>
    <w:rsid w:val="00F735BC"/>
    <w:rsid w:val="00F83563"/>
    <w:rsid w:val="00F84799"/>
    <w:rsid w:val="00F912AC"/>
    <w:rsid w:val="00F92432"/>
    <w:rsid w:val="00F92A10"/>
    <w:rsid w:val="00F93A98"/>
    <w:rsid w:val="00F96341"/>
    <w:rsid w:val="00FB225C"/>
    <w:rsid w:val="00FB353C"/>
    <w:rsid w:val="00FB5A5C"/>
    <w:rsid w:val="00FB6979"/>
    <w:rsid w:val="00FC53E3"/>
    <w:rsid w:val="00FD06F7"/>
    <w:rsid w:val="00FD58E1"/>
    <w:rsid w:val="00FE12CD"/>
    <w:rsid w:val="00FF1418"/>
    <w:rsid w:val="00FF38FD"/>
    <w:rsid w:val="00FF421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caption" w:uiPriority="35" w:qFormat="1"/>
    <w:lsdException w:name="footnote reference" w:uiPriority="0"/>
    <w:lsdException w:name="List Bullet" w:semiHidden="0" w:unhideWhenUsed="0"/>
    <w:lsdException w:name="List Number" w:semiHidden="0" w:unhideWhenUsed="0"/>
    <w:lsdException w:name="List Bullet 2" w:semiHidden="0" w:unhideWhenUsed="0"/>
    <w:lsdException w:name="List Number 2" w:semiHidden="0" w:unhideWhenUsed="0"/>
    <w:lsdException w:name="Title" w:uiPriority="10" w:unhideWhenUsed="0" w:qFormat="1"/>
    <w:lsdException w:name="Default Paragraph Font" w:uiPriority="1"/>
    <w:lsdException w:name="Body Text" w:semiHidden="0" w:unhideWhenUsed="0"/>
    <w:lsdException w:name="Subtitle" w:uiPriority="11" w:unhideWhenUsed="0" w:qFormat="1"/>
    <w:lsdException w:name="Strong" w:uiPriority="22"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7B0011"/>
    <w:pPr>
      <w:spacing w:after="240"/>
    </w:pPr>
    <w:rPr>
      <w:rFonts w:ascii="Arial" w:hAnsi="Arial"/>
      <w:sz w:val="24"/>
      <w:szCs w:val="24"/>
    </w:rPr>
  </w:style>
  <w:style w:type="paragraph" w:styleId="Heading1">
    <w:name w:val="heading 1"/>
    <w:basedOn w:val="Normal"/>
    <w:next w:val="Normal"/>
    <w:link w:val="Heading1Char"/>
    <w:uiPriority w:val="9"/>
    <w:qFormat/>
    <w:rsid w:val="00D427DF"/>
    <w:pPr>
      <w:keepNext/>
      <w:keepLines/>
      <w:spacing w:after="120"/>
      <w:outlineLvl w:val="0"/>
    </w:pPr>
    <w:rPr>
      <w:rFonts w:eastAsiaTheme="majorEastAsia" w:cstheme="majorBidi"/>
      <w:b/>
      <w:bCs/>
      <w:sz w:val="32"/>
      <w:szCs w:val="28"/>
    </w:rPr>
  </w:style>
  <w:style w:type="paragraph" w:styleId="Heading2">
    <w:name w:val="heading 2"/>
    <w:basedOn w:val="Normal"/>
    <w:next w:val="Normal"/>
    <w:link w:val="Heading2Char"/>
    <w:uiPriority w:val="9"/>
    <w:qFormat/>
    <w:rsid w:val="00737724"/>
    <w:pPr>
      <w:keepNext/>
      <w:keepLines/>
      <w:spacing w:after="0" w:line="360" w:lineRule="auto"/>
      <w:outlineLvl w:val="1"/>
    </w:pPr>
    <w:rPr>
      <w:rFonts w:eastAsiaTheme="majorEastAsia" w:cstheme="majorBidi"/>
      <w:b/>
      <w:bCs/>
      <w:sz w:val="28"/>
      <w:szCs w:val="26"/>
    </w:rPr>
  </w:style>
  <w:style w:type="paragraph" w:styleId="Heading3">
    <w:name w:val="heading 3"/>
    <w:basedOn w:val="Normal"/>
    <w:next w:val="Normal"/>
    <w:link w:val="Heading3Char"/>
    <w:uiPriority w:val="9"/>
    <w:qFormat/>
    <w:rsid w:val="00737724"/>
    <w:pPr>
      <w:keepNext/>
      <w:keepLines/>
      <w:spacing w:after="0" w:line="360" w:lineRule="auto"/>
      <w:outlineLvl w:val="2"/>
    </w:pPr>
    <w:rPr>
      <w:rFonts w:eastAsiaTheme="majorEastAsia" w:cstheme="majorBidi"/>
      <w:b/>
      <w:bCs/>
    </w:rPr>
  </w:style>
  <w:style w:type="paragraph" w:styleId="Heading4">
    <w:name w:val="heading 4"/>
    <w:basedOn w:val="Normal"/>
    <w:next w:val="Normal"/>
    <w:link w:val="Heading4Char"/>
    <w:uiPriority w:val="9"/>
    <w:qFormat/>
    <w:rsid w:val="00483782"/>
    <w:pPr>
      <w:keepNext/>
      <w:keepLines/>
      <w:spacing w:after="0"/>
      <w:jc w:val="center"/>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90332"/>
    <w:rPr>
      <w:sz w:val="20"/>
      <w:szCs w:val="20"/>
    </w:rPr>
  </w:style>
  <w:style w:type="character" w:styleId="FootnoteReference">
    <w:name w:val="footnote reference"/>
    <w:semiHidden/>
    <w:rsid w:val="00190332"/>
    <w:rPr>
      <w:vertAlign w:val="superscript"/>
    </w:rPr>
  </w:style>
  <w:style w:type="character" w:styleId="Hyperlink">
    <w:name w:val="Hyperlink"/>
    <w:uiPriority w:val="99"/>
    <w:rsid w:val="00F16EE8"/>
    <w:rPr>
      <w:b w:val="0"/>
      <w:color w:val="0000FF"/>
      <w:u w:val="single"/>
    </w:rPr>
  </w:style>
  <w:style w:type="character" w:styleId="FollowedHyperlink">
    <w:name w:val="FollowedHyperlink"/>
    <w:uiPriority w:val="99"/>
    <w:semiHidden/>
    <w:unhideWhenUsed/>
    <w:rsid w:val="00AF24DB"/>
    <w:rPr>
      <w:color w:val="800080"/>
      <w:u w:val="single"/>
    </w:rPr>
  </w:style>
  <w:style w:type="table" w:styleId="TableGrid">
    <w:name w:val="Table Grid"/>
    <w:basedOn w:val="TableNormal"/>
    <w:uiPriority w:val="59"/>
    <w:rsid w:val="00BD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2393"/>
    <w:rPr>
      <w:sz w:val="24"/>
      <w:szCs w:val="24"/>
    </w:rPr>
  </w:style>
  <w:style w:type="paragraph" w:styleId="BalloonText">
    <w:name w:val="Balloon Text"/>
    <w:basedOn w:val="Normal"/>
    <w:link w:val="BalloonTextChar"/>
    <w:uiPriority w:val="99"/>
    <w:semiHidden/>
    <w:unhideWhenUsed/>
    <w:rsid w:val="00092393"/>
    <w:rPr>
      <w:rFonts w:ascii="Tahoma" w:hAnsi="Tahoma" w:cs="Tahoma"/>
      <w:sz w:val="16"/>
      <w:szCs w:val="16"/>
    </w:rPr>
  </w:style>
  <w:style w:type="character" w:customStyle="1" w:styleId="BalloonTextChar">
    <w:name w:val="Balloon Text Char"/>
    <w:link w:val="BalloonText"/>
    <w:uiPriority w:val="99"/>
    <w:semiHidden/>
    <w:rsid w:val="00092393"/>
    <w:rPr>
      <w:rFonts w:ascii="Tahoma" w:hAnsi="Tahoma" w:cs="Tahoma"/>
      <w:sz w:val="16"/>
      <w:szCs w:val="16"/>
      <w:lang w:eastAsia="en-GB"/>
    </w:rPr>
  </w:style>
  <w:style w:type="paragraph" w:styleId="Footer">
    <w:name w:val="footer"/>
    <w:basedOn w:val="Normal"/>
    <w:link w:val="FooterChar"/>
    <w:uiPriority w:val="99"/>
    <w:qFormat/>
    <w:rsid w:val="00496F34"/>
    <w:pPr>
      <w:tabs>
        <w:tab w:val="center" w:pos="4513"/>
        <w:tab w:val="right" w:pos="9026"/>
      </w:tabs>
      <w:spacing w:after="0"/>
    </w:pPr>
    <w:rPr>
      <w:sz w:val="20"/>
    </w:rPr>
  </w:style>
  <w:style w:type="character" w:customStyle="1" w:styleId="FooterChar">
    <w:name w:val="Footer Char"/>
    <w:link w:val="Footer"/>
    <w:uiPriority w:val="99"/>
    <w:rsid w:val="00496F34"/>
    <w:rPr>
      <w:rFonts w:ascii="Arial" w:hAnsi="Arial"/>
      <w:szCs w:val="24"/>
    </w:rPr>
  </w:style>
  <w:style w:type="character" w:styleId="CommentReference">
    <w:name w:val="annotation reference"/>
    <w:basedOn w:val="DefaultParagraphFont"/>
    <w:uiPriority w:val="99"/>
    <w:semiHidden/>
    <w:unhideWhenUsed/>
    <w:rsid w:val="0053124D"/>
    <w:rPr>
      <w:sz w:val="16"/>
      <w:szCs w:val="16"/>
    </w:rPr>
  </w:style>
  <w:style w:type="paragraph" w:styleId="CommentText">
    <w:name w:val="annotation text"/>
    <w:basedOn w:val="Normal"/>
    <w:link w:val="CommentTextChar"/>
    <w:uiPriority w:val="99"/>
    <w:semiHidden/>
    <w:unhideWhenUsed/>
    <w:rsid w:val="0053124D"/>
    <w:rPr>
      <w:sz w:val="20"/>
      <w:szCs w:val="20"/>
    </w:rPr>
  </w:style>
  <w:style w:type="character" w:customStyle="1" w:styleId="CommentTextChar">
    <w:name w:val="Comment Text Char"/>
    <w:basedOn w:val="DefaultParagraphFont"/>
    <w:link w:val="CommentText"/>
    <w:uiPriority w:val="99"/>
    <w:semiHidden/>
    <w:rsid w:val="0053124D"/>
  </w:style>
  <w:style w:type="paragraph" w:styleId="CommentSubject">
    <w:name w:val="annotation subject"/>
    <w:basedOn w:val="CommentText"/>
    <w:next w:val="CommentText"/>
    <w:link w:val="CommentSubjectChar"/>
    <w:uiPriority w:val="99"/>
    <w:semiHidden/>
    <w:unhideWhenUsed/>
    <w:rsid w:val="0053124D"/>
    <w:rPr>
      <w:b/>
      <w:bCs/>
    </w:rPr>
  </w:style>
  <w:style w:type="character" w:customStyle="1" w:styleId="CommentSubjectChar">
    <w:name w:val="Comment Subject Char"/>
    <w:basedOn w:val="CommentTextChar"/>
    <w:link w:val="CommentSubject"/>
    <w:uiPriority w:val="99"/>
    <w:semiHidden/>
    <w:rsid w:val="0053124D"/>
    <w:rPr>
      <w:b/>
      <w:bCs/>
    </w:rPr>
  </w:style>
  <w:style w:type="paragraph" w:styleId="EndnoteText">
    <w:name w:val="endnote text"/>
    <w:basedOn w:val="Normal"/>
    <w:link w:val="EndnoteTextChar"/>
    <w:uiPriority w:val="99"/>
    <w:semiHidden/>
    <w:unhideWhenUsed/>
    <w:rsid w:val="00A13D6C"/>
    <w:rPr>
      <w:sz w:val="20"/>
      <w:szCs w:val="20"/>
    </w:rPr>
  </w:style>
  <w:style w:type="character" w:customStyle="1" w:styleId="EndnoteTextChar">
    <w:name w:val="Endnote Text Char"/>
    <w:basedOn w:val="DefaultParagraphFont"/>
    <w:link w:val="EndnoteText"/>
    <w:uiPriority w:val="99"/>
    <w:semiHidden/>
    <w:rsid w:val="00A13D6C"/>
  </w:style>
  <w:style w:type="character" w:styleId="EndnoteReference">
    <w:name w:val="endnote reference"/>
    <w:basedOn w:val="DefaultParagraphFont"/>
    <w:uiPriority w:val="99"/>
    <w:semiHidden/>
    <w:unhideWhenUsed/>
    <w:rsid w:val="00A13D6C"/>
    <w:rPr>
      <w:vertAlign w:val="superscript"/>
    </w:rPr>
  </w:style>
  <w:style w:type="character" w:customStyle="1" w:styleId="Heading1Char">
    <w:name w:val="Heading 1 Char"/>
    <w:basedOn w:val="DefaultParagraphFont"/>
    <w:link w:val="Heading1"/>
    <w:uiPriority w:val="9"/>
    <w:rsid w:val="00D427DF"/>
    <w:rPr>
      <w:rFonts w:ascii="Arial" w:eastAsiaTheme="majorEastAsia" w:hAnsi="Arial" w:cstheme="majorBidi"/>
      <w:b/>
      <w:bCs/>
      <w:sz w:val="32"/>
      <w:szCs w:val="28"/>
    </w:rPr>
  </w:style>
  <w:style w:type="paragraph" w:styleId="NoSpacing">
    <w:name w:val="No Spacing"/>
    <w:uiPriority w:val="1"/>
    <w:qFormat/>
    <w:rsid w:val="0033606F"/>
    <w:rPr>
      <w:rFonts w:ascii="Arial" w:hAnsi="Arial"/>
      <w:sz w:val="24"/>
      <w:szCs w:val="24"/>
    </w:rPr>
  </w:style>
  <w:style w:type="character" w:customStyle="1" w:styleId="Heading2Char">
    <w:name w:val="Heading 2 Char"/>
    <w:basedOn w:val="DefaultParagraphFont"/>
    <w:link w:val="Heading2"/>
    <w:uiPriority w:val="9"/>
    <w:rsid w:val="00737724"/>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737724"/>
    <w:rPr>
      <w:rFonts w:ascii="Arial" w:eastAsiaTheme="majorEastAsia" w:hAnsi="Arial" w:cstheme="majorBidi"/>
      <w:b/>
      <w:bCs/>
      <w:sz w:val="24"/>
      <w:szCs w:val="24"/>
    </w:rPr>
  </w:style>
  <w:style w:type="character" w:customStyle="1" w:styleId="Heading4Char">
    <w:name w:val="Heading 4 Char"/>
    <w:basedOn w:val="DefaultParagraphFont"/>
    <w:link w:val="Heading4"/>
    <w:uiPriority w:val="9"/>
    <w:rsid w:val="00483782"/>
    <w:rPr>
      <w:rFonts w:ascii="Arial" w:eastAsiaTheme="majorEastAsia" w:hAnsi="Arial" w:cstheme="majorBidi"/>
      <w:b/>
      <w:bCs/>
      <w:iCs/>
      <w:sz w:val="24"/>
      <w:szCs w:val="24"/>
    </w:rPr>
  </w:style>
  <w:style w:type="paragraph" w:styleId="ListBullet">
    <w:name w:val="List Bullet"/>
    <w:basedOn w:val="Normal"/>
    <w:uiPriority w:val="99"/>
    <w:rsid w:val="009D34C0"/>
    <w:pPr>
      <w:numPr>
        <w:numId w:val="9"/>
      </w:numPr>
      <w:contextualSpacing/>
    </w:pPr>
  </w:style>
  <w:style w:type="paragraph" w:styleId="TOCHeading">
    <w:name w:val="TOC Heading"/>
    <w:basedOn w:val="Heading1"/>
    <w:next w:val="Normal"/>
    <w:uiPriority w:val="39"/>
    <w:semiHidden/>
    <w:unhideWhenUsed/>
    <w:qFormat/>
    <w:rsid w:val="0039160E"/>
    <w:pPr>
      <w:spacing w:before="480" w:after="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semiHidden/>
    <w:rsid w:val="0039160E"/>
    <w:pPr>
      <w:spacing w:after="100"/>
    </w:pPr>
  </w:style>
  <w:style w:type="paragraph" w:styleId="TOC3">
    <w:name w:val="toc 3"/>
    <w:basedOn w:val="Normal"/>
    <w:next w:val="Normal"/>
    <w:autoRedefine/>
    <w:uiPriority w:val="39"/>
    <w:semiHidden/>
    <w:rsid w:val="0039160E"/>
    <w:pPr>
      <w:spacing w:after="100"/>
      <w:ind w:left="480"/>
    </w:pPr>
  </w:style>
  <w:style w:type="paragraph" w:styleId="Header">
    <w:name w:val="header"/>
    <w:basedOn w:val="Normal"/>
    <w:link w:val="HeaderChar"/>
    <w:uiPriority w:val="99"/>
    <w:unhideWhenUsed/>
    <w:rsid w:val="00F35268"/>
    <w:pPr>
      <w:tabs>
        <w:tab w:val="center" w:pos="4513"/>
        <w:tab w:val="right" w:pos="9026"/>
      </w:tabs>
      <w:spacing w:after="0"/>
    </w:pPr>
  </w:style>
  <w:style w:type="character" w:customStyle="1" w:styleId="HeaderChar">
    <w:name w:val="Header Char"/>
    <w:basedOn w:val="DefaultParagraphFont"/>
    <w:link w:val="Header"/>
    <w:uiPriority w:val="99"/>
    <w:rsid w:val="00F35268"/>
    <w:rPr>
      <w:rFonts w:ascii="Arial" w:hAnsi="Arial"/>
      <w:sz w:val="24"/>
      <w:szCs w:val="24"/>
    </w:rPr>
  </w:style>
  <w:style w:type="paragraph" w:styleId="ListParagraph">
    <w:name w:val="List Paragraph"/>
    <w:basedOn w:val="Normal"/>
    <w:uiPriority w:val="34"/>
    <w:qFormat/>
    <w:rsid w:val="0058750D"/>
    <w:pPr>
      <w:ind w:left="720"/>
      <w:contextualSpacing/>
    </w:pPr>
  </w:style>
  <w:style w:type="character" w:customStyle="1" w:styleId="FootnoteTextChar">
    <w:name w:val="Footnote Text Char"/>
    <w:basedOn w:val="DefaultParagraphFont"/>
    <w:link w:val="FootnoteText"/>
    <w:semiHidden/>
    <w:rsid w:val="00694D98"/>
    <w:rPr>
      <w:rFonts w:ascii="Arial" w:hAnsi="Arial"/>
    </w:rPr>
  </w:style>
  <w:style w:type="paragraph" w:styleId="ListBullet2">
    <w:name w:val="List Bullet 2"/>
    <w:basedOn w:val="Normal"/>
    <w:uiPriority w:val="99"/>
    <w:rsid w:val="001D4F10"/>
    <w:pPr>
      <w:numPr>
        <w:numId w:val="10"/>
      </w:numPr>
      <w:spacing w:after="0"/>
      <w:ind w:left="641" w:hanging="357"/>
      <w:contextualSpacing/>
    </w:pPr>
  </w:style>
  <w:style w:type="paragraph" w:styleId="BodyText">
    <w:name w:val="Body Text"/>
    <w:basedOn w:val="Normal"/>
    <w:link w:val="BodyTextChar"/>
    <w:uiPriority w:val="99"/>
    <w:rsid w:val="008C5A76"/>
    <w:pPr>
      <w:spacing w:after="120"/>
    </w:pPr>
    <w:rPr>
      <w:rFonts w:asciiTheme="minorHAnsi" w:hAnsiTheme="minorHAnsi"/>
      <w:color w:val="0072C6"/>
    </w:rPr>
  </w:style>
  <w:style w:type="character" w:customStyle="1" w:styleId="BodyTextChar">
    <w:name w:val="Body Text Char"/>
    <w:basedOn w:val="DefaultParagraphFont"/>
    <w:link w:val="BodyText"/>
    <w:uiPriority w:val="99"/>
    <w:rsid w:val="008C5A76"/>
    <w:rPr>
      <w:rFonts w:asciiTheme="minorHAnsi" w:hAnsiTheme="minorHAnsi"/>
      <w:color w:val="0072C6"/>
      <w:sz w:val="24"/>
      <w:szCs w:val="24"/>
    </w:rPr>
  </w:style>
  <w:style w:type="paragraph" w:customStyle="1" w:styleId="Default">
    <w:name w:val="Default"/>
    <w:rsid w:val="00AF2C09"/>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caption" w:uiPriority="35" w:qFormat="1"/>
    <w:lsdException w:name="footnote reference" w:uiPriority="0"/>
    <w:lsdException w:name="List Bullet" w:semiHidden="0" w:unhideWhenUsed="0"/>
    <w:lsdException w:name="List Number" w:semiHidden="0" w:unhideWhenUsed="0"/>
    <w:lsdException w:name="List Bullet 2" w:semiHidden="0" w:unhideWhenUsed="0"/>
    <w:lsdException w:name="List Number 2" w:semiHidden="0" w:unhideWhenUsed="0"/>
    <w:lsdException w:name="Title" w:uiPriority="10" w:unhideWhenUsed="0" w:qFormat="1"/>
    <w:lsdException w:name="Default Paragraph Font" w:uiPriority="1"/>
    <w:lsdException w:name="Body Text" w:semiHidden="0" w:unhideWhenUsed="0"/>
    <w:lsdException w:name="Subtitle" w:uiPriority="11" w:unhideWhenUsed="0" w:qFormat="1"/>
    <w:lsdException w:name="Strong" w:uiPriority="22"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7B0011"/>
    <w:pPr>
      <w:spacing w:after="240"/>
    </w:pPr>
    <w:rPr>
      <w:rFonts w:ascii="Arial" w:hAnsi="Arial"/>
      <w:sz w:val="24"/>
      <w:szCs w:val="24"/>
    </w:rPr>
  </w:style>
  <w:style w:type="paragraph" w:styleId="Heading1">
    <w:name w:val="heading 1"/>
    <w:basedOn w:val="Normal"/>
    <w:next w:val="Normal"/>
    <w:link w:val="Heading1Char"/>
    <w:uiPriority w:val="9"/>
    <w:qFormat/>
    <w:rsid w:val="00D427DF"/>
    <w:pPr>
      <w:keepNext/>
      <w:keepLines/>
      <w:spacing w:after="120"/>
      <w:outlineLvl w:val="0"/>
    </w:pPr>
    <w:rPr>
      <w:rFonts w:eastAsiaTheme="majorEastAsia" w:cstheme="majorBidi"/>
      <w:b/>
      <w:bCs/>
      <w:sz w:val="32"/>
      <w:szCs w:val="28"/>
    </w:rPr>
  </w:style>
  <w:style w:type="paragraph" w:styleId="Heading2">
    <w:name w:val="heading 2"/>
    <w:basedOn w:val="Normal"/>
    <w:next w:val="Normal"/>
    <w:link w:val="Heading2Char"/>
    <w:uiPriority w:val="9"/>
    <w:qFormat/>
    <w:rsid w:val="00737724"/>
    <w:pPr>
      <w:keepNext/>
      <w:keepLines/>
      <w:spacing w:after="0" w:line="360" w:lineRule="auto"/>
      <w:outlineLvl w:val="1"/>
    </w:pPr>
    <w:rPr>
      <w:rFonts w:eastAsiaTheme="majorEastAsia" w:cstheme="majorBidi"/>
      <w:b/>
      <w:bCs/>
      <w:sz w:val="28"/>
      <w:szCs w:val="26"/>
    </w:rPr>
  </w:style>
  <w:style w:type="paragraph" w:styleId="Heading3">
    <w:name w:val="heading 3"/>
    <w:basedOn w:val="Normal"/>
    <w:next w:val="Normal"/>
    <w:link w:val="Heading3Char"/>
    <w:uiPriority w:val="9"/>
    <w:qFormat/>
    <w:rsid w:val="00737724"/>
    <w:pPr>
      <w:keepNext/>
      <w:keepLines/>
      <w:spacing w:after="0" w:line="360" w:lineRule="auto"/>
      <w:outlineLvl w:val="2"/>
    </w:pPr>
    <w:rPr>
      <w:rFonts w:eastAsiaTheme="majorEastAsia" w:cstheme="majorBidi"/>
      <w:b/>
      <w:bCs/>
    </w:rPr>
  </w:style>
  <w:style w:type="paragraph" w:styleId="Heading4">
    <w:name w:val="heading 4"/>
    <w:basedOn w:val="Normal"/>
    <w:next w:val="Normal"/>
    <w:link w:val="Heading4Char"/>
    <w:uiPriority w:val="9"/>
    <w:qFormat/>
    <w:rsid w:val="00483782"/>
    <w:pPr>
      <w:keepNext/>
      <w:keepLines/>
      <w:spacing w:after="0"/>
      <w:jc w:val="center"/>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90332"/>
    <w:rPr>
      <w:sz w:val="20"/>
      <w:szCs w:val="20"/>
    </w:rPr>
  </w:style>
  <w:style w:type="character" w:styleId="FootnoteReference">
    <w:name w:val="footnote reference"/>
    <w:semiHidden/>
    <w:rsid w:val="00190332"/>
    <w:rPr>
      <w:vertAlign w:val="superscript"/>
    </w:rPr>
  </w:style>
  <w:style w:type="character" w:styleId="Hyperlink">
    <w:name w:val="Hyperlink"/>
    <w:uiPriority w:val="99"/>
    <w:rsid w:val="00F16EE8"/>
    <w:rPr>
      <w:b w:val="0"/>
      <w:color w:val="0000FF"/>
      <w:u w:val="single"/>
    </w:rPr>
  </w:style>
  <w:style w:type="character" w:styleId="FollowedHyperlink">
    <w:name w:val="FollowedHyperlink"/>
    <w:uiPriority w:val="99"/>
    <w:semiHidden/>
    <w:unhideWhenUsed/>
    <w:rsid w:val="00AF24DB"/>
    <w:rPr>
      <w:color w:val="800080"/>
      <w:u w:val="single"/>
    </w:rPr>
  </w:style>
  <w:style w:type="table" w:styleId="TableGrid">
    <w:name w:val="Table Grid"/>
    <w:basedOn w:val="TableNormal"/>
    <w:uiPriority w:val="59"/>
    <w:rsid w:val="00BD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2393"/>
    <w:rPr>
      <w:sz w:val="24"/>
      <w:szCs w:val="24"/>
    </w:rPr>
  </w:style>
  <w:style w:type="paragraph" w:styleId="BalloonText">
    <w:name w:val="Balloon Text"/>
    <w:basedOn w:val="Normal"/>
    <w:link w:val="BalloonTextChar"/>
    <w:uiPriority w:val="99"/>
    <w:semiHidden/>
    <w:unhideWhenUsed/>
    <w:rsid w:val="00092393"/>
    <w:rPr>
      <w:rFonts w:ascii="Tahoma" w:hAnsi="Tahoma" w:cs="Tahoma"/>
      <w:sz w:val="16"/>
      <w:szCs w:val="16"/>
    </w:rPr>
  </w:style>
  <w:style w:type="character" w:customStyle="1" w:styleId="BalloonTextChar">
    <w:name w:val="Balloon Text Char"/>
    <w:link w:val="BalloonText"/>
    <w:uiPriority w:val="99"/>
    <w:semiHidden/>
    <w:rsid w:val="00092393"/>
    <w:rPr>
      <w:rFonts w:ascii="Tahoma" w:hAnsi="Tahoma" w:cs="Tahoma"/>
      <w:sz w:val="16"/>
      <w:szCs w:val="16"/>
      <w:lang w:eastAsia="en-GB"/>
    </w:rPr>
  </w:style>
  <w:style w:type="paragraph" w:styleId="Footer">
    <w:name w:val="footer"/>
    <w:basedOn w:val="Normal"/>
    <w:link w:val="FooterChar"/>
    <w:uiPriority w:val="99"/>
    <w:qFormat/>
    <w:rsid w:val="00496F34"/>
    <w:pPr>
      <w:tabs>
        <w:tab w:val="center" w:pos="4513"/>
        <w:tab w:val="right" w:pos="9026"/>
      </w:tabs>
      <w:spacing w:after="0"/>
    </w:pPr>
    <w:rPr>
      <w:sz w:val="20"/>
    </w:rPr>
  </w:style>
  <w:style w:type="character" w:customStyle="1" w:styleId="FooterChar">
    <w:name w:val="Footer Char"/>
    <w:link w:val="Footer"/>
    <w:uiPriority w:val="99"/>
    <w:rsid w:val="00496F34"/>
    <w:rPr>
      <w:rFonts w:ascii="Arial" w:hAnsi="Arial"/>
      <w:szCs w:val="24"/>
    </w:rPr>
  </w:style>
  <w:style w:type="character" w:styleId="CommentReference">
    <w:name w:val="annotation reference"/>
    <w:basedOn w:val="DefaultParagraphFont"/>
    <w:uiPriority w:val="99"/>
    <w:semiHidden/>
    <w:unhideWhenUsed/>
    <w:rsid w:val="0053124D"/>
    <w:rPr>
      <w:sz w:val="16"/>
      <w:szCs w:val="16"/>
    </w:rPr>
  </w:style>
  <w:style w:type="paragraph" w:styleId="CommentText">
    <w:name w:val="annotation text"/>
    <w:basedOn w:val="Normal"/>
    <w:link w:val="CommentTextChar"/>
    <w:uiPriority w:val="99"/>
    <w:semiHidden/>
    <w:unhideWhenUsed/>
    <w:rsid w:val="0053124D"/>
    <w:rPr>
      <w:sz w:val="20"/>
      <w:szCs w:val="20"/>
    </w:rPr>
  </w:style>
  <w:style w:type="character" w:customStyle="1" w:styleId="CommentTextChar">
    <w:name w:val="Comment Text Char"/>
    <w:basedOn w:val="DefaultParagraphFont"/>
    <w:link w:val="CommentText"/>
    <w:uiPriority w:val="99"/>
    <w:semiHidden/>
    <w:rsid w:val="0053124D"/>
  </w:style>
  <w:style w:type="paragraph" w:styleId="CommentSubject">
    <w:name w:val="annotation subject"/>
    <w:basedOn w:val="CommentText"/>
    <w:next w:val="CommentText"/>
    <w:link w:val="CommentSubjectChar"/>
    <w:uiPriority w:val="99"/>
    <w:semiHidden/>
    <w:unhideWhenUsed/>
    <w:rsid w:val="0053124D"/>
    <w:rPr>
      <w:b/>
      <w:bCs/>
    </w:rPr>
  </w:style>
  <w:style w:type="character" w:customStyle="1" w:styleId="CommentSubjectChar">
    <w:name w:val="Comment Subject Char"/>
    <w:basedOn w:val="CommentTextChar"/>
    <w:link w:val="CommentSubject"/>
    <w:uiPriority w:val="99"/>
    <w:semiHidden/>
    <w:rsid w:val="0053124D"/>
    <w:rPr>
      <w:b/>
      <w:bCs/>
    </w:rPr>
  </w:style>
  <w:style w:type="paragraph" w:styleId="EndnoteText">
    <w:name w:val="endnote text"/>
    <w:basedOn w:val="Normal"/>
    <w:link w:val="EndnoteTextChar"/>
    <w:uiPriority w:val="99"/>
    <w:semiHidden/>
    <w:unhideWhenUsed/>
    <w:rsid w:val="00A13D6C"/>
    <w:rPr>
      <w:sz w:val="20"/>
      <w:szCs w:val="20"/>
    </w:rPr>
  </w:style>
  <w:style w:type="character" w:customStyle="1" w:styleId="EndnoteTextChar">
    <w:name w:val="Endnote Text Char"/>
    <w:basedOn w:val="DefaultParagraphFont"/>
    <w:link w:val="EndnoteText"/>
    <w:uiPriority w:val="99"/>
    <w:semiHidden/>
    <w:rsid w:val="00A13D6C"/>
  </w:style>
  <w:style w:type="character" w:styleId="EndnoteReference">
    <w:name w:val="endnote reference"/>
    <w:basedOn w:val="DefaultParagraphFont"/>
    <w:uiPriority w:val="99"/>
    <w:semiHidden/>
    <w:unhideWhenUsed/>
    <w:rsid w:val="00A13D6C"/>
    <w:rPr>
      <w:vertAlign w:val="superscript"/>
    </w:rPr>
  </w:style>
  <w:style w:type="character" w:customStyle="1" w:styleId="Heading1Char">
    <w:name w:val="Heading 1 Char"/>
    <w:basedOn w:val="DefaultParagraphFont"/>
    <w:link w:val="Heading1"/>
    <w:uiPriority w:val="9"/>
    <w:rsid w:val="00D427DF"/>
    <w:rPr>
      <w:rFonts w:ascii="Arial" w:eastAsiaTheme="majorEastAsia" w:hAnsi="Arial" w:cstheme="majorBidi"/>
      <w:b/>
      <w:bCs/>
      <w:sz w:val="32"/>
      <w:szCs w:val="28"/>
    </w:rPr>
  </w:style>
  <w:style w:type="paragraph" w:styleId="NoSpacing">
    <w:name w:val="No Spacing"/>
    <w:uiPriority w:val="1"/>
    <w:qFormat/>
    <w:rsid w:val="0033606F"/>
    <w:rPr>
      <w:rFonts w:ascii="Arial" w:hAnsi="Arial"/>
      <w:sz w:val="24"/>
      <w:szCs w:val="24"/>
    </w:rPr>
  </w:style>
  <w:style w:type="character" w:customStyle="1" w:styleId="Heading2Char">
    <w:name w:val="Heading 2 Char"/>
    <w:basedOn w:val="DefaultParagraphFont"/>
    <w:link w:val="Heading2"/>
    <w:uiPriority w:val="9"/>
    <w:rsid w:val="00737724"/>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737724"/>
    <w:rPr>
      <w:rFonts w:ascii="Arial" w:eastAsiaTheme="majorEastAsia" w:hAnsi="Arial" w:cstheme="majorBidi"/>
      <w:b/>
      <w:bCs/>
      <w:sz w:val="24"/>
      <w:szCs w:val="24"/>
    </w:rPr>
  </w:style>
  <w:style w:type="character" w:customStyle="1" w:styleId="Heading4Char">
    <w:name w:val="Heading 4 Char"/>
    <w:basedOn w:val="DefaultParagraphFont"/>
    <w:link w:val="Heading4"/>
    <w:uiPriority w:val="9"/>
    <w:rsid w:val="00483782"/>
    <w:rPr>
      <w:rFonts w:ascii="Arial" w:eastAsiaTheme="majorEastAsia" w:hAnsi="Arial" w:cstheme="majorBidi"/>
      <w:b/>
      <w:bCs/>
      <w:iCs/>
      <w:sz w:val="24"/>
      <w:szCs w:val="24"/>
    </w:rPr>
  </w:style>
  <w:style w:type="paragraph" w:styleId="ListBullet">
    <w:name w:val="List Bullet"/>
    <w:basedOn w:val="Normal"/>
    <w:uiPriority w:val="99"/>
    <w:rsid w:val="009D34C0"/>
    <w:pPr>
      <w:numPr>
        <w:numId w:val="9"/>
      </w:numPr>
      <w:contextualSpacing/>
    </w:pPr>
  </w:style>
  <w:style w:type="paragraph" w:styleId="TOCHeading">
    <w:name w:val="TOC Heading"/>
    <w:basedOn w:val="Heading1"/>
    <w:next w:val="Normal"/>
    <w:uiPriority w:val="39"/>
    <w:semiHidden/>
    <w:unhideWhenUsed/>
    <w:qFormat/>
    <w:rsid w:val="0039160E"/>
    <w:pPr>
      <w:spacing w:before="480" w:after="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semiHidden/>
    <w:rsid w:val="0039160E"/>
    <w:pPr>
      <w:spacing w:after="100"/>
    </w:pPr>
  </w:style>
  <w:style w:type="paragraph" w:styleId="TOC3">
    <w:name w:val="toc 3"/>
    <w:basedOn w:val="Normal"/>
    <w:next w:val="Normal"/>
    <w:autoRedefine/>
    <w:uiPriority w:val="39"/>
    <w:semiHidden/>
    <w:rsid w:val="0039160E"/>
    <w:pPr>
      <w:spacing w:after="100"/>
      <w:ind w:left="480"/>
    </w:pPr>
  </w:style>
  <w:style w:type="paragraph" w:styleId="Header">
    <w:name w:val="header"/>
    <w:basedOn w:val="Normal"/>
    <w:link w:val="HeaderChar"/>
    <w:uiPriority w:val="99"/>
    <w:unhideWhenUsed/>
    <w:rsid w:val="00F35268"/>
    <w:pPr>
      <w:tabs>
        <w:tab w:val="center" w:pos="4513"/>
        <w:tab w:val="right" w:pos="9026"/>
      </w:tabs>
      <w:spacing w:after="0"/>
    </w:pPr>
  </w:style>
  <w:style w:type="character" w:customStyle="1" w:styleId="HeaderChar">
    <w:name w:val="Header Char"/>
    <w:basedOn w:val="DefaultParagraphFont"/>
    <w:link w:val="Header"/>
    <w:uiPriority w:val="99"/>
    <w:rsid w:val="00F35268"/>
    <w:rPr>
      <w:rFonts w:ascii="Arial" w:hAnsi="Arial"/>
      <w:sz w:val="24"/>
      <w:szCs w:val="24"/>
    </w:rPr>
  </w:style>
  <w:style w:type="paragraph" w:styleId="ListParagraph">
    <w:name w:val="List Paragraph"/>
    <w:basedOn w:val="Normal"/>
    <w:uiPriority w:val="34"/>
    <w:qFormat/>
    <w:rsid w:val="0058750D"/>
    <w:pPr>
      <w:ind w:left="720"/>
      <w:contextualSpacing/>
    </w:pPr>
  </w:style>
  <w:style w:type="character" w:customStyle="1" w:styleId="FootnoteTextChar">
    <w:name w:val="Footnote Text Char"/>
    <w:basedOn w:val="DefaultParagraphFont"/>
    <w:link w:val="FootnoteText"/>
    <w:semiHidden/>
    <w:rsid w:val="00694D98"/>
    <w:rPr>
      <w:rFonts w:ascii="Arial" w:hAnsi="Arial"/>
    </w:rPr>
  </w:style>
  <w:style w:type="paragraph" w:styleId="ListBullet2">
    <w:name w:val="List Bullet 2"/>
    <w:basedOn w:val="Normal"/>
    <w:uiPriority w:val="99"/>
    <w:rsid w:val="001D4F10"/>
    <w:pPr>
      <w:numPr>
        <w:numId w:val="10"/>
      </w:numPr>
      <w:spacing w:after="0"/>
      <w:ind w:left="641" w:hanging="357"/>
      <w:contextualSpacing/>
    </w:pPr>
  </w:style>
  <w:style w:type="paragraph" w:styleId="BodyText">
    <w:name w:val="Body Text"/>
    <w:basedOn w:val="Normal"/>
    <w:link w:val="BodyTextChar"/>
    <w:uiPriority w:val="99"/>
    <w:rsid w:val="008C5A76"/>
    <w:pPr>
      <w:spacing w:after="120"/>
    </w:pPr>
    <w:rPr>
      <w:rFonts w:asciiTheme="minorHAnsi" w:hAnsiTheme="minorHAnsi"/>
      <w:color w:val="0072C6"/>
    </w:rPr>
  </w:style>
  <w:style w:type="character" w:customStyle="1" w:styleId="BodyTextChar">
    <w:name w:val="Body Text Char"/>
    <w:basedOn w:val="DefaultParagraphFont"/>
    <w:link w:val="BodyText"/>
    <w:uiPriority w:val="99"/>
    <w:rsid w:val="008C5A76"/>
    <w:rPr>
      <w:rFonts w:asciiTheme="minorHAnsi" w:hAnsiTheme="minorHAnsi"/>
      <w:color w:val="0072C6"/>
      <w:sz w:val="24"/>
      <w:szCs w:val="24"/>
    </w:rPr>
  </w:style>
  <w:style w:type="paragraph" w:customStyle="1" w:styleId="Default">
    <w:name w:val="Default"/>
    <w:rsid w:val="00AF2C0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30403">
      <w:bodyDiv w:val="1"/>
      <w:marLeft w:val="0"/>
      <w:marRight w:val="0"/>
      <w:marTop w:val="0"/>
      <w:marBottom w:val="0"/>
      <w:divBdr>
        <w:top w:val="none" w:sz="0" w:space="0" w:color="auto"/>
        <w:left w:val="none" w:sz="0" w:space="0" w:color="auto"/>
        <w:bottom w:val="none" w:sz="0" w:space="0" w:color="auto"/>
        <w:right w:val="none" w:sz="0" w:space="0" w:color="auto"/>
      </w:divBdr>
    </w:div>
    <w:div w:id="166404619">
      <w:bodyDiv w:val="1"/>
      <w:marLeft w:val="0"/>
      <w:marRight w:val="0"/>
      <w:marTop w:val="0"/>
      <w:marBottom w:val="0"/>
      <w:divBdr>
        <w:top w:val="none" w:sz="0" w:space="0" w:color="auto"/>
        <w:left w:val="none" w:sz="0" w:space="0" w:color="auto"/>
        <w:bottom w:val="none" w:sz="0" w:space="0" w:color="auto"/>
        <w:right w:val="none" w:sz="0" w:space="0" w:color="auto"/>
      </w:divBdr>
    </w:div>
    <w:div w:id="274139118">
      <w:bodyDiv w:val="1"/>
      <w:marLeft w:val="0"/>
      <w:marRight w:val="0"/>
      <w:marTop w:val="0"/>
      <w:marBottom w:val="0"/>
      <w:divBdr>
        <w:top w:val="none" w:sz="0" w:space="0" w:color="auto"/>
        <w:left w:val="none" w:sz="0" w:space="0" w:color="auto"/>
        <w:bottom w:val="none" w:sz="0" w:space="0" w:color="auto"/>
        <w:right w:val="none" w:sz="0" w:space="0" w:color="auto"/>
      </w:divBdr>
    </w:div>
    <w:div w:id="459569593">
      <w:bodyDiv w:val="1"/>
      <w:marLeft w:val="0"/>
      <w:marRight w:val="0"/>
      <w:marTop w:val="0"/>
      <w:marBottom w:val="0"/>
      <w:divBdr>
        <w:top w:val="none" w:sz="0" w:space="0" w:color="auto"/>
        <w:left w:val="none" w:sz="0" w:space="0" w:color="auto"/>
        <w:bottom w:val="none" w:sz="0" w:space="0" w:color="auto"/>
        <w:right w:val="none" w:sz="0" w:space="0" w:color="auto"/>
      </w:divBdr>
    </w:div>
    <w:div w:id="540361179">
      <w:bodyDiv w:val="1"/>
      <w:marLeft w:val="0"/>
      <w:marRight w:val="0"/>
      <w:marTop w:val="0"/>
      <w:marBottom w:val="0"/>
      <w:divBdr>
        <w:top w:val="none" w:sz="0" w:space="0" w:color="auto"/>
        <w:left w:val="none" w:sz="0" w:space="0" w:color="auto"/>
        <w:bottom w:val="none" w:sz="0" w:space="0" w:color="auto"/>
        <w:right w:val="none" w:sz="0" w:space="0" w:color="auto"/>
      </w:divBdr>
    </w:div>
    <w:div w:id="555432489">
      <w:bodyDiv w:val="1"/>
      <w:marLeft w:val="0"/>
      <w:marRight w:val="0"/>
      <w:marTop w:val="0"/>
      <w:marBottom w:val="0"/>
      <w:divBdr>
        <w:top w:val="none" w:sz="0" w:space="0" w:color="auto"/>
        <w:left w:val="none" w:sz="0" w:space="0" w:color="auto"/>
        <w:bottom w:val="none" w:sz="0" w:space="0" w:color="auto"/>
        <w:right w:val="none" w:sz="0" w:space="0" w:color="auto"/>
      </w:divBdr>
    </w:div>
    <w:div w:id="709721236">
      <w:bodyDiv w:val="1"/>
      <w:marLeft w:val="0"/>
      <w:marRight w:val="0"/>
      <w:marTop w:val="0"/>
      <w:marBottom w:val="0"/>
      <w:divBdr>
        <w:top w:val="none" w:sz="0" w:space="0" w:color="auto"/>
        <w:left w:val="none" w:sz="0" w:space="0" w:color="auto"/>
        <w:bottom w:val="none" w:sz="0" w:space="0" w:color="auto"/>
        <w:right w:val="none" w:sz="0" w:space="0" w:color="auto"/>
      </w:divBdr>
      <w:divsChild>
        <w:div w:id="1542012813">
          <w:marLeft w:val="0"/>
          <w:marRight w:val="0"/>
          <w:marTop w:val="0"/>
          <w:marBottom w:val="0"/>
          <w:divBdr>
            <w:top w:val="none" w:sz="0" w:space="0" w:color="auto"/>
            <w:left w:val="none" w:sz="0" w:space="0" w:color="auto"/>
            <w:bottom w:val="none" w:sz="0" w:space="0" w:color="auto"/>
            <w:right w:val="none" w:sz="0" w:space="0" w:color="auto"/>
          </w:divBdr>
          <w:divsChild>
            <w:div w:id="1306198776">
              <w:marLeft w:val="0"/>
              <w:marRight w:val="0"/>
              <w:marTop w:val="0"/>
              <w:marBottom w:val="0"/>
              <w:divBdr>
                <w:top w:val="none" w:sz="0" w:space="0" w:color="auto"/>
                <w:left w:val="none" w:sz="0" w:space="0" w:color="auto"/>
                <w:bottom w:val="none" w:sz="0" w:space="0" w:color="auto"/>
                <w:right w:val="none" w:sz="0" w:space="0" w:color="auto"/>
              </w:divBdr>
              <w:divsChild>
                <w:div w:id="159740764">
                  <w:marLeft w:val="165"/>
                  <w:marRight w:val="165"/>
                  <w:marTop w:val="0"/>
                  <w:marBottom w:val="0"/>
                  <w:divBdr>
                    <w:top w:val="none" w:sz="0" w:space="0" w:color="auto"/>
                    <w:left w:val="none" w:sz="0" w:space="0" w:color="auto"/>
                    <w:bottom w:val="none" w:sz="0" w:space="0" w:color="auto"/>
                    <w:right w:val="none" w:sz="0" w:space="0" w:color="auto"/>
                  </w:divBdr>
                  <w:divsChild>
                    <w:div w:id="591620077">
                      <w:marLeft w:val="0"/>
                      <w:marRight w:val="0"/>
                      <w:marTop w:val="0"/>
                      <w:marBottom w:val="0"/>
                      <w:divBdr>
                        <w:top w:val="none" w:sz="0" w:space="0" w:color="auto"/>
                        <w:left w:val="none" w:sz="0" w:space="0" w:color="auto"/>
                        <w:bottom w:val="none" w:sz="0" w:space="0" w:color="auto"/>
                        <w:right w:val="none" w:sz="0" w:space="0" w:color="auto"/>
                      </w:divBdr>
                      <w:divsChild>
                        <w:div w:id="611594701">
                          <w:marLeft w:val="165"/>
                          <w:marRight w:val="165"/>
                          <w:marTop w:val="0"/>
                          <w:marBottom w:val="0"/>
                          <w:divBdr>
                            <w:top w:val="none" w:sz="0" w:space="0" w:color="auto"/>
                            <w:left w:val="none" w:sz="0" w:space="0" w:color="auto"/>
                            <w:bottom w:val="none" w:sz="0" w:space="0" w:color="auto"/>
                            <w:right w:val="none" w:sz="0" w:space="0" w:color="auto"/>
                          </w:divBdr>
                          <w:divsChild>
                            <w:div w:id="709034342">
                              <w:marLeft w:val="0"/>
                              <w:marRight w:val="0"/>
                              <w:marTop w:val="0"/>
                              <w:marBottom w:val="0"/>
                              <w:divBdr>
                                <w:top w:val="none" w:sz="0" w:space="0" w:color="auto"/>
                                <w:left w:val="none" w:sz="0" w:space="0" w:color="auto"/>
                                <w:bottom w:val="none" w:sz="0" w:space="0" w:color="auto"/>
                                <w:right w:val="none" w:sz="0" w:space="0" w:color="auto"/>
                              </w:divBdr>
                              <w:divsChild>
                                <w:div w:id="928581920">
                                  <w:marLeft w:val="0"/>
                                  <w:marRight w:val="0"/>
                                  <w:marTop w:val="0"/>
                                  <w:marBottom w:val="0"/>
                                  <w:divBdr>
                                    <w:top w:val="none" w:sz="0" w:space="0" w:color="auto"/>
                                    <w:left w:val="none" w:sz="0" w:space="0" w:color="auto"/>
                                    <w:bottom w:val="none" w:sz="0" w:space="0" w:color="auto"/>
                                    <w:right w:val="none" w:sz="0" w:space="0" w:color="auto"/>
                                  </w:divBdr>
                                  <w:divsChild>
                                    <w:div w:id="752625144">
                                      <w:marLeft w:val="0"/>
                                      <w:marRight w:val="0"/>
                                      <w:marTop w:val="0"/>
                                      <w:marBottom w:val="0"/>
                                      <w:divBdr>
                                        <w:top w:val="none" w:sz="0" w:space="0" w:color="auto"/>
                                        <w:left w:val="none" w:sz="0" w:space="0" w:color="auto"/>
                                        <w:bottom w:val="none" w:sz="0" w:space="0" w:color="auto"/>
                                        <w:right w:val="none" w:sz="0" w:space="0" w:color="auto"/>
                                      </w:divBdr>
                                      <w:divsChild>
                                        <w:div w:id="730276480">
                                          <w:marLeft w:val="0"/>
                                          <w:marRight w:val="0"/>
                                          <w:marTop w:val="0"/>
                                          <w:marBottom w:val="0"/>
                                          <w:divBdr>
                                            <w:top w:val="none" w:sz="0" w:space="0" w:color="auto"/>
                                            <w:left w:val="none" w:sz="0" w:space="0" w:color="auto"/>
                                            <w:bottom w:val="none" w:sz="0" w:space="0" w:color="auto"/>
                                            <w:right w:val="none" w:sz="0" w:space="0" w:color="auto"/>
                                          </w:divBdr>
                                          <w:divsChild>
                                            <w:div w:id="349332531">
                                              <w:marLeft w:val="0"/>
                                              <w:marRight w:val="0"/>
                                              <w:marTop w:val="0"/>
                                              <w:marBottom w:val="0"/>
                                              <w:divBdr>
                                                <w:top w:val="none" w:sz="0" w:space="0" w:color="auto"/>
                                                <w:left w:val="none" w:sz="0" w:space="0" w:color="auto"/>
                                                <w:bottom w:val="none" w:sz="0" w:space="0" w:color="auto"/>
                                                <w:right w:val="none" w:sz="0" w:space="0" w:color="auto"/>
                                              </w:divBdr>
                                              <w:divsChild>
                                                <w:div w:id="111254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1100049">
      <w:bodyDiv w:val="1"/>
      <w:marLeft w:val="0"/>
      <w:marRight w:val="0"/>
      <w:marTop w:val="0"/>
      <w:marBottom w:val="0"/>
      <w:divBdr>
        <w:top w:val="none" w:sz="0" w:space="0" w:color="auto"/>
        <w:left w:val="none" w:sz="0" w:space="0" w:color="auto"/>
        <w:bottom w:val="none" w:sz="0" w:space="0" w:color="auto"/>
        <w:right w:val="none" w:sz="0" w:space="0" w:color="auto"/>
      </w:divBdr>
    </w:div>
    <w:div w:id="733969056">
      <w:bodyDiv w:val="1"/>
      <w:marLeft w:val="0"/>
      <w:marRight w:val="0"/>
      <w:marTop w:val="0"/>
      <w:marBottom w:val="0"/>
      <w:divBdr>
        <w:top w:val="none" w:sz="0" w:space="0" w:color="auto"/>
        <w:left w:val="none" w:sz="0" w:space="0" w:color="auto"/>
        <w:bottom w:val="none" w:sz="0" w:space="0" w:color="auto"/>
        <w:right w:val="none" w:sz="0" w:space="0" w:color="auto"/>
      </w:divBdr>
    </w:div>
    <w:div w:id="778254480">
      <w:bodyDiv w:val="1"/>
      <w:marLeft w:val="0"/>
      <w:marRight w:val="0"/>
      <w:marTop w:val="0"/>
      <w:marBottom w:val="0"/>
      <w:divBdr>
        <w:top w:val="none" w:sz="0" w:space="0" w:color="auto"/>
        <w:left w:val="none" w:sz="0" w:space="0" w:color="auto"/>
        <w:bottom w:val="none" w:sz="0" w:space="0" w:color="auto"/>
        <w:right w:val="none" w:sz="0" w:space="0" w:color="auto"/>
      </w:divBdr>
    </w:div>
    <w:div w:id="792792232">
      <w:bodyDiv w:val="1"/>
      <w:marLeft w:val="0"/>
      <w:marRight w:val="0"/>
      <w:marTop w:val="0"/>
      <w:marBottom w:val="0"/>
      <w:divBdr>
        <w:top w:val="none" w:sz="0" w:space="0" w:color="auto"/>
        <w:left w:val="none" w:sz="0" w:space="0" w:color="auto"/>
        <w:bottom w:val="none" w:sz="0" w:space="0" w:color="auto"/>
        <w:right w:val="none" w:sz="0" w:space="0" w:color="auto"/>
      </w:divBdr>
    </w:div>
    <w:div w:id="865102832">
      <w:bodyDiv w:val="1"/>
      <w:marLeft w:val="0"/>
      <w:marRight w:val="0"/>
      <w:marTop w:val="0"/>
      <w:marBottom w:val="0"/>
      <w:divBdr>
        <w:top w:val="none" w:sz="0" w:space="0" w:color="auto"/>
        <w:left w:val="none" w:sz="0" w:space="0" w:color="auto"/>
        <w:bottom w:val="none" w:sz="0" w:space="0" w:color="auto"/>
        <w:right w:val="none" w:sz="0" w:space="0" w:color="auto"/>
      </w:divBdr>
    </w:div>
    <w:div w:id="1012756734">
      <w:bodyDiv w:val="1"/>
      <w:marLeft w:val="0"/>
      <w:marRight w:val="0"/>
      <w:marTop w:val="0"/>
      <w:marBottom w:val="0"/>
      <w:divBdr>
        <w:top w:val="none" w:sz="0" w:space="0" w:color="auto"/>
        <w:left w:val="none" w:sz="0" w:space="0" w:color="auto"/>
        <w:bottom w:val="none" w:sz="0" w:space="0" w:color="auto"/>
        <w:right w:val="none" w:sz="0" w:space="0" w:color="auto"/>
      </w:divBdr>
    </w:div>
    <w:div w:id="1012875913">
      <w:bodyDiv w:val="1"/>
      <w:marLeft w:val="0"/>
      <w:marRight w:val="0"/>
      <w:marTop w:val="0"/>
      <w:marBottom w:val="0"/>
      <w:divBdr>
        <w:top w:val="none" w:sz="0" w:space="0" w:color="auto"/>
        <w:left w:val="none" w:sz="0" w:space="0" w:color="auto"/>
        <w:bottom w:val="none" w:sz="0" w:space="0" w:color="auto"/>
        <w:right w:val="none" w:sz="0" w:space="0" w:color="auto"/>
      </w:divBdr>
    </w:div>
    <w:div w:id="1029065366">
      <w:bodyDiv w:val="1"/>
      <w:marLeft w:val="0"/>
      <w:marRight w:val="0"/>
      <w:marTop w:val="0"/>
      <w:marBottom w:val="0"/>
      <w:divBdr>
        <w:top w:val="none" w:sz="0" w:space="0" w:color="auto"/>
        <w:left w:val="none" w:sz="0" w:space="0" w:color="auto"/>
        <w:bottom w:val="none" w:sz="0" w:space="0" w:color="auto"/>
        <w:right w:val="none" w:sz="0" w:space="0" w:color="auto"/>
      </w:divBdr>
    </w:div>
    <w:div w:id="1063912955">
      <w:bodyDiv w:val="1"/>
      <w:marLeft w:val="0"/>
      <w:marRight w:val="0"/>
      <w:marTop w:val="0"/>
      <w:marBottom w:val="0"/>
      <w:divBdr>
        <w:top w:val="none" w:sz="0" w:space="0" w:color="auto"/>
        <w:left w:val="none" w:sz="0" w:space="0" w:color="auto"/>
        <w:bottom w:val="none" w:sz="0" w:space="0" w:color="auto"/>
        <w:right w:val="none" w:sz="0" w:space="0" w:color="auto"/>
      </w:divBdr>
    </w:div>
    <w:div w:id="1067849411">
      <w:bodyDiv w:val="1"/>
      <w:marLeft w:val="0"/>
      <w:marRight w:val="0"/>
      <w:marTop w:val="0"/>
      <w:marBottom w:val="0"/>
      <w:divBdr>
        <w:top w:val="none" w:sz="0" w:space="0" w:color="auto"/>
        <w:left w:val="none" w:sz="0" w:space="0" w:color="auto"/>
        <w:bottom w:val="none" w:sz="0" w:space="0" w:color="auto"/>
        <w:right w:val="none" w:sz="0" w:space="0" w:color="auto"/>
      </w:divBdr>
    </w:div>
    <w:div w:id="1088422950">
      <w:bodyDiv w:val="1"/>
      <w:marLeft w:val="0"/>
      <w:marRight w:val="0"/>
      <w:marTop w:val="0"/>
      <w:marBottom w:val="0"/>
      <w:divBdr>
        <w:top w:val="none" w:sz="0" w:space="0" w:color="auto"/>
        <w:left w:val="none" w:sz="0" w:space="0" w:color="auto"/>
        <w:bottom w:val="none" w:sz="0" w:space="0" w:color="auto"/>
        <w:right w:val="none" w:sz="0" w:space="0" w:color="auto"/>
      </w:divBdr>
    </w:div>
    <w:div w:id="1214124836">
      <w:bodyDiv w:val="1"/>
      <w:marLeft w:val="0"/>
      <w:marRight w:val="0"/>
      <w:marTop w:val="0"/>
      <w:marBottom w:val="0"/>
      <w:divBdr>
        <w:top w:val="none" w:sz="0" w:space="0" w:color="auto"/>
        <w:left w:val="none" w:sz="0" w:space="0" w:color="auto"/>
        <w:bottom w:val="none" w:sz="0" w:space="0" w:color="auto"/>
        <w:right w:val="none" w:sz="0" w:space="0" w:color="auto"/>
      </w:divBdr>
    </w:div>
    <w:div w:id="1257595825">
      <w:bodyDiv w:val="1"/>
      <w:marLeft w:val="0"/>
      <w:marRight w:val="0"/>
      <w:marTop w:val="0"/>
      <w:marBottom w:val="0"/>
      <w:divBdr>
        <w:top w:val="none" w:sz="0" w:space="0" w:color="auto"/>
        <w:left w:val="none" w:sz="0" w:space="0" w:color="auto"/>
        <w:bottom w:val="none" w:sz="0" w:space="0" w:color="auto"/>
        <w:right w:val="none" w:sz="0" w:space="0" w:color="auto"/>
      </w:divBdr>
    </w:div>
    <w:div w:id="1306085273">
      <w:bodyDiv w:val="1"/>
      <w:marLeft w:val="0"/>
      <w:marRight w:val="0"/>
      <w:marTop w:val="0"/>
      <w:marBottom w:val="0"/>
      <w:divBdr>
        <w:top w:val="none" w:sz="0" w:space="0" w:color="auto"/>
        <w:left w:val="none" w:sz="0" w:space="0" w:color="auto"/>
        <w:bottom w:val="none" w:sz="0" w:space="0" w:color="auto"/>
        <w:right w:val="none" w:sz="0" w:space="0" w:color="auto"/>
      </w:divBdr>
    </w:div>
    <w:div w:id="1316028681">
      <w:bodyDiv w:val="1"/>
      <w:marLeft w:val="0"/>
      <w:marRight w:val="0"/>
      <w:marTop w:val="0"/>
      <w:marBottom w:val="0"/>
      <w:divBdr>
        <w:top w:val="none" w:sz="0" w:space="0" w:color="auto"/>
        <w:left w:val="none" w:sz="0" w:space="0" w:color="auto"/>
        <w:bottom w:val="none" w:sz="0" w:space="0" w:color="auto"/>
        <w:right w:val="none" w:sz="0" w:space="0" w:color="auto"/>
      </w:divBdr>
    </w:div>
    <w:div w:id="1346786078">
      <w:bodyDiv w:val="1"/>
      <w:marLeft w:val="0"/>
      <w:marRight w:val="0"/>
      <w:marTop w:val="0"/>
      <w:marBottom w:val="0"/>
      <w:divBdr>
        <w:top w:val="none" w:sz="0" w:space="0" w:color="auto"/>
        <w:left w:val="none" w:sz="0" w:space="0" w:color="auto"/>
        <w:bottom w:val="none" w:sz="0" w:space="0" w:color="auto"/>
        <w:right w:val="none" w:sz="0" w:space="0" w:color="auto"/>
      </w:divBdr>
    </w:div>
    <w:div w:id="1386561434">
      <w:bodyDiv w:val="1"/>
      <w:marLeft w:val="0"/>
      <w:marRight w:val="0"/>
      <w:marTop w:val="0"/>
      <w:marBottom w:val="0"/>
      <w:divBdr>
        <w:top w:val="none" w:sz="0" w:space="0" w:color="auto"/>
        <w:left w:val="none" w:sz="0" w:space="0" w:color="auto"/>
        <w:bottom w:val="none" w:sz="0" w:space="0" w:color="auto"/>
        <w:right w:val="none" w:sz="0" w:space="0" w:color="auto"/>
      </w:divBdr>
    </w:div>
    <w:div w:id="1391807514">
      <w:bodyDiv w:val="1"/>
      <w:marLeft w:val="0"/>
      <w:marRight w:val="0"/>
      <w:marTop w:val="0"/>
      <w:marBottom w:val="0"/>
      <w:divBdr>
        <w:top w:val="none" w:sz="0" w:space="0" w:color="auto"/>
        <w:left w:val="none" w:sz="0" w:space="0" w:color="auto"/>
        <w:bottom w:val="none" w:sz="0" w:space="0" w:color="auto"/>
        <w:right w:val="none" w:sz="0" w:space="0" w:color="auto"/>
      </w:divBdr>
    </w:div>
    <w:div w:id="1468620025">
      <w:bodyDiv w:val="1"/>
      <w:marLeft w:val="0"/>
      <w:marRight w:val="0"/>
      <w:marTop w:val="0"/>
      <w:marBottom w:val="0"/>
      <w:divBdr>
        <w:top w:val="none" w:sz="0" w:space="0" w:color="auto"/>
        <w:left w:val="none" w:sz="0" w:space="0" w:color="auto"/>
        <w:bottom w:val="none" w:sz="0" w:space="0" w:color="auto"/>
        <w:right w:val="none" w:sz="0" w:space="0" w:color="auto"/>
      </w:divBdr>
    </w:div>
    <w:div w:id="1488548013">
      <w:bodyDiv w:val="1"/>
      <w:marLeft w:val="0"/>
      <w:marRight w:val="0"/>
      <w:marTop w:val="0"/>
      <w:marBottom w:val="0"/>
      <w:divBdr>
        <w:top w:val="none" w:sz="0" w:space="0" w:color="auto"/>
        <w:left w:val="none" w:sz="0" w:space="0" w:color="auto"/>
        <w:bottom w:val="none" w:sz="0" w:space="0" w:color="auto"/>
        <w:right w:val="none" w:sz="0" w:space="0" w:color="auto"/>
      </w:divBdr>
    </w:div>
    <w:div w:id="1604650545">
      <w:bodyDiv w:val="1"/>
      <w:marLeft w:val="0"/>
      <w:marRight w:val="0"/>
      <w:marTop w:val="0"/>
      <w:marBottom w:val="0"/>
      <w:divBdr>
        <w:top w:val="none" w:sz="0" w:space="0" w:color="auto"/>
        <w:left w:val="none" w:sz="0" w:space="0" w:color="auto"/>
        <w:bottom w:val="none" w:sz="0" w:space="0" w:color="auto"/>
        <w:right w:val="none" w:sz="0" w:space="0" w:color="auto"/>
      </w:divBdr>
    </w:div>
    <w:div w:id="1615674850">
      <w:bodyDiv w:val="1"/>
      <w:marLeft w:val="0"/>
      <w:marRight w:val="0"/>
      <w:marTop w:val="0"/>
      <w:marBottom w:val="0"/>
      <w:divBdr>
        <w:top w:val="none" w:sz="0" w:space="0" w:color="auto"/>
        <w:left w:val="none" w:sz="0" w:space="0" w:color="auto"/>
        <w:bottom w:val="none" w:sz="0" w:space="0" w:color="auto"/>
        <w:right w:val="none" w:sz="0" w:space="0" w:color="auto"/>
      </w:divBdr>
    </w:div>
    <w:div w:id="1656764006">
      <w:bodyDiv w:val="1"/>
      <w:marLeft w:val="0"/>
      <w:marRight w:val="0"/>
      <w:marTop w:val="0"/>
      <w:marBottom w:val="0"/>
      <w:divBdr>
        <w:top w:val="none" w:sz="0" w:space="0" w:color="auto"/>
        <w:left w:val="none" w:sz="0" w:space="0" w:color="auto"/>
        <w:bottom w:val="none" w:sz="0" w:space="0" w:color="auto"/>
        <w:right w:val="none" w:sz="0" w:space="0" w:color="auto"/>
      </w:divBdr>
    </w:div>
    <w:div w:id="1685285310">
      <w:bodyDiv w:val="1"/>
      <w:marLeft w:val="0"/>
      <w:marRight w:val="0"/>
      <w:marTop w:val="0"/>
      <w:marBottom w:val="0"/>
      <w:divBdr>
        <w:top w:val="none" w:sz="0" w:space="0" w:color="auto"/>
        <w:left w:val="none" w:sz="0" w:space="0" w:color="auto"/>
        <w:bottom w:val="none" w:sz="0" w:space="0" w:color="auto"/>
        <w:right w:val="none" w:sz="0" w:space="0" w:color="auto"/>
      </w:divBdr>
    </w:div>
    <w:div w:id="1702823442">
      <w:bodyDiv w:val="1"/>
      <w:marLeft w:val="0"/>
      <w:marRight w:val="0"/>
      <w:marTop w:val="0"/>
      <w:marBottom w:val="0"/>
      <w:divBdr>
        <w:top w:val="none" w:sz="0" w:space="0" w:color="auto"/>
        <w:left w:val="none" w:sz="0" w:space="0" w:color="auto"/>
        <w:bottom w:val="none" w:sz="0" w:space="0" w:color="auto"/>
        <w:right w:val="none" w:sz="0" w:space="0" w:color="auto"/>
      </w:divBdr>
    </w:div>
    <w:div w:id="1860587277">
      <w:bodyDiv w:val="1"/>
      <w:marLeft w:val="0"/>
      <w:marRight w:val="0"/>
      <w:marTop w:val="0"/>
      <w:marBottom w:val="0"/>
      <w:divBdr>
        <w:top w:val="none" w:sz="0" w:space="0" w:color="auto"/>
        <w:left w:val="none" w:sz="0" w:space="0" w:color="auto"/>
        <w:bottom w:val="none" w:sz="0" w:space="0" w:color="auto"/>
        <w:right w:val="none" w:sz="0" w:space="0" w:color="auto"/>
      </w:divBdr>
    </w:div>
    <w:div w:id="1861166717">
      <w:bodyDiv w:val="1"/>
      <w:marLeft w:val="0"/>
      <w:marRight w:val="0"/>
      <w:marTop w:val="0"/>
      <w:marBottom w:val="0"/>
      <w:divBdr>
        <w:top w:val="none" w:sz="0" w:space="0" w:color="auto"/>
        <w:left w:val="none" w:sz="0" w:space="0" w:color="auto"/>
        <w:bottom w:val="none" w:sz="0" w:space="0" w:color="auto"/>
        <w:right w:val="none" w:sz="0" w:space="0" w:color="auto"/>
      </w:divBdr>
    </w:div>
    <w:div w:id="1922517165">
      <w:bodyDiv w:val="1"/>
      <w:marLeft w:val="0"/>
      <w:marRight w:val="0"/>
      <w:marTop w:val="0"/>
      <w:marBottom w:val="0"/>
      <w:divBdr>
        <w:top w:val="none" w:sz="0" w:space="0" w:color="auto"/>
        <w:left w:val="none" w:sz="0" w:space="0" w:color="auto"/>
        <w:bottom w:val="none" w:sz="0" w:space="0" w:color="auto"/>
        <w:right w:val="none" w:sz="0" w:space="0" w:color="auto"/>
      </w:divBdr>
    </w:div>
    <w:div w:id="1958024652">
      <w:bodyDiv w:val="1"/>
      <w:marLeft w:val="0"/>
      <w:marRight w:val="0"/>
      <w:marTop w:val="0"/>
      <w:marBottom w:val="0"/>
      <w:divBdr>
        <w:top w:val="none" w:sz="0" w:space="0" w:color="auto"/>
        <w:left w:val="none" w:sz="0" w:space="0" w:color="auto"/>
        <w:bottom w:val="none" w:sz="0" w:space="0" w:color="auto"/>
        <w:right w:val="none" w:sz="0" w:space="0" w:color="auto"/>
      </w:divBdr>
    </w:div>
    <w:div w:id="1972009346">
      <w:bodyDiv w:val="1"/>
      <w:marLeft w:val="0"/>
      <w:marRight w:val="0"/>
      <w:marTop w:val="0"/>
      <w:marBottom w:val="0"/>
      <w:divBdr>
        <w:top w:val="none" w:sz="0" w:space="0" w:color="auto"/>
        <w:left w:val="none" w:sz="0" w:space="0" w:color="auto"/>
        <w:bottom w:val="none" w:sz="0" w:space="0" w:color="auto"/>
        <w:right w:val="none" w:sz="0" w:space="0" w:color="auto"/>
      </w:divBdr>
    </w:div>
    <w:div w:id="197532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www.england.nhs.uk/statistics/statistical-work-areas/ambulance-quality-indicators" TargetMode="External"/><Relationship Id="rId26" Type="http://schemas.openxmlformats.org/officeDocument/2006/relationships/hyperlink" Target="mailto:i.kay@nhs.net" TargetMode="External"/><Relationship Id="rId3" Type="http://schemas.openxmlformats.org/officeDocument/2006/relationships/styles" Target="styles.xml"/><Relationship Id="rId21" Type="http://schemas.openxmlformats.org/officeDocument/2006/relationships/hyperlink" Target="http://www.hscic.gov.uk/article/2021/Website-Search?productid=15165"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mailto:nhsengland.media@nhs.net"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aace.org.uk/national-performance/national-clinical-dashboard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www.dhsspsni.gov.uk/index/statistics/hospital/emergency-care/ambulance-statistics.htm" TargetMode="Externa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http://www.scottishambulance.com/TheService/BoardPapers.aspx" TargetMode="External"/><Relationship Id="rId28" Type="http://schemas.openxmlformats.org/officeDocument/2006/relationships/footer" Target="footer1.xml"/><Relationship Id="rId10" Type="http://schemas.openxmlformats.org/officeDocument/2006/relationships/hyperlink" Target="http://bit.ly/NHSAQI" TargetMode="External"/><Relationship Id="rId19" Type="http://schemas.openxmlformats.org/officeDocument/2006/relationships/hyperlink" Target="http://bit.ly/NHSAQ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yperlink" Target="http://wales.gov.uk/statistics-and-research/ambulance-services/?lang=en" TargetMode="External"/><Relationship Id="rId27" Type="http://schemas.openxmlformats.org/officeDocument/2006/relationships/header" Target="head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parliament.uk/business/publications/written-questions-answers-statements/written-statement/Commons/2015-01-16/HCWS201" TargetMode="External"/><Relationship Id="rId7" Type="http://schemas.openxmlformats.org/officeDocument/2006/relationships/hyperlink" Target="http://www.england.nhs.uk/statistics/statistical-work-areas/ambulance-quality-indicators" TargetMode="External"/><Relationship Id="rId2" Type="http://schemas.openxmlformats.org/officeDocument/2006/relationships/hyperlink" Target="http://www.gov.uk/government/news/changes-to-ambulance-response-time-categories" TargetMode="External"/><Relationship Id="rId1" Type="http://schemas.openxmlformats.org/officeDocument/2006/relationships/hyperlink" Target="http://www.nhs.uk/choiceintheNHS/Rightsandpledges/NHSConstitution/Pages/Overview.aspx" TargetMode="External"/><Relationship Id="rId6" Type="http://schemas.openxmlformats.org/officeDocument/2006/relationships/hyperlink" Target="http://circ.ahajournals.org/content/84/2/960.citation" TargetMode="External"/><Relationship Id="rId5" Type="http://schemas.openxmlformats.org/officeDocument/2006/relationships/hyperlink" Target="http://www.datadictionary.nhs.uk/data_dictionary/attributes/a/acc/accident_and_emergency_department_type_de.asp" TargetMode="External"/><Relationship Id="rId4" Type="http://schemas.openxmlformats.org/officeDocument/2006/relationships/hyperlink" Target="http://www.datadictionary.nhs.uk/data_dictionary/attributes/a/acc/accident_and_emergency_department_type_de.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C5396-32C9-412A-88C8-4D9B64A4A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11</Pages>
  <Words>2740</Words>
  <Characters>15380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RESTRICTED – STATISTICS</vt:lpstr>
    </vt:vector>
  </TitlesOfParts>
  <Company>Department of Health</Company>
  <LinksUpToDate>false</LinksUpToDate>
  <CharactersWithSpaces>18084</CharactersWithSpaces>
  <SharedDoc>false</SharedDoc>
  <HLinks>
    <vt:vector size="54" baseType="variant">
      <vt:variant>
        <vt:i4>1769557</vt:i4>
      </vt:variant>
      <vt:variant>
        <vt:i4>24</vt:i4>
      </vt:variant>
      <vt:variant>
        <vt:i4>0</vt:i4>
      </vt:variant>
      <vt:variant>
        <vt:i4>5</vt:i4>
      </vt:variant>
      <vt:variant>
        <vt:lpwstr>http://www.england.nhs.uk/statistics/statistical-work-areas/ambulance-quality-indicators/</vt:lpwstr>
      </vt:variant>
      <vt:variant>
        <vt:lpwstr/>
      </vt:variant>
      <vt:variant>
        <vt:i4>655484</vt:i4>
      </vt:variant>
      <vt:variant>
        <vt:i4>21</vt:i4>
      </vt:variant>
      <vt:variant>
        <vt:i4>0</vt:i4>
      </vt:variant>
      <vt:variant>
        <vt:i4>5</vt:i4>
      </vt:variant>
      <vt:variant>
        <vt:lpwstr>http://www.niamb.co.uk/docs/corporate_info.html</vt:lpwstr>
      </vt:variant>
      <vt:variant>
        <vt:lpwstr/>
      </vt:variant>
      <vt:variant>
        <vt:i4>4391003</vt:i4>
      </vt:variant>
      <vt:variant>
        <vt:i4>18</vt:i4>
      </vt:variant>
      <vt:variant>
        <vt:i4>0</vt:i4>
      </vt:variant>
      <vt:variant>
        <vt:i4>5</vt:i4>
      </vt:variant>
      <vt:variant>
        <vt:lpwstr>http://www.scottishambulance.com/Performance/Default.aspx</vt:lpwstr>
      </vt:variant>
      <vt:variant>
        <vt:lpwstr/>
      </vt:variant>
      <vt:variant>
        <vt:i4>3145835</vt:i4>
      </vt:variant>
      <vt:variant>
        <vt:i4>15</vt:i4>
      </vt:variant>
      <vt:variant>
        <vt:i4>0</vt:i4>
      </vt:variant>
      <vt:variant>
        <vt:i4>5</vt:i4>
      </vt:variant>
      <vt:variant>
        <vt:lpwstr>http://wales.gov.uk/topics/statistics/headlines/health2012/120307/?lang=en</vt:lpwstr>
      </vt:variant>
      <vt:variant>
        <vt:lpwstr/>
      </vt:variant>
      <vt:variant>
        <vt:i4>8061018</vt:i4>
      </vt:variant>
      <vt:variant>
        <vt:i4>12</vt:i4>
      </vt:variant>
      <vt:variant>
        <vt:i4>0</vt:i4>
      </vt:variant>
      <vt:variant>
        <vt:i4>5</vt:i4>
      </vt:variant>
      <vt:variant>
        <vt:lpwstr>http://www.dh.gov.uk/en/Publicationsandstatistics/Statistics/Performanced ataandstatistics/WeeklySituationReports/DH_128506</vt:lpwstr>
      </vt:variant>
      <vt:variant>
        <vt:lpwstr/>
      </vt:variant>
      <vt:variant>
        <vt:i4>5570582</vt:i4>
      </vt:variant>
      <vt:variant>
        <vt:i4>9</vt:i4>
      </vt:variant>
      <vt:variant>
        <vt:i4>0</vt:i4>
      </vt:variant>
      <vt:variant>
        <vt:i4>5</vt:i4>
      </vt:variant>
      <vt:variant>
        <vt:lpwstr>http://www.england.nhs.uk/statistics/code-compliance/</vt:lpwstr>
      </vt:variant>
      <vt:variant>
        <vt:lpwstr/>
      </vt:variant>
      <vt:variant>
        <vt:i4>2162801</vt:i4>
      </vt:variant>
      <vt:variant>
        <vt:i4>6</vt:i4>
      </vt:variant>
      <vt:variant>
        <vt:i4>0</vt:i4>
      </vt:variant>
      <vt:variant>
        <vt:i4>5</vt:i4>
      </vt:variant>
      <vt:variant>
        <vt:lpwstr>http://www.england.nhs.uk/statistics/ambulance-quality-indicators/</vt:lpwstr>
      </vt:variant>
      <vt:variant>
        <vt:lpwstr/>
      </vt:variant>
      <vt:variant>
        <vt:i4>2097272</vt:i4>
      </vt:variant>
      <vt:variant>
        <vt:i4>3</vt:i4>
      </vt:variant>
      <vt:variant>
        <vt:i4>0</vt:i4>
      </vt:variant>
      <vt:variant>
        <vt:i4>5</vt:i4>
      </vt:variant>
      <vt:variant>
        <vt:lpwstr>http://www.england.nhs.uk/statistics/statistical-work-areas/ambulance-quality-indicators/ambulance-quality-indicators-data-2013-14/</vt:lpwstr>
      </vt:variant>
      <vt:variant>
        <vt:lpwstr/>
      </vt:variant>
      <vt:variant>
        <vt:i4>2097272</vt:i4>
      </vt:variant>
      <vt:variant>
        <vt:i4>0</vt:i4>
      </vt:variant>
      <vt:variant>
        <vt:i4>0</vt:i4>
      </vt:variant>
      <vt:variant>
        <vt:i4>5</vt:i4>
      </vt:variant>
      <vt:variant>
        <vt:lpwstr>http://www.england.nhs.uk/statistics/statistical-work-areas/ambulance-quality-indicators/ambulance-quality-indicators-data-2013-14/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RESTRICTED – STATISTICS</dc:title>
  <dc:creator>Ian Kay</dc:creator>
  <cp:lastModifiedBy>Kay, Ian</cp:lastModifiedBy>
  <cp:revision>11</cp:revision>
  <cp:lastPrinted>2015-04-09T06:34:00Z</cp:lastPrinted>
  <dcterms:created xsi:type="dcterms:W3CDTF">2015-04-08T14:15:00Z</dcterms:created>
  <dcterms:modified xsi:type="dcterms:W3CDTF">2015-04-09T07:59:00Z</dcterms:modified>
</cp:coreProperties>
</file>