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Default="00C21149" w:rsidP="00C96A98">
      <w:pPr>
        <w:pStyle w:val="Heading2"/>
      </w:pPr>
      <w:bookmarkStart w:id="0" w:name="_GoBack"/>
      <w:bookmarkEnd w:id="0"/>
      <w:r>
        <w:t xml:space="preserve">Statistical Note: </w:t>
      </w:r>
      <w:r w:rsidR="00340492" w:rsidRPr="007A138E">
        <w:t>Ambulance Quality Indicators</w:t>
      </w:r>
      <w:r w:rsidR="002C522F">
        <w:t xml:space="preserve"> (AQI</w:t>
      </w:r>
      <w:r w:rsidR="00DC4BF3">
        <w:t>)</w:t>
      </w:r>
    </w:p>
    <w:p w:rsidR="0058750D" w:rsidRDefault="0058750D" w:rsidP="00C03D2B">
      <w:pPr>
        <w:pStyle w:val="ListBullet"/>
      </w:pPr>
      <w:r>
        <w:t xml:space="preserve">The latest </w:t>
      </w:r>
      <w:r w:rsidR="000F5FB4">
        <w:t xml:space="preserve">Systems Indicators </w:t>
      </w:r>
      <w:r w:rsidR="00BE2594">
        <w:t>for Ambulance Services in England</w:t>
      </w:r>
      <w:r w:rsidR="000F5FB4">
        <w:t xml:space="preserve"> (including revisions to 2014-15 data in section A10),</w:t>
      </w:r>
      <w:r w:rsidR="00BE2594">
        <w:t xml:space="preserve"> </w:t>
      </w:r>
      <w:r w:rsidR="00B947D5">
        <w:t xml:space="preserve">showed </w:t>
      </w:r>
      <w:r w:rsidR="000F5FB4">
        <w:t>an increase in March 2015 for</w:t>
      </w:r>
      <w:r w:rsidR="00B947D5">
        <w:t xml:space="preserve"> emergency responses within 8 minutes, but not enough to </w:t>
      </w:r>
      <w:r w:rsidR="00BE2594">
        <w:t>meet the standards in the Handbook</w:t>
      </w:r>
      <w:r w:rsidR="00BE2594">
        <w:rPr>
          <w:rStyle w:val="FootnoteReference"/>
        </w:rPr>
        <w:footnoteReference w:id="1"/>
      </w:r>
      <w:r w:rsidR="00BE2594">
        <w:t xml:space="preserve"> to the NHS constitution</w:t>
      </w:r>
      <w:r w:rsidR="0096283E">
        <w:t>.</w:t>
      </w:r>
    </w:p>
    <w:p w:rsidR="0058750D" w:rsidRDefault="0058750D" w:rsidP="00C03D2B">
      <w:pPr>
        <w:pStyle w:val="ListBullet"/>
      </w:pPr>
      <w:r>
        <w:t xml:space="preserve">The latest </w:t>
      </w:r>
      <w:r w:rsidR="00966F66">
        <w:t xml:space="preserve">clinical outcomes </w:t>
      </w:r>
      <w:r>
        <w:t xml:space="preserve">data </w:t>
      </w:r>
      <w:r w:rsidR="00966F66">
        <w:t>for patients transported by Ambulance Services</w:t>
      </w:r>
      <w:r w:rsidR="000F5FB4">
        <w:t>,</w:t>
      </w:r>
      <w:r w:rsidR="00966F66">
        <w:t xml:space="preserve"> </w:t>
      </w:r>
      <w:r w:rsidR="000F5FB4">
        <w:t xml:space="preserve">for December 2014, </w:t>
      </w:r>
      <w:r w:rsidR="00B947D5">
        <w:t>showed fewer arrivals at hyperacute stroke units within 60 minutes</w:t>
      </w:r>
      <w:r w:rsidR="000F5FB4">
        <w:t xml:space="preserve"> (section B4).</w:t>
      </w:r>
    </w:p>
    <w:p w:rsidR="002C522F" w:rsidRDefault="002C522F" w:rsidP="00737724">
      <w:pPr>
        <w:pStyle w:val="Heading2"/>
      </w:pPr>
      <w:r>
        <w:t>A.</w:t>
      </w:r>
      <w:r>
        <w:tab/>
      </w:r>
      <w:r w:rsidR="00C3443F" w:rsidRPr="00151AF2">
        <w:t xml:space="preserve">Systems </w:t>
      </w:r>
      <w:r w:rsidR="00465847">
        <w:t>Indicators</w:t>
      </w:r>
    </w:p>
    <w:p w:rsidR="00C3443F" w:rsidRPr="00127FD0" w:rsidRDefault="0044771F" w:rsidP="002C522F">
      <w:pPr>
        <w:pStyle w:val="Heading3"/>
      </w:pPr>
      <w:r>
        <w:t>A1</w:t>
      </w:r>
      <w:r w:rsidR="0066320C">
        <w:tab/>
      </w:r>
      <w:r w:rsidR="00D3262A">
        <w:t xml:space="preserve">Emergency </w:t>
      </w:r>
      <w:r w:rsidR="0089121D" w:rsidRPr="00C21149">
        <w:t>response</w:t>
      </w:r>
      <w:r w:rsidR="00D3262A">
        <w:t xml:space="preserve"> in 8 minutes</w:t>
      </w:r>
      <w:r w:rsidR="00774123">
        <w:t xml:space="preserve"> (Figure 1)</w:t>
      </w:r>
    </w:p>
    <w:p w:rsidR="00191AB9" w:rsidRDefault="00526112" w:rsidP="00191AB9">
      <w:r>
        <w:t>In</w:t>
      </w:r>
      <w:r w:rsidR="00AA7926">
        <w:t xml:space="preserve"> </w:t>
      </w:r>
      <w:r w:rsidR="00E53117">
        <w:t xml:space="preserve">March </w:t>
      </w:r>
      <w:r w:rsidR="00F10AC3" w:rsidRPr="00F10AC3">
        <w:t>2015</w:t>
      </w:r>
      <w:r>
        <w:t xml:space="preserve">, </w:t>
      </w:r>
      <w:r w:rsidR="004C377A" w:rsidRPr="00513897">
        <w:t>of Category</w:t>
      </w:r>
      <w:r w:rsidR="0090527D" w:rsidRPr="00513897">
        <w:rPr>
          <w:rStyle w:val="FootnoteReference"/>
          <w:rFonts w:cs="Arial"/>
        </w:rPr>
        <w:footnoteReference w:id="2"/>
      </w:r>
      <w:r w:rsidR="00513897">
        <w:t xml:space="preserve"> </w:t>
      </w:r>
      <w:r w:rsidR="008D50FB" w:rsidRPr="00513897">
        <w:t>A Red</w:t>
      </w:r>
      <w:r w:rsidR="008D50FB">
        <w:t xml:space="preserve"> </w:t>
      </w:r>
      <w:r w:rsidR="00513897">
        <w:t>1</w:t>
      </w:r>
      <w:r w:rsidR="004C377A" w:rsidRPr="00513897">
        <w:t xml:space="preserve"> calls </w:t>
      </w:r>
      <w:r w:rsidR="00513897" w:rsidRPr="00513897">
        <w:t xml:space="preserve">in England </w:t>
      </w:r>
      <w:r w:rsidR="004C377A" w:rsidRPr="00513897">
        <w:t>res</w:t>
      </w:r>
      <w:r>
        <w:t>ulting in an emergency response, t</w:t>
      </w:r>
      <w:r w:rsidRPr="00A575B0">
        <w:t xml:space="preserve">he </w:t>
      </w:r>
      <w:r w:rsidRPr="00513897">
        <w:t xml:space="preserve">proportion </w:t>
      </w:r>
      <w:r w:rsidR="004C377A" w:rsidRPr="00513897">
        <w:t xml:space="preserve">arriving within 8 </w:t>
      </w:r>
      <w:r w:rsidR="00191AB9" w:rsidRPr="00513897">
        <w:t xml:space="preserve">minutes was </w:t>
      </w:r>
      <w:r w:rsidR="00E53117">
        <w:t>73.4</w:t>
      </w:r>
      <w:r w:rsidR="00191AB9">
        <w:t xml:space="preserve">%. </w:t>
      </w:r>
    </w:p>
    <w:p w:rsidR="00E924D4" w:rsidRDefault="00526112" w:rsidP="00513897">
      <w:r>
        <w:t xml:space="preserve">In </w:t>
      </w:r>
      <w:r w:rsidR="00E53117">
        <w:t xml:space="preserve">March </w:t>
      </w:r>
      <w:r w:rsidR="00F10AC3" w:rsidRPr="00F10AC3">
        <w:t>2015</w:t>
      </w:r>
      <w:r>
        <w:t xml:space="preserve">, </w:t>
      </w:r>
      <w:r w:rsidR="00513897" w:rsidRPr="00513897">
        <w:t xml:space="preserve">of Category A </w:t>
      </w:r>
      <w:r w:rsidR="00513897">
        <w:t>Red 2</w:t>
      </w:r>
      <w:r w:rsidR="00513897" w:rsidRPr="00513897">
        <w:t xml:space="preserve"> calls in England res</w:t>
      </w:r>
      <w:r>
        <w:t>ulting in an emergency response, t</w:t>
      </w:r>
      <w:r w:rsidRPr="00513897">
        <w:t xml:space="preserve">he proportion </w:t>
      </w:r>
      <w:r w:rsidR="00513897" w:rsidRPr="00513897">
        <w:t>arriving</w:t>
      </w:r>
      <w:r w:rsidR="00513897" w:rsidRPr="0053124D">
        <w:t xml:space="preserve"> within</w:t>
      </w:r>
      <w:r w:rsidR="00513897" w:rsidRPr="00513897">
        <w:t xml:space="preserve"> 8 minutes was </w:t>
      </w:r>
      <w:r w:rsidR="00774123">
        <w:t>6</w:t>
      </w:r>
      <w:r w:rsidR="00E53117">
        <w:t>9.6</w:t>
      </w:r>
      <w:r w:rsidR="00F10AC3" w:rsidRPr="00F10AC3">
        <w:t>%</w:t>
      </w:r>
      <w:r w:rsidR="00E924D4">
        <w:t>.</w:t>
      </w:r>
    </w:p>
    <w:p w:rsidR="001D4F10" w:rsidRDefault="00E53117" w:rsidP="001D4F10">
      <w:r>
        <w:t xml:space="preserve">Red 2 data for </w:t>
      </w:r>
      <w:r w:rsidR="00B947D5">
        <w:t xml:space="preserve">February and </w:t>
      </w:r>
      <w:r>
        <w:t xml:space="preserve">March </w:t>
      </w:r>
      <w:r w:rsidR="001D4F10">
        <w:t xml:space="preserve">2015 are not completely comparable </w:t>
      </w:r>
      <w:r w:rsidR="00620FE6">
        <w:t xml:space="preserve">across </w:t>
      </w:r>
      <w:r w:rsidR="001D4F10">
        <w:t>England</w:t>
      </w:r>
      <w:r w:rsidR="00620FE6">
        <w:t xml:space="preserve">; see section A2 on the Dispatch on Disposition </w:t>
      </w:r>
      <w:r w:rsidR="001D4F10">
        <w:t>pilot</w:t>
      </w:r>
      <w:r w:rsidR="00620FE6">
        <w:t>.</w:t>
      </w:r>
      <w:r w:rsidR="001D4F10">
        <w:t xml:space="preserve"> </w:t>
      </w:r>
    </w:p>
    <w:p w:rsidR="00C96A98" w:rsidRDefault="00B947D5" w:rsidP="00E53110">
      <w:r>
        <w:rPr>
          <w:noProof/>
        </w:rPr>
        <w:drawing>
          <wp:inline distT="0" distB="0" distL="0" distR="0" wp14:anchorId="0EDCF560" wp14:editId="4DBE0E5C">
            <wp:extent cx="5627370" cy="2938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2938780"/>
                    </a:xfrm>
                    <a:prstGeom prst="rect">
                      <a:avLst/>
                    </a:prstGeom>
                    <a:noFill/>
                  </pic:spPr>
                </pic:pic>
              </a:graphicData>
            </a:graphic>
          </wp:inline>
        </w:drawing>
      </w:r>
    </w:p>
    <w:p w:rsidR="008076E2" w:rsidRDefault="008076E2" w:rsidP="00A90C28">
      <w:r>
        <w:lastRenderedPageBreak/>
        <w:t>The standard for A</w:t>
      </w:r>
      <w:r w:rsidRPr="00513897">
        <w:t xml:space="preserve">mbulance </w:t>
      </w:r>
      <w:r>
        <w:t xml:space="preserve">Services is </w:t>
      </w:r>
      <w:r w:rsidRPr="00513897">
        <w:t xml:space="preserve">to </w:t>
      </w:r>
      <w:r>
        <w:t xml:space="preserve">send an emergency response, with a defibrillator, </w:t>
      </w:r>
      <w:r w:rsidRPr="00513897">
        <w:t xml:space="preserve">within </w:t>
      </w:r>
      <w:r>
        <w:t>8</w:t>
      </w:r>
      <w:r w:rsidRPr="00513897">
        <w:t xml:space="preserve"> minutes</w:t>
      </w:r>
      <w:r>
        <w:t>,</w:t>
      </w:r>
      <w:r w:rsidRPr="00513897">
        <w:t xml:space="preserve"> </w:t>
      </w:r>
      <w:r>
        <w:t>to 75%</w:t>
      </w:r>
      <w:r w:rsidRPr="00513897">
        <w:t xml:space="preserve"> of Category A</w:t>
      </w:r>
      <w:r w:rsidRPr="00E924D4">
        <w:t xml:space="preserve"> </w:t>
      </w:r>
      <w:r w:rsidRPr="00513897">
        <w:t>calls</w:t>
      </w:r>
      <w:r>
        <w:rPr>
          <w:rStyle w:val="FootnoteReference"/>
        </w:rPr>
        <w:footnoteReference w:id="3"/>
      </w:r>
      <w:r>
        <w:t>. Figure 1 shows that for England as a whole,</w:t>
      </w:r>
      <w:r w:rsidR="0096283E">
        <w:t xml:space="preserve"> </w:t>
      </w:r>
      <w:r w:rsidR="00B91476">
        <w:t xml:space="preserve">the </w:t>
      </w:r>
      <w:r w:rsidR="0096283E">
        <w:t xml:space="preserve">standard </w:t>
      </w:r>
      <w:r>
        <w:t>has not been met for Red 1 since April 2014.</w:t>
      </w:r>
    </w:p>
    <w:p w:rsidR="00C54FB2" w:rsidRDefault="008076E2" w:rsidP="00065771">
      <w:r>
        <w:t xml:space="preserve">The </w:t>
      </w:r>
      <w:r w:rsidR="00C54FB2">
        <w:t xml:space="preserve">March </w:t>
      </w:r>
      <w:r w:rsidR="00774123">
        <w:t xml:space="preserve">2015 </w:t>
      </w:r>
      <w:r>
        <w:t xml:space="preserve">Red 1 proportion was above the standard for </w:t>
      </w:r>
      <w:r w:rsidR="004A463E">
        <w:t>five</w:t>
      </w:r>
      <w:r w:rsidR="00C54FB2">
        <w:t xml:space="preserve"> </w:t>
      </w:r>
      <w:r>
        <w:t xml:space="preserve">of the eleven Ambulance Services in England: West Midlands, </w:t>
      </w:r>
      <w:r w:rsidR="004A463E">
        <w:t xml:space="preserve">South East Coast, </w:t>
      </w:r>
      <w:r w:rsidR="00C54FB2" w:rsidRPr="00C54FB2">
        <w:t>South Central</w:t>
      </w:r>
      <w:r>
        <w:t xml:space="preserve">, </w:t>
      </w:r>
      <w:r w:rsidR="004A463E">
        <w:t xml:space="preserve">South Western </w:t>
      </w:r>
      <w:r>
        <w:t xml:space="preserve">and Isle of Wight. </w:t>
      </w:r>
    </w:p>
    <w:p w:rsidR="00065771" w:rsidRDefault="008076E2" w:rsidP="00065771">
      <w:r>
        <w:t>The Red 1 proportio</w:t>
      </w:r>
      <w:r w:rsidR="00ED2DED">
        <w:t xml:space="preserve">n was below 70% for North West </w:t>
      </w:r>
      <w:r>
        <w:t>and London.</w:t>
      </w:r>
    </w:p>
    <w:p w:rsidR="00C54B5E" w:rsidRDefault="00620FE6" w:rsidP="00C54B5E">
      <w:pPr>
        <w:pStyle w:val="Heading3"/>
      </w:pPr>
      <w:r>
        <w:t>A2</w:t>
      </w:r>
      <w:r>
        <w:tab/>
        <w:t xml:space="preserve">Dispatch on Disposition </w:t>
      </w:r>
      <w:r w:rsidR="00533D03">
        <w:t xml:space="preserve">(DoD) </w:t>
      </w:r>
      <w:r w:rsidR="00C54B5E">
        <w:t>pilot</w:t>
      </w:r>
    </w:p>
    <w:p w:rsidR="00D67C11" w:rsidRDefault="008C5A76" w:rsidP="00D67C11">
      <w:r w:rsidRPr="00B41F06">
        <w:t>In January 2015, the Secretary of State for Health announced</w:t>
      </w:r>
      <w:r>
        <w:rPr>
          <w:rStyle w:val="FootnoteReference"/>
        </w:rPr>
        <w:footnoteReference w:id="4"/>
      </w:r>
      <w:r w:rsidR="00774123">
        <w:t xml:space="preserve"> the</w:t>
      </w:r>
      <w:r w:rsidR="00AF2C09">
        <w:t xml:space="preserve"> </w:t>
      </w:r>
      <w:r w:rsidR="00533D03">
        <w:t>Dispatch on Disposition (DoD) pilot</w:t>
      </w:r>
      <w:r w:rsidR="00AF2C09">
        <w:t xml:space="preserve">, allowing more time </w:t>
      </w:r>
      <w:r w:rsidR="00620FE6">
        <w:t xml:space="preserve">to </w:t>
      </w:r>
      <w:r w:rsidR="0096283E" w:rsidRPr="0096283E">
        <w:t>triage</w:t>
      </w:r>
      <w:r w:rsidR="00620FE6">
        <w:t xml:space="preserve"> (to </w:t>
      </w:r>
      <w:r w:rsidR="0096283E" w:rsidRPr="0096283E">
        <w:t>identify the clinical situation and take appropriate action</w:t>
      </w:r>
      <w:r w:rsidR="00620FE6">
        <w:t>)</w:t>
      </w:r>
      <w:r w:rsidR="0096283E">
        <w:t xml:space="preserve">, </w:t>
      </w:r>
      <w:r w:rsidR="008D50FB" w:rsidRPr="008D50FB">
        <w:t>based upon clinical advice that this would be likely to improve the overall outcomes for ambulance patients</w:t>
      </w:r>
      <w:r w:rsidR="0096283E">
        <w:t>.</w:t>
      </w:r>
    </w:p>
    <w:p w:rsidR="00AF2C09" w:rsidRDefault="00B91476" w:rsidP="00AF2C09">
      <w:r>
        <w:t xml:space="preserve">The </w:t>
      </w:r>
      <w:r w:rsidR="00533D03">
        <w:t xml:space="preserve">pilot </w:t>
      </w:r>
      <w:r w:rsidR="00AF2C09">
        <w:t>covered all calls received by London Ambulance Service (LAS) and South West</w:t>
      </w:r>
      <w:r w:rsidR="00AC23EC">
        <w:t>ern</w:t>
      </w:r>
      <w:r w:rsidR="00305EA9">
        <w:t xml:space="preserve"> Ambulance Service (SWAS). It</w:t>
      </w:r>
      <w:r w:rsidR="00AF2C09">
        <w:t xml:space="preserve"> started on 10 February 2015 </w:t>
      </w:r>
      <w:r w:rsidR="00305EA9">
        <w:t>and continued</w:t>
      </w:r>
      <w:r w:rsidR="00AF2C09">
        <w:t xml:space="preserve"> </w:t>
      </w:r>
      <w:r w:rsidR="004A463E">
        <w:t>throughout</w:t>
      </w:r>
      <w:r w:rsidR="00AF2C09">
        <w:t xml:space="preserve"> March 2015.</w:t>
      </w:r>
    </w:p>
    <w:p w:rsidR="00533D03" w:rsidRDefault="00AF2C09" w:rsidP="00146D12">
      <w:r>
        <w:t xml:space="preserve">For Red 1 calls, the clock start time </w:t>
      </w:r>
      <w:r w:rsidR="008076E2">
        <w:t xml:space="preserve">remains </w:t>
      </w:r>
      <w:r>
        <w:t>as soon</w:t>
      </w:r>
      <w:r w:rsidR="00620FE6">
        <w:t xml:space="preserve"> as the telephone call connects</w:t>
      </w:r>
      <w:r>
        <w:t>.</w:t>
      </w:r>
    </w:p>
    <w:p w:rsidR="00AF2C09" w:rsidRDefault="00533D03" w:rsidP="00146D12">
      <w:r>
        <w:t>H</w:t>
      </w:r>
      <w:r w:rsidR="00AF2C09">
        <w:t xml:space="preserve">owever, </w:t>
      </w:r>
      <w:r w:rsidR="00480A45">
        <w:t xml:space="preserve">to allow more time for triage, </w:t>
      </w:r>
      <w:r w:rsidR="00620FE6">
        <w:t>the</w:t>
      </w:r>
      <w:r w:rsidR="007F1EB3">
        <w:t xml:space="preserve"> clock </w:t>
      </w:r>
      <w:r w:rsidR="00620FE6">
        <w:t>start time</w:t>
      </w:r>
      <w:r w:rsidR="00480A45">
        <w:t xml:space="preserve"> changed for Red 2 calls</w:t>
      </w:r>
      <w:r w:rsidR="0096283E">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AF2C09" w:rsidRPr="00AF2C09" w:rsidTr="00AF2C09">
        <w:tc>
          <w:tcPr>
            <w:tcW w:w="4621" w:type="dxa"/>
          </w:tcPr>
          <w:p w:rsidR="00AF2C09" w:rsidRPr="00AF2C09" w:rsidRDefault="00AF2C09" w:rsidP="00480A45">
            <w:pPr>
              <w:pStyle w:val="Heading3"/>
            </w:pPr>
            <w:r>
              <w:t xml:space="preserve">Usual </w:t>
            </w:r>
            <w:r w:rsidR="00480A45">
              <w:t xml:space="preserve">pre-pilot </w:t>
            </w:r>
            <w:r>
              <w:t>Red 2 start time</w:t>
            </w:r>
          </w:p>
        </w:tc>
        <w:tc>
          <w:tcPr>
            <w:tcW w:w="4621" w:type="dxa"/>
          </w:tcPr>
          <w:p w:rsidR="00AF2C09" w:rsidRPr="00AF2C09" w:rsidRDefault="00480A45" w:rsidP="00480A45">
            <w:pPr>
              <w:pStyle w:val="Heading3"/>
            </w:pPr>
            <w:r>
              <w:t xml:space="preserve">DoD pilot </w:t>
            </w:r>
            <w:r w:rsidR="00AF2C09">
              <w:t>Red 2 start time</w:t>
            </w:r>
          </w:p>
        </w:tc>
      </w:tr>
      <w:tr w:rsidR="00AF2C09" w:rsidRPr="00AF2C09" w:rsidTr="00AF2C09">
        <w:tc>
          <w:tcPr>
            <w:tcW w:w="4621" w:type="dxa"/>
          </w:tcPr>
          <w:p w:rsidR="00AF2C09" w:rsidRPr="00AF2C09" w:rsidRDefault="00AF2C09" w:rsidP="00F64A2E">
            <w:pPr>
              <w:pStyle w:val="NoSpacing"/>
            </w:pPr>
            <w:r>
              <w:t>E</w:t>
            </w:r>
            <w:r w:rsidRPr="00AF2C09">
              <w:t>arliest of:</w:t>
            </w:r>
          </w:p>
          <w:p w:rsidR="00AF2C09" w:rsidRPr="00AF2C09" w:rsidRDefault="00AF2C09" w:rsidP="001D4F10">
            <w:pPr>
              <w:pStyle w:val="ListBullet2"/>
            </w:pPr>
            <w:r w:rsidRPr="00AF2C09">
              <w:t>chief complaint</w:t>
            </w:r>
            <w:r w:rsidR="00533D03">
              <w:t>,</w:t>
            </w:r>
            <w:r w:rsidRPr="00AF2C09">
              <w:t xml:space="preserve"> or Pathways initial D</w:t>
            </w:r>
            <w:r w:rsidR="0096283E">
              <w:t>x</w:t>
            </w:r>
            <w:r w:rsidRPr="00AF2C09">
              <w:t xml:space="preserve"> code information</w:t>
            </w:r>
            <w:r w:rsidR="00533D03">
              <w:t>,</w:t>
            </w:r>
            <w:r w:rsidRPr="00AF2C09">
              <w:t xml:space="preserve"> is obtained;</w:t>
            </w:r>
          </w:p>
          <w:p w:rsidR="00AF2C09" w:rsidRPr="00AF2C09" w:rsidRDefault="00AF2C09" w:rsidP="001D4F10">
            <w:pPr>
              <w:pStyle w:val="ListBullet2"/>
            </w:pPr>
            <w:r w:rsidRPr="00AF2C09">
              <w:t>first vehicle assigned;</w:t>
            </w:r>
          </w:p>
          <w:p w:rsidR="00AF2C09" w:rsidRPr="00AF2C09" w:rsidRDefault="0096283E" w:rsidP="001D4F10">
            <w:pPr>
              <w:pStyle w:val="ListBullet2"/>
            </w:pPr>
            <w:r>
              <w:t>60 seconds after c</w:t>
            </w:r>
            <w:r w:rsidR="00AF2C09" w:rsidRPr="00AF2C09">
              <w:t xml:space="preserve">all </w:t>
            </w:r>
            <w:r>
              <w:t>c</w:t>
            </w:r>
            <w:r w:rsidR="00AF2C09" w:rsidRPr="00AF2C09">
              <w:t>onnect</w:t>
            </w:r>
            <w:r w:rsidR="00480A45">
              <w:t>.</w:t>
            </w:r>
          </w:p>
        </w:tc>
        <w:tc>
          <w:tcPr>
            <w:tcW w:w="4621" w:type="dxa"/>
          </w:tcPr>
          <w:p w:rsidR="00AF2C09" w:rsidRPr="00AF2C09" w:rsidRDefault="00AF2C09" w:rsidP="00F64A2E">
            <w:pPr>
              <w:pStyle w:val="NoSpacing"/>
            </w:pPr>
            <w:r>
              <w:t>E</w:t>
            </w:r>
            <w:r w:rsidRPr="00AF2C09">
              <w:t>arliest of:</w:t>
            </w:r>
          </w:p>
          <w:p w:rsidR="00AF2C09" w:rsidRPr="00AF2C09" w:rsidRDefault="00AF2C09" w:rsidP="001D4F10">
            <w:pPr>
              <w:pStyle w:val="ListBullet2"/>
            </w:pPr>
            <w:r w:rsidRPr="00AF2C09">
              <w:t>chief complaint</w:t>
            </w:r>
            <w:r w:rsidR="00533D03">
              <w:t>,</w:t>
            </w:r>
            <w:r w:rsidRPr="00AF2C09">
              <w:t xml:space="preserve"> or Pathways initial D</w:t>
            </w:r>
            <w:r w:rsidR="0096283E">
              <w:t>x</w:t>
            </w:r>
            <w:r w:rsidRPr="00AF2C09">
              <w:t xml:space="preserve"> code information</w:t>
            </w:r>
            <w:r w:rsidR="00533D03">
              <w:t>,</w:t>
            </w:r>
            <w:r w:rsidRPr="00AF2C09">
              <w:t xml:space="preserve"> is obtained;</w:t>
            </w:r>
          </w:p>
          <w:p w:rsidR="00AF2C09" w:rsidRPr="00AF2C09" w:rsidRDefault="00AF2C09" w:rsidP="001D4F10">
            <w:pPr>
              <w:pStyle w:val="ListBullet2"/>
            </w:pPr>
            <w:r w:rsidRPr="00AF2C09">
              <w:t>first vehicle assigned;</w:t>
            </w:r>
          </w:p>
          <w:p w:rsidR="00AF2C09" w:rsidRPr="00AF2C09" w:rsidRDefault="00AF2C09" w:rsidP="001D4F10">
            <w:pPr>
              <w:pStyle w:val="ListBullet2"/>
            </w:pPr>
            <w:r>
              <w:t>18</w:t>
            </w:r>
            <w:r w:rsidRPr="00AF2C09">
              <w:t xml:space="preserve">0 seconds after </w:t>
            </w:r>
            <w:r w:rsidR="0096283E">
              <w:t>c</w:t>
            </w:r>
            <w:r w:rsidRPr="00AF2C09">
              <w:t xml:space="preserve">all </w:t>
            </w:r>
            <w:r w:rsidR="0096283E">
              <w:t>c</w:t>
            </w:r>
            <w:r w:rsidRPr="00AF2C09">
              <w:t>onnect</w:t>
            </w:r>
            <w:r w:rsidR="00480A45">
              <w:t>.</w:t>
            </w:r>
          </w:p>
        </w:tc>
      </w:tr>
    </w:tbl>
    <w:p w:rsidR="001D4F10" w:rsidRDefault="001D4F10" w:rsidP="001D4F10">
      <w:pPr>
        <w:pStyle w:val="NoSpacing"/>
      </w:pPr>
    </w:p>
    <w:p w:rsidR="00305EA9" w:rsidRDefault="00D8289C" w:rsidP="00533D03">
      <w:r>
        <w:t>In the 9 April 2015 publication, SWAS data for February 2015 still</w:t>
      </w:r>
      <w:r w:rsidR="00305EA9">
        <w:t xml:space="preserve"> used the pre-pilot start times. T</w:t>
      </w:r>
      <w:r>
        <w:t>hese have now been revised</w:t>
      </w:r>
      <w:r w:rsidR="00305EA9">
        <w:t xml:space="preserve"> to use the new pilot start times, so in this AQI publication, February and March 2015 response data, for </w:t>
      </w:r>
      <w:r w:rsidR="003507AC">
        <w:t xml:space="preserve">the 8 minute </w:t>
      </w:r>
      <w:r w:rsidR="00305EA9">
        <w:t>Red 2 and 19 minute Category A measure</w:t>
      </w:r>
      <w:r w:rsidR="003507AC">
        <w:t>s</w:t>
      </w:r>
      <w:r w:rsidR="00305EA9">
        <w:t>, LAS and SWAS data are now comparable with each other, although they are still not comparable with the rest of England.</w:t>
      </w:r>
    </w:p>
    <w:p w:rsidR="00533D03" w:rsidRDefault="00D8289C" w:rsidP="00533D03">
      <w:r>
        <w:t xml:space="preserve">More information on revisions is in section </w:t>
      </w:r>
      <w:r w:rsidR="00305EA9">
        <w:t>A10.</w:t>
      </w:r>
    </w:p>
    <w:p w:rsidR="00533D03" w:rsidRDefault="00D8289C" w:rsidP="00533D03">
      <w:r>
        <w:t>T</w:t>
      </w:r>
      <w:r w:rsidR="00533D03">
        <w:t xml:space="preserve">he Systems Indicators Time Series spreadsheet on the AQI landing page </w:t>
      </w:r>
      <w:hyperlink r:id="rId10" w:history="1">
        <w:r w:rsidR="00533D03" w:rsidRPr="007C454C">
          <w:rPr>
            <w:rStyle w:val="Hyperlink"/>
          </w:rPr>
          <w:t>http://bit.ly/NH</w:t>
        </w:r>
        <w:r w:rsidR="00533D03" w:rsidRPr="007C454C">
          <w:rPr>
            <w:rStyle w:val="Hyperlink"/>
          </w:rPr>
          <w:t>S</w:t>
        </w:r>
        <w:r w:rsidR="00533D03" w:rsidRPr="007C454C">
          <w:rPr>
            <w:rStyle w:val="Hyperlink"/>
          </w:rPr>
          <w:t>AQI</w:t>
        </w:r>
      </w:hyperlink>
      <w:r w:rsidR="00774123">
        <w:t xml:space="preserve"> include</w:t>
      </w:r>
      <w:r w:rsidR="00C94BBC">
        <w:t>s</w:t>
      </w:r>
      <w:r w:rsidR="00533D03">
        <w:t xml:space="preserve"> an extra tab</w:t>
      </w:r>
      <w:r>
        <w:t xml:space="preserve">. This has </w:t>
      </w:r>
      <w:r w:rsidR="00C94BBC">
        <w:t xml:space="preserve">numerators, denominators, and percentages, for the </w:t>
      </w:r>
      <w:r w:rsidR="003507AC">
        <w:t xml:space="preserve">8 minute </w:t>
      </w:r>
      <w:r w:rsidR="00C94BBC">
        <w:t xml:space="preserve">Red 2 </w:t>
      </w:r>
      <w:r>
        <w:t>and 19 minute Category A time series</w:t>
      </w:r>
      <w:r w:rsidR="00533D03">
        <w:t>, for all England and for England excluding LAS and SWAS.</w:t>
      </w:r>
    </w:p>
    <w:p w:rsidR="00D4605E" w:rsidRDefault="00D4605E" w:rsidP="00D4605E">
      <w:pPr>
        <w:pStyle w:val="Heading3"/>
      </w:pPr>
      <w:r>
        <w:lastRenderedPageBreak/>
        <w:t>A3</w:t>
      </w:r>
      <w:r>
        <w:tab/>
        <w:t xml:space="preserve">Red 2 </w:t>
      </w:r>
      <w:r w:rsidR="00774123">
        <w:t>emergency response within 8 minutes</w:t>
      </w:r>
    </w:p>
    <w:p w:rsidR="00D8793C" w:rsidRDefault="000F2BCC" w:rsidP="001D4F10">
      <w:r>
        <w:t xml:space="preserve">Figure 2 shows </w:t>
      </w:r>
      <w:r w:rsidR="00533D03">
        <w:t>that for all England,</w:t>
      </w:r>
      <w:r w:rsidR="00533D03" w:rsidRPr="00533D03">
        <w:t xml:space="preserve"> </w:t>
      </w:r>
      <w:r w:rsidR="00533D03">
        <w:t>the Red 2</w:t>
      </w:r>
      <w:r w:rsidR="00533D03" w:rsidRPr="00533D03">
        <w:t xml:space="preserve"> </w:t>
      </w:r>
      <w:r w:rsidR="00533D03">
        <w:t xml:space="preserve">measure </w:t>
      </w:r>
      <w:r w:rsidR="00C06A62">
        <w:t xml:space="preserve">increased </w:t>
      </w:r>
      <w:r w:rsidR="00533D03">
        <w:t xml:space="preserve">from </w:t>
      </w:r>
      <w:r w:rsidR="00D8793C">
        <w:t>6</w:t>
      </w:r>
      <w:r w:rsidR="001F1305">
        <w:t>7.5</w:t>
      </w:r>
      <w:r w:rsidR="00D8793C">
        <w:t xml:space="preserve">% </w:t>
      </w:r>
      <w:r w:rsidR="001F1305">
        <w:t xml:space="preserve">in February </w:t>
      </w:r>
      <w:r w:rsidR="00D8793C">
        <w:t>to 6</w:t>
      </w:r>
      <w:r w:rsidR="001F1305">
        <w:t>9.6</w:t>
      </w:r>
      <w:r w:rsidR="00D8793C">
        <w:t>%</w:t>
      </w:r>
      <w:r w:rsidR="001F1305">
        <w:t xml:space="preserve"> in March 2015</w:t>
      </w:r>
      <w:r w:rsidR="00D8793C">
        <w:t>. W</w:t>
      </w:r>
      <w:r w:rsidR="00533D03">
        <w:t>ith LAS and SWAS</w:t>
      </w:r>
      <w:r w:rsidR="00533D03" w:rsidRPr="00533D03">
        <w:t xml:space="preserve"> </w:t>
      </w:r>
      <w:r w:rsidR="00533D03">
        <w:t>excluded</w:t>
      </w:r>
      <w:r w:rsidR="00D8793C">
        <w:t>, the me</w:t>
      </w:r>
      <w:r w:rsidR="001F1305">
        <w:t xml:space="preserve">asure </w:t>
      </w:r>
      <w:r w:rsidR="00D8289C">
        <w:t xml:space="preserve">had a fairly similar increase, </w:t>
      </w:r>
      <w:r w:rsidR="001F1305">
        <w:t>from 69.7% to 71.6</w:t>
      </w:r>
      <w:r w:rsidR="00D8793C">
        <w:t>%.</w:t>
      </w:r>
    </w:p>
    <w:p w:rsidR="00D8793C" w:rsidRDefault="00D8289C" w:rsidP="001D4F10">
      <w:r>
        <w:rPr>
          <w:noProof/>
        </w:rPr>
        <w:drawing>
          <wp:inline distT="0" distB="0" distL="0" distR="0" wp14:anchorId="0F39B8E4" wp14:editId="3476B1A9">
            <wp:extent cx="5657850" cy="2773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773680"/>
                    </a:xfrm>
                    <a:prstGeom prst="rect">
                      <a:avLst/>
                    </a:prstGeom>
                    <a:noFill/>
                  </pic:spPr>
                </pic:pic>
              </a:graphicData>
            </a:graphic>
          </wp:inline>
        </w:drawing>
      </w:r>
    </w:p>
    <w:p w:rsidR="00EA23A9" w:rsidRDefault="00D8793C" w:rsidP="00774123">
      <w:pPr>
        <w:rPr>
          <w:noProof/>
        </w:rPr>
      </w:pPr>
      <w:r>
        <w:t xml:space="preserve">There </w:t>
      </w:r>
      <w:r w:rsidR="00C94BBC">
        <w:t>will inevitably always be</w:t>
      </w:r>
      <w:r>
        <w:t xml:space="preserve"> uncertainty over what the Red 2 measure for all England would have been without the </w:t>
      </w:r>
      <w:r w:rsidR="00177CDB">
        <w:t xml:space="preserve">DoD </w:t>
      </w:r>
      <w:r>
        <w:t xml:space="preserve">pilot. However, </w:t>
      </w:r>
      <w:r>
        <w:rPr>
          <w:noProof/>
        </w:rPr>
        <w:t xml:space="preserve">LAS and SWAS </w:t>
      </w:r>
      <w:r w:rsidR="003507AC">
        <w:rPr>
          <w:noProof/>
        </w:rPr>
        <w:t xml:space="preserve">between them </w:t>
      </w:r>
      <w:r>
        <w:t>take about a quarter of Category A calls in England each month</w:t>
      </w:r>
      <w:r w:rsidR="000776AF">
        <w:t xml:space="preserve">. Therefore, </w:t>
      </w:r>
      <w:r>
        <w:t xml:space="preserve">they </w:t>
      </w:r>
      <w:r w:rsidR="00EA23A9">
        <w:rPr>
          <w:noProof/>
        </w:rPr>
        <w:t>would have</w:t>
      </w:r>
      <w:r w:rsidR="000776AF">
        <w:rPr>
          <w:noProof/>
        </w:rPr>
        <w:t xml:space="preserve"> had</w:t>
      </w:r>
      <w:r w:rsidR="00EA23A9">
        <w:rPr>
          <w:noProof/>
        </w:rPr>
        <w:t xml:space="preserve"> to have </w:t>
      </w:r>
      <w:r w:rsidR="000776AF">
        <w:rPr>
          <w:noProof/>
        </w:rPr>
        <w:t xml:space="preserve">provided an emergency response within 8 minutes to </w:t>
      </w:r>
      <w:r w:rsidR="003E185C">
        <w:rPr>
          <w:noProof/>
        </w:rPr>
        <w:t>85</w:t>
      </w:r>
      <w:r w:rsidR="00EA23A9">
        <w:rPr>
          <w:noProof/>
        </w:rPr>
        <w:t xml:space="preserve">% </w:t>
      </w:r>
      <w:r w:rsidR="00F64A2E">
        <w:rPr>
          <w:noProof/>
        </w:rPr>
        <w:t>of Red 2 calls,</w:t>
      </w:r>
      <w:r w:rsidR="00EA23A9">
        <w:rPr>
          <w:noProof/>
        </w:rPr>
        <w:t xml:space="preserve"> </w:t>
      </w:r>
      <w:r>
        <w:rPr>
          <w:noProof/>
        </w:rPr>
        <w:t>in order for the 75% standard to be met</w:t>
      </w:r>
      <w:r w:rsidR="000776AF">
        <w:rPr>
          <w:noProof/>
        </w:rPr>
        <w:t xml:space="preserve"> in </w:t>
      </w:r>
      <w:r w:rsidR="003E185C">
        <w:rPr>
          <w:noProof/>
        </w:rPr>
        <w:t xml:space="preserve">March </w:t>
      </w:r>
      <w:r w:rsidR="000776AF">
        <w:rPr>
          <w:noProof/>
        </w:rPr>
        <w:t>2015.</w:t>
      </w:r>
      <w:r w:rsidR="00774123">
        <w:rPr>
          <w:noProof/>
        </w:rPr>
        <w:t xml:space="preserve"> This would have been unpr</w:t>
      </w:r>
      <w:r w:rsidR="00C94BBC">
        <w:rPr>
          <w:noProof/>
        </w:rPr>
        <w:t>e</w:t>
      </w:r>
      <w:r w:rsidR="00774123">
        <w:rPr>
          <w:noProof/>
        </w:rPr>
        <w:t>c</w:t>
      </w:r>
      <w:r w:rsidR="00C94BBC">
        <w:rPr>
          <w:noProof/>
        </w:rPr>
        <w:t>e</w:t>
      </w:r>
      <w:r w:rsidR="00774123">
        <w:rPr>
          <w:noProof/>
        </w:rPr>
        <w:t xml:space="preserve">dented, and a very large increase upon their </w:t>
      </w:r>
      <w:r>
        <w:rPr>
          <w:noProof/>
        </w:rPr>
        <w:t xml:space="preserve">2014-15 averages for Red 2 </w:t>
      </w:r>
      <w:r w:rsidR="00774123">
        <w:rPr>
          <w:noProof/>
        </w:rPr>
        <w:t xml:space="preserve">of </w:t>
      </w:r>
      <w:r w:rsidR="007F1EB3">
        <w:rPr>
          <w:noProof/>
        </w:rPr>
        <w:t>60% (LAS) and 72% (SWAS).</w:t>
      </w:r>
    </w:p>
    <w:p w:rsidR="007F1EB3" w:rsidRDefault="00D8289C" w:rsidP="00EA23A9">
      <w:r>
        <w:rPr>
          <w:noProof/>
        </w:rPr>
        <w:t xml:space="preserve">In March 2015, </w:t>
      </w:r>
      <w:r w:rsidR="00FD4A85">
        <w:rPr>
          <w:noProof/>
        </w:rPr>
        <w:t>London had 59.1% of Red 2 responses within 8 minutes.</w:t>
      </w:r>
      <w:r w:rsidR="007F1EB3">
        <w:rPr>
          <w:noProof/>
        </w:rPr>
        <w:t xml:space="preserve"> </w:t>
      </w:r>
      <w:r w:rsidR="00F63574">
        <w:rPr>
          <w:noProof/>
        </w:rPr>
        <w:t xml:space="preserve">North West </w:t>
      </w:r>
      <w:r>
        <w:rPr>
          <w:noProof/>
        </w:rPr>
        <w:t xml:space="preserve">and East of England </w:t>
      </w:r>
      <w:r w:rsidR="00FD4A85">
        <w:rPr>
          <w:noProof/>
        </w:rPr>
        <w:t xml:space="preserve">also </w:t>
      </w:r>
      <w:r>
        <w:rPr>
          <w:noProof/>
        </w:rPr>
        <w:t xml:space="preserve">had </w:t>
      </w:r>
      <w:r w:rsidR="007F1EB3">
        <w:rPr>
          <w:noProof/>
        </w:rPr>
        <w:t>fewer than 70%</w:t>
      </w:r>
      <w:r>
        <w:rPr>
          <w:noProof/>
        </w:rPr>
        <w:t xml:space="preserve">. </w:t>
      </w:r>
      <w:r w:rsidR="003C3939">
        <w:rPr>
          <w:noProof/>
        </w:rPr>
        <w:t xml:space="preserve">North East, </w:t>
      </w:r>
      <w:r>
        <w:rPr>
          <w:noProof/>
        </w:rPr>
        <w:t xml:space="preserve">West Midlands, </w:t>
      </w:r>
      <w:r w:rsidR="003C3939">
        <w:rPr>
          <w:noProof/>
        </w:rPr>
        <w:t xml:space="preserve">South Central, and Isle of Wight </w:t>
      </w:r>
      <w:r w:rsidR="007F1EB3">
        <w:rPr>
          <w:noProof/>
        </w:rPr>
        <w:t>achi</w:t>
      </w:r>
      <w:r w:rsidR="00774123">
        <w:rPr>
          <w:noProof/>
        </w:rPr>
        <w:t>e</w:t>
      </w:r>
      <w:r w:rsidR="007F1EB3">
        <w:rPr>
          <w:noProof/>
        </w:rPr>
        <w:t>ved the Red 2 standard</w:t>
      </w:r>
      <w:r>
        <w:rPr>
          <w:noProof/>
        </w:rPr>
        <w:t>.</w:t>
      </w:r>
    </w:p>
    <w:p w:rsidR="007B0011" w:rsidRDefault="007B0011" w:rsidP="007B0011">
      <w:r>
        <w:t>The vast majority of Category A calls are Red 2 calls, so the pilot affect</w:t>
      </w:r>
      <w:r w:rsidR="006C336E">
        <w:t>ed</w:t>
      </w:r>
      <w:r>
        <w:t xml:space="preserve"> </w:t>
      </w:r>
      <w:r w:rsidR="003507AC">
        <w:t xml:space="preserve">not only </w:t>
      </w:r>
      <w:r>
        <w:t xml:space="preserve">the 8 minute Red 2 measure, </w:t>
      </w:r>
      <w:r w:rsidR="003507AC">
        <w:t xml:space="preserve">but also </w:t>
      </w:r>
      <w:r>
        <w:t>the 19 minute Category A measure.</w:t>
      </w:r>
    </w:p>
    <w:p w:rsidR="00EA23A9" w:rsidRPr="00127FD0" w:rsidRDefault="00EA23A9" w:rsidP="00EA23A9">
      <w:pPr>
        <w:pStyle w:val="Heading3"/>
      </w:pPr>
      <w:r>
        <w:t>A</w:t>
      </w:r>
      <w:r w:rsidR="00D4605E">
        <w:t>4</w:t>
      </w:r>
      <w:r>
        <w:tab/>
      </w:r>
      <w:r w:rsidR="00C94BBC">
        <w:t xml:space="preserve">Category A </w:t>
      </w:r>
      <w:r>
        <w:t>Ambulance response in 19 minutes</w:t>
      </w:r>
    </w:p>
    <w:p w:rsidR="00EA23A9" w:rsidRDefault="00EA23A9" w:rsidP="00EA23A9">
      <w:r>
        <w:t>The other standard for Ambulance Services in the Handbook to the NHS Constitution is for Trusts to send, within 19 minutes, a fully-equipped ambulance vehicle, able to transport the patient in a clinically safe manner, to 95% of Category A calls.</w:t>
      </w:r>
    </w:p>
    <w:p w:rsidR="007B0011" w:rsidRDefault="00275C0B" w:rsidP="00EA23A9">
      <w:pPr>
        <w:rPr>
          <w:noProof/>
        </w:rPr>
      </w:pPr>
      <w:r>
        <w:rPr>
          <w:noProof/>
        </w:rPr>
        <w:t>North West (91.2%), East Midlands (93.1%), East of England (93.9</w:t>
      </w:r>
      <w:r w:rsidR="00AE33C1">
        <w:rPr>
          <w:noProof/>
        </w:rPr>
        <w:t xml:space="preserve">%), </w:t>
      </w:r>
      <w:r w:rsidR="00FD4A85">
        <w:rPr>
          <w:noProof/>
        </w:rPr>
        <w:t>London (92.2%) and South Western (93.8%)</w:t>
      </w:r>
      <w:r w:rsidR="00FD4A85" w:rsidRPr="00FD4A85">
        <w:rPr>
          <w:noProof/>
        </w:rPr>
        <w:t xml:space="preserve"> </w:t>
      </w:r>
      <w:r w:rsidR="00FD4A85">
        <w:rPr>
          <w:noProof/>
        </w:rPr>
        <w:t>did not achieve this standard</w:t>
      </w:r>
      <w:r w:rsidR="00FD4A85" w:rsidRPr="00774123">
        <w:rPr>
          <w:noProof/>
        </w:rPr>
        <w:t xml:space="preserve"> </w:t>
      </w:r>
      <w:r w:rsidR="00FD4A85">
        <w:rPr>
          <w:noProof/>
        </w:rPr>
        <w:t>in March 2015</w:t>
      </w:r>
      <w:r w:rsidR="007B0011">
        <w:rPr>
          <w:noProof/>
        </w:rPr>
        <w:t>.</w:t>
      </w:r>
      <w:r w:rsidR="00FD4A85">
        <w:rPr>
          <w:noProof/>
        </w:rPr>
        <w:t xml:space="preserve"> The largest proportion was 97.3% in West Midlands.</w:t>
      </w:r>
    </w:p>
    <w:p w:rsidR="007B0011" w:rsidRDefault="007B0011" w:rsidP="00EA23A9">
      <w:r>
        <w:rPr>
          <w:noProof/>
        </w:rPr>
        <w:t>Figure 3 shows that for all England, the 19 minute proport</w:t>
      </w:r>
      <w:r w:rsidR="00AA708E">
        <w:rPr>
          <w:noProof/>
        </w:rPr>
        <w:t xml:space="preserve">ion increased from 93.5% </w:t>
      </w:r>
      <w:r w:rsidR="00096317">
        <w:rPr>
          <w:noProof/>
        </w:rPr>
        <w:t xml:space="preserve">in February 2015 </w:t>
      </w:r>
      <w:r w:rsidR="00AA708E">
        <w:rPr>
          <w:noProof/>
        </w:rPr>
        <w:t>to 94</w:t>
      </w:r>
      <w:r>
        <w:rPr>
          <w:noProof/>
        </w:rPr>
        <w:t>.</w:t>
      </w:r>
      <w:r w:rsidR="00AA708E">
        <w:rPr>
          <w:noProof/>
        </w:rPr>
        <w:t>1</w:t>
      </w:r>
      <w:r>
        <w:rPr>
          <w:noProof/>
        </w:rPr>
        <w:t>%</w:t>
      </w:r>
      <w:r w:rsidR="00096317">
        <w:rPr>
          <w:noProof/>
        </w:rPr>
        <w:t xml:space="preserve"> in March</w:t>
      </w:r>
      <w:r>
        <w:rPr>
          <w:noProof/>
        </w:rPr>
        <w:t xml:space="preserve">. Excluding LAS and SWAS, </w:t>
      </w:r>
      <w:r w:rsidR="00096317">
        <w:rPr>
          <w:noProof/>
        </w:rPr>
        <w:t xml:space="preserve">there was a similar increase, </w:t>
      </w:r>
      <w:r>
        <w:rPr>
          <w:noProof/>
        </w:rPr>
        <w:t xml:space="preserve">from </w:t>
      </w:r>
      <w:r w:rsidR="000776AF">
        <w:rPr>
          <w:noProof/>
        </w:rPr>
        <w:t>9</w:t>
      </w:r>
      <w:r w:rsidR="00921DB1">
        <w:rPr>
          <w:noProof/>
        </w:rPr>
        <w:t>4.1% to 94.6</w:t>
      </w:r>
      <w:r w:rsidR="000776AF">
        <w:rPr>
          <w:noProof/>
        </w:rPr>
        <w:t>%.</w:t>
      </w:r>
    </w:p>
    <w:p w:rsidR="001D4F10" w:rsidRDefault="00096317" w:rsidP="00146D12">
      <w:r>
        <w:rPr>
          <w:noProof/>
        </w:rPr>
        <w:lastRenderedPageBreak/>
        <w:drawing>
          <wp:inline distT="0" distB="0" distL="0" distR="0" wp14:anchorId="488A6807" wp14:editId="00C5A0E6">
            <wp:extent cx="5669915" cy="24447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915" cy="2444750"/>
                    </a:xfrm>
                    <a:prstGeom prst="rect">
                      <a:avLst/>
                    </a:prstGeom>
                    <a:noFill/>
                  </pic:spPr>
                </pic:pic>
              </a:graphicData>
            </a:graphic>
          </wp:inline>
        </w:drawing>
      </w:r>
    </w:p>
    <w:p w:rsidR="000776AF" w:rsidRDefault="006C336E" w:rsidP="00146D12">
      <w:r>
        <w:t xml:space="preserve">Without the </w:t>
      </w:r>
      <w:r w:rsidR="00177CDB">
        <w:t xml:space="preserve">DoD </w:t>
      </w:r>
      <w:r>
        <w:t>pilot, f</w:t>
      </w:r>
      <w:r w:rsidR="000776AF">
        <w:t>or the 95% standard to have been met for all England</w:t>
      </w:r>
      <w:r w:rsidR="000776AF" w:rsidRPr="000776AF">
        <w:t xml:space="preserve"> </w:t>
      </w:r>
      <w:r w:rsidR="000776AF">
        <w:t xml:space="preserve">in </w:t>
      </w:r>
      <w:r w:rsidR="00893655">
        <w:t xml:space="preserve">March </w:t>
      </w:r>
      <w:r w:rsidR="000776AF">
        <w:t xml:space="preserve">2015, LAS and SWAS </w:t>
      </w:r>
      <w:r w:rsidR="00096317">
        <w:t xml:space="preserve">together </w:t>
      </w:r>
      <w:r w:rsidR="000776AF">
        <w:rPr>
          <w:noProof/>
        </w:rPr>
        <w:t xml:space="preserve">would have had to have provided an ambulance response </w:t>
      </w:r>
      <w:r w:rsidR="00A32B3E">
        <w:rPr>
          <w:noProof/>
        </w:rPr>
        <w:t xml:space="preserve">within 19 minutes </w:t>
      </w:r>
      <w:r w:rsidR="000776AF">
        <w:rPr>
          <w:noProof/>
        </w:rPr>
        <w:t>to more than 9</w:t>
      </w:r>
      <w:r w:rsidR="00096317">
        <w:rPr>
          <w:noProof/>
        </w:rPr>
        <w:t>6.3</w:t>
      </w:r>
      <w:r w:rsidR="000776AF">
        <w:rPr>
          <w:noProof/>
        </w:rPr>
        <w:t>% of category A calls</w:t>
      </w:r>
      <w:r w:rsidR="00774123">
        <w:rPr>
          <w:noProof/>
        </w:rPr>
        <w:t xml:space="preserve">, which would have been unprecedented </w:t>
      </w:r>
      <w:r w:rsidR="00A32B3E">
        <w:rPr>
          <w:noProof/>
        </w:rPr>
        <w:t xml:space="preserve">for them </w:t>
      </w:r>
      <w:r w:rsidR="000776AF">
        <w:t>in 2014-15.</w:t>
      </w:r>
    </w:p>
    <w:p w:rsidR="00774123" w:rsidRDefault="00774123" w:rsidP="00774123">
      <w:r>
        <w:t xml:space="preserve">Other Systems Indicators are still measured consistently. The extra triage time </w:t>
      </w:r>
      <w:r w:rsidR="00087A96">
        <w:t xml:space="preserve">in the pilot </w:t>
      </w:r>
      <w:r>
        <w:t>may have increased the proportion of calls closed with telephone advice. For SWAS</w:t>
      </w:r>
      <w:r w:rsidR="000D4CAE">
        <w:t>,</w:t>
      </w:r>
      <w:r>
        <w:t xml:space="preserve"> this </w:t>
      </w:r>
      <w:r w:rsidR="000D4CAE">
        <w:t xml:space="preserve">was </w:t>
      </w:r>
      <w:r w:rsidR="005B7945" w:rsidRPr="005B7945">
        <w:t xml:space="preserve">12.2% </w:t>
      </w:r>
      <w:r w:rsidR="000D4CAE">
        <w:t>in</w:t>
      </w:r>
      <w:r w:rsidR="005B7945">
        <w:t xml:space="preserve"> March </w:t>
      </w:r>
      <w:r w:rsidR="000D4CAE">
        <w:t xml:space="preserve">2015, its largest proportion </w:t>
      </w:r>
      <w:r w:rsidR="00096317">
        <w:t xml:space="preserve">since monthly data collection began </w:t>
      </w:r>
      <w:r w:rsidR="000D4CAE">
        <w:t xml:space="preserve">in </w:t>
      </w:r>
      <w:r w:rsidR="00096317">
        <w:t>April 2011</w:t>
      </w:r>
      <w:r w:rsidR="000D4CAE">
        <w:t xml:space="preserve">; it </w:t>
      </w:r>
      <w:r>
        <w:t xml:space="preserve">was </w:t>
      </w:r>
      <w:r w:rsidR="000D4CAE">
        <w:t xml:space="preserve">always less than 8% before November 2014. </w:t>
      </w:r>
    </w:p>
    <w:p w:rsidR="003A0D0C" w:rsidRPr="00127FD0" w:rsidRDefault="003A0D0C" w:rsidP="003A0D0C">
      <w:pPr>
        <w:pStyle w:val="Heading3"/>
      </w:pPr>
      <w:r>
        <w:t>A</w:t>
      </w:r>
      <w:r w:rsidR="00D4605E">
        <w:t>5</w:t>
      </w:r>
      <w:r>
        <w:tab/>
      </w:r>
      <w:r w:rsidRPr="00151AF2">
        <w:t xml:space="preserve">Systems </w:t>
      </w:r>
      <w:r>
        <w:t xml:space="preserve">Indicators: Ambulance volumes (Figure </w:t>
      </w:r>
      <w:r w:rsidR="00177CDB">
        <w:t>4</w:t>
      </w:r>
      <w:r>
        <w:t>)</w:t>
      </w:r>
    </w:p>
    <w:p w:rsidR="00191AB9" w:rsidRDefault="00191AB9" w:rsidP="00191AB9">
      <w:r w:rsidRPr="001B68DB">
        <w:t>The number</w:t>
      </w:r>
      <w:r>
        <w:rPr>
          <w:rStyle w:val="FootnoteReference"/>
        </w:rPr>
        <w:footnoteReference w:id="5"/>
      </w:r>
      <w:r w:rsidRPr="001B68DB">
        <w:t xml:space="preserve"> of emergency</w:t>
      </w:r>
      <w:r>
        <w:t xml:space="preserve"> telephone</w:t>
      </w:r>
      <w:r w:rsidRPr="001B68DB">
        <w:t xml:space="preserve"> calls presented to switchboard</w:t>
      </w:r>
      <w:r w:rsidRPr="004D3B3C">
        <w:t xml:space="preserve"> </w:t>
      </w:r>
      <w:r>
        <w:t xml:space="preserve">in </w:t>
      </w:r>
      <w:r w:rsidR="003A2736">
        <w:t xml:space="preserve">March </w:t>
      </w:r>
      <w:r>
        <w:t xml:space="preserve">2015 was </w:t>
      </w:r>
      <w:r w:rsidR="00767475" w:rsidRPr="00767475">
        <w:t>694,188</w:t>
      </w:r>
      <w:r w:rsidR="009141A4">
        <w:t xml:space="preserve">, </w:t>
      </w:r>
      <w:r w:rsidR="00177CDB">
        <w:t>an average of</w:t>
      </w:r>
      <w:r>
        <w:t xml:space="preserve"> 22</w:t>
      </w:r>
      <w:r w:rsidRPr="005B7C87">
        <w:t xml:space="preserve"> thousand per day</w:t>
      </w:r>
      <w:r w:rsidR="00A32B3E">
        <w:t xml:space="preserve">. However, </w:t>
      </w:r>
      <w:r w:rsidR="002F09FA">
        <w:t xml:space="preserve">that excludes </w:t>
      </w:r>
      <w:r w:rsidR="00A32B3E">
        <w:t>East of England</w:t>
      </w:r>
      <w:r w:rsidR="009141A4">
        <w:t xml:space="preserve"> </w:t>
      </w:r>
      <w:r w:rsidR="00A32B3E">
        <w:t>(</w:t>
      </w:r>
      <w:r w:rsidR="009141A4">
        <w:t>normally about 10% of calls in England</w:t>
      </w:r>
      <w:r w:rsidR="00A32B3E">
        <w:t>)</w:t>
      </w:r>
      <w:r w:rsidR="009141A4">
        <w:t xml:space="preserve"> </w:t>
      </w:r>
      <w:r w:rsidR="002F09FA">
        <w:t xml:space="preserve">which </w:t>
      </w:r>
      <w:r w:rsidR="009141A4">
        <w:t>did not provide</w:t>
      </w:r>
      <w:r w:rsidR="002F09FA">
        <w:t xml:space="preserve"> data</w:t>
      </w:r>
      <w:r w:rsidR="009141A4">
        <w:t xml:space="preserve">, so the average would probably have been </w:t>
      </w:r>
      <w:r w:rsidR="00305EA9">
        <w:t>close to</w:t>
      </w:r>
      <w:r w:rsidR="009141A4">
        <w:t xml:space="preserve"> </w:t>
      </w:r>
      <w:r>
        <w:t xml:space="preserve">the </w:t>
      </w:r>
      <w:r w:rsidR="00305EA9">
        <w:t xml:space="preserve">2014 </w:t>
      </w:r>
      <w:r>
        <w:t xml:space="preserve">average </w:t>
      </w:r>
      <w:r w:rsidR="00177CDB">
        <w:t>of 24 thousand per day.</w:t>
      </w:r>
    </w:p>
    <w:p w:rsidR="00191AB9" w:rsidRPr="008E5931" w:rsidRDefault="00A32B3E" w:rsidP="00191AB9">
      <w:pPr>
        <w:rPr>
          <w:rFonts w:cs="Arial"/>
        </w:rPr>
      </w:pPr>
      <w:r>
        <w:t xml:space="preserve">There were </w:t>
      </w:r>
      <w:r w:rsidR="00767475" w:rsidRPr="00767475">
        <w:t xml:space="preserve">398,438 </w:t>
      </w:r>
      <w:r>
        <w:t xml:space="preserve">incidents requiring </w:t>
      </w:r>
      <w:r w:rsidR="00191AB9">
        <w:t>emergency patient journeys to Type 1 or Type 2 A&amp;E</w:t>
      </w:r>
      <w:r w:rsidR="00191AB9">
        <w:rPr>
          <w:rStyle w:val="FootnoteReference"/>
        </w:rPr>
        <w:footnoteReference w:id="6"/>
      </w:r>
      <w:r w:rsidR="00191AB9">
        <w:t xml:space="preserve"> in </w:t>
      </w:r>
      <w:r w:rsidR="00767475">
        <w:t xml:space="preserve">March </w:t>
      </w:r>
      <w:r w:rsidR="00191AB9">
        <w:t xml:space="preserve">2015, </w:t>
      </w:r>
      <w:r w:rsidR="002F09FA">
        <w:t xml:space="preserve">an average </w:t>
      </w:r>
      <w:r w:rsidR="00F23C98">
        <w:t xml:space="preserve">of </w:t>
      </w:r>
      <w:r w:rsidR="00191AB9" w:rsidRPr="00474435">
        <w:t>1</w:t>
      </w:r>
      <w:r w:rsidR="00191AB9">
        <w:t>3 thousand</w:t>
      </w:r>
      <w:r w:rsidR="00191AB9" w:rsidRPr="00474435">
        <w:t xml:space="preserve"> </w:t>
      </w:r>
      <w:r w:rsidR="00191AB9">
        <w:t>per day</w:t>
      </w:r>
      <w:r w:rsidR="00177CDB">
        <w:t>, the same as in</w:t>
      </w:r>
      <w:r w:rsidR="002F09FA">
        <w:t xml:space="preserve"> all other </w:t>
      </w:r>
      <w:r w:rsidR="00177CDB">
        <w:t>months of 2014</w:t>
      </w:r>
      <w:r w:rsidR="002F09FA">
        <w:t>-15</w:t>
      </w:r>
      <w:r w:rsidR="00191AB9">
        <w:t>.</w:t>
      </w:r>
    </w:p>
    <w:p w:rsidR="00191AB9" w:rsidRDefault="003C24D1" w:rsidP="00191AB9">
      <w:r>
        <w:t xml:space="preserve">There were </w:t>
      </w:r>
      <w:r w:rsidR="00767475" w:rsidRPr="00767475">
        <w:t xml:space="preserve">266,371 </w:t>
      </w:r>
      <w:r>
        <w:t xml:space="preserve">Category A </w:t>
      </w:r>
      <w:r w:rsidR="00191AB9">
        <w:t>calls that resulted in a</w:t>
      </w:r>
      <w:r>
        <w:t xml:space="preserve"> full</w:t>
      </w:r>
      <w:r w:rsidR="009207F3">
        <w:t>y</w:t>
      </w:r>
      <w:r>
        <w:t>-equipped</w:t>
      </w:r>
      <w:r w:rsidR="00191AB9">
        <w:t xml:space="preserve"> ambulance </w:t>
      </w:r>
      <w:r>
        <w:t xml:space="preserve">vehicle </w:t>
      </w:r>
      <w:r w:rsidR="00191AB9">
        <w:t xml:space="preserve">arriving at the scene </w:t>
      </w:r>
      <w:r>
        <w:t xml:space="preserve">of the incident in </w:t>
      </w:r>
      <w:r w:rsidR="00767475">
        <w:t xml:space="preserve">March </w:t>
      </w:r>
      <w:r>
        <w:t xml:space="preserve">2015. With the exception of </w:t>
      </w:r>
      <w:r>
        <w:lastRenderedPageBreak/>
        <w:t xml:space="preserve">temporary increases each December, this </w:t>
      </w:r>
      <w:r w:rsidR="00E42D55">
        <w:t>measure</w:t>
      </w:r>
      <w:r>
        <w:t xml:space="preserve"> has increased steadily over the last four years</w:t>
      </w:r>
      <w:r w:rsidR="00191AB9">
        <w:t xml:space="preserve">. </w:t>
      </w:r>
      <w:r>
        <w:t>The</w:t>
      </w:r>
      <w:r w:rsidR="00177CDB">
        <w:t xml:space="preserve"> average </w:t>
      </w:r>
      <w:r>
        <w:t xml:space="preserve">for </w:t>
      </w:r>
      <w:r w:rsidR="00767475">
        <w:t>March</w:t>
      </w:r>
      <w:r>
        <w:t xml:space="preserve"> 2015 was </w:t>
      </w:r>
      <w:r w:rsidR="00767475" w:rsidRPr="00767475">
        <w:t xml:space="preserve">8,593 </w:t>
      </w:r>
      <w:r w:rsidR="00191AB9">
        <w:t>per day, fewer than</w:t>
      </w:r>
      <w:r w:rsidR="002F09FA">
        <w:t xml:space="preserve"> in</w:t>
      </w:r>
      <w:r w:rsidR="00191AB9">
        <w:t xml:space="preserve"> </w:t>
      </w:r>
      <w:r>
        <w:t xml:space="preserve">each of </w:t>
      </w:r>
      <w:r w:rsidR="00177CDB">
        <w:t>the previous</w:t>
      </w:r>
      <w:r w:rsidR="00767475">
        <w:t xml:space="preserve"> four </w:t>
      </w:r>
      <w:r w:rsidR="00177CDB">
        <w:t xml:space="preserve">months, but more </w:t>
      </w:r>
      <w:r>
        <w:t xml:space="preserve">than in </w:t>
      </w:r>
      <w:r w:rsidR="00177CDB">
        <w:t>e</w:t>
      </w:r>
      <w:r>
        <w:t>ach of the 43 months before those</w:t>
      </w:r>
      <w:r w:rsidR="00177CDB">
        <w:t>.</w:t>
      </w:r>
    </w:p>
    <w:p w:rsidR="00177CDB" w:rsidRDefault="0099142B" w:rsidP="00191AB9">
      <w:r>
        <w:rPr>
          <w:noProof/>
        </w:rPr>
        <w:drawing>
          <wp:inline distT="0" distB="0" distL="0" distR="0" wp14:anchorId="22186992">
            <wp:extent cx="5578475" cy="3853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853180"/>
                    </a:xfrm>
                    <a:prstGeom prst="rect">
                      <a:avLst/>
                    </a:prstGeom>
                    <a:noFill/>
                  </pic:spPr>
                </pic:pic>
              </a:graphicData>
            </a:graphic>
          </wp:inline>
        </w:drawing>
      </w:r>
    </w:p>
    <w:p w:rsidR="003A0D0C" w:rsidRDefault="003A0D0C" w:rsidP="003A0D0C">
      <w:pPr>
        <w:pStyle w:val="Heading3"/>
      </w:pPr>
      <w:r>
        <w:t>A</w:t>
      </w:r>
      <w:r w:rsidR="00D4605E">
        <w:t>6</w:t>
      </w:r>
      <w:r>
        <w:tab/>
      </w:r>
      <w:r w:rsidR="003C24D1">
        <w:t xml:space="preserve">Latest monthly data </w:t>
      </w:r>
      <w:r>
        <w:t xml:space="preserve">for </w:t>
      </w:r>
      <w:r w:rsidR="003C24D1">
        <w:t xml:space="preserve">other </w:t>
      </w:r>
      <w:r>
        <w:t>System</w:t>
      </w:r>
      <w:r w:rsidR="003C24D1">
        <w:t>s</w:t>
      </w:r>
      <w:r>
        <w:t xml:space="preserve"> Indicators </w:t>
      </w:r>
    </w:p>
    <w:tbl>
      <w:tblPr>
        <w:tblW w:w="9271" w:type="dxa"/>
        <w:tblLayout w:type="fixed"/>
        <w:tblCellMar>
          <w:left w:w="57" w:type="dxa"/>
          <w:right w:w="57" w:type="dxa"/>
        </w:tblCellMar>
        <w:tblLook w:val="04A0" w:firstRow="1" w:lastRow="0" w:firstColumn="1" w:lastColumn="0" w:noHBand="0" w:noVBand="1"/>
      </w:tblPr>
      <w:tblGrid>
        <w:gridCol w:w="3601"/>
        <w:gridCol w:w="1134"/>
        <w:gridCol w:w="1418"/>
        <w:gridCol w:w="850"/>
        <w:gridCol w:w="1418"/>
        <w:gridCol w:w="850"/>
      </w:tblGrid>
      <w:tr w:rsidR="003A0D0C" w:rsidTr="003507AC">
        <w:trPr>
          <w:trHeight w:val="279"/>
        </w:trPr>
        <w:tc>
          <w:tcPr>
            <w:tcW w:w="3601" w:type="dxa"/>
            <w:tcBorders>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E53110" w:rsidRDefault="003A0D0C" w:rsidP="00F23C98">
            <w:pPr>
              <w:pStyle w:val="Heading4"/>
            </w:pPr>
            <w:r w:rsidRPr="00E53110">
              <w:t>Lowest Trust</w:t>
            </w:r>
          </w:p>
        </w:tc>
        <w:tc>
          <w:tcPr>
            <w:tcW w:w="2268" w:type="dxa"/>
            <w:gridSpan w:val="2"/>
            <w:tcBorders>
              <w:left w:val="single" w:sz="4" w:space="0" w:color="auto"/>
              <w:bottom w:val="single" w:sz="4" w:space="0" w:color="auto"/>
            </w:tcBorders>
            <w:shd w:val="clear" w:color="auto" w:fill="auto"/>
            <w:vAlign w:val="center"/>
            <w:hideMark/>
          </w:tcPr>
          <w:p w:rsidR="003A0D0C" w:rsidRPr="00E53110" w:rsidRDefault="003A0D0C" w:rsidP="00F23C98">
            <w:pPr>
              <w:pStyle w:val="Heading4"/>
            </w:pPr>
            <w:r w:rsidRPr="00E53110">
              <w:t>Highest Trust</w:t>
            </w:r>
          </w:p>
        </w:tc>
      </w:tr>
      <w:tr w:rsidR="0037489E" w:rsidTr="003507AC">
        <w:trPr>
          <w:trHeight w:val="624"/>
        </w:trPr>
        <w:tc>
          <w:tcPr>
            <w:tcW w:w="3601" w:type="dxa"/>
            <w:tcBorders>
              <w:top w:val="single" w:sz="4" w:space="0" w:color="auto"/>
              <w:right w:val="single" w:sz="4" w:space="0" w:color="auto"/>
            </w:tcBorders>
            <w:shd w:val="clear" w:color="000000" w:fill="FFFFFF"/>
            <w:vAlign w:val="center"/>
            <w:hideMark/>
          </w:tcPr>
          <w:p w:rsidR="0032599C" w:rsidRPr="00E53110" w:rsidRDefault="0032599C" w:rsidP="009E4593">
            <w:pPr>
              <w:pStyle w:val="NoSpacing"/>
            </w:pPr>
            <w:r w:rsidRPr="00E53110">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E53110" w:rsidRDefault="007D2560" w:rsidP="00753EA9">
            <w:pPr>
              <w:pStyle w:val="NoSpacing"/>
              <w:jc w:val="right"/>
              <w:rPr>
                <w:sz w:val="22"/>
                <w:szCs w:val="22"/>
              </w:rPr>
            </w:pPr>
            <w:r w:rsidRPr="007D2560">
              <w:rPr>
                <w:szCs w:val="22"/>
              </w:rPr>
              <w:t>0.7%</w:t>
            </w:r>
            <w:r w:rsidR="0099142B">
              <w:rPr>
                <w:szCs w:val="22"/>
              </w:rPr>
              <w:t xml:space="preserve"> </w:t>
            </w:r>
            <w:r w:rsidR="0099142B">
              <w:rPr>
                <w:rStyle w:val="FootnoteReference"/>
                <w:szCs w:val="22"/>
              </w:rPr>
              <w:footnoteReference w:id="7"/>
            </w:r>
          </w:p>
        </w:tc>
        <w:tc>
          <w:tcPr>
            <w:tcW w:w="1418" w:type="dxa"/>
            <w:tcBorders>
              <w:top w:val="single" w:sz="4" w:space="0" w:color="auto"/>
              <w:left w:val="single" w:sz="4" w:space="0" w:color="auto"/>
            </w:tcBorders>
            <w:shd w:val="clear" w:color="000000" w:fill="FFFFFF"/>
            <w:vAlign w:val="center"/>
            <w:hideMark/>
          </w:tcPr>
          <w:p w:rsidR="0032599C" w:rsidRPr="00E53110" w:rsidRDefault="002F09FA" w:rsidP="002221E6">
            <w:pPr>
              <w:pStyle w:val="NoSpacing"/>
              <w:jc w:val="center"/>
              <w:rPr>
                <w:sz w:val="22"/>
                <w:szCs w:val="22"/>
              </w:rPr>
            </w:pPr>
            <w:r w:rsidRPr="007D2560">
              <w:rPr>
                <w:szCs w:val="22"/>
              </w:rPr>
              <w:t>East Midlands</w:t>
            </w:r>
          </w:p>
        </w:tc>
        <w:tc>
          <w:tcPr>
            <w:tcW w:w="850" w:type="dxa"/>
            <w:tcBorders>
              <w:top w:val="single" w:sz="4" w:space="0" w:color="auto"/>
              <w:right w:val="single" w:sz="4" w:space="0" w:color="auto"/>
            </w:tcBorders>
            <w:shd w:val="clear" w:color="000000" w:fill="FFFFFF"/>
            <w:vAlign w:val="center"/>
          </w:tcPr>
          <w:p w:rsidR="0032599C" w:rsidRPr="00E53110" w:rsidRDefault="0032599C" w:rsidP="00753EA9">
            <w:pPr>
              <w:pStyle w:val="NoSpacing"/>
              <w:jc w:val="right"/>
              <w:rPr>
                <w:sz w:val="22"/>
                <w:szCs w:val="22"/>
              </w:rPr>
            </w:pPr>
            <w:r w:rsidRPr="00753EA9">
              <w:rPr>
                <w:szCs w:val="22"/>
              </w:rPr>
              <w:t>0.1%</w:t>
            </w:r>
          </w:p>
        </w:tc>
        <w:tc>
          <w:tcPr>
            <w:tcW w:w="1418" w:type="dxa"/>
            <w:tcBorders>
              <w:top w:val="single" w:sz="4" w:space="0" w:color="auto"/>
              <w:left w:val="single" w:sz="4" w:space="0" w:color="auto"/>
            </w:tcBorders>
            <w:shd w:val="clear" w:color="000000" w:fill="FFFFFF"/>
            <w:vAlign w:val="center"/>
            <w:hideMark/>
          </w:tcPr>
          <w:p w:rsidR="0032599C" w:rsidRPr="00E53110" w:rsidRDefault="00F23C98" w:rsidP="002221E6">
            <w:pPr>
              <w:pStyle w:val="NoSpacing"/>
              <w:jc w:val="center"/>
              <w:rPr>
                <w:sz w:val="22"/>
                <w:szCs w:val="22"/>
              </w:rPr>
            </w:pPr>
            <w:r>
              <w:rPr>
                <w:szCs w:val="22"/>
              </w:rPr>
              <w:t xml:space="preserve">North West, </w:t>
            </w:r>
            <w:r w:rsidR="0037489E" w:rsidRPr="0037489E">
              <w:rPr>
                <w:szCs w:val="22"/>
              </w:rPr>
              <w:t>Yorkshire</w:t>
            </w:r>
          </w:p>
        </w:tc>
        <w:tc>
          <w:tcPr>
            <w:tcW w:w="850" w:type="dxa"/>
            <w:tcBorders>
              <w:top w:val="single" w:sz="4" w:space="0" w:color="auto"/>
            </w:tcBorders>
            <w:shd w:val="clear" w:color="000000" w:fill="FFFFFF"/>
            <w:vAlign w:val="center"/>
          </w:tcPr>
          <w:p w:rsidR="0032599C" w:rsidRPr="00E53110" w:rsidRDefault="007D2560" w:rsidP="00753EA9">
            <w:pPr>
              <w:pStyle w:val="NoSpacing"/>
              <w:jc w:val="right"/>
              <w:rPr>
                <w:sz w:val="22"/>
                <w:szCs w:val="22"/>
              </w:rPr>
            </w:pPr>
            <w:r w:rsidRPr="007D2560">
              <w:rPr>
                <w:szCs w:val="22"/>
              </w:rPr>
              <w:t>1.5%</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753EA9">
            <w:pPr>
              <w:pStyle w:val="NoSpacing"/>
              <w:jc w:val="right"/>
              <w:rPr>
                <w:sz w:val="22"/>
                <w:szCs w:val="22"/>
              </w:rPr>
            </w:pPr>
            <w:r w:rsidRPr="00753EA9">
              <w:rPr>
                <w:szCs w:val="22"/>
              </w:rPr>
              <w:t>8.9%</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North West</w:t>
            </w:r>
          </w:p>
        </w:tc>
        <w:tc>
          <w:tcPr>
            <w:tcW w:w="850" w:type="dxa"/>
            <w:tcBorders>
              <w:right w:val="single" w:sz="4" w:space="0" w:color="auto"/>
            </w:tcBorders>
            <w:shd w:val="clear" w:color="000000" w:fill="FFFFFF"/>
            <w:vAlign w:val="center"/>
          </w:tcPr>
          <w:p w:rsidR="0032599C" w:rsidRPr="00E53110" w:rsidRDefault="0037489E" w:rsidP="00F23C98">
            <w:pPr>
              <w:pStyle w:val="NoSpacing"/>
              <w:jc w:val="right"/>
              <w:rPr>
                <w:sz w:val="22"/>
                <w:szCs w:val="22"/>
              </w:rPr>
            </w:pPr>
            <w:r>
              <w:rPr>
                <w:szCs w:val="22"/>
              </w:rPr>
              <w:t>3</w:t>
            </w:r>
            <w:r w:rsidR="00F23C98">
              <w:rPr>
                <w:szCs w:val="22"/>
              </w:rPr>
              <w:t>.</w:t>
            </w:r>
            <w:r>
              <w:rPr>
                <w:szCs w:val="22"/>
              </w:rPr>
              <w:t>2</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37489E" w:rsidP="00753EA9">
            <w:pPr>
              <w:pStyle w:val="NoSpacing"/>
              <w:jc w:val="right"/>
              <w:rPr>
                <w:sz w:val="22"/>
                <w:szCs w:val="22"/>
              </w:rPr>
            </w:pPr>
            <w:r w:rsidRPr="0037489E">
              <w:rPr>
                <w:szCs w:val="22"/>
              </w:rPr>
              <w:t>14.7%</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E53110" w:rsidRDefault="0037489E" w:rsidP="00753EA9">
            <w:pPr>
              <w:pStyle w:val="NoSpacing"/>
              <w:jc w:val="right"/>
              <w:rPr>
                <w:sz w:val="22"/>
                <w:szCs w:val="22"/>
              </w:rPr>
            </w:pPr>
            <w:r>
              <w:rPr>
                <w:szCs w:val="22"/>
              </w:rPr>
              <w:t>36.3</w:t>
            </w:r>
            <w:r w:rsidR="0032599C"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North West</w:t>
            </w:r>
          </w:p>
        </w:tc>
        <w:tc>
          <w:tcPr>
            <w:tcW w:w="850" w:type="dxa"/>
            <w:tcBorders>
              <w:right w:val="single" w:sz="4" w:space="0" w:color="auto"/>
            </w:tcBorders>
            <w:shd w:val="clear" w:color="000000" w:fill="FFFFFF"/>
            <w:vAlign w:val="center"/>
          </w:tcPr>
          <w:p w:rsidR="0032599C" w:rsidRPr="00E53110" w:rsidRDefault="0037489E" w:rsidP="00753EA9">
            <w:pPr>
              <w:pStyle w:val="NoSpacing"/>
              <w:jc w:val="right"/>
              <w:rPr>
                <w:sz w:val="22"/>
                <w:szCs w:val="22"/>
              </w:rPr>
            </w:pPr>
            <w:r w:rsidRPr="0037489E">
              <w:rPr>
                <w:szCs w:val="22"/>
              </w:rPr>
              <w:t>25.7%</w:t>
            </w:r>
          </w:p>
        </w:tc>
        <w:tc>
          <w:tcPr>
            <w:tcW w:w="1418" w:type="dxa"/>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753EA9">
              <w:rPr>
                <w:szCs w:val="22"/>
              </w:rPr>
              <w:t>South Western</w:t>
            </w:r>
          </w:p>
        </w:tc>
        <w:tc>
          <w:tcPr>
            <w:tcW w:w="850" w:type="dxa"/>
            <w:shd w:val="clear" w:color="000000" w:fill="FFFFFF"/>
            <w:vAlign w:val="center"/>
          </w:tcPr>
          <w:p w:rsidR="0032599C" w:rsidRPr="00E53110" w:rsidRDefault="0037489E" w:rsidP="00753EA9">
            <w:pPr>
              <w:pStyle w:val="NoSpacing"/>
              <w:jc w:val="right"/>
              <w:rPr>
                <w:sz w:val="22"/>
                <w:szCs w:val="22"/>
              </w:rPr>
            </w:pPr>
            <w:r w:rsidRPr="0037489E">
              <w:rPr>
                <w:szCs w:val="22"/>
              </w:rPr>
              <w:t>51.8%</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bookmarkStart w:id="1" w:name="RANGE!A22"/>
            <w:r w:rsidRPr="00E53110">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37489E">
            <w:pPr>
              <w:pStyle w:val="NoSpacing"/>
              <w:jc w:val="right"/>
              <w:rPr>
                <w:sz w:val="22"/>
                <w:szCs w:val="22"/>
              </w:rPr>
            </w:pPr>
            <w:r w:rsidRPr="00753EA9">
              <w:rPr>
                <w:szCs w:val="22"/>
              </w:rPr>
              <w:t>7.</w:t>
            </w:r>
            <w:r w:rsidR="0037489E">
              <w:rPr>
                <w:szCs w:val="22"/>
              </w:rPr>
              <w:t>9</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191AB9">
            <w:pPr>
              <w:pStyle w:val="NoSpacing"/>
              <w:jc w:val="center"/>
              <w:rPr>
                <w:sz w:val="22"/>
                <w:szCs w:val="22"/>
              </w:rPr>
            </w:pPr>
            <w:r w:rsidRPr="00753EA9">
              <w:rPr>
                <w:szCs w:val="22"/>
              </w:rPr>
              <w:t>London</w:t>
            </w:r>
          </w:p>
        </w:tc>
        <w:tc>
          <w:tcPr>
            <w:tcW w:w="850" w:type="dxa"/>
            <w:tcBorders>
              <w:right w:val="single" w:sz="4" w:space="0" w:color="auto"/>
            </w:tcBorders>
            <w:shd w:val="clear" w:color="000000" w:fill="FFFFFF"/>
            <w:vAlign w:val="center"/>
          </w:tcPr>
          <w:p w:rsidR="0032599C" w:rsidRPr="00E53110" w:rsidRDefault="0037489E" w:rsidP="00753EA9">
            <w:pPr>
              <w:pStyle w:val="NoSpacing"/>
              <w:jc w:val="right"/>
              <w:rPr>
                <w:sz w:val="22"/>
                <w:szCs w:val="22"/>
              </w:rPr>
            </w:pPr>
            <w:r w:rsidRPr="0037489E">
              <w:rPr>
                <w:szCs w:val="22"/>
              </w:rPr>
              <w:t>3.0%</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North East</w:t>
            </w:r>
          </w:p>
        </w:tc>
        <w:tc>
          <w:tcPr>
            <w:tcW w:w="850" w:type="dxa"/>
            <w:shd w:val="clear" w:color="000000" w:fill="FFFFFF"/>
            <w:vAlign w:val="center"/>
          </w:tcPr>
          <w:p w:rsidR="0032599C" w:rsidRPr="00E53110" w:rsidRDefault="0037489E" w:rsidP="00753EA9">
            <w:pPr>
              <w:pStyle w:val="NoSpacing"/>
              <w:jc w:val="right"/>
              <w:rPr>
                <w:sz w:val="22"/>
                <w:szCs w:val="22"/>
              </w:rPr>
            </w:pPr>
            <w:r w:rsidRPr="0037489E">
              <w:rPr>
                <w:szCs w:val="22"/>
              </w:rPr>
              <w:t>14.4%</w:t>
            </w:r>
          </w:p>
        </w:tc>
      </w:tr>
      <w:tr w:rsidR="0037489E" w:rsidTr="003507AC">
        <w:trPr>
          <w:trHeight w:val="624"/>
        </w:trPr>
        <w:tc>
          <w:tcPr>
            <w:tcW w:w="3601" w:type="dxa"/>
            <w:tcBorders>
              <w:right w:val="single" w:sz="4" w:space="0" w:color="auto"/>
            </w:tcBorders>
            <w:shd w:val="clear" w:color="000000" w:fill="FFFFFF"/>
            <w:vAlign w:val="center"/>
            <w:hideMark/>
          </w:tcPr>
          <w:p w:rsidR="0032599C" w:rsidRPr="00E53110" w:rsidRDefault="0032599C" w:rsidP="009E4593">
            <w:pPr>
              <w:pStyle w:val="NoSpacing"/>
            </w:pPr>
            <w:r w:rsidRPr="00E53110">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E53110" w:rsidRDefault="0032599C" w:rsidP="0037489E">
            <w:pPr>
              <w:pStyle w:val="NoSpacing"/>
              <w:jc w:val="right"/>
              <w:rPr>
                <w:sz w:val="22"/>
                <w:szCs w:val="22"/>
              </w:rPr>
            </w:pPr>
            <w:r w:rsidRPr="00753EA9">
              <w:rPr>
                <w:szCs w:val="22"/>
              </w:rPr>
              <w:t>5.</w:t>
            </w:r>
            <w:r w:rsidR="0037489E">
              <w:rPr>
                <w:szCs w:val="22"/>
              </w:rPr>
              <w:t>6</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7489E" w:rsidP="002221E6">
            <w:pPr>
              <w:pStyle w:val="NoSpacing"/>
              <w:jc w:val="center"/>
              <w:rPr>
                <w:sz w:val="22"/>
                <w:szCs w:val="22"/>
              </w:rPr>
            </w:pPr>
            <w:r>
              <w:rPr>
                <w:szCs w:val="22"/>
              </w:rPr>
              <w:t>York</w:t>
            </w:r>
            <w:r w:rsidR="0032599C" w:rsidRPr="00753EA9">
              <w:rPr>
                <w:szCs w:val="22"/>
              </w:rPr>
              <w:t>shire</w:t>
            </w:r>
            <w:r w:rsidR="0099142B">
              <w:rPr>
                <w:szCs w:val="22"/>
              </w:rPr>
              <w:t xml:space="preserve"> </w:t>
            </w:r>
            <w:r w:rsidR="00D6205D">
              <w:rPr>
                <w:rStyle w:val="FootnoteReference"/>
                <w:rFonts w:cs="Arial"/>
              </w:rPr>
              <w:footnoteReference w:id="8"/>
            </w:r>
          </w:p>
        </w:tc>
        <w:tc>
          <w:tcPr>
            <w:tcW w:w="850" w:type="dxa"/>
            <w:tcBorders>
              <w:right w:val="single" w:sz="4" w:space="0" w:color="auto"/>
            </w:tcBorders>
            <w:shd w:val="clear" w:color="000000" w:fill="FFFFFF"/>
            <w:vAlign w:val="center"/>
          </w:tcPr>
          <w:p w:rsidR="0032599C" w:rsidRPr="00E53110" w:rsidRDefault="0032599C" w:rsidP="0037489E">
            <w:pPr>
              <w:pStyle w:val="NoSpacing"/>
              <w:jc w:val="right"/>
              <w:rPr>
                <w:sz w:val="22"/>
                <w:szCs w:val="22"/>
              </w:rPr>
            </w:pPr>
            <w:r w:rsidRPr="00753EA9">
              <w:rPr>
                <w:szCs w:val="22"/>
              </w:rPr>
              <w:t>3.</w:t>
            </w:r>
            <w:r w:rsidR="0037489E">
              <w:rPr>
                <w:szCs w:val="22"/>
              </w:rPr>
              <w:t>5</w:t>
            </w:r>
            <w:r w:rsidRPr="00753EA9">
              <w:rPr>
                <w:szCs w:val="22"/>
              </w:rPr>
              <w:t>%</w:t>
            </w:r>
          </w:p>
        </w:tc>
        <w:tc>
          <w:tcPr>
            <w:tcW w:w="1418" w:type="dxa"/>
            <w:tcBorders>
              <w:left w:val="single" w:sz="4" w:space="0" w:color="auto"/>
            </w:tcBorders>
            <w:shd w:val="clear" w:color="000000" w:fill="FFFFFF"/>
            <w:vAlign w:val="center"/>
            <w:hideMark/>
          </w:tcPr>
          <w:p w:rsidR="0032599C" w:rsidRPr="00E53110" w:rsidRDefault="0032599C" w:rsidP="002221E6">
            <w:pPr>
              <w:pStyle w:val="NoSpacing"/>
              <w:jc w:val="center"/>
              <w:rPr>
                <w:sz w:val="22"/>
                <w:szCs w:val="22"/>
              </w:rPr>
            </w:pPr>
            <w:r w:rsidRPr="00753EA9">
              <w:rPr>
                <w:szCs w:val="22"/>
              </w:rPr>
              <w:t>London</w:t>
            </w:r>
          </w:p>
        </w:tc>
        <w:tc>
          <w:tcPr>
            <w:tcW w:w="850" w:type="dxa"/>
            <w:shd w:val="clear" w:color="000000" w:fill="FFFFFF"/>
            <w:vAlign w:val="center"/>
          </w:tcPr>
          <w:p w:rsidR="0032599C" w:rsidRPr="00E53110" w:rsidRDefault="00D6205D" w:rsidP="00753EA9">
            <w:pPr>
              <w:pStyle w:val="NoSpacing"/>
              <w:jc w:val="right"/>
              <w:rPr>
                <w:sz w:val="22"/>
                <w:szCs w:val="22"/>
              </w:rPr>
            </w:pPr>
            <w:r w:rsidRPr="00D6205D">
              <w:rPr>
                <w:szCs w:val="22"/>
              </w:rPr>
              <w:t>7.7%</w:t>
            </w:r>
          </w:p>
        </w:tc>
      </w:tr>
      <w:tr w:rsidR="0037489E" w:rsidTr="003507AC">
        <w:trPr>
          <w:trHeight w:val="624"/>
        </w:trPr>
        <w:tc>
          <w:tcPr>
            <w:tcW w:w="3601" w:type="dxa"/>
            <w:tcBorders>
              <w:bottom w:val="single" w:sz="4" w:space="0" w:color="auto"/>
              <w:right w:val="single" w:sz="4" w:space="0" w:color="auto"/>
            </w:tcBorders>
            <w:shd w:val="clear" w:color="auto" w:fill="auto"/>
            <w:vAlign w:val="center"/>
            <w:hideMark/>
          </w:tcPr>
          <w:p w:rsidR="0032599C" w:rsidRPr="00E53110" w:rsidRDefault="0032599C" w:rsidP="009E4593">
            <w:pPr>
              <w:pStyle w:val="NoSpacing"/>
            </w:pPr>
            <w:r w:rsidRPr="00E53110">
              <w:t>Number of emergency journeys</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E53110" w:rsidRDefault="00D6205D" w:rsidP="00753EA9">
            <w:pPr>
              <w:pStyle w:val="NoSpacing"/>
              <w:jc w:val="right"/>
              <w:rPr>
                <w:sz w:val="22"/>
                <w:szCs w:val="22"/>
              </w:rPr>
            </w:pPr>
            <w:r w:rsidRPr="00D6205D">
              <w:rPr>
                <w:szCs w:val="22"/>
              </w:rPr>
              <w:t>398,438</w:t>
            </w:r>
          </w:p>
        </w:tc>
        <w:tc>
          <w:tcPr>
            <w:tcW w:w="1418" w:type="dxa"/>
            <w:tcBorders>
              <w:left w:val="single" w:sz="4" w:space="0" w:color="auto"/>
              <w:bottom w:val="single" w:sz="4" w:space="0" w:color="auto"/>
            </w:tcBorders>
            <w:shd w:val="clear" w:color="auto" w:fill="auto"/>
            <w:noWrap/>
            <w:vAlign w:val="center"/>
          </w:tcPr>
          <w:p w:rsidR="003507AC" w:rsidRDefault="0032599C" w:rsidP="003507AC">
            <w:pPr>
              <w:pStyle w:val="NoSpacing"/>
              <w:jc w:val="center"/>
            </w:pPr>
            <w:r w:rsidRPr="009E4593">
              <w:t xml:space="preserve"> North</w:t>
            </w:r>
          </w:p>
          <w:p w:rsidR="0032599C" w:rsidRPr="00E53110" w:rsidRDefault="0032599C" w:rsidP="003507AC">
            <w:pPr>
              <w:pStyle w:val="NoSpacing"/>
              <w:jc w:val="center"/>
              <w:rPr>
                <w:sz w:val="22"/>
                <w:szCs w:val="22"/>
              </w:rPr>
            </w:pPr>
            <w:r w:rsidRPr="009E4593">
              <w:t>East</w:t>
            </w:r>
            <w:r w:rsidR="0099142B">
              <w:t xml:space="preserve"> </w:t>
            </w:r>
            <w:r w:rsidR="0099142B">
              <w:rPr>
                <w:vertAlign w:val="superscript"/>
              </w:rPr>
              <w:t>8</w:t>
            </w:r>
          </w:p>
        </w:tc>
        <w:tc>
          <w:tcPr>
            <w:tcW w:w="850" w:type="dxa"/>
            <w:tcBorders>
              <w:bottom w:val="single" w:sz="4" w:space="0" w:color="auto"/>
              <w:right w:val="single" w:sz="4" w:space="0" w:color="auto"/>
            </w:tcBorders>
            <w:shd w:val="clear" w:color="auto" w:fill="auto"/>
            <w:vAlign w:val="center"/>
          </w:tcPr>
          <w:p w:rsidR="0032599C" w:rsidRPr="00E53110" w:rsidRDefault="00D6205D" w:rsidP="00753EA9">
            <w:pPr>
              <w:pStyle w:val="NoSpacing"/>
              <w:jc w:val="right"/>
              <w:rPr>
                <w:sz w:val="22"/>
                <w:szCs w:val="22"/>
              </w:rPr>
            </w:pPr>
            <w:r w:rsidRPr="00D6205D">
              <w:rPr>
                <w:szCs w:val="22"/>
              </w:rPr>
              <w:t>21,061</w:t>
            </w:r>
          </w:p>
        </w:tc>
        <w:tc>
          <w:tcPr>
            <w:tcW w:w="1418" w:type="dxa"/>
            <w:tcBorders>
              <w:left w:val="single" w:sz="4" w:space="0" w:color="auto"/>
              <w:bottom w:val="single" w:sz="4" w:space="0" w:color="auto"/>
            </w:tcBorders>
            <w:shd w:val="clear" w:color="auto" w:fill="auto"/>
            <w:noWrap/>
            <w:vAlign w:val="center"/>
          </w:tcPr>
          <w:p w:rsidR="0032599C" w:rsidRPr="00E53110" w:rsidRDefault="0032599C" w:rsidP="002221E6">
            <w:pPr>
              <w:pStyle w:val="NoSpacing"/>
              <w:jc w:val="center"/>
              <w:rPr>
                <w:sz w:val="22"/>
                <w:szCs w:val="22"/>
              </w:rPr>
            </w:pPr>
            <w:r w:rsidRPr="00753EA9">
              <w:rPr>
                <w:szCs w:val="22"/>
              </w:rPr>
              <w:t>London</w:t>
            </w:r>
          </w:p>
        </w:tc>
        <w:tc>
          <w:tcPr>
            <w:tcW w:w="850" w:type="dxa"/>
            <w:tcBorders>
              <w:bottom w:val="single" w:sz="4" w:space="0" w:color="auto"/>
            </w:tcBorders>
            <w:shd w:val="clear" w:color="auto" w:fill="auto"/>
            <w:vAlign w:val="center"/>
          </w:tcPr>
          <w:p w:rsidR="0032599C" w:rsidRPr="00E53110" w:rsidRDefault="00D6205D" w:rsidP="00753EA9">
            <w:pPr>
              <w:pStyle w:val="NoSpacing"/>
              <w:jc w:val="right"/>
              <w:rPr>
                <w:sz w:val="22"/>
                <w:szCs w:val="22"/>
              </w:rPr>
            </w:pPr>
            <w:r w:rsidRPr="00D6205D">
              <w:rPr>
                <w:szCs w:val="22"/>
              </w:rPr>
              <w:t>64,154</w:t>
            </w:r>
          </w:p>
        </w:tc>
      </w:tr>
    </w:tbl>
    <w:p w:rsidR="00F7048D" w:rsidRDefault="003B4AEC" w:rsidP="00F7048D">
      <w:pPr>
        <w:pStyle w:val="Heading3"/>
      </w:pPr>
      <w:r>
        <w:lastRenderedPageBreak/>
        <w:t>A7</w:t>
      </w:r>
      <w:r>
        <w:tab/>
      </w:r>
      <w:r w:rsidR="00FC6239">
        <w:t>Trust-level annual analysis</w:t>
      </w:r>
      <w:r>
        <w:t>: resolved without transport</w:t>
      </w:r>
      <w:r w:rsidR="00F7048D" w:rsidRPr="00F7048D">
        <w:t xml:space="preserve"> </w:t>
      </w:r>
    </w:p>
    <w:p w:rsidR="003B4AEC" w:rsidRDefault="00F7048D" w:rsidP="003B4AEC">
      <w:r>
        <w:t>Figure 5 shows, of all calls that receive a telephone or face-to-face response from the ambulance service, the proportion resolved by telephone advice. This is sometimes referred to as “hear and treat”. For all England, this has increased from 5% in 2011-12 to 8% in 2014-15.</w:t>
      </w:r>
    </w:p>
    <w:p w:rsidR="003B4AEC" w:rsidRPr="00554203" w:rsidRDefault="003B4AEC" w:rsidP="003B4AEC">
      <w:r>
        <w:t xml:space="preserve">In 2014-15, London had the largest proportion, 13%. South East Coast had the second largest in 2014-15, 11%, and the largest proportions in 2012-13 and 2013-14. </w:t>
      </w:r>
      <w:r w:rsidR="00D348E4">
        <w:t xml:space="preserve">In all four years shown, </w:t>
      </w:r>
      <w:r>
        <w:t xml:space="preserve">North West </w:t>
      </w:r>
      <w:r w:rsidR="00D348E4">
        <w:t xml:space="preserve">was lowest, </w:t>
      </w:r>
      <w:r>
        <w:t>and never more than 4%.</w:t>
      </w:r>
    </w:p>
    <w:p w:rsidR="003B4AEC" w:rsidRDefault="003B4AEC" w:rsidP="009E4593">
      <w:pPr>
        <w:pStyle w:val="Heading5"/>
      </w:pPr>
      <w:r>
        <w:t>Figure 5: Calls resolved by telephone advice</w:t>
      </w:r>
    </w:p>
    <w:p w:rsidR="00D348E4" w:rsidRDefault="0099142B" w:rsidP="00D348E4">
      <w:r>
        <w:rPr>
          <w:noProof/>
        </w:rPr>
        <w:drawing>
          <wp:inline distT="0" distB="0" distL="0" distR="0" wp14:anchorId="15BDCCEF">
            <wp:extent cx="5706110" cy="2170430"/>
            <wp:effectExtent l="0" t="0" r="889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6110" cy="2170430"/>
                    </a:xfrm>
                    <a:prstGeom prst="rect">
                      <a:avLst/>
                    </a:prstGeom>
                    <a:noFill/>
                  </pic:spPr>
                </pic:pic>
              </a:graphicData>
            </a:graphic>
          </wp:inline>
        </w:drawing>
      </w:r>
    </w:p>
    <w:p w:rsidR="003B4AEC" w:rsidRDefault="003B4AEC" w:rsidP="009E4593">
      <w:pPr>
        <w:pStyle w:val="Heading5"/>
      </w:pPr>
      <w:r>
        <w:t>Figure 6: Calls where no patients taken to Type 1 or Type 2 A&amp;E</w:t>
      </w:r>
    </w:p>
    <w:p w:rsidR="00F7048D" w:rsidRDefault="0099142B" w:rsidP="009207F3">
      <w:r>
        <w:rPr>
          <w:noProof/>
        </w:rPr>
        <w:drawing>
          <wp:inline distT="0" distB="0" distL="0" distR="0" wp14:anchorId="10B73131">
            <wp:extent cx="5712460" cy="2170430"/>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2460" cy="2170430"/>
                    </a:xfrm>
                    <a:prstGeom prst="rect">
                      <a:avLst/>
                    </a:prstGeom>
                    <a:noFill/>
                  </pic:spPr>
                </pic:pic>
              </a:graphicData>
            </a:graphic>
          </wp:inline>
        </w:drawing>
      </w:r>
    </w:p>
    <w:p w:rsidR="003B4AEC" w:rsidRDefault="003B4AEC" w:rsidP="003B4AEC">
      <w:r>
        <w:t>Figure 6 shows, of all calls that receive a face-to-face response from the ambulance service, the proportion where no patients were taken to a Type 1 or Type 2 A&amp;E. This is sometimes referred to as “see and treat”.</w:t>
      </w:r>
    </w:p>
    <w:p w:rsidR="00FF4218" w:rsidRDefault="00FF4218" w:rsidP="00FF4218">
      <w:r>
        <w:t xml:space="preserve">Such patients are taken elsewhere (such as a minor injuries unit), or referred to an alternative care pathway, or discharged after treatment at the scene. Across </w:t>
      </w:r>
      <w:r w:rsidR="003B4AEC">
        <w:t xml:space="preserve">the whole of England, </w:t>
      </w:r>
      <w:r>
        <w:t>the proportion not taken to Type 1 or Type 2 A&amp;E increased slowly from 34% in 2011-12 to 37% in 2014-15.</w:t>
      </w:r>
    </w:p>
    <w:p w:rsidR="00FF4218" w:rsidRDefault="00FF4218" w:rsidP="00FF4218">
      <w:r>
        <w:lastRenderedPageBreak/>
        <w:t xml:space="preserve">In all four years the highest proportion was in South Western, with 52% in the last two years. The lowest proportion in each year was in North West, despite this </w:t>
      </w:r>
      <w:r w:rsidR="00D348E4">
        <w:t xml:space="preserve">measure </w:t>
      </w:r>
      <w:r>
        <w:t xml:space="preserve">increasing </w:t>
      </w:r>
      <w:r w:rsidR="00D348E4">
        <w:t xml:space="preserve">there </w:t>
      </w:r>
      <w:r>
        <w:t>from 19% in 2011-12 to 27% in 2014-15.</w:t>
      </w:r>
    </w:p>
    <w:p w:rsidR="003B4AEC" w:rsidRDefault="003B4AEC" w:rsidP="003B4AEC">
      <w:pPr>
        <w:pStyle w:val="Heading3"/>
      </w:pPr>
      <w:r>
        <w:t>A</w:t>
      </w:r>
      <w:r w:rsidR="00EB18A7">
        <w:t>8</w:t>
      </w:r>
      <w:r>
        <w:tab/>
        <w:t>Trust-level annual analysis: re-contacts</w:t>
      </w:r>
      <w:r w:rsidRPr="00F7048D">
        <w:t xml:space="preserve"> </w:t>
      </w:r>
    </w:p>
    <w:p w:rsidR="003B4AEC" w:rsidRDefault="003B4AEC" w:rsidP="003B4AEC">
      <w:r>
        <w:t>Figure 7 shows, of all emergency calls that are closed with telephone advice, the proportion with at least one re-contact from the same address within 24 hours. For all England, this has reduced from 13% in 2011-12 and 2012-13 to 10% in 2013-14 and 8% in 2014-15.</w:t>
      </w:r>
    </w:p>
    <w:p w:rsidR="003B4AEC" w:rsidRPr="001F634A" w:rsidRDefault="003B4AEC" w:rsidP="003B4AEC">
      <w:r>
        <w:t xml:space="preserve">This measure was highest in North West in 2011-12 and 2012-13, which had more than 30% in those years, but 13% </w:t>
      </w:r>
      <w:r w:rsidR="00D348E4">
        <w:t xml:space="preserve">in 2013-14 </w:t>
      </w:r>
      <w:r>
        <w:t>and 11% in 2014-15. Yorkshire also had proportions of 20% or more in 2011-12 and 2012-13, but its proportions in 2013-14 and 2014-15 were both 6%. This measure was lowest in London in 2013-14 and 2014-15, with 2% each year.</w:t>
      </w:r>
    </w:p>
    <w:p w:rsidR="003B4AEC" w:rsidRDefault="003B4AEC" w:rsidP="009E4593">
      <w:pPr>
        <w:pStyle w:val="Heading5"/>
      </w:pPr>
      <w:r>
        <w:t>Figure 7: Re-contacts following calls closed with telephone advice</w:t>
      </w:r>
    </w:p>
    <w:p w:rsidR="00D348E4" w:rsidRDefault="000F5FB4" w:rsidP="00D348E4">
      <w:r>
        <w:rPr>
          <w:noProof/>
        </w:rPr>
        <w:drawing>
          <wp:inline distT="0" distB="0" distL="0" distR="0" wp14:anchorId="08EB0A8E">
            <wp:extent cx="5767070" cy="2170430"/>
            <wp:effectExtent l="0" t="0" r="508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2170430"/>
                    </a:xfrm>
                    <a:prstGeom prst="rect">
                      <a:avLst/>
                    </a:prstGeom>
                    <a:noFill/>
                  </pic:spPr>
                </pic:pic>
              </a:graphicData>
            </a:graphic>
          </wp:inline>
        </w:drawing>
      </w:r>
    </w:p>
    <w:p w:rsidR="0026352B" w:rsidRDefault="003B4AEC" w:rsidP="00D348E4">
      <w:pPr>
        <w:pStyle w:val="Heading5"/>
      </w:pPr>
      <w:r>
        <w:t>Figure 8: Re-contacts following discharge on scene</w:t>
      </w:r>
    </w:p>
    <w:p w:rsidR="00C061B2" w:rsidRDefault="000F5FB4" w:rsidP="00C061B2">
      <w:r>
        <w:rPr>
          <w:noProof/>
        </w:rPr>
        <w:drawing>
          <wp:inline distT="0" distB="0" distL="0" distR="0" wp14:anchorId="3FFD0D13">
            <wp:extent cx="5761355" cy="21704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170430"/>
                    </a:xfrm>
                    <a:prstGeom prst="rect">
                      <a:avLst/>
                    </a:prstGeom>
                    <a:noFill/>
                  </pic:spPr>
                </pic:pic>
              </a:graphicData>
            </a:graphic>
          </wp:inline>
        </w:drawing>
      </w:r>
    </w:p>
    <w:p w:rsidR="00D57887" w:rsidRDefault="00652737" w:rsidP="00C061B2">
      <w:r>
        <w:t xml:space="preserve">Figure </w:t>
      </w:r>
      <w:r w:rsidR="009132F3">
        <w:t>8</w:t>
      </w:r>
      <w:r>
        <w:t xml:space="preserve"> shows, of </w:t>
      </w:r>
      <w:r w:rsidR="00156A47">
        <w:t>all patients treated and discharged on the scene, the proportion that re-contact on the telephone within 24 hours of the initial call. This is stable at 5% or 6% across England fo</w:t>
      </w:r>
      <w:r w:rsidR="00D57887">
        <w:t>r each year 2011-12 to 2014-15.</w:t>
      </w:r>
    </w:p>
    <w:p w:rsidR="00652737" w:rsidRDefault="00156A47" w:rsidP="00C061B2">
      <w:r>
        <w:lastRenderedPageBreak/>
        <w:t xml:space="preserve">Yorkshire had the highest proportion in 2011-12 and 2012-13 </w:t>
      </w:r>
      <w:r w:rsidR="00D57887">
        <w:t>with more than 8%, but less than 5% in 2013-14 and 2014-15, so London was highest in 2014-15 with 8%. Isle of Wight was lowest in all four years, always less than 4%.</w:t>
      </w:r>
    </w:p>
    <w:p w:rsidR="00FC6239" w:rsidRDefault="00EB18A7" w:rsidP="00950A7E">
      <w:pPr>
        <w:pStyle w:val="Heading3"/>
      </w:pPr>
      <w:r>
        <w:t>A9</w:t>
      </w:r>
      <w:r w:rsidR="009132F3">
        <w:tab/>
      </w:r>
      <w:r w:rsidR="00FC6239">
        <w:t xml:space="preserve">Trust-level annual analysis: </w:t>
      </w:r>
      <w:r w:rsidR="009132F3">
        <w:t xml:space="preserve">Volumes of </w:t>
      </w:r>
      <w:r w:rsidR="00FC6239">
        <w:t>Category A arrivals on scene</w:t>
      </w:r>
    </w:p>
    <w:p w:rsidR="00FC6239" w:rsidRDefault="00FC6239" w:rsidP="00FC6239">
      <w:r>
        <w:t xml:space="preserve">Figure 9 </w:t>
      </w:r>
      <w:r w:rsidR="009132F3">
        <w:t xml:space="preserve">shows the </w:t>
      </w:r>
      <w:r w:rsidR="006F2263">
        <w:t xml:space="preserve">average numbers of </w:t>
      </w:r>
      <w:r>
        <w:t xml:space="preserve">calls </w:t>
      </w:r>
      <w:r w:rsidR="009132F3">
        <w:t xml:space="preserve">per day </w:t>
      </w:r>
      <w:r w:rsidR="006F2263">
        <w:t xml:space="preserve">which led to </w:t>
      </w:r>
      <w:r>
        <w:t>a Category A ambulance arriv</w:t>
      </w:r>
      <w:r w:rsidR="006F2263">
        <w:t>ing</w:t>
      </w:r>
      <w:r>
        <w:t xml:space="preserve"> at the scene</w:t>
      </w:r>
      <w:r w:rsidR="00B316A5">
        <w:t>. This</w:t>
      </w:r>
      <w:r w:rsidR="00F94C99">
        <w:t xml:space="preserve"> increased for a</w:t>
      </w:r>
      <w:r>
        <w:t>ll Ambulance Services between 2011-12 and 2012-13</w:t>
      </w:r>
      <w:r w:rsidR="00B316A5">
        <w:t>, and a</w:t>
      </w:r>
      <w:r>
        <w:t>ll except Isle of Wight had a further increase between 2012-13 and 2014-15.</w:t>
      </w:r>
    </w:p>
    <w:p w:rsidR="00FC6239" w:rsidRDefault="00FC6239" w:rsidP="00FC6239">
      <w:r>
        <w:t xml:space="preserve">London </w:t>
      </w:r>
      <w:r w:rsidR="00B316A5">
        <w:t>averaged 1</w:t>
      </w:r>
      <w:r w:rsidR="000F5FB4">
        <w:t>,</w:t>
      </w:r>
      <w:r w:rsidR="00B316A5">
        <w:t xml:space="preserve">334 </w:t>
      </w:r>
      <w:r w:rsidR="006F0DF6">
        <w:t xml:space="preserve">such calls </w:t>
      </w:r>
      <w:r w:rsidR="00B316A5">
        <w:t xml:space="preserve">per day in 2014-15 and had </w:t>
      </w:r>
      <w:r>
        <w:t xml:space="preserve">the </w:t>
      </w:r>
      <w:r w:rsidR="00B316A5">
        <w:t>largest average in each year</w:t>
      </w:r>
      <w:r>
        <w:t xml:space="preserve">. North West and West Midlands also </w:t>
      </w:r>
      <w:r w:rsidR="00B316A5">
        <w:t xml:space="preserve">averaged </w:t>
      </w:r>
      <w:r>
        <w:t>more than 1</w:t>
      </w:r>
      <w:r w:rsidR="000F5FB4">
        <w:t>,</w:t>
      </w:r>
      <w:r>
        <w:t>000 per day</w:t>
      </w:r>
      <w:r w:rsidR="00B316A5">
        <w:t xml:space="preserve"> in 2013-14 and 2014-15</w:t>
      </w:r>
      <w:r>
        <w:t xml:space="preserve">. </w:t>
      </w:r>
      <w:r w:rsidR="006F0DF6">
        <w:t xml:space="preserve">Excluding the Isle of Wight, </w:t>
      </w:r>
      <w:r w:rsidR="00B316A5">
        <w:t xml:space="preserve">South Central </w:t>
      </w:r>
      <w:r w:rsidR="006F0DF6">
        <w:t xml:space="preserve">had the fewest, but </w:t>
      </w:r>
      <w:r w:rsidR="00D348E4">
        <w:t xml:space="preserve">after it had an increase of </w:t>
      </w:r>
      <w:r w:rsidR="00B316A5">
        <w:t xml:space="preserve">more than 50% between 2011-12 and 2014-15, all Ambulance Services averaged </w:t>
      </w:r>
      <w:r>
        <w:t>more than 4</w:t>
      </w:r>
      <w:r w:rsidR="00B316A5">
        <w:t>5</w:t>
      </w:r>
      <w:r>
        <w:t>0 per day</w:t>
      </w:r>
      <w:r w:rsidR="00B316A5">
        <w:t xml:space="preserve"> in 2014-15</w:t>
      </w:r>
      <w:r>
        <w:t>.</w:t>
      </w:r>
    </w:p>
    <w:p w:rsidR="007154E1" w:rsidRDefault="000F5FB4" w:rsidP="00FC6239">
      <w:r>
        <w:rPr>
          <w:noProof/>
        </w:rPr>
        <w:drawing>
          <wp:inline distT="0" distB="0" distL="0" distR="0" wp14:anchorId="595F2A7A">
            <wp:extent cx="5547995" cy="33775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7995" cy="3377565"/>
                    </a:xfrm>
                    <a:prstGeom prst="rect">
                      <a:avLst/>
                    </a:prstGeom>
                    <a:noFill/>
                  </pic:spPr>
                </pic:pic>
              </a:graphicData>
            </a:graphic>
          </wp:inline>
        </w:drawing>
      </w:r>
    </w:p>
    <w:p w:rsidR="00CB58C3" w:rsidRPr="00C061B2" w:rsidRDefault="00CB58C3" w:rsidP="00CB58C3">
      <w:pPr>
        <w:pStyle w:val="NoSpacing"/>
      </w:pPr>
    </w:p>
    <w:p w:rsidR="00EB18A7" w:rsidRDefault="00EB18A7" w:rsidP="00950A7E">
      <w:pPr>
        <w:pStyle w:val="Heading3"/>
      </w:pPr>
      <w:r>
        <w:t>A10</w:t>
      </w:r>
      <w:r>
        <w:tab/>
        <w:t>Revisions to Systems Indicators</w:t>
      </w:r>
    </w:p>
    <w:p w:rsidR="00950A7E" w:rsidRDefault="00BF7A8A" w:rsidP="00950A7E">
      <w:r>
        <w:t xml:space="preserve">Every six months, Trusts can revise their </w:t>
      </w:r>
      <w:r w:rsidR="00950A7E">
        <w:t xml:space="preserve">Systems Indicators. The full set of revised data </w:t>
      </w:r>
      <w:r w:rsidR="006F4168">
        <w:t xml:space="preserve">is </w:t>
      </w:r>
      <w:r w:rsidR="00950A7E">
        <w:t>in the Systems Indicators Time Series spreadsheet on the AQI landing page</w:t>
      </w:r>
      <w:r w:rsidR="009E4593">
        <w:t xml:space="preserve">. The landing page also has a link to the 2014-15 page, which contains spreadsheets with the latest data for </w:t>
      </w:r>
      <w:r w:rsidR="00950A7E">
        <w:t xml:space="preserve">all </w:t>
      </w:r>
      <w:r w:rsidR="009E4593">
        <w:t xml:space="preserve">of the </w:t>
      </w:r>
      <w:r w:rsidR="00950A7E">
        <w:t>months of 2014-15.</w:t>
      </w:r>
    </w:p>
    <w:p w:rsidR="00F23E6F" w:rsidRDefault="006F4168" w:rsidP="006F4168">
      <w:r>
        <w:t>There are no r</w:t>
      </w:r>
      <w:r w:rsidR="00950A7E">
        <w:t xml:space="preserve">evisions in today’s </w:t>
      </w:r>
      <w:r w:rsidR="00950A7E" w:rsidRPr="00E47C1E">
        <w:t>publication</w:t>
      </w:r>
      <w:r w:rsidR="00950A7E">
        <w:t xml:space="preserve"> </w:t>
      </w:r>
      <w:r>
        <w:t>for the North East, South Central or Isle of Wight, and the only item revised for Yorkshire is abandoned calls for January 2015. However, the other seven Trusts have revisions for many items and for many months.</w:t>
      </w:r>
    </w:p>
    <w:p w:rsidR="006F4168" w:rsidRDefault="006F4168" w:rsidP="006F4168">
      <w:r>
        <w:lastRenderedPageBreak/>
        <w:t xml:space="preserve">The only </w:t>
      </w:r>
      <w:r w:rsidR="00CB58C3">
        <w:t xml:space="preserve">trust-level </w:t>
      </w:r>
      <w:r>
        <w:t>percentages revised by more than 1 percentage point are:</w:t>
      </w:r>
    </w:p>
    <w:tbl>
      <w:tblPr>
        <w:tblStyle w:val="TableGrid"/>
        <w:tblW w:w="0" w:type="auto"/>
        <w:tblLook w:val="04A0" w:firstRow="1" w:lastRow="0" w:firstColumn="1" w:lastColumn="0" w:noHBand="0" w:noVBand="1"/>
      </w:tblPr>
      <w:tblGrid>
        <w:gridCol w:w="1809"/>
        <w:gridCol w:w="4111"/>
        <w:gridCol w:w="1276"/>
        <w:gridCol w:w="946"/>
        <w:gridCol w:w="897"/>
      </w:tblGrid>
      <w:tr w:rsidR="006F4168" w:rsidTr="008A58CE">
        <w:tc>
          <w:tcPr>
            <w:tcW w:w="1809" w:type="dxa"/>
            <w:tcBorders>
              <w:top w:val="single" w:sz="4" w:space="0" w:color="A6A6A6" w:themeColor="background1" w:themeShade="A6"/>
              <w:left w:val="nil"/>
              <w:bottom w:val="single" w:sz="4" w:space="0" w:color="auto"/>
              <w:right w:val="nil"/>
            </w:tcBorders>
          </w:tcPr>
          <w:p w:rsidR="006F4168" w:rsidRDefault="006F4168" w:rsidP="00F23E6F">
            <w:pPr>
              <w:pStyle w:val="Heading4"/>
            </w:pPr>
            <w:r>
              <w:t>Trust</w:t>
            </w:r>
          </w:p>
        </w:tc>
        <w:tc>
          <w:tcPr>
            <w:tcW w:w="4111" w:type="dxa"/>
            <w:tcBorders>
              <w:top w:val="single" w:sz="4" w:space="0" w:color="A6A6A6" w:themeColor="background1" w:themeShade="A6"/>
              <w:left w:val="nil"/>
              <w:bottom w:val="single" w:sz="4" w:space="0" w:color="auto"/>
              <w:right w:val="nil"/>
            </w:tcBorders>
          </w:tcPr>
          <w:p w:rsidR="006F4168" w:rsidRDefault="006F4168" w:rsidP="00F23E6F">
            <w:pPr>
              <w:pStyle w:val="Heading4"/>
            </w:pPr>
            <w:r>
              <w:t>Item</w:t>
            </w:r>
          </w:p>
        </w:tc>
        <w:tc>
          <w:tcPr>
            <w:tcW w:w="1276" w:type="dxa"/>
            <w:tcBorders>
              <w:top w:val="single" w:sz="4" w:space="0" w:color="A6A6A6" w:themeColor="background1" w:themeShade="A6"/>
              <w:left w:val="nil"/>
              <w:bottom w:val="single" w:sz="4" w:space="0" w:color="auto"/>
              <w:right w:val="nil"/>
            </w:tcBorders>
          </w:tcPr>
          <w:p w:rsidR="006F4168" w:rsidRDefault="006F4168" w:rsidP="00F23E6F">
            <w:pPr>
              <w:pStyle w:val="Heading4"/>
            </w:pPr>
            <w:r>
              <w:t>Month</w:t>
            </w:r>
          </w:p>
        </w:tc>
        <w:tc>
          <w:tcPr>
            <w:tcW w:w="946" w:type="dxa"/>
            <w:tcBorders>
              <w:top w:val="single" w:sz="4" w:space="0" w:color="A6A6A6" w:themeColor="background1" w:themeShade="A6"/>
              <w:left w:val="nil"/>
              <w:bottom w:val="single" w:sz="4" w:space="0" w:color="auto"/>
              <w:right w:val="nil"/>
            </w:tcBorders>
          </w:tcPr>
          <w:p w:rsidR="006F4168" w:rsidRDefault="006F4168" w:rsidP="00F23E6F">
            <w:pPr>
              <w:pStyle w:val="Heading4"/>
            </w:pPr>
            <w:r>
              <w:t>From</w:t>
            </w:r>
          </w:p>
        </w:tc>
        <w:tc>
          <w:tcPr>
            <w:tcW w:w="897" w:type="dxa"/>
            <w:tcBorders>
              <w:top w:val="single" w:sz="4" w:space="0" w:color="A6A6A6" w:themeColor="background1" w:themeShade="A6"/>
              <w:left w:val="nil"/>
              <w:bottom w:val="single" w:sz="4" w:space="0" w:color="auto"/>
              <w:right w:val="nil"/>
            </w:tcBorders>
          </w:tcPr>
          <w:p w:rsidR="006F4168" w:rsidRDefault="006F4168" w:rsidP="00F23E6F">
            <w:pPr>
              <w:pStyle w:val="Heading4"/>
            </w:pPr>
            <w:r>
              <w:t>To</w:t>
            </w:r>
          </w:p>
        </w:tc>
      </w:tr>
      <w:tr w:rsidR="00C3748B" w:rsidTr="00CB58C3">
        <w:tc>
          <w:tcPr>
            <w:tcW w:w="1809" w:type="dxa"/>
            <w:vMerge w:val="restart"/>
            <w:tcBorders>
              <w:top w:val="single" w:sz="4" w:space="0" w:color="auto"/>
              <w:left w:val="nil"/>
              <w:bottom w:val="single" w:sz="4" w:space="0" w:color="A6A6A6" w:themeColor="background1" w:themeShade="A6"/>
              <w:right w:val="nil"/>
            </w:tcBorders>
            <w:vAlign w:val="center"/>
          </w:tcPr>
          <w:p w:rsidR="00C3748B" w:rsidRDefault="00C3748B" w:rsidP="00CB58C3">
            <w:pPr>
              <w:pStyle w:val="NoSpacing"/>
              <w:jc w:val="center"/>
            </w:pPr>
            <w:r>
              <w:t>South West</w:t>
            </w:r>
            <w:r w:rsidR="006F0DF6">
              <w:t>ern</w:t>
            </w:r>
          </w:p>
        </w:tc>
        <w:tc>
          <w:tcPr>
            <w:tcW w:w="4111" w:type="dxa"/>
            <w:tcBorders>
              <w:top w:val="single" w:sz="4" w:space="0" w:color="auto"/>
              <w:left w:val="nil"/>
              <w:bottom w:val="single" w:sz="4" w:space="0" w:color="A6A6A6" w:themeColor="background1" w:themeShade="A6"/>
              <w:right w:val="nil"/>
            </w:tcBorders>
            <w:vAlign w:val="center"/>
          </w:tcPr>
          <w:p w:rsidR="00C3748B" w:rsidRDefault="00F23E6F" w:rsidP="00CB58C3">
            <w:pPr>
              <w:pStyle w:val="NoSpacing"/>
              <w:jc w:val="center"/>
            </w:pPr>
            <w:r>
              <w:t>8 minute Red 1 response</w:t>
            </w:r>
          </w:p>
        </w:tc>
        <w:tc>
          <w:tcPr>
            <w:tcW w:w="1276" w:type="dxa"/>
            <w:tcBorders>
              <w:top w:val="single" w:sz="4" w:space="0" w:color="auto"/>
              <w:left w:val="nil"/>
              <w:bottom w:val="single" w:sz="4" w:space="0" w:color="A6A6A6" w:themeColor="background1" w:themeShade="A6"/>
              <w:right w:val="nil"/>
            </w:tcBorders>
            <w:vAlign w:val="center"/>
          </w:tcPr>
          <w:p w:rsidR="00C3748B" w:rsidRDefault="00C3748B" w:rsidP="00753EA9">
            <w:pPr>
              <w:pStyle w:val="NoSpacing"/>
              <w:jc w:val="right"/>
            </w:pPr>
            <w:r>
              <w:t>Jan 2015</w:t>
            </w:r>
          </w:p>
        </w:tc>
        <w:tc>
          <w:tcPr>
            <w:tcW w:w="946" w:type="dxa"/>
            <w:tcBorders>
              <w:top w:val="single" w:sz="4" w:space="0" w:color="auto"/>
              <w:left w:val="nil"/>
              <w:bottom w:val="single" w:sz="4" w:space="0" w:color="A6A6A6" w:themeColor="background1" w:themeShade="A6"/>
              <w:right w:val="nil"/>
            </w:tcBorders>
            <w:vAlign w:val="center"/>
          </w:tcPr>
          <w:p w:rsidR="00C3748B" w:rsidRDefault="00C3748B" w:rsidP="00753EA9">
            <w:pPr>
              <w:pStyle w:val="NoSpacing"/>
              <w:jc w:val="right"/>
            </w:pPr>
            <w:r>
              <w:t>73.4%</w:t>
            </w:r>
          </w:p>
        </w:tc>
        <w:tc>
          <w:tcPr>
            <w:tcW w:w="897" w:type="dxa"/>
            <w:tcBorders>
              <w:top w:val="single" w:sz="4" w:space="0" w:color="auto"/>
              <w:left w:val="nil"/>
              <w:bottom w:val="single" w:sz="4" w:space="0" w:color="A6A6A6" w:themeColor="background1" w:themeShade="A6"/>
              <w:right w:val="nil"/>
            </w:tcBorders>
            <w:vAlign w:val="center"/>
          </w:tcPr>
          <w:p w:rsidR="00C3748B" w:rsidRDefault="00C3748B" w:rsidP="00753EA9">
            <w:pPr>
              <w:pStyle w:val="NoSpacing"/>
              <w:jc w:val="right"/>
            </w:pPr>
            <w:r>
              <w:t>74.9%</w:t>
            </w:r>
          </w:p>
        </w:tc>
      </w:tr>
      <w:tr w:rsidR="00C3748B"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C3748B" w:rsidRDefault="00C3748B" w:rsidP="00CB58C3">
            <w:pPr>
              <w:pStyle w:val="NoSpacing"/>
              <w:jc w:val="center"/>
            </w:pPr>
          </w:p>
        </w:tc>
        <w:tc>
          <w:tcPr>
            <w:tcW w:w="4111" w:type="dxa"/>
            <w:tcBorders>
              <w:top w:val="single" w:sz="4" w:space="0" w:color="A6A6A6" w:themeColor="background1" w:themeShade="A6"/>
              <w:left w:val="nil"/>
              <w:bottom w:val="single" w:sz="4" w:space="0" w:color="A6A6A6" w:themeColor="background1" w:themeShade="A6"/>
              <w:right w:val="nil"/>
            </w:tcBorders>
            <w:vAlign w:val="center"/>
          </w:tcPr>
          <w:p w:rsidR="00C3748B" w:rsidRDefault="00F23E6F" w:rsidP="00CB58C3">
            <w:pPr>
              <w:pStyle w:val="NoSpacing"/>
              <w:jc w:val="center"/>
            </w:pPr>
            <w:r>
              <w:t>8 minute Red 2 response</w:t>
            </w: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C3748B" w:rsidRDefault="00C3748B" w:rsidP="00753EA9">
            <w:pPr>
              <w:pStyle w:val="NoSpacing"/>
              <w:jc w:val="right"/>
            </w:pPr>
            <w:r>
              <w:t>Feb 2015</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C3748B" w:rsidRDefault="00C3748B" w:rsidP="00753EA9">
            <w:pPr>
              <w:pStyle w:val="NoSpacing"/>
              <w:jc w:val="right"/>
            </w:pPr>
            <w:r>
              <w:t>61.6%</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C3748B" w:rsidRDefault="00C3748B" w:rsidP="00753EA9">
            <w:pPr>
              <w:pStyle w:val="NoSpacing"/>
              <w:jc w:val="right"/>
            </w:pPr>
            <w:r>
              <w:t>65.7%</w:t>
            </w:r>
          </w:p>
        </w:tc>
      </w:tr>
      <w:tr w:rsidR="003E59EE" w:rsidTr="00CB58C3">
        <w:tc>
          <w:tcPr>
            <w:tcW w:w="1809" w:type="dxa"/>
            <w:vMerge w:val="restart"/>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r>
              <w:t>South East</w:t>
            </w:r>
          </w:p>
        </w:tc>
        <w:tc>
          <w:tcPr>
            <w:tcW w:w="4111" w:type="dxa"/>
            <w:vMerge w:val="restart"/>
            <w:tcBorders>
              <w:top w:val="single" w:sz="4" w:space="0" w:color="A6A6A6" w:themeColor="background1" w:themeShade="A6"/>
              <w:left w:val="nil"/>
              <w:bottom w:val="single" w:sz="4" w:space="0" w:color="A6A6A6" w:themeColor="background1" w:themeShade="A6"/>
              <w:right w:val="nil"/>
            </w:tcBorders>
            <w:vAlign w:val="center"/>
          </w:tcPr>
          <w:p w:rsidR="003E59EE" w:rsidRDefault="00F23E6F" w:rsidP="00CB58C3">
            <w:pPr>
              <w:pStyle w:val="NoSpacing"/>
              <w:jc w:val="center"/>
            </w:pPr>
            <w:r>
              <w:t xml:space="preserve">8 minute </w:t>
            </w:r>
            <w:r w:rsidR="003E59EE">
              <w:t>Red 2 response</w:t>
            </w: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Dec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71.4%</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69.4%</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Jan 2015</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75.3%</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69.9%</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Feb 2015</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74.1%</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69.5%</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val="restart"/>
            <w:tcBorders>
              <w:top w:val="single" w:sz="4" w:space="0" w:color="A6A6A6" w:themeColor="background1" w:themeShade="A6"/>
              <w:left w:val="nil"/>
              <w:bottom w:val="single" w:sz="4" w:space="0" w:color="A6A6A6" w:themeColor="background1" w:themeShade="A6"/>
              <w:right w:val="nil"/>
            </w:tcBorders>
            <w:vAlign w:val="center"/>
          </w:tcPr>
          <w:p w:rsidR="003E59EE" w:rsidRDefault="00F23E6F" w:rsidP="00CB58C3">
            <w:pPr>
              <w:pStyle w:val="NoSpacing"/>
              <w:jc w:val="center"/>
            </w:pPr>
            <w:r>
              <w:t xml:space="preserve">19 minute </w:t>
            </w:r>
            <w:r w:rsidR="003E59EE">
              <w:t>Category A response</w:t>
            </w: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Jan 2015</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96.2%</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95.0%</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Feb 2015</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95.3%</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94.3%</w:t>
            </w:r>
          </w:p>
        </w:tc>
      </w:tr>
      <w:tr w:rsidR="003E59EE" w:rsidTr="00CB58C3">
        <w:tc>
          <w:tcPr>
            <w:tcW w:w="1809" w:type="dxa"/>
            <w:vMerge w:val="restart"/>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r>
              <w:t>East of England</w:t>
            </w:r>
          </w:p>
        </w:tc>
        <w:tc>
          <w:tcPr>
            <w:tcW w:w="4111" w:type="dxa"/>
            <w:vMerge w:val="restart"/>
            <w:tcBorders>
              <w:top w:val="single" w:sz="4" w:space="0" w:color="A6A6A6" w:themeColor="background1" w:themeShade="A6"/>
              <w:left w:val="nil"/>
              <w:bottom w:val="single" w:sz="4" w:space="0" w:color="A6A6A6" w:themeColor="background1" w:themeShade="A6"/>
              <w:right w:val="nil"/>
            </w:tcBorders>
            <w:vAlign w:val="center"/>
          </w:tcPr>
          <w:p w:rsidR="00F23E6F" w:rsidRDefault="00F23E6F" w:rsidP="00CB58C3">
            <w:pPr>
              <w:pStyle w:val="NoSpacing"/>
              <w:jc w:val="center"/>
            </w:pPr>
            <w:r>
              <w:t>Re-contact</w:t>
            </w:r>
          </w:p>
          <w:p w:rsidR="00F23E6F" w:rsidRDefault="00F23E6F" w:rsidP="00CB58C3">
            <w:pPr>
              <w:pStyle w:val="NoSpacing"/>
              <w:jc w:val="center"/>
            </w:pPr>
            <w:r>
              <w:t>after resolution</w:t>
            </w:r>
          </w:p>
          <w:p w:rsidR="003E59EE" w:rsidRDefault="003E59EE" w:rsidP="00CB58C3">
            <w:pPr>
              <w:pStyle w:val="NoSpacing"/>
              <w:jc w:val="center"/>
            </w:pPr>
            <w:r>
              <w:t>on the telephone</w:t>
            </w: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Apr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10.0%</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11.2%</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Jun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10.0%</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11.8%</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Jul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9.9%</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11.4%</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Aug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9.8%</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11.5%</w:t>
            </w:r>
          </w:p>
        </w:tc>
      </w:tr>
      <w:tr w:rsidR="003E59EE" w:rsidTr="00CB58C3">
        <w:tc>
          <w:tcPr>
            <w:tcW w:w="1809"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4111" w:type="dxa"/>
            <w:vMerge/>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CB58C3">
            <w:pPr>
              <w:pStyle w:val="NoSpacing"/>
              <w:jc w:val="center"/>
            </w:pPr>
          </w:p>
        </w:tc>
        <w:tc>
          <w:tcPr>
            <w:tcW w:w="127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Sep 2014</w:t>
            </w:r>
          </w:p>
        </w:tc>
        <w:tc>
          <w:tcPr>
            <w:tcW w:w="946"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10.0%</w:t>
            </w:r>
          </w:p>
        </w:tc>
        <w:tc>
          <w:tcPr>
            <w:tcW w:w="897" w:type="dxa"/>
            <w:tcBorders>
              <w:top w:val="single" w:sz="4" w:space="0" w:color="A6A6A6" w:themeColor="background1" w:themeShade="A6"/>
              <w:left w:val="nil"/>
              <w:bottom w:val="single" w:sz="4" w:space="0" w:color="A6A6A6" w:themeColor="background1" w:themeShade="A6"/>
              <w:right w:val="nil"/>
            </w:tcBorders>
            <w:vAlign w:val="center"/>
          </w:tcPr>
          <w:p w:rsidR="003E59EE" w:rsidRDefault="003E59EE" w:rsidP="00753EA9">
            <w:pPr>
              <w:pStyle w:val="NoSpacing"/>
              <w:jc w:val="right"/>
            </w:pPr>
            <w:r>
              <w:t>11.6%</w:t>
            </w:r>
          </w:p>
        </w:tc>
      </w:tr>
      <w:tr w:rsidR="003E59EE" w:rsidTr="00CB58C3">
        <w:trPr>
          <w:trHeight w:val="397"/>
        </w:trPr>
        <w:tc>
          <w:tcPr>
            <w:tcW w:w="1809" w:type="dxa"/>
            <w:tcBorders>
              <w:top w:val="single" w:sz="4" w:space="0" w:color="A6A6A6" w:themeColor="background1" w:themeShade="A6"/>
              <w:left w:val="nil"/>
              <w:bottom w:val="single" w:sz="4" w:space="0" w:color="auto"/>
              <w:right w:val="nil"/>
            </w:tcBorders>
            <w:vAlign w:val="center"/>
          </w:tcPr>
          <w:p w:rsidR="003E59EE" w:rsidRDefault="003E59EE" w:rsidP="00CB58C3">
            <w:pPr>
              <w:pStyle w:val="NoSpacing"/>
              <w:jc w:val="center"/>
            </w:pPr>
            <w:r>
              <w:t>West Midlands</w:t>
            </w:r>
          </w:p>
        </w:tc>
        <w:tc>
          <w:tcPr>
            <w:tcW w:w="4111" w:type="dxa"/>
            <w:tcBorders>
              <w:top w:val="single" w:sz="4" w:space="0" w:color="A6A6A6" w:themeColor="background1" w:themeShade="A6"/>
              <w:left w:val="nil"/>
              <w:bottom w:val="single" w:sz="4" w:space="0" w:color="auto"/>
              <w:right w:val="nil"/>
            </w:tcBorders>
            <w:vAlign w:val="center"/>
          </w:tcPr>
          <w:p w:rsidR="003E59EE" w:rsidRDefault="00F23E6F" w:rsidP="00CB58C3">
            <w:pPr>
              <w:pStyle w:val="NoSpacing"/>
              <w:jc w:val="center"/>
            </w:pPr>
            <w:r>
              <w:t>Re-contact after</w:t>
            </w:r>
            <w:r w:rsidR="008A58CE">
              <w:t xml:space="preserve"> </w:t>
            </w:r>
            <w:r w:rsidR="003E59EE">
              <w:t>discharge on scene</w:t>
            </w:r>
          </w:p>
        </w:tc>
        <w:tc>
          <w:tcPr>
            <w:tcW w:w="1276" w:type="dxa"/>
            <w:tcBorders>
              <w:top w:val="single" w:sz="4" w:space="0" w:color="A6A6A6" w:themeColor="background1" w:themeShade="A6"/>
              <w:left w:val="nil"/>
              <w:bottom w:val="single" w:sz="4" w:space="0" w:color="auto"/>
              <w:right w:val="nil"/>
            </w:tcBorders>
            <w:vAlign w:val="center"/>
          </w:tcPr>
          <w:p w:rsidR="003E59EE" w:rsidRDefault="00753EA9" w:rsidP="00753EA9">
            <w:pPr>
              <w:pStyle w:val="NoSpacing"/>
              <w:jc w:val="right"/>
            </w:pPr>
            <w:r>
              <w:t>Apr</w:t>
            </w:r>
            <w:r w:rsidR="003E59EE">
              <w:t xml:space="preserve"> 2014</w:t>
            </w:r>
          </w:p>
        </w:tc>
        <w:tc>
          <w:tcPr>
            <w:tcW w:w="946" w:type="dxa"/>
            <w:tcBorders>
              <w:top w:val="single" w:sz="4" w:space="0" w:color="A6A6A6" w:themeColor="background1" w:themeShade="A6"/>
              <w:left w:val="nil"/>
              <w:bottom w:val="single" w:sz="4" w:space="0" w:color="auto"/>
              <w:right w:val="nil"/>
            </w:tcBorders>
            <w:vAlign w:val="center"/>
          </w:tcPr>
          <w:p w:rsidR="003E59EE" w:rsidRDefault="003E59EE" w:rsidP="00753EA9">
            <w:pPr>
              <w:pStyle w:val="NoSpacing"/>
              <w:jc w:val="right"/>
            </w:pPr>
            <w:r>
              <w:t>1.9%</w:t>
            </w:r>
          </w:p>
        </w:tc>
        <w:tc>
          <w:tcPr>
            <w:tcW w:w="897" w:type="dxa"/>
            <w:tcBorders>
              <w:top w:val="single" w:sz="4" w:space="0" w:color="A6A6A6" w:themeColor="background1" w:themeShade="A6"/>
              <w:left w:val="nil"/>
              <w:bottom w:val="single" w:sz="4" w:space="0" w:color="auto"/>
              <w:right w:val="nil"/>
            </w:tcBorders>
            <w:vAlign w:val="center"/>
          </w:tcPr>
          <w:p w:rsidR="003E59EE" w:rsidRDefault="003E59EE" w:rsidP="00753EA9">
            <w:pPr>
              <w:pStyle w:val="NoSpacing"/>
              <w:jc w:val="right"/>
            </w:pPr>
            <w:r>
              <w:t>5.6%</w:t>
            </w:r>
          </w:p>
        </w:tc>
      </w:tr>
    </w:tbl>
    <w:p w:rsidR="00EB18A7" w:rsidRDefault="006F4168" w:rsidP="006F0DF6">
      <w:pPr>
        <w:pStyle w:val="NoSpacing"/>
      </w:pPr>
      <w:r w:rsidRPr="00EB18A7">
        <w:t xml:space="preserve"> </w:t>
      </w:r>
    </w:p>
    <w:p w:rsidR="00C3748B" w:rsidRDefault="00C3748B" w:rsidP="00C3748B">
      <w:r w:rsidRPr="00E47C1E">
        <w:t xml:space="preserve">The only national </w:t>
      </w:r>
      <w:r>
        <w:t xml:space="preserve">percentages revised by more than </w:t>
      </w:r>
      <w:r w:rsidRPr="00E47C1E">
        <w:t>0.1</w:t>
      </w:r>
      <w:r>
        <w:t xml:space="preserve"> percentage points are: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9"/>
        <w:gridCol w:w="4111"/>
        <w:gridCol w:w="1276"/>
        <w:gridCol w:w="946"/>
        <w:gridCol w:w="897"/>
      </w:tblGrid>
      <w:tr w:rsidR="00C3748B" w:rsidTr="00113395">
        <w:tc>
          <w:tcPr>
            <w:tcW w:w="1809" w:type="dxa"/>
            <w:tcBorders>
              <w:bottom w:val="single" w:sz="4" w:space="0" w:color="auto"/>
            </w:tcBorders>
          </w:tcPr>
          <w:p w:rsidR="00C3748B" w:rsidRDefault="00C3748B" w:rsidP="00F23E6F">
            <w:pPr>
              <w:pStyle w:val="Heading4"/>
            </w:pPr>
          </w:p>
        </w:tc>
        <w:tc>
          <w:tcPr>
            <w:tcW w:w="4111" w:type="dxa"/>
            <w:tcBorders>
              <w:bottom w:val="single" w:sz="4" w:space="0" w:color="auto"/>
            </w:tcBorders>
          </w:tcPr>
          <w:p w:rsidR="00C3748B" w:rsidRDefault="00C3748B" w:rsidP="00F23E6F">
            <w:pPr>
              <w:pStyle w:val="Heading4"/>
            </w:pPr>
            <w:r>
              <w:t>Item</w:t>
            </w:r>
          </w:p>
        </w:tc>
        <w:tc>
          <w:tcPr>
            <w:tcW w:w="1276" w:type="dxa"/>
            <w:tcBorders>
              <w:bottom w:val="single" w:sz="4" w:space="0" w:color="auto"/>
            </w:tcBorders>
          </w:tcPr>
          <w:p w:rsidR="00C3748B" w:rsidRDefault="00C3748B" w:rsidP="00F23E6F">
            <w:pPr>
              <w:pStyle w:val="Heading4"/>
            </w:pPr>
            <w:r>
              <w:t>Month</w:t>
            </w:r>
          </w:p>
        </w:tc>
        <w:tc>
          <w:tcPr>
            <w:tcW w:w="946" w:type="dxa"/>
            <w:tcBorders>
              <w:bottom w:val="single" w:sz="4" w:space="0" w:color="auto"/>
            </w:tcBorders>
          </w:tcPr>
          <w:p w:rsidR="00C3748B" w:rsidRDefault="00C3748B" w:rsidP="00F23E6F">
            <w:pPr>
              <w:pStyle w:val="Heading4"/>
            </w:pPr>
            <w:r>
              <w:t>From</w:t>
            </w:r>
          </w:p>
        </w:tc>
        <w:tc>
          <w:tcPr>
            <w:tcW w:w="897" w:type="dxa"/>
            <w:tcBorders>
              <w:bottom w:val="single" w:sz="4" w:space="0" w:color="auto"/>
            </w:tcBorders>
          </w:tcPr>
          <w:p w:rsidR="00C3748B" w:rsidRDefault="00C3748B" w:rsidP="00F23E6F">
            <w:pPr>
              <w:pStyle w:val="Heading4"/>
            </w:pPr>
            <w:r>
              <w:t>To</w:t>
            </w:r>
          </w:p>
        </w:tc>
      </w:tr>
      <w:tr w:rsidR="00113395" w:rsidTr="00CB58C3">
        <w:tc>
          <w:tcPr>
            <w:tcW w:w="1809" w:type="dxa"/>
            <w:vMerge w:val="restart"/>
            <w:tcBorders>
              <w:top w:val="single" w:sz="4" w:space="0" w:color="auto"/>
              <w:bottom w:val="single" w:sz="4" w:space="0" w:color="A6A6A6" w:themeColor="background1" w:themeShade="A6"/>
            </w:tcBorders>
            <w:vAlign w:val="center"/>
          </w:tcPr>
          <w:p w:rsidR="00113395" w:rsidRPr="00113395" w:rsidRDefault="00113395" w:rsidP="00CB58C3">
            <w:pPr>
              <w:pStyle w:val="Heading4"/>
            </w:pPr>
            <w:r w:rsidRPr="00113395">
              <w:t>All England</w:t>
            </w:r>
          </w:p>
          <w:p w:rsidR="00113395" w:rsidRDefault="00113395" w:rsidP="00CB58C3">
            <w:pPr>
              <w:pStyle w:val="NoSpacing"/>
              <w:jc w:val="center"/>
            </w:pPr>
          </w:p>
        </w:tc>
        <w:tc>
          <w:tcPr>
            <w:tcW w:w="4111" w:type="dxa"/>
            <w:tcBorders>
              <w:top w:val="single" w:sz="4" w:space="0" w:color="auto"/>
              <w:bottom w:val="single" w:sz="4" w:space="0" w:color="A6A6A6" w:themeColor="background1" w:themeShade="A6"/>
            </w:tcBorders>
            <w:vAlign w:val="center"/>
          </w:tcPr>
          <w:p w:rsidR="00113395" w:rsidRDefault="00113395" w:rsidP="00CB58C3">
            <w:pPr>
              <w:pStyle w:val="NoSpacing"/>
              <w:jc w:val="center"/>
            </w:pPr>
            <w:r>
              <w:t>8 minute Red 1 response</w:t>
            </w:r>
          </w:p>
        </w:tc>
        <w:tc>
          <w:tcPr>
            <w:tcW w:w="1276" w:type="dxa"/>
            <w:tcBorders>
              <w:top w:val="single" w:sz="4" w:space="0" w:color="auto"/>
              <w:bottom w:val="single" w:sz="4" w:space="0" w:color="A6A6A6" w:themeColor="background1" w:themeShade="A6"/>
            </w:tcBorders>
            <w:vAlign w:val="center"/>
          </w:tcPr>
          <w:p w:rsidR="00113395" w:rsidRDefault="00113395" w:rsidP="00753EA9">
            <w:pPr>
              <w:pStyle w:val="NoSpacing"/>
              <w:jc w:val="right"/>
            </w:pPr>
            <w:r>
              <w:t>Jan 2015</w:t>
            </w:r>
          </w:p>
        </w:tc>
        <w:tc>
          <w:tcPr>
            <w:tcW w:w="946" w:type="dxa"/>
            <w:tcBorders>
              <w:top w:val="single" w:sz="4" w:space="0" w:color="auto"/>
              <w:bottom w:val="single" w:sz="4" w:space="0" w:color="A6A6A6" w:themeColor="background1" w:themeShade="A6"/>
            </w:tcBorders>
          </w:tcPr>
          <w:p w:rsidR="00113395" w:rsidRDefault="00113395" w:rsidP="00753EA9">
            <w:pPr>
              <w:pStyle w:val="NoSpacing"/>
              <w:jc w:val="right"/>
            </w:pPr>
            <w:r>
              <w:t>71.4</w:t>
            </w:r>
            <w:r w:rsidRPr="00983F79">
              <w:t>%</w:t>
            </w:r>
          </w:p>
        </w:tc>
        <w:tc>
          <w:tcPr>
            <w:tcW w:w="897" w:type="dxa"/>
            <w:tcBorders>
              <w:top w:val="single" w:sz="4" w:space="0" w:color="auto"/>
              <w:bottom w:val="single" w:sz="4" w:space="0" w:color="A6A6A6" w:themeColor="background1" w:themeShade="A6"/>
            </w:tcBorders>
          </w:tcPr>
          <w:p w:rsidR="00113395" w:rsidRDefault="00113395" w:rsidP="00753EA9">
            <w:pPr>
              <w:pStyle w:val="NoSpacing"/>
              <w:jc w:val="right"/>
            </w:pPr>
            <w:r>
              <w:t>71.5</w:t>
            </w:r>
            <w:r w:rsidRPr="00983F79">
              <w:t>%</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val="restart"/>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r>
              <w:t>8 minute Red 2 response</w:t>
            </w: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Dec 2014</w:t>
            </w:r>
          </w:p>
        </w:tc>
        <w:tc>
          <w:tcPr>
            <w:tcW w:w="946"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61.1%</w:t>
            </w:r>
          </w:p>
        </w:tc>
        <w:tc>
          <w:tcPr>
            <w:tcW w:w="897"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61.0%</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Jan 2015</w:t>
            </w:r>
          </w:p>
        </w:tc>
        <w:tc>
          <w:tcPr>
            <w:tcW w:w="946"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68.0%</w:t>
            </w:r>
          </w:p>
        </w:tc>
        <w:tc>
          <w:tcPr>
            <w:tcW w:w="897"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67.5%</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r>
              <w:t>19 minute Category A response</w:t>
            </w: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Jan 2015</w:t>
            </w:r>
          </w:p>
        </w:tc>
        <w:tc>
          <w:tcPr>
            <w:tcW w:w="946"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93.3%</w:t>
            </w:r>
          </w:p>
        </w:tc>
        <w:tc>
          <w:tcPr>
            <w:tcW w:w="897" w:type="dxa"/>
            <w:tcBorders>
              <w:top w:val="single" w:sz="4" w:space="0" w:color="A6A6A6" w:themeColor="background1" w:themeShade="A6"/>
              <w:bottom w:val="single" w:sz="4" w:space="0" w:color="A6A6A6" w:themeColor="background1" w:themeShade="A6"/>
            </w:tcBorders>
          </w:tcPr>
          <w:p w:rsidR="00113395" w:rsidRPr="00983F79" w:rsidRDefault="00113395" w:rsidP="00753EA9">
            <w:pPr>
              <w:pStyle w:val="NoSpacing"/>
              <w:jc w:val="right"/>
            </w:pPr>
            <w:r>
              <w:t>93.2%</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r>
              <w:t>Abandoned calls</w:t>
            </w: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Jan 2015</w:t>
            </w:r>
          </w:p>
        </w:tc>
        <w:tc>
          <w:tcPr>
            <w:tcW w:w="946"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rsidRPr="00983F79">
              <w:t>1.</w:t>
            </w:r>
            <w:r>
              <w:t>0</w:t>
            </w:r>
            <w:r w:rsidRPr="00983F79">
              <w:t>%</w:t>
            </w:r>
          </w:p>
        </w:tc>
        <w:tc>
          <w:tcPr>
            <w:tcW w:w="897"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rsidRPr="00983F79">
              <w:t>0.</w:t>
            </w:r>
            <w:r>
              <w:t>8</w:t>
            </w:r>
            <w:r w:rsidRPr="00983F79">
              <w:t>%</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val="restart"/>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r>
              <w:t>Re-contact after resolution on the telephone</w:t>
            </w: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Jun 2014</w:t>
            </w:r>
          </w:p>
        </w:tc>
        <w:tc>
          <w:tcPr>
            <w:tcW w:w="946"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7.9%</w:t>
            </w:r>
          </w:p>
        </w:tc>
        <w:tc>
          <w:tcPr>
            <w:tcW w:w="897"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8.0%</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Jul 2014</w:t>
            </w:r>
          </w:p>
        </w:tc>
        <w:tc>
          <w:tcPr>
            <w:tcW w:w="946"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8.4%</w:t>
            </w:r>
          </w:p>
        </w:tc>
        <w:tc>
          <w:tcPr>
            <w:tcW w:w="897"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8.5%</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753EA9">
            <w:pPr>
              <w:pStyle w:val="NoSpacing"/>
              <w:jc w:val="right"/>
            </w:pPr>
            <w:r>
              <w:t>Aug 2014</w:t>
            </w:r>
          </w:p>
        </w:tc>
        <w:tc>
          <w:tcPr>
            <w:tcW w:w="946"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7.3%</w:t>
            </w:r>
          </w:p>
        </w:tc>
        <w:tc>
          <w:tcPr>
            <w:tcW w:w="897" w:type="dxa"/>
            <w:tcBorders>
              <w:top w:val="single" w:sz="4" w:space="0" w:color="A6A6A6" w:themeColor="background1" w:themeShade="A6"/>
              <w:bottom w:val="single" w:sz="4" w:space="0" w:color="A6A6A6" w:themeColor="background1" w:themeShade="A6"/>
            </w:tcBorders>
          </w:tcPr>
          <w:p w:rsidR="00113395" w:rsidRDefault="00113395" w:rsidP="00753EA9">
            <w:pPr>
              <w:pStyle w:val="NoSpacing"/>
              <w:jc w:val="right"/>
            </w:pPr>
            <w:r>
              <w:t>7.4%</w:t>
            </w:r>
          </w:p>
        </w:tc>
      </w:tr>
      <w:tr w:rsidR="00113395" w:rsidTr="00CB58C3">
        <w:tc>
          <w:tcPr>
            <w:tcW w:w="1809" w:type="dxa"/>
            <w:vMerge/>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p>
        </w:tc>
        <w:tc>
          <w:tcPr>
            <w:tcW w:w="4111" w:type="dxa"/>
            <w:vMerge w:val="restart"/>
            <w:tcBorders>
              <w:top w:val="single" w:sz="4" w:space="0" w:color="A6A6A6" w:themeColor="background1" w:themeShade="A6"/>
              <w:bottom w:val="single" w:sz="4" w:space="0" w:color="A6A6A6" w:themeColor="background1" w:themeShade="A6"/>
            </w:tcBorders>
            <w:vAlign w:val="center"/>
          </w:tcPr>
          <w:p w:rsidR="00113395" w:rsidRDefault="00113395" w:rsidP="00CB58C3">
            <w:pPr>
              <w:pStyle w:val="NoSpacing"/>
              <w:jc w:val="center"/>
            </w:pPr>
            <w:r>
              <w:t>Re-contact after</w:t>
            </w:r>
          </w:p>
          <w:p w:rsidR="00113395" w:rsidRDefault="00113395" w:rsidP="00CB58C3">
            <w:pPr>
              <w:pStyle w:val="NoSpacing"/>
              <w:jc w:val="center"/>
            </w:pPr>
            <w:r>
              <w:t>discharge on the scene</w:t>
            </w:r>
          </w:p>
        </w:tc>
        <w:tc>
          <w:tcPr>
            <w:tcW w:w="1276" w:type="dxa"/>
            <w:tcBorders>
              <w:top w:val="single" w:sz="4" w:space="0" w:color="A6A6A6" w:themeColor="background1" w:themeShade="A6"/>
              <w:bottom w:val="single" w:sz="4" w:space="0" w:color="A6A6A6" w:themeColor="background1" w:themeShade="A6"/>
            </w:tcBorders>
            <w:vAlign w:val="center"/>
          </w:tcPr>
          <w:p w:rsidR="00113395" w:rsidRDefault="00113395" w:rsidP="00AA708E">
            <w:pPr>
              <w:pStyle w:val="NoSpacing"/>
              <w:jc w:val="right"/>
            </w:pPr>
            <w:r>
              <w:t>Apr 2014</w:t>
            </w:r>
          </w:p>
        </w:tc>
        <w:tc>
          <w:tcPr>
            <w:tcW w:w="946" w:type="dxa"/>
            <w:tcBorders>
              <w:top w:val="single" w:sz="4" w:space="0" w:color="A6A6A6" w:themeColor="background1" w:themeShade="A6"/>
              <w:bottom w:val="single" w:sz="4" w:space="0" w:color="A6A6A6" w:themeColor="background1" w:themeShade="A6"/>
            </w:tcBorders>
          </w:tcPr>
          <w:p w:rsidR="00113395" w:rsidRDefault="00113395" w:rsidP="00AA708E">
            <w:pPr>
              <w:pStyle w:val="NoSpacing"/>
              <w:jc w:val="right"/>
            </w:pPr>
            <w:r>
              <w:t>4.6</w:t>
            </w:r>
            <w:r w:rsidRPr="00983F79">
              <w:t>%</w:t>
            </w:r>
          </w:p>
        </w:tc>
        <w:tc>
          <w:tcPr>
            <w:tcW w:w="897" w:type="dxa"/>
            <w:tcBorders>
              <w:top w:val="single" w:sz="4" w:space="0" w:color="A6A6A6" w:themeColor="background1" w:themeShade="A6"/>
              <w:bottom w:val="single" w:sz="4" w:space="0" w:color="A6A6A6" w:themeColor="background1" w:themeShade="A6"/>
            </w:tcBorders>
          </w:tcPr>
          <w:p w:rsidR="00113395" w:rsidRDefault="00113395" w:rsidP="00AA708E">
            <w:pPr>
              <w:pStyle w:val="NoSpacing"/>
              <w:jc w:val="right"/>
            </w:pPr>
            <w:r>
              <w:t>5.2%</w:t>
            </w:r>
          </w:p>
        </w:tc>
      </w:tr>
      <w:tr w:rsidR="00113395" w:rsidTr="00113395">
        <w:tc>
          <w:tcPr>
            <w:tcW w:w="1809" w:type="dxa"/>
            <w:vMerge/>
            <w:tcBorders>
              <w:top w:val="single" w:sz="4" w:space="0" w:color="A6A6A6" w:themeColor="background1" w:themeShade="A6"/>
              <w:bottom w:val="single" w:sz="4" w:space="0" w:color="auto"/>
            </w:tcBorders>
          </w:tcPr>
          <w:p w:rsidR="00113395" w:rsidRDefault="00113395" w:rsidP="00F23E6F">
            <w:pPr>
              <w:pStyle w:val="NoSpacing"/>
              <w:jc w:val="center"/>
            </w:pPr>
          </w:p>
        </w:tc>
        <w:tc>
          <w:tcPr>
            <w:tcW w:w="4111" w:type="dxa"/>
            <w:vMerge/>
            <w:tcBorders>
              <w:top w:val="single" w:sz="4" w:space="0" w:color="A6A6A6" w:themeColor="background1" w:themeShade="A6"/>
              <w:bottom w:val="single" w:sz="4" w:space="0" w:color="auto"/>
            </w:tcBorders>
            <w:vAlign w:val="center"/>
          </w:tcPr>
          <w:p w:rsidR="00113395" w:rsidRDefault="00113395" w:rsidP="00AA708E">
            <w:pPr>
              <w:pStyle w:val="NoSpacing"/>
              <w:jc w:val="center"/>
            </w:pPr>
          </w:p>
        </w:tc>
        <w:tc>
          <w:tcPr>
            <w:tcW w:w="1276" w:type="dxa"/>
            <w:tcBorders>
              <w:top w:val="single" w:sz="4" w:space="0" w:color="A6A6A6" w:themeColor="background1" w:themeShade="A6"/>
              <w:bottom w:val="single" w:sz="4" w:space="0" w:color="auto"/>
            </w:tcBorders>
            <w:vAlign w:val="center"/>
          </w:tcPr>
          <w:p w:rsidR="00113395" w:rsidRDefault="00113395" w:rsidP="00AA708E">
            <w:pPr>
              <w:pStyle w:val="NoSpacing"/>
              <w:jc w:val="right"/>
            </w:pPr>
            <w:r>
              <w:t>Jul 2014</w:t>
            </w:r>
          </w:p>
        </w:tc>
        <w:tc>
          <w:tcPr>
            <w:tcW w:w="946" w:type="dxa"/>
            <w:tcBorders>
              <w:top w:val="single" w:sz="4" w:space="0" w:color="A6A6A6" w:themeColor="background1" w:themeShade="A6"/>
              <w:bottom w:val="single" w:sz="4" w:space="0" w:color="auto"/>
            </w:tcBorders>
          </w:tcPr>
          <w:p w:rsidR="00113395" w:rsidRDefault="00113395" w:rsidP="00AA708E">
            <w:pPr>
              <w:pStyle w:val="NoSpacing"/>
              <w:jc w:val="right"/>
            </w:pPr>
            <w:r>
              <w:t>5.2%</w:t>
            </w:r>
          </w:p>
        </w:tc>
        <w:tc>
          <w:tcPr>
            <w:tcW w:w="897" w:type="dxa"/>
            <w:tcBorders>
              <w:top w:val="single" w:sz="4" w:space="0" w:color="A6A6A6" w:themeColor="background1" w:themeShade="A6"/>
              <w:bottom w:val="single" w:sz="4" w:space="0" w:color="auto"/>
            </w:tcBorders>
          </w:tcPr>
          <w:p w:rsidR="00113395" w:rsidRDefault="00113395" w:rsidP="00AA708E">
            <w:pPr>
              <w:pStyle w:val="NoSpacing"/>
              <w:jc w:val="right"/>
            </w:pPr>
            <w:r>
              <w:t>5.3%</w:t>
            </w:r>
          </w:p>
        </w:tc>
      </w:tr>
    </w:tbl>
    <w:p w:rsidR="00C3748B" w:rsidRDefault="00C3748B" w:rsidP="008A58CE">
      <w:pPr>
        <w:pStyle w:val="NoSpacing"/>
      </w:pPr>
    </w:p>
    <w:p w:rsidR="008A58CE" w:rsidRDefault="008A58CE" w:rsidP="006F4168">
      <w:r>
        <w:t>At the national level, most revisions are imperceptible compared against the variation from month to month. The largest two revisions for all England are for Red 2 response (Figure 10) and re-contacts after discharge on the scene (Figure 11).</w:t>
      </w:r>
    </w:p>
    <w:p w:rsidR="00D03A3C" w:rsidRDefault="008A58CE" w:rsidP="006F4168">
      <w:r>
        <w:rPr>
          <w:noProof/>
        </w:rPr>
        <w:drawing>
          <wp:inline distT="0" distB="0" distL="0" distR="0" wp14:anchorId="027141B3" wp14:editId="4DF21D6F">
            <wp:extent cx="2688590" cy="17316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8590" cy="1731645"/>
                    </a:xfrm>
                    <a:prstGeom prst="rect">
                      <a:avLst/>
                    </a:prstGeom>
                    <a:noFill/>
                  </pic:spPr>
                </pic:pic>
              </a:graphicData>
            </a:graphic>
          </wp:inline>
        </w:drawing>
      </w:r>
      <w:r w:rsidR="00D03A3C">
        <w:t xml:space="preserve"> </w:t>
      </w:r>
      <w:r>
        <w:rPr>
          <w:noProof/>
        </w:rPr>
        <w:drawing>
          <wp:inline distT="0" distB="0" distL="0" distR="0" wp14:anchorId="5C600803" wp14:editId="6B204004">
            <wp:extent cx="2926080" cy="1731645"/>
            <wp:effectExtent l="0" t="0" r="762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6080" cy="1731645"/>
                    </a:xfrm>
                    <a:prstGeom prst="rect">
                      <a:avLst/>
                    </a:prstGeom>
                    <a:noFill/>
                  </pic:spPr>
                </pic:pic>
              </a:graphicData>
            </a:graphic>
          </wp:inline>
        </w:drawing>
      </w:r>
    </w:p>
    <w:p w:rsidR="003A0D0C" w:rsidRDefault="003A0D0C" w:rsidP="003A0D0C">
      <w:pPr>
        <w:pStyle w:val="Heading2"/>
      </w:pPr>
      <w:r>
        <w:lastRenderedPageBreak/>
        <w:t>B.</w:t>
      </w:r>
      <w:r>
        <w:tab/>
      </w:r>
      <w:r w:rsidRPr="00151AF2">
        <w:t>Clinical Outcomes</w:t>
      </w:r>
    </w:p>
    <w:p w:rsidR="003A0D0C" w:rsidRDefault="003A0D0C" w:rsidP="003A0D0C">
      <w:r>
        <w:t>N</w:t>
      </w:r>
      <w:r w:rsidRPr="005538AF">
        <w:t xml:space="preserve">o thresholds to denote “poor” care </w:t>
      </w:r>
      <w:r>
        <w:t xml:space="preserve">are </w:t>
      </w:r>
      <w:r w:rsidRPr="005538AF">
        <w:t>set for</w:t>
      </w:r>
      <w:r>
        <w:t xml:space="preserve"> Clinical Outcomes. </w:t>
      </w:r>
      <w:r w:rsidRPr="00E76C17">
        <w:t xml:space="preserve">Commissioners </w:t>
      </w:r>
      <w:r>
        <w:t xml:space="preserve">are </w:t>
      </w:r>
      <w:r w:rsidRPr="00E76C17">
        <w:t xml:space="preserve">expected to examine trends in these data, and work in collaboration with </w:t>
      </w:r>
      <w:r>
        <w:t>Ambu</w:t>
      </w:r>
      <w:r w:rsidRPr="00E76C17">
        <w:t xml:space="preserve">lance </w:t>
      </w:r>
      <w:r>
        <w:t>Trus</w:t>
      </w:r>
      <w:r w:rsidRPr="00E76C17">
        <w:t>ts to achieve sustained improvements over time</w:t>
      </w:r>
      <w:r w:rsidRPr="005538AF">
        <w:t xml:space="preserve"> improvement in patient outcomes over time</w:t>
      </w:r>
      <w:r>
        <w:t>; but c</w:t>
      </w:r>
      <w:r w:rsidRPr="00E76C17">
        <w:t xml:space="preserve">ommissioners </w:t>
      </w:r>
      <w:r>
        <w:t xml:space="preserve">are </w:t>
      </w:r>
      <w:r w:rsidRPr="00E76C17">
        <w:t xml:space="preserve">not expected to use Clinical Outcomes to performance manage </w:t>
      </w:r>
      <w:r>
        <w:t>Trus</w:t>
      </w:r>
      <w:r w:rsidRPr="00E76C17">
        <w:t xml:space="preserve">ts, </w:t>
      </w:r>
      <w:r>
        <w:t xml:space="preserve">because </w:t>
      </w:r>
      <w:r w:rsidRPr="00E76C17">
        <w:t>there will be significant variations in the populations served</w:t>
      </w:r>
      <w:r>
        <w:t>.</w:t>
      </w:r>
    </w:p>
    <w:p w:rsidR="00177CDB" w:rsidRPr="005C1BA6" w:rsidRDefault="00CB58C3" w:rsidP="003A0D0C">
      <w:r>
        <w:t>T</w:t>
      </w:r>
      <w:r w:rsidR="00177CDB">
        <w:t>he DoD pilot</w:t>
      </w:r>
      <w:r>
        <w:t xml:space="preserve"> described in section A2</w:t>
      </w:r>
      <w:r w:rsidR="00177CDB">
        <w:t xml:space="preserve"> will not affect </w:t>
      </w:r>
      <w:r>
        <w:t>these measures</w:t>
      </w:r>
      <w:r w:rsidR="00177CDB">
        <w:t>.</w:t>
      </w:r>
    </w:p>
    <w:p w:rsidR="003A0D0C" w:rsidRPr="00151AF2" w:rsidRDefault="003A0D0C" w:rsidP="003A0D0C">
      <w:pPr>
        <w:pStyle w:val="Heading3"/>
      </w:pPr>
      <w:r>
        <w:t>B1</w:t>
      </w:r>
      <w:r>
        <w:tab/>
        <w:t>Cardiac arrest:</w:t>
      </w:r>
      <w:r w:rsidRPr="00992442">
        <w:t xml:space="preserve"> </w:t>
      </w:r>
      <w:r w:rsidRPr="00DA6E95">
        <w:t>return of spontaneous circulation (ROSC</w:t>
      </w:r>
      <w:r w:rsidR="00D4605E">
        <w:t xml:space="preserve">) (Figure </w:t>
      </w:r>
      <w:r w:rsidR="00F36218">
        <w:t>12</w:t>
      </w:r>
      <w:r>
        <w:t>)</w:t>
      </w:r>
    </w:p>
    <w:p w:rsidR="0032599C" w:rsidRDefault="0032599C" w:rsidP="0032599C">
      <w:r w:rsidRPr="00DA6E95">
        <w:t xml:space="preserve">In </w:t>
      </w:r>
      <w:r w:rsidR="00A64EB2">
        <w:t>Dece</w:t>
      </w:r>
      <w:r>
        <w:t>mber 2014,</w:t>
      </w:r>
      <w:r w:rsidRPr="00DA6E95">
        <w:t xml:space="preserve"> </w:t>
      </w:r>
      <w:r>
        <w:t xml:space="preserve">there were </w:t>
      </w:r>
      <w:r w:rsidR="00F43D58" w:rsidRPr="00F43D58">
        <w:t>3,376</w:t>
      </w:r>
      <w:r w:rsidRPr="00C21811">
        <w:t xml:space="preserve"> </w:t>
      </w:r>
      <w:r w:rsidRPr="00DA6E95">
        <w:t xml:space="preserve">patients </w:t>
      </w:r>
      <w:r>
        <w:t xml:space="preserve">with </w:t>
      </w:r>
      <w:r w:rsidRPr="00DA6E95">
        <w:t>resuscitation commenced or continued by ambulance staff following an out-of-hospital cardiac arrest</w:t>
      </w:r>
      <w:r>
        <w:t xml:space="preserve"> in England. Of these, </w:t>
      </w:r>
      <w:r w:rsidR="00F43D58" w:rsidRPr="00F43D58">
        <w:t>893</w:t>
      </w:r>
      <w:r>
        <w:t xml:space="preserve"> (</w:t>
      </w:r>
      <w:r w:rsidR="00F43D58">
        <w:t>2</w:t>
      </w:r>
      <w:r w:rsidR="00CB58C3">
        <w:t>6</w:t>
      </w:r>
      <w:r w:rsidR="00F43D58" w:rsidRPr="00F43D58">
        <w:t>%</w:t>
      </w:r>
      <w:r>
        <w:t xml:space="preserve">) </w:t>
      </w:r>
      <w:r w:rsidRPr="00DA6E95">
        <w:t xml:space="preserve">had </w:t>
      </w:r>
      <w:r>
        <w:t>ROSC</w:t>
      </w:r>
      <w:r w:rsidRPr="00DA6E95">
        <w:t xml:space="preserve"> on arrival </w:t>
      </w:r>
      <w:r>
        <w:t xml:space="preserve">at hospital, which was similar to the average </w:t>
      </w:r>
      <w:r w:rsidRPr="00296E05">
        <w:t xml:space="preserve">for </w:t>
      </w:r>
      <w:r>
        <w:t xml:space="preserve">the </w:t>
      </w:r>
      <w:r w:rsidRPr="00296E05">
        <w:t>year ending September 2014</w:t>
      </w:r>
      <w:r w:rsidRPr="00C344CA">
        <w:t xml:space="preserve"> </w:t>
      </w:r>
      <w:r>
        <w:t xml:space="preserve">of </w:t>
      </w:r>
      <w:r w:rsidR="00D4605E">
        <w:t>27</w:t>
      </w:r>
      <w:r w:rsidRPr="00D13275">
        <w:t>%</w:t>
      </w:r>
      <w:r w:rsidRPr="00296E05">
        <w:t>.</w:t>
      </w:r>
      <w:r w:rsidR="003C24D1">
        <w:t xml:space="preserve"> </w:t>
      </w:r>
      <w:r>
        <w:t>The largest</w:t>
      </w:r>
      <w:r w:rsidR="00F43D58">
        <w:rPr>
          <w:rStyle w:val="FootnoteReference"/>
          <w:rFonts w:cs="Arial"/>
        </w:rPr>
        <w:footnoteReference w:id="9"/>
      </w:r>
      <w:r w:rsidRPr="00992442">
        <w:t xml:space="preserve"> </w:t>
      </w:r>
      <w:r>
        <w:t xml:space="preserve">proportion </w:t>
      </w:r>
      <w:r w:rsidR="00D124B3">
        <w:t>i</w:t>
      </w:r>
      <w:r w:rsidR="00D124B3" w:rsidRPr="00DA6E95">
        <w:t xml:space="preserve">n </w:t>
      </w:r>
      <w:r w:rsidR="00A64EB2">
        <w:t>Dece</w:t>
      </w:r>
      <w:r w:rsidR="00D124B3">
        <w:t xml:space="preserve">mber 2014 </w:t>
      </w:r>
      <w:r>
        <w:t xml:space="preserve">was </w:t>
      </w:r>
      <w:r w:rsidR="00F43D58">
        <w:t>31</w:t>
      </w:r>
      <w:r w:rsidRPr="00C21811">
        <w:t xml:space="preserve">% </w:t>
      </w:r>
      <w:r>
        <w:t xml:space="preserve">for </w:t>
      </w:r>
      <w:r w:rsidR="00F43D58">
        <w:t>London</w:t>
      </w:r>
      <w:r>
        <w:t xml:space="preserve">, and the smallest was </w:t>
      </w:r>
      <w:r w:rsidR="00CB58C3">
        <w:t>19</w:t>
      </w:r>
      <w:r w:rsidRPr="00C21811">
        <w:t xml:space="preserve">% </w:t>
      </w:r>
      <w:r>
        <w:t xml:space="preserve">for </w:t>
      </w:r>
      <w:r w:rsidR="00CB58C3">
        <w:t xml:space="preserve">North </w:t>
      </w:r>
      <w:r w:rsidRPr="00745962">
        <w:t>East</w:t>
      </w:r>
      <w:r w:rsidRPr="001C688D">
        <w:t>.</w:t>
      </w:r>
      <w:r>
        <w:t xml:space="preserve"> </w:t>
      </w:r>
    </w:p>
    <w:p w:rsidR="00D124B3" w:rsidRDefault="00F36218" w:rsidP="003A0D0C">
      <w:r>
        <w:rPr>
          <w:noProof/>
        </w:rPr>
        <w:drawing>
          <wp:inline distT="0" distB="0" distL="0" distR="0" wp14:anchorId="5C62713F">
            <wp:extent cx="5675630" cy="3347085"/>
            <wp:effectExtent l="0" t="0" r="127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5630" cy="3347085"/>
                    </a:xfrm>
                    <a:prstGeom prst="rect">
                      <a:avLst/>
                    </a:prstGeom>
                    <a:noFill/>
                  </pic:spPr>
                </pic:pic>
              </a:graphicData>
            </a:graphic>
          </wp:inline>
        </w:drawing>
      </w:r>
    </w:p>
    <w:p w:rsidR="00F36218" w:rsidRDefault="003A0D0C" w:rsidP="003A0D0C">
      <w:pPr>
        <w:rPr>
          <w:rFonts w:cs="Arial"/>
        </w:rPr>
      </w:pPr>
      <w:r>
        <w:t xml:space="preserve">The Utstein group comprises patients who had resuscitation commenced or </w:t>
      </w:r>
      <w:r w:rsidRPr="00DA6E95">
        <w:t xml:space="preserve">continued by </w:t>
      </w:r>
      <w:r>
        <w:t>the A</w:t>
      </w:r>
      <w:r w:rsidRPr="00DA6E95">
        <w:t xml:space="preserve">mbulance </w:t>
      </w:r>
      <w:r>
        <w:t>S</w:t>
      </w:r>
      <w:r w:rsidRPr="00DA6E95">
        <w:t>ervice</w:t>
      </w:r>
      <w:r>
        <w:t>s,</w:t>
      </w:r>
      <w:r w:rsidRPr="00DA6E95">
        <w:t xml:space="preserve"> following an out-of-hospital cardiac arrest of presumed cardiac origin, where the arrest was bystander witnessed</w:t>
      </w:r>
      <w:r>
        <w:t>,</w:t>
      </w:r>
      <w:r w:rsidRPr="00DA6E95">
        <w:t xml:space="preserve"> and the initial rhythm was </w:t>
      </w:r>
      <w:r w:rsidRPr="00444612">
        <w:rPr>
          <w:rFonts w:cs="Arial"/>
        </w:rPr>
        <w:t>Ventricular Fibrillation or Ventricular Tachycardia</w:t>
      </w:r>
      <w:r>
        <w:rPr>
          <w:rFonts w:cs="Arial"/>
        </w:rPr>
        <w:t>.</w:t>
      </w:r>
      <w:r>
        <w:rPr>
          <w:rStyle w:val="FootnoteReference"/>
          <w:rFonts w:cs="Arial"/>
        </w:rPr>
        <w:footnoteReference w:id="10"/>
      </w:r>
      <w:r w:rsidR="00CB58C3">
        <w:rPr>
          <w:rFonts w:cs="Arial"/>
        </w:rPr>
        <w:t xml:space="preserve"> </w:t>
      </w:r>
      <w:r w:rsidR="002221E6">
        <w:rPr>
          <w:rFonts w:cs="Arial"/>
        </w:rPr>
        <w:t>The Utstein group therefore ha</w:t>
      </w:r>
      <w:r w:rsidR="00CB58C3">
        <w:rPr>
          <w:rFonts w:cs="Arial"/>
        </w:rPr>
        <w:t>ve a better chance of survival.</w:t>
      </w:r>
    </w:p>
    <w:p w:rsidR="003A0D0C" w:rsidRDefault="002221E6" w:rsidP="003A0D0C">
      <w:pPr>
        <w:rPr>
          <w:rFonts w:cs="Arial"/>
        </w:rPr>
      </w:pPr>
      <w:r>
        <w:rPr>
          <w:rFonts w:cs="Arial"/>
        </w:rPr>
        <w:lastRenderedPageBreak/>
        <w:t xml:space="preserve">There are generally fewer than 50 patients in </w:t>
      </w:r>
      <w:r w:rsidR="00CB58C3">
        <w:rPr>
          <w:rFonts w:cs="Arial"/>
        </w:rPr>
        <w:t xml:space="preserve">the Utstein group in </w:t>
      </w:r>
      <w:r>
        <w:rPr>
          <w:rFonts w:cs="Arial"/>
        </w:rPr>
        <w:t>each trust each month, so percentages calculated</w:t>
      </w:r>
      <w:r w:rsidR="00D124B3">
        <w:rPr>
          <w:rFonts w:cs="Arial"/>
        </w:rPr>
        <w:t xml:space="preserve"> for them can vary considerably, and changes are often not statistically significant.</w:t>
      </w:r>
    </w:p>
    <w:p w:rsidR="0032599C" w:rsidRDefault="0032599C" w:rsidP="0032599C">
      <w:r>
        <w:rPr>
          <w:rFonts w:cs="Arial"/>
        </w:rPr>
        <w:t>Of</w:t>
      </w:r>
      <w:r w:rsidRPr="00BF249B">
        <w:rPr>
          <w:rFonts w:cs="Arial"/>
        </w:rPr>
        <w:t xml:space="preserve"> </w:t>
      </w:r>
      <w:r>
        <w:rPr>
          <w:rFonts w:cs="Arial"/>
        </w:rPr>
        <w:t xml:space="preserve">the </w:t>
      </w:r>
      <w:r w:rsidRPr="00745962">
        <w:rPr>
          <w:rFonts w:cs="Arial"/>
        </w:rPr>
        <w:t>3</w:t>
      </w:r>
      <w:r w:rsidR="003E5931">
        <w:rPr>
          <w:rFonts w:cs="Arial"/>
        </w:rPr>
        <w:t>41</w:t>
      </w:r>
      <w:r w:rsidRPr="00BF249B">
        <w:rPr>
          <w:rFonts w:cs="Arial"/>
        </w:rPr>
        <w:t xml:space="preserve"> </w:t>
      </w:r>
      <w:r w:rsidR="00CB58C3">
        <w:rPr>
          <w:rFonts w:cs="Arial"/>
        </w:rPr>
        <w:t>such</w:t>
      </w:r>
      <w:r w:rsidRPr="00BF249B">
        <w:rPr>
          <w:rFonts w:cs="Arial"/>
        </w:rPr>
        <w:t xml:space="preserve"> patients </w:t>
      </w:r>
      <w:r>
        <w:t>in England</w:t>
      </w:r>
      <w:r w:rsidRPr="00BF249B">
        <w:rPr>
          <w:rFonts w:cs="Arial"/>
        </w:rPr>
        <w:t xml:space="preserve"> in </w:t>
      </w:r>
      <w:r w:rsidR="00A64EB2">
        <w:rPr>
          <w:rFonts w:cs="Arial"/>
        </w:rPr>
        <w:t>Dece</w:t>
      </w:r>
      <w:r w:rsidRPr="00745962">
        <w:rPr>
          <w:rFonts w:cs="Arial"/>
        </w:rPr>
        <w:t>mber</w:t>
      </w:r>
      <w:r w:rsidRPr="00BF249B">
        <w:rPr>
          <w:rFonts w:cs="Arial"/>
        </w:rPr>
        <w:t xml:space="preserve"> 2014, </w:t>
      </w:r>
      <w:r w:rsidR="003E5931">
        <w:rPr>
          <w:rFonts w:cs="Arial"/>
        </w:rPr>
        <w:t>45</w:t>
      </w:r>
      <w:r w:rsidRPr="00745962">
        <w:rPr>
          <w:rFonts w:cs="Arial"/>
        </w:rPr>
        <w:t xml:space="preserve">% </w:t>
      </w:r>
      <w:r w:rsidRPr="00BF249B">
        <w:rPr>
          <w:rFonts w:cs="Arial"/>
        </w:rPr>
        <w:t xml:space="preserve">had </w:t>
      </w:r>
      <w:r>
        <w:rPr>
          <w:rFonts w:cs="Arial"/>
        </w:rPr>
        <w:t>ROSC</w:t>
      </w:r>
      <w:r w:rsidRPr="00BF249B">
        <w:rPr>
          <w:rFonts w:cs="Arial"/>
        </w:rPr>
        <w:t xml:space="preserve"> on arrival at hospital</w:t>
      </w:r>
      <w:r>
        <w:rPr>
          <w:rFonts w:cs="Arial"/>
        </w:rPr>
        <w:t xml:space="preserve">, not significantly different to the </w:t>
      </w:r>
      <w:r w:rsidRPr="00BF249B">
        <w:rPr>
          <w:rFonts w:cs="Arial"/>
        </w:rPr>
        <w:t>average for the year ending September 2014</w:t>
      </w:r>
      <w:r>
        <w:rPr>
          <w:rFonts w:cs="Arial"/>
        </w:rPr>
        <w:t xml:space="preserve"> of </w:t>
      </w:r>
      <w:r w:rsidR="002221E6">
        <w:rPr>
          <w:rFonts w:cs="Arial"/>
        </w:rPr>
        <w:t>48</w:t>
      </w:r>
      <w:r w:rsidRPr="00BF249B">
        <w:rPr>
          <w:rFonts w:cs="Arial"/>
        </w:rPr>
        <w:t>%.</w:t>
      </w:r>
      <w:r>
        <w:rPr>
          <w:rFonts w:cs="Arial"/>
        </w:rPr>
        <w:t xml:space="preserve"> </w:t>
      </w:r>
      <w:r>
        <w:t>The largest</w:t>
      </w:r>
      <w:r>
        <w:rPr>
          <w:vertAlign w:val="superscript"/>
        </w:rPr>
        <w:t xml:space="preserve"> </w:t>
      </w:r>
      <w:r>
        <w:t xml:space="preserve">proportion in </w:t>
      </w:r>
      <w:r w:rsidRPr="00BF249B">
        <w:rPr>
          <w:rFonts w:cs="Arial"/>
        </w:rPr>
        <w:t xml:space="preserve">the month of </w:t>
      </w:r>
      <w:r w:rsidR="00A64EB2">
        <w:rPr>
          <w:rFonts w:cs="Arial"/>
        </w:rPr>
        <w:t>Dece</w:t>
      </w:r>
      <w:r w:rsidR="002221E6">
        <w:rPr>
          <w:rFonts w:cs="Arial"/>
        </w:rPr>
        <w:t>mber</w:t>
      </w:r>
      <w:r w:rsidRPr="00BF249B">
        <w:rPr>
          <w:rFonts w:cs="Arial"/>
        </w:rPr>
        <w:t xml:space="preserve"> 2014</w:t>
      </w:r>
      <w:r>
        <w:rPr>
          <w:rFonts w:cs="Arial"/>
        </w:rPr>
        <w:t xml:space="preserve"> </w:t>
      </w:r>
      <w:r>
        <w:t xml:space="preserve">was </w:t>
      </w:r>
      <w:r w:rsidR="003E5931">
        <w:t>55</w:t>
      </w:r>
      <w:r w:rsidRPr="00745962">
        <w:t xml:space="preserve">% </w:t>
      </w:r>
      <w:r>
        <w:t xml:space="preserve">for </w:t>
      </w:r>
      <w:r w:rsidR="003E5931">
        <w:t xml:space="preserve">London and </w:t>
      </w:r>
      <w:r w:rsidR="002221E6">
        <w:t xml:space="preserve">South </w:t>
      </w:r>
      <w:r w:rsidR="003E5931">
        <w:t>East Coast</w:t>
      </w:r>
      <w:r>
        <w:t xml:space="preserve">, and the smallest was </w:t>
      </w:r>
      <w:r w:rsidR="003E5931">
        <w:t>30</w:t>
      </w:r>
      <w:r w:rsidRPr="00745962">
        <w:t>%</w:t>
      </w:r>
      <w:r w:rsidRPr="00EF3B4A">
        <w:t xml:space="preserve"> </w:t>
      </w:r>
      <w:r>
        <w:t xml:space="preserve">for </w:t>
      </w:r>
      <w:r w:rsidR="003E5931">
        <w:t>South Central</w:t>
      </w:r>
      <w:r>
        <w:t>.</w:t>
      </w:r>
    </w:p>
    <w:p w:rsidR="003A0D0C" w:rsidRDefault="003A0D0C" w:rsidP="003A0D0C">
      <w:pPr>
        <w:pStyle w:val="Heading3"/>
      </w:pPr>
      <w:r>
        <w:t>B2</w:t>
      </w:r>
      <w:r>
        <w:tab/>
        <w:t xml:space="preserve">Cardiac arrest: survival to discharge (Figure </w:t>
      </w:r>
      <w:r w:rsidR="00F36218">
        <w:t>13</w:t>
      </w:r>
      <w:r>
        <w:t>)</w:t>
      </w:r>
      <w:r w:rsidR="00D4605E" w:rsidRPr="00D4605E">
        <w:rPr>
          <w:noProof/>
        </w:rPr>
        <w:t xml:space="preserve"> </w:t>
      </w:r>
    </w:p>
    <w:p w:rsidR="0032599C" w:rsidRDefault="0032599C" w:rsidP="0032599C">
      <w:r>
        <w:t xml:space="preserve">The proportion of cardiac arrest patients in England discharged from hospital alive was </w:t>
      </w:r>
      <w:r w:rsidR="0067269D">
        <w:t>7</w:t>
      </w:r>
      <w:r>
        <w:t xml:space="preserve">% in </w:t>
      </w:r>
      <w:r w:rsidR="00A64EB2">
        <w:t>Dece</w:t>
      </w:r>
      <w:r w:rsidRPr="00FF2701">
        <w:t>mber</w:t>
      </w:r>
      <w:r>
        <w:t xml:space="preserve"> 2014, </w:t>
      </w:r>
      <w:r w:rsidR="0095326B">
        <w:t>similar to</w:t>
      </w:r>
      <w:r w:rsidR="0067269D">
        <w:t xml:space="preserve"> </w:t>
      </w:r>
      <w:r>
        <w:t>the average</w:t>
      </w:r>
      <w:r w:rsidR="0067269D">
        <w:t xml:space="preserve"> </w:t>
      </w:r>
      <w:r w:rsidR="00CB58C3">
        <w:t xml:space="preserve">of </w:t>
      </w:r>
      <w:r w:rsidR="0067269D">
        <w:t>9%</w:t>
      </w:r>
      <w:r>
        <w:t xml:space="preserve"> for the year ending September 2014. The largest</w:t>
      </w:r>
      <w:r w:rsidR="00F36218">
        <w:rPr>
          <w:rStyle w:val="FootnoteReference"/>
          <w:rFonts w:cs="Arial"/>
        </w:rPr>
        <w:footnoteReference w:id="11"/>
      </w:r>
      <w:r>
        <w:rPr>
          <w:vertAlign w:val="superscript"/>
        </w:rPr>
        <w:t xml:space="preserve"> </w:t>
      </w:r>
      <w:r>
        <w:t>proportion for survival to discharge</w:t>
      </w:r>
      <w:r w:rsidRPr="0066320C">
        <w:rPr>
          <w:rFonts w:cs="Arial"/>
        </w:rPr>
        <w:t xml:space="preserve"> </w:t>
      </w:r>
      <w:r>
        <w:rPr>
          <w:rFonts w:cs="Arial"/>
        </w:rPr>
        <w:t xml:space="preserve">in </w:t>
      </w:r>
      <w:r w:rsidRPr="00BF249B">
        <w:rPr>
          <w:rFonts w:cs="Arial"/>
        </w:rPr>
        <w:t xml:space="preserve">the month of </w:t>
      </w:r>
      <w:r w:rsidR="00A64EB2">
        <w:t>Dece</w:t>
      </w:r>
      <w:r w:rsidR="002221E6" w:rsidRPr="00FF2701">
        <w:t>mber</w:t>
      </w:r>
      <w:r w:rsidR="002221E6">
        <w:t xml:space="preserve"> </w:t>
      </w:r>
      <w:r w:rsidRPr="00BF249B">
        <w:rPr>
          <w:rFonts w:cs="Arial"/>
        </w:rPr>
        <w:t>2014</w:t>
      </w:r>
      <w:r>
        <w:t xml:space="preserve"> was </w:t>
      </w:r>
      <w:r w:rsidR="00CB58C3">
        <w:t>13</w:t>
      </w:r>
      <w:r w:rsidR="0067269D" w:rsidRPr="0067269D">
        <w:t>%</w:t>
      </w:r>
      <w:r w:rsidRPr="005A5CE2">
        <w:t xml:space="preserve"> </w:t>
      </w:r>
      <w:r>
        <w:t xml:space="preserve">for South Central, and the smallest was </w:t>
      </w:r>
      <w:r w:rsidR="002221E6">
        <w:t>4</w:t>
      </w:r>
      <w:r w:rsidRPr="005A5CE2">
        <w:t>%</w:t>
      </w:r>
      <w:r>
        <w:t xml:space="preserve"> for </w:t>
      </w:r>
      <w:r w:rsidR="002221E6">
        <w:t xml:space="preserve">North </w:t>
      </w:r>
      <w:r w:rsidRPr="00AF0B61">
        <w:t>East</w:t>
      </w:r>
      <w:r>
        <w:t>.</w:t>
      </w:r>
    </w:p>
    <w:p w:rsidR="00D124B3" w:rsidRDefault="0032599C" w:rsidP="0032599C">
      <w:r>
        <w:t xml:space="preserve">For the Utstein group in </w:t>
      </w:r>
      <w:r w:rsidR="00A64EB2">
        <w:t>Dece</w:t>
      </w:r>
      <w:r w:rsidRPr="004C6F83">
        <w:t xml:space="preserve">mber </w:t>
      </w:r>
      <w:r>
        <w:t xml:space="preserve">2014, survival to discharge was </w:t>
      </w:r>
      <w:r w:rsidR="002221E6">
        <w:t>24</w:t>
      </w:r>
      <w:r w:rsidRPr="004C6F83">
        <w:t>%</w:t>
      </w:r>
      <w:r>
        <w:t xml:space="preserve"> in England, </w:t>
      </w:r>
      <w:r w:rsidR="002221E6">
        <w:t xml:space="preserve">not significantly different </w:t>
      </w:r>
      <w:r>
        <w:t xml:space="preserve">to the </w:t>
      </w:r>
      <w:r w:rsidRPr="002A2463">
        <w:t xml:space="preserve">average of </w:t>
      </w:r>
      <w:r w:rsidRPr="00F42D71">
        <w:t>26%</w:t>
      </w:r>
      <w:r>
        <w:t xml:space="preserve"> for the year ending September 2014. The largest</w:t>
      </w:r>
      <w:r w:rsidR="00F36218">
        <w:rPr>
          <w:vertAlign w:val="superscript"/>
        </w:rPr>
        <w:t>11</w:t>
      </w:r>
      <w:r>
        <w:t xml:space="preserve"> proportion in </w:t>
      </w:r>
      <w:r w:rsidRPr="00BF249B">
        <w:rPr>
          <w:rFonts w:cs="Arial"/>
        </w:rPr>
        <w:t xml:space="preserve">the month of </w:t>
      </w:r>
      <w:r w:rsidR="00A64EB2">
        <w:rPr>
          <w:rFonts w:cs="Arial"/>
        </w:rPr>
        <w:t>Dece</w:t>
      </w:r>
      <w:r w:rsidRPr="004C6F83">
        <w:rPr>
          <w:rFonts w:cs="Arial"/>
        </w:rPr>
        <w:t xml:space="preserve">mber </w:t>
      </w:r>
      <w:r w:rsidRPr="00BF249B">
        <w:rPr>
          <w:rFonts w:cs="Arial"/>
        </w:rPr>
        <w:t>2014</w:t>
      </w:r>
      <w:r>
        <w:t xml:space="preserve"> was </w:t>
      </w:r>
      <w:r w:rsidR="00F36218">
        <w:t>41</w:t>
      </w:r>
      <w:r w:rsidR="003F3F9B" w:rsidRPr="003F3F9B">
        <w:t>%</w:t>
      </w:r>
      <w:r w:rsidRPr="004C6F83">
        <w:t xml:space="preserve"> </w:t>
      </w:r>
      <w:r>
        <w:t xml:space="preserve">for </w:t>
      </w:r>
      <w:r w:rsidR="003F3F9B">
        <w:t>Yorkshire</w:t>
      </w:r>
      <w:r>
        <w:t xml:space="preserve">, and the smallest was </w:t>
      </w:r>
      <w:r w:rsidR="003F3F9B">
        <w:t>14</w:t>
      </w:r>
      <w:r w:rsidRPr="004C6F83">
        <w:t xml:space="preserve">% </w:t>
      </w:r>
      <w:r>
        <w:t>for</w:t>
      </w:r>
      <w:r w:rsidR="003F3F9B">
        <w:t xml:space="preserve"> North West</w:t>
      </w:r>
      <w:r>
        <w:t xml:space="preserve">. </w:t>
      </w:r>
    </w:p>
    <w:p w:rsidR="0032599C" w:rsidRDefault="00F36218" w:rsidP="0032599C">
      <w:r>
        <w:rPr>
          <w:noProof/>
        </w:rPr>
        <w:drawing>
          <wp:inline distT="0" distB="0" distL="0" distR="0" wp14:anchorId="662F9EE7">
            <wp:extent cx="5669915" cy="3694430"/>
            <wp:effectExtent l="0" t="0" r="698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915" cy="3694430"/>
                    </a:xfrm>
                    <a:prstGeom prst="rect">
                      <a:avLst/>
                    </a:prstGeom>
                    <a:noFill/>
                  </pic:spPr>
                </pic:pic>
              </a:graphicData>
            </a:graphic>
          </wp:inline>
        </w:drawing>
      </w:r>
    </w:p>
    <w:p w:rsidR="003A0D0C" w:rsidRDefault="003A0D0C" w:rsidP="003A0D0C">
      <w:pPr>
        <w:pStyle w:val="Heading3"/>
      </w:pPr>
      <w:r>
        <w:lastRenderedPageBreak/>
        <w:t>B3</w:t>
      </w:r>
      <w:r>
        <w:tab/>
      </w:r>
      <w:r w:rsidRPr="00DA6E95">
        <w:t>ST-Elevation myocardial infarction</w:t>
      </w:r>
      <w:r w:rsidR="00CD037E">
        <w:t xml:space="preserve"> </w:t>
      </w:r>
      <w:r>
        <w:t xml:space="preserve">(Figure </w:t>
      </w:r>
      <w:r w:rsidR="00F36218">
        <w:t>14</w:t>
      </w:r>
      <w:r>
        <w:t>)</w:t>
      </w:r>
    </w:p>
    <w:p w:rsidR="003A0D0C" w:rsidRDefault="003A0D0C" w:rsidP="003A0D0C">
      <w:r>
        <w:rPr>
          <w:rFonts w:cs="Arial"/>
        </w:rPr>
        <w:t>ST-</w:t>
      </w:r>
      <w:r w:rsidRPr="002C522F">
        <w:rPr>
          <w:rFonts w:cs="Arial"/>
        </w:rPr>
        <w:t>segment elevation myocardial infarction</w:t>
      </w:r>
      <w:r>
        <w:rPr>
          <w:rFonts w:cs="Arial"/>
        </w:rPr>
        <w:t xml:space="preserve"> </w:t>
      </w:r>
      <w:r w:rsidR="00CD037E">
        <w:rPr>
          <w:rFonts w:cs="Arial"/>
        </w:rPr>
        <w:t xml:space="preserve">(STEMI) </w:t>
      </w:r>
      <w:r w:rsidRPr="002C522F">
        <w:rPr>
          <w:rFonts w:cs="Arial"/>
        </w:rPr>
        <w:t>is a type of heart</w:t>
      </w:r>
      <w:r>
        <w:rPr>
          <w:rFonts w:cs="Arial"/>
        </w:rPr>
        <w:t xml:space="preserve"> </w:t>
      </w:r>
      <w:r w:rsidRPr="002C522F">
        <w:rPr>
          <w:rFonts w:cs="Arial"/>
        </w:rPr>
        <w:t>attack</w:t>
      </w:r>
      <w:r>
        <w:rPr>
          <w:rFonts w:cs="Arial"/>
        </w:rPr>
        <w:t xml:space="preserve">, </w:t>
      </w:r>
      <w:r w:rsidRPr="002C522F">
        <w:rPr>
          <w:rFonts w:cs="Arial"/>
        </w:rPr>
        <w:t>determined by an electrocardiogram (ECG) test.</w:t>
      </w:r>
      <w:r>
        <w:rPr>
          <w:rFonts w:cs="Arial"/>
        </w:rPr>
        <w:t xml:space="preserve"> Early access to reperfusion,</w:t>
      </w:r>
      <w:r w:rsidRPr="002C522F">
        <w:rPr>
          <w:rFonts w:cs="Arial"/>
        </w:rPr>
        <w:t xml:space="preserve"> where blocked arteries are op</w:t>
      </w:r>
      <w:r>
        <w:rPr>
          <w:rFonts w:cs="Arial"/>
        </w:rPr>
        <w:t xml:space="preserve">ened to re-establish blood flow, </w:t>
      </w:r>
      <w:r w:rsidRPr="002C522F">
        <w:rPr>
          <w:rFonts w:cs="Arial"/>
        </w:rPr>
        <w:t>and other assessment and care interventions</w:t>
      </w:r>
      <w:r>
        <w:rPr>
          <w:rFonts w:cs="Arial"/>
        </w:rPr>
        <w:t>,</w:t>
      </w:r>
      <w:r w:rsidRPr="002C522F">
        <w:rPr>
          <w:rFonts w:cs="Arial"/>
        </w:rPr>
        <w:t xml:space="preserve"> are associated with reductions in STEMI</w:t>
      </w:r>
      <w:r>
        <w:rPr>
          <w:rFonts w:cs="Arial"/>
        </w:rPr>
        <w:t xml:space="preserve"> </w:t>
      </w:r>
      <w:r w:rsidRPr="002C522F">
        <w:rPr>
          <w:rFonts w:cs="Arial"/>
        </w:rPr>
        <w:t>mortality and morbidity.</w:t>
      </w:r>
    </w:p>
    <w:p w:rsidR="0032599C" w:rsidRDefault="0032599C" w:rsidP="0032599C">
      <w:r>
        <w:t xml:space="preserve">In </w:t>
      </w:r>
      <w:r w:rsidR="00A64EB2">
        <w:t>Dece</w:t>
      </w:r>
      <w:r w:rsidRPr="00432C67">
        <w:t>mber</w:t>
      </w:r>
      <w:r>
        <w:t xml:space="preserve"> 2014, of </w:t>
      </w:r>
      <w:r w:rsidR="00C03C2F" w:rsidRPr="00C03C2F">
        <w:t>1,421</w:t>
      </w:r>
      <w:r w:rsidR="00F36218">
        <w:t xml:space="preserve"> </w:t>
      </w:r>
      <w:r w:rsidRPr="00DA6E95">
        <w:t>patients with an acute STEMI</w:t>
      </w:r>
      <w:r w:rsidRPr="00940A61">
        <w:t xml:space="preserve"> </w:t>
      </w:r>
      <w:r>
        <w:t xml:space="preserve">in England, </w:t>
      </w:r>
      <w:r w:rsidR="00C03C2F" w:rsidRPr="00C03C2F">
        <w:t xml:space="preserve">1,092 </w:t>
      </w:r>
      <w:r>
        <w:t>(</w:t>
      </w:r>
      <w:r w:rsidRPr="00432C67">
        <w:t>7</w:t>
      </w:r>
      <w:r w:rsidR="00C03C2F">
        <w:t>7</w:t>
      </w:r>
      <w:r w:rsidRPr="00432C67">
        <w:t>%</w:t>
      </w:r>
      <w:r>
        <w:t>)</w:t>
      </w:r>
      <w:r w:rsidRPr="00432C67">
        <w:t xml:space="preserve"> </w:t>
      </w:r>
      <w:r w:rsidRPr="00DA6E95">
        <w:t>received the appropriate care bundle</w:t>
      </w:r>
      <w:r>
        <w:rPr>
          <w:rStyle w:val="FootnoteReference"/>
        </w:rPr>
        <w:footnoteReference w:id="12"/>
      </w:r>
      <w:r w:rsidR="0095326B">
        <w:t xml:space="preserve">, significantly less than the </w:t>
      </w:r>
      <w:r>
        <w:t>proportion for</w:t>
      </w:r>
      <w:r w:rsidRPr="004F37AE">
        <w:t xml:space="preserve"> the year ending September 2014</w:t>
      </w:r>
      <w:r w:rsidR="0095326B">
        <w:t xml:space="preserve"> of 80%</w:t>
      </w:r>
      <w:r>
        <w:t xml:space="preserve">. </w:t>
      </w:r>
      <w:r w:rsidRPr="008132F5">
        <w:t>The largest</w:t>
      </w:r>
      <w:r w:rsidR="00F36218">
        <w:rPr>
          <w:rStyle w:val="FootnoteReference"/>
          <w:rFonts w:cs="Arial"/>
        </w:rPr>
        <w:footnoteReference w:id="13"/>
      </w:r>
      <w:r w:rsidRPr="008132F5">
        <w:t xml:space="preserve"> proportion </w:t>
      </w:r>
      <w:r>
        <w:t xml:space="preserve">for the month of </w:t>
      </w:r>
      <w:r w:rsidR="00A64EB2">
        <w:t>Dece</w:t>
      </w:r>
      <w:r w:rsidRPr="00432C67">
        <w:t xml:space="preserve">mber </w:t>
      </w:r>
      <w:r w:rsidRPr="00C57812">
        <w:t>2014</w:t>
      </w:r>
      <w:r>
        <w:t xml:space="preserve"> </w:t>
      </w:r>
      <w:r w:rsidRPr="008132F5">
        <w:t xml:space="preserve">was </w:t>
      </w:r>
      <w:r w:rsidR="00F36218">
        <w:t>92</w:t>
      </w:r>
      <w:r w:rsidRPr="00432C67">
        <w:t xml:space="preserve">% </w:t>
      </w:r>
      <w:r>
        <w:t>for</w:t>
      </w:r>
      <w:r w:rsidRPr="008132F5">
        <w:t xml:space="preserve"> </w:t>
      </w:r>
      <w:r w:rsidR="00F36218">
        <w:t>North West</w:t>
      </w:r>
      <w:r>
        <w:t xml:space="preserve">, and the </w:t>
      </w:r>
      <w:r w:rsidRPr="008132F5">
        <w:t>smallest</w:t>
      </w:r>
      <w:r>
        <w:rPr>
          <w:vertAlign w:val="superscript"/>
        </w:rPr>
        <w:t xml:space="preserve"> </w:t>
      </w:r>
      <w:r w:rsidRPr="008132F5">
        <w:t xml:space="preserve">was </w:t>
      </w:r>
      <w:r w:rsidR="00F36218">
        <w:t>54</w:t>
      </w:r>
      <w:r w:rsidR="00F36218" w:rsidRPr="00433A74">
        <w:t xml:space="preserve">% </w:t>
      </w:r>
      <w:r w:rsidR="00F36218">
        <w:t xml:space="preserve">for </w:t>
      </w:r>
      <w:r w:rsidR="00F36218" w:rsidRPr="00085A95">
        <w:t>South Central</w:t>
      </w:r>
      <w:r w:rsidRPr="008132F5">
        <w:t>.</w:t>
      </w:r>
    </w:p>
    <w:p w:rsidR="0032599C" w:rsidRDefault="0032599C" w:rsidP="0032599C">
      <w:r>
        <w:t xml:space="preserve">Of </w:t>
      </w:r>
      <w:r w:rsidR="00085A95" w:rsidRPr="00085A95">
        <w:t>1,005</w:t>
      </w:r>
      <w:r w:rsidRPr="00433A74">
        <w:t xml:space="preserve"> </w:t>
      </w:r>
      <w:r>
        <w:t xml:space="preserve">STEMI patients </w:t>
      </w:r>
      <w:r w:rsidRPr="00DA6E95">
        <w:t>receiv</w:t>
      </w:r>
      <w:r>
        <w:t xml:space="preserve">ing </w:t>
      </w:r>
      <w:r w:rsidRPr="00DA6E95">
        <w:t>primary angioplasty</w:t>
      </w:r>
      <w:r w:rsidRPr="00940A61">
        <w:t xml:space="preserve"> </w:t>
      </w:r>
      <w:r>
        <w:t xml:space="preserve">in </w:t>
      </w:r>
      <w:r w:rsidR="00A64EB2">
        <w:t>Dece</w:t>
      </w:r>
      <w:r w:rsidRPr="00433A74">
        <w:t>mber</w:t>
      </w:r>
      <w:r>
        <w:t xml:space="preserve"> 2014 in England</w:t>
      </w:r>
      <w:r w:rsidRPr="00DA6E95">
        <w:t xml:space="preserve">, </w:t>
      </w:r>
      <w:r w:rsidR="00085A95" w:rsidRPr="00085A95">
        <w:t>845</w:t>
      </w:r>
      <w:r w:rsidRPr="00210E7E">
        <w:t xml:space="preserve"> </w:t>
      </w:r>
      <w:r>
        <w:t>(</w:t>
      </w:r>
      <w:r w:rsidR="00CD037E">
        <w:t>8</w:t>
      </w:r>
      <w:r w:rsidR="00085A95">
        <w:t>4</w:t>
      </w:r>
      <w:r w:rsidRPr="00433A74">
        <w:t>%</w:t>
      </w:r>
      <w:r>
        <w:t xml:space="preserve">) of them </w:t>
      </w:r>
      <w:r w:rsidRPr="00DA6E95">
        <w:t xml:space="preserve">received </w:t>
      </w:r>
      <w:r>
        <w:t xml:space="preserve">it </w:t>
      </w:r>
      <w:r w:rsidRPr="00DA6E95">
        <w:t>within 150 minutes of the call being connected to the ambulance service</w:t>
      </w:r>
      <w:r>
        <w:t xml:space="preserve">, </w:t>
      </w:r>
      <w:r w:rsidR="0095326B">
        <w:t>not significantly different</w:t>
      </w:r>
      <w:r w:rsidRPr="00FD58E1">
        <w:t xml:space="preserve"> to </w:t>
      </w:r>
      <w:r>
        <w:t xml:space="preserve">the average for the </w:t>
      </w:r>
      <w:r w:rsidRPr="00320970">
        <w:t>year ending September 2014</w:t>
      </w:r>
      <w:r>
        <w:t xml:space="preserve"> of </w:t>
      </w:r>
      <w:r w:rsidR="00CD037E">
        <w:t>87</w:t>
      </w:r>
      <w:r w:rsidRPr="00210E7E">
        <w:t>%</w:t>
      </w:r>
      <w:r>
        <w:t>.</w:t>
      </w:r>
      <w:r w:rsidRPr="00320970">
        <w:t xml:space="preserve"> </w:t>
      </w:r>
      <w:r w:rsidR="00F36218">
        <w:t xml:space="preserve">East Midlands </w:t>
      </w:r>
      <w:r>
        <w:t>had the largest</w:t>
      </w:r>
      <w:r w:rsidR="00F36218">
        <w:rPr>
          <w:vertAlign w:val="superscript"/>
        </w:rPr>
        <w:t>13</w:t>
      </w:r>
      <w:r>
        <w:rPr>
          <w:vertAlign w:val="superscript"/>
        </w:rPr>
        <w:t xml:space="preserve"> </w:t>
      </w:r>
      <w:r>
        <w:t xml:space="preserve">proportion for the month of </w:t>
      </w:r>
      <w:r w:rsidR="00A64EB2">
        <w:t>Dece</w:t>
      </w:r>
      <w:r w:rsidR="00CD037E" w:rsidRPr="00433A74">
        <w:t>mber</w:t>
      </w:r>
      <w:r w:rsidR="00CD037E">
        <w:t xml:space="preserve"> </w:t>
      </w:r>
      <w:r>
        <w:t xml:space="preserve">2014, with </w:t>
      </w:r>
      <w:r w:rsidR="00085A95">
        <w:t>9</w:t>
      </w:r>
      <w:r w:rsidR="00F36218">
        <w:t>3</w:t>
      </w:r>
      <w:r w:rsidRPr="00433A74">
        <w:t>%</w:t>
      </w:r>
      <w:r>
        <w:t>, and the smallest</w:t>
      </w:r>
      <w:r w:rsidR="00085A95">
        <w:t xml:space="preserve"> </w:t>
      </w:r>
      <w:r>
        <w:t>was</w:t>
      </w:r>
      <w:r w:rsidR="00F36218">
        <w:t xml:space="preserve"> 72</w:t>
      </w:r>
      <w:r w:rsidR="00F36218" w:rsidRPr="00432C67">
        <w:t xml:space="preserve">% </w:t>
      </w:r>
      <w:r w:rsidR="00F36218">
        <w:t>for South Central</w:t>
      </w:r>
      <w:r>
        <w:t>.</w:t>
      </w:r>
    </w:p>
    <w:p w:rsidR="002221E6" w:rsidRPr="008132F5" w:rsidRDefault="00F36218" w:rsidP="0032599C">
      <w:r>
        <w:rPr>
          <w:noProof/>
        </w:rPr>
        <w:drawing>
          <wp:inline distT="0" distB="0" distL="0" distR="0" wp14:anchorId="3252A107">
            <wp:extent cx="5602605" cy="39141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2605" cy="3914140"/>
                    </a:xfrm>
                    <a:prstGeom prst="rect">
                      <a:avLst/>
                    </a:prstGeom>
                    <a:noFill/>
                  </pic:spPr>
                </pic:pic>
              </a:graphicData>
            </a:graphic>
          </wp:inline>
        </w:drawing>
      </w:r>
    </w:p>
    <w:p w:rsidR="00D124B3" w:rsidRDefault="00D124B3" w:rsidP="00D124B3">
      <w:pPr>
        <w:pStyle w:val="NoSpacing"/>
      </w:pPr>
    </w:p>
    <w:p w:rsidR="003A0D0C" w:rsidRDefault="003A0D0C" w:rsidP="003A0D0C">
      <w:pPr>
        <w:pStyle w:val="Heading3"/>
      </w:pPr>
      <w:r>
        <w:t>B4</w:t>
      </w:r>
      <w:r>
        <w:tab/>
        <w:t xml:space="preserve">Stroke (Figure </w:t>
      </w:r>
      <w:r w:rsidR="00F36218">
        <w:t>15)</w:t>
      </w:r>
    </w:p>
    <w:p w:rsidR="003A0D0C" w:rsidRDefault="003A0D0C" w:rsidP="003A0D0C">
      <w:pPr>
        <w:pStyle w:val="NoSpacing"/>
      </w:pPr>
      <w:r>
        <w:t>The FAST procedure helps assess whether someone has suffered a stroke:</w:t>
      </w:r>
    </w:p>
    <w:p w:rsidR="003A0D0C" w:rsidRDefault="003A0D0C" w:rsidP="003A0D0C">
      <w:pPr>
        <w:pStyle w:val="ListBullet"/>
      </w:pPr>
      <w:r w:rsidRPr="002E6965">
        <w:rPr>
          <w:b/>
        </w:rPr>
        <w:t>F</w:t>
      </w:r>
      <w:r>
        <w:t>acial weakness: can the person smile? Has their mouth or eye drooped?</w:t>
      </w:r>
    </w:p>
    <w:p w:rsidR="003A0D0C" w:rsidRDefault="003A0D0C" w:rsidP="003A0D0C">
      <w:pPr>
        <w:pStyle w:val="ListBullet"/>
      </w:pPr>
      <w:r w:rsidRPr="002E6965">
        <w:rPr>
          <w:b/>
        </w:rPr>
        <w:t>A</w:t>
      </w:r>
      <w:r>
        <w:t>rm weakness: can the person raise both arms?</w:t>
      </w:r>
    </w:p>
    <w:p w:rsidR="003A0D0C" w:rsidRDefault="003A0D0C" w:rsidP="003A0D0C">
      <w:pPr>
        <w:pStyle w:val="ListBullet"/>
      </w:pPr>
      <w:r w:rsidRPr="002E6965">
        <w:rPr>
          <w:b/>
        </w:rPr>
        <w:t>S</w:t>
      </w:r>
      <w:r>
        <w:t>peech problems: can the person speak clearly and understand what you say?</w:t>
      </w:r>
    </w:p>
    <w:p w:rsidR="003A0D0C" w:rsidRDefault="003A0D0C" w:rsidP="003A0D0C">
      <w:pPr>
        <w:pStyle w:val="ListBullet"/>
      </w:pPr>
      <w:r w:rsidRPr="002E6965">
        <w:rPr>
          <w:b/>
        </w:rPr>
        <w:t>T</w:t>
      </w:r>
      <w:r>
        <w:t>ime to call 999 for an ambulance if you spot any one of these signs.</w:t>
      </w:r>
    </w:p>
    <w:p w:rsidR="00CD037E" w:rsidRDefault="0032599C" w:rsidP="0032599C">
      <w:r>
        <w:t xml:space="preserve">In </w:t>
      </w:r>
      <w:r w:rsidR="00A64EB2">
        <w:t>Dece</w:t>
      </w:r>
      <w:r w:rsidRPr="00215FD8">
        <w:t>mber</w:t>
      </w:r>
      <w:r>
        <w:t xml:space="preserve"> 2014, of </w:t>
      </w:r>
      <w:r w:rsidR="006463FF" w:rsidRPr="006463FF">
        <w:t xml:space="preserve">3,364 </w:t>
      </w:r>
      <w:r>
        <w:t>FAST positive patients</w:t>
      </w:r>
      <w:r w:rsidRPr="00940A61">
        <w:t xml:space="preserve"> </w:t>
      </w:r>
      <w:r>
        <w:t xml:space="preserve">in England, assessed face to face, and potentially eligible for stroke thrombolysis within agreed local guidelines, </w:t>
      </w:r>
      <w:r w:rsidR="006463FF" w:rsidRPr="006463FF">
        <w:t xml:space="preserve">1,784 </w:t>
      </w:r>
      <w:r>
        <w:t>(</w:t>
      </w:r>
      <w:r w:rsidR="006463FF">
        <w:t>53</w:t>
      </w:r>
      <w:r w:rsidRPr="001067D4">
        <w:t>%</w:t>
      </w:r>
      <w:r>
        <w:t>) arrived at hospitals with</w:t>
      </w:r>
      <w:r w:rsidRPr="00DA6E95">
        <w:t xml:space="preserve"> a hyperacute stroke unit within 60 minutes</w:t>
      </w:r>
      <w:r>
        <w:t xml:space="preserve"> of an emergency call connecting to the ambulance service.</w:t>
      </w:r>
    </w:p>
    <w:p w:rsidR="00CD037E" w:rsidRDefault="00CD037E" w:rsidP="0032599C">
      <w:r>
        <w:t xml:space="preserve">This was the lowest </w:t>
      </w:r>
      <w:r w:rsidR="00E42D55">
        <w:t xml:space="preserve">proportion </w:t>
      </w:r>
      <w:r>
        <w:t xml:space="preserve">since the time series began, and significantly less than the average </w:t>
      </w:r>
      <w:r w:rsidR="0032599C">
        <w:t xml:space="preserve">for the year ending September 2014 </w:t>
      </w:r>
      <w:r>
        <w:t>of 62</w:t>
      </w:r>
      <w:r w:rsidR="0032599C" w:rsidRPr="00210E7E">
        <w:t>%</w:t>
      </w:r>
      <w:r w:rsidR="0032599C">
        <w:t>.</w:t>
      </w:r>
    </w:p>
    <w:p w:rsidR="00033CF1" w:rsidRDefault="00033CF1" w:rsidP="00033CF1">
      <w:r>
        <w:t>The largest</w:t>
      </w:r>
      <w:r w:rsidR="0095326B">
        <w:rPr>
          <w:rStyle w:val="FootnoteReference"/>
          <w:rFonts w:cs="Arial"/>
        </w:rPr>
        <w:footnoteReference w:id="14"/>
      </w:r>
      <w:r>
        <w:t xml:space="preserve"> proportion in the month of</w:t>
      </w:r>
      <w:r w:rsidRPr="00B009BE">
        <w:t xml:space="preserve"> </w:t>
      </w:r>
      <w:r>
        <w:t>Dece</w:t>
      </w:r>
      <w:r w:rsidRPr="00B009BE">
        <w:t xml:space="preserve">mber </w:t>
      </w:r>
      <w:r>
        <w:t>2014 was 63</w:t>
      </w:r>
      <w:r w:rsidRPr="00B009BE">
        <w:t xml:space="preserve">% </w:t>
      </w:r>
      <w:r>
        <w:t>for South East Coast, and the smallest was 43</w:t>
      </w:r>
      <w:r w:rsidRPr="00B009BE">
        <w:t xml:space="preserve">% </w:t>
      </w:r>
      <w:r>
        <w:t>for West Midlands.</w:t>
      </w:r>
    </w:p>
    <w:p w:rsidR="00033CF1" w:rsidRDefault="00033CF1" w:rsidP="00033CF1">
      <w:bookmarkStart w:id="2" w:name="OLE_LINK3"/>
      <w:r>
        <w:t xml:space="preserve">There were </w:t>
      </w:r>
      <w:r w:rsidR="00055BFC" w:rsidRPr="00055BFC">
        <w:t>8,178</w:t>
      </w:r>
      <w:r w:rsidR="00055BFC">
        <w:t xml:space="preserve"> </w:t>
      </w:r>
      <w:r>
        <w:t>stroke patients</w:t>
      </w:r>
      <w:r w:rsidRPr="00940A61">
        <w:t xml:space="preserve"> </w:t>
      </w:r>
      <w:r>
        <w:t>assessed face to face</w:t>
      </w:r>
      <w:r w:rsidRPr="007920B1">
        <w:t xml:space="preserve"> </w:t>
      </w:r>
      <w:r>
        <w:t>in Dece</w:t>
      </w:r>
      <w:r w:rsidRPr="00B009BE">
        <w:t>mber</w:t>
      </w:r>
      <w:r>
        <w:t xml:space="preserve"> 2014</w:t>
      </w:r>
      <w:r w:rsidRPr="007920B1">
        <w:t xml:space="preserve"> </w:t>
      </w:r>
      <w:r>
        <w:t xml:space="preserve">in England, and </w:t>
      </w:r>
      <w:r w:rsidR="00055BFC" w:rsidRPr="00055BFC">
        <w:t xml:space="preserve">7,917 </w:t>
      </w:r>
      <w:r>
        <w:t>(97</w:t>
      </w:r>
      <w:r w:rsidRPr="002502D1">
        <w:t>%</w:t>
      </w:r>
      <w:r>
        <w:t>)</w:t>
      </w:r>
      <w:r w:rsidRPr="001A6875">
        <w:t xml:space="preserve"> </w:t>
      </w:r>
      <w:r>
        <w:t xml:space="preserve">received </w:t>
      </w:r>
      <w:r w:rsidRPr="00DA6E95">
        <w:t>the appropriate care bundle</w:t>
      </w:r>
      <w:r>
        <w:t xml:space="preserve">, the same proportion as the average for the year ending September 2014. </w:t>
      </w:r>
      <w:bookmarkEnd w:id="2"/>
      <w:r>
        <w:t>The largest proportion in the month of Dece</w:t>
      </w:r>
      <w:r w:rsidRPr="002502D1">
        <w:t xml:space="preserve">mber </w:t>
      </w:r>
      <w:r>
        <w:t xml:space="preserve">2014 was </w:t>
      </w:r>
      <w:r w:rsidR="00055BFC" w:rsidRPr="00055BFC">
        <w:t>99.7%</w:t>
      </w:r>
      <w:r w:rsidRPr="002502D1">
        <w:t xml:space="preserve"> </w:t>
      </w:r>
      <w:r>
        <w:t xml:space="preserve">for North West, and the smallest was </w:t>
      </w:r>
      <w:r w:rsidR="00055BFC">
        <w:t>92</w:t>
      </w:r>
      <w:r w:rsidRPr="002502D1">
        <w:t xml:space="preserve">% </w:t>
      </w:r>
      <w:r>
        <w:t xml:space="preserve">for </w:t>
      </w:r>
      <w:r w:rsidR="00055BFC" w:rsidRPr="00055BFC">
        <w:t>South East Coast</w:t>
      </w:r>
      <w:r>
        <w:t>.</w:t>
      </w:r>
    </w:p>
    <w:p w:rsidR="0032599C" w:rsidRDefault="0095326B" w:rsidP="0032599C">
      <w:r>
        <w:rPr>
          <w:noProof/>
        </w:rPr>
        <w:drawing>
          <wp:inline distT="0" distB="0" distL="0" distR="0" wp14:anchorId="6B53505B">
            <wp:extent cx="5663565" cy="35966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3565" cy="3596640"/>
                    </a:xfrm>
                    <a:prstGeom prst="rect">
                      <a:avLst/>
                    </a:prstGeom>
                    <a:noFill/>
                  </pic:spPr>
                </pic:pic>
              </a:graphicData>
            </a:graphic>
          </wp:inline>
        </w:drawing>
      </w:r>
    </w:p>
    <w:p w:rsidR="003A0D0C" w:rsidRDefault="003A0D0C" w:rsidP="003A0D0C">
      <w:pPr>
        <w:pStyle w:val="Heading2"/>
      </w:pPr>
      <w:r>
        <w:lastRenderedPageBreak/>
        <w:t>C.</w:t>
      </w:r>
      <w:r>
        <w:tab/>
        <w:t>Further information on AQI</w:t>
      </w:r>
    </w:p>
    <w:p w:rsidR="003A0D0C" w:rsidRDefault="003A0D0C" w:rsidP="003A0D0C">
      <w:pPr>
        <w:pStyle w:val="Heading3"/>
      </w:pPr>
      <w:r>
        <w:t>C1</w:t>
      </w:r>
      <w:r>
        <w:tab/>
        <w:t>The AQI landing page and Quality Statement</w:t>
      </w:r>
    </w:p>
    <w:p w:rsidR="003A0D0C" w:rsidRDefault="00E42D55" w:rsidP="003A0D0C">
      <w:pPr>
        <w:rPr>
          <w:rFonts w:cs="Arial"/>
        </w:rPr>
      </w:pPr>
      <w:hyperlink r:id="rId25" w:history="1">
        <w:r w:rsidR="003A0D0C" w:rsidRPr="005D248D">
          <w:rPr>
            <w:rStyle w:val="Hyperlink"/>
            <w:rFonts w:cs="Arial"/>
          </w:rPr>
          <w:t>www.england.nhs.uk/statistics/statistical-work-areas/ambulance-quality-indicators</w:t>
        </w:r>
      </w:hyperlink>
      <w:r w:rsidR="003A0D0C">
        <w:rPr>
          <w:rFonts w:cs="Arial"/>
        </w:rPr>
        <w:t xml:space="preserve">, or </w:t>
      </w:r>
      <w:hyperlink r:id="rId26"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the specification guidance 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3A0D0C" w:rsidRDefault="003A0D0C" w:rsidP="003A0D0C">
      <w:pPr>
        <w:pStyle w:val="Heading3"/>
      </w:pPr>
      <w:r>
        <w:t>C2</w:t>
      </w:r>
      <w:r>
        <w:tab/>
        <w:t>Revisions</w:t>
      </w:r>
    </w:p>
    <w:p w:rsidR="003A0D0C" w:rsidRDefault="003A0D0C" w:rsidP="003A0D0C">
      <w:r>
        <w:t>R</w:t>
      </w:r>
      <w:r w:rsidRPr="005538AF">
        <w:t xml:space="preserve">evisions </w:t>
      </w:r>
      <w:r>
        <w:t>usually follow a</w:t>
      </w:r>
      <w:r w:rsidRPr="005538AF">
        <w:t xml:space="preserve"> six-monthly cycle</w:t>
      </w:r>
      <w:r>
        <w:t xml:space="preserve">. The dates for past and future AQI revisions are </w:t>
      </w:r>
      <w:r w:rsidR="0032599C">
        <w:t>below</w:t>
      </w:r>
      <w:r>
        <w:t>. The AQI Quality Statement above contains a more detailed revisions policy.</w:t>
      </w:r>
    </w:p>
    <w:tbl>
      <w:tblPr>
        <w:tblStyle w:val="TableGrid"/>
        <w:tblW w:w="8522"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283"/>
        <w:gridCol w:w="2286"/>
        <w:gridCol w:w="236"/>
        <w:gridCol w:w="3585"/>
      </w:tblGrid>
      <w:tr w:rsidR="003A0D0C" w:rsidTr="002221E6">
        <w:trPr>
          <w:cantSplit/>
          <w:tblHeader/>
        </w:trPr>
        <w:tc>
          <w:tcPr>
            <w:tcW w:w="2132" w:type="dxa"/>
            <w:tcBorders>
              <w:bottom w:val="single" w:sz="4" w:space="0" w:color="auto"/>
            </w:tcBorders>
            <w:tcMar>
              <w:left w:w="0" w:type="dxa"/>
              <w:right w:w="0" w:type="dxa"/>
            </w:tcMar>
          </w:tcPr>
          <w:p w:rsidR="003A0D0C" w:rsidRDefault="003A0D0C" w:rsidP="002221E6">
            <w:pPr>
              <w:pStyle w:val="Heading4"/>
            </w:pPr>
            <w:r>
              <w:t>Publication date</w:t>
            </w:r>
          </w:p>
        </w:tc>
        <w:tc>
          <w:tcPr>
            <w:tcW w:w="283" w:type="dxa"/>
            <w:tcMar>
              <w:left w:w="0" w:type="dxa"/>
              <w:right w:w="0" w:type="dxa"/>
            </w:tcMar>
          </w:tcPr>
          <w:p w:rsidR="003A0D0C" w:rsidRDefault="003A0D0C" w:rsidP="002221E6">
            <w:pPr>
              <w:pStyle w:val="NoSpacing"/>
            </w:pPr>
          </w:p>
        </w:tc>
        <w:tc>
          <w:tcPr>
            <w:tcW w:w="2286" w:type="dxa"/>
            <w:tcBorders>
              <w:bottom w:val="single" w:sz="4" w:space="0" w:color="auto"/>
            </w:tcBorders>
            <w:tcMar>
              <w:left w:w="0" w:type="dxa"/>
              <w:right w:w="0" w:type="dxa"/>
            </w:tcMar>
          </w:tcPr>
          <w:p w:rsidR="003A0D0C" w:rsidRDefault="003A0D0C" w:rsidP="002221E6">
            <w:pPr>
              <w:pStyle w:val="Heading4"/>
            </w:pPr>
            <w:r>
              <w:t xml:space="preserve">Series revised </w:t>
            </w:r>
          </w:p>
        </w:tc>
        <w:tc>
          <w:tcPr>
            <w:tcW w:w="236" w:type="dxa"/>
            <w:tcMar>
              <w:left w:w="0" w:type="dxa"/>
              <w:right w:w="0" w:type="dxa"/>
            </w:tcMar>
          </w:tcPr>
          <w:p w:rsidR="003A0D0C" w:rsidRDefault="003A0D0C" w:rsidP="002221E6">
            <w:pPr>
              <w:pStyle w:val="NoSpacing"/>
            </w:pPr>
          </w:p>
        </w:tc>
        <w:tc>
          <w:tcPr>
            <w:tcW w:w="3585" w:type="dxa"/>
            <w:tcBorders>
              <w:bottom w:val="single" w:sz="4" w:space="0" w:color="auto"/>
            </w:tcBorders>
            <w:tcMar>
              <w:left w:w="0" w:type="dxa"/>
              <w:right w:w="0" w:type="dxa"/>
            </w:tcMar>
          </w:tcPr>
          <w:p w:rsidR="003A0D0C" w:rsidRDefault="003A0D0C" w:rsidP="002221E6">
            <w:pPr>
              <w:pStyle w:val="Heading4"/>
            </w:pPr>
            <w:r>
              <w:t>Months affected</w:t>
            </w:r>
          </w:p>
        </w:tc>
      </w:tr>
      <w:tr w:rsidR="003A0D0C" w:rsidTr="002221E6">
        <w:tc>
          <w:tcPr>
            <w:tcW w:w="2132" w:type="dxa"/>
            <w:tcBorders>
              <w:top w:val="single" w:sz="4" w:space="0" w:color="auto"/>
            </w:tcBorders>
            <w:tcMar>
              <w:left w:w="57" w:type="dxa"/>
              <w:right w:w="57" w:type="dxa"/>
            </w:tcMar>
          </w:tcPr>
          <w:p w:rsidR="003A0D0C" w:rsidRDefault="003A0D0C" w:rsidP="002221E6">
            <w:pPr>
              <w:pStyle w:val="NoSpacing"/>
              <w:jc w:val="right"/>
            </w:pPr>
            <w:r>
              <w:t xml:space="preserve"> 5 </w:t>
            </w:r>
            <w:r w:rsidRPr="00875FD5">
              <w:t>November</w:t>
            </w:r>
            <w:r>
              <w:t xml:space="preserve"> 2015</w:t>
            </w:r>
          </w:p>
        </w:tc>
        <w:tc>
          <w:tcPr>
            <w:tcW w:w="283" w:type="dxa"/>
            <w:tcMar>
              <w:left w:w="57" w:type="dxa"/>
              <w:right w:w="57" w:type="dxa"/>
            </w:tcMar>
          </w:tcPr>
          <w:p w:rsidR="003A0D0C" w:rsidRPr="00B4687B" w:rsidRDefault="003A0D0C" w:rsidP="002221E6">
            <w:pPr>
              <w:pStyle w:val="NoSpacing"/>
            </w:pPr>
          </w:p>
        </w:tc>
        <w:tc>
          <w:tcPr>
            <w:tcW w:w="2286" w:type="dxa"/>
            <w:tcBorders>
              <w:top w:val="single" w:sz="4" w:space="0" w:color="auto"/>
            </w:tcBorders>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Borders>
              <w:top w:val="single" w:sz="4" w:space="0" w:color="auto"/>
            </w:tcBorders>
            <w:tcMar>
              <w:left w:w="57" w:type="dxa"/>
              <w:right w:w="57" w:type="dxa"/>
            </w:tcMar>
          </w:tcPr>
          <w:p w:rsidR="003A0D0C" w:rsidRDefault="003A0D0C" w:rsidP="002221E6">
            <w:pPr>
              <w:pStyle w:val="NoSpacing"/>
            </w:pPr>
            <w:r>
              <w:t>April 2015 to August 2015</w:t>
            </w:r>
          </w:p>
        </w:tc>
      </w:tr>
      <w:tr w:rsidR="003A0D0C" w:rsidTr="008A58CE">
        <w:trPr>
          <w:trHeight w:val="397"/>
        </w:trPr>
        <w:tc>
          <w:tcPr>
            <w:tcW w:w="2132" w:type="dxa"/>
            <w:tcMar>
              <w:left w:w="57" w:type="dxa"/>
              <w:right w:w="57" w:type="dxa"/>
            </w:tcMar>
          </w:tcPr>
          <w:p w:rsidR="003A0D0C" w:rsidRDefault="003A0D0C" w:rsidP="002221E6">
            <w:pPr>
              <w:pStyle w:val="NoSpacing"/>
              <w:jc w:val="right"/>
            </w:pPr>
            <w:r>
              <w:t>3 September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March 2015</w:t>
            </w:r>
          </w:p>
        </w:tc>
      </w:tr>
      <w:tr w:rsidR="003A0D0C" w:rsidTr="008A58CE">
        <w:trPr>
          <w:trHeight w:val="80"/>
        </w:trPr>
        <w:tc>
          <w:tcPr>
            <w:tcW w:w="2132" w:type="dxa"/>
            <w:tcMar>
              <w:left w:w="57" w:type="dxa"/>
              <w:right w:w="57" w:type="dxa"/>
            </w:tcMar>
          </w:tcPr>
          <w:p w:rsidR="003A0D0C" w:rsidRDefault="003A0D0C" w:rsidP="002221E6">
            <w:pPr>
              <w:pStyle w:val="NoSpacing"/>
              <w:jc w:val="right"/>
            </w:pPr>
            <w:r>
              <w:t>30 April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February 2015</w:t>
            </w:r>
          </w:p>
        </w:tc>
      </w:tr>
      <w:tr w:rsidR="003A0D0C" w:rsidTr="008A58CE">
        <w:trPr>
          <w:trHeight w:val="80"/>
        </w:trPr>
        <w:tc>
          <w:tcPr>
            <w:tcW w:w="2132" w:type="dxa"/>
            <w:tcMar>
              <w:left w:w="57" w:type="dxa"/>
              <w:right w:w="57" w:type="dxa"/>
            </w:tcMar>
          </w:tcPr>
          <w:p w:rsidR="003A0D0C" w:rsidRDefault="003A0D0C" w:rsidP="002221E6">
            <w:pPr>
              <w:pStyle w:val="NoSpacing"/>
              <w:jc w:val="right"/>
            </w:pPr>
            <w:r>
              <w:t>5 March 2015</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2014 to September 2014</w:t>
            </w:r>
          </w:p>
        </w:tc>
      </w:tr>
      <w:tr w:rsidR="003A0D0C" w:rsidTr="002221E6">
        <w:trPr>
          <w:trHeight w:val="137"/>
        </w:trPr>
        <w:tc>
          <w:tcPr>
            <w:tcW w:w="2132" w:type="dxa"/>
            <w:tcMar>
              <w:left w:w="57" w:type="dxa"/>
              <w:right w:w="57" w:type="dxa"/>
            </w:tcMar>
          </w:tcPr>
          <w:p w:rsidR="003A0D0C" w:rsidRDefault="003A0D0C" w:rsidP="002221E6">
            <w:pPr>
              <w:pStyle w:val="NoSpacing"/>
              <w:jc w:val="right"/>
            </w:pPr>
            <w:r>
              <w:t>6 November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2014</w:t>
            </w:r>
          </w:p>
        </w:tc>
      </w:tr>
      <w:tr w:rsidR="003A0D0C" w:rsidTr="002221E6">
        <w:trPr>
          <w:trHeight w:val="137"/>
        </w:trPr>
        <w:tc>
          <w:tcPr>
            <w:tcW w:w="2132" w:type="dxa"/>
            <w:tcMar>
              <w:left w:w="57" w:type="dxa"/>
              <w:right w:w="57" w:type="dxa"/>
            </w:tcMar>
          </w:tcPr>
          <w:p w:rsidR="003A0D0C" w:rsidRPr="00875FD5" w:rsidRDefault="003A0D0C" w:rsidP="002221E6">
            <w:pPr>
              <w:pStyle w:val="NoSpacing"/>
              <w:jc w:val="right"/>
            </w:pPr>
            <w:r>
              <w:t>5 September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March 2014</w:t>
            </w:r>
          </w:p>
        </w:tc>
      </w:tr>
      <w:tr w:rsidR="003A0D0C" w:rsidTr="002221E6">
        <w:trPr>
          <w:trHeight w:val="271"/>
        </w:trPr>
        <w:tc>
          <w:tcPr>
            <w:tcW w:w="2132" w:type="dxa"/>
            <w:tcMar>
              <w:left w:w="57" w:type="dxa"/>
              <w:right w:w="57" w:type="dxa"/>
            </w:tcMar>
          </w:tcPr>
          <w:p w:rsidR="003A0D0C" w:rsidRDefault="003A0D0C" w:rsidP="002221E6">
            <w:pPr>
              <w:pStyle w:val="NoSpacing"/>
              <w:jc w:val="right"/>
            </w:pPr>
            <w:r>
              <w:t>2 May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February 2014</w:t>
            </w:r>
          </w:p>
        </w:tc>
      </w:tr>
      <w:tr w:rsidR="003A0D0C" w:rsidTr="002221E6">
        <w:trPr>
          <w:trHeight w:val="70"/>
        </w:trPr>
        <w:tc>
          <w:tcPr>
            <w:tcW w:w="2132" w:type="dxa"/>
            <w:tcMar>
              <w:left w:w="57" w:type="dxa"/>
              <w:right w:w="57" w:type="dxa"/>
            </w:tcMar>
          </w:tcPr>
          <w:p w:rsidR="003A0D0C" w:rsidRDefault="003A0D0C" w:rsidP="002221E6">
            <w:pPr>
              <w:pStyle w:val="NoSpacing"/>
              <w:jc w:val="right"/>
            </w:pPr>
            <w:r>
              <w:t>7 March 2014</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September 2013</w:t>
            </w:r>
          </w:p>
        </w:tc>
      </w:tr>
      <w:tr w:rsidR="003A0D0C" w:rsidTr="002221E6">
        <w:trPr>
          <w:trHeight w:val="123"/>
        </w:trPr>
        <w:tc>
          <w:tcPr>
            <w:tcW w:w="2132" w:type="dxa"/>
            <w:tcMar>
              <w:left w:w="57" w:type="dxa"/>
              <w:right w:w="57" w:type="dxa"/>
            </w:tcMar>
          </w:tcPr>
          <w:p w:rsidR="003A0D0C" w:rsidRDefault="003A0D0C" w:rsidP="002221E6">
            <w:pPr>
              <w:pStyle w:val="NoSpacing"/>
              <w:jc w:val="right"/>
            </w:pPr>
            <w:r>
              <w:t>1 November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2013 to August 2013</w:t>
            </w:r>
          </w:p>
        </w:tc>
      </w:tr>
      <w:tr w:rsidR="003A0D0C" w:rsidTr="002221E6">
        <w:trPr>
          <w:trHeight w:val="269"/>
        </w:trPr>
        <w:tc>
          <w:tcPr>
            <w:tcW w:w="2132" w:type="dxa"/>
            <w:tcMar>
              <w:left w:w="57" w:type="dxa"/>
              <w:right w:w="57" w:type="dxa"/>
            </w:tcMar>
          </w:tcPr>
          <w:p w:rsidR="003A0D0C" w:rsidRDefault="003A0D0C" w:rsidP="002221E6">
            <w:pPr>
              <w:pStyle w:val="NoSpacing"/>
              <w:jc w:val="right"/>
            </w:pPr>
            <w:r>
              <w:t>2 August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18"/>
        </w:trPr>
        <w:tc>
          <w:tcPr>
            <w:tcW w:w="2132" w:type="dxa"/>
            <w:tcMar>
              <w:left w:w="57" w:type="dxa"/>
              <w:right w:w="57" w:type="dxa"/>
            </w:tcMar>
          </w:tcPr>
          <w:p w:rsidR="003A0D0C" w:rsidRDefault="003A0D0C" w:rsidP="002221E6">
            <w:pPr>
              <w:pStyle w:val="NoSpacing"/>
              <w:jc w:val="right"/>
            </w:pPr>
            <w:r>
              <w:t>3 May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March 2013</w:t>
            </w:r>
          </w:p>
        </w:tc>
      </w:tr>
      <w:tr w:rsidR="003A0D0C" w:rsidTr="002221E6">
        <w:trPr>
          <w:trHeight w:val="121"/>
        </w:trPr>
        <w:tc>
          <w:tcPr>
            <w:tcW w:w="2132" w:type="dxa"/>
            <w:tcMar>
              <w:left w:w="57" w:type="dxa"/>
              <w:right w:w="57" w:type="dxa"/>
            </w:tcMar>
          </w:tcPr>
          <w:p w:rsidR="003A0D0C" w:rsidRDefault="003A0D0C" w:rsidP="002221E6">
            <w:pPr>
              <w:pStyle w:val="NoSpacing"/>
              <w:jc w:val="right"/>
            </w:pPr>
            <w:r>
              <w:t>1 February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2012 to August 2012</w:t>
            </w:r>
          </w:p>
        </w:tc>
      </w:tr>
      <w:tr w:rsidR="003A0D0C" w:rsidTr="002221E6">
        <w:trPr>
          <w:trHeight w:val="267"/>
        </w:trPr>
        <w:tc>
          <w:tcPr>
            <w:tcW w:w="2132" w:type="dxa"/>
            <w:tcMar>
              <w:left w:w="57" w:type="dxa"/>
              <w:right w:w="57" w:type="dxa"/>
            </w:tcMar>
          </w:tcPr>
          <w:p w:rsidR="003A0D0C" w:rsidRDefault="003A0D0C" w:rsidP="002221E6">
            <w:pPr>
              <w:pStyle w:val="NoSpacing"/>
              <w:jc w:val="right"/>
            </w:pPr>
            <w:r>
              <w:t>11 January 2013</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Systems Indicators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October 2012</w:t>
            </w:r>
          </w:p>
        </w:tc>
      </w:tr>
      <w:tr w:rsidR="003A0D0C" w:rsidTr="002221E6">
        <w:trPr>
          <w:trHeight w:val="115"/>
        </w:trPr>
        <w:tc>
          <w:tcPr>
            <w:tcW w:w="2132" w:type="dxa"/>
            <w:tcMar>
              <w:left w:w="57" w:type="dxa"/>
              <w:right w:w="57" w:type="dxa"/>
            </w:tcMar>
          </w:tcPr>
          <w:p w:rsidR="003A0D0C" w:rsidRDefault="003A0D0C" w:rsidP="002221E6">
            <w:pPr>
              <w:pStyle w:val="NoSpacing"/>
              <w:jc w:val="right"/>
            </w:pPr>
            <w:r>
              <w:t>31 August 2012</w:t>
            </w:r>
          </w:p>
        </w:tc>
        <w:tc>
          <w:tcPr>
            <w:tcW w:w="283" w:type="dxa"/>
            <w:tcMar>
              <w:left w:w="57" w:type="dxa"/>
              <w:right w:w="57" w:type="dxa"/>
            </w:tcMar>
          </w:tcPr>
          <w:p w:rsidR="003A0D0C" w:rsidRPr="00B4687B" w:rsidRDefault="003A0D0C" w:rsidP="002221E6">
            <w:pPr>
              <w:pStyle w:val="NoSpacing"/>
            </w:pPr>
          </w:p>
        </w:tc>
        <w:tc>
          <w:tcPr>
            <w:tcW w:w="2286" w:type="dxa"/>
            <w:tcMar>
              <w:left w:w="57" w:type="dxa"/>
              <w:right w:w="57" w:type="dxa"/>
            </w:tcMar>
          </w:tcPr>
          <w:p w:rsidR="003A0D0C" w:rsidRPr="00B4687B" w:rsidRDefault="003A0D0C" w:rsidP="002221E6">
            <w:pPr>
              <w:pStyle w:val="NoSpacing"/>
            </w:pPr>
            <w:r w:rsidRPr="00B4687B">
              <w:t>Clinical Outcomes</w:t>
            </w:r>
          </w:p>
        </w:tc>
        <w:tc>
          <w:tcPr>
            <w:tcW w:w="236" w:type="dxa"/>
            <w:tcMar>
              <w:left w:w="57" w:type="dxa"/>
              <w:right w:w="57" w:type="dxa"/>
            </w:tcMar>
          </w:tcPr>
          <w:p w:rsidR="003A0D0C" w:rsidRDefault="003A0D0C" w:rsidP="002221E6">
            <w:pPr>
              <w:pStyle w:val="NoSpacing"/>
            </w:pPr>
          </w:p>
        </w:tc>
        <w:tc>
          <w:tcPr>
            <w:tcW w:w="3585" w:type="dxa"/>
            <w:tcMar>
              <w:left w:w="57" w:type="dxa"/>
              <w:right w:w="57" w:type="dxa"/>
            </w:tcMar>
          </w:tcPr>
          <w:p w:rsidR="003A0D0C" w:rsidRDefault="003A0D0C" w:rsidP="002221E6">
            <w:pPr>
              <w:pStyle w:val="NoSpacing"/>
            </w:pPr>
            <w:r>
              <w:t>April 2011 to March 2012</w:t>
            </w:r>
          </w:p>
        </w:tc>
      </w:tr>
    </w:tbl>
    <w:p w:rsidR="003A0D0C" w:rsidRDefault="003A0D0C" w:rsidP="003A0D0C">
      <w:pPr>
        <w:pStyle w:val="NoSpacing"/>
      </w:pPr>
    </w:p>
    <w:p w:rsidR="003A0D0C" w:rsidRDefault="003A0D0C" w:rsidP="003A0D0C">
      <w:pPr>
        <w:pStyle w:val="Heading3"/>
      </w:pPr>
      <w:r>
        <w:t>C3</w:t>
      </w:r>
      <w:r>
        <w:tab/>
        <w:t>AQI Scope</w:t>
      </w:r>
    </w:p>
    <w:p w:rsidR="003A0D0C" w:rsidRDefault="003A0D0C" w:rsidP="003A0D0C">
      <w:r>
        <w:t>The Ambulance Quality Indicators (AQI) include calls made by dialling either the usual UK-wide number 999 or its EU equivalent 112.</w:t>
      </w:r>
    </w:p>
    <w:p w:rsidR="003A0D0C" w:rsidRDefault="003A0D0C" w:rsidP="003A0D0C">
      <w:r>
        <w:t xml:space="preserve">As described in the specification guidance </w:t>
      </w:r>
      <w:r w:rsidR="00145BE4">
        <w:t xml:space="preserve">document </w:t>
      </w:r>
      <w:r>
        <w:t xml:space="preserve">mentioned above, calls made to NHS 111 are not included in AQI telephony data items. These comprise the </w:t>
      </w:r>
      <w:r>
        <w:lastRenderedPageBreak/>
        <w:t>measures for calls abandoned (SQU03_1_1), re-contacts (SQU03_2_1 and SQU03_2_2), frequent callers (SQU03_2_3), time to answer calls (SQU03_8_1_1) and calls resolved by telephone advice (SQU03_10_1).</w:t>
      </w:r>
    </w:p>
    <w:p w:rsidR="003A0D0C" w:rsidRDefault="003A0D0C" w:rsidP="003A0D0C">
      <w:r>
        <w:t xml:space="preserve">All other Systems Indicators involve the dispatch of an ambulance, and they include ambulances dispatched as a result of a call to NHS 111, as well as 999 or 112. </w:t>
      </w:r>
    </w:p>
    <w:p w:rsidR="003A0D0C" w:rsidRDefault="003A0D0C" w:rsidP="003A0D0C">
      <w:pPr>
        <w:pStyle w:val="Heading3"/>
      </w:pPr>
      <w:r>
        <w:t>C4</w:t>
      </w:r>
      <w:r>
        <w:tab/>
      </w:r>
      <w:r w:rsidRPr="00335EE6">
        <w:t xml:space="preserve">Related </w:t>
      </w:r>
      <w:r>
        <w:t>statistics in England</w:t>
      </w:r>
    </w:p>
    <w:p w:rsidR="003A0D0C" w:rsidRDefault="003A0D0C" w:rsidP="003A0D0C">
      <w:r>
        <w:t xml:space="preserve">The AQI appear in a Clinical Dashboard, available from the AQI landing page, the websites of the Ambulance Trusts (listed in the AQI Quality Statement), and </w:t>
      </w:r>
      <w:hyperlink r:id="rId27" w:history="1">
        <w:r w:rsidRPr="000772FB">
          <w:rPr>
            <w:rStyle w:val="Hyperlink"/>
            <w:lang w:eastAsia="en-US"/>
          </w:rPr>
          <w:t>http://aace.org.uk/national-performance/national-clinical-dashboards</w:t>
        </w:r>
      </w:hyperlink>
      <w:r>
        <w:t xml:space="preserve">. </w:t>
      </w:r>
      <w:r w:rsidRPr="000D14CB">
        <w:t>One of the aims of the</w:t>
      </w:r>
      <w:r>
        <w:t>se</w:t>
      </w:r>
      <w:r w:rsidRPr="000D14CB">
        <w:t xml:space="preserve"> </w:t>
      </w:r>
      <w:r>
        <w:t>D</w:t>
      </w:r>
      <w:r w:rsidRPr="000D14CB">
        <w:t>ashboard</w:t>
      </w:r>
      <w:r>
        <w:t>s</w:t>
      </w:r>
      <w:r w:rsidRPr="000D14CB">
        <w:t xml:space="preserve"> is to use statistical process control</w:t>
      </w:r>
      <w:r>
        <w:t>,</w:t>
      </w:r>
      <w:r w:rsidRPr="000D14CB">
        <w:t xml:space="preserve"> to indicate whether variation in </w:t>
      </w:r>
      <w:r w:rsidR="000D4CAE">
        <w:t>proportions</w:t>
      </w:r>
      <w:r w:rsidRPr="000D14CB">
        <w:t xml:space="preserve"> reflects underlying change</w:t>
      </w:r>
      <w:r>
        <w:t>,</w:t>
      </w:r>
      <w:r w:rsidRPr="000D14CB">
        <w:t xml:space="preserve"> or merely natural variance, unavoidable even when a health system is performing well.</w:t>
      </w:r>
    </w:p>
    <w:p w:rsidR="003A0D0C" w:rsidRDefault="003A0D0C" w:rsidP="003A0D0C">
      <w:r>
        <w:t xml:space="preserve">The AQI are also used in the latest annual Ambulance Services publication </w:t>
      </w:r>
      <w:hyperlink r:id="rId28" w:history="1">
        <w:r w:rsidRPr="00C33A47">
          <w:rPr>
            <w:rStyle w:val="Hyperlink"/>
          </w:rPr>
          <w:t>www.hscic.gov.uk/article/2021/Website-Search?productid=15165</w:t>
        </w:r>
      </w:hyperlink>
      <w:r>
        <w:t xml:space="preserve"> by the Health and Social Care Information Centre (HSCIC), which includes additional </w:t>
      </w:r>
      <w:r w:rsidRPr="00C739C2">
        <w:t>annual analysis and commentary</w:t>
      </w:r>
      <w:r>
        <w:t>. Originally, this publication</w:t>
      </w:r>
      <w:r w:rsidR="00D124B3">
        <w:t xml:space="preserve"> used the KA34 data collection, which </w:t>
      </w:r>
      <w:r>
        <w:t>was similar to the AQI</w:t>
      </w:r>
      <w:r w:rsidRPr="003E4789">
        <w:t xml:space="preserve"> </w:t>
      </w:r>
      <w:r>
        <w:t xml:space="preserve">Systems Indicators, but annual, and ceased collection in March 2013. The HSCIC </w:t>
      </w:r>
      <w:r w:rsidR="00D124B3">
        <w:t xml:space="preserve">publication </w:t>
      </w:r>
      <w:r>
        <w:t>therefore uses AQI data thereafter.</w:t>
      </w:r>
    </w:p>
    <w:p w:rsidR="003A0D0C" w:rsidRDefault="003A0D0C" w:rsidP="003A0D0C">
      <w:r>
        <w:t>The AQI Quality Statement described in section C1 contains more information on the HSCIC publication. It also contains details of weekly ambulance situation reports that NHS England collected for six months from November 2010.</w:t>
      </w:r>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2221E6">
        <w:trPr>
          <w:trHeight w:val="669"/>
        </w:trPr>
        <w:tc>
          <w:tcPr>
            <w:tcW w:w="1242" w:type="dxa"/>
          </w:tcPr>
          <w:p w:rsidR="003A0D0C" w:rsidRDefault="003A0D0C" w:rsidP="002221E6">
            <w:pPr>
              <w:pStyle w:val="NoSpacing"/>
            </w:pPr>
            <w:r w:rsidRPr="000F5B3F">
              <w:t>Wales</w:t>
            </w:r>
            <w:r w:rsidRPr="00151AF2">
              <w:t>:</w:t>
            </w:r>
          </w:p>
        </w:tc>
        <w:tc>
          <w:tcPr>
            <w:tcW w:w="7280" w:type="dxa"/>
          </w:tcPr>
          <w:p w:rsidR="003A0D0C" w:rsidRDefault="00E42D55" w:rsidP="002221E6">
            <w:pPr>
              <w:pStyle w:val="NoSpacing"/>
            </w:pPr>
            <w:hyperlink r:id="rId29" w:history="1">
              <w:r w:rsidR="003A0D0C" w:rsidRPr="00C33A47">
                <w:rPr>
                  <w:rStyle w:val="Hyperlink"/>
                </w:rPr>
                <w:t>http://wales.gov.uk/statistics-and-research/ambulance-services/?lang=</w:t>
              </w:r>
              <w:r w:rsidR="003A0D0C" w:rsidRPr="00C33A47">
                <w:rPr>
                  <w:rStyle w:val="Hyperlink"/>
                </w:rPr>
                <w:t>e</w:t>
              </w:r>
              <w:r w:rsidR="003A0D0C" w:rsidRPr="00C33A47">
                <w:rPr>
                  <w:rStyle w:val="Hyperlink"/>
                </w:rPr>
                <w:t>n</w:t>
              </w:r>
            </w:hyperlink>
          </w:p>
        </w:tc>
      </w:tr>
      <w:tr w:rsidR="003A0D0C" w:rsidTr="002221E6">
        <w:trPr>
          <w:trHeight w:val="693"/>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30" w:history="1">
              <w:r w:rsidRPr="0042008D">
                <w:rPr>
                  <w:rStyle w:val="Hyperlink"/>
                  <w:lang w:eastAsia="en-US"/>
                </w:rPr>
                <w:t>www.scottishambulance.com/TheService/BoardPapers.aspx</w:t>
              </w:r>
            </w:hyperlink>
          </w:p>
        </w:tc>
      </w:tr>
      <w:tr w:rsidR="003A0D0C" w:rsidTr="002221E6">
        <w:tc>
          <w:tcPr>
            <w:tcW w:w="1242" w:type="dxa"/>
          </w:tcPr>
          <w:p w:rsidR="003A0D0C" w:rsidRDefault="003A0D0C" w:rsidP="002221E6">
            <w:pPr>
              <w:pStyle w:val="NoSpacing"/>
            </w:pPr>
            <w:r w:rsidRPr="000F5B3F">
              <w:t>Northern Ireland</w:t>
            </w:r>
            <w:r>
              <w:t>:</w:t>
            </w:r>
          </w:p>
        </w:tc>
        <w:tc>
          <w:tcPr>
            <w:tcW w:w="7280" w:type="dxa"/>
          </w:tcPr>
          <w:p w:rsidR="003A0D0C" w:rsidRPr="0039160E" w:rsidRDefault="00E42D55" w:rsidP="002221E6">
            <w:pPr>
              <w:rPr>
                <w:lang w:eastAsia="en-US"/>
              </w:rPr>
            </w:pPr>
            <w:hyperlink r:id="rId31" w:history="1">
              <w:r w:rsidR="003A0D0C" w:rsidRPr="00F76843">
                <w:rPr>
                  <w:rStyle w:val="Hyperlink"/>
                  <w:lang w:eastAsia="en-US"/>
                </w:rPr>
                <w:t>www.dhsspsni.gov.uk/index/statistics/hospital/emergency-care/ambulance-statistics.htm</w:t>
              </w:r>
            </w:hyperlink>
          </w:p>
        </w:tc>
      </w:tr>
    </w:tbl>
    <w:p w:rsidR="003A0D0C" w:rsidRPr="000D14CB" w:rsidRDefault="003A0D0C" w:rsidP="003A0D0C">
      <w:pPr>
        <w:pStyle w:val="Heading3"/>
      </w:pPr>
      <w:r>
        <w:t>C6</w:t>
      </w:r>
      <w:r>
        <w:tab/>
        <w:t>Contact information</w:t>
      </w:r>
    </w:p>
    <w:p w:rsidR="003A0D0C" w:rsidRDefault="003A0D0C" w:rsidP="003A0D0C">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32" w:history="1">
        <w:r w:rsidRPr="008369E4">
          <w:rPr>
            <w:rStyle w:val="Hyperlink"/>
            <w:rFonts w:cs="Arial"/>
          </w:rPr>
          <w:t>nhsengland.media@nhs.net</w:t>
        </w:r>
      </w:hyperlink>
      <w:r>
        <w:rPr>
          <w:rFonts w:cs="Arial"/>
        </w:rPr>
        <w:t>.</w:t>
      </w:r>
    </w:p>
    <w:p w:rsidR="003A0D0C" w:rsidRPr="000F5B3F" w:rsidRDefault="003A0D0C" w:rsidP="003A0D0C">
      <w:pPr>
        <w:autoSpaceDE w:val="0"/>
        <w:autoSpaceDN w:val="0"/>
        <w:adjustRightInd w:val="0"/>
        <w:rPr>
          <w:rFonts w:cs="Arial"/>
        </w:rPr>
      </w:pPr>
      <w:r w:rsidRPr="000F5B3F">
        <w:rPr>
          <w:rFonts w:cs="Arial"/>
        </w:rPr>
        <w:t>The Government Statistical Service (GSS) statistician responsible for producing these data is:</w:t>
      </w:r>
    </w:p>
    <w:p w:rsidR="00145BE4" w:rsidRDefault="003A0D0C">
      <w:pPr>
        <w:pStyle w:val="NoSpacing"/>
      </w:pPr>
      <w:r w:rsidRPr="000F5B3F">
        <w:t>Ian Kay</w:t>
      </w:r>
      <w:r>
        <w:t>,</w:t>
      </w:r>
      <w:r w:rsidRPr="00C21149">
        <w:t xml:space="preserve"> </w:t>
      </w:r>
      <w:r w:rsidRPr="000F5B3F">
        <w:t>Analytical Services (Operations)</w:t>
      </w:r>
      <w:r>
        <w:t xml:space="preserve">, </w:t>
      </w:r>
      <w:r w:rsidRPr="000F5B3F">
        <w:t>NHS England</w:t>
      </w:r>
      <w:r>
        <w:t xml:space="preserve">, </w:t>
      </w:r>
      <w:r w:rsidRPr="000F5B3F">
        <w:t xml:space="preserve">Room </w:t>
      </w:r>
      <w:r>
        <w:t>5E24</w:t>
      </w:r>
      <w:r w:rsidRPr="000F5B3F">
        <w:t>, Quarry House, Leeds, LS2 7UE</w:t>
      </w:r>
      <w:r w:rsidR="00145BE4">
        <w:t xml:space="preserve">; </w:t>
      </w:r>
      <w:r>
        <w:t>0113 824 9411</w:t>
      </w:r>
      <w:r w:rsidR="00145BE4">
        <w:t xml:space="preserve">; </w:t>
      </w:r>
      <w:hyperlink r:id="rId33" w:history="1">
        <w:r w:rsidRPr="009A0418">
          <w:rPr>
            <w:rStyle w:val="Hyperlink"/>
          </w:rPr>
          <w:t>i.kay@nhs.net</w:t>
        </w:r>
      </w:hyperlink>
    </w:p>
    <w:sectPr w:rsidR="00145BE4" w:rsidSect="00B412D1">
      <w:headerReference w:type="default" r:id="rId34"/>
      <w:footerReference w:type="defaul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18" w:rsidRDefault="00F36218" w:rsidP="008C63D3">
      <w:r>
        <w:separator/>
      </w:r>
    </w:p>
  </w:endnote>
  <w:endnote w:type="continuationSeparator" w:id="0">
    <w:p w:rsidR="00F36218" w:rsidRDefault="00F36218"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18" w:rsidRDefault="00F36218" w:rsidP="00E924D4">
    <w:pPr>
      <w:pStyle w:val="Footer"/>
      <w:tabs>
        <w:tab w:val="clear" w:pos="9026"/>
        <w:tab w:val="left" w:pos="5025"/>
        <w:tab w:val="right" w:pos="8364"/>
      </w:tabs>
    </w:pPr>
    <w:r>
      <w:t>NHS England AQI Statistical Note, 30 April 2015.</w:t>
    </w:r>
    <w:r>
      <w:tab/>
    </w:r>
    <w:r>
      <w:tab/>
    </w:r>
    <w:r>
      <w:tab/>
      <w:t xml:space="preserve">Page </w:t>
    </w:r>
    <w:r>
      <w:fldChar w:fldCharType="begin"/>
    </w:r>
    <w:r>
      <w:instrText xml:space="preserve"> PAGE   \* MERGEFORMAT </w:instrText>
    </w:r>
    <w:r>
      <w:fldChar w:fldCharType="separate"/>
    </w:r>
    <w:r w:rsidR="00E42D55">
      <w:rPr>
        <w:noProof/>
      </w:rPr>
      <w:t>1</w:t>
    </w:r>
    <w:r>
      <w:rPr>
        <w:noProof/>
      </w:rPr>
      <w:fldChar w:fldCharType="end"/>
    </w:r>
    <w:r>
      <w:rPr>
        <w:noProof/>
      </w:rPr>
      <w:t xml:space="preserve"> of </w:t>
    </w:r>
    <w:fldSimple w:instr=" NUMPAGES   \* MERGEFORMAT ">
      <w:r w:rsidR="00E42D55">
        <w:rPr>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18" w:rsidRDefault="00F36218" w:rsidP="008C63D3">
      <w:r>
        <w:separator/>
      </w:r>
    </w:p>
  </w:footnote>
  <w:footnote w:type="continuationSeparator" w:id="0">
    <w:p w:rsidR="00F36218" w:rsidRDefault="00F36218" w:rsidP="008C63D3">
      <w:r>
        <w:continuationSeparator/>
      </w:r>
    </w:p>
  </w:footnote>
  <w:footnote w:id="1">
    <w:p w:rsidR="00F36218" w:rsidRDefault="00F36218" w:rsidP="00BE2594">
      <w:pPr>
        <w:pStyle w:val="Footer"/>
        <w:rPr>
          <w:rStyle w:val="Hyperlink"/>
          <w:lang w:eastAsia="en-US"/>
        </w:rPr>
      </w:pPr>
      <w:r>
        <w:rPr>
          <w:rStyle w:val="FootnoteReference"/>
        </w:rPr>
        <w:footnoteRef/>
      </w:r>
      <w:r>
        <w:t xml:space="preserve"> Page 30 of the </w:t>
      </w:r>
      <w:r w:rsidRPr="000F3EC8">
        <w:t>Handbook to the NHS Constitution</w:t>
      </w:r>
      <w:r>
        <w:t xml:space="preserve"> has</w:t>
      </w:r>
      <w:r w:rsidRPr="00774123">
        <w:t xml:space="preserve"> </w:t>
      </w:r>
      <w:r>
        <w:t xml:space="preserve">Ambulance response time standards, </w:t>
      </w:r>
      <w:hyperlink r:id="rId1" w:history="1">
        <w:r w:rsidRPr="00CD4562">
          <w:rPr>
            <w:rStyle w:val="Hyperlink"/>
            <w:lang w:eastAsia="en-US"/>
          </w:rPr>
          <w:t>www.nhs.uk/choiceintheNHS/Rightsandpledges/NHSConstitution/Pages/Overview.aspx</w:t>
        </w:r>
      </w:hyperlink>
      <w:r>
        <w:rPr>
          <w:rStyle w:val="Hyperlink"/>
          <w:lang w:eastAsia="en-US"/>
        </w:rPr>
        <w:t>.</w:t>
      </w:r>
    </w:p>
    <w:p w:rsidR="00F36218" w:rsidRDefault="00F36218" w:rsidP="00BE2594">
      <w:pPr>
        <w:pStyle w:val="Footer"/>
      </w:pPr>
    </w:p>
  </w:footnote>
  <w:footnote w:id="2">
    <w:p w:rsidR="00F36218" w:rsidRPr="00DC4BF3" w:rsidRDefault="00F36218" w:rsidP="00526112">
      <w:pPr>
        <w:pStyle w:val="Footer"/>
        <w:rPr>
          <w:rFonts w:cs="Arial"/>
          <w:color w:val="0000FF"/>
          <w:szCs w:val="20"/>
          <w:u w:val="single"/>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3">
    <w:p w:rsidR="00F36218" w:rsidRDefault="00F36218" w:rsidP="008076E2">
      <w:pPr>
        <w:pStyle w:val="Footer"/>
        <w:rPr>
          <w:rFonts w:cs="Arial"/>
        </w:rPr>
      </w:pPr>
      <w:r>
        <w:rPr>
          <w:rStyle w:val="FootnoteReference"/>
        </w:rPr>
        <w:footnoteRef/>
      </w:r>
      <w:r>
        <w:t xml:space="preserve"> </w:t>
      </w:r>
      <w:r w:rsidRPr="00151AF2">
        <w:rPr>
          <w:rFonts w:cs="Arial"/>
        </w:rPr>
        <w:t xml:space="preserve">Due to </w:t>
      </w:r>
      <w:r w:rsidR="003507AC">
        <w:rPr>
          <w:rFonts w:cs="Arial"/>
        </w:rPr>
        <w:t xml:space="preserve">the </w:t>
      </w:r>
      <w:r w:rsidRPr="00151AF2">
        <w:rPr>
          <w:rFonts w:cs="Arial"/>
        </w:rPr>
        <w:t>differences in clock start definitions for</w:t>
      </w:r>
      <w:r w:rsidR="003507AC">
        <w:rPr>
          <w:rFonts w:cs="Arial"/>
        </w:rPr>
        <w:t xml:space="preserve"> Red 1 and Red 2</w:t>
      </w:r>
      <w:r w:rsidRPr="00151AF2">
        <w:rPr>
          <w:rFonts w:cs="Arial"/>
        </w:rPr>
        <w:t xml:space="preserve"> it is not possible to aggregate </w:t>
      </w:r>
      <w:r>
        <w:rPr>
          <w:rFonts w:cs="Arial"/>
        </w:rPr>
        <w:t xml:space="preserve">them </w:t>
      </w:r>
      <w:r w:rsidRPr="00151AF2">
        <w:rPr>
          <w:rFonts w:cs="Arial"/>
        </w:rPr>
        <w:t xml:space="preserve">into a </w:t>
      </w:r>
      <w:r>
        <w:rPr>
          <w:rFonts w:cs="Arial"/>
        </w:rPr>
        <w:t xml:space="preserve">single proportion for </w:t>
      </w:r>
      <w:r w:rsidRPr="00151AF2">
        <w:rPr>
          <w:rFonts w:cs="Arial"/>
        </w:rPr>
        <w:t xml:space="preserve">Category A </w:t>
      </w:r>
      <w:r>
        <w:rPr>
          <w:rFonts w:cs="Arial"/>
        </w:rPr>
        <w:t>against the 8 minute standard.</w:t>
      </w:r>
    </w:p>
    <w:p w:rsidR="00F36218" w:rsidRDefault="00F36218" w:rsidP="008076E2">
      <w:pPr>
        <w:pStyle w:val="Footer"/>
      </w:pPr>
    </w:p>
  </w:footnote>
  <w:footnote w:id="4">
    <w:p w:rsidR="00F36218" w:rsidRDefault="00F36218" w:rsidP="000F5FB4">
      <w:pPr>
        <w:pStyle w:val="Footer"/>
      </w:pPr>
      <w:r>
        <w:rPr>
          <w:rStyle w:val="FootnoteReference"/>
        </w:rPr>
        <w:footnoteRef/>
      </w:r>
      <w:r>
        <w:t xml:space="preserve"> DoD pilot announcement in January 2015: </w:t>
      </w:r>
      <w:hyperlink r:id="rId3" w:history="1">
        <w:r w:rsidRPr="00470B85">
          <w:rPr>
            <w:rStyle w:val="Hyperlink"/>
          </w:rPr>
          <w:t>www.parli</w:t>
        </w:r>
        <w:r w:rsidRPr="00470B85">
          <w:rPr>
            <w:rStyle w:val="Hyperlink"/>
          </w:rPr>
          <w:t>a</w:t>
        </w:r>
        <w:r w:rsidRPr="00470B85">
          <w:rPr>
            <w:rStyle w:val="Hyperlink"/>
          </w:rPr>
          <w:t>ment.uk/business/publications/written-questions-answers-statements/written-statement/Commons/2015-01-16/HCWS201</w:t>
        </w:r>
      </w:hyperlink>
    </w:p>
  </w:footnote>
  <w:footnote w:id="5">
    <w:p w:rsidR="00F36218" w:rsidRDefault="00F36218"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 of emergency calls presented to switchboard.</w:t>
      </w:r>
    </w:p>
    <w:p w:rsidR="00F36218" w:rsidRDefault="00F36218" w:rsidP="00191AB9">
      <w:pPr>
        <w:pStyle w:val="Footer"/>
      </w:pPr>
    </w:p>
  </w:footnote>
  <w:footnote w:id="6">
    <w:p w:rsidR="00F36218" w:rsidRDefault="00F36218" w:rsidP="00191AB9">
      <w:pPr>
        <w:pStyle w:val="Footer"/>
      </w:pPr>
      <w:r>
        <w:rPr>
          <w:rStyle w:val="FootnoteReference"/>
        </w:rPr>
        <w:footnoteRef/>
      </w:r>
      <w:r>
        <w:t xml:space="preserve"> Type 1 are consultant-led 24 hour emergency departments with full resuscitation facilities.</w:t>
      </w:r>
    </w:p>
    <w:p w:rsidR="00F36218" w:rsidRDefault="00F36218" w:rsidP="00191AB9">
      <w:pPr>
        <w:pStyle w:val="Footer"/>
      </w:pPr>
      <w:r>
        <w:t>Type 2 offer a consultant-led speciality A&amp;E service such as ophthalmology or dental.</w:t>
      </w:r>
    </w:p>
    <w:p w:rsidR="00F36218" w:rsidRDefault="00F36218"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F36218" w:rsidRDefault="00F36218" w:rsidP="00191AB9">
      <w:pPr>
        <w:pStyle w:val="Footer"/>
      </w:pPr>
      <w:r>
        <w:t>Type 4 are NHS walk-in centres. (</w:t>
      </w:r>
      <w:hyperlink r:id="rId4" w:history="1">
        <w:r w:rsidRPr="005239BD">
          <w:rPr>
            <w:rStyle w:val="Hyperlink"/>
          </w:rPr>
          <w:t>www.datadictionary.nhs.uk/data_dictionary/attributes/a/acc/</w:t>
        </w:r>
      </w:hyperlink>
      <w:r>
        <w:br/>
      </w:r>
      <w:hyperlink r:id="rId5" w:history="1">
        <w:r w:rsidRPr="005239BD">
          <w:rPr>
            <w:rStyle w:val="Hyperlink"/>
          </w:rPr>
          <w:t>accident_and_emergency_department_type_de.asp</w:t>
        </w:r>
      </w:hyperlink>
      <w:r>
        <w:rPr>
          <w:rStyle w:val="Hyperlink"/>
        </w:rPr>
        <w:t>)</w:t>
      </w:r>
    </w:p>
  </w:footnote>
  <w:footnote w:id="7">
    <w:p w:rsidR="00F36218" w:rsidRDefault="00F36218">
      <w:pPr>
        <w:pStyle w:val="FootnoteText"/>
      </w:pPr>
      <w:r>
        <w:rPr>
          <w:rStyle w:val="FootnoteReference"/>
        </w:rPr>
        <w:footnoteRef/>
      </w:r>
      <w:r>
        <w:t xml:space="preserve"> No data </w:t>
      </w:r>
      <w:r w:rsidR="003507AC">
        <w:t xml:space="preserve">for calls to switchboard, or calls abandoned, </w:t>
      </w:r>
      <w:r>
        <w:t>supplied for March 2015 by East of England.</w:t>
      </w:r>
    </w:p>
    <w:p w:rsidR="00F36218" w:rsidRDefault="00F36218">
      <w:pPr>
        <w:pStyle w:val="FootnoteText"/>
      </w:pPr>
    </w:p>
  </w:footnote>
  <w:footnote w:id="8">
    <w:p w:rsidR="00F36218" w:rsidRDefault="00F36218" w:rsidP="00D90B9A">
      <w:pPr>
        <w:pStyle w:val="Footer"/>
      </w:pPr>
      <w:r>
        <w:rPr>
          <w:rStyle w:val="FootnoteReference"/>
        </w:rPr>
        <w:footnoteRef/>
      </w:r>
      <w:r w:rsidRPr="00F23C98">
        <w:t xml:space="preserve"> </w:t>
      </w:r>
      <w:r w:rsidRPr="0095462C">
        <w:t xml:space="preserve">Due to its small size, performance on Isle of Wight tends to vary more than other Trusts. If </w:t>
      </w:r>
      <w:r>
        <w:t xml:space="preserve">it </w:t>
      </w:r>
      <w:r w:rsidRPr="0095462C">
        <w:t xml:space="preserve">has the </w:t>
      </w:r>
      <w:r>
        <w:t xml:space="preserve">largest </w:t>
      </w:r>
      <w:r w:rsidRPr="0095462C">
        <w:t xml:space="preserve">or </w:t>
      </w:r>
      <w:r>
        <w:t>small</w:t>
      </w:r>
      <w:r w:rsidRPr="0095462C">
        <w:t>est value, the Table in A</w:t>
      </w:r>
      <w:r>
        <w:t>6</w:t>
      </w:r>
      <w:r w:rsidRPr="0095462C">
        <w:t xml:space="preserve"> </w:t>
      </w:r>
      <w:r>
        <w:t xml:space="preserve">has </w:t>
      </w:r>
      <w:r w:rsidRPr="0095462C">
        <w:t xml:space="preserve">a footnote marker to show that </w:t>
      </w:r>
      <w:r>
        <w:t xml:space="preserve">it </w:t>
      </w:r>
      <w:r w:rsidRPr="0095462C">
        <w:t xml:space="preserve">is </w:t>
      </w:r>
      <w:r>
        <w:t xml:space="preserve">the </w:t>
      </w:r>
      <w:r w:rsidRPr="0095462C">
        <w:t>extreme</w:t>
      </w:r>
      <w:r>
        <w:t xml:space="preserve">, and </w:t>
      </w:r>
      <w:r w:rsidRPr="0095462C">
        <w:t xml:space="preserve">shows the second </w:t>
      </w:r>
      <w:r>
        <w:t xml:space="preserve">largest </w:t>
      </w:r>
      <w:r w:rsidRPr="0095462C">
        <w:t xml:space="preserve">or </w:t>
      </w:r>
      <w:r>
        <w:t>small</w:t>
      </w:r>
      <w:r w:rsidRPr="0095462C">
        <w:t xml:space="preserve">est value. </w:t>
      </w:r>
      <w:r>
        <w:t>The Clinical Outcomes in section B also use this system.</w:t>
      </w:r>
    </w:p>
  </w:footnote>
  <w:footnote w:id="9">
    <w:p w:rsidR="00F36218" w:rsidRDefault="00F36218" w:rsidP="00CB58C3">
      <w:pPr>
        <w:pStyle w:val="Footer"/>
      </w:pPr>
      <w:r>
        <w:rPr>
          <w:rStyle w:val="FootnoteReference"/>
        </w:rPr>
        <w:footnoteRef/>
      </w:r>
      <w:r>
        <w:t xml:space="preserve"> Excluding Isle of Wight. See footnote 8 on page 5.</w:t>
      </w:r>
    </w:p>
    <w:p w:rsidR="00F36218" w:rsidRDefault="00F36218" w:rsidP="00CB58C3">
      <w:pPr>
        <w:pStyle w:val="Footer"/>
      </w:pPr>
    </w:p>
  </w:footnote>
  <w:footnote w:id="10">
    <w:p w:rsidR="00F36218" w:rsidRDefault="00F36218" w:rsidP="00C221BD">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6" w:history="1">
        <w:r w:rsidRPr="00416EE1">
          <w:rPr>
            <w:rStyle w:val="Hyperlink"/>
          </w:rPr>
          <w:t>http://circ.ahajournals.org/content/84/2/960.citation</w:t>
        </w:r>
      </w:hyperlink>
    </w:p>
  </w:footnote>
  <w:footnote w:id="11">
    <w:p w:rsidR="00F36218" w:rsidRDefault="00F36218" w:rsidP="00F36218">
      <w:pPr>
        <w:pStyle w:val="Footer"/>
      </w:pPr>
      <w:r>
        <w:rPr>
          <w:rStyle w:val="FootnoteReference"/>
        </w:rPr>
        <w:footnoteRef/>
      </w:r>
      <w:r>
        <w:t xml:space="preserve"> Excluding Isle of Wight. See footnote 8 on page 5.</w:t>
      </w:r>
    </w:p>
  </w:footnote>
  <w:footnote w:id="12">
    <w:p w:rsidR="00F36218" w:rsidRDefault="00F36218" w:rsidP="00F36218">
      <w:pPr>
        <w:pStyle w:val="Footer"/>
      </w:pPr>
      <w:r>
        <w:rPr>
          <w:rStyle w:val="FootnoteReference"/>
        </w:rPr>
        <w:footnoteRef/>
      </w:r>
      <w:r>
        <w:t xml:space="preserve"> Pages 21 to 25 of the specification guidance for data suppliers on the AQI landing page at </w:t>
      </w:r>
      <w:hyperlink r:id="rId7"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F36218" w:rsidRDefault="00F36218" w:rsidP="00F36218">
      <w:pPr>
        <w:pStyle w:val="Footer"/>
      </w:pPr>
    </w:p>
  </w:footnote>
  <w:footnote w:id="13">
    <w:p w:rsidR="00F36218" w:rsidRDefault="00F36218" w:rsidP="00F36218">
      <w:pPr>
        <w:pStyle w:val="Footer"/>
      </w:pPr>
      <w:r>
        <w:rPr>
          <w:rStyle w:val="FootnoteReference"/>
        </w:rPr>
        <w:footnoteRef/>
      </w:r>
      <w:r>
        <w:t xml:space="preserve"> Excluding Isle of Wight. See footnote 8 on page 5.</w:t>
      </w:r>
    </w:p>
  </w:footnote>
  <w:footnote w:id="14">
    <w:p w:rsidR="0095326B" w:rsidRDefault="0095326B" w:rsidP="0095326B">
      <w:pPr>
        <w:pStyle w:val="Footer"/>
      </w:pPr>
      <w:r>
        <w:rPr>
          <w:rStyle w:val="FootnoteReference"/>
        </w:rPr>
        <w:footnoteRef/>
      </w:r>
      <w:r>
        <w:t xml:space="preserve"> Excluding Isle of Wight. See footnote 8 on page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218" w:rsidRDefault="00F36218" w:rsidP="00E924D4">
    <w:pPr>
      <w:pStyle w:val="Header"/>
      <w:tabs>
        <w:tab w:val="clear" w:pos="9026"/>
        <w:tab w:val="left" w:pos="3255"/>
        <w:tab w:val="right" w:pos="9356"/>
      </w:tabs>
      <w:ind w:right="-238"/>
    </w:pPr>
    <w:r>
      <w:tab/>
    </w:r>
    <w:r>
      <w:tab/>
    </w:r>
    <w:r>
      <w:tab/>
    </w:r>
    <w:r>
      <w:rPr>
        <w:noProof/>
      </w:rPr>
      <w:drawing>
        <wp:inline distT="0" distB="0" distL="0" distR="0" wp14:anchorId="5FBE0BDD" wp14:editId="18D9FBC6">
          <wp:extent cx="1155194" cy="719329"/>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F03ECA"/>
    <w:lvl w:ilvl="0">
      <w:start w:val="1"/>
      <w:numFmt w:val="decimal"/>
      <w:lvlText w:val="%1."/>
      <w:lvlJc w:val="left"/>
      <w:pPr>
        <w:tabs>
          <w:tab w:val="num" w:pos="643"/>
        </w:tabs>
        <w:ind w:left="643" w:hanging="360"/>
      </w:pPr>
    </w:lvl>
  </w:abstractNum>
  <w:abstractNum w:abstractNumId="1">
    <w:nsid w:val="FFFFFF83"/>
    <w:multiLevelType w:val="singleLevel"/>
    <w:tmpl w:val="47FE727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D28A83EA"/>
    <w:lvl w:ilvl="0">
      <w:start w:val="1"/>
      <w:numFmt w:val="decimal"/>
      <w:lvlText w:val="%1."/>
      <w:lvlJc w:val="left"/>
      <w:pPr>
        <w:tabs>
          <w:tab w:val="num" w:pos="360"/>
        </w:tabs>
        <w:ind w:left="360" w:hanging="360"/>
      </w:pPr>
    </w:lvl>
  </w:abstractNum>
  <w:abstractNum w:abstractNumId="3">
    <w:nsid w:val="FFFFFF89"/>
    <w:multiLevelType w:val="singleLevel"/>
    <w:tmpl w:val="1178AD2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10"/>
  </w:num>
  <w:num w:numId="5">
    <w:abstractNumId w:val="8"/>
  </w:num>
  <w:num w:numId="6">
    <w:abstractNumId w:val="11"/>
  </w:num>
  <w:num w:numId="7">
    <w:abstractNumId w:val="14"/>
  </w:num>
  <w:num w:numId="8">
    <w:abstractNumId w:val="4"/>
  </w:num>
  <w:num w:numId="9">
    <w:abstractNumId w:val="3"/>
  </w:num>
  <w:num w:numId="10">
    <w:abstractNumId w:val="1"/>
  </w:num>
  <w:num w:numId="11">
    <w:abstractNumId w:val="0"/>
  </w:num>
  <w:num w:numId="12">
    <w:abstractNumId w:val="2"/>
  </w:num>
  <w:num w:numId="13">
    <w:abstractNumId w:val="1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7F1"/>
    <w:rsid w:val="00002502"/>
    <w:rsid w:val="0000477A"/>
    <w:rsid w:val="00007EAE"/>
    <w:rsid w:val="00017E64"/>
    <w:rsid w:val="00017EE8"/>
    <w:rsid w:val="00022C9A"/>
    <w:rsid w:val="00024821"/>
    <w:rsid w:val="000274BA"/>
    <w:rsid w:val="00033CF1"/>
    <w:rsid w:val="00035B25"/>
    <w:rsid w:val="00036949"/>
    <w:rsid w:val="00040A6E"/>
    <w:rsid w:val="00042A5D"/>
    <w:rsid w:val="000442D5"/>
    <w:rsid w:val="00044C0E"/>
    <w:rsid w:val="000452BC"/>
    <w:rsid w:val="0005401E"/>
    <w:rsid w:val="000543A2"/>
    <w:rsid w:val="00054879"/>
    <w:rsid w:val="000549C2"/>
    <w:rsid w:val="0005599E"/>
    <w:rsid w:val="00055BFC"/>
    <w:rsid w:val="000609DB"/>
    <w:rsid w:val="00064B43"/>
    <w:rsid w:val="00065110"/>
    <w:rsid w:val="00065771"/>
    <w:rsid w:val="000670B6"/>
    <w:rsid w:val="00070143"/>
    <w:rsid w:val="0007019A"/>
    <w:rsid w:val="00072DE5"/>
    <w:rsid w:val="000768E8"/>
    <w:rsid w:val="000776AF"/>
    <w:rsid w:val="0007786F"/>
    <w:rsid w:val="00077876"/>
    <w:rsid w:val="00085A95"/>
    <w:rsid w:val="00085AC3"/>
    <w:rsid w:val="00085B01"/>
    <w:rsid w:val="000871A7"/>
    <w:rsid w:val="00087A96"/>
    <w:rsid w:val="00092393"/>
    <w:rsid w:val="00095266"/>
    <w:rsid w:val="00096317"/>
    <w:rsid w:val="000965D6"/>
    <w:rsid w:val="00096A9C"/>
    <w:rsid w:val="00097741"/>
    <w:rsid w:val="000A3161"/>
    <w:rsid w:val="000A42E3"/>
    <w:rsid w:val="000B17F3"/>
    <w:rsid w:val="000B1B66"/>
    <w:rsid w:val="000B2219"/>
    <w:rsid w:val="000B2586"/>
    <w:rsid w:val="000B6AA0"/>
    <w:rsid w:val="000C2092"/>
    <w:rsid w:val="000C3202"/>
    <w:rsid w:val="000D14CB"/>
    <w:rsid w:val="000D3FB5"/>
    <w:rsid w:val="000D4CAE"/>
    <w:rsid w:val="000D6BA7"/>
    <w:rsid w:val="000D71FF"/>
    <w:rsid w:val="000F027D"/>
    <w:rsid w:val="000F0D83"/>
    <w:rsid w:val="000F2BCC"/>
    <w:rsid w:val="000F3EC8"/>
    <w:rsid w:val="000F4631"/>
    <w:rsid w:val="000F5B3F"/>
    <w:rsid w:val="000F5FB4"/>
    <w:rsid w:val="000F6221"/>
    <w:rsid w:val="001000B2"/>
    <w:rsid w:val="0010506D"/>
    <w:rsid w:val="00111B6E"/>
    <w:rsid w:val="00113395"/>
    <w:rsid w:val="0011384E"/>
    <w:rsid w:val="00120401"/>
    <w:rsid w:val="00120424"/>
    <w:rsid w:val="0012242C"/>
    <w:rsid w:val="001251FA"/>
    <w:rsid w:val="001275F2"/>
    <w:rsid w:val="00127A5B"/>
    <w:rsid w:val="00127E1D"/>
    <w:rsid w:val="00127FD0"/>
    <w:rsid w:val="00133520"/>
    <w:rsid w:val="001359EC"/>
    <w:rsid w:val="00136E8B"/>
    <w:rsid w:val="001405FE"/>
    <w:rsid w:val="001407C4"/>
    <w:rsid w:val="0014147C"/>
    <w:rsid w:val="001417C4"/>
    <w:rsid w:val="00144A92"/>
    <w:rsid w:val="00145BE4"/>
    <w:rsid w:val="00146D12"/>
    <w:rsid w:val="00151236"/>
    <w:rsid w:val="0015128C"/>
    <w:rsid w:val="00151567"/>
    <w:rsid w:val="00151AF2"/>
    <w:rsid w:val="0015216C"/>
    <w:rsid w:val="00155E50"/>
    <w:rsid w:val="00156A47"/>
    <w:rsid w:val="00160F31"/>
    <w:rsid w:val="00170786"/>
    <w:rsid w:val="0017281D"/>
    <w:rsid w:val="001747C9"/>
    <w:rsid w:val="00174FF6"/>
    <w:rsid w:val="00175513"/>
    <w:rsid w:val="00177CDB"/>
    <w:rsid w:val="00181692"/>
    <w:rsid w:val="00182E71"/>
    <w:rsid w:val="001847B2"/>
    <w:rsid w:val="001857AC"/>
    <w:rsid w:val="00186446"/>
    <w:rsid w:val="001876F0"/>
    <w:rsid w:val="0019011B"/>
    <w:rsid w:val="00190332"/>
    <w:rsid w:val="00190BCC"/>
    <w:rsid w:val="00191AB9"/>
    <w:rsid w:val="00193CB9"/>
    <w:rsid w:val="0019534B"/>
    <w:rsid w:val="00196595"/>
    <w:rsid w:val="00197242"/>
    <w:rsid w:val="001A2A3F"/>
    <w:rsid w:val="001A3A2C"/>
    <w:rsid w:val="001A3F6B"/>
    <w:rsid w:val="001A471D"/>
    <w:rsid w:val="001A6875"/>
    <w:rsid w:val="001B68DB"/>
    <w:rsid w:val="001B6963"/>
    <w:rsid w:val="001C2BC2"/>
    <w:rsid w:val="001C3052"/>
    <w:rsid w:val="001C3165"/>
    <w:rsid w:val="001C473C"/>
    <w:rsid w:val="001C5911"/>
    <w:rsid w:val="001C688D"/>
    <w:rsid w:val="001C6E6A"/>
    <w:rsid w:val="001D3157"/>
    <w:rsid w:val="001D4F10"/>
    <w:rsid w:val="001D5DCC"/>
    <w:rsid w:val="001E0C96"/>
    <w:rsid w:val="001E2906"/>
    <w:rsid w:val="001E3296"/>
    <w:rsid w:val="001F1181"/>
    <w:rsid w:val="001F1305"/>
    <w:rsid w:val="001F48A8"/>
    <w:rsid w:val="001F634A"/>
    <w:rsid w:val="001F7230"/>
    <w:rsid w:val="002055F7"/>
    <w:rsid w:val="002067E2"/>
    <w:rsid w:val="00210E7E"/>
    <w:rsid w:val="00214510"/>
    <w:rsid w:val="00214A55"/>
    <w:rsid w:val="002221E6"/>
    <w:rsid w:val="00222B38"/>
    <w:rsid w:val="00225C13"/>
    <w:rsid w:val="00230B2D"/>
    <w:rsid w:val="002346FC"/>
    <w:rsid w:val="00241F79"/>
    <w:rsid w:val="00244F63"/>
    <w:rsid w:val="00247D97"/>
    <w:rsid w:val="00250AB3"/>
    <w:rsid w:val="00251383"/>
    <w:rsid w:val="00251854"/>
    <w:rsid w:val="002529A4"/>
    <w:rsid w:val="00252C62"/>
    <w:rsid w:val="00254237"/>
    <w:rsid w:val="0025490C"/>
    <w:rsid w:val="00254B9C"/>
    <w:rsid w:val="00260C5F"/>
    <w:rsid w:val="00261C03"/>
    <w:rsid w:val="00261FC5"/>
    <w:rsid w:val="0026240F"/>
    <w:rsid w:val="0026352B"/>
    <w:rsid w:val="00263BD6"/>
    <w:rsid w:val="00265EFB"/>
    <w:rsid w:val="00267437"/>
    <w:rsid w:val="002674B1"/>
    <w:rsid w:val="00270C17"/>
    <w:rsid w:val="002719AC"/>
    <w:rsid w:val="00275C0B"/>
    <w:rsid w:val="002760F7"/>
    <w:rsid w:val="00277342"/>
    <w:rsid w:val="0028035E"/>
    <w:rsid w:val="00280386"/>
    <w:rsid w:val="00291664"/>
    <w:rsid w:val="0029257D"/>
    <w:rsid w:val="00296E05"/>
    <w:rsid w:val="00297264"/>
    <w:rsid w:val="002A0F67"/>
    <w:rsid w:val="002A2463"/>
    <w:rsid w:val="002A2C06"/>
    <w:rsid w:val="002A3DFB"/>
    <w:rsid w:val="002A4955"/>
    <w:rsid w:val="002A4C7B"/>
    <w:rsid w:val="002A7621"/>
    <w:rsid w:val="002A79F0"/>
    <w:rsid w:val="002B1C61"/>
    <w:rsid w:val="002B4DD9"/>
    <w:rsid w:val="002B4F9D"/>
    <w:rsid w:val="002B55AA"/>
    <w:rsid w:val="002B6786"/>
    <w:rsid w:val="002C04A5"/>
    <w:rsid w:val="002C1974"/>
    <w:rsid w:val="002C1DD5"/>
    <w:rsid w:val="002C3A8E"/>
    <w:rsid w:val="002C3ECB"/>
    <w:rsid w:val="002C4E14"/>
    <w:rsid w:val="002C522F"/>
    <w:rsid w:val="002D10A5"/>
    <w:rsid w:val="002D2035"/>
    <w:rsid w:val="002E3DEA"/>
    <w:rsid w:val="002E4181"/>
    <w:rsid w:val="002E6965"/>
    <w:rsid w:val="002F09FA"/>
    <w:rsid w:val="002F3C5E"/>
    <w:rsid w:val="002F5002"/>
    <w:rsid w:val="002F5385"/>
    <w:rsid w:val="002F7555"/>
    <w:rsid w:val="00300176"/>
    <w:rsid w:val="00300551"/>
    <w:rsid w:val="00305EA9"/>
    <w:rsid w:val="003076B8"/>
    <w:rsid w:val="00310203"/>
    <w:rsid w:val="0031043B"/>
    <w:rsid w:val="0031060B"/>
    <w:rsid w:val="0031228A"/>
    <w:rsid w:val="00317C23"/>
    <w:rsid w:val="00320970"/>
    <w:rsid w:val="00322346"/>
    <w:rsid w:val="0032556F"/>
    <w:rsid w:val="00325786"/>
    <w:rsid w:val="0032599C"/>
    <w:rsid w:val="00326A6F"/>
    <w:rsid w:val="003336E9"/>
    <w:rsid w:val="00335EE6"/>
    <w:rsid w:val="00336020"/>
    <w:rsid w:val="0033606F"/>
    <w:rsid w:val="0034037C"/>
    <w:rsid w:val="00340492"/>
    <w:rsid w:val="00340769"/>
    <w:rsid w:val="00346087"/>
    <w:rsid w:val="00346103"/>
    <w:rsid w:val="00347494"/>
    <w:rsid w:val="003507AC"/>
    <w:rsid w:val="003518B6"/>
    <w:rsid w:val="00356BD0"/>
    <w:rsid w:val="003635DF"/>
    <w:rsid w:val="0036445B"/>
    <w:rsid w:val="003674CA"/>
    <w:rsid w:val="003708E7"/>
    <w:rsid w:val="003723D5"/>
    <w:rsid w:val="0037489E"/>
    <w:rsid w:val="00377786"/>
    <w:rsid w:val="00377FF6"/>
    <w:rsid w:val="00387879"/>
    <w:rsid w:val="0039160E"/>
    <w:rsid w:val="00395D9D"/>
    <w:rsid w:val="00396552"/>
    <w:rsid w:val="00396DD4"/>
    <w:rsid w:val="00396E0E"/>
    <w:rsid w:val="003A0D0C"/>
    <w:rsid w:val="003A2736"/>
    <w:rsid w:val="003A398E"/>
    <w:rsid w:val="003A63FB"/>
    <w:rsid w:val="003A67C6"/>
    <w:rsid w:val="003A7386"/>
    <w:rsid w:val="003B164C"/>
    <w:rsid w:val="003B4AEC"/>
    <w:rsid w:val="003B628A"/>
    <w:rsid w:val="003C007F"/>
    <w:rsid w:val="003C24D1"/>
    <w:rsid w:val="003C3939"/>
    <w:rsid w:val="003D5086"/>
    <w:rsid w:val="003E185C"/>
    <w:rsid w:val="003E3082"/>
    <w:rsid w:val="003E38D7"/>
    <w:rsid w:val="003E411B"/>
    <w:rsid w:val="003E4789"/>
    <w:rsid w:val="003E540C"/>
    <w:rsid w:val="003E5931"/>
    <w:rsid w:val="003E59EE"/>
    <w:rsid w:val="003E6081"/>
    <w:rsid w:val="003E62E5"/>
    <w:rsid w:val="003F3F9B"/>
    <w:rsid w:val="003F43AB"/>
    <w:rsid w:val="00405587"/>
    <w:rsid w:val="00407A2A"/>
    <w:rsid w:val="0041065C"/>
    <w:rsid w:val="00410783"/>
    <w:rsid w:val="00413F2F"/>
    <w:rsid w:val="004140F7"/>
    <w:rsid w:val="0041753D"/>
    <w:rsid w:val="00417AB4"/>
    <w:rsid w:val="00421E46"/>
    <w:rsid w:val="0042340C"/>
    <w:rsid w:val="0042443A"/>
    <w:rsid w:val="00426208"/>
    <w:rsid w:val="00435A7B"/>
    <w:rsid w:val="00436A36"/>
    <w:rsid w:val="004370AB"/>
    <w:rsid w:val="004379E9"/>
    <w:rsid w:val="00440EF3"/>
    <w:rsid w:val="00444612"/>
    <w:rsid w:val="004446CF"/>
    <w:rsid w:val="0044623C"/>
    <w:rsid w:val="0044771F"/>
    <w:rsid w:val="00453F16"/>
    <w:rsid w:val="004550F1"/>
    <w:rsid w:val="00456108"/>
    <w:rsid w:val="00465847"/>
    <w:rsid w:val="00473BFA"/>
    <w:rsid w:val="00474435"/>
    <w:rsid w:val="0047575F"/>
    <w:rsid w:val="004769D3"/>
    <w:rsid w:val="00480623"/>
    <w:rsid w:val="00480A45"/>
    <w:rsid w:val="00483782"/>
    <w:rsid w:val="00483F77"/>
    <w:rsid w:val="00486866"/>
    <w:rsid w:val="00493002"/>
    <w:rsid w:val="004953E1"/>
    <w:rsid w:val="00496F34"/>
    <w:rsid w:val="004A2A45"/>
    <w:rsid w:val="004A463E"/>
    <w:rsid w:val="004A75D3"/>
    <w:rsid w:val="004B32DC"/>
    <w:rsid w:val="004B46D5"/>
    <w:rsid w:val="004B592C"/>
    <w:rsid w:val="004B7035"/>
    <w:rsid w:val="004B77EC"/>
    <w:rsid w:val="004C0D17"/>
    <w:rsid w:val="004C2DB8"/>
    <w:rsid w:val="004C377A"/>
    <w:rsid w:val="004C500F"/>
    <w:rsid w:val="004C5144"/>
    <w:rsid w:val="004D05E1"/>
    <w:rsid w:val="004D083F"/>
    <w:rsid w:val="004D1017"/>
    <w:rsid w:val="004D10AF"/>
    <w:rsid w:val="004D2EE5"/>
    <w:rsid w:val="004D3B3C"/>
    <w:rsid w:val="004F2D5D"/>
    <w:rsid w:val="004F37AE"/>
    <w:rsid w:val="004F3810"/>
    <w:rsid w:val="004F6290"/>
    <w:rsid w:val="005005D8"/>
    <w:rsid w:val="00505BBA"/>
    <w:rsid w:val="00511984"/>
    <w:rsid w:val="00513897"/>
    <w:rsid w:val="005168CD"/>
    <w:rsid w:val="00517BD3"/>
    <w:rsid w:val="0052145B"/>
    <w:rsid w:val="00522954"/>
    <w:rsid w:val="005239BD"/>
    <w:rsid w:val="00523BFF"/>
    <w:rsid w:val="00525B3E"/>
    <w:rsid w:val="00526112"/>
    <w:rsid w:val="005261D8"/>
    <w:rsid w:val="0053124D"/>
    <w:rsid w:val="00531825"/>
    <w:rsid w:val="00531A75"/>
    <w:rsid w:val="0053266B"/>
    <w:rsid w:val="00533D03"/>
    <w:rsid w:val="005347A4"/>
    <w:rsid w:val="00536610"/>
    <w:rsid w:val="00536B5E"/>
    <w:rsid w:val="00536EBE"/>
    <w:rsid w:val="00537299"/>
    <w:rsid w:val="0054261F"/>
    <w:rsid w:val="0054766B"/>
    <w:rsid w:val="00551D2D"/>
    <w:rsid w:val="00551DDC"/>
    <w:rsid w:val="00552E5E"/>
    <w:rsid w:val="005538AF"/>
    <w:rsid w:val="00554203"/>
    <w:rsid w:val="005719BB"/>
    <w:rsid w:val="00572500"/>
    <w:rsid w:val="0057661C"/>
    <w:rsid w:val="005772D5"/>
    <w:rsid w:val="0058367E"/>
    <w:rsid w:val="0058750D"/>
    <w:rsid w:val="00587D4D"/>
    <w:rsid w:val="005945B8"/>
    <w:rsid w:val="005946BA"/>
    <w:rsid w:val="005950EE"/>
    <w:rsid w:val="0059638C"/>
    <w:rsid w:val="005A79AD"/>
    <w:rsid w:val="005B4A17"/>
    <w:rsid w:val="005B7945"/>
    <w:rsid w:val="005B7C87"/>
    <w:rsid w:val="005C1025"/>
    <w:rsid w:val="005C1BA6"/>
    <w:rsid w:val="005C1D5F"/>
    <w:rsid w:val="005C59BC"/>
    <w:rsid w:val="005C6B63"/>
    <w:rsid w:val="005C7115"/>
    <w:rsid w:val="005C7B11"/>
    <w:rsid w:val="005D2E52"/>
    <w:rsid w:val="005D348F"/>
    <w:rsid w:val="005F1398"/>
    <w:rsid w:val="005F2095"/>
    <w:rsid w:val="005F272A"/>
    <w:rsid w:val="005F3B29"/>
    <w:rsid w:val="005F53BA"/>
    <w:rsid w:val="005F60A6"/>
    <w:rsid w:val="00603940"/>
    <w:rsid w:val="00603FEB"/>
    <w:rsid w:val="006059ED"/>
    <w:rsid w:val="00605F7E"/>
    <w:rsid w:val="006157C7"/>
    <w:rsid w:val="006201BE"/>
    <w:rsid w:val="00620FE6"/>
    <w:rsid w:val="00621A41"/>
    <w:rsid w:val="00624EB5"/>
    <w:rsid w:val="00624FF8"/>
    <w:rsid w:val="006272D8"/>
    <w:rsid w:val="006303F7"/>
    <w:rsid w:val="006306D8"/>
    <w:rsid w:val="00631E87"/>
    <w:rsid w:val="00634165"/>
    <w:rsid w:val="00637766"/>
    <w:rsid w:val="00642E05"/>
    <w:rsid w:val="00642E76"/>
    <w:rsid w:val="00644C87"/>
    <w:rsid w:val="006463FF"/>
    <w:rsid w:val="00652737"/>
    <w:rsid w:val="00655F0D"/>
    <w:rsid w:val="006561AF"/>
    <w:rsid w:val="00656C83"/>
    <w:rsid w:val="006606D4"/>
    <w:rsid w:val="0066320C"/>
    <w:rsid w:val="006653DB"/>
    <w:rsid w:val="00667CEB"/>
    <w:rsid w:val="0067269D"/>
    <w:rsid w:val="00676BD5"/>
    <w:rsid w:val="006817AD"/>
    <w:rsid w:val="00694D98"/>
    <w:rsid w:val="00694FB2"/>
    <w:rsid w:val="00695304"/>
    <w:rsid w:val="006A341E"/>
    <w:rsid w:val="006A4A06"/>
    <w:rsid w:val="006A61BC"/>
    <w:rsid w:val="006A6856"/>
    <w:rsid w:val="006B2BEA"/>
    <w:rsid w:val="006B3E8A"/>
    <w:rsid w:val="006C336E"/>
    <w:rsid w:val="006D0E12"/>
    <w:rsid w:val="006D1E78"/>
    <w:rsid w:val="006D5EDF"/>
    <w:rsid w:val="006E0760"/>
    <w:rsid w:val="006E2C05"/>
    <w:rsid w:val="006E58F5"/>
    <w:rsid w:val="006F0DF6"/>
    <w:rsid w:val="006F2263"/>
    <w:rsid w:val="006F4168"/>
    <w:rsid w:val="00700863"/>
    <w:rsid w:val="007017DC"/>
    <w:rsid w:val="00701D5C"/>
    <w:rsid w:val="0070276C"/>
    <w:rsid w:val="007027B5"/>
    <w:rsid w:val="00702DCC"/>
    <w:rsid w:val="00705EA9"/>
    <w:rsid w:val="007154E1"/>
    <w:rsid w:val="007155C3"/>
    <w:rsid w:val="0071673C"/>
    <w:rsid w:val="007177B5"/>
    <w:rsid w:val="007177FD"/>
    <w:rsid w:val="00720B11"/>
    <w:rsid w:val="00723160"/>
    <w:rsid w:val="00724971"/>
    <w:rsid w:val="00725439"/>
    <w:rsid w:val="0073041B"/>
    <w:rsid w:val="00732ECD"/>
    <w:rsid w:val="00735077"/>
    <w:rsid w:val="00737724"/>
    <w:rsid w:val="00741E8A"/>
    <w:rsid w:val="00742B0B"/>
    <w:rsid w:val="00747269"/>
    <w:rsid w:val="00753EA9"/>
    <w:rsid w:val="00761FF8"/>
    <w:rsid w:val="007639D5"/>
    <w:rsid w:val="0076596A"/>
    <w:rsid w:val="00767475"/>
    <w:rsid w:val="007700CE"/>
    <w:rsid w:val="00771043"/>
    <w:rsid w:val="00774123"/>
    <w:rsid w:val="00775632"/>
    <w:rsid w:val="007804B7"/>
    <w:rsid w:val="007920B1"/>
    <w:rsid w:val="00793660"/>
    <w:rsid w:val="0079446A"/>
    <w:rsid w:val="007A07DD"/>
    <w:rsid w:val="007A138E"/>
    <w:rsid w:val="007A2AF5"/>
    <w:rsid w:val="007A37B3"/>
    <w:rsid w:val="007B0011"/>
    <w:rsid w:val="007B0D9A"/>
    <w:rsid w:val="007B22A7"/>
    <w:rsid w:val="007B2807"/>
    <w:rsid w:val="007B2D4E"/>
    <w:rsid w:val="007B5B41"/>
    <w:rsid w:val="007B5C09"/>
    <w:rsid w:val="007C0F9B"/>
    <w:rsid w:val="007C0FC7"/>
    <w:rsid w:val="007C393E"/>
    <w:rsid w:val="007C3B46"/>
    <w:rsid w:val="007C6125"/>
    <w:rsid w:val="007C6985"/>
    <w:rsid w:val="007D1A84"/>
    <w:rsid w:val="007D2560"/>
    <w:rsid w:val="007D2957"/>
    <w:rsid w:val="007E152B"/>
    <w:rsid w:val="007E3671"/>
    <w:rsid w:val="007E3EBE"/>
    <w:rsid w:val="007E7FAA"/>
    <w:rsid w:val="007F02F1"/>
    <w:rsid w:val="007F1EB3"/>
    <w:rsid w:val="007F2531"/>
    <w:rsid w:val="007F277B"/>
    <w:rsid w:val="007F366E"/>
    <w:rsid w:val="007F39C7"/>
    <w:rsid w:val="007F6B19"/>
    <w:rsid w:val="00806B8A"/>
    <w:rsid w:val="008076E2"/>
    <w:rsid w:val="008113A4"/>
    <w:rsid w:val="008132F5"/>
    <w:rsid w:val="00814AF3"/>
    <w:rsid w:val="008150FA"/>
    <w:rsid w:val="00815169"/>
    <w:rsid w:val="00821EA9"/>
    <w:rsid w:val="008227CE"/>
    <w:rsid w:val="00822C2F"/>
    <w:rsid w:val="008231E3"/>
    <w:rsid w:val="0082452F"/>
    <w:rsid w:val="00826D43"/>
    <w:rsid w:val="008301F3"/>
    <w:rsid w:val="008340D3"/>
    <w:rsid w:val="008404D1"/>
    <w:rsid w:val="00841DFF"/>
    <w:rsid w:val="00843ABC"/>
    <w:rsid w:val="00844712"/>
    <w:rsid w:val="00845B66"/>
    <w:rsid w:val="00850F3E"/>
    <w:rsid w:val="00853643"/>
    <w:rsid w:val="0085446E"/>
    <w:rsid w:val="00861B67"/>
    <w:rsid w:val="00862969"/>
    <w:rsid w:val="00864978"/>
    <w:rsid w:val="00865E6C"/>
    <w:rsid w:val="00867D59"/>
    <w:rsid w:val="0087012E"/>
    <w:rsid w:val="00871ADB"/>
    <w:rsid w:val="008755AA"/>
    <w:rsid w:val="00875FD5"/>
    <w:rsid w:val="00876654"/>
    <w:rsid w:val="00880163"/>
    <w:rsid w:val="008805A7"/>
    <w:rsid w:val="00883B6B"/>
    <w:rsid w:val="00884B4D"/>
    <w:rsid w:val="00887DBB"/>
    <w:rsid w:val="0089121D"/>
    <w:rsid w:val="00891640"/>
    <w:rsid w:val="00893655"/>
    <w:rsid w:val="008969B0"/>
    <w:rsid w:val="008A503B"/>
    <w:rsid w:val="008A5185"/>
    <w:rsid w:val="008A5626"/>
    <w:rsid w:val="008A58CE"/>
    <w:rsid w:val="008A6950"/>
    <w:rsid w:val="008B579C"/>
    <w:rsid w:val="008C4B8B"/>
    <w:rsid w:val="008C5A76"/>
    <w:rsid w:val="008C63D3"/>
    <w:rsid w:val="008D1CF1"/>
    <w:rsid w:val="008D2F54"/>
    <w:rsid w:val="008D50FB"/>
    <w:rsid w:val="008D61DF"/>
    <w:rsid w:val="008D69BA"/>
    <w:rsid w:val="008E2FEE"/>
    <w:rsid w:val="008E3542"/>
    <w:rsid w:val="008E4F65"/>
    <w:rsid w:val="008E5931"/>
    <w:rsid w:val="008E6B23"/>
    <w:rsid w:val="008F1385"/>
    <w:rsid w:val="008F22AB"/>
    <w:rsid w:val="008F3E74"/>
    <w:rsid w:val="008F5EE8"/>
    <w:rsid w:val="008F78EA"/>
    <w:rsid w:val="0090071E"/>
    <w:rsid w:val="00900AD0"/>
    <w:rsid w:val="009038ED"/>
    <w:rsid w:val="0090527D"/>
    <w:rsid w:val="0090652B"/>
    <w:rsid w:val="00910BE4"/>
    <w:rsid w:val="009132F3"/>
    <w:rsid w:val="009141A4"/>
    <w:rsid w:val="00915F3E"/>
    <w:rsid w:val="00917404"/>
    <w:rsid w:val="009207F3"/>
    <w:rsid w:val="00921ACE"/>
    <w:rsid w:val="00921DB1"/>
    <w:rsid w:val="00924E3D"/>
    <w:rsid w:val="00927612"/>
    <w:rsid w:val="00940A61"/>
    <w:rsid w:val="00940ADF"/>
    <w:rsid w:val="00947505"/>
    <w:rsid w:val="00950A7E"/>
    <w:rsid w:val="0095326B"/>
    <w:rsid w:val="0095462C"/>
    <w:rsid w:val="00954E2E"/>
    <w:rsid w:val="00954EA7"/>
    <w:rsid w:val="00955D7C"/>
    <w:rsid w:val="0096283E"/>
    <w:rsid w:val="009638D7"/>
    <w:rsid w:val="00965572"/>
    <w:rsid w:val="00966F66"/>
    <w:rsid w:val="00971C38"/>
    <w:rsid w:val="0097213E"/>
    <w:rsid w:val="0097321C"/>
    <w:rsid w:val="00974797"/>
    <w:rsid w:val="00975BA9"/>
    <w:rsid w:val="0097746A"/>
    <w:rsid w:val="00981224"/>
    <w:rsid w:val="00983F79"/>
    <w:rsid w:val="00985A23"/>
    <w:rsid w:val="0099142B"/>
    <w:rsid w:val="00992442"/>
    <w:rsid w:val="00995CC1"/>
    <w:rsid w:val="009969BD"/>
    <w:rsid w:val="009977B3"/>
    <w:rsid w:val="009A4919"/>
    <w:rsid w:val="009B166A"/>
    <w:rsid w:val="009B5925"/>
    <w:rsid w:val="009B5D9A"/>
    <w:rsid w:val="009B72C4"/>
    <w:rsid w:val="009C74A5"/>
    <w:rsid w:val="009D0C4D"/>
    <w:rsid w:val="009D0DA1"/>
    <w:rsid w:val="009D34C0"/>
    <w:rsid w:val="009E31EF"/>
    <w:rsid w:val="009E4593"/>
    <w:rsid w:val="009E6DA1"/>
    <w:rsid w:val="009F060C"/>
    <w:rsid w:val="009F0F7A"/>
    <w:rsid w:val="009F1FA7"/>
    <w:rsid w:val="009F3BDF"/>
    <w:rsid w:val="00A039C6"/>
    <w:rsid w:val="00A107A5"/>
    <w:rsid w:val="00A10CE7"/>
    <w:rsid w:val="00A13D6C"/>
    <w:rsid w:val="00A1696C"/>
    <w:rsid w:val="00A17A58"/>
    <w:rsid w:val="00A22978"/>
    <w:rsid w:val="00A244B1"/>
    <w:rsid w:val="00A26CA7"/>
    <w:rsid w:val="00A3104B"/>
    <w:rsid w:val="00A31BC8"/>
    <w:rsid w:val="00A32B3E"/>
    <w:rsid w:val="00A33BDB"/>
    <w:rsid w:val="00A4253D"/>
    <w:rsid w:val="00A42A6B"/>
    <w:rsid w:val="00A458E0"/>
    <w:rsid w:val="00A46C32"/>
    <w:rsid w:val="00A54078"/>
    <w:rsid w:val="00A56831"/>
    <w:rsid w:val="00A575B0"/>
    <w:rsid w:val="00A64EB2"/>
    <w:rsid w:val="00A65D0F"/>
    <w:rsid w:val="00A66836"/>
    <w:rsid w:val="00A718FA"/>
    <w:rsid w:val="00A7265B"/>
    <w:rsid w:val="00A72E13"/>
    <w:rsid w:val="00A76C6D"/>
    <w:rsid w:val="00A778EA"/>
    <w:rsid w:val="00A831DC"/>
    <w:rsid w:val="00A855BD"/>
    <w:rsid w:val="00A90C28"/>
    <w:rsid w:val="00A914E9"/>
    <w:rsid w:val="00A91618"/>
    <w:rsid w:val="00A92F4D"/>
    <w:rsid w:val="00A9585B"/>
    <w:rsid w:val="00A979C6"/>
    <w:rsid w:val="00AA3CDD"/>
    <w:rsid w:val="00AA6B6B"/>
    <w:rsid w:val="00AA708E"/>
    <w:rsid w:val="00AA7926"/>
    <w:rsid w:val="00AC23EC"/>
    <w:rsid w:val="00AC2B2D"/>
    <w:rsid w:val="00AC2C68"/>
    <w:rsid w:val="00AC3DAD"/>
    <w:rsid w:val="00AC597D"/>
    <w:rsid w:val="00AC617A"/>
    <w:rsid w:val="00AD051D"/>
    <w:rsid w:val="00AD6F90"/>
    <w:rsid w:val="00AE110A"/>
    <w:rsid w:val="00AE15EE"/>
    <w:rsid w:val="00AE2AEE"/>
    <w:rsid w:val="00AE33C1"/>
    <w:rsid w:val="00AE4993"/>
    <w:rsid w:val="00AE5C17"/>
    <w:rsid w:val="00AE71D4"/>
    <w:rsid w:val="00AE7530"/>
    <w:rsid w:val="00AF0B61"/>
    <w:rsid w:val="00AF1519"/>
    <w:rsid w:val="00AF1AD9"/>
    <w:rsid w:val="00AF24DB"/>
    <w:rsid w:val="00AF2574"/>
    <w:rsid w:val="00AF2C09"/>
    <w:rsid w:val="00B02804"/>
    <w:rsid w:val="00B03698"/>
    <w:rsid w:val="00B05CB0"/>
    <w:rsid w:val="00B0776C"/>
    <w:rsid w:val="00B10ECF"/>
    <w:rsid w:val="00B117F9"/>
    <w:rsid w:val="00B143DF"/>
    <w:rsid w:val="00B176FE"/>
    <w:rsid w:val="00B21E1C"/>
    <w:rsid w:val="00B316A5"/>
    <w:rsid w:val="00B33BAE"/>
    <w:rsid w:val="00B40C2F"/>
    <w:rsid w:val="00B412D1"/>
    <w:rsid w:val="00B41F06"/>
    <w:rsid w:val="00B441CC"/>
    <w:rsid w:val="00B45B8D"/>
    <w:rsid w:val="00B4687B"/>
    <w:rsid w:val="00B477EF"/>
    <w:rsid w:val="00B63CE9"/>
    <w:rsid w:val="00B66678"/>
    <w:rsid w:val="00B71432"/>
    <w:rsid w:val="00B72C29"/>
    <w:rsid w:val="00B82858"/>
    <w:rsid w:val="00B828B6"/>
    <w:rsid w:val="00B85756"/>
    <w:rsid w:val="00B86E93"/>
    <w:rsid w:val="00B91476"/>
    <w:rsid w:val="00B9347E"/>
    <w:rsid w:val="00B93837"/>
    <w:rsid w:val="00B947D5"/>
    <w:rsid w:val="00BB35BC"/>
    <w:rsid w:val="00BC03EF"/>
    <w:rsid w:val="00BC05C3"/>
    <w:rsid w:val="00BC10E3"/>
    <w:rsid w:val="00BC435A"/>
    <w:rsid w:val="00BC6A0B"/>
    <w:rsid w:val="00BD1057"/>
    <w:rsid w:val="00BD1EA6"/>
    <w:rsid w:val="00BD33CF"/>
    <w:rsid w:val="00BD48E2"/>
    <w:rsid w:val="00BD4D0C"/>
    <w:rsid w:val="00BE1CE7"/>
    <w:rsid w:val="00BE2594"/>
    <w:rsid w:val="00BE26F1"/>
    <w:rsid w:val="00BE72B7"/>
    <w:rsid w:val="00BE741D"/>
    <w:rsid w:val="00BE7849"/>
    <w:rsid w:val="00BF249B"/>
    <w:rsid w:val="00BF2C50"/>
    <w:rsid w:val="00BF7A8A"/>
    <w:rsid w:val="00C00BBA"/>
    <w:rsid w:val="00C0131F"/>
    <w:rsid w:val="00C03C2F"/>
    <w:rsid w:val="00C03D2B"/>
    <w:rsid w:val="00C061B2"/>
    <w:rsid w:val="00C06A62"/>
    <w:rsid w:val="00C10486"/>
    <w:rsid w:val="00C14E1D"/>
    <w:rsid w:val="00C16133"/>
    <w:rsid w:val="00C21149"/>
    <w:rsid w:val="00C221BD"/>
    <w:rsid w:val="00C25A42"/>
    <w:rsid w:val="00C26738"/>
    <w:rsid w:val="00C26810"/>
    <w:rsid w:val="00C307CE"/>
    <w:rsid w:val="00C3190D"/>
    <w:rsid w:val="00C3404F"/>
    <w:rsid w:val="00C3443F"/>
    <w:rsid w:val="00C344CA"/>
    <w:rsid w:val="00C34B3D"/>
    <w:rsid w:val="00C3748B"/>
    <w:rsid w:val="00C40D56"/>
    <w:rsid w:val="00C418B2"/>
    <w:rsid w:val="00C445E6"/>
    <w:rsid w:val="00C5192F"/>
    <w:rsid w:val="00C521D4"/>
    <w:rsid w:val="00C532C8"/>
    <w:rsid w:val="00C54B5E"/>
    <w:rsid w:val="00C54FB2"/>
    <w:rsid w:val="00C57812"/>
    <w:rsid w:val="00C611A3"/>
    <w:rsid w:val="00C61A40"/>
    <w:rsid w:val="00C61AF0"/>
    <w:rsid w:val="00C64019"/>
    <w:rsid w:val="00C66ACE"/>
    <w:rsid w:val="00C70840"/>
    <w:rsid w:val="00C70AC7"/>
    <w:rsid w:val="00C70C05"/>
    <w:rsid w:val="00C71776"/>
    <w:rsid w:val="00C7319F"/>
    <w:rsid w:val="00C739C2"/>
    <w:rsid w:val="00C73A40"/>
    <w:rsid w:val="00C757AB"/>
    <w:rsid w:val="00C75B8F"/>
    <w:rsid w:val="00C75DDB"/>
    <w:rsid w:val="00C7779C"/>
    <w:rsid w:val="00C90FB6"/>
    <w:rsid w:val="00C93A2D"/>
    <w:rsid w:val="00C94BBC"/>
    <w:rsid w:val="00C957A6"/>
    <w:rsid w:val="00C96A98"/>
    <w:rsid w:val="00C973AE"/>
    <w:rsid w:val="00C9746F"/>
    <w:rsid w:val="00CA1AE1"/>
    <w:rsid w:val="00CA53CE"/>
    <w:rsid w:val="00CA5B86"/>
    <w:rsid w:val="00CB2E00"/>
    <w:rsid w:val="00CB58C3"/>
    <w:rsid w:val="00CC4553"/>
    <w:rsid w:val="00CD037E"/>
    <w:rsid w:val="00CD369E"/>
    <w:rsid w:val="00CD5263"/>
    <w:rsid w:val="00CE2AB5"/>
    <w:rsid w:val="00CF1DB8"/>
    <w:rsid w:val="00CF22D9"/>
    <w:rsid w:val="00CF2301"/>
    <w:rsid w:val="00D01436"/>
    <w:rsid w:val="00D02FA8"/>
    <w:rsid w:val="00D03A3C"/>
    <w:rsid w:val="00D04686"/>
    <w:rsid w:val="00D05B8F"/>
    <w:rsid w:val="00D064D4"/>
    <w:rsid w:val="00D11CB6"/>
    <w:rsid w:val="00D124B3"/>
    <w:rsid w:val="00D13275"/>
    <w:rsid w:val="00D1660D"/>
    <w:rsid w:val="00D166D9"/>
    <w:rsid w:val="00D2535D"/>
    <w:rsid w:val="00D25CD8"/>
    <w:rsid w:val="00D26C0F"/>
    <w:rsid w:val="00D30DAF"/>
    <w:rsid w:val="00D3262A"/>
    <w:rsid w:val="00D348E4"/>
    <w:rsid w:val="00D35203"/>
    <w:rsid w:val="00D37FEA"/>
    <w:rsid w:val="00D40138"/>
    <w:rsid w:val="00D4130A"/>
    <w:rsid w:val="00D427DF"/>
    <w:rsid w:val="00D43749"/>
    <w:rsid w:val="00D44AE7"/>
    <w:rsid w:val="00D4605E"/>
    <w:rsid w:val="00D50962"/>
    <w:rsid w:val="00D51401"/>
    <w:rsid w:val="00D51658"/>
    <w:rsid w:val="00D51A2F"/>
    <w:rsid w:val="00D547A7"/>
    <w:rsid w:val="00D56563"/>
    <w:rsid w:val="00D57887"/>
    <w:rsid w:val="00D57D81"/>
    <w:rsid w:val="00D612EA"/>
    <w:rsid w:val="00D6205D"/>
    <w:rsid w:val="00D63B78"/>
    <w:rsid w:val="00D67C11"/>
    <w:rsid w:val="00D706BD"/>
    <w:rsid w:val="00D71457"/>
    <w:rsid w:val="00D7215A"/>
    <w:rsid w:val="00D727BC"/>
    <w:rsid w:val="00D72F12"/>
    <w:rsid w:val="00D74651"/>
    <w:rsid w:val="00D75F20"/>
    <w:rsid w:val="00D8289C"/>
    <w:rsid w:val="00D82D27"/>
    <w:rsid w:val="00D847FB"/>
    <w:rsid w:val="00D868A7"/>
    <w:rsid w:val="00D87887"/>
    <w:rsid w:val="00D8793C"/>
    <w:rsid w:val="00D90B9A"/>
    <w:rsid w:val="00D915B6"/>
    <w:rsid w:val="00DA4CE4"/>
    <w:rsid w:val="00DA6E95"/>
    <w:rsid w:val="00DB11F1"/>
    <w:rsid w:val="00DB3336"/>
    <w:rsid w:val="00DB41B0"/>
    <w:rsid w:val="00DB6904"/>
    <w:rsid w:val="00DC0B1E"/>
    <w:rsid w:val="00DC41F9"/>
    <w:rsid w:val="00DC48A5"/>
    <w:rsid w:val="00DC4BF3"/>
    <w:rsid w:val="00DC5551"/>
    <w:rsid w:val="00DD21E6"/>
    <w:rsid w:val="00DD280D"/>
    <w:rsid w:val="00DD3BB7"/>
    <w:rsid w:val="00DD791D"/>
    <w:rsid w:val="00DE353D"/>
    <w:rsid w:val="00DE4AEF"/>
    <w:rsid w:val="00DE5B0A"/>
    <w:rsid w:val="00DE5DC5"/>
    <w:rsid w:val="00DF0993"/>
    <w:rsid w:val="00DF0ADA"/>
    <w:rsid w:val="00DF1F6C"/>
    <w:rsid w:val="00DF3C09"/>
    <w:rsid w:val="00DF69D1"/>
    <w:rsid w:val="00E0266B"/>
    <w:rsid w:val="00E043A8"/>
    <w:rsid w:val="00E055D4"/>
    <w:rsid w:val="00E0653D"/>
    <w:rsid w:val="00E132B5"/>
    <w:rsid w:val="00E135D5"/>
    <w:rsid w:val="00E14C48"/>
    <w:rsid w:val="00E21DD4"/>
    <w:rsid w:val="00E24229"/>
    <w:rsid w:val="00E24A7F"/>
    <w:rsid w:val="00E25C7B"/>
    <w:rsid w:val="00E25E8A"/>
    <w:rsid w:val="00E26E89"/>
    <w:rsid w:val="00E274DD"/>
    <w:rsid w:val="00E3113C"/>
    <w:rsid w:val="00E318EF"/>
    <w:rsid w:val="00E324F3"/>
    <w:rsid w:val="00E34FE9"/>
    <w:rsid w:val="00E42D55"/>
    <w:rsid w:val="00E42D6F"/>
    <w:rsid w:val="00E44882"/>
    <w:rsid w:val="00E47C1E"/>
    <w:rsid w:val="00E51A9F"/>
    <w:rsid w:val="00E52050"/>
    <w:rsid w:val="00E52476"/>
    <w:rsid w:val="00E53110"/>
    <w:rsid w:val="00E53117"/>
    <w:rsid w:val="00E55FAB"/>
    <w:rsid w:val="00E56682"/>
    <w:rsid w:val="00E575C0"/>
    <w:rsid w:val="00E639AA"/>
    <w:rsid w:val="00E74035"/>
    <w:rsid w:val="00E759ED"/>
    <w:rsid w:val="00E76C17"/>
    <w:rsid w:val="00E77913"/>
    <w:rsid w:val="00E924D4"/>
    <w:rsid w:val="00E940EF"/>
    <w:rsid w:val="00E94351"/>
    <w:rsid w:val="00EA10A9"/>
    <w:rsid w:val="00EA1F50"/>
    <w:rsid w:val="00EA23A9"/>
    <w:rsid w:val="00EA2A84"/>
    <w:rsid w:val="00EA5D90"/>
    <w:rsid w:val="00EB18A7"/>
    <w:rsid w:val="00EB27D0"/>
    <w:rsid w:val="00EB4830"/>
    <w:rsid w:val="00EB4C29"/>
    <w:rsid w:val="00EB4DFD"/>
    <w:rsid w:val="00EB5410"/>
    <w:rsid w:val="00EB5DF3"/>
    <w:rsid w:val="00EB7483"/>
    <w:rsid w:val="00EC40B1"/>
    <w:rsid w:val="00EC65C3"/>
    <w:rsid w:val="00ED237F"/>
    <w:rsid w:val="00ED2DED"/>
    <w:rsid w:val="00ED3292"/>
    <w:rsid w:val="00ED3F78"/>
    <w:rsid w:val="00ED4AE1"/>
    <w:rsid w:val="00ED7532"/>
    <w:rsid w:val="00EE6BE8"/>
    <w:rsid w:val="00EE7507"/>
    <w:rsid w:val="00EF2D87"/>
    <w:rsid w:val="00EF3B4A"/>
    <w:rsid w:val="00EF6133"/>
    <w:rsid w:val="00F01361"/>
    <w:rsid w:val="00F031F0"/>
    <w:rsid w:val="00F0321B"/>
    <w:rsid w:val="00F04282"/>
    <w:rsid w:val="00F051FD"/>
    <w:rsid w:val="00F06D35"/>
    <w:rsid w:val="00F10AC3"/>
    <w:rsid w:val="00F11CDA"/>
    <w:rsid w:val="00F14A46"/>
    <w:rsid w:val="00F16D7A"/>
    <w:rsid w:val="00F16EE8"/>
    <w:rsid w:val="00F23C98"/>
    <w:rsid w:val="00F23D7E"/>
    <w:rsid w:val="00F23E6F"/>
    <w:rsid w:val="00F2562E"/>
    <w:rsid w:val="00F26900"/>
    <w:rsid w:val="00F27645"/>
    <w:rsid w:val="00F30584"/>
    <w:rsid w:val="00F33E46"/>
    <w:rsid w:val="00F35268"/>
    <w:rsid w:val="00F36218"/>
    <w:rsid w:val="00F40B3B"/>
    <w:rsid w:val="00F42D71"/>
    <w:rsid w:val="00F43D58"/>
    <w:rsid w:val="00F55DB5"/>
    <w:rsid w:val="00F56F7A"/>
    <w:rsid w:val="00F57C7B"/>
    <w:rsid w:val="00F57F10"/>
    <w:rsid w:val="00F608D1"/>
    <w:rsid w:val="00F62D81"/>
    <w:rsid w:val="00F63574"/>
    <w:rsid w:val="00F63C46"/>
    <w:rsid w:val="00F64A2E"/>
    <w:rsid w:val="00F65B38"/>
    <w:rsid w:val="00F661D9"/>
    <w:rsid w:val="00F703B0"/>
    <w:rsid w:val="00F7048D"/>
    <w:rsid w:val="00F735BC"/>
    <w:rsid w:val="00F83563"/>
    <w:rsid w:val="00F84799"/>
    <w:rsid w:val="00F912AC"/>
    <w:rsid w:val="00F92432"/>
    <w:rsid w:val="00F92A10"/>
    <w:rsid w:val="00F93A98"/>
    <w:rsid w:val="00F94C99"/>
    <w:rsid w:val="00F96341"/>
    <w:rsid w:val="00FB225C"/>
    <w:rsid w:val="00FB353C"/>
    <w:rsid w:val="00FB5A5C"/>
    <w:rsid w:val="00FB6979"/>
    <w:rsid w:val="00FC53E3"/>
    <w:rsid w:val="00FC6239"/>
    <w:rsid w:val="00FD06F7"/>
    <w:rsid w:val="00FD4A85"/>
    <w:rsid w:val="00FD58E1"/>
    <w:rsid w:val="00FE12CD"/>
    <w:rsid w:val="00FF1418"/>
    <w:rsid w:val="00FF38FD"/>
    <w:rsid w:val="00FF4218"/>
    <w:rsid w:val="00FF4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90B9A"/>
    <w:pPr>
      <w:spacing w:after="240"/>
    </w:pPr>
    <w:rPr>
      <w:rFonts w:ascii="Arial" w:hAnsi="Arial"/>
      <w:sz w:val="24"/>
      <w:szCs w:val="24"/>
    </w:rPr>
  </w:style>
  <w:style w:type="paragraph" w:styleId="Heading1">
    <w:name w:val="heading 1"/>
    <w:basedOn w:val="Normal"/>
    <w:next w:val="Normal"/>
    <w:link w:val="Heading1Char"/>
    <w:uiPriority w:val="9"/>
    <w:qFormat/>
    <w:rsid w:val="00950A7E"/>
    <w:pPr>
      <w:keepNext/>
      <w:keepLines/>
      <w:spacing w:after="12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950A7E"/>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950A7E"/>
    <w:pPr>
      <w:keepNext/>
      <w:keepLines/>
      <w:spacing w:after="0" w:line="360" w:lineRule="auto"/>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spacing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950A7E"/>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50A7E"/>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pPr>
      <w:spacing w:after="120"/>
    </w:pPr>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90B9A"/>
    <w:pPr>
      <w:spacing w:after="240"/>
    </w:pPr>
    <w:rPr>
      <w:rFonts w:ascii="Arial" w:hAnsi="Arial"/>
      <w:sz w:val="24"/>
      <w:szCs w:val="24"/>
    </w:rPr>
  </w:style>
  <w:style w:type="paragraph" w:styleId="Heading1">
    <w:name w:val="heading 1"/>
    <w:basedOn w:val="Normal"/>
    <w:next w:val="Normal"/>
    <w:link w:val="Heading1Char"/>
    <w:uiPriority w:val="9"/>
    <w:qFormat/>
    <w:rsid w:val="00950A7E"/>
    <w:pPr>
      <w:keepNext/>
      <w:keepLines/>
      <w:spacing w:after="12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950A7E"/>
    <w:pPr>
      <w:keepNext/>
      <w:keepLines/>
      <w:spacing w:after="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950A7E"/>
    <w:pPr>
      <w:keepNext/>
      <w:keepLines/>
      <w:spacing w:after="0" w:line="360" w:lineRule="auto"/>
      <w:outlineLvl w:val="2"/>
    </w:pPr>
    <w:rPr>
      <w:rFonts w:eastAsiaTheme="majorEastAsia" w:cstheme="majorBidi"/>
      <w:b/>
      <w:bCs/>
      <w:color w:val="0072C6"/>
    </w:rPr>
  </w:style>
  <w:style w:type="paragraph" w:styleId="Heading4">
    <w:name w:val="heading 4"/>
    <w:basedOn w:val="Normal"/>
    <w:next w:val="Normal"/>
    <w:link w:val="Heading4Char"/>
    <w:uiPriority w:val="9"/>
    <w:qFormat/>
    <w:rsid w:val="009E4593"/>
    <w:pPr>
      <w:keepNext/>
      <w:keepLines/>
      <w:spacing w:after="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9E4593"/>
    <w:pPr>
      <w:keepNext/>
      <w:keepLines/>
      <w:spacing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950A7E"/>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50A7E"/>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9E4593"/>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paragraph" w:styleId="ListParagraph">
    <w:name w:val="List Paragraph"/>
    <w:basedOn w:val="Normal"/>
    <w:uiPriority w:val="34"/>
    <w:qFormat/>
    <w:rsid w:val="0058750D"/>
    <w:pPr>
      <w:ind w:left="720"/>
      <w:contextualSpacing/>
    </w:pPr>
  </w:style>
  <w:style w:type="character" w:customStyle="1" w:styleId="FootnoteTextChar">
    <w:name w:val="Footnote Text Char"/>
    <w:basedOn w:val="DefaultParagraphFont"/>
    <w:link w:val="FootnoteText"/>
    <w:semiHidden/>
    <w:rsid w:val="0099142B"/>
    <w:rPr>
      <w:rFonts w:ascii="Arial" w:hAnsi="Arial"/>
    </w:rPr>
  </w:style>
  <w:style w:type="paragraph" w:styleId="ListBullet2">
    <w:name w:val="List Bullet 2"/>
    <w:basedOn w:val="Normal"/>
    <w:uiPriority w:val="99"/>
    <w:rsid w:val="001D4F10"/>
    <w:pPr>
      <w:numPr>
        <w:numId w:val="10"/>
      </w:numPr>
      <w:spacing w:after="0"/>
      <w:ind w:left="641" w:hanging="357"/>
      <w:contextualSpacing/>
    </w:pPr>
  </w:style>
  <w:style w:type="paragraph" w:styleId="BodyText">
    <w:name w:val="Body Text"/>
    <w:basedOn w:val="Normal"/>
    <w:link w:val="BodyTextChar"/>
    <w:uiPriority w:val="99"/>
    <w:rsid w:val="008C5A76"/>
    <w:pPr>
      <w:spacing w:after="120"/>
    </w:pPr>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9E4593"/>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bit.ly/NHSAQI"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england.nhs.uk/statistics/statistical-work-areas/ambulance-quality-indicators" TargetMode="External"/><Relationship Id="rId33" Type="http://schemas.openxmlformats.org/officeDocument/2006/relationships/hyperlink" Target="mailto:i.kay@nhs.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ales.gov.uk/statistics-and-research/ambulance-services/?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mailto:nhsengland.media@nhs.ne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hscic.gov.uk/article/2021/Website-Search?productid=15165" TargetMode="External"/><Relationship Id="rId36" Type="http://schemas.openxmlformats.org/officeDocument/2006/relationships/fontTable" Target="fontTable.xml"/><Relationship Id="rId10" Type="http://schemas.openxmlformats.org/officeDocument/2006/relationships/hyperlink" Target="http://bit.ly/NHSAQI" TargetMode="External"/><Relationship Id="rId19" Type="http://schemas.openxmlformats.org/officeDocument/2006/relationships/image" Target="media/image10.png"/><Relationship Id="rId31" Type="http://schemas.openxmlformats.org/officeDocument/2006/relationships/hyperlink" Target="http://www.dhsspsni.gov.uk/index/statistics/hospital/emergency-care/ambulance-statistic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aace.org.uk/national-performance/national-clinical-dashboards" TargetMode="External"/><Relationship Id="rId30" Type="http://schemas.openxmlformats.org/officeDocument/2006/relationships/hyperlink" Target="http://www.scottishambulance.com/TheService/BoardPapers.aspx"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www.england.nhs.uk/statistics/statistical-work-areas/ambulance-quality-indicators"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nhs.uk/choiceintheNHS/Rightsandpledges/NHSConstitution/Pages/Overview.aspx" TargetMode="External"/><Relationship Id="rId6" Type="http://schemas.openxmlformats.org/officeDocument/2006/relationships/hyperlink" Target="http://circ.ahajournals.org/content/84/2/960.citation"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70E9-0B1E-4BA7-8F91-5F33E247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3584</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22957</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4</cp:revision>
  <cp:lastPrinted>2015-04-09T06:34:00Z</cp:lastPrinted>
  <dcterms:created xsi:type="dcterms:W3CDTF">2015-04-30T07:57:00Z</dcterms:created>
  <dcterms:modified xsi:type="dcterms:W3CDTF">2015-04-30T08:14:00Z</dcterms:modified>
</cp:coreProperties>
</file>