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5B" w:rsidRDefault="00272DF2" w:rsidP="00E5245B">
      <w:pPr>
        <w:ind w:left="0" w:firstLine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NHS</w:t>
      </w:r>
      <w:r w:rsidR="005B0CE2">
        <w:rPr>
          <w:rFonts w:ascii="Arial" w:hAnsi="Arial" w:cs="Arial"/>
          <w:b/>
          <w:sz w:val="28"/>
        </w:rPr>
        <w:t xml:space="preserve"> 111 MDS Monthly Data: </w:t>
      </w:r>
      <w:r w:rsidR="004D73AE">
        <w:rPr>
          <w:rFonts w:ascii="Arial" w:hAnsi="Arial" w:cs="Arial"/>
          <w:b/>
          <w:sz w:val="28"/>
        </w:rPr>
        <w:t>May</w:t>
      </w:r>
      <w:r w:rsidR="00FC3A67">
        <w:rPr>
          <w:rFonts w:ascii="Arial" w:hAnsi="Arial" w:cs="Arial"/>
          <w:b/>
          <w:sz w:val="28"/>
        </w:rPr>
        <w:t xml:space="preserve"> </w:t>
      </w:r>
      <w:r w:rsidR="00DA295C">
        <w:rPr>
          <w:rFonts w:ascii="Arial" w:hAnsi="Arial" w:cs="Arial"/>
          <w:b/>
          <w:sz w:val="28"/>
        </w:rPr>
        <w:t>2</w:t>
      </w:r>
      <w:r w:rsidR="00ED18BD">
        <w:rPr>
          <w:rFonts w:ascii="Arial" w:hAnsi="Arial" w:cs="Arial"/>
          <w:b/>
          <w:sz w:val="28"/>
        </w:rPr>
        <w:t>014</w:t>
      </w:r>
    </w:p>
    <w:p w:rsidR="004971A3" w:rsidRDefault="004F76BE" w:rsidP="00E5245B">
      <w:pPr>
        <w:ind w:left="0" w:firstLine="0"/>
        <w:rPr>
          <w:rFonts w:ascii="Arial" w:eastAsia="Times New Roman" w:hAnsi="Arial" w:cs="Arial"/>
          <w:color w:val="242424"/>
          <w:sz w:val="21"/>
          <w:szCs w:val="21"/>
          <w:lang w:val="en" w:eastAsia="zh-CN"/>
        </w:rPr>
      </w:pPr>
      <w:r w:rsidRPr="004F76BE">
        <w:rPr>
          <w:noProof/>
          <w:lang w:eastAsia="en-GB"/>
        </w:rPr>
        <w:drawing>
          <wp:inline distT="0" distB="0" distL="0" distR="0" wp14:anchorId="1509B303" wp14:editId="3025385B">
            <wp:extent cx="8867121" cy="541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0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7" w:rsidRDefault="004F76BE" w:rsidP="00F425E4">
      <w:pPr>
        <w:ind w:left="0" w:firstLine="142"/>
        <w:rPr>
          <w:rFonts w:ascii="Arial" w:hAnsi="Arial" w:cs="Arial"/>
          <w:b/>
          <w:sz w:val="28"/>
        </w:rPr>
      </w:pPr>
      <w:r w:rsidRPr="004F76BE">
        <w:rPr>
          <w:noProof/>
          <w:lang w:eastAsia="en-GB"/>
        </w:rPr>
        <w:lastRenderedPageBreak/>
        <w:drawing>
          <wp:inline distT="0" distB="0" distL="0" distR="0" wp14:anchorId="329E0F69" wp14:editId="74C20370">
            <wp:extent cx="8863330" cy="572069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72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6D9" w:rsidRDefault="00A566D9" w:rsidP="00F425E4">
      <w:pPr>
        <w:ind w:left="0" w:firstLine="142"/>
        <w:rPr>
          <w:rFonts w:ascii="Arial" w:hAnsi="Arial" w:cs="Arial"/>
          <w:b/>
          <w:sz w:val="28"/>
        </w:rPr>
      </w:pPr>
      <w:r w:rsidRPr="00A566D9">
        <w:rPr>
          <w:noProof/>
          <w:lang w:eastAsia="en-GB"/>
        </w:rPr>
        <w:lastRenderedPageBreak/>
        <w:drawing>
          <wp:inline distT="0" distB="0" distL="0" distR="0" wp14:anchorId="4C1941AA" wp14:editId="7FF8FF47">
            <wp:extent cx="8863330" cy="572490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72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595" w:rsidRDefault="00A0575C" w:rsidP="001E0595">
      <w:pPr>
        <w:ind w:left="0" w:firstLine="0"/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42565633">
            <wp:extent cx="9205595" cy="561467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5595" cy="561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0BFF" w:rsidRDefault="002B0BFF" w:rsidP="001E0595">
      <w:pPr>
        <w:ind w:left="0" w:firstLine="0"/>
        <w:rPr>
          <w:noProof/>
          <w:lang w:eastAsia="en-GB"/>
        </w:rPr>
      </w:pPr>
    </w:p>
    <w:p w:rsidR="00E60203" w:rsidRDefault="00A0575C" w:rsidP="001E0595">
      <w:pPr>
        <w:ind w:left="0" w:firstLine="0"/>
        <w:rPr>
          <w:noProof/>
          <w:lang w:eastAsia="zh-CN"/>
        </w:rPr>
      </w:pPr>
      <w:r w:rsidRPr="00A0575C">
        <w:rPr>
          <w:noProof/>
          <w:lang w:eastAsia="en-GB"/>
        </w:rPr>
        <w:drawing>
          <wp:inline distT="0" distB="0" distL="0" distR="0" wp14:anchorId="344F8C55" wp14:editId="6AC76095">
            <wp:extent cx="8863330" cy="5447606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4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95C" w:rsidRDefault="00DA295C" w:rsidP="001E0595">
      <w:pPr>
        <w:ind w:left="0" w:firstLine="0"/>
        <w:rPr>
          <w:noProof/>
          <w:lang w:eastAsia="en-GB"/>
        </w:rPr>
      </w:pPr>
    </w:p>
    <w:p w:rsidR="002B0BFF" w:rsidRDefault="00A0575C" w:rsidP="001E0595">
      <w:pPr>
        <w:ind w:left="0" w:firstLine="0"/>
        <w:rPr>
          <w:noProof/>
          <w:lang w:eastAsia="zh-CN"/>
        </w:rPr>
      </w:pPr>
      <w:r w:rsidRPr="00A0575C">
        <w:rPr>
          <w:noProof/>
          <w:lang w:eastAsia="en-GB"/>
        </w:rPr>
        <w:drawing>
          <wp:inline distT="0" distB="0" distL="0" distR="0" wp14:anchorId="0DE59890" wp14:editId="3C1A7C91">
            <wp:extent cx="8863330" cy="5447606"/>
            <wp:effectExtent l="0" t="0" r="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4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95C" w:rsidRDefault="00A0575C" w:rsidP="001E0595">
      <w:pPr>
        <w:ind w:left="0" w:firstLine="0"/>
        <w:rPr>
          <w:noProof/>
          <w:lang w:eastAsia="zh-CN"/>
        </w:rPr>
      </w:pPr>
      <w:r>
        <w:rPr>
          <w:noProof/>
          <w:lang w:eastAsia="en-GB"/>
        </w:rPr>
        <w:lastRenderedPageBreak/>
        <w:drawing>
          <wp:inline distT="0" distB="0" distL="0" distR="0" wp14:anchorId="73DB5E08">
            <wp:extent cx="9205595" cy="565150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5595" cy="565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Additional Information:</w:t>
      </w:r>
    </w:p>
    <w:p w:rsidR="009D5674" w:rsidRDefault="00D15C5E" w:rsidP="00AB4B3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More statistics from </w:t>
      </w:r>
      <w:r w:rsidR="00BC016C" w:rsidRPr="00E265CE">
        <w:rPr>
          <w:rFonts w:ascii="Arial" w:hAnsi="Arial" w:cs="Arial"/>
          <w:color w:val="000000"/>
          <w:sz w:val="24"/>
          <w:szCs w:val="24"/>
        </w:rPr>
        <w:t xml:space="preserve">the NHS 111 minimum dataset </w:t>
      </w:r>
      <w:r>
        <w:rPr>
          <w:rFonts w:ascii="Arial" w:hAnsi="Arial" w:cs="Arial"/>
          <w:color w:val="000000"/>
          <w:sz w:val="24"/>
          <w:szCs w:val="24"/>
        </w:rPr>
        <w:t xml:space="preserve">are at </w:t>
      </w:r>
      <w:hyperlink r:id="rId16" w:history="1">
        <w:r w:rsidRPr="00623909">
          <w:rPr>
            <w:rStyle w:val="Hyperlink"/>
            <w:rFonts w:ascii="Arial" w:hAnsi="Arial" w:cs="Arial"/>
            <w:sz w:val="24"/>
            <w:szCs w:val="24"/>
          </w:rPr>
          <w:t>www.england.nhs.uk/statistics/category/statistics/nhs-111-statistics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Data Sources: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NH</w:t>
      </w:r>
      <w:r w:rsidR="00D15C5E">
        <w:rPr>
          <w:rFonts w:ascii="Arial" w:hAnsi="Arial" w:cs="Arial"/>
          <w:color w:val="000000"/>
          <w:sz w:val="24"/>
          <w:szCs w:val="24"/>
        </w:rPr>
        <w:t>S 111</w:t>
      </w:r>
      <w:r w:rsidRPr="00E265CE">
        <w:rPr>
          <w:rFonts w:ascii="Arial" w:hAnsi="Arial" w:cs="Arial"/>
          <w:color w:val="000000"/>
          <w:sz w:val="24"/>
          <w:szCs w:val="24"/>
        </w:rPr>
        <w:t xml:space="preserve"> pilot sites, NH</w:t>
      </w:r>
      <w:r w:rsidR="00D15C5E">
        <w:rPr>
          <w:rFonts w:ascii="Arial" w:hAnsi="Arial" w:cs="Arial"/>
          <w:color w:val="000000"/>
          <w:sz w:val="24"/>
          <w:szCs w:val="24"/>
        </w:rPr>
        <w:t>S 111</w:t>
      </w:r>
      <w:r w:rsidRPr="00E265CE">
        <w:rPr>
          <w:rFonts w:ascii="Arial" w:hAnsi="Arial" w:cs="Arial"/>
          <w:color w:val="000000"/>
          <w:sz w:val="24"/>
          <w:szCs w:val="24"/>
        </w:rPr>
        <w:t xml:space="preserve"> Commissioners, Department of Health, NHS Direct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Announced Changes:</w:t>
      </w:r>
    </w:p>
    <w:p w:rsidR="00D15C5E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We are continuing to work with all data providers involved in this return to further improve dat</w:t>
      </w:r>
      <w:r w:rsidR="00272DF2">
        <w:rPr>
          <w:rFonts w:ascii="Arial" w:hAnsi="Arial" w:cs="Arial"/>
          <w:color w:val="000000"/>
          <w:sz w:val="24"/>
          <w:szCs w:val="24"/>
        </w:rPr>
        <w:t>a availability and quality.</w:t>
      </w:r>
    </w:p>
    <w:p w:rsidR="00D15C5E" w:rsidRDefault="00272DF2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All </w:t>
      </w:r>
      <w:r w:rsidR="00AB4B37" w:rsidRPr="00E265CE">
        <w:rPr>
          <w:rFonts w:ascii="Arial" w:hAnsi="Arial" w:cs="Arial"/>
          <w:color w:val="000000"/>
          <w:sz w:val="24"/>
          <w:szCs w:val="24"/>
        </w:rPr>
        <w:t>published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B4B37" w:rsidRPr="00E265CE">
        <w:rPr>
          <w:rFonts w:ascii="Arial" w:hAnsi="Arial" w:cs="Arial"/>
          <w:color w:val="000000"/>
          <w:sz w:val="24"/>
          <w:szCs w:val="24"/>
        </w:rPr>
        <w:t>data are the latest position available rathe</w:t>
      </w:r>
      <w:r w:rsidR="00D15C5E">
        <w:rPr>
          <w:rFonts w:ascii="Arial" w:hAnsi="Arial" w:cs="Arial"/>
          <w:color w:val="000000"/>
          <w:sz w:val="24"/>
          <w:szCs w:val="24"/>
        </w:rPr>
        <w:t>r than the definitive position.</w:t>
      </w:r>
    </w:p>
    <w:p w:rsidR="00AB4B37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If historical data are revised in any way then this will be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r</w:t>
      </w:r>
      <w:r w:rsidR="009D5674">
        <w:rPr>
          <w:rFonts w:ascii="Arial" w:hAnsi="Arial" w:cs="Arial"/>
          <w:color w:val="000000"/>
          <w:sz w:val="24"/>
          <w:szCs w:val="24"/>
        </w:rPr>
        <w:t xml:space="preserve">eflected in the NHS 111 Minimum </w:t>
      </w:r>
      <w:r w:rsidRPr="00E265CE">
        <w:rPr>
          <w:rFonts w:ascii="Arial" w:hAnsi="Arial" w:cs="Arial"/>
          <w:color w:val="000000"/>
          <w:sz w:val="24"/>
          <w:szCs w:val="24"/>
        </w:rPr>
        <w:t>Data Set.</w:t>
      </w:r>
    </w:p>
    <w:p w:rsidR="00AB4B37" w:rsidRPr="00E265CE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Key areas of ongoing work are listed below. Any material changes to the data or presentation of the NHS 111 Minimum Data Set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="009F6FE4">
        <w:rPr>
          <w:rFonts w:ascii="Arial" w:hAnsi="Arial" w:cs="Arial"/>
          <w:color w:val="000000"/>
          <w:sz w:val="24"/>
          <w:szCs w:val="24"/>
        </w:rPr>
        <w:t xml:space="preserve">(MDS) </w:t>
      </w:r>
      <w:r w:rsidRPr="00E265CE">
        <w:rPr>
          <w:rFonts w:ascii="Arial" w:hAnsi="Arial" w:cs="Arial"/>
          <w:color w:val="000000"/>
          <w:sz w:val="24"/>
          <w:szCs w:val="24"/>
        </w:rPr>
        <w:t>are listed below by month of publication, beginning with the most recent update.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Default="00A40262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AB4B37" w:rsidRPr="00E265CE">
        <w:rPr>
          <w:rFonts w:ascii="Arial" w:hAnsi="Arial" w:cs="Arial"/>
          <w:b/>
          <w:bCs/>
          <w:color w:val="000000"/>
          <w:sz w:val="24"/>
          <w:szCs w:val="24"/>
        </w:rPr>
        <w:t>. Material Changes</w:t>
      </w:r>
    </w:p>
    <w:p w:rsidR="00A40262" w:rsidRDefault="00A40262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0575C" w:rsidRDefault="00A0575C" w:rsidP="00A0575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Release Date, 4</w:t>
      </w:r>
      <w:r w:rsidRPr="005C4FAD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July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201</w:t>
      </w:r>
      <w:r>
        <w:rPr>
          <w:rFonts w:ascii="Arial" w:hAnsi="Arial" w:cs="Arial"/>
          <w:bCs/>
          <w:color w:val="000000"/>
          <w:sz w:val="24"/>
          <w:szCs w:val="24"/>
        </w:rPr>
        <w:t>4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May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data</w:t>
      </w:r>
    </w:p>
    <w:p w:rsidR="00846A43" w:rsidRDefault="00A40262" w:rsidP="00846A43">
      <w:pPr>
        <w:pStyle w:val="ListParagraph"/>
        <w:numPr>
          <w:ilvl w:val="0"/>
          <w:numId w:val="25"/>
        </w:num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Survey </w:t>
      </w:r>
      <w:r w:rsidR="00A0575C" w:rsidRPr="00846A43">
        <w:rPr>
          <w:rFonts w:ascii="Arial" w:hAnsi="Arial" w:cs="Arial"/>
          <w:bCs/>
          <w:color w:val="000000"/>
          <w:sz w:val="24"/>
          <w:szCs w:val="24"/>
        </w:rPr>
        <w:t>data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for October 2013 to March 2014, which was not complete for all providers last month, is now complete</w:t>
      </w:r>
      <w:r w:rsidR="00B6171A">
        <w:rPr>
          <w:rFonts w:ascii="Arial" w:hAnsi="Arial" w:cs="Arial"/>
          <w:bCs/>
          <w:color w:val="000000"/>
          <w:sz w:val="24"/>
          <w:szCs w:val="24"/>
        </w:rPr>
        <w:t>. Survey data are only collected from providers who served an area for all of these six months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F6FE4" w:rsidRPr="00846A43" w:rsidRDefault="009F6FE4" w:rsidP="00846A43">
      <w:pPr>
        <w:pStyle w:val="ListParagraph"/>
        <w:numPr>
          <w:ilvl w:val="0"/>
          <w:numId w:val="25"/>
        </w:num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Other revisions </w:t>
      </w:r>
      <w:r w:rsidR="00B6171A">
        <w:rPr>
          <w:rFonts w:ascii="Arial" w:hAnsi="Arial" w:cs="Arial"/>
          <w:bCs/>
          <w:color w:val="000000"/>
          <w:sz w:val="24"/>
          <w:szCs w:val="24"/>
        </w:rPr>
        <w:t xml:space="preserve">to North Central London in March 2014, Great Yarmouth &amp; Waveney in April 2014, and North Essex in April </w:t>
      </w:r>
      <w:proofErr w:type="gramStart"/>
      <w:r w:rsidR="00B6171A">
        <w:rPr>
          <w:rFonts w:ascii="Arial" w:hAnsi="Arial" w:cs="Arial"/>
          <w:bCs/>
          <w:color w:val="000000"/>
          <w:sz w:val="24"/>
          <w:szCs w:val="24"/>
        </w:rPr>
        <w:t>2014</w:t>
      </w:r>
      <w:bookmarkStart w:id="0" w:name="_GoBack"/>
      <w:bookmarkEnd w:id="0"/>
      <w:r w:rsidR="00B6171A">
        <w:rPr>
          <w:rFonts w:ascii="Arial" w:hAnsi="Arial" w:cs="Arial"/>
          <w:bCs/>
          <w:color w:val="000000"/>
          <w:sz w:val="24"/>
          <w:szCs w:val="24"/>
        </w:rPr>
        <w:t>,</w:t>
      </w:r>
      <w:proofErr w:type="gramEnd"/>
      <w:r w:rsidR="00B6171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are denoted ‘r’ in the </w:t>
      </w:r>
      <w:r w:rsidR="00B6171A">
        <w:rPr>
          <w:rFonts w:ascii="Arial" w:hAnsi="Arial" w:cs="Arial"/>
          <w:bCs/>
          <w:color w:val="000000"/>
          <w:sz w:val="24"/>
          <w:szCs w:val="24"/>
        </w:rPr>
        <w:t>spreadsheets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A0575C" w:rsidRDefault="00A0575C" w:rsidP="00A0575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p w:rsidR="00A0575C" w:rsidRDefault="00A0575C" w:rsidP="00A0575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Release Date, 6</w:t>
      </w:r>
      <w:r w:rsidRPr="005C4FAD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June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201</w:t>
      </w:r>
      <w:r>
        <w:rPr>
          <w:rFonts w:ascii="Arial" w:hAnsi="Arial" w:cs="Arial"/>
          <w:bCs/>
          <w:color w:val="000000"/>
          <w:sz w:val="24"/>
          <w:szCs w:val="24"/>
        </w:rPr>
        <w:t>4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April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data</w:t>
      </w:r>
    </w:p>
    <w:p w:rsidR="00A0575C" w:rsidRDefault="00A0575C" w:rsidP="00A0575C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All 45 NHS 111 service sites have submitted </w:t>
      </w:r>
      <w:r w:rsidRPr="00A40262">
        <w:rPr>
          <w:rFonts w:ascii="Arial" w:hAnsi="Arial" w:cs="Arial"/>
          <w:bCs/>
          <w:color w:val="000000"/>
          <w:sz w:val="24"/>
          <w:szCs w:val="24"/>
        </w:rPr>
        <w:t>their data,</w:t>
      </w:r>
      <w:r w:rsidRPr="00A40262">
        <w:rPr>
          <w:rFonts w:ascii="Arial" w:hAnsi="Arial" w:cs="Arial"/>
          <w:sz w:val="24"/>
          <w:szCs w:val="24"/>
        </w:rPr>
        <w:t xml:space="preserve"> and </w:t>
      </w:r>
      <w:proofErr w:type="gramStart"/>
      <w:r w:rsidRPr="00A40262">
        <w:rPr>
          <w:rFonts w:ascii="Arial" w:hAnsi="Arial" w:cs="Arial"/>
          <w:bCs/>
          <w:color w:val="000000"/>
          <w:sz w:val="24"/>
          <w:szCs w:val="24"/>
        </w:rPr>
        <w:t>Winter</w:t>
      </w:r>
      <w:proofErr w:type="gramEnd"/>
      <w:r w:rsidRPr="00A40262">
        <w:rPr>
          <w:rFonts w:ascii="Arial" w:hAnsi="Arial" w:cs="Arial"/>
          <w:bCs/>
          <w:color w:val="000000"/>
          <w:sz w:val="24"/>
          <w:szCs w:val="24"/>
        </w:rPr>
        <w:t xml:space="preserve"> contingence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has stopped in April. </w:t>
      </w:r>
    </w:p>
    <w:p w:rsidR="00A0575C" w:rsidRDefault="00A0575C" w:rsidP="00A0575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p w:rsidR="00827BA7" w:rsidRDefault="00827BA7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Date,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4</w:t>
      </w:r>
      <w:r w:rsidR="00D15C5E" w:rsidRPr="005C4FAD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="00D15C5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April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201</w:t>
      </w:r>
      <w:r w:rsidR="00A0575C">
        <w:rPr>
          <w:rFonts w:ascii="Arial" w:hAnsi="Arial" w:cs="Arial"/>
          <w:bCs/>
          <w:color w:val="000000"/>
          <w:sz w:val="24"/>
          <w:szCs w:val="24"/>
        </w:rPr>
        <w:t>4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February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data</w:t>
      </w:r>
    </w:p>
    <w:p w:rsidR="00827BA7" w:rsidRDefault="00827BA7" w:rsidP="006C3BBD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All 46 </w:t>
      </w:r>
      <w:r w:rsidR="00840026">
        <w:rPr>
          <w:rFonts w:ascii="Arial" w:hAnsi="Arial" w:cs="Arial"/>
          <w:bCs/>
          <w:color w:val="000000"/>
          <w:sz w:val="24"/>
          <w:szCs w:val="24"/>
        </w:rPr>
        <w:t xml:space="preserve">NHS 111 service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sites </w:t>
      </w:r>
      <w:r w:rsidR="006C3BBD" w:rsidRPr="006C3BBD">
        <w:rPr>
          <w:rFonts w:ascii="Arial" w:hAnsi="Arial" w:cs="Arial"/>
          <w:bCs/>
          <w:color w:val="000000"/>
          <w:sz w:val="24"/>
          <w:szCs w:val="24"/>
        </w:rPr>
        <w:t xml:space="preserve">including Winter contingence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have </w:t>
      </w:r>
      <w:r w:rsidR="00C8037F">
        <w:rPr>
          <w:rFonts w:ascii="Arial" w:hAnsi="Arial" w:cs="Arial"/>
          <w:bCs/>
          <w:color w:val="000000"/>
          <w:sz w:val="24"/>
          <w:szCs w:val="24"/>
        </w:rPr>
        <w:t>submitted the</w:t>
      </w:r>
      <w:r w:rsidR="00840026">
        <w:rPr>
          <w:rFonts w:ascii="Arial" w:hAnsi="Arial" w:cs="Arial"/>
          <w:bCs/>
          <w:color w:val="000000"/>
          <w:sz w:val="24"/>
          <w:szCs w:val="24"/>
        </w:rPr>
        <w:t>ir</w:t>
      </w:r>
      <w:r w:rsidR="00C8037F">
        <w:rPr>
          <w:rFonts w:ascii="Arial" w:hAnsi="Arial" w:cs="Arial"/>
          <w:bCs/>
          <w:color w:val="000000"/>
          <w:sz w:val="24"/>
          <w:szCs w:val="24"/>
        </w:rPr>
        <w:t xml:space="preserve"> data in </w:t>
      </w:r>
      <w:r w:rsidR="00C8037F" w:rsidRPr="008F1680">
        <w:rPr>
          <w:rFonts w:ascii="Arial" w:hAnsi="Arial" w:cs="Arial"/>
          <w:bCs/>
          <w:color w:val="000000"/>
          <w:sz w:val="24"/>
          <w:szCs w:val="24"/>
        </w:rPr>
        <w:t>February MDS</w:t>
      </w:r>
      <w:r w:rsidR="00C8037F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827BA7" w:rsidRDefault="00827BA7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p w:rsidR="005C4FAD" w:rsidRDefault="005C4FAD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5C4FAD">
        <w:rPr>
          <w:rFonts w:ascii="Arial" w:hAnsi="Arial" w:cs="Arial"/>
          <w:bCs/>
          <w:color w:val="000000"/>
          <w:sz w:val="24"/>
          <w:szCs w:val="24"/>
        </w:rPr>
        <w:t>Release Date, 7</w:t>
      </w:r>
      <w:r w:rsidRPr="005C4FAD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March </w:t>
      </w:r>
      <w:r w:rsidRPr="005C4FAD">
        <w:rPr>
          <w:rFonts w:ascii="Arial" w:hAnsi="Arial" w:cs="Arial"/>
          <w:bCs/>
          <w:color w:val="000000"/>
          <w:sz w:val="24"/>
          <w:szCs w:val="24"/>
        </w:rPr>
        <w:t>201</w:t>
      </w:r>
      <w:r w:rsidR="00A0575C">
        <w:rPr>
          <w:rFonts w:ascii="Arial" w:hAnsi="Arial" w:cs="Arial"/>
          <w:bCs/>
          <w:color w:val="000000"/>
          <w:sz w:val="24"/>
          <w:szCs w:val="24"/>
        </w:rPr>
        <w:t>4</w:t>
      </w:r>
      <w:r w:rsidRPr="005C4FAD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January </w:t>
      </w:r>
      <w:r w:rsidRPr="005C4FAD">
        <w:rPr>
          <w:rFonts w:ascii="Arial" w:hAnsi="Arial" w:cs="Arial"/>
          <w:bCs/>
          <w:color w:val="000000"/>
          <w:sz w:val="24"/>
          <w:szCs w:val="24"/>
        </w:rPr>
        <w:t>data</w:t>
      </w:r>
    </w:p>
    <w:p w:rsidR="005C4FAD" w:rsidRDefault="006C3BBD" w:rsidP="006C3BBD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4</w:t>
      </w:r>
      <w:r w:rsidR="008B649B">
        <w:rPr>
          <w:rFonts w:ascii="Arial" w:hAnsi="Arial" w:cs="Arial"/>
          <w:bCs/>
          <w:color w:val="000000"/>
          <w:sz w:val="24"/>
          <w:szCs w:val="24"/>
        </w:rPr>
        <w:t xml:space="preserve">3 </w:t>
      </w:r>
      <w:r w:rsidRPr="006C3BBD">
        <w:rPr>
          <w:rFonts w:ascii="Arial" w:hAnsi="Arial" w:cs="Arial"/>
          <w:bCs/>
          <w:color w:val="000000"/>
          <w:sz w:val="24"/>
          <w:szCs w:val="24"/>
        </w:rPr>
        <w:t xml:space="preserve">service areas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of </w:t>
      </w:r>
      <w:r w:rsidRPr="006C3BBD">
        <w:rPr>
          <w:rFonts w:ascii="Arial" w:hAnsi="Arial" w:cs="Arial"/>
          <w:bCs/>
          <w:color w:val="000000"/>
          <w:sz w:val="24"/>
          <w:szCs w:val="24"/>
        </w:rPr>
        <w:t xml:space="preserve">46 </w:t>
      </w:r>
      <w:r>
        <w:rPr>
          <w:rFonts w:ascii="Arial" w:hAnsi="Arial" w:cs="Arial"/>
          <w:bCs/>
          <w:color w:val="000000"/>
          <w:sz w:val="24"/>
          <w:szCs w:val="24"/>
        </w:rPr>
        <w:t>in total under 18 service providers</w:t>
      </w:r>
      <w:r w:rsidRPr="006C3BB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B649B">
        <w:rPr>
          <w:rFonts w:ascii="Arial" w:hAnsi="Arial" w:cs="Arial"/>
          <w:bCs/>
          <w:color w:val="000000"/>
          <w:sz w:val="24"/>
          <w:szCs w:val="24"/>
        </w:rPr>
        <w:t>were active by the end of January</w:t>
      </w:r>
      <w:r w:rsidR="00CE0F08">
        <w:rPr>
          <w:rFonts w:ascii="Arial" w:hAnsi="Arial" w:cs="Arial"/>
          <w:bCs/>
          <w:color w:val="000000"/>
          <w:sz w:val="24"/>
          <w:szCs w:val="24"/>
        </w:rPr>
        <w:t>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F1680" w:rsidRPr="008F1680">
        <w:rPr>
          <w:rFonts w:ascii="Arial" w:hAnsi="Arial" w:cs="Arial"/>
          <w:bCs/>
          <w:color w:val="000000"/>
          <w:sz w:val="24"/>
          <w:szCs w:val="24"/>
        </w:rPr>
        <w:t xml:space="preserve">The remaining </w:t>
      </w:r>
      <w:r w:rsidR="00CE0F08">
        <w:rPr>
          <w:rFonts w:ascii="Arial" w:hAnsi="Arial" w:cs="Arial"/>
          <w:bCs/>
          <w:color w:val="000000"/>
          <w:sz w:val="24"/>
          <w:szCs w:val="24"/>
        </w:rPr>
        <w:t>three</w:t>
      </w:r>
      <w:r w:rsidR="008F1680" w:rsidRPr="008F1680">
        <w:rPr>
          <w:rFonts w:ascii="Arial" w:hAnsi="Arial" w:cs="Arial"/>
          <w:bCs/>
          <w:color w:val="000000"/>
          <w:sz w:val="24"/>
          <w:szCs w:val="24"/>
        </w:rPr>
        <w:t xml:space="preserve"> sites </w:t>
      </w:r>
      <w:r w:rsidR="008B649B">
        <w:rPr>
          <w:rFonts w:ascii="Arial" w:hAnsi="Arial" w:cs="Arial"/>
          <w:bCs/>
          <w:color w:val="000000"/>
          <w:sz w:val="24"/>
          <w:szCs w:val="24"/>
        </w:rPr>
        <w:t>we</w:t>
      </w:r>
      <w:r w:rsidR="008F1680" w:rsidRPr="008F1680">
        <w:rPr>
          <w:rFonts w:ascii="Arial" w:hAnsi="Arial" w:cs="Arial"/>
          <w:bCs/>
          <w:color w:val="000000"/>
          <w:sz w:val="24"/>
          <w:szCs w:val="24"/>
        </w:rPr>
        <w:t>re in the process of going live and will be include in February MDS.</w:t>
      </w:r>
      <w:r w:rsidR="00CE0F0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C4FAD" w:rsidRPr="005C4FAD">
        <w:rPr>
          <w:rFonts w:ascii="Arial" w:hAnsi="Arial" w:cs="Arial"/>
          <w:bCs/>
          <w:color w:val="000000"/>
          <w:sz w:val="24"/>
          <w:szCs w:val="24"/>
        </w:rPr>
        <w:t>The</w:t>
      </w:r>
      <w:r w:rsidR="00CE0F08">
        <w:rPr>
          <w:rFonts w:ascii="Arial" w:hAnsi="Arial" w:cs="Arial"/>
          <w:bCs/>
          <w:color w:val="000000"/>
          <w:sz w:val="24"/>
          <w:szCs w:val="24"/>
        </w:rPr>
        <w:t>se</w:t>
      </w:r>
      <w:r w:rsidR="005C4FAD" w:rsidRPr="005C4FA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E0F08">
        <w:rPr>
          <w:rFonts w:ascii="Arial" w:hAnsi="Arial" w:cs="Arial"/>
          <w:bCs/>
          <w:color w:val="000000"/>
          <w:sz w:val="24"/>
          <w:szCs w:val="24"/>
        </w:rPr>
        <w:t xml:space="preserve">three new service areas </w:t>
      </w:r>
      <w:r w:rsidR="005C4FAD">
        <w:rPr>
          <w:rFonts w:ascii="Arial" w:hAnsi="Arial" w:cs="Arial"/>
          <w:bCs/>
          <w:color w:val="000000"/>
          <w:sz w:val="24"/>
          <w:szCs w:val="24"/>
        </w:rPr>
        <w:t xml:space="preserve">are, </w:t>
      </w:r>
    </w:p>
    <w:p w:rsidR="005C4FAD" w:rsidRDefault="005C4FAD" w:rsidP="005C4FAD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5C4FAD">
        <w:rPr>
          <w:rFonts w:ascii="Arial" w:hAnsi="Arial" w:cs="Arial"/>
          <w:bCs/>
          <w:color w:val="000000"/>
          <w:sz w:val="24"/>
          <w:szCs w:val="24"/>
        </w:rPr>
        <w:t>Luton (South Central Ambulance)</w:t>
      </w:r>
    </w:p>
    <w:p w:rsidR="005C4FAD" w:rsidRDefault="005C4FAD" w:rsidP="005C4FAD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5C4FAD">
        <w:rPr>
          <w:rFonts w:ascii="Arial" w:hAnsi="Arial" w:cs="Arial"/>
          <w:bCs/>
          <w:color w:val="000000"/>
          <w:sz w:val="24"/>
          <w:szCs w:val="24"/>
        </w:rPr>
        <w:t xml:space="preserve">Bedfordshire (South Central Ambulance) </w:t>
      </w:r>
    </w:p>
    <w:p w:rsidR="005C4FAD" w:rsidRDefault="005C4FAD" w:rsidP="005C4FAD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Cornwall (South West Ambulance)</w:t>
      </w:r>
    </w:p>
    <w:p w:rsidR="005C4FAD" w:rsidRDefault="005C4FAD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p w:rsidR="007605A8" w:rsidRDefault="007605A8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Release Date, 7</w:t>
      </w:r>
      <w:r w:rsidRPr="005B0CE2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="004A0EDF">
        <w:rPr>
          <w:rFonts w:ascii="Arial" w:hAnsi="Arial" w:cs="Arial"/>
          <w:bCs/>
          <w:color w:val="000000"/>
          <w:sz w:val="24"/>
          <w:szCs w:val="24"/>
        </w:rPr>
        <w:t xml:space="preserve"> February 201</w:t>
      </w:r>
      <w:r w:rsidR="00A0575C">
        <w:rPr>
          <w:rFonts w:ascii="Arial" w:hAnsi="Arial" w:cs="Arial"/>
          <w:bCs/>
          <w:color w:val="000000"/>
          <w:sz w:val="24"/>
          <w:szCs w:val="24"/>
        </w:rPr>
        <w:t>4</w:t>
      </w:r>
      <w:r w:rsidR="004A0EDF">
        <w:rPr>
          <w:rFonts w:ascii="Arial" w:hAnsi="Arial" w:cs="Arial"/>
          <w:bCs/>
          <w:color w:val="000000"/>
          <w:sz w:val="24"/>
          <w:szCs w:val="24"/>
        </w:rPr>
        <w:t xml:space="preserve"> – December data</w:t>
      </w:r>
    </w:p>
    <w:p w:rsidR="007605A8" w:rsidRDefault="007605A8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North Essex has started to submit data. </w:t>
      </w:r>
    </w:p>
    <w:p w:rsidR="007605A8" w:rsidRDefault="007605A8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Cambridge and Peterborough has also started to submit data. </w:t>
      </w:r>
    </w:p>
    <w:p w:rsidR="007605A8" w:rsidRDefault="007605A8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p w:rsidR="005B0CE2" w:rsidRDefault="005B0CE2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Release Date, 10</w:t>
      </w:r>
      <w:r w:rsidRPr="005B0CE2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January 201</w:t>
      </w:r>
      <w:r w:rsidR="00A0575C">
        <w:rPr>
          <w:rFonts w:ascii="Arial" w:hAnsi="Arial" w:cs="Arial"/>
          <w:bCs/>
          <w:color w:val="000000"/>
          <w:sz w:val="24"/>
          <w:szCs w:val="24"/>
        </w:rPr>
        <w:t>4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– November data</w:t>
      </w:r>
    </w:p>
    <w:p w:rsidR="005B0CE2" w:rsidRDefault="005B0CE2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Staffordshire and the Winter Contingency site have started to submit data. </w:t>
      </w:r>
    </w:p>
    <w:p w:rsidR="005B0CE2" w:rsidRPr="005B0CE2" w:rsidRDefault="005B0CE2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Cumbria and Lancashire, Greater Manchester and Cheshire and Mersey have stopped submitting data</w:t>
      </w:r>
      <w:r w:rsidR="00D15C5E">
        <w:rPr>
          <w:rFonts w:ascii="Arial" w:hAnsi="Arial" w:cs="Arial"/>
          <w:bCs/>
          <w:color w:val="000000"/>
          <w:sz w:val="24"/>
          <w:szCs w:val="24"/>
        </w:rPr>
        <w:t>. 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he same area is now covered by the new sites North West and Blackpool. This change is due to a handover of contracts from NHS Direct to the North West Ambulance Service and FCMS. </w:t>
      </w:r>
    </w:p>
    <w:p w:rsidR="005B0CE2" w:rsidRDefault="005B0CE2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D2C49" w:rsidRPr="00DD2C49" w:rsidRDefault="00DD2C49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DD2C49">
        <w:rPr>
          <w:rFonts w:ascii="Arial" w:hAnsi="Arial" w:cs="Arial"/>
          <w:bCs/>
          <w:color w:val="000000"/>
          <w:sz w:val="24"/>
          <w:szCs w:val="24"/>
        </w:rPr>
        <w:t>Release Date, 6</w:t>
      </w:r>
      <w:r w:rsidRPr="00DD2C49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Pr="00DD2C49">
        <w:rPr>
          <w:rFonts w:ascii="Arial" w:hAnsi="Arial" w:cs="Arial"/>
          <w:bCs/>
          <w:color w:val="000000"/>
          <w:sz w:val="24"/>
          <w:szCs w:val="24"/>
        </w:rPr>
        <w:t xml:space="preserve"> December 2013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–</w:t>
      </w:r>
      <w:r w:rsidRPr="00DD2C49">
        <w:rPr>
          <w:rFonts w:ascii="Arial" w:hAnsi="Arial" w:cs="Arial"/>
          <w:bCs/>
          <w:color w:val="000000"/>
          <w:sz w:val="24"/>
          <w:szCs w:val="24"/>
        </w:rPr>
        <w:t xml:space="preserve"> October data</w:t>
      </w:r>
    </w:p>
    <w:p w:rsidR="00DD2C49" w:rsidRPr="00DD2C49" w:rsidRDefault="00DD2C49" w:rsidP="00AB4B37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DD2C49">
        <w:rPr>
          <w:rFonts w:ascii="Arial" w:hAnsi="Arial" w:cs="Arial"/>
          <w:bCs/>
          <w:color w:val="000000"/>
          <w:sz w:val="24"/>
          <w:szCs w:val="24"/>
        </w:rPr>
        <w:t>South East Coast NHS 111 (KMSS) have started to submit data.</w:t>
      </w:r>
    </w:p>
    <w:p w:rsidR="00DD2C49" w:rsidRPr="00DD2C49" w:rsidRDefault="00DD2C49" w:rsidP="00DD2C49">
      <w:pPr>
        <w:pStyle w:val="ListParagraph"/>
        <w:autoSpaceDE w:val="0"/>
        <w:autoSpaceDN w:val="0"/>
        <w:adjustRightInd w:val="0"/>
        <w:ind w:left="1145" w:firstLine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72DF2" w:rsidRDefault="00272DF2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Release Date, 8</w:t>
      </w:r>
      <w:r w:rsidRPr="00272DF2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November 2013 – September data</w:t>
      </w:r>
    </w:p>
    <w:p w:rsidR="00272DF2" w:rsidRDefault="00272DF2" w:rsidP="00272DF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Devon, Bristol, Gloustershire, Berkshire, Leicestershire &amp; Rutland and Banes &amp; Wiltshire have all started to submit data.</w:t>
      </w:r>
    </w:p>
    <w:p w:rsidR="00272DF2" w:rsidRPr="00272DF2" w:rsidRDefault="00272DF2" w:rsidP="00272DF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Further publication of Systems Data has been discontinued.</w:t>
      </w:r>
    </w:p>
    <w:p w:rsidR="00272DF2" w:rsidRDefault="00272DF2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E0595" w:rsidRPr="001E0595" w:rsidRDefault="001E0595" w:rsidP="001E059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>Release Date, 11</w:t>
      </w:r>
      <w:r w:rsidRPr="001E0595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 xml:space="preserve"> October 2013 – August data</w:t>
      </w:r>
    </w:p>
    <w:p w:rsidR="001E0595" w:rsidRPr="001E0595" w:rsidRDefault="001E0595" w:rsidP="001E059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>Kingston and Richmond Systems Impact Data has become available</w:t>
      </w:r>
    </w:p>
    <w:p w:rsidR="001E0595" w:rsidRPr="001E0595" w:rsidRDefault="001E0595" w:rsidP="001E059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>Sutton and Merton Systems Impact Data has become available</w:t>
      </w:r>
    </w:p>
    <w:p w:rsidR="001E0595" w:rsidRPr="001E0595" w:rsidRDefault="001E0595" w:rsidP="001E0595">
      <w:pPr>
        <w:pStyle w:val="ListParagraph"/>
        <w:autoSpaceDE w:val="0"/>
        <w:autoSpaceDN w:val="0"/>
        <w:adjustRightInd w:val="0"/>
        <w:ind w:left="1145" w:firstLine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265CE" w:rsidRDefault="00E265CE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Release date, 6</w:t>
      </w:r>
      <w:r w:rsidRPr="00E265CE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September 2013 – July data</w:t>
      </w:r>
    </w:p>
    <w:p w:rsidR="00E265CE" w:rsidRDefault="00E265CE" w:rsidP="00E265C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North West London has started to submit calls data this month under the provider Harmoni. </w:t>
      </w:r>
    </w:p>
    <w:p w:rsidR="00E265CE" w:rsidRDefault="00E265CE" w:rsidP="00E265C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Systems Impact data has started to become available for </w:t>
      </w:r>
      <w:r w:rsidR="003B5F4F">
        <w:rPr>
          <w:rFonts w:ascii="Arial" w:hAnsi="Arial" w:cs="Arial"/>
          <w:bCs/>
          <w:color w:val="000000"/>
          <w:sz w:val="24"/>
          <w:szCs w:val="24"/>
        </w:rPr>
        <w:t>Wandsworth PCT</w:t>
      </w:r>
    </w:p>
    <w:p w:rsidR="003B5F4F" w:rsidRPr="00E265CE" w:rsidRDefault="003B5F4F" w:rsidP="003B5F4F">
      <w:pPr>
        <w:pStyle w:val="ListParagraph"/>
        <w:autoSpaceDE w:val="0"/>
        <w:autoSpaceDN w:val="0"/>
        <w:adjustRightInd w:val="0"/>
        <w:ind w:left="1145" w:firstLine="0"/>
        <w:rPr>
          <w:rFonts w:ascii="Arial" w:hAnsi="Arial" w:cs="Arial"/>
          <w:bCs/>
          <w:color w:val="000000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Release date, 2 Aug, 2013 – June data.</w:t>
      </w:r>
    </w:p>
    <w:p w:rsidR="00975FA8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Some areas are unable to provide accurate “calls not triaged: other” because of a discrepancy between calls answered and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the number of calls being reported for. Any minus figures have been replaced with a 0 in this field.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lastRenderedPageBreak/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ONEL have now been able to provide call level data.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5 July, 2013 – May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7 June, 2013 – April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has now become available for Herts and GY&amp;W.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Patient Satisfaction Survey Results have also been published for up to March 2013.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10 May, 2013 – March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Oxfordshire are still struggling to report on times. We are working with the provider to rectify this.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11 Apr, 2013 – February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S&amp;M have had problems providing a full set of data, Caller Not Triaged data cannot be accurately reported at this time.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problem has now been rectified for next month’s submission.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08 Mar, 2013 – January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Harmoni revised their data to provide more accurate Caller Not Triaged figures. This is now rectified for future submissions.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Population figures for Lancashire were revised to show a more accurate estimate.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01 Feb, 2013 – December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INWL Revised data for their total call backs to accurately reflect calls transferred.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The most recent patient satisfaction survey results are now available for April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to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October 2012.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for INWL is now available.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11 Jan, 2013 – November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lastRenderedPageBreak/>
        <w:t>Both Hillingdon and Croydon sites are unable to provider “Average Live Transfer” and “Average Episode Length” times. We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are working with providers to ensure this is corrected.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Derby revised their calls offered to account for missing calls in the ‘abandoned in under 30 seconds calls’ field.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30 Nov, 2012 – October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Both Hillingdon and Croydon sites are unable to provider “Average Live Transfer” and “Average Episode Length” times. We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are working with providers to ensure this is corrected.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The population figure for The North West has been changed to show the most up to date figure.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02 Nov, 2012 – September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 Reasons not triaged, we have amended the figures in “reason for non-triage: other” to a balancing figure to ensure all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answered calls are accounted for. Previously there were missing calls, which were not recorded in the MDS submission.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INWL revised call volume data for August 2012, giving a more accurate account of calls offered.</w:t>
      </w:r>
    </w:p>
    <w:p w:rsidR="00AB4B37" w:rsidRPr="006B18EB" w:rsidRDefault="006B18EB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F</w:t>
      </w:r>
      <w:r w:rsidR="00AB4B37" w:rsidRPr="006B18EB">
        <w:rPr>
          <w:rFonts w:ascii="Arial" w:hAnsi="Arial" w:cs="Arial"/>
          <w:bCs/>
          <w:color w:val="000000"/>
          <w:sz w:val="24"/>
          <w:szCs w:val="24"/>
        </w:rPr>
        <w:t>rom September, ‘Calls not triaged: other reason’ is now a balancing figure to ensure all answered calls are accounted for in the MDS. There has therefore been an increase in this data field.</w:t>
      </w:r>
    </w:p>
    <w:p w:rsidR="00AB4B37" w:rsidRDefault="00AB4B37" w:rsidP="00AB4B37">
      <w:pPr>
        <w:rPr>
          <w:rFonts w:ascii="Helvetica" w:hAnsi="Helvetica" w:cs="Helvetica"/>
          <w:sz w:val="24"/>
          <w:szCs w:val="24"/>
        </w:rPr>
      </w:pPr>
    </w:p>
    <w:p w:rsidR="00817A7B" w:rsidRDefault="00AB4B37" w:rsidP="00817A7B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04 Oct, 2012 – August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and patient satisfaction survey results have now become available for Derbyshire. This is the first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month Derbyshire have been able to provide a full set of data, including answered with 60 seconds.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The population figure for Derbyshire has been changed to reflect them being in the final stage of their roll out process.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31 Aug, 2012 – July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As detailed last month, we have had to use estimated figures for CDD from 23rd June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to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11th 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July. This problem has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now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been resolved. (see below for more details).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CDD have revised the disposition break down of triaged calls, from January 2012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to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June 2012. This was due to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a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miscalculation.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for Isle of Wight has now become available.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 Aug, 2012 – June data.</w:t>
      </w:r>
    </w:p>
    <w:p w:rsidR="00AB4B37" w:rsidRDefault="00AB4B37" w:rsidP="00817A7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We have had to use estimated figures for CDD for part of the month. From 23rd June </w:t>
      </w:r>
      <w:r w:rsidR="00D15C5E">
        <w:rPr>
          <w:rFonts w:ascii="Arial" w:hAnsi="Arial" w:cs="Arial"/>
          <w:bCs/>
          <w:color w:val="000000"/>
          <w:sz w:val="24"/>
          <w:szCs w:val="24"/>
        </w:rPr>
        <w:t xml:space="preserve">to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11th July, Cable and Wireless could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not remove phantom calls from CDD, this meant that call volume looked to have doubled. Using estimated figures has given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the most accurate data set possible. This problem has now been resolved.</w:t>
      </w:r>
    </w:p>
    <w:p w:rsidR="00817A7B" w:rsidRPr="00817A7B" w:rsidRDefault="00817A7B" w:rsidP="00817A7B">
      <w:pPr>
        <w:pStyle w:val="ListParagraph"/>
        <w:autoSpaceDE w:val="0"/>
        <w:autoSpaceDN w:val="0"/>
        <w:adjustRightInd w:val="0"/>
        <w:ind w:left="1206" w:firstLine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6 July, 2012 – May data.</w:t>
      </w:r>
    </w:p>
    <w:p w:rsidR="00AB4B37" w:rsidRPr="00817A7B" w:rsidRDefault="00AB4B37" w:rsidP="00817A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 xml:space="preserve">CDD revised their “recommend </w:t>
      </w:r>
      <w:proofErr w:type="gramStart"/>
      <w:r w:rsidRPr="00817A7B">
        <w:rPr>
          <w:rFonts w:ascii="Helvetica" w:hAnsi="Helvetica" w:cs="Helvetica"/>
          <w:sz w:val="24"/>
          <w:szCs w:val="24"/>
        </w:rPr>
        <w:t>to attend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primary care” figures for December </w:t>
      </w:r>
      <w:r w:rsidR="00D15C5E">
        <w:rPr>
          <w:rFonts w:ascii="Helvetica" w:hAnsi="Helvetica" w:cs="Helvetica"/>
          <w:sz w:val="24"/>
          <w:szCs w:val="24"/>
        </w:rPr>
        <w:t>to</w:t>
      </w:r>
      <w:r w:rsidRPr="00817A7B">
        <w:rPr>
          <w:rFonts w:ascii="Helvetica" w:hAnsi="Helvetica" w:cs="Helvetica"/>
          <w:sz w:val="24"/>
          <w:szCs w:val="24"/>
        </w:rPr>
        <w:t xml:space="preserve"> May 2012. This is because they uncovered an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error with how it was being calculated. This has now been rectified.</w:t>
      </w:r>
    </w:p>
    <w:p w:rsidR="00AB4B37" w:rsidRPr="00817A7B" w:rsidRDefault="00AB4B37" w:rsidP="00817A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Isle of Wight reported 0 calls under “reasons not triaged”. This is due to a misunderstanding of what to record under that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field. We are working with the provider to get an accurate figure.</w:t>
      </w:r>
    </w:p>
    <w:p w:rsidR="00AB4B37" w:rsidRPr="00817A7B" w:rsidRDefault="00AB4B37" w:rsidP="00817A7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Data from one new live site will be included in the MDS, Inner North West London. Call level data has been included to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MDS publication.</w:t>
      </w:r>
    </w:p>
    <w:p w:rsidR="00AB4B37" w:rsidRPr="006B18EB" w:rsidRDefault="00AB4B37" w:rsidP="006B18E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Hillingdon and Croydon both revised their call level data for April 2012. While reporting for May, April’s figures were</w:t>
      </w:r>
      <w:r w:rsidR="006B18EB">
        <w:rPr>
          <w:rFonts w:ascii="Helvetica" w:hAnsi="Helvetica" w:cs="Helvetica"/>
          <w:sz w:val="24"/>
          <w:szCs w:val="24"/>
        </w:rPr>
        <w:t xml:space="preserve"> </w:t>
      </w:r>
      <w:r w:rsidRPr="006B18EB">
        <w:rPr>
          <w:rFonts w:ascii="Helvetica" w:hAnsi="Helvetica" w:cs="Helvetica"/>
          <w:sz w:val="24"/>
          <w:szCs w:val="24"/>
        </w:rPr>
        <w:t>discovered to be incorrect. This was due to how they submitted their figures to DH. This has now been rectified.</w:t>
      </w:r>
    </w:p>
    <w:p w:rsidR="00817A7B" w:rsidRDefault="00817A7B" w:rsidP="00AB4B37">
      <w:pPr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8 June, 2012 – April data.</w:t>
      </w:r>
    </w:p>
    <w:p w:rsidR="00AB4B37" w:rsidRPr="006B18EB" w:rsidRDefault="00AB4B37" w:rsidP="006B18E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CDD revised their “answered through 111” and “answered through other” figures for March 2012. This is because they</w:t>
      </w:r>
      <w:r w:rsidR="006B18EB">
        <w:rPr>
          <w:rFonts w:ascii="Helvetica" w:hAnsi="Helvetica" w:cs="Helvetica"/>
          <w:sz w:val="24"/>
          <w:szCs w:val="24"/>
        </w:rPr>
        <w:t xml:space="preserve"> </w:t>
      </w:r>
      <w:r w:rsidRPr="006B18EB">
        <w:rPr>
          <w:rFonts w:ascii="Helvetica" w:hAnsi="Helvetica" w:cs="Helvetica"/>
          <w:sz w:val="24"/>
          <w:szCs w:val="24"/>
        </w:rPr>
        <w:t>uncovered an error with how it was being calculated. This has now been rectified.</w:t>
      </w:r>
    </w:p>
    <w:p w:rsid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 xml:space="preserve">Patient experience data from October to March of 2012 has been finalised and </w:t>
      </w:r>
      <w:r w:rsidR="00817A7B">
        <w:rPr>
          <w:rFonts w:ascii="Helvetica" w:hAnsi="Helvetica" w:cs="Helvetica"/>
          <w:sz w:val="24"/>
          <w:szCs w:val="24"/>
        </w:rPr>
        <w:t>a full set of figures included.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Derbyshire’s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 xml:space="preserve">data is not currently available. </w:t>
      </w:r>
      <w:r w:rsidR="00D15C5E" w:rsidRPr="00817A7B">
        <w:rPr>
          <w:rFonts w:ascii="Helvetica" w:hAnsi="Helvetica" w:cs="Helvetica"/>
          <w:sz w:val="24"/>
          <w:szCs w:val="24"/>
        </w:rPr>
        <w:t>We</w:t>
      </w:r>
      <w:r w:rsidRPr="00817A7B">
        <w:rPr>
          <w:rFonts w:ascii="Helvetica" w:hAnsi="Helvetica" w:cs="Helvetica"/>
          <w:sz w:val="24"/>
          <w:szCs w:val="24"/>
        </w:rPr>
        <w:t xml:space="preserve"> are working with the provider to get this data. It will be included in the MDS when it has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been finalised.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Data from two new live sites will be included in the MDS, Croydon and Hillingdon. Call level data has been included to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MDS publication.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4 May, 2012 – March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 xml:space="preserve">This month shows revised data for County Durham and Darlington. The ‘Average episode length’ figures for Dec </w:t>
      </w:r>
      <w:r w:rsidR="00D15C5E">
        <w:rPr>
          <w:rFonts w:ascii="Helvetica" w:hAnsi="Helvetica" w:cs="Helvetica"/>
          <w:sz w:val="24"/>
          <w:szCs w:val="24"/>
        </w:rPr>
        <w:t>to</w:t>
      </w:r>
      <w:r w:rsidRPr="00817A7B">
        <w:rPr>
          <w:rFonts w:ascii="Helvetica" w:hAnsi="Helvetica" w:cs="Helvetica"/>
          <w:sz w:val="24"/>
          <w:szCs w:val="24"/>
        </w:rPr>
        <w:t xml:space="preserve"> Feb were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changed due to erroneous data being found.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Population data has been updated for Derbyshire to show a more accurate population figure.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30 March, 2012 – February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This month shows the refreshed MDS data for: County Durham and Darlington, Lincolnshire, Luton and Nottingham City.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Providers revised data from their go live date to December 2011 to ensure the most accurate data possible is being used.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2 March, 2012 – January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The presentation of the system impact data on the “Providers-indicators” tab has changed. Some additional context has been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added to show the actual A&amp;E attendance and ambulance incident figur</w:t>
      </w:r>
      <w:r w:rsidR="006C3BBD">
        <w:rPr>
          <w:rFonts w:ascii="Helvetica" w:hAnsi="Helvetica" w:cs="Helvetica"/>
          <w:sz w:val="24"/>
          <w:szCs w:val="24"/>
        </w:rPr>
        <w:t>es. The actual numbers of NH</w:t>
      </w:r>
      <w:r w:rsidR="00D15C5E">
        <w:rPr>
          <w:rFonts w:ascii="Helvetica" w:hAnsi="Helvetica" w:cs="Helvetica"/>
          <w:sz w:val="24"/>
          <w:szCs w:val="24"/>
        </w:rPr>
        <w:t>S 111</w:t>
      </w:r>
      <w:r w:rsidR="006C3BBD">
        <w:rPr>
          <w:rFonts w:ascii="Helvetica" w:hAnsi="Helvetica" w:cs="Helvetica"/>
          <w:sz w:val="24"/>
          <w:szCs w:val="24"/>
        </w:rPr>
        <w:t xml:space="preserve"> referrals for the relevant month are</w:t>
      </w:r>
      <w:r w:rsidRPr="00817A7B">
        <w:rPr>
          <w:rFonts w:ascii="Helvetica" w:hAnsi="Helvetica" w:cs="Helvetica"/>
          <w:sz w:val="24"/>
          <w:szCs w:val="24"/>
        </w:rPr>
        <w:t xml:space="preserve"> also shown. All of these figures are already included in the MDS but they have been introduced into this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presentation to provide some contextual information.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Some corrections were made to the last edition of the MDS. The amended version is available on the NH</w:t>
      </w:r>
      <w:r w:rsidR="00D15C5E">
        <w:rPr>
          <w:rFonts w:ascii="Helvetica" w:hAnsi="Helvetica" w:cs="Helvetica"/>
          <w:sz w:val="24"/>
          <w:szCs w:val="24"/>
        </w:rPr>
        <w:t>S 111</w:t>
      </w:r>
      <w:r w:rsidRPr="00817A7B">
        <w:rPr>
          <w:rFonts w:ascii="Helvetica" w:hAnsi="Helvetica" w:cs="Helvetica"/>
          <w:sz w:val="24"/>
          <w:szCs w:val="24"/>
        </w:rPr>
        <w:t xml:space="preserve"> statistics website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and a summary of these amendments included in this workbook.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Refreshed data from the first four sites (County Durham and Darlington, Lincolnshire, Luton and Nottingham City), from go live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to Dec 2011, will be included in the next release of the MDS (March 30).</w:t>
      </w:r>
    </w:p>
    <w:p w:rsidR="00817A7B" w:rsidRDefault="00817A7B" w:rsidP="00AB4B37">
      <w:pPr>
        <w:rPr>
          <w:rFonts w:ascii="Helvetica" w:hAnsi="Helvetica" w:cs="Helvetica"/>
          <w:sz w:val="24"/>
          <w:szCs w:val="24"/>
        </w:rPr>
      </w:pPr>
    </w:p>
    <w:p w:rsidR="00AB4B37" w:rsidRDefault="00AB4B37" w:rsidP="00E265CE">
      <w:pPr>
        <w:ind w:left="0" w:firstLine="3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 February, 2012 – December data.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Data from a new live site will be included in the MDS, Cumbria and Lancashire – 1</w:t>
      </w:r>
      <w:r w:rsidRPr="004E5FD9">
        <w:rPr>
          <w:rFonts w:ascii="Helvetica" w:hAnsi="Helvetica" w:cs="Helvetica"/>
          <w:sz w:val="24"/>
          <w:szCs w:val="24"/>
        </w:rPr>
        <w:t xml:space="preserve">st </w:t>
      </w:r>
      <w:r w:rsidRPr="00E265CE">
        <w:rPr>
          <w:rFonts w:ascii="Helvetica" w:hAnsi="Helvetica" w:cs="Helvetica"/>
          <w:sz w:val="24"/>
          <w:szCs w:val="24"/>
        </w:rPr>
        <w:t>phase. Call level data has been included to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the MDS publication.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Population figures have been updated to reflect those in the ONS mid 2010 estimates for resident populations of Primary Care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Organisations (PCOs). These were previously based on mid-2009 figures.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The time series for Lincolnshire and Nottingham City A&amp;E attendances have been updated. The East Midlands Quality</w:t>
      </w:r>
    </w:p>
    <w:p w:rsidR="00AB4B37" w:rsidRDefault="006C3BBD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Observatory was</w:t>
      </w:r>
      <w:r w:rsidR="00AB4B37">
        <w:rPr>
          <w:rFonts w:ascii="Helvetica" w:hAnsi="Helvetica" w:cs="Helvetica"/>
          <w:sz w:val="24"/>
          <w:szCs w:val="24"/>
        </w:rPr>
        <w:t xml:space="preserve"> providing this data but now it is being provided by Nottingham City PCT. We have been working with analysts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="00AB4B37">
        <w:rPr>
          <w:rFonts w:ascii="Helvetica" w:hAnsi="Helvetica" w:cs="Helvetica"/>
          <w:sz w:val="24"/>
          <w:szCs w:val="24"/>
        </w:rPr>
        <w:t>from these teams to ensure that we source the most appropriate data. The PCT analytical t</w:t>
      </w:r>
      <w:r w:rsidR="00E265CE">
        <w:rPr>
          <w:rFonts w:ascii="Helvetica" w:hAnsi="Helvetica" w:cs="Helvetica"/>
          <w:sz w:val="24"/>
          <w:szCs w:val="24"/>
        </w:rPr>
        <w:t xml:space="preserve">eams are closer to the data and </w:t>
      </w:r>
      <w:r w:rsidR="00AB4B37">
        <w:rPr>
          <w:rFonts w:ascii="Helvetica" w:hAnsi="Helvetica" w:cs="Helvetica"/>
          <w:sz w:val="24"/>
          <w:szCs w:val="24"/>
        </w:rPr>
        <w:t>have a more thorough understanding of the data quality issues surrounding it, for this reason</w:t>
      </w:r>
      <w:r w:rsidR="00E265CE">
        <w:rPr>
          <w:rFonts w:ascii="Helvetica" w:hAnsi="Helvetica" w:cs="Helvetica"/>
          <w:sz w:val="24"/>
          <w:szCs w:val="24"/>
        </w:rPr>
        <w:t xml:space="preserve"> they will now be providing all </w:t>
      </w:r>
      <w:r w:rsidR="00AB4B37">
        <w:rPr>
          <w:rFonts w:ascii="Helvetica" w:hAnsi="Helvetica" w:cs="Helvetica"/>
          <w:sz w:val="24"/>
          <w:szCs w:val="24"/>
        </w:rPr>
        <w:t>future A&amp;E data for Lincolnshire and Nottingham City.</w:t>
      </w:r>
    </w:p>
    <w:p w:rsidR="00E265CE" w:rsidRDefault="00E265CE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6 January, 2012 – November data.</w:t>
      </w:r>
    </w:p>
    <w:p w:rsidR="00AB4B37" w:rsidRPr="00E265CE" w:rsidRDefault="00AB4B37" w:rsidP="00E265C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Patient experience data from April to October of 2011 will be finalised and a full set of figures included.</w:t>
      </w:r>
    </w:p>
    <w:p w:rsidR="00AB4B37" w:rsidRPr="00E265CE" w:rsidRDefault="00AB4B37" w:rsidP="00E265C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Data from two new live sites will be included in the MDS, namely Isle of Wight and Derbyshire.</w:t>
      </w:r>
    </w:p>
    <w:p w:rsidR="00E265CE" w:rsidRDefault="00E265CE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2 December, 2011 – October data.</w:t>
      </w:r>
    </w:p>
    <w:p w:rsidR="00AB4B37" w:rsidRPr="00E265CE" w:rsidRDefault="00AB4B37" w:rsidP="00E265C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Patient experience data from April to October of 2011 will be included. The full data set was not available for inclusion at the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 xml:space="preserve">time of </w:t>
      </w:r>
      <w:r w:rsidR="00D15C5E" w:rsidRPr="00E265CE">
        <w:rPr>
          <w:rFonts w:ascii="Helvetica" w:hAnsi="Helvetica" w:cs="Helvetica"/>
          <w:sz w:val="24"/>
          <w:szCs w:val="24"/>
        </w:rPr>
        <w:t>publication;</w:t>
      </w:r>
      <w:r w:rsidRPr="00E265CE">
        <w:rPr>
          <w:rFonts w:ascii="Helvetica" w:hAnsi="Helvetica" w:cs="Helvetica"/>
          <w:sz w:val="24"/>
          <w:szCs w:val="24"/>
        </w:rPr>
        <w:t xml:space="preserve"> any missing items will be included in the next release.</w:t>
      </w:r>
    </w:p>
    <w:p w:rsidR="00AB4B37" w:rsidRDefault="00AB4B37" w:rsidP="00E265C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To clarify what is happening to calls that have not been answered a data value has been added into the MDS. This figure, titled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“Abandoned calls (within 30 seconds waiting time)” shows the total number of calls offered where the caller hung up before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 xml:space="preserve">reaching 30 seconds following being queued for an advisor. Abandoned calls (after 30 seconds waiting </w:t>
      </w:r>
      <w:r w:rsidRPr="00E265CE">
        <w:rPr>
          <w:rFonts w:ascii="Helvetica" w:hAnsi="Helvetica" w:cs="Helvetica"/>
          <w:sz w:val="24"/>
          <w:szCs w:val="24"/>
        </w:rPr>
        <w:lastRenderedPageBreak/>
        <w:t>time) are already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included in the MDS as this is a NQR standard and a key performance measure of the NH</w:t>
      </w:r>
      <w:r w:rsidR="00D15C5E">
        <w:rPr>
          <w:rFonts w:ascii="Helvetica" w:hAnsi="Helvetica" w:cs="Helvetica"/>
          <w:sz w:val="24"/>
          <w:szCs w:val="24"/>
        </w:rPr>
        <w:t>S 111</w:t>
      </w:r>
      <w:r w:rsidRPr="00E265CE">
        <w:rPr>
          <w:rFonts w:ascii="Helvetica" w:hAnsi="Helvetica" w:cs="Helvetica"/>
          <w:sz w:val="24"/>
          <w:szCs w:val="24"/>
        </w:rPr>
        <w:t xml:space="preserve"> service.</w:t>
      </w:r>
    </w:p>
    <w:p w:rsidR="00E265CE" w:rsidRPr="00E265CE" w:rsidRDefault="00E265CE" w:rsidP="00E265CE">
      <w:pPr>
        <w:autoSpaceDE w:val="0"/>
        <w:autoSpaceDN w:val="0"/>
        <w:adjustRightInd w:val="0"/>
        <w:ind w:left="846" w:firstLine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4 November, 2011 – September data.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Renamed “NHS 111 Warm transfer Time” to “NHS 111 live transfer time”.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A new measure for warm transfer time has been included. This is in addition to the “NHS 111 live transfer time” as described</w:t>
      </w:r>
      <w:r w:rsidR="00E265CE" w:rsidRP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above. This measure looks at the transfer time on the telephony system, i.e. the time between when the call handler dials the</w:t>
      </w:r>
      <w:r w:rsidR="00E265CE" w:rsidRP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queue until the clinician answers the phone. This measure gives an indication of whether the ratio</w:t>
      </w:r>
      <w:r w:rsidR="00E265CE" w:rsidRPr="00E265CE">
        <w:rPr>
          <w:rFonts w:ascii="Helvetica" w:hAnsi="Helvetica" w:cs="Helvetica"/>
          <w:sz w:val="24"/>
          <w:szCs w:val="24"/>
        </w:rPr>
        <w:t xml:space="preserve"> of clinicians to call handlers </w:t>
      </w:r>
      <w:r w:rsidRPr="00E265CE">
        <w:rPr>
          <w:rFonts w:ascii="Helvetica" w:hAnsi="Helvetica" w:cs="Helvetica"/>
          <w:sz w:val="24"/>
          <w:szCs w:val="24"/>
        </w:rPr>
        <w:t>is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appropriate e.g. if this figure is high then it would suggest that there were not enough clinicians available to take calls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transferred by call handlers.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GPOOH data from Luton has been split out so we can report on the UCC and WiC attendance levels as well.</w:t>
      </w:r>
    </w:p>
    <w:p w:rsidR="00E265CE" w:rsidRDefault="00E265CE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30 September, 2011 – August data.</w:t>
      </w:r>
    </w:p>
    <w:p w:rsidR="00AB4B37" w:rsidRPr="00E265CE" w:rsidRDefault="00AB4B37" w:rsidP="00E265C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Throughout the data set dispositions are aggregated into five groups. One of these groups “Not recommended to attend other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services” includes calls not triaged. A new line has been added to show the percentage of calls not triaged.</w:t>
      </w:r>
    </w:p>
    <w:p w:rsidR="00AB4B37" w:rsidRPr="00E265CE" w:rsidRDefault="00AB4B37" w:rsidP="00E265C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Updated system data has been received for Lincolnshire and Nottingham City. This data has been used to update previous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figures.</w:t>
      </w:r>
    </w:p>
    <w:p w:rsidR="00E265CE" w:rsidRDefault="00E265CE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2 September, 2011 – July data.</w:t>
      </w:r>
    </w:p>
    <w:p w:rsidR="00AB4B37" w:rsidRPr="00E265CE" w:rsidRDefault="00AB4B37" w:rsidP="00E265C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Renamed “Warm Transfer Time” to “NHS 111 Warm transfer Time”. The definitions used to describe warm transfer times for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each pilot site has also been edited to reflect ongoing work in this area. These definitions can be seen in the “About the MDS”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worksheet and in the notes under relevant tables.</w:t>
      </w:r>
    </w:p>
    <w:p w:rsidR="00AB4B37" w:rsidRDefault="00AB4B37" w:rsidP="00E265C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Found some issues with the recording of the number of calls answered from direct 111 dials. Have worked to rectify this issue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and updated the data as required. Please note that this issue did not affect the total number of calls received or the total number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of calls received through direct 111 dials.</w:t>
      </w:r>
    </w:p>
    <w:p w:rsidR="00E265CE" w:rsidRPr="00E265CE" w:rsidRDefault="00E265CE" w:rsidP="00E265CE">
      <w:pPr>
        <w:pStyle w:val="ListParagraph"/>
        <w:autoSpaceDE w:val="0"/>
        <w:autoSpaceDN w:val="0"/>
        <w:adjustRightInd w:val="0"/>
        <w:ind w:left="1206" w:firstLine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29 July, 2011 – June data.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System data for the most recent pilot sites (Lincolnshire, Luton and Nottingham City) have now been included.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A further breakdown of “recommended to attend primary care” and “not recommended to attend other service” dispositions has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been included.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A new worksheet titled “About the MDS” has been added to help provide further context to the MDS and the data it contains.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lastRenderedPageBreak/>
        <w:t>The definitions page of the MDS has been updated to correct some truncated definitions present in the May edition.</w:t>
      </w:r>
    </w:p>
    <w:p w:rsidR="00E265CE" w:rsidRDefault="00E265CE" w:rsidP="00AB4B37">
      <w:pPr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1 July, 2011 – May data.</w:t>
      </w:r>
    </w:p>
    <w:p w:rsidR="00AB4B37" w:rsidRPr="00E265CE" w:rsidRDefault="00AB4B37" w:rsidP="00E265C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E265CE">
        <w:rPr>
          <w:rFonts w:ascii="Helvetica" w:hAnsi="Helvetica" w:cs="Helvetica"/>
          <w:color w:val="000000"/>
          <w:sz w:val="24"/>
          <w:szCs w:val="24"/>
        </w:rPr>
        <w:t>Update of population figures for each pilot area. These data have been updated using the ONS mid 2009 estimates for resident</w:t>
      </w:r>
      <w:r w:rsidR="00E265CE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E265CE">
        <w:rPr>
          <w:rFonts w:ascii="Helvetica" w:hAnsi="Helvetica" w:cs="Helvetica"/>
          <w:color w:val="000000"/>
          <w:sz w:val="24"/>
          <w:szCs w:val="24"/>
        </w:rPr>
        <w:t>populations of Primary Care Organisations (PCOs).</w:t>
      </w:r>
    </w:p>
    <w:p w:rsidR="00AB4B37" w:rsidRPr="00D15C5E" w:rsidRDefault="00AB4B37" w:rsidP="00E265C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Helvetica" w:hAnsi="Helvetica" w:cs="Helvetica"/>
          <w:color w:val="000000"/>
          <w:sz w:val="24"/>
          <w:szCs w:val="24"/>
        </w:rPr>
        <w:t>The b</w:t>
      </w:r>
      <w:r w:rsidRPr="00D15C5E">
        <w:rPr>
          <w:rFonts w:ascii="Arial" w:hAnsi="Arial" w:cs="Arial"/>
          <w:color w:val="000000"/>
          <w:sz w:val="24"/>
          <w:szCs w:val="24"/>
        </w:rPr>
        <w:t>reakdown of call handling time by clinical and call handling staff has now been included for County Durham and</w:t>
      </w:r>
      <w:r w:rsidR="00E265CE" w:rsidRPr="00D15C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5C5E">
        <w:rPr>
          <w:rFonts w:ascii="Arial" w:hAnsi="Arial" w:cs="Arial"/>
          <w:color w:val="000000"/>
          <w:sz w:val="24"/>
          <w:szCs w:val="24"/>
        </w:rPr>
        <w:t>Darlington.</w:t>
      </w:r>
    </w:p>
    <w:p w:rsidR="00E265CE" w:rsidRPr="00D15C5E" w:rsidRDefault="00E265CE" w:rsidP="00E265CE">
      <w:pPr>
        <w:pStyle w:val="ListParagraph"/>
        <w:autoSpaceDE w:val="0"/>
        <w:autoSpaceDN w:val="0"/>
        <w:adjustRightInd w:val="0"/>
        <w:ind w:left="1206" w:firstLine="0"/>
        <w:rPr>
          <w:rFonts w:ascii="Arial" w:hAnsi="Arial" w:cs="Arial"/>
          <w:color w:val="000000"/>
          <w:sz w:val="24"/>
          <w:szCs w:val="24"/>
        </w:rPr>
      </w:pPr>
    </w:p>
    <w:p w:rsidR="00AB4B37" w:rsidRPr="00D15C5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D15C5E">
        <w:rPr>
          <w:rFonts w:ascii="Arial" w:hAnsi="Arial" w:cs="Arial"/>
          <w:b/>
          <w:bCs/>
          <w:color w:val="000000"/>
          <w:sz w:val="24"/>
          <w:szCs w:val="24"/>
        </w:rPr>
        <w:t>Contacts:</w:t>
      </w:r>
    </w:p>
    <w:p w:rsidR="00AB4B37" w:rsidRPr="00D15C5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15C5E">
        <w:rPr>
          <w:rFonts w:ascii="Arial" w:hAnsi="Arial" w:cs="Arial"/>
          <w:color w:val="000000"/>
          <w:sz w:val="24"/>
          <w:szCs w:val="24"/>
        </w:rPr>
        <w:t>Press enquiries contact:</w:t>
      </w:r>
    </w:p>
    <w:p w:rsidR="00AB4B37" w:rsidRPr="00D15C5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15C5E">
        <w:rPr>
          <w:rFonts w:ascii="Arial" w:hAnsi="Arial" w:cs="Arial"/>
          <w:color w:val="000000"/>
          <w:sz w:val="24"/>
          <w:szCs w:val="24"/>
        </w:rPr>
        <w:t>Press Office</w:t>
      </w:r>
    </w:p>
    <w:p w:rsidR="00AB4B37" w:rsidRPr="00D15C5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D15C5E">
        <w:rPr>
          <w:rFonts w:ascii="Arial" w:hAnsi="Arial" w:cs="Arial"/>
          <w:color w:val="000000"/>
          <w:sz w:val="24"/>
          <w:szCs w:val="24"/>
        </w:rPr>
        <w:t>NHS England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Telephone: 020 7210 5010</w:t>
      </w:r>
    </w:p>
    <w:p w:rsidR="006C3BBD" w:rsidRDefault="006C3BBD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Government Statistical Service (GSS) statistician responsible for producing these data is:</w:t>
      </w:r>
    </w:p>
    <w:p w:rsidR="00AB4B37" w:rsidRDefault="00EA0786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Ian Kay</w:t>
      </w:r>
    </w:p>
    <w:p w:rsidR="00A40262" w:rsidRDefault="00A40262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0113 824 9411</w:t>
      </w:r>
    </w:p>
    <w:p w:rsidR="00272DF2" w:rsidRDefault="00D15C5E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Analytical Services (Operations)</w:t>
      </w:r>
      <w:r w:rsidR="00272DF2">
        <w:rPr>
          <w:rFonts w:ascii="Helvetica" w:hAnsi="Helvetica" w:cs="Helvetica"/>
          <w:color w:val="000000"/>
          <w:sz w:val="24"/>
          <w:szCs w:val="24"/>
        </w:rPr>
        <w:t xml:space="preserve"> 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NHS England</w:t>
      </w:r>
    </w:p>
    <w:p w:rsidR="00460C5D" w:rsidRDefault="00460C5D" w:rsidP="00AB4B37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Quarry House</w:t>
      </w:r>
    </w:p>
    <w:p w:rsidR="00975FA8" w:rsidRDefault="00AB4B37" w:rsidP="00460C5D">
      <w:pPr>
        <w:rPr>
          <w:rFonts w:ascii="Helvetica" w:hAnsi="Helvetica" w:cs="Helvetica"/>
          <w:color w:val="0000FF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Email: </w:t>
      </w:r>
      <w:hyperlink r:id="rId17" w:history="1">
        <w:r w:rsidR="00A40262" w:rsidRPr="00311228">
          <w:rPr>
            <w:rStyle w:val="Hyperlink"/>
            <w:rFonts w:ascii="Helvetica" w:hAnsi="Helvetica" w:cs="Helvetica"/>
            <w:sz w:val="24"/>
            <w:szCs w:val="24"/>
          </w:rPr>
          <w:t>i.kay@nhs.net</w:t>
        </w:r>
      </w:hyperlink>
    </w:p>
    <w:p w:rsidR="00A40262" w:rsidRPr="00460C5D" w:rsidRDefault="00A40262" w:rsidP="00460C5D">
      <w:pPr>
        <w:rPr>
          <w:rFonts w:ascii="Helvetica" w:hAnsi="Helvetica" w:cs="Helvetica"/>
          <w:color w:val="000000"/>
          <w:sz w:val="24"/>
          <w:szCs w:val="24"/>
        </w:rPr>
      </w:pPr>
    </w:p>
    <w:sectPr w:rsidR="00A40262" w:rsidRPr="00460C5D" w:rsidSect="00975FA8">
      <w:footerReference w:type="default" r:id="rId1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026" w:rsidRDefault="00840026" w:rsidP="00840026">
      <w:r>
        <w:separator/>
      </w:r>
    </w:p>
  </w:endnote>
  <w:endnote w:type="continuationSeparator" w:id="0">
    <w:p w:rsidR="00840026" w:rsidRDefault="00840026" w:rsidP="0084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26" w:rsidRDefault="00B6171A">
    <w:pPr>
      <w:pStyle w:val="Footer"/>
      <w:jc w:val="center"/>
    </w:pPr>
    <w:sdt>
      <w:sdtPr>
        <w:id w:val="-21089582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15C5E">
          <w:t xml:space="preserve">Page </w:t>
        </w:r>
        <w:r w:rsidR="00840026">
          <w:fldChar w:fldCharType="begin"/>
        </w:r>
        <w:r w:rsidR="00840026">
          <w:instrText xml:space="preserve"> PAGE   \* MERGEFORMAT </w:instrText>
        </w:r>
        <w:r w:rsidR="00840026">
          <w:fldChar w:fldCharType="separate"/>
        </w:r>
        <w:r>
          <w:rPr>
            <w:noProof/>
          </w:rPr>
          <w:t>8</w:t>
        </w:r>
        <w:r w:rsidR="00840026">
          <w:rPr>
            <w:noProof/>
          </w:rPr>
          <w:fldChar w:fldCharType="end"/>
        </w:r>
      </w:sdtContent>
    </w:sdt>
    <w:r w:rsidR="00D15C5E">
      <w:rPr>
        <w:noProof/>
      </w:rPr>
      <w:t xml:space="preserve"> of </w:t>
    </w:r>
    <w:r w:rsidR="00D15C5E">
      <w:rPr>
        <w:noProof/>
      </w:rPr>
      <w:fldChar w:fldCharType="begin"/>
    </w:r>
    <w:r w:rsidR="00D15C5E">
      <w:rPr>
        <w:noProof/>
      </w:rPr>
      <w:instrText xml:space="preserve"> NUMPAGES   \* MERGEFORMAT </w:instrText>
    </w:r>
    <w:r w:rsidR="00D15C5E">
      <w:rPr>
        <w:noProof/>
      </w:rPr>
      <w:fldChar w:fldCharType="separate"/>
    </w:r>
    <w:r>
      <w:rPr>
        <w:noProof/>
      </w:rPr>
      <w:t>15</w:t>
    </w:r>
    <w:r w:rsidR="00D15C5E">
      <w:rPr>
        <w:noProof/>
      </w:rPr>
      <w:fldChar w:fldCharType="end"/>
    </w:r>
  </w:p>
  <w:p w:rsidR="00840026" w:rsidRDefault="008400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026" w:rsidRDefault="00840026" w:rsidP="00840026">
      <w:r>
        <w:separator/>
      </w:r>
    </w:p>
  </w:footnote>
  <w:footnote w:type="continuationSeparator" w:id="0">
    <w:p w:rsidR="00840026" w:rsidRDefault="00840026" w:rsidP="0084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97"/>
    <w:multiLevelType w:val="hybridMultilevel"/>
    <w:tmpl w:val="92B6F49A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01C6283F"/>
    <w:multiLevelType w:val="hybridMultilevel"/>
    <w:tmpl w:val="7A06975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">
    <w:nsid w:val="058C7083"/>
    <w:multiLevelType w:val="hybridMultilevel"/>
    <w:tmpl w:val="2D6A9D0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85C557A"/>
    <w:multiLevelType w:val="hybridMultilevel"/>
    <w:tmpl w:val="6FF4636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>
    <w:nsid w:val="0CD03BB5"/>
    <w:multiLevelType w:val="hybridMultilevel"/>
    <w:tmpl w:val="6AC0AB6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>
    <w:nsid w:val="18952F9D"/>
    <w:multiLevelType w:val="hybridMultilevel"/>
    <w:tmpl w:val="312E074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>
    <w:nsid w:val="1A4F76D9"/>
    <w:multiLevelType w:val="hybridMultilevel"/>
    <w:tmpl w:val="F6DE2586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1D3F29B7"/>
    <w:multiLevelType w:val="hybridMultilevel"/>
    <w:tmpl w:val="FAECF8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E3C5E02"/>
    <w:multiLevelType w:val="hybridMultilevel"/>
    <w:tmpl w:val="7D06EB7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39023B52"/>
    <w:multiLevelType w:val="hybridMultilevel"/>
    <w:tmpl w:val="B24CB67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0">
    <w:nsid w:val="3BF863BC"/>
    <w:multiLevelType w:val="hybridMultilevel"/>
    <w:tmpl w:val="E3D8746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439A218D"/>
    <w:multiLevelType w:val="hybridMultilevel"/>
    <w:tmpl w:val="A7DE8EA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511C692F"/>
    <w:multiLevelType w:val="hybridMultilevel"/>
    <w:tmpl w:val="47D0873C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3">
    <w:nsid w:val="54643B0D"/>
    <w:multiLevelType w:val="hybridMultilevel"/>
    <w:tmpl w:val="58260C84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4">
    <w:nsid w:val="5AA52B6F"/>
    <w:multiLevelType w:val="hybridMultilevel"/>
    <w:tmpl w:val="5372D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484E89"/>
    <w:multiLevelType w:val="hybridMultilevel"/>
    <w:tmpl w:val="688078E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63F04645"/>
    <w:multiLevelType w:val="hybridMultilevel"/>
    <w:tmpl w:val="AF7A9158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7">
    <w:nsid w:val="66AE7B47"/>
    <w:multiLevelType w:val="hybridMultilevel"/>
    <w:tmpl w:val="2D14C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304B13"/>
    <w:multiLevelType w:val="hybridMultilevel"/>
    <w:tmpl w:val="D92CF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DD501D"/>
    <w:multiLevelType w:val="hybridMultilevel"/>
    <w:tmpl w:val="82F8F6E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0">
    <w:nsid w:val="709B3199"/>
    <w:multiLevelType w:val="hybridMultilevel"/>
    <w:tmpl w:val="016AB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ED46F6"/>
    <w:multiLevelType w:val="hybridMultilevel"/>
    <w:tmpl w:val="0212DD60"/>
    <w:lvl w:ilvl="0" w:tplc="08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2">
    <w:nsid w:val="75A92A01"/>
    <w:multiLevelType w:val="hybridMultilevel"/>
    <w:tmpl w:val="3120263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75EC3059"/>
    <w:multiLevelType w:val="hybridMultilevel"/>
    <w:tmpl w:val="0456B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AF7742"/>
    <w:multiLevelType w:val="hybridMultilevel"/>
    <w:tmpl w:val="CCB25F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77996C70"/>
    <w:multiLevelType w:val="hybridMultilevel"/>
    <w:tmpl w:val="071C3B0E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6">
    <w:nsid w:val="77A537BF"/>
    <w:multiLevelType w:val="hybridMultilevel"/>
    <w:tmpl w:val="FC084E3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20"/>
  </w:num>
  <w:num w:numId="5">
    <w:abstractNumId w:val="17"/>
  </w:num>
  <w:num w:numId="6">
    <w:abstractNumId w:val="15"/>
  </w:num>
  <w:num w:numId="7">
    <w:abstractNumId w:val="6"/>
  </w:num>
  <w:num w:numId="8">
    <w:abstractNumId w:val="19"/>
  </w:num>
  <w:num w:numId="9">
    <w:abstractNumId w:val="5"/>
  </w:num>
  <w:num w:numId="10">
    <w:abstractNumId w:val="3"/>
  </w:num>
  <w:num w:numId="11">
    <w:abstractNumId w:val="10"/>
  </w:num>
  <w:num w:numId="12">
    <w:abstractNumId w:val="21"/>
  </w:num>
  <w:num w:numId="13">
    <w:abstractNumId w:val="1"/>
  </w:num>
  <w:num w:numId="14">
    <w:abstractNumId w:val="9"/>
  </w:num>
  <w:num w:numId="15">
    <w:abstractNumId w:val="14"/>
  </w:num>
  <w:num w:numId="16">
    <w:abstractNumId w:val="26"/>
  </w:num>
  <w:num w:numId="17">
    <w:abstractNumId w:val="16"/>
  </w:num>
  <w:num w:numId="18">
    <w:abstractNumId w:val="12"/>
  </w:num>
  <w:num w:numId="19">
    <w:abstractNumId w:val="25"/>
  </w:num>
  <w:num w:numId="20">
    <w:abstractNumId w:val="4"/>
  </w:num>
  <w:num w:numId="21">
    <w:abstractNumId w:val="13"/>
  </w:num>
  <w:num w:numId="22">
    <w:abstractNumId w:val="0"/>
  </w:num>
  <w:num w:numId="23">
    <w:abstractNumId w:val="22"/>
  </w:num>
  <w:num w:numId="24">
    <w:abstractNumId w:val="24"/>
  </w:num>
  <w:num w:numId="25">
    <w:abstractNumId w:val="7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A8"/>
    <w:rsid w:val="00035089"/>
    <w:rsid w:val="00095B62"/>
    <w:rsid w:val="000B666E"/>
    <w:rsid w:val="00111C95"/>
    <w:rsid w:val="001964A7"/>
    <w:rsid w:val="001B08FE"/>
    <w:rsid w:val="001E0595"/>
    <w:rsid w:val="002229B9"/>
    <w:rsid w:val="00252466"/>
    <w:rsid w:val="00272DF2"/>
    <w:rsid w:val="002B0BFF"/>
    <w:rsid w:val="0032476D"/>
    <w:rsid w:val="00371667"/>
    <w:rsid w:val="003A20C4"/>
    <w:rsid w:val="003B5F4F"/>
    <w:rsid w:val="003B75AF"/>
    <w:rsid w:val="003D6E4A"/>
    <w:rsid w:val="0042386C"/>
    <w:rsid w:val="00453DF3"/>
    <w:rsid w:val="00460C5D"/>
    <w:rsid w:val="004971A3"/>
    <w:rsid w:val="004A0EDF"/>
    <w:rsid w:val="004B259E"/>
    <w:rsid w:val="004D73AE"/>
    <w:rsid w:val="004E5FD9"/>
    <w:rsid w:val="004F76BE"/>
    <w:rsid w:val="00577AC8"/>
    <w:rsid w:val="005B0CE2"/>
    <w:rsid w:val="005C4FAD"/>
    <w:rsid w:val="006026DB"/>
    <w:rsid w:val="00617551"/>
    <w:rsid w:val="00650592"/>
    <w:rsid w:val="006651F1"/>
    <w:rsid w:val="00687C8C"/>
    <w:rsid w:val="006B18EB"/>
    <w:rsid w:val="006C3BBD"/>
    <w:rsid w:val="00752F5D"/>
    <w:rsid w:val="007605A8"/>
    <w:rsid w:val="007F1156"/>
    <w:rsid w:val="00817A7B"/>
    <w:rsid w:val="008226AA"/>
    <w:rsid w:val="00827BA7"/>
    <w:rsid w:val="00840026"/>
    <w:rsid w:val="00846A43"/>
    <w:rsid w:val="00846CDB"/>
    <w:rsid w:val="00856F33"/>
    <w:rsid w:val="008B5967"/>
    <w:rsid w:val="008B649B"/>
    <w:rsid w:val="008D5501"/>
    <w:rsid w:val="008F1680"/>
    <w:rsid w:val="00975FA8"/>
    <w:rsid w:val="009C5EEE"/>
    <w:rsid w:val="009D5674"/>
    <w:rsid w:val="009F6FE4"/>
    <w:rsid w:val="00A0575C"/>
    <w:rsid w:val="00A40262"/>
    <w:rsid w:val="00A52EA5"/>
    <w:rsid w:val="00A566D9"/>
    <w:rsid w:val="00A81E22"/>
    <w:rsid w:val="00AB4B37"/>
    <w:rsid w:val="00AC3865"/>
    <w:rsid w:val="00AF2A04"/>
    <w:rsid w:val="00B02FFB"/>
    <w:rsid w:val="00B4267E"/>
    <w:rsid w:val="00B6171A"/>
    <w:rsid w:val="00BB6300"/>
    <w:rsid w:val="00BC016C"/>
    <w:rsid w:val="00BE516A"/>
    <w:rsid w:val="00C8037F"/>
    <w:rsid w:val="00CE0F08"/>
    <w:rsid w:val="00D15C5E"/>
    <w:rsid w:val="00D862D9"/>
    <w:rsid w:val="00DA295C"/>
    <w:rsid w:val="00DA5774"/>
    <w:rsid w:val="00DD2C49"/>
    <w:rsid w:val="00DD6D96"/>
    <w:rsid w:val="00E265CE"/>
    <w:rsid w:val="00E5245B"/>
    <w:rsid w:val="00E60203"/>
    <w:rsid w:val="00EA0786"/>
    <w:rsid w:val="00ED18BD"/>
    <w:rsid w:val="00F24569"/>
    <w:rsid w:val="00F425E4"/>
    <w:rsid w:val="00F50275"/>
    <w:rsid w:val="00FC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6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026"/>
  </w:style>
  <w:style w:type="paragraph" w:styleId="Footer">
    <w:name w:val="footer"/>
    <w:basedOn w:val="Normal"/>
    <w:link w:val="Foot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026"/>
  </w:style>
  <w:style w:type="character" w:styleId="FollowedHyperlink">
    <w:name w:val="FollowedHyperlink"/>
    <w:basedOn w:val="DefaultParagraphFont"/>
    <w:uiPriority w:val="99"/>
    <w:semiHidden/>
    <w:unhideWhenUsed/>
    <w:rsid w:val="00D15C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6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026"/>
  </w:style>
  <w:style w:type="paragraph" w:styleId="Footer">
    <w:name w:val="footer"/>
    <w:basedOn w:val="Normal"/>
    <w:link w:val="Foot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026"/>
  </w:style>
  <w:style w:type="character" w:styleId="FollowedHyperlink">
    <w:name w:val="FollowedHyperlink"/>
    <w:basedOn w:val="DefaultParagraphFont"/>
    <w:uiPriority w:val="99"/>
    <w:semiHidden/>
    <w:unhideWhenUsed/>
    <w:rsid w:val="00D15C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mailto:i.kay@nhs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ngland.nhs.uk/statistics/category/statistics/nhs-111-statistic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34C23-7B85-4BD4-9C4B-3FD48D83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15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McAndrew, Ruaraidh</dc:creator>
  <cp:lastModifiedBy>Kay, Ian</cp:lastModifiedBy>
  <cp:revision>29</cp:revision>
  <dcterms:created xsi:type="dcterms:W3CDTF">2014-03-12T09:39:00Z</dcterms:created>
  <dcterms:modified xsi:type="dcterms:W3CDTF">2014-07-04T08:29:00Z</dcterms:modified>
</cp:coreProperties>
</file>