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11" w:rsidRDefault="005F65B3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5F65B3">
        <w:rPr>
          <w:noProof/>
          <w:lang w:eastAsia="en-GB"/>
        </w:rPr>
        <w:drawing>
          <wp:inline distT="0" distB="0" distL="0" distR="0" wp14:anchorId="6ABE1C98" wp14:editId="1A5BE470">
            <wp:extent cx="8856920" cy="5688419"/>
            <wp:effectExtent l="0" t="0" r="190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9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9A" w:rsidRDefault="005F65B3" w:rsidP="00E5245B">
      <w:pPr>
        <w:ind w:left="0" w:firstLine="0"/>
        <w:rPr>
          <w:rFonts w:ascii="Arial" w:hAnsi="Arial" w:cs="Arial"/>
          <w:b/>
          <w:sz w:val="32"/>
          <w:szCs w:val="32"/>
        </w:rPr>
      </w:pPr>
      <w:r w:rsidRPr="005F65B3">
        <w:rPr>
          <w:noProof/>
          <w:lang w:eastAsia="en-GB"/>
        </w:rPr>
        <w:lastRenderedPageBreak/>
        <w:drawing>
          <wp:inline distT="0" distB="0" distL="0" distR="0" wp14:anchorId="0170052A" wp14:editId="4182D6C7">
            <wp:extent cx="8856919" cy="5741581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4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60" w:rsidRDefault="00387B60" w:rsidP="00DA6B2C">
      <w:pPr>
        <w:ind w:left="0" w:firstLine="0"/>
        <w:rPr>
          <w:noProof/>
          <w:lang w:eastAsia="en-GB"/>
        </w:rPr>
      </w:pPr>
    </w:p>
    <w:p w:rsidR="00DA1752" w:rsidRDefault="00580FF4" w:rsidP="00DA6B2C">
      <w:pPr>
        <w:ind w:left="0" w:firstLine="0"/>
        <w:rPr>
          <w:noProof/>
          <w:lang w:eastAsia="en-GB"/>
        </w:rPr>
      </w:pPr>
      <w:r w:rsidRPr="00580FF4">
        <w:rPr>
          <w:noProof/>
          <w:lang w:eastAsia="en-GB"/>
        </w:rPr>
        <w:drawing>
          <wp:inline distT="0" distB="0" distL="0" distR="0" wp14:anchorId="6F7DABCB" wp14:editId="43347D03">
            <wp:extent cx="8863330" cy="5377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7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58" w:rsidRDefault="00580FF4" w:rsidP="00DA6B2C">
      <w:pPr>
        <w:ind w:left="0" w:firstLine="0"/>
        <w:rPr>
          <w:rFonts w:ascii="Arial" w:hAnsi="Arial" w:cs="Arial"/>
          <w:b/>
          <w:sz w:val="28"/>
        </w:rPr>
      </w:pPr>
      <w:r w:rsidRPr="00580FF4">
        <w:rPr>
          <w:noProof/>
          <w:lang w:eastAsia="en-GB"/>
        </w:rPr>
        <w:lastRenderedPageBreak/>
        <w:drawing>
          <wp:inline distT="0" distB="0" distL="0" distR="0" wp14:anchorId="46730370" wp14:editId="4557B8A1">
            <wp:extent cx="8863330" cy="57189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1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60" w:rsidRDefault="00DD4F36" w:rsidP="00F425E4">
      <w:pPr>
        <w:ind w:left="0" w:firstLine="142"/>
        <w:rPr>
          <w:rFonts w:ascii="Arial" w:hAnsi="Arial" w:cs="Arial"/>
          <w:b/>
          <w:noProof/>
          <w:sz w:val="28"/>
          <w:lang w:eastAsia="en-GB"/>
        </w:rPr>
      </w:pPr>
      <w:r>
        <w:rPr>
          <w:rFonts w:ascii="Arial" w:hAnsi="Arial" w:cs="Arial"/>
          <w:b/>
          <w:noProof/>
          <w:sz w:val="28"/>
          <w:lang w:eastAsia="en-GB"/>
        </w:rPr>
        <w:lastRenderedPageBreak/>
        <w:drawing>
          <wp:inline distT="0" distB="0" distL="0" distR="0" wp14:anchorId="03D009DD">
            <wp:extent cx="9211945" cy="562102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FF4" w:rsidRDefault="00580FF4" w:rsidP="00F425E4">
      <w:pPr>
        <w:ind w:left="0" w:firstLine="142"/>
        <w:rPr>
          <w:rFonts w:ascii="Arial" w:hAnsi="Arial" w:cs="Arial"/>
          <w:b/>
          <w:noProof/>
          <w:sz w:val="28"/>
          <w:lang w:eastAsia="en-GB"/>
        </w:rPr>
      </w:pPr>
      <w:r>
        <w:rPr>
          <w:rFonts w:ascii="Arial" w:hAnsi="Arial" w:cs="Arial"/>
          <w:b/>
          <w:noProof/>
          <w:sz w:val="28"/>
          <w:lang w:eastAsia="en-GB"/>
        </w:rPr>
        <w:lastRenderedPageBreak/>
        <w:drawing>
          <wp:inline distT="0" distB="0" distL="0" distR="0" wp14:anchorId="5EE0464D">
            <wp:extent cx="9211945" cy="56210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FF4" w:rsidRDefault="00580FF4" w:rsidP="00F425E4">
      <w:pPr>
        <w:ind w:left="0" w:firstLine="142"/>
        <w:rPr>
          <w:rFonts w:ascii="Arial" w:hAnsi="Arial" w:cs="Arial"/>
          <w:b/>
          <w:noProof/>
          <w:sz w:val="28"/>
          <w:lang w:eastAsia="en-GB"/>
        </w:rPr>
      </w:pPr>
      <w:r w:rsidRPr="00580FF4">
        <w:rPr>
          <w:noProof/>
          <w:lang w:eastAsia="en-GB"/>
        </w:rPr>
        <w:lastRenderedPageBreak/>
        <w:drawing>
          <wp:inline distT="0" distB="0" distL="0" distR="0" wp14:anchorId="641A275D" wp14:editId="5A650808">
            <wp:extent cx="8863330" cy="544916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1E0595" w:rsidP="001E0595">
      <w:pPr>
        <w:ind w:left="0" w:firstLine="0"/>
        <w:rPr>
          <w:noProof/>
          <w:lang w:eastAsia="en-GB"/>
        </w:rPr>
      </w:pPr>
    </w:p>
    <w:p w:rsidR="009544C5" w:rsidRDefault="009544C5" w:rsidP="001E0595">
      <w:pPr>
        <w:ind w:left="0" w:firstLine="0"/>
        <w:rPr>
          <w:noProof/>
          <w:lang w:eastAsia="en-GB"/>
        </w:rPr>
      </w:pPr>
    </w:p>
    <w:p w:rsidR="002B0BFF" w:rsidRDefault="00DD4F36" w:rsidP="001E0595">
      <w:pPr>
        <w:ind w:left="0" w:firstLine="0"/>
        <w:rPr>
          <w:noProof/>
          <w:lang w:eastAsia="en-GB"/>
        </w:rPr>
      </w:pPr>
      <w:r w:rsidRPr="00DD4F36">
        <w:rPr>
          <w:noProof/>
          <w:lang w:eastAsia="en-GB"/>
        </w:rPr>
        <w:drawing>
          <wp:inline distT="0" distB="0" distL="0" distR="0" wp14:anchorId="44786ABE" wp14:editId="5AA3D3E3">
            <wp:extent cx="8863330" cy="550536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0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FF4" w:rsidRDefault="00DD4F36" w:rsidP="001E0595">
      <w:pPr>
        <w:ind w:left="0" w:firstLine="0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948397C">
            <wp:extent cx="9211945" cy="565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FF4" w:rsidRDefault="00580FF4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n-GB"/>
        </w:rPr>
        <w:lastRenderedPageBreak/>
        <w:drawing>
          <wp:inline distT="0" distB="0" distL="0" distR="0" wp14:anchorId="72ECD410">
            <wp:extent cx="9217660" cy="565785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6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9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="009F6FE4">
        <w:rPr>
          <w:rFonts w:ascii="Arial" w:hAnsi="Arial" w:cs="Arial"/>
          <w:color w:val="000000"/>
          <w:sz w:val="24"/>
          <w:szCs w:val="24"/>
        </w:rPr>
        <w:t xml:space="preserve">(MDS)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Material Changes</w:t>
      </w:r>
    </w:p>
    <w:p w:rsidR="00A40262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B06D8" w:rsidRDefault="005B06D8" w:rsidP="005B06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 5 December 2014 – October data</w:t>
      </w:r>
    </w:p>
    <w:p w:rsidR="00F35202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111 populations for 2010 to 2012 have been recalculated from consistent Office for National Statistics (ONS) population estimates, and 111 populations for 2013 and 2014 </w:t>
      </w:r>
      <w:r w:rsidR="007C639E">
        <w:rPr>
          <w:rFonts w:ascii="Arial" w:hAnsi="Arial" w:cs="Arial"/>
          <w:bCs/>
          <w:color w:val="000000"/>
          <w:sz w:val="24"/>
          <w:szCs w:val="24"/>
        </w:rPr>
        <w:t>have been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recalculated from ONS 2012-based projections.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year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on the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Providers-indicators</w:t>
      </w:r>
      <w:r>
        <w:rPr>
          <w:rFonts w:ascii="Arial" w:hAnsi="Arial" w:cs="Arial"/>
          <w:bCs/>
          <w:color w:val="000000"/>
          <w:sz w:val="24"/>
          <w:szCs w:val="24"/>
        </w:rPr>
        <w:t>” tabs of the four regional files have been recalculated to be consistent with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month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 on the area tabs.</w:t>
      </w:r>
    </w:p>
    <w:p w:rsidR="00765148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East Ambulance Service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counts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during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October include some figures that were not actual calls. There was an artificial increase in item 5.5 (calls offered through other numbers) by about 10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5.3; and an artificial increase in item 5.9 (Calls answered through other numbers) by about 5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E3783F" w:rsidRPr="00765148" w:rsidRDefault="00E3783F" w:rsidP="0076514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765148">
        <w:rPr>
          <w:rFonts w:ascii="Arial" w:hAnsi="Arial" w:cs="Arial"/>
          <w:bCs/>
          <w:color w:val="000000"/>
          <w:sz w:val="24"/>
          <w:szCs w:val="24"/>
        </w:rPr>
        <w:t>Release date 31 October 2014 – August data</w:t>
      </w:r>
    </w:p>
    <w:p w:rsidR="003C1A0D" w:rsidRPr="00E3783F" w:rsidRDefault="00E3783F" w:rsidP="00E37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E3783F">
        <w:rPr>
          <w:rFonts w:ascii="Arial" w:hAnsi="Arial" w:cs="Arial"/>
          <w:bCs/>
          <w:color w:val="000000"/>
          <w:sz w:val="24"/>
          <w:szCs w:val="24"/>
        </w:rPr>
        <w:t xml:space="preserve">Inner North West London and North Central London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a new </w:t>
      </w:r>
      <w:r w:rsidR="00AE3527" w:rsidRPr="00E3783F">
        <w:rPr>
          <w:rFonts w:ascii="Arial" w:hAnsi="Arial" w:cs="Arial"/>
          <w:bCs/>
          <w:color w:val="000000"/>
          <w:sz w:val="24"/>
          <w:szCs w:val="24"/>
        </w:rPr>
        <w:t xml:space="preserve">system </w:t>
      </w:r>
      <w:r>
        <w:rPr>
          <w:rFonts w:ascii="Arial" w:hAnsi="Arial" w:cs="Arial"/>
          <w:bCs/>
          <w:color w:val="000000"/>
          <w:sz w:val="24"/>
          <w:szCs w:val="24"/>
        </w:rPr>
        <w:t>providing better quality triage and dispositions data</w:t>
      </w:r>
      <w:r w:rsidR="00C240E9" w:rsidRPr="00E3783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 w:rsidRPr="00663E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46A43" w:rsidRDefault="00A40262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Survey </w:t>
      </w:r>
      <w:r w:rsidR="00A0575C" w:rsidRPr="00846A43">
        <w:rPr>
          <w:rFonts w:ascii="Arial" w:hAnsi="Arial" w:cs="Arial"/>
          <w:bCs/>
          <w:color w:val="000000"/>
          <w:sz w:val="24"/>
          <w:szCs w:val="24"/>
        </w:rPr>
        <w:t>data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October 2013 to March 2014, which was not complete for all providers last month, is now complete</w:t>
      </w:r>
      <w:r w:rsidR="00B6171A">
        <w:rPr>
          <w:rFonts w:ascii="Arial" w:hAnsi="Arial" w:cs="Arial"/>
          <w:bCs/>
          <w:color w:val="000000"/>
          <w:sz w:val="24"/>
          <w:szCs w:val="24"/>
        </w:rPr>
        <w:t>. Survey data are only collected from providers who served an area for all of these six months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6FE4" w:rsidRPr="00846A43" w:rsidRDefault="009F6FE4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Other revisions </w:t>
      </w:r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to North Central London in March 2014, Great Yarmouth &amp; Waveney in April 2014, and North Essex in April </w:t>
      </w:r>
      <w:proofErr w:type="gramStart"/>
      <w:r w:rsidR="00B6171A">
        <w:rPr>
          <w:rFonts w:ascii="Arial" w:hAnsi="Arial" w:cs="Arial"/>
          <w:bCs/>
          <w:color w:val="000000"/>
          <w:sz w:val="24"/>
          <w:szCs w:val="24"/>
        </w:rPr>
        <w:t>2014,</w:t>
      </w:r>
      <w:proofErr w:type="gramEnd"/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are denoted ‘r’ in the </w:t>
      </w:r>
      <w:r w:rsidR="00B6171A">
        <w:rPr>
          <w:rFonts w:ascii="Arial" w:hAnsi="Arial" w:cs="Arial"/>
          <w:bCs/>
          <w:color w:val="000000"/>
          <w:sz w:val="24"/>
          <w:szCs w:val="24"/>
        </w:rPr>
        <w:t>spreadsheets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A0575C" w:rsidRDefault="00A0575C" w:rsidP="00A0575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All 45 NHS 111 service sites have submitted </w:t>
      </w:r>
      <w:r w:rsidRPr="00A40262">
        <w:rPr>
          <w:rFonts w:ascii="Arial" w:hAnsi="Arial" w:cs="Arial"/>
          <w:bCs/>
          <w:color w:val="000000"/>
          <w:sz w:val="24"/>
          <w:szCs w:val="24"/>
        </w:rPr>
        <w:t>their data,</w:t>
      </w:r>
      <w:r w:rsidRPr="00A402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A40262">
        <w:rPr>
          <w:rFonts w:ascii="Arial" w:hAnsi="Arial" w:cs="Arial"/>
          <w:bCs/>
          <w:color w:val="000000"/>
          <w:sz w:val="24"/>
          <w:szCs w:val="24"/>
        </w:rPr>
        <w:t>Winter</w:t>
      </w:r>
      <w:proofErr w:type="gramEnd"/>
      <w:r w:rsidRPr="00A40262">
        <w:rPr>
          <w:rFonts w:ascii="Arial" w:hAnsi="Arial" w:cs="Arial"/>
          <w:bCs/>
          <w:color w:val="000000"/>
          <w:sz w:val="24"/>
          <w:szCs w:val="24"/>
        </w:rPr>
        <w:t xml:space="preserve"> contingence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stopped in April.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="004A0EDF">
        <w:rPr>
          <w:rFonts w:ascii="Arial" w:hAnsi="Arial" w:cs="Arial"/>
          <w:bCs/>
          <w:color w:val="000000"/>
          <w:sz w:val="24"/>
          <w:szCs w:val="24"/>
        </w:rPr>
        <w:t>February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10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January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Further publication of Systems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Impact data </w:t>
      </w:r>
      <w:r>
        <w:rPr>
          <w:rFonts w:ascii="Arial" w:hAnsi="Arial" w:cs="Arial"/>
          <w:bCs/>
          <w:color w:val="000000"/>
          <w:sz w:val="24"/>
          <w:szCs w:val="24"/>
        </w:rPr>
        <w:t>has been discontinued.</w:t>
      </w: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11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Kingston and Richmond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Sutton and Merton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AB4B37" w:rsidRDefault="00DF452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2 Aug</w:t>
      </w:r>
      <w:r>
        <w:rPr>
          <w:rFonts w:ascii="Helvetica" w:hAnsi="Helvetica" w:cs="Helvetica"/>
          <w:color w:val="000000"/>
          <w:sz w:val="24"/>
          <w:szCs w:val="24"/>
        </w:rPr>
        <w:t>ust 2013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5 July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7 June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10 May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Apr</w:t>
      </w:r>
      <w:r w:rsidR="00DF4526">
        <w:rPr>
          <w:rFonts w:ascii="Helvetica" w:hAnsi="Helvetica" w:cs="Helvetica"/>
          <w:sz w:val="24"/>
          <w:szCs w:val="24"/>
        </w:rPr>
        <w:t>il 2013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Mar</w:t>
      </w:r>
      <w:r w:rsidR="00DF4526">
        <w:rPr>
          <w:rFonts w:ascii="Helvetica" w:hAnsi="Helvetica" w:cs="Helvetica"/>
          <w:sz w:val="24"/>
          <w:szCs w:val="24"/>
        </w:rPr>
        <w:t>ch 2013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Feb</w:t>
      </w:r>
      <w:r w:rsidR="00DF4526">
        <w:rPr>
          <w:rFonts w:ascii="Helvetica" w:hAnsi="Helvetica" w:cs="Helvetica"/>
          <w:sz w:val="24"/>
          <w:szCs w:val="24"/>
        </w:rPr>
        <w:t>ruary 2013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Jan</w:t>
      </w:r>
      <w:r w:rsidR="00DF4526">
        <w:rPr>
          <w:rFonts w:ascii="Helvetica" w:hAnsi="Helvetica" w:cs="Helvetica"/>
          <w:sz w:val="24"/>
          <w:szCs w:val="24"/>
        </w:rPr>
        <w:t>uary 2013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Nov</w:t>
      </w:r>
      <w:r w:rsidR="00DF4526">
        <w:rPr>
          <w:rFonts w:ascii="Helvetica" w:hAnsi="Helvetica" w:cs="Helvetica"/>
          <w:sz w:val="24"/>
          <w:szCs w:val="24"/>
        </w:rPr>
        <w:t>ember 2012</w:t>
      </w:r>
      <w:r>
        <w:rPr>
          <w:rFonts w:ascii="Helvetica" w:hAnsi="Helvetica" w:cs="Helvetica"/>
          <w:sz w:val="24"/>
          <w:szCs w:val="24"/>
        </w:rPr>
        <w:t xml:space="preserve">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2 </w:t>
      </w:r>
      <w:r w:rsidR="00DF4526">
        <w:rPr>
          <w:rFonts w:ascii="Helvetica" w:hAnsi="Helvetica" w:cs="Helvetica"/>
          <w:sz w:val="24"/>
          <w:szCs w:val="24"/>
        </w:rPr>
        <w:t>November 2012</w:t>
      </w:r>
      <w:r>
        <w:rPr>
          <w:rFonts w:ascii="Helvetica" w:hAnsi="Helvetica" w:cs="Helvetica"/>
          <w:sz w:val="24"/>
          <w:szCs w:val="24"/>
        </w:rPr>
        <w:t xml:space="preserve">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4 </w:t>
      </w:r>
      <w:r w:rsidR="00DF4526">
        <w:rPr>
          <w:rFonts w:ascii="Helvetica" w:hAnsi="Helvetica" w:cs="Helvetica"/>
          <w:sz w:val="24"/>
          <w:szCs w:val="24"/>
        </w:rPr>
        <w:t>October 2012</w:t>
      </w:r>
      <w:r>
        <w:rPr>
          <w:rFonts w:ascii="Helvetica" w:hAnsi="Helvetica" w:cs="Helvetica"/>
          <w:sz w:val="24"/>
          <w:szCs w:val="24"/>
        </w:rPr>
        <w:t xml:space="preserve">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31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CDD have revised the disposition break down of triaged calls, from January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July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June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Patient experience data from October</w:t>
      </w:r>
      <w:r w:rsidR="00DF4526">
        <w:rPr>
          <w:rFonts w:ascii="Helvetica" w:hAnsi="Helvetica" w:cs="Helvetica"/>
          <w:sz w:val="24"/>
          <w:szCs w:val="24"/>
        </w:rPr>
        <w:t xml:space="preserve"> 2011</w:t>
      </w:r>
      <w:r w:rsidRPr="00817A7B">
        <w:rPr>
          <w:rFonts w:ascii="Helvetica" w:hAnsi="Helvetica" w:cs="Helvetica"/>
          <w:sz w:val="24"/>
          <w:szCs w:val="24"/>
        </w:rPr>
        <w:t xml:space="preserve"> to March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May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February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January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December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November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September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September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29 July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July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DF4526" w:rsidRPr="000D14CB" w:rsidRDefault="00DF4526" w:rsidP="00DF4526">
      <w:pPr>
        <w:pStyle w:val="Heading4"/>
      </w:pPr>
      <w:r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For press enquiries, please contact the NHS England press office on 0113 825 0958 or </w:t>
      </w:r>
      <w:hyperlink r:id="rId20" w:history="1">
        <w:r w:rsidRPr="00DF4526">
          <w:rPr>
            <w:rStyle w:val="Hyperlink"/>
            <w:rFonts w:ascii="Arial" w:hAnsi="Arial" w:cs="Arial"/>
            <w:sz w:val="24"/>
          </w:rPr>
          <w:t>nhsengland.media@nhs.net</w:t>
        </w:r>
      </w:hyperlink>
      <w:r w:rsidRPr="00DF4526">
        <w:rPr>
          <w:rFonts w:ascii="Arial" w:hAnsi="Arial" w:cs="Arial"/>
          <w:sz w:val="24"/>
        </w:rPr>
        <w:t>.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The Government Statistical Service (GSS) statistician responsible for these data is: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Ian Kay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0113 824 9411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Analytical Services (Operations), NHS England</w:t>
      </w:r>
      <w:r w:rsidR="00D03D3A">
        <w:rPr>
          <w:rFonts w:ascii="Arial" w:hAnsi="Arial" w:cs="Arial"/>
          <w:sz w:val="24"/>
        </w:rPr>
        <w:t xml:space="preserve">, </w:t>
      </w:r>
      <w:r w:rsidRPr="00DF4526">
        <w:rPr>
          <w:rFonts w:ascii="Arial" w:hAnsi="Arial" w:cs="Arial"/>
          <w:sz w:val="24"/>
        </w:rPr>
        <w:t>Room 5E24, Quarry House, Leeds, LS2 7UE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E-mail: </w:t>
      </w:r>
      <w:hyperlink r:id="rId21" w:history="1">
        <w:r w:rsidRPr="00DF4526">
          <w:rPr>
            <w:rStyle w:val="Hyperlink"/>
            <w:rFonts w:ascii="Arial" w:hAnsi="Arial" w:cs="Arial"/>
            <w:sz w:val="24"/>
          </w:rPr>
          <w:t>i.kay@nhs.net</w:t>
        </w:r>
      </w:hyperlink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Published on Friday </w:t>
      </w:r>
      <w:r w:rsidR="00D52D99">
        <w:rPr>
          <w:rFonts w:ascii="Arial" w:hAnsi="Arial" w:cs="Arial"/>
          <w:sz w:val="24"/>
        </w:rPr>
        <w:t>1 May</w:t>
      </w:r>
      <w:r w:rsidR="00FF0AA5">
        <w:rPr>
          <w:rFonts w:ascii="Arial" w:hAnsi="Arial" w:cs="Arial"/>
          <w:sz w:val="24"/>
        </w:rPr>
        <w:t xml:space="preserve"> </w:t>
      </w:r>
      <w:r w:rsidR="00CC7944">
        <w:rPr>
          <w:rFonts w:ascii="Arial" w:hAnsi="Arial" w:cs="Arial"/>
          <w:sz w:val="24"/>
        </w:rPr>
        <w:t>2015</w:t>
      </w:r>
    </w:p>
    <w:sectPr w:rsidR="00DF4526" w:rsidRPr="00DF4526" w:rsidSect="00975FA8"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D52D99" w:rsidP="00D46E39">
    <w:pPr>
      <w:pStyle w:val="Footer"/>
      <w:ind w:left="0" w:firstLine="0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1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17</w:t>
    </w:r>
    <w:r w:rsidR="00D15C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7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1"/>
  </w:num>
  <w:num w:numId="5">
    <w:abstractNumId w:val="18"/>
  </w:num>
  <w:num w:numId="6">
    <w:abstractNumId w:val="16"/>
  </w:num>
  <w:num w:numId="7">
    <w:abstractNumId w:val="6"/>
  </w:num>
  <w:num w:numId="8">
    <w:abstractNumId w:val="20"/>
  </w:num>
  <w:num w:numId="9">
    <w:abstractNumId w:val="5"/>
  </w:num>
  <w:num w:numId="10">
    <w:abstractNumId w:val="3"/>
  </w:num>
  <w:num w:numId="11">
    <w:abstractNumId w:val="11"/>
  </w:num>
  <w:num w:numId="12">
    <w:abstractNumId w:val="22"/>
  </w:num>
  <w:num w:numId="13">
    <w:abstractNumId w:val="1"/>
  </w:num>
  <w:num w:numId="14">
    <w:abstractNumId w:val="10"/>
  </w:num>
  <w:num w:numId="15">
    <w:abstractNumId w:val="15"/>
  </w:num>
  <w:num w:numId="16">
    <w:abstractNumId w:val="27"/>
  </w:num>
  <w:num w:numId="17">
    <w:abstractNumId w:val="17"/>
  </w:num>
  <w:num w:numId="18">
    <w:abstractNumId w:val="13"/>
  </w:num>
  <w:num w:numId="19">
    <w:abstractNumId w:val="26"/>
  </w:num>
  <w:num w:numId="20">
    <w:abstractNumId w:val="4"/>
  </w:num>
  <w:num w:numId="21">
    <w:abstractNumId w:val="14"/>
  </w:num>
  <w:num w:numId="22">
    <w:abstractNumId w:val="0"/>
  </w:num>
  <w:num w:numId="23">
    <w:abstractNumId w:val="23"/>
  </w:num>
  <w:num w:numId="24">
    <w:abstractNumId w:val="25"/>
  </w:num>
  <w:num w:numId="25">
    <w:abstractNumId w:val="7"/>
  </w:num>
  <w:num w:numId="26">
    <w:abstractNumId w:val="12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2611"/>
    <w:rsid w:val="00035089"/>
    <w:rsid w:val="00067326"/>
    <w:rsid w:val="000837E6"/>
    <w:rsid w:val="00095B62"/>
    <w:rsid w:val="000A4E6C"/>
    <w:rsid w:val="000A5FBC"/>
    <w:rsid w:val="000B0A60"/>
    <w:rsid w:val="000B666E"/>
    <w:rsid w:val="00111C95"/>
    <w:rsid w:val="00114524"/>
    <w:rsid w:val="0013207F"/>
    <w:rsid w:val="001964A7"/>
    <w:rsid w:val="00196618"/>
    <w:rsid w:val="001B08FE"/>
    <w:rsid w:val="001B735E"/>
    <w:rsid w:val="001E0595"/>
    <w:rsid w:val="001F0CEA"/>
    <w:rsid w:val="00207681"/>
    <w:rsid w:val="002229B9"/>
    <w:rsid w:val="00252466"/>
    <w:rsid w:val="00253CB5"/>
    <w:rsid w:val="00272DF2"/>
    <w:rsid w:val="00275542"/>
    <w:rsid w:val="002860FD"/>
    <w:rsid w:val="002B0BFF"/>
    <w:rsid w:val="0032476D"/>
    <w:rsid w:val="00371667"/>
    <w:rsid w:val="00387B60"/>
    <w:rsid w:val="003A20C4"/>
    <w:rsid w:val="003A57A5"/>
    <w:rsid w:val="003B5F4F"/>
    <w:rsid w:val="003B75AF"/>
    <w:rsid w:val="003C1A0D"/>
    <w:rsid w:val="003C4DDE"/>
    <w:rsid w:val="003D6E4A"/>
    <w:rsid w:val="0042386C"/>
    <w:rsid w:val="004241DE"/>
    <w:rsid w:val="004414DC"/>
    <w:rsid w:val="00453DF3"/>
    <w:rsid w:val="00460C5D"/>
    <w:rsid w:val="004664D6"/>
    <w:rsid w:val="00470362"/>
    <w:rsid w:val="004971A3"/>
    <w:rsid w:val="004A0EDF"/>
    <w:rsid w:val="004B259E"/>
    <w:rsid w:val="004D73AE"/>
    <w:rsid w:val="004E1FF5"/>
    <w:rsid w:val="004E5FD9"/>
    <w:rsid w:val="004F76BE"/>
    <w:rsid w:val="005537B2"/>
    <w:rsid w:val="00577AC8"/>
    <w:rsid w:val="005808E2"/>
    <w:rsid w:val="00580FF4"/>
    <w:rsid w:val="005845F8"/>
    <w:rsid w:val="005903CC"/>
    <w:rsid w:val="005B06D8"/>
    <w:rsid w:val="005B0CE2"/>
    <w:rsid w:val="005C4FAD"/>
    <w:rsid w:val="005F05C3"/>
    <w:rsid w:val="005F65B3"/>
    <w:rsid w:val="0060129C"/>
    <w:rsid w:val="00601A9A"/>
    <w:rsid w:val="006026DB"/>
    <w:rsid w:val="00617551"/>
    <w:rsid w:val="00633509"/>
    <w:rsid w:val="00650592"/>
    <w:rsid w:val="00651CE0"/>
    <w:rsid w:val="00663E41"/>
    <w:rsid w:val="006651F1"/>
    <w:rsid w:val="00687C8C"/>
    <w:rsid w:val="006A4BB7"/>
    <w:rsid w:val="006B18EB"/>
    <w:rsid w:val="006B7FEC"/>
    <w:rsid w:val="006C275E"/>
    <w:rsid w:val="006C3BBD"/>
    <w:rsid w:val="006C635F"/>
    <w:rsid w:val="006E1CD2"/>
    <w:rsid w:val="00711382"/>
    <w:rsid w:val="00752F5D"/>
    <w:rsid w:val="007605A8"/>
    <w:rsid w:val="00765148"/>
    <w:rsid w:val="007B55C8"/>
    <w:rsid w:val="007C639E"/>
    <w:rsid w:val="007F1156"/>
    <w:rsid w:val="00817A7B"/>
    <w:rsid w:val="008226AA"/>
    <w:rsid w:val="00822957"/>
    <w:rsid w:val="00827BA7"/>
    <w:rsid w:val="0083171B"/>
    <w:rsid w:val="00840026"/>
    <w:rsid w:val="00846A43"/>
    <w:rsid w:val="00846CDB"/>
    <w:rsid w:val="00855D36"/>
    <w:rsid w:val="00856F33"/>
    <w:rsid w:val="00866BFC"/>
    <w:rsid w:val="008B5967"/>
    <w:rsid w:val="008B649B"/>
    <w:rsid w:val="008C1D4A"/>
    <w:rsid w:val="008D1664"/>
    <w:rsid w:val="008D5501"/>
    <w:rsid w:val="008E228B"/>
    <w:rsid w:val="008F1680"/>
    <w:rsid w:val="008F4DD2"/>
    <w:rsid w:val="009108FC"/>
    <w:rsid w:val="009544C5"/>
    <w:rsid w:val="00975FA8"/>
    <w:rsid w:val="00983C0B"/>
    <w:rsid w:val="00995344"/>
    <w:rsid w:val="009B3E24"/>
    <w:rsid w:val="009C5EEE"/>
    <w:rsid w:val="009D3DD6"/>
    <w:rsid w:val="009D5674"/>
    <w:rsid w:val="009F6FE4"/>
    <w:rsid w:val="00A0575C"/>
    <w:rsid w:val="00A40262"/>
    <w:rsid w:val="00A52EA5"/>
    <w:rsid w:val="00A566D9"/>
    <w:rsid w:val="00A81E22"/>
    <w:rsid w:val="00AB4B37"/>
    <w:rsid w:val="00AC2611"/>
    <w:rsid w:val="00AC3865"/>
    <w:rsid w:val="00AE3527"/>
    <w:rsid w:val="00AF2A04"/>
    <w:rsid w:val="00B02FFB"/>
    <w:rsid w:val="00B03EC7"/>
    <w:rsid w:val="00B4267E"/>
    <w:rsid w:val="00B6171A"/>
    <w:rsid w:val="00BB6300"/>
    <w:rsid w:val="00BC016C"/>
    <w:rsid w:val="00BE34DC"/>
    <w:rsid w:val="00BE4CFE"/>
    <w:rsid w:val="00BE516A"/>
    <w:rsid w:val="00BF2DE3"/>
    <w:rsid w:val="00C1274B"/>
    <w:rsid w:val="00C2058D"/>
    <w:rsid w:val="00C240E9"/>
    <w:rsid w:val="00C8037F"/>
    <w:rsid w:val="00CC7944"/>
    <w:rsid w:val="00CE0F08"/>
    <w:rsid w:val="00D03D3A"/>
    <w:rsid w:val="00D15C5E"/>
    <w:rsid w:val="00D46E39"/>
    <w:rsid w:val="00D52D99"/>
    <w:rsid w:val="00D862D9"/>
    <w:rsid w:val="00DA1752"/>
    <w:rsid w:val="00DA295C"/>
    <w:rsid w:val="00DA5774"/>
    <w:rsid w:val="00DA6B2C"/>
    <w:rsid w:val="00DD2C49"/>
    <w:rsid w:val="00DD4F36"/>
    <w:rsid w:val="00DD6D96"/>
    <w:rsid w:val="00DF4526"/>
    <w:rsid w:val="00E265CE"/>
    <w:rsid w:val="00E27D4D"/>
    <w:rsid w:val="00E3783F"/>
    <w:rsid w:val="00E5245B"/>
    <w:rsid w:val="00E60203"/>
    <w:rsid w:val="00E677BD"/>
    <w:rsid w:val="00E8589E"/>
    <w:rsid w:val="00EA0786"/>
    <w:rsid w:val="00EC0258"/>
    <w:rsid w:val="00ED18BD"/>
    <w:rsid w:val="00F24569"/>
    <w:rsid w:val="00F35202"/>
    <w:rsid w:val="00F425E4"/>
    <w:rsid w:val="00F50275"/>
    <w:rsid w:val="00F66A33"/>
    <w:rsid w:val="00F70A3F"/>
    <w:rsid w:val="00FA0612"/>
    <w:rsid w:val="00FC3A67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D03D3A"/>
    <w:pPr>
      <w:tabs>
        <w:tab w:val="center" w:pos="4513"/>
        <w:tab w:val="right" w:pos="9026"/>
      </w:tabs>
      <w:jc w:val="center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3D3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D03D3A"/>
    <w:pPr>
      <w:tabs>
        <w:tab w:val="center" w:pos="4513"/>
        <w:tab w:val="right" w:pos="9026"/>
      </w:tabs>
      <w:jc w:val="center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3D3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mailto:i.kay@nhs.ne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mailto:nhsengland.media@nhs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www.england.nhs.uk/statistics/category/statistics/nhs-111-statistic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FAB2-23DB-4F41-998D-4C4D7E01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17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McAndrew, Ruaraidh</dc:creator>
  <cp:lastModifiedBy>Kay, Ian</cp:lastModifiedBy>
  <cp:revision>18</cp:revision>
  <dcterms:created xsi:type="dcterms:W3CDTF">2015-03-06T08:15:00Z</dcterms:created>
  <dcterms:modified xsi:type="dcterms:W3CDTF">2015-04-30T14:01:00Z</dcterms:modified>
</cp:coreProperties>
</file>