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r>
        <w:rPr>
          <w:noProof/>
          <w:lang w:eastAsia="en-GB"/>
        </w:rPr>
        <w:drawing>
          <wp:inline distT="0" distB="0" distL="0" distR="0" wp14:anchorId="4FDD5D51" wp14:editId="7A51D7CB">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CF0EC8" w:rsidRDefault="00573AF0" w:rsidP="00663343">
      <w:pPr>
        <w:pStyle w:val="Heading1"/>
        <w:rPr>
          <w:lang w:eastAsia="en-GB"/>
        </w:rPr>
      </w:pPr>
      <w:r w:rsidRPr="00CF0EC8">
        <w:rPr>
          <w:lang w:eastAsia="en-GB"/>
        </w:rPr>
        <w:t xml:space="preserve">NHS 111 </w:t>
      </w:r>
      <w:r w:rsidR="00AE4C4B" w:rsidRPr="00CF0EC8">
        <w:rPr>
          <w:lang w:eastAsia="en-GB"/>
        </w:rPr>
        <w:t>Minimum Data Set</w:t>
      </w:r>
      <w:r w:rsidR="00663343">
        <w:rPr>
          <w:lang w:eastAsia="en-GB"/>
        </w:rPr>
        <w:t xml:space="preserve">, England, </w:t>
      </w:r>
      <w:r w:rsidR="000E5781">
        <w:rPr>
          <w:lang w:eastAsia="en-GB"/>
        </w:rPr>
        <w:t>November</w:t>
      </w:r>
      <w:r w:rsidR="00144010" w:rsidRPr="00CF0EC8">
        <w:rPr>
          <w:lang w:eastAsia="en-GB"/>
        </w:rPr>
        <w:t xml:space="preserve"> </w:t>
      </w:r>
      <w:r w:rsidRPr="00CF0EC8">
        <w:rPr>
          <w:lang w:eastAsia="en-GB"/>
        </w:rPr>
        <w:t>2015</w:t>
      </w:r>
    </w:p>
    <w:p w:rsidR="00573AF0" w:rsidRPr="00573AF0" w:rsidRDefault="00573AF0" w:rsidP="00BE2611">
      <w:pPr>
        <w:pStyle w:val="Heading4"/>
      </w:pPr>
      <w:r w:rsidRPr="00573AF0">
        <w:t xml:space="preserve">Summary </w:t>
      </w:r>
    </w:p>
    <w:p w:rsidR="004D5EBB" w:rsidRDefault="004D5EBB" w:rsidP="00BE089A">
      <w:pPr>
        <w:spacing w:after="240"/>
        <w:rPr>
          <w:rFonts w:cs="Times New Roman"/>
          <w:szCs w:val="20"/>
          <w:lang w:eastAsia="en-GB"/>
        </w:rPr>
      </w:pPr>
      <w:r w:rsidRPr="004D5EBB">
        <w:rPr>
          <w:rFonts w:cs="Times New Roman"/>
          <w:szCs w:val="20"/>
          <w:lang w:eastAsia="en-GB"/>
        </w:rPr>
        <w:t xml:space="preserve">There were </w:t>
      </w:r>
      <w:r w:rsidR="000E5781" w:rsidRPr="004E1514">
        <w:rPr>
          <w:rFonts w:cs="Times New Roman"/>
          <w:szCs w:val="20"/>
          <w:lang w:eastAsia="en-GB"/>
        </w:rPr>
        <w:t>1,160,300</w:t>
      </w:r>
      <w:r w:rsidR="000E5781">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0E5781">
        <w:rPr>
          <w:rFonts w:cs="Times New Roman"/>
          <w:szCs w:val="20"/>
          <w:lang w:eastAsia="en-GB"/>
        </w:rPr>
        <w:t>November</w:t>
      </w:r>
      <w:r w:rsidR="000A735A">
        <w:rPr>
          <w:rFonts w:cs="Times New Roman"/>
          <w:szCs w:val="20"/>
          <w:lang w:eastAsia="en-GB"/>
        </w:rPr>
        <w:t xml:space="preserve"> </w:t>
      </w:r>
      <w:r w:rsidR="0053656B">
        <w:rPr>
          <w:rFonts w:cs="Times New Roman"/>
          <w:szCs w:val="20"/>
          <w:lang w:eastAsia="en-GB"/>
        </w:rPr>
        <w:t>2015. This</w:t>
      </w:r>
      <w:r w:rsidRPr="004D5EBB">
        <w:rPr>
          <w:rFonts w:cs="Times New Roman"/>
          <w:szCs w:val="20"/>
          <w:lang w:eastAsia="en-GB"/>
        </w:rPr>
        <w:t xml:space="preserve"> was an average of </w:t>
      </w:r>
      <w:r w:rsidR="000E5781" w:rsidRPr="004E1514">
        <w:rPr>
          <w:rFonts w:cs="Times New Roman"/>
          <w:szCs w:val="20"/>
          <w:lang w:eastAsia="en-GB"/>
        </w:rPr>
        <w:t>38,677</w:t>
      </w:r>
      <w:r w:rsidR="000A735A">
        <w:rPr>
          <w:rFonts w:cs="Times New Roman"/>
          <w:szCs w:val="20"/>
          <w:lang w:eastAsia="en-GB"/>
        </w:rPr>
        <w:t xml:space="preserve"> </w:t>
      </w:r>
      <w:r w:rsidRPr="004D5EBB">
        <w:rPr>
          <w:rFonts w:cs="Times New Roman"/>
          <w:szCs w:val="20"/>
          <w:lang w:eastAsia="en-GB"/>
        </w:rPr>
        <w:t xml:space="preserve">per </w:t>
      </w:r>
      <w:r w:rsidR="00852EB6" w:rsidRPr="004D5EBB">
        <w:rPr>
          <w:rFonts w:cs="Times New Roman"/>
          <w:szCs w:val="20"/>
          <w:lang w:eastAsia="en-GB"/>
        </w:rPr>
        <w:t>day</w:t>
      </w:r>
      <w:r w:rsidR="0074537E">
        <w:rPr>
          <w:rFonts w:cs="Times New Roman"/>
          <w:szCs w:val="20"/>
          <w:lang w:eastAsia="en-GB"/>
        </w:rPr>
        <w:t>,</w:t>
      </w:r>
      <w:r w:rsidR="0053656B">
        <w:rPr>
          <w:rFonts w:cs="Times New Roman"/>
          <w:szCs w:val="20"/>
          <w:lang w:eastAsia="en-GB"/>
        </w:rPr>
        <w:t xml:space="preserve"> </w:t>
      </w:r>
      <w:r w:rsidR="000E5781">
        <w:rPr>
          <w:rFonts w:cs="Times New Roman"/>
          <w:szCs w:val="20"/>
          <w:lang w:eastAsia="en-GB"/>
        </w:rPr>
        <w:t>the highest daily</w:t>
      </w:r>
      <w:r w:rsidR="000A735A">
        <w:rPr>
          <w:rFonts w:cs="Times New Roman"/>
          <w:szCs w:val="20"/>
          <w:lang w:eastAsia="en-GB"/>
        </w:rPr>
        <w:t xml:space="preserve"> </w:t>
      </w:r>
      <w:r w:rsidR="000E5781">
        <w:rPr>
          <w:rFonts w:cs="Times New Roman"/>
          <w:szCs w:val="20"/>
          <w:lang w:eastAsia="en-GB"/>
        </w:rPr>
        <w:t>average in 2015</w:t>
      </w:r>
      <w:r w:rsidR="001F1BD7">
        <w:rPr>
          <w:rFonts w:cs="Times New Roman"/>
          <w:szCs w:val="20"/>
          <w:lang w:eastAsia="en-GB"/>
        </w:rPr>
        <w:t>. This is an increase of</w:t>
      </w:r>
      <w:r w:rsidR="0097717F">
        <w:rPr>
          <w:rFonts w:cs="Times New Roman"/>
          <w:szCs w:val="20"/>
          <w:lang w:eastAsia="en-GB"/>
        </w:rPr>
        <w:t xml:space="preserve"> around</w:t>
      </w:r>
      <w:r w:rsidR="00957A15">
        <w:rPr>
          <w:rFonts w:cs="Times New Roman"/>
          <w:szCs w:val="20"/>
          <w:lang w:eastAsia="en-GB"/>
        </w:rPr>
        <w:t xml:space="preserve"> 7% </w:t>
      </w:r>
      <w:r w:rsidR="001F1BD7">
        <w:rPr>
          <w:rFonts w:cs="Times New Roman"/>
          <w:szCs w:val="20"/>
          <w:lang w:eastAsia="en-GB"/>
        </w:rPr>
        <w:t>on</w:t>
      </w:r>
      <w:r w:rsidR="004E1514">
        <w:rPr>
          <w:rFonts w:cs="Times New Roman"/>
          <w:szCs w:val="20"/>
          <w:lang w:eastAsia="en-GB"/>
        </w:rPr>
        <w:t xml:space="preserve"> the</w:t>
      </w:r>
      <w:r w:rsidR="00957A15">
        <w:rPr>
          <w:rFonts w:cs="Times New Roman"/>
          <w:szCs w:val="20"/>
          <w:lang w:eastAsia="en-GB"/>
        </w:rPr>
        <w:t xml:space="preserve"> </w:t>
      </w:r>
      <w:r w:rsidR="00542AA0" w:rsidRPr="00542AA0">
        <w:rPr>
          <w:rFonts w:cs="Times New Roman"/>
          <w:szCs w:val="20"/>
          <w:lang w:eastAsia="en-GB"/>
        </w:rPr>
        <w:t>36,141</w:t>
      </w:r>
      <w:r w:rsidR="00542AA0">
        <w:rPr>
          <w:rFonts w:cs="Times New Roman"/>
          <w:szCs w:val="20"/>
          <w:lang w:eastAsia="en-GB"/>
        </w:rPr>
        <w:t xml:space="preserve"> per day in November</w:t>
      </w:r>
      <w:r w:rsidR="00232F6A">
        <w:rPr>
          <w:rFonts w:cs="Times New Roman"/>
          <w:szCs w:val="20"/>
          <w:lang w:eastAsia="en-GB"/>
        </w:rPr>
        <w:t xml:space="preserve"> 2014 last year</w:t>
      </w:r>
      <w:r w:rsidR="00957A15">
        <w:rPr>
          <w:rFonts w:cs="Times New Roman"/>
          <w:szCs w:val="20"/>
          <w:lang w:eastAsia="en-GB"/>
        </w:rPr>
        <w:t xml:space="preserve">. </w:t>
      </w:r>
    </w:p>
    <w:p w:rsidR="0053656B" w:rsidRPr="00BE089A" w:rsidRDefault="0053656B" w:rsidP="0053656B">
      <w:pPr>
        <w:spacing w:after="240"/>
        <w:rPr>
          <w:rFonts w:cs="Times New Roman"/>
          <w:szCs w:val="20"/>
          <w:lang w:eastAsia="en-GB"/>
        </w:rPr>
      </w:pPr>
      <w:r>
        <w:rPr>
          <w:rFonts w:cs="Times New Roman"/>
          <w:szCs w:val="20"/>
          <w:lang w:eastAsia="en-GB"/>
        </w:rPr>
        <w:t xml:space="preserve">Of calls offered to NHS 111 in </w:t>
      </w:r>
      <w:r w:rsidR="00542AA0">
        <w:rPr>
          <w:rFonts w:cs="Times New Roman"/>
          <w:szCs w:val="20"/>
          <w:lang w:eastAsia="en-GB"/>
        </w:rPr>
        <w:t>November</w:t>
      </w:r>
      <w:r w:rsidR="002C0367">
        <w:rPr>
          <w:rFonts w:cs="Times New Roman"/>
          <w:szCs w:val="20"/>
          <w:lang w:eastAsia="en-GB"/>
        </w:rPr>
        <w:t xml:space="preserve"> </w:t>
      </w:r>
      <w:r w:rsidRPr="00BE089A">
        <w:rPr>
          <w:rFonts w:cs="Times New Roman"/>
          <w:szCs w:val="20"/>
          <w:lang w:eastAsia="en-GB"/>
        </w:rPr>
        <w:t>2015, the proportion abandoned after waitin</w:t>
      </w:r>
      <w:r>
        <w:rPr>
          <w:rFonts w:cs="Times New Roman"/>
          <w:szCs w:val="20"/>
          <w:lang w:eastAsia="en-GB"/>
        </w:rPr>
        <w:t>g longer than 30 seconds was 1.</w:t>
      </w:r>
      <w:r w:rsidR="00542AA0">
        <w:rPr>
          <w:rFonts w:cs="Times New Roman"/>
          <w:szCs w:val="20"/>
          <w:lang w:eastAsia="en-GB"/>
        </w:rPr>
        <w:t>8</w:t>
      </w:r>
      <w:r w:rsidRPr="00BE089A">
        <w:rPr>
          <w:rFonts w:cs="Times New Roman"/>
          <w:szCs w:val="20"/>
          <w:lang w:eastAsia="en-GB"/>
        </w:rPr>
        <w:t>%,</w:t>
      </w:r>
      <w:r>
        <w:rPr>
          <w:rFonts w:cs="Times New Roman"/>
          <w:szCs w:val="20"/>
          <w:lang w:eastAsia="en-GB"/>
        </w:rPr>
        <w:t xml:space="preserve"> </w:t>
      </w:r>
      <w:r w:rsidR="00542AA0">
        <w:rPr>
          <w:rFonts w:cs="Times New Roman"/>
          <w:szCs w:val="20"/>
          <w:lang w:eastAsia="en-GB"/>
        </w:rPr>
        <w:t xml:space="preserve">higher that the </w:t>
      </w:r>
      <w:r w:rsidR="00233650">
        <w:rPr>
          <w:rFonts w:cs="Times New Roman"/>
          <w:szCs w:val="20"/>
          <w:lang w:eastAsia="en-GB"/>
        </w:rPr>
        <w:t xml:space="preserve">average for </w:t>
      </w:r>
      <w:r w:rsidR="005868C2" w:rsidRPr="005868C2">
        <w:rPr>
          <w:rFonts w:cs="Times New Roman"/>
          <w:szCs w:val="20"/>
          <w:lang w:eastAsia="en-GB"/>
        </w:rPr>
        <w:t>2015</w:t>
      </w:r>
      <w:r w:rsidR="00542AA0">
        <w:rPr>
          <w:rFonts w:cs="Times New Roman"/>
          <w:szCs w:val="20"/>
          <w:lang w:eastAsia="en-GB"/>
        </w:rPr>
        <w:t xml:space="preserve"> but less than the 2.2% in November 2014</w:t>
      </w:r>
      <w:r w:rsidR="005868C2" w:rsidRPr="005868C2">
        <w:rPr>
          <w:rFonts w:cs="Times New Roman"/>
          <w:szCs w:val="20"/>
          <w:lang w:eastAsia="en-GB"/>
        </w:rPr>
        <w:t>.</w:t>
      </w:r>
    </w:p>
    <w:p w:rsidR="006C03D1" w:rsidRDefault="00BE089A" w:rsidP="00BE089A">
      <w:pPr>
        <w:spacing w:after="240"/>
        <w:rPr>
          <w:rFonts w:cs="Times New Roman"/>
          <w:szCs w:val="20"/>
          <w:lang w:eastAsia="en-GB"/>
        </w:rPr>
      </w:pPr>
      <w:r w:rsidRPr="00BE089A">
        <w:rPr>
          <w:rFonts w:cs="Times New Roman"/>
          <w:szCs w:val="20"/>
          <w:lang w:eastAsia="en-GB"/>
        </w:rPr>
        <w:t>Of calls answered by NHS 111</w:t>
      </w:r>
      <w:r w:rsidR="00064BAB">
        <w:rPr>
          <w:rFonts w:cs="Times New Roman"/>
          <w:szCs w:val="20"/>
          <w:lang w:eastAsia="en-GB"/>
        </w:rPr>
        <w:t xml:space="preserve">, </w:t>
      </w:r>
      <w:r w:rsidR="00542AA0">
        <w:rPr>
          <w:rFonts w:cs="Times New Roman"/>
          <w:szCs w:val="20"/>
          <w:lang w:eastAsia="en-GB"/>
        </w:rPr>
        <w:t>89.6</w:t>
      </w:r>
      <w:r w:rsidR="00064BAB" w:rsidRPr="00064BAB">
        <w:rPr>
          <w:rFonts w:cs="Times New Roman"/>
          <w:szCs w:val="20"/>
          <w:lang w:eastAsia="en-GB"/>
        </w:rPr>
        <w:t xml:space="preserve">% were answered within 60 seconds, </w:t>
      </w:r>
      <w:r w:rsidR="001C7A0A">
        <w:rPr>
          <w:rFonts w:cs="Times New Roman"/>
          <w:szCs w:val="20"/>
          <w:lang w:eastAsia="en-GB"/>
        </w:rPr>
        <w:t>the lowest in 2015 so far</w:t>
      </w:r>
      <w:r w:rsidR="00494944">
        <w:rPr>
          <w:rFonts w:cs="Times New Roman"/>
          <w:szCs w:val="20"/>
          <w:lang w:eastAsia="en-GB"/>
        </w:rPr>
        <w:t>, which is lower than t</w:t>
      </w:r>
      <w:r w:rsidR="00494944" w:rsidRPr="00494944">
        <w:rPr>
          <w:rFonts w:cs="Times New Roman"/>
          <w:szCs w:val="20"/>
          <w:lang w:eastAsia="en-GB"/>
        </w:rPr>
        <w:t>he 90.6%</w:t>
      </w:r>
      <w:r w:rsidR="00494944">
        <w:rPr>
          <w:rFonts w:cs="Times New Roman"/>
          <w:szCs w:val="20"/>
          <w:lang w:eastAsia="en-GB"/>
        </w:rPr>
        <w:t xml:space="preserve"> </w:t>
      </w:r>
      <w:r w:rsidR="00494944" w:rsidRPr="00494944">
        <w:rPr>
          <w:rFonts w:cs="Times New Roman"/>
          <w:szCs w:val="20"/>
          <w:lang w:eastAsia="en-GB"/>
        </w:rPr>
        <w:t>in November 2014.</w:t>
      </w:r>
    </w:p>
    <w:p w:rsidR="0053656B" w:rsidRDefault="00BE089A" w:rsidP="00BE089A">
      <w:pPr>
        <w:spacing w:after="240"/>
        <w:rPr>
          <w:rFonts w:cs="Times New Roman"/>
          <w:szCs w:val="20"/>
          <w:lang w:eastAsia="en-GB"/>
        </w:rPr>
      </w:pPr>
      <w:r w:rsidRPr="00BE089A">
        <w:rPr>
          <w:rFonts w:cs="Times New Roman"/>
          <w:szCs w:val="20"/>
          <w:lang w:eastAsia="en-GB"/>
        </w:rPr>
        <w:t>Of calls answered, 1</w:t>
      </w:r>
      <w:r w:rsidR="001C7A0A">
        <w:rPr>
          <w:rFonts w:cs="Times New Roman"/>
          <w:szCs w:val="20"/>
          <w:lang w:eastAsia="en-GB"/>
        </w:rPr>
        <w:t>3</w:t>
      </w:r>
      <w:r w:rsidRPr="00BE089A">
        <w:rPr>
          <w:rFonts w:cs="Times New Roman"/>
          <w:szCs w:val="20"/>
          <w:lang w:eastAsia="en-GB"/>
        </w:rPr>
        <w:t>% were offered a call back</w:t>
      </w:r>
      <w:r w:rsidR="001C7A0A">
        <w:rPr>
          <w:rFonts w:cs="Times New Roman"/>
          <w:szCs w:val="20"/>
          <w:lang w:eastAsia="en-GB"/>
        </w:rPr>
        <w:t xml:space="preserve"> in November</w:t>
      </w:r>
      <w:r w:rsidR="00DA3FEF">
        <w:rPr>
          <w:rFonts w:cs="Times New Roman"/>
          <w:szCs w:val="20"/>
          <w:lang w:eastAsia="en-GB"/>
        </w:rPr>
        <w:t xml:space="preserve"> </w:t>
      </w:r>
      <w:r w:rsidR="0053656B">
        <w:rPr>
          <w:rFonts w:cs="Times New Roman"/>
          <w:szCs w:val="20"/>
          <w:lang w:eastAsia="en-GB"/>
        </w:rPr>
        <w:t>2015</w:t>
      </w:r>
      <w:r w:rsidR="00484127">
        <w:rPr>
          <w:rFonts w:cs="Times New Roman"/>
          <w:szCs w:val="20"/>
          <w:lang w:eastAsia="en-GB"/>
        </w:rPr>
        <w:t>,</w:t>
      </w:r>
      <w:r w:rsidR="001F1BD7">
        <w:rPr>
          <w:rFonts w:cs="Times New Roman"/>
          <w:szCs w:val="20"/>
          <w:lang w:eastAsia="en-GB"/>
        </w:rPr>
        <w:t xml:space="preserve"> higher than the 10% in November 2014</w:t>
      </w:r>
      <w:r w:rsidR="00DA3FEF">
        <w:rPr>
          <w:rFonts w:cs="Times New Roman"/>
          <w:szCs w:val="20"/>
          <w:lang w:eastAsia="en-GB"/>
        </w:rPr>
        <w:t>,</w:t>
      </w:r>
      <w:r w:rsidR="001F1BD7">
        <w:rPr>
          <w:rFonts w:cs="Times New Roman"/>
          <w:szCs w:val="20"/>
          <w:lang w:eastAsia="en-GB"/>
        </w:rPr>
        <w:t xml:space="preserve"> also</w:t>
      </w:r>
      <w:r w:rsidR="009978B4">
        <w:rPr>
          <w:rFonts w:cs="Times New Roman"/>
          <w:szCs w:val="20"/>
          <w:lang w:eastAsia="en-GB"/>
        </w:rPr>
        <w:t xml:space="preserve"> </w:t>
      </w:r>
      <w:r w:rsidR="00815B0C">
        <w:rPr>
          <w:rFonts w:cs="Times New Roman"/>
          <w:szCs w:val="20"/>
          <w:lang w:eastAsia="en-GB"/>
        </w:rPr>
        <w:t xml:space="preserve">slightly higher than the </w:t>
      </w:r>
      <w:r w:rsidR="00EA3535">
        <w:rPr>
          <w:rFonts w:cs="Times New Roman"/>
          <w:szCs w:val="20"/>
          <w:lang w:eastAsia="en-GB"/>
        </w:rPr>
        <w:t>average</w:t>
      </w:r>
      <w:r w:rsidR="009978B4">
        <w:rPr>
          <w:rFonts w:cs="Times New Roman"/>
          <w:szCs w:val="20"/>
          <w:lang w:eastAsia="en-GB"/>
        </w:rPr>
        <w:t xml:space="preserve"> </w:t>
      </w:r>
      <w:r w:rsidR="00EA3535">
        <w:rPr>
          <w:rFonts w:cs="Times New Roman"/>
          <w:szCs w:val="20"/>
          <w:lang w:eastAsia="en-GB"/>
        </w:rPr>
        <w:t>for 2015</w:t>
      </w:r>
      <w:r w:rsidR="00684660">
        <w:rPr>
          <w:rFonts w:cs="Times New Roman"/>
          <w:szCs w:val="20"/>
          <w:lang w:eastAsia="en-GB"/>
        </w:rPr>
        <w:t>.</w:t>
      </w:r>
    </w:p>
    <w:p w:rsidR="00BE089A" w:rsidRPr="00BE089A" w:rsidRDefault="00DA3FEF" w:rsidP="00BE089A">
      <w:pPr>
        <w:spacing w:after="240"/>
        <w:rPr>
          <w:rFonts w:cs="Times New Roman"/>
          <w:szCs w:val="20"/>
          <w:lang w:eastAsia="en-GB"/>
        </w:rPr>
      </w:pPr>
      <w:r w:rsidRPr="00DA3FEF">
        <w:rPr>
          <w:rFonts w:cs="Times New Roman"/>
          <w:szCs w:val="20"/>
          <w:lang w:eastAsia="en-GB"/>
        </w:rPr>
        <w:t>Of call backs, 4</w:t>
      </w:r>
      <w:r w:rsidR="00815B0C">
        <w:rPr>
          <w:rFonts w:cs="Times New Roman"/>
          <w:szCs w:val="20"/>
          <w:lang w:eastAsia="en-GB"/>
        </w:rPr>
        <w:t>0</w:t>
      </w:r>
      <w:r w:rsidR="00AE4AF0">
        <w:rPr>
          <w:rFonts w:cs="Times New Roman"/>
          <w:szCs w:val="20"/>
          <w:lang w:eastAsia="en-GB"/>
        </w:rPr>
        <w:t>% were within 10 minutes</w:t>
      </w:r>
      <w:r w:rsidR="00684660">
        <w:rPr>
          <w:rFonts w:cs="Times New Roman"/>
          <w:szCs w:val="20"/>
          <w:lang w:eastAsia="en-GB"/>
        </w:rPr>
        <w:t xml:space="preserve"> in November 2015</w:t>
      </w:r>
      <w:r w:rsidR="00AE4AF0">
        <w:rPr>
          <w:rFonts w:cs="Times New Roman"/>
          <w:szCs w:val="20"/>
          <w:lang w:eastAsia="en-GB"/>
        </w:rPr>
        <w:t xml:space="preserve">, </w:t>
      </w:r>
      <w:r w:rsidR="00E12564">
        <w:rPr>
          <w:rFonts w:cs="Times New Roman"/>
          <w:szCs w:val="20"/>
          <w:lang w:eastAsia="en-GB"/>
        </w:rPr>
        <w:t>t</w:t>
      </w:r>
      <w:r w:rsidR="00815B0C">
        <w:rPr>
          <w:rFonts w:cs="Times New Roman"/>
          <w:szCs w:val="20"/>
          <w:lang w:eastAsia="en-GB"/>
        </w:rPr>
        <w:t>he lowest figure since September 2013</w:t>
      </w:r>
      <w:r w:rsidR="00631CB7">
        <w:rPr>
          <w:rFonts w:cs="Times New Roman"/>
          <w:szCs w:val="20"/>
          <w:lang w:eastAsia="en-GB"/>
        </w:rPr>
        <w:t>.</w:t>
      </w:r>
    </w:p>
    <w:p w:rsidR="006034DE" w:rsidRDefault="00815B0C" w:rsidP="006034DE">
      <w:pPr>
        <w:spacing w:after="240"/>
        <w:rPr>
          <w:rFonts w:cs="Times New Roman"/>
          <w:szCs w:val="20"/>
          <w:lang w:eastAsia="en-GB"/>
        </w:rPr>
      </w:pPr>
      <w:r>
        <w:rPr>
          <w:rFonts w:cs="Times New Roman"/>
          <w:szCs w:val="20"/>
          <w:lang w:eastAsia="en-GB"/>
        </w:rPr>
        <w:t>Of calls answered, 22</w:t>
      </w:r>
      <w:r w:rsidR="006034DE">
        <w:rPr>
          <w:rFonts w:cs="Times New Roman"/>
          <w:szCs w:val="20"/>
          <w:lang w:eastAsia="en-GB"/>
        </w:rPr>
        <w:t>% were transferred to a clinical advisor</w:t>
      </w:r>
      <w:r w:rsidR="00664FCE">
        <w:rPr>
          <w:rFonts w:cs="Times New Roman"/>
          <w:szCs w:val="20"/>
          <w:lang w:eastAsia="en-GB"/>
        </w:rPr>
        <w:t xml:space="preserve"> in </w:t>
      </w:r>
      <w:r>
        <w:rPr>
          <w:rFonts w:cs="Times New Roman"/>
          <w:szCs w:val="20"/>
          <w:lang w:eastAsia="en-GB"/>
        </w:rPr>
        <w:t>November</w:t>
      </w:r>
      <w:r w:rsidR="00AE4AF0">
        <w:rPr>
          <w:rFonts w:cs="Times New Roman"/>
          <w:szCs w:val="20"/>
          <w:lang w:eastAsia="en-GB"/>
        </w:rPr>
        <w:t xml:space="preserve"> </w:t>
      </w:r>
      <w:r w:rsidR="00664FCE">
        <w:rPr>
          <w:rFonts w:cs="Times New Roman"/>
          <w:szCs w:val="20"/>
          <w:lang w:eastAsia="en-GB"/>
        </w:rPr>
        <w:t>2015</w:t>
      </w:r>
      <w:r w:rsidR="006034DE">
        <w:rPr>
          <w:rFonts w:cs="Times New Roman"/>
          <w:szCs w:val="20"/>
          <w:lang w:eastAsia="en-GB"/>
        </w:rPr>
        <w:t>,</w:t>
      </w:r>
      <w:r w:rsidR="002338AD">
        <w:rPr>
          <w:rFonts w:cs="Times New Roman"/>
          <w:szCs w:val="20"/>
          <w:lang w:eastAsia="en-GB"/>
        </w:rPr>
        <w:t xml:space="preserve"> </w:t>
      </w:r>
      <w:r w:rsidR="00AE4AF0" w:rsidRPr="00AE4AF0">
        <w:rPr>
          <w:rFonts w:cs="Times New Roman"/>
          <w:szCs w:val="20"/>
          <w:lang w:eastAsia="en-GB"/>
        </w:rPr>
        <w:t>similar to the average for 2015 so far.</w:t>
      </w:r>
    </w:p>
    <w:p w:rsidR="00BE089A" w:rsidRPr="00BE089A" w:rsidRDefault="00BE089A" w:rsidP="00BE089A">
      <w:pPr>
        <w:spacing w:after="240"/>
        <w:rPr>
          <w:rFonts w:cs="Times New Roman"/>
          <w:szCs w:val="20"/>
          <w:lang w:eastAsia="en-GB"/>
        </w:rPr>
      </w:pPr>
      <w:r w:rsidRPr="00BE089A">
        <w:rPr>
          <w:rFonts w:cs="Times New Roman"/>
          <w:szCs w:val="20"/>
          <w:lang w:eastAsia="en-GB"/>
        </w:rPr>
        <w:t>The average episode length of a call was 1</w:t>
      </w:r>
      <w:r w:rsidR="00E12564">
        <w:rPr>
          <w:rFonts w:cs="Times New Roman"/>
          <w:szCs w:val="20"/>
          <w:lang w:eastAsia="en-GB"/>
        </w:rPr>
        <w:t>6</w:t>
      </w:r>
      <w:r w:rsidRPr="00BE089A">
        <w:rPr>
          <w:rFonts w:cs="Times New Roman"/>
          <w:szCs w:val="20"/>
          <w:lang w:eastAsia="en-GB"/>
        </w:rPr>
        <w:t xml:space="preserve"> minutes </w:t>
      </w:r>
      <w:r w:rsidR="00815B0C">
        <w:rPr>
          <w:rFonts w:cs="Times New Roman"/>
          <w:szCs w:val="20"/>
          <w:lang w:eastAsia="en-GB"/>
        </w:rPr>
        <w:t>40</w:t>
      </w:r>
      <w:r w:rsidR="002338AD">
        <w:rPr>
          <w:rFonts w:cs="Times New Roman"/>
          <w:szCs w:val="20"/>
          <w:lang w:eastAsia="en-GB"/>
        </w:rPr>
        <w:t xml:space="preserve"> </w:t>
      </w:r>
      <w:r w:rsidRPr="00BE089A">
        <w:rPr>
          <w:rFonts w:cs="Times New Roman"/>
          <w:szCs w:val="20"/>
          <w:lang w:eastAsia="en-GB"/>
        </w:rPr>
        <w:t>seconds</w:t>
      </w:r>
      <w:r w:rsidR="00B8477A" w:rsidRPr="00B8477A">
        <w:rPr>
          <w:rFonts w:cs="Times New Roman"/>
          <w:szCs w:val="20"/>
          <w:lang w:eastAsia="en-GB"/>
        </w:rPr>
        <w:t xml:space="preserve"> </w:t>
      </w:r>
      <w:r w:rsidR="00B8477A" w:rsidRPr="00BE089A">
        <w:rPr>
          <w:rFonts w:cs="Times New Roman"/>
          <w:szCs w:val="20"/>
          <w:lang w:eastAsia="en-GB"/>
        </w:rPr>
        <w:t xml:space="preserve">in </w:t>
      </w:r>
      <w:r w:rsidR="00815B0C">
        <w:rPr>
          <w:rFonts w:cs="Times New Roman"/>
          <w:szCs w:val="20"/>
          <w:lang w:eastAsia="en-GB"/>
        </w:rPr>
        <w:t>November</w:t>
      </w:r>
      <w:r w:rsidR="00B8477A">
        <w:rPr>
          <w:rFonts w:cs="Times New Roman"/>
          <w:szCs w:val="20"/>
          <w:lang w:eastAsia="en-GB"/>
        </w:rPr>
        <w:t xml:space="preserve"> </w:t>
      </w:r>
      <w:r w:rsidR="00B8477A" w:rsidRPr="00BE089A">
        <w:rPr>
          <w:rFonts w:cs="Times New Roman"/>
          <w:szCs w:val="20"/>
          <w:lang w:eastAsia="en-GB"/>
        </w:rPr>
        <w:t>2015</w:t>
      </w:r>
      <w:r w:rsidRPr="00BE089A">
        <w:rPr>
          <w:rFonts w:cs="Times New Roman"/>
          <w:szCs w:val="20"/>
          <w:lang w:eastAsia="en-GB"/>
        </w:rPr>
        <w:t xml:space="preserve">, </w:t>
      </w:r>
      <w:r w:rsidR="004378CB">
        <w:rPr>
          <w:rFonts w:cs="Times New Roman"/>
          <w:szCs w:val="20"/>
          <w:lang w:eastAsia="en-GB"/>
        </w:rPr>
        <w:t xml:space="preserve">the longest </w:t>
      </w:r>
      <w:r w:rsidR="00E12564">
        <w:rPr>
          <w:rFonts w:cs="Times New Roman"/>
          <w:szCs w:val="20"/>
          <w:lang w:eastAsia="en-GB"/>
        </w:rPr>
        <w:t>mont</w:t>
      </w:r>
      <w:r w:rsidR="00815B0C">
        <w:rPr>
          <w:rFonts w:cs="Times New Roman"/>
          <w:szCs w:val="20"/>
          <w:lang w:eastAsia="en-GB"/>
        </w:rPr>
        <w:t>hly average reported since March</w:t>
      </w:r>
      <w:r w:rsidR="00E12564">
        <w:rPr>
          <w:rFonts w:cs="Times New Roman"/>
          <w:szCs w:val="20"/>
          <w:lang w:eastAsia="en-GB"/>
        </w:rPr>
        <w:t xml:space="preserve"> 2013</w:t>
      </w:r>
      <w:r w:rsidR="00484127">
        <w:rPr>
          <w:rFonts w:cs="Times New Roman"/>
          <w:szCs w:val="20"/>
          <w:lang w:eastAsia="en-GB"/>
        </w:rPr>
        <w:t>.</w:t>
      </w:r>
    </w:p>
    <w:p w:rsidR="009A48F6" w:rsidRDefault="00BE089A" w:rsidP="00BE089A">
      <w:pPr>
        <w:spacing w:after="240"/>
        <w:rPr>
          <w:rFonts w:cs="Times New Roman"/>
          <w:szCs w:val="20"/>
          <w:lang w:eastAsia="en-GB"/>
        </w:rPr>
      </w:pPr>
      <w:r w:rsidRPr="00BE089A">
        <w:rPr>
          <w:rFonts w:cs="Times New Roman"/>
          <w:szCs w:val="20"/>
          <w:lang w:eastAsia="en-GB"/>
        </w:rPr>
        <w:t>Of calls a</w:t>
      </w:r>
      <w:r w:rsidR="00687350">
        <w:rPr>
          <w:rFonts w:cs="Times New Roman"/>
          <w:szCs w:val="20"/>
          <w:lang w:eastAsia="en-GB"/>
        </w:rPr>
        <w:t>nswered, 8</w:t>
      </w:r>
      <w:r w:rsidR="00703E51">
        <w:rPr>
          <w:rFonts w:cs="Times New Roman"/>
          <w:szCs w:val="20"/>
          <w:lang w:eastAsia="en-GB"/>
        </w:rPr>
        <w:t>7</w:t>
      </w:r>
      <w:r w:rsidR="00684660">
        <w:rPr>
          <w:rFonts w:cs="Times New Roman"/>
          <w:szCs w:val="20"/>
          <w:lang w:eastAsia="en-GB"/>
        </w:rPr>
        <w:t>% were</w:t>
      </w:r>
      <w:r w:rsidRPr="00BE089A">
        <w:rPr>
          <w:rFonts w:cs="Times New Roman"/>
          <w:szCs w:val="20"/>
          <w:lang w:eastAsia="en-GB"/>
        </w:rPr>
        <w:t xml:space="preserve"> triage</w:t>
      </w:r>
      <w:r w:rsidR="00684660">
        <w:rPr>
          <w:rFonts w:cs="Times New Roman"/>
          <w:szCs w:val="20"/>
          <w:lang w:eastAsia="en-GB"/>
        </w:rPr>
        <w:t>d</w:t>
      </w:r>
      <w:r w:rsidRPr="00BE089A">
        <w:rPr>
          <w:rFonts w:cs="Times New Roman"/>
          <w:szCs w:val="20"/>
          <w:lang w:eastAsia="en-GB"/>
        </w:rPr>
        <w:t xml:space="preserve"> in </w:t>
      </w:r>
      <w:r w:rsidR="00815B0C">
        <w:rPr>
          <w:rFonts w:cs="Times New Roman"/>
          <w:szCs w:val="20"/>
          <w:lang w:eastAsia="en-GB"/>
        </w:rPr>
        <w:t>Novembe</w:t>
      </w:r>
      <w:r w:rsidR="00703E51">
        <w:rPr>
          <w:rFonts w:cs="Times New Roman"/>
          <w:szCs w:val="20"/>
          <w:lang w:eastAsia="en-GB"/>
        </w:rPr>
        <w:t>r</w:t>
      </w:r>
      <w:r w:rsidR="00482DF8">
        <w:rPr>
          <w:rFonts w:cs="Times New Roman"/>
          <w:szCs w:val="20"/>
          <w:lang w:eastAsia="en-GB"/>
        </w:rPr>
        <w:t xml:space="preserve"> </w:t>
      </w:r>
      <w:r w:rsidRPr="00BE089A">
        <w:rPr>
          <w:rFonts w:cs="Times New Roman"/>
          <w:szCs w:val="20"/>
          <w:lang w:eastAsia="en-GB"/>
        </w:rPr>
        <w:t xml:space="preserve">2015. This proportion </w:t>
      </w:r>
      <w:r w:rsidR="00F55B8A">
        <w:rPr>
          <w:rFonts w:cs="Times New Roman"/>
          <w:szCs w:val="20"/>
          <w:lang w:eastAsia="en-GB"/>
        </w:rPr>
        <w:t>has ranged between</w:t>
      </w:r>
      <w:r w:rsidR="00631CB7">
        <w:rPr>
          <w:rFonts w:cs="Times New Roman"/>
          <w:szCs w:val="20"/>
          <w:lang w:eastAsia="en-GB"/>
        </w:rPr>
        <w:t xml:space="preserve"> </w:t>
      </w:r>
      <w:r w:rsidR="00F55B8A">
        <w:rPr>
          <w:rFonts w:cs="Times New Roman"/>
          <w:szCs w:val="20"/>
          <w:lang w:eastAsia="en-GB"/>
        </w:rPr>
        <w:t>85% and</w:t>
      </w:r>
      <w:r w:rsidRPr="00BE089A">
        <w:rPr>
          <w:rFonts w:cs="Times New Roman"/>
          <w:szCs w:val="20"/>
          <w:lang w:eastAsia="en-GB"/>
        </w:rPr>
        <w:t xml:space="preserve"> 87% </w:t>
      </w:r>
      <w:r w:rsidR="00F55B8A">
        <w:rPr>
          <w:rFonts w:cs="Times New Roman"/>
          <w:szCs w:val="20"/>
          <w:lang w:eastAsia="en-GB"/>
        </w:rPr>
        <w:t xml:space="preserve">for the </w:t>
      </w:r>
      <w:r w:rsidR="00703E51">
        <w:rPr>
          <w:rFonts w:cs="Times New Roman"/>
          <w:szCs w:val="20"/>
          <w:lang w:eastAsia="en-GB"/>
        </w:rPr>
        <w:t>last sixteen</w:t>
      </w:r>
      <w:r w:rsidR="00631CB7">
        <w:rPr>
          <w:rFonts w:cs="Times New Roman"/>
          <w:szCs w:val="20"/>
          <w:lang w:eastAsia="en-GB"/>
        </w:rPr>
        <w:t xml:space="preserve"> </w:t>
      </w:r>
      <w:r w:rsidRPr="00BE089A">
        <w:rPr>
          <w:rFonts w:cs="Times New Roman"/>
          <w:szCs w:val="20"/>
          <w:lang w:eastAsia="en-GB"/>
        </w:rPr>
        <w:t xml:space="preserve">months. Calls triaged are those where the NHS 111 call handler opens and uses the clinical </w:t>
      </w:r>
      <w:r w:rsidR="00F55C30">
        <w:rPr>
          <w:rFonts w:cs="Times New Roman"/>
          <w:szCs w:val="20"/>
          <w:lang w:eastAsia="en-GB"/>
        </w:rPr>
        <w:t>assessment tool (NHS Pathways).</w:t>
      </w:r>
    </w:p>
    <w:p w:rsidR="002C1B3A" w:rsidRPr="00BE089A" w:rsidRDefault="002C1B3A" w:rsidP="002C1B3A">
      <w:pPr>
        <w:spacing w:after="240"/>
        <w:rPr>
          <w:rFonts w:cs="Times New Roman"/>
          <w:szCs w:val="20"/>
          <w:lang w:eastAsia="en-GB"/>
        </w:rPr>
      </w:pPr>
      <w:r w:rsidRPr="00BE089A">
        <w:rPr>
          <w:rFonts w:cs="Times New Roman"/>
          <w:szCs w:val="20"/>
          <w:lang w:eastAsia="en-GB"/>
        </w:rPr>
        <w:t xml:space="preserve">Calls not triaged include, for example, follow-ups of previous calls, calls where the caller is unable or unwilling to give specific details about the patient’s </w:t>
      </w:r>
      <w:r w:rsidR="006A07E5" w:rsidRPr="00BE089A">
        <w:rPr>
          <w:rFonts w:cs="Times New Roman"/>
          <w:szCs w:val="20"/>
          <w:lang w:eastAsia="en-GB"/>
        </w:rPr>
        <w:t>condition</w:t>
      </w:r>
      <w:r w:rsidR="006A07E5">
        <w:rPr>
          <w:rFonts w:cs="Times New Roman"/>
          <w:szCs w:val="20"/>
          <w:lang w:eastAsia="en-GB"/>
        </w:rPr>
        <w:t xml:space="preserve"> or</w:t>
      </w:r>
      <w:r>
        <w:rPr>
          <w:rFonts w:cs="Times New Roman"/>
          <w:szCs w:val="20"/>
          <w:lang w:eastAsia="en-GB"/>
        </w:rPr>
        <w:t xml:space="preserve"> </w:t>
      </w:r>
      <w:r w:rsidRPr="00BE089A">
        <w:rPr>
          <w:rFonts w:cs="Times New Roman"/>
          <w:szCs w:val="20"/>
          <w:lang w:eastAsia="en-GB"/>
        </w:rPr>
        <w:t>enquiries about contact details for pharmacists or other local care services.</w:t>
      </w:r>
    </w:p>
    <w:p w:rsidR="00BE089A" w:rsidRPr="00BE089A" w:rsidRDefault="00BE089A" w:rsidP="00BE089A">
      <w:pPr>
        <w:spacing w:after="240"/>
        <w:rPr>
          <w:rFonts w:cs="Times New Roman"/>
          <w:szCs w:val="20"/>
          <w:lang w:eastAsia="en-GB"/>
        </w:rPr>
      </w:pPr>
      <w:r w:rsidRPr="00BE089A">
        <w:rPr>
          <w:rFonts w:cs="Times New Roman"/>
          <w:szCs w:val="20"/>
          <w:lang w:eastAsia="en-GB"/>
        </w:rPr>
        <w:t xml:space="preserve">Of calls triaged in </w:t>
      </w:r>
      <w:r w:rsidR="002C1B3A">
        <w:rPr>
          <w:rFonts w:cs="Times New Roman"/>
          <w:szCs w:val="20"/>
          <w:lang w:eastAsia="en-GB"/>
        </w:rPr>
        <w:t>Novemb</w:t>
      </w:r>
      <w:r w:rsidR="00703E51">
        <w:rPr>
          <w:rFonts w:cs="Times New Roman"/>
          <w:szCs w:val="20"/>
          <w:lang w:eastAsia="en-GB"/>
        </w:rPr>
        <w:t>e</w:t>
      </w:r>
      <w:r w:rsidR="007B3B21">
        <w:rPr>
          <w:rFonts w:cs="Times New Roman"/>
          <w:szCs w:val="20"/>
          <w:lang w:eastAsia="en-GB"/>
        </w:rPr>
        <w:t>r</w:t>
      </w:r>
      <w:r w:rsidR="00C16025">
        <w:rPr>
          <w:rFonts w:cs="Times New Roman"/>
          <w:szCs w:val="20"/>
          <w:lang w:eastAsia="en-GB"/>
        </w:rPr>
        <w:t xml:space="preserve"> </w:t>
      </w:r>
      <w:r w:rsidR="00F55B8A">
        <w:rPr>
          <w:rFonts w:cs="Times New Roman"/>
          <w:szCs w:val="20"/>
          <w:lang w:eastAsia="en-GB"/>
        </w:rPr>
        <w:t>2015</w:t>
      </w:r>
      <w:r w:rsidR="00E202E5">
        <w:rPr>
          <w:rFonts w:cs="Times New Roman"/>
          <w:szCs w:val="20"/>
          <w:lang w:eastAsia="en-GB"/>
        </w:rPr>
        <w:t>,</w:t>
      </w:r>
      <w:r w:rsidR="002C1B3A">
        <w:rPr>
          <w:rFonts w:cs="Times New Roman"/>
          <w:szCs w:val="20"/>
          <w:lang w:eastAsia="en-GB"/>
        </w:rPr>
        <w:t xml:space="preserve"> 12</w:t>
      </w:r>
      <w:r w:rsidR="00687350">
        <w:rPr>
          <w:rFonts w:cs="Times New Roman"/>
          <w:szCs w:val="20"/>
          <w:lang w:eastAsia="en-GB"/>
        </w:rPr>
        <w:t>% had ambulances dispatched</w:t>
      </w:r>
      <w:r w:rsidR="00703E51">
        <w:rPr>
          <w:rFonts w:cs="Times New Roman"/>
          <w:szCs w:val="20"/>
          <w:lang w:eastAsia="en-GB"/>
        </w:rPr>
        <w:t>, 8% were recommended to A&amp;E, 62</w:t>
      </w:r>
      <w:r w:rsidRPr="00BE089A">
        <w:rPr>
          <w:rFonts w:cs="Times New Roman"/>
          <w:szCs w:val="20"/>
          <w:lang w:eastAsia="en-GB"/>
        </w:rPr>
        <w:t>% were recommended to primary care, 4% were recomm</w:t>
      </w:r>
      <w:r w:rsidR="00851848">
        <w:rPr>
          <w:rFonts w:cs="Times New Roman"/>
          <w:szCs w:val="20"/>
          <w:lang w:eastAsia="en-GB"/>
        </w:rPr>
        <w:t>ended to another service, and 1</w:t>
      </w:r>
      <w:r w:rsidR="00CE4FCD">
        <w:rPr>
          <w:rFonts w:cs="Times New Roman"/>
          <w:szCs w:val="20"/>
          <w:lang w:eastAsia="en-GB"/>
        </w:rPr>
        <w:t>5</w:t>
      </w:r>
      <w:r w:rsidRPr="00BE089A">
        <w:rPr>
          <w:rFonts w:cs="Times New Roman"/>
          <w:szCs w:val="20"/>
          <w:lang w:eastAsia="en-GB"/>
        </w:rPr>
        <w:t xml:space="preserve">% were not recommended to any service. </w:t>
      </w:r>
      <w:r w:rsidR="00703E51">
        <w:rPr>
          <w:rFonts w:cs="Times New Roman"/>
          <w:szCs w:val="20"/>
          <w:lang w:eastAsia="en-GB"/>
        </w:rPr>
        <w:t>T</w:t>
      </w:r>
      <w:r w:rsidR="00631CB7">
        <w:rPr>
          <w:rFonts w:cs="Times New Roman"/>
          <w:szCs w:val="20"/>
          <w:lang w:eastAsia="en-GB"/>
        </w:rPr>
        <w:t xml:space="preserve">hese </w:t>
      </w:r>
      <w:r w:rsidR="002C1B3A">
        <w:rPr>
          <w:rFonts w:cs="Times New Roman"/>
          <w:szCs w:val="20"/>
          <w:lang w:eastAsia="en-GB"/>
        </w:rPr>
        <w:t>November</w:t>
      </w:r>
      <w:r w:rsidR="00EC1FD2">
        <w:rPr>
          <w:rFonts w:cs="Times New Roman"/>
          <w:szCs w:val="20"/>
          <w:lang w:eastAsia="en-GB"/>
        </w:rPr>
        <w:t xml:space="preserve"> </w:t>
      </w:r>
      <w:r w:rsidR="004D65C0">
        <w:rPr>
          <w:rFonts w:cs="Times New Roman"/>
          <w:szCs w:val="20"/>
          <w:lang w:eastAsia="en-GB"/>
        </w:rPr>
        <w:t>proportions are the similar to</w:t>
      </w:r>
      <w:r w:rsidR="00703E51">
        <w:rPr>
          <w:rFonts w:cs="Times New Roman"/>
          <w:szCs w:val="20"/>
          <w:lang w:eastAsia="en-GB"/>
        </w:rPr>
        <w:t xml:space="preserve"> the average figures for 2015</w:t>
      </w:r>
      <w:r w:rsidR="006034DE">
        <w:rPr>
          <w:rFonts w:cs="Times New Roman"/>
          <w:szCs w:val="20"/>
          <w:lang w:eastAsia="en-GB"/>
        </w:rPr>
        <w:t>.</w:t>
      </w:r>
    </w:p>
    <w:p w:rsidR="00F55B8A" w:rsidRDefault="00BE089A" w:rsidP="00627A28">
      <w:pPr>
        <w:spacing w:after="240"/>
        <w:rPr>
          <w:rFonts w:cs="Times New Roman"/>
          <w:szCs w:val="20"/>
          <w:lang w:eastAsia="en-GB"/>
        </w:rPr>
      </w:pPr>
      <w:r w:rsidRPr="00BE089A">
        <w:rPr>
          <w:rFonts w:cs="Times New Roman"/>
          <w:szCs w:val="20"/>
          <w:lang w:eastAsia="en-GB"/>
        </w:rPr>
        <w:t>Of calls offered to NHS 111</w:t>
      </w:r>
      <w:r w:rsidR="004D65C0">
        <w:rPr>
          <w:rFonts w:cs="Times New Roman"/>
          <w:szCs w:val="20"/>
          <w:lang w:eastAsia="en-GB"/>
        </w:rPr>
        <w:t xml:space="preserve"> in November</w:t>
      </w:r>
      <w:r w:rsidR="00B513BC">
        <w:rPr>
          <w:rFonts w:cs="Times New Roman"/>
          <w:szCs w:val="20"/>
          <w:lang w:eastAsia="en-GB"/>
        </w:rPr>
        <w:t xml:space="preserve"> 2</w:t>
      </w:r>
      <w:r w:rsidR="00631CB7">
        <w:rPr>
          <w:rFonts w:cs="Times New Roman"/>
          <w:szCs w:val="20"/>
          <w:lang w:eastAsia="en-GB"/>
        </w:rPr>
        <w:t>015</w:t>
      </w:r>
      <w:r w:rsidRPr="00BE089A">
        <w:rPr>
          <w:rFonts w:cs="Times New Roman"/>
          <w:szCs w:val="20"/>
          <w:lang w:eastAsia="en-GB"/>
        </w:rPr>
        <w:t>, the proportion w</w:t>
      </w:r>
      <w:r w:rsidR="00853B09">
        <w:rPr>
          <w:rFonts w:cs="Times New Roman"/>
          <w:szCs w:val="20"/>
          <w:lang w:eastAsia="en-GB"/>
        </w:rPr>
        <w:t xml:space="preserve">here 111 </w:t>
      </w:r>
      <w:proofErr w:type="gramStart"/>
      <w:r w:rsidR="00B513BC">
        <w:rPr>
          <w:rFonts w:cs="Times New Roman"/>
          <w:szCs w:val="20"/>
          <w:lang w:eastAsia="en-GB"/>
        </w:rPr>
        <w:t>was</w:t>
      </w:r>
      <w:proofErr w:type="gramEnd"/>
      <w:r w:rsidR="00B513BC">
        <w:rPr>
          <w:rFonts w:cs="Times New Roman"/>
          <w:szCs w:val="20"/>
          <w:lang w:eastAsia="en-GB"/>
        </w:rPr>
        <w:t xml:space="preserve"> </w:t>
      </w:r>
      <w:r w:rsidR="00853B09">
        <w:rPr>
          <w:rFonts w:cs="Times New Roman"/>
          <w:szCs w:val="20"/>
          <w:lang w:eastAsia="en-GB"/>
        </w:rPr>
        <w:t xml:space="preserve">dialled directly </w:t>
      </w:r>
      <w:r w:rsidR="006034DE">
        <w:rPr>
          <w:rFonts w:cs="Times New Roman"/>
          <w:szCs w:val="20"/>
          <w:lang w:eastAsia="en-GB"/>
        </w:rPr>
        <w:t>was 9</w:t>
      </w:r>
      <w:r w:rsidR="00912FDF">
        <w:rPr>
          <w:rFonts w:cs="Times New Roman"/>
          <w:szCs w:val="20"/>
          <w:lang w:eastAsia="en-GB"/>
        </w:rPr>
        <w:t>8</w:t>
      </w:r>
      <w:r w:rsidR="004D65C0">
        <w:rPr>
          <w:rFonts w:cs="Times New Roman"/>
          <w:szCs w:val="20"/>
          <w:lang w:eastAsia="en-GB"/>
        </w:rPr>
        <w:t>.3</w:t>
      </w:r>
      <w:r w:rsidR="006034DE">
        <w:rPr>
          <w:rFonts w:cs="Times New Roman"/>
          <w:szCs w:val="20"/>
          <w:lang w:eastAsia="en-GB"/>
        </w:rPr>
        <w:t>%</w:t>
      </w:r>
      <w:r w:rsidR="00631CB7">
        <w:rPr>
          <w:rFonts w:cs="Times New Roman"/>
          <w:szCs w:val="20"/>
          <w:lang w:eastAsia="en-GB"/>
        </w:rPr>
        <w:t xml:space="preserve">, </w:t>
      </w:r>
      <w:r w:rsidR="004D65C0">
        <w:rPr>
          <w:rFonts w:cs="Times New Roman"/>
          <w:szCs w:val="20"/>
          <w:lang w:eastAsia="en-GB"/>
        </w:rPr>
        <w:t>the highest figure since the service began.</w:t>
      </w:r>
    </w:p>
    <w:p w:rsidR="00EB7742" w:rsidRPr="00EB7742" w:rsidRDefault="00EB7742" w:rsidP="00EB7742">
      <w:pPr>
        <w:pStyle w:val="Heading4"/>
      </w:pPr>
      <w:r w:rsidRPr="00EB7742">
        <w:t>Survey data for April 2015 to September 2015</w:t>
      </w:r>
    </w:p>
    <w:p w:rsidR="00EB7742" w:rsidRPr="00EB7742" w:rsidRDefault="00EB7742" w:rsidP="00EB7742">
      <w:pPr>
        <w:spacing w:after="240"/>
        <w:rPr>
          <w:rFonts w:cs="Times New Roman"/>
          <w:szCs w:val="24"/>
          <w:lang w:eastAsia="en-GB"/>
        </w:rPr>
      </w:pPr>
      <w:r w:rsidRPr="00EB7742">
        <w:rPr>
          <w:rFonts w:cs="Times New Roman"/>
          <w:szCs w:val="24"/>
          <w:lang w:eastAsia="en-GB"/>
        </w:rPr>
        <w:t xml:space="preserve">NHS 111 providers are expected to </w:t>
      </w:r>
      <w:r w:rsidR="00BD305F">
        <w:rPr>
          <w:rFonts w:cs="Times New Roman"/>
          <w:szCs w:val="24"/>
          <w:lang w:eastAsia="en-GB"/>
        </w:rPr>
        <w:t xml:space="preserve">supply their </w:t>
      </w:r>
      <w:r w:rsidRPr="00EB7742">
        <w:rPr>
          <w:rFonts w:cs="Times New Roman"/>
          <w:szCs w:val="24"/>
          <w:lang w:eastAsia="en-GB"/>
        </w:rPr>
        <w:t xml:space="preserve">patient survey </w:t>
      </w:r>
      <w:r w:rsidR="00BD305F">
        <w:rPr>
          <w:rFonts w:cs="Times New Roman"/>
          <w:szCs w:val="24"/>
          <w:lang w:eastAsia="en-GB"/>
        </w:rPr>
        <w:t xml:space="preserve">data to NHS England </w:t>
      </w:r>
      <w:r w:rsidRPr="00EB7742">
        <w:rPr>
          <w:rFonts w:cs="Times New Roman"/>
          <w:szCs w:val="24"/>
          <w:lang w:eastAsia="en-GB"/>
        </w:rPr>
        <w:t>every</w:t>
      </w:r>
      <w:r w:rsidR="00BD305F">
        <w:rPr>
          <w:rFonts w:cs="Times New Roman"/>
          <w:szCs w:val="24"/>
          <w:lang w:eastAsia="en-GB"/>
        </w:rPr>
        <w:t xml:space="preserve"> six </w:t>
      </w:r>
      <w:r w:rsidRPr="00EB7742">
        <w:rPr>
          <w:rFonts w:cs="Times New Roman"/>
          <w:szCs w:val="24"/>
          <w:lang w:eastAsia="en-GB"/>
        </w:rPr>
        <w:t xml:space="preserve">months for each area they provide services for. The sample size for each </w:t>
      </w:r>
      <w:r w:rsidRPr="00EB7742">
        <w:rPr>
          <w:rFonts w:cs="Times New Roman"/>
          <w:szCs w:val="24"/>
          <w:lang w:eastAsia="en-GB"/>
        </w:rPr>
        <w:lastRenderedPageBreak/>
        <w:t>of the areas is expected to be a minimum of 200. Data was submitted for 4</w:t>
      </w:r>
      <w:r w:rsidR="00A0465A">
        <w:rPr>
          <w:rFonts w:cs="Times New Roman"/>
          <w:szCs w:val="24"/>
          <w:lang w:eastAsia="en-GB"/>
        </w:rPr>
        <w:t>4</w:t>
      </w:r>
      <w:r w:rsidR="001C6D25">
        <w:rPr>
          <w:rStyle w:val="FootnoteReference"/>
          <w:rFonts w:cs="Times New Roman"/>
          <w:szCs w:val="24"/>
          <w:lang w:eastAsia="en-GB"/>
        </w:rPr>
        <w:footnoteReference w:id="1"/>
      </w:r>
      <w:r w:rsidRPr="00EB7742">
        <w:rPr>
          <w:rFonts w:cs="Times New Roman"/>
          <w:szCs w:val="24"/>
          <w:lang w:eastAsia="en-GB"/>
        </w:rPr>
        <w:t xml:space="preserve"> of the 4</w:t>
      </w:r>
      <w:r w:rsidR="00A0465A">
        <w:rPr>
          <w:rFonts w:cs="Times New Roman"/>
          <w:szCs w:val="24"/>
          <w:lang w:eastAsia="en-GB"/>
        </w:rPr>
        <w:t>5</w:t>
      </w:r>
      <w:r w:rsidRPr="00EB7742">
        <w:rPr>
          <w:rFonts w:cs="Times New Roman"/>
          <w:szCs w:val="24"/>
          <w:lang w:eastAsia="en-GB"/>
        </w:rPr>
        <w:t xml:space="preserve"> NHS 111 areas for the period April 2015 to September 2015. The number of respondents by NHS 11</w:t>
      </w:r>
      <w:r w:rsidR="0011686F">
        <w:rPr>
          <w:rFonts w:cs="Times New Roman"/>
          <w:szCs w:val="24"/>
          <w:lang w:eastAsia="en-GB"/>
        </w:rPr>
        <w:t>1 area ranged from 48 to 1327. 16</w:t>
      </w:r>
      <w:r w:rsidRPr="00EB7742">
        <w:rPr>
          <w:rFonts w:cs="Times New Roman"/>
          <w:szCs w:val="24"/>
          <w:lang w:eastAsia="en-GB"/>
        </w:rPr>
        <w:t xml:space="preserve"> areas had greater than 200 survey responses. </w:t>
      </w:r>
    </w:p>
    <w:p w:rsidR="00EB7742" w:rsidRPr="00EB7742" w:rsidRDefault="001C6D25" w:rsidP="00EB7742">
      <w:pPr>
        <w:spacing w:after="240"/>
        <w:rPr>
          <w:rFonts w:cs="Times New Roman"/>
          <w:szCs w:val="24"/>
          <w:lang w:eastAsia="en-GB"/>
        </w:rPr>
      </w:pPr>
      <w:r>
        <w:rPr>
          <w:rFonts w:cs="Times New Roman"/>
          <w:szCs w:val="24"/>
          <w:lang w:eastAsia="en-GB"/>
        </w:rPr>
        <w:t>The total number of survey responses supplied for</w:t>
      </w:r>
      <w:r w:rsidR="00EB7742" w:rsidRPr="00EB7742">
        <w:rPr>
          <w:rFonts w:cs="Times New Roman"/>
          <w:szCs w:val="24"/>
          <w:lang w:eastAsia="en-GB"/>
        </w:rPr>
        <w:t xml:space="preserve"> England</w:t>
      </w:r>
      <w:r w:rsidRPr="001C6D25">
        <w:rPr>
          <w:rFonts w:cs="Times New Roman"/>
          <w:szCs w:val="24"/>
          <w:vertAlign w:val="superscript"/>
          <w:lang w:eastAsia="en-GB"/>
        </w:rPr>
        <w:t>1</w:t>
      </w:r>
      <w:r w:rsidR="00EB7742" w:rsidRPr="00EB7742">
        <w:rPr>
          <w:rFonts w:cs="Times New Roman"/>
          <w:szCs w:val="24"/>
          <w:lang w:eastAsia="en-GB"/>
        </w:rPr>
        <w:t xml:space="preserve"> </w:t>
      </w:r>
      <w:r w:rsidR="00877BED" w:rsidRPr="00EB7742">
        <w:rPr>
          <w:rFonts w:cs="Times New Roman"/>
          <w:szCs w:val="24"/>
          <w:lang w:eastAsia="en-GB"/>
        </w:rPr>
        <w:t>was 12,185</w:t>
      </w:r>
      <w:r w:rsidR="00877BED">
        <w:rPr>
          <w:rFonts w:cs="Times New Roman"/>
          <w:szCs w:val="24"/>
          <w:lang w:eastAsia="en-GB"/>
        </w:rPr>
        <w:t xml:space="preserve"> </w:t>
      </w:r>
      <w:r w:rsidR="00EB7742" w:rsidRPr="00EB7742">
        <w:rPr>
          <w:rFonts w:cs="Times New Roman"/>
          <w:szCs w:val="24"/>
          <w:lang w:eastAsia="en-GB"/>
        </w:rPr>
        <w:t>for the period</w:t>
      </w:r>
      <w:r w:rsidR="006D2259">
        <w:rPr>
          <w:rFonts w:cs="Times New Roman"/>
          <w:szCs w:val="24"/>
          <w:lang w:eastAsia="en-GB"/>
        </w:rPr>
        <w:t>.</w:t>
      </w:r>
    </w:p>
    <w:p w:rsidR="00EB7742" w:rsidRPr="00EB7742" w:rsidRDefault="00EB7742" w:rsidP="00EB7742">
      <w:pPr>
        <w:spacing w:after="240"/>
        <w:rPr>
          <w:rFonts w:cs="Times New Roman"/>
          <w:szCs w:val="24"/>
          <w:lang w:eastAsia="en-GB"/>
        </w:rPr>
      </w:pPr>
      <w:r w:rsidRPr="00EB7742">
        <w:rPr>
          <w:rFonts w:cs="Times New Roman"/>
          <w:szCs w:val="24"/>
          <w:lang w:eastAsia="en-GB"/>
        </w:rPr>
        <w:t xml:space="preserve">Of survey respondents between April and September 2015 inclusive that expressed a view, 90.4% were either very or fairly satisfied, slightly up on that reported in the </w:t>
      </w:r>
      <w:r w:rsidR="00484127">
        <w:rPr>
          <w:rFonts w:cs="Times New Roman"/>
          <w:szCs w:val="24"/>
          <w:lang w:eastAsia="en-GB"/>
        </w:rPr>
        <w:t>two previous six-</w:t>
      </w:r>
      <w:r w:rsidRPr="00EB7742">
        <w:rPr>
          <w:rFonts w:cs="Times New Roman"/>
          <w:szCs w:val="24"/>
          <w:lang w:eastAsia="en-GB"/>
        </w:rPr>
        <w:t>month periods.</w:t>
      </w:r>
    </w:p>
    <w:p w:rsidR="00EB7742" w:rsidRPr="00EB7742" w:rsidRDefault="00EB7742" w:rsidP="00EB7742">
      <w:pPr>
        <w:spacing w:after="240"/>
        <w:rPr>
          <w:rFonts w:cs="Times New Roman"/>
          <w:szCs w:val="24"/>
          <w:lang w:eastAsia="en-GB"/>
        </w:rPr>
      </w:pPr>
      <w:r w:rsidRPr="00EB7742">
        <w:rPr>
          <w:rFonts w:cs="Times New Roman"/>
          <w:szCs w:val="24"/>
          <w:lang w:eastAsia="en-GB"/>
        </w:rPr>
        <w:t>I</w:t>
      </w:r>
      <w:r w:rsidR="0027072F">
        <w:rPr>
          <w:rFonts w:cs="Times New Roman"/>
          <w:szCs w:val="24"/>
          <w:lang w:eastAsia="en-GB"/>
        </w:rPr>
        <w:t>f 111 had not been available, 1</w:t>
      </w:r>
      <w:r w:rsidR="009C4F7F">
        <w:rPr>
          <w:rFonts w:cs="Times New Roman"/>
          <w:szCs w:val="24"/>
          <w:lang w:eastAsia="en-GB"/>
        </w:rPr>
        <w:t>9</w:t>
      </w:r>
      <w:r w:rsidR="0080308A">
        <w:rPr>
          <w:rFonts w:cs="Times New Roman"/>
          <w:szCs w:val="24"/>
          <w:lang w:eastAsia="en-GB"/>
        </w:rPr>
        <w:t>.2</w:t>
      </w:r>
      <w:r w:rsidRPr="00EB7742">
        <w:rPr>
          <w:rFonts w:cs="Times New Roman"/>
          <w:szCs w:val="24"/>
          <w:lang w:eastAsia="en-GB"/>
        </w:rPr>
        <w:t xml:space="preserve">% of April 2015 to September 2015 respondents would have contacted the 999 ambulance service, </w:t>
      </w:r>
      <w:r w:rsidR="009C4F7F">
        <w:rPr>
          <w:rFonts w:cs="Times New Roman"/>
          <w:szCs w:val="24"/>
          <w:lang w:eastAsia="en-GB"/>
        </w:rPr>
        <w:t>increased from 17</w:t>
      </w:r>
      <w:r w:rsidR="0080308A">
        <w:rPr>
          <w:rFonts w:cs="Times New Roman"/>
          <w:szCs w:val="24"/>
          <w:lang w:eastAsia="en-GB"/>
        </w:rPr>
        <w:t>.4</w:t>
      </w:r>
      <w:r w:rsidR="009C4F7F">
        <w:rPr>
          <w:rFonts w:cs="Times New Roman"/>
          <w:szCs w:val="24"/>
          <w:lang w:eastAsia="en-GB"/>
        </w:rPr>
        <w:t xml:space="preserve">% </w:t>
      </w:r>
      <w:r w:rsidR="0080308A">
        <w:rPr>
          <w:rFonts w:cs="Times New Roman"/>
          <w:szCs w:val="24"/>
          <w:lang w:eastAsia="en-GB"/>
        </w:rPr>
        <w:t xml:space="preserve">on </w:t>
      </w:r>
      <w:r w:rsidR="003660AE">
        <w:rPr>
          <w:rFonts w:cs="Times New Roman"/>
          <w:szCs w:val="24"/>
          <w:lang w:eastAsia="en-GB"/>
        </w:rPr>
        <w:t xml:space="preserve">the previous </w:t>
      </w:r>
      <w:r w:rsidR="00AA6617">
        <w:rPr>
          <w:rFonts w:cs="Times New Roman"/>
          <w:szCs w:val="24"/>
          <w:lang w:eastAsia="en-GB"/>
        </w:rPr>
        <w:t>six month survey</w:t>
      </w:r>
      <w:r w:rsidR="003660AE">
        <w:rPr>
          <w:rFonts w:cs="Times New Roman"/>
          <w:szCs w:val="24"/>
          <w:lang w:eastAsia="en-GB"/>
        </w:rPr>
        <w:t xml:space="preserve">. </w:t>
      </w:r>
      <w:r w:rsidRPr="00EB7742">
        <w:rPr>
          <w:rFonts w:cs="Times New Roman"/>
          <w:szCs w:val="24"/>
          <w:lang w:eastAsia="en-GB"/>
        </w:rPr>
        <w:t xml:space="preserve">The proportion who would have contacted A&amp;E </w:t>
      </w:r>
      <w:r w:rsidR="003660AE">
        <w:rPr>
          <w:rFonts w:cs="Times New Roman"/>
          <w:szCs w:val="24"/>
          <w:lang w:eastAsia="en-GB"/>
        </w:rPr>
        <w:t xml:space="preserve">also slightly increased </w:t>
      </w:r>
      <w:r w:rsidRPr="00EB7742">
        <w:rPr>
          <w:rFonts w:cs="Times New Roman"/>
          <w:szCs w:val="24"/>
          <w:lang w:eastAsia="en-GB"/>
        </w:rPr>
        <w:t>to 28</w:t>
      </w:r>
      <w:r w:rsidR="00BD305F">
        <w:rPr>
          <w:rFonts w:cs="Times New Roman"/>
          <w:szCs w:val="24"/>
          <w:lang w:eastAsia="en-GB"/>
        </w:rPr>
        <w:t>.0</w:t>
      </w:r>
      <w:r w:rsidRPr="00EB7742">
        <w:rPr>
          <w:rFonts w:cs="Times New Roman"/>
          <w:szCs w:val="24"/>
          <w:lang w:eastAsia="en-GB"/>
        </w:rPr>
        <w:t xml:space="preserve">% from the </w:t>
      </w:r>
      <w:r w:rsidR="00B440D0">
        <w:rPr>
          <w:rFonts w:cs="Times New Roman"/>
          <w:szCs w:val="24"/>
          <w:lang w:eastAsia="en-GB"/>
        </w:rPr>
        <w:t>26.5</w:t>
      </w:r>
      <w:r w:rsidRPr="00EB7742">
        <w:rPr>
          <w:rFonts w:cs="Times New Roman"/>
          <w:szCs w:val="24"/>
          <w:lang w:eastAsia="en-GB"/>
        </w:rPr>
        <w:t xml:space="preserve">% reported in the previous </w:t>
      </w:r>
      <w:r w:rsidR="00BD305F">
        <w:rPr>
          <w:rFonts w:cs="Times New Roman"/>
          <w:szCs w:val="24"/>
          <w:lang w:eastAsia="en-GB"/>
        </w:rPr>
        <w:t xml:space="preserve">six </w:t>
      </w:r>
      <w:r w:rsidRPr="00EB7742">
        <w:rPr>
          <w:rFonts w:cs="Times New Roman"/>
          <w:szCs w:val="24"/>
          <w:lang w:eastAsia="en-GB"/>
        </w:rPr>
        <w:t>mon</w:t>
      </w:r>
      <w:r w:rsidR="00AA6617">
        <w:rPr>
          <w:rFonts w:cs="Times New Roman"/>
          <w:szCs w:val="24"/>
          <w:lang w:eastAsia="en-GB"/>
        </w:rPr>
        <w:t>ths. The proportion of respondents that</w:t>
      </w:r>
      <w:r w:rsidRPr="00EB7742">
        <w:rPr>
          <w:rFonts w:cs="Times New Roman"/>
          <w:szCs w:val="24"/>
          <w:lang w:eastAsia="en-GB"/>
        </w:rPr>
        <w:t xml:space="preserve"> would have not used any service</w:t>
      </w:r>
      <w:r w:rsidR="00AA6617">
        <w:rPr>
          <w:rFonts w:cs="Times New Roman"/>
          <w:szCs w:val="24"/>
          <w:lang w:eastAsia="en-GB"/>
        </w:rPr>
        <w:t>,</w:t>
      </w:r>
      <w:r w:rsidRPr="00EB7742">
        <w:rPr>
          <w:rFonts w:cs="Times New Roman"/>
          <w:szCs w:val="24"/>
          <w:lang w:eastAsia="en-GB"/>
        </w:rPr>
        <w:t xml:space="preserve"> decreased to 6.0%</w:t>
      </w:r>
      <w:r w:rsidR="00B440D0">
        <w:rPr>
          <w:rFonts w:cs="Times New Roman"/>
          <w:szCs w:val="24"/>
          <w:lang w:eastAsia="en-GB"/>
        </w:rPr>
        <w:t xml:space="preserve"> from 9.5%</w:t>
      </w:r>
      <w:r w:rsidRPr="00EB7742">
        <w:rPr>
          <w:rFonts w:cs="Times New Roman"/>
          <w:szCs w:val="24"/>
          <w:lang w:eastAsia="en-GB"/>
        </w:rPr>
        <w:t>.</w:t>
      </w:r>
    </w:p>
    <w:p w:rsidR="0063709F" w:rsidRDefault="00EB7742" w:rsidP="00EB7742">
      <w:pPr>
        <w:spacing w:after="240"/>
        <w:rPr>
          <w:rFonts w:cs="Times New Roman"/>
          <w:szCs w:val="24"/>
          <w:lang w:eastAsia="en-GB"/>
        </w:rPr>
      </w:pPr>
      <w:r w:rsidRPr="00EB7742">
        <w:rPr>
          <w:rFonts w:cs="Times New Roman"/>
          <w:szCs w:val="24"/>
          <w:lang w:eastAsia="en-GB"/>
        </w:rPr>
        <w:t>Considering the data supplied for the full year period (October 2014 to March 2015 and April to September 2015 surveys), 18.2% of patients reported they would have called for an ambulance and 27.2% would have</w:t>
      </w:r>
      <w:r w:rsidR="0063709F">
        <w:rPr>
          <w:rFonts w:cs="Times New Roman"/>
          <w:szCs w:val="24"/>
          <w:lang w:eastAsia="en-GB"/>
        </w:rPr>
        <w:t xml:space="preserve"> attended A&amp;E. </w:t>
      </w:r>
      <w:r w:rsidR="007B4920">
        <w:rPr>
          <w:rFonts w:cs="Times New Roman"/>
          <w:szCs w:val="24"/>
          <w:lang w:eastAsia="en-GB"/>
        </w:rPr>
        <w:t>However, for 10.8</w:t>
      </w:r>
      <w:r w:rsidRPr="00EB7742">
        <w:rPr>
          <w:rFonts w:cs="Times New Roman"/>
          <w:szCs w:val="24"/>
          <w:lang w:eastAsia="en-GB"/>
        </w:rPr>
        <w:t>% of triaged calls an ambulance was dispatched by the NHS 111 s</w:t>
      </w:r>
      <w:r w:rsidR="007B4920">
        <w:rPr>
          <w:rFonts w:cs="Times New Roman"/>
          <w:szCs w:val="24"/>
          <w:lang w:eastAsia="en-GB"/>
        </w:rPr>
        <w:t>ervice and in 8.0</w:t>
      </w:r>
      <w:r w:rsidR="008B6876">
        <w:rPr>
          <w:rFonts w:cs="Times New Roman"/>
          <w:szCs w:val="24"/>
          <w:lang w:eastAsia="en-GB"/>
        </w:rPr>
        <w:t xml:space="preserve">% of calls the caller was </w:t>
      </w:r>
      <w:r w:rsidRPr="00EB7742">
        <w:rPr>
          <w:rFonts w:cs="Times New Roman"/>
          <w:szCs w:val="24"/>
          <w:lang w:eastAsia="en-GB"/>
        </w:rPr>
        <w:t xml:space="preserve">advised to attend A&amp;E.  </w:t>
      </w:r>
    </w:p>
    <w:p w:rsidR="00EB7742" w:rsidRPr="00EB7742" w:rsidRDefault="00EB7742" w:rsidP="00EB7742">
      <w:pPr>
        <w:spacing w:after="240"/>
        <w:rPr>
          <w:rFonts w:cs="Arial"/>
          <w:szCs w:val="24"/>
        </w:rPr>
      </w:pPr>
      <w:r w:rsidRPr="00EB7742">
        <w:rPr>
          <w:rFonts w:cs="Times New Roman"/>
          <w:szCs w:val="24"/>
          <w:lang w:eastAsia="en-GB"/>
        </w:rPr>
        <w:t>In the year period October 2014 to September 2015, 10.7 million calls were triaged. From this we can estimate the impact of the 111 service</w:t>
      </w:r>
      <w:r w:rsidR="0063709F">
        <w:rPr>
          <w:rFonts w:cs="Times New Roman"/>
          <w:szCs w:val="24"/>
          <w:lang w:eastAsia="en-GB"/>
        </w:rPr>
        <w:t xml:space="preserve">. </w:t>
      </w:r>
      <w:r w:rsidRPr="00EB7742">
        <w:rPr>
          <w:rFonts w:cs="Times New Roman"/>
          <w:szCs w:val="24"/>
          <w:lang w:eastAsia="en-GB"/>
        </w:rPr>
        <w:t>T</w:t>
      </w:r>
      <w:r w:rsidRPr="00EB7742">
        <w:rPr>
          <w:color w:val="000000" w:themeColor="text1"/>
          <w:szCs w:val="24"/>
        </w:rPr>
        <w:t>he differences</w:t>
      </w:r>
      <w:r w:rsidR="005D60D7">
        <w:rPr>
          <w:color w:val="000000" w:themeColor="text1"/>
          <w:szCs w:val="24"/>
        </w:rPr>
        <w:t xml:space="preserve"> mean</w:t>
      </w:r>
      <w:bookmarkStart w:id="0" w:name="_GoBack"/>
      <w:bookmarkEnd w:id="0"/>
      <w:r w:rsidR="008B6876">
        <w:rPr>
          <w:color w:val="000000" w:themeColor="text1"/>
          <w:szCs w:val="24"/>
        </w:rPr>
        <w:t xml:space="preserve"> that due to availability of the NHS 111 service,</w:t>
      </w:r>
      <w:r w:rsidR="00813E8B">
        <w:rPr>
          <w:color w:val="000000" w:themeColor="text1"/>
          <w:szCs w:val="24"/>
        </w:rPr>
        <w:t xml:space="preserve"> </w:t>
      </w:r>
      <w:r w:rsidR="006D61F8">
        <w:rPr>
          <w:color w:val="000000" w:themeColor="text1"/>
          <w:szCs w:val="24"/>
        </w:rPr>
        <w:t xml:space="preserve">about </w:t>
      </w:r>
      <w:r w:rsidR="00813E8B">
        <w:rPr>
          <w:color w:val="000000" w:themeColor="text1"/>
          <w:szCs w:val="24"/>
        </w:rPr>
        <w:t>2.1</w:t>
      </w:r>
      <w:r w:rsidRPr="00EB7742">
        <w:rPr>
          <w:color w:val="000000" w:themeColor="text1"/>
          <w:szCs w:val="24"/>
        </w:rPr>
        <w:t xml:space="preserve"> million people that year were</w:t>
      </w:r>
      <w:r w:rsidR="00813E8B">
        <w:rPr>
          <w:color w:val="000000" w:themeColor="text1"/>
          <w:szCs w:val="24"/>
        </w:rPr>
        <w:t xml:space="preserve"> directed away from A&amp;E, and </w:t>
      </w:r>
      <w:r w:rsidR="006D61F8">
        <w:rPr>
          <w:color w:val="000000" w:themeColor="text1"/>
          <w:szCs w:val="24"/>
        </w:rPr>
        <w:t xml:space="preserve">about </w:t>
      </w:r>
      <w:r w:rsidR="00813E8B">
        <w:rPr>
          <w:color w:val="000000" w:themeColor="text1"/>
          <w:szCs w:val="24"/>
        </w:rPr>
        <w:t>800</w:t>
      </w:r>
      <w:r w:rsidRPr="00EB7742">
        <w:rPr>
          <w:color w:val="000000" w:themeColor="text1"/>
          <w:szCs w:val="24"/>
        </w:rPr>
        <w:t>,000 were directed away from calling an ambulance.</w:t>
      </w:r>
    </w:p>
    <w:p w:rsidR="00EB7742" w:rsidRDefault="00EB7742" w:rsidP="00627A28">
      <w:pPr>
        <w:spacing w:after="240"/>
        <w:rPr>
          <w:rFonts w:cs="Times New Roman"/>
          <w:szCs w:val="20"/>
          <w:lang w:eastAsia="en-GB"/>
        </w:rPr>
      </w:pPr>
    </w:p>
    <w:p w:rsidR="0012190C" w:rsidRPr="00CC6259" w:rsidRDefault="006A7027" w:rsidP="00627A28">
      <w:pPr>
        <w:spacing w:after="240"/>
        <w:rPr>
          <w:rFonts w:cs="Times New Roman"/>
          <w:szCs w:val="20"/>
          <w:lang w:eastAsia="en-GB"/>
        </w:rPr>
        <w:sectPr w:rsidR="0012190C" w:rsidRPr="00CC6259" w:rsidSect="007D75E6">
          <w:footerReference w:type="default" r:id="rId10"/>
          <w:pgSz w:w="11906" w:h="16838"/>
          <w:pgMar w:top="1440" w:right="1440" w:bottom="1440" w:left="1440" w:header="709" w:footer="709" w:gutter="0"/>
          <w:cols w:space="708"/>
          <w:docGrid w:linePitch="360"/>
        </w:sectPr>
      </w:pPr>
      <w:r>
        <w:rPr>
          <w:rFonts w:cs="Times New Roman"/>
          <w:szCs w:val="20"/>
          <w:lang w:eastAsia="en-GB"/>
        </w:rPr>
        <w:t xml:space="preserve"> </w:t>
      </w:r>
    </w:p>
    <w:p w:rsidR="0012190C" w:rsidRDefault="00F406E9" w:rsidP="00E33BE2">
      <w:pPr>
        <w:rPr>
          <w:rFonts w:cs="Arial"/>
          <w:b/>
          <w:sz w:val="36"/>
          <w:szCs w:val="36"/>
        </w:rPr>
      </w:pPr>
      <w:r w:rsidRPr="00F406E9">
        <w:rPr>
          <w:noProof/>
          <w:lang w:eastAsia="en-GB"/>
        </w:rPr>
        <w:lastRenderedPageBreak/>
        <w:drawing>
          <wp:inline distT="0" distB="0" distL="0" distR="0">
            <wp:extent cx="8655050" cy="5752465"/>
            <wp:effectExtent l="0" t="0" r="0" b="635"/>
            <wp:docPr id="5" name="Picture 5" descr="3 separate charts; first chart shows a time series with total calls offered, those answered in 60 seconds and those abandoned after waiting more than 60 seconds. Second chart shows proportion of calls answered in 60 seconds over the whole time period, shown at both a national and regional level. Third chart shows the proportion of calls abandoned after waiting more than 30 seconds, again reported for whole time period and presented at both national and regional level." title="NHS 111 volume and access issues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0" cy="5752465"/>
                    </a:xfrm>
                    <a:prstGeom prst="rect">
                      <a:avLst/>
                    </a:prstGeom>
                    <a:noFill/>
                    <a:ln>
                      <a:noFill/>
                    </a:ln>
                  </pic:spPr>
                </pic:pic>
              </a:graphicData>
            </a:graphic>
          </wp:inline>
        </w:drawing>
      </w:r>
    </w:p>
    <w:p w:rsidR="00E567D1" w:rsidRPr="000F6DA4" w:rsidRDefault="00F406E9" w:rsidP="00E5245B">
      <w:pPr>
        <w:rPr>
          <w:rFonts w:cs="Arial"/>
          <w:b/>
          <w:sz w:val="36"/>
          <w:szCs w:val="36"/>
          <w:u w:val="single"/>
        </w:rPr>
      </w:pPr>
      <w:r w:rsidRPr="00F406E9">
        <w:rPr>
          <w:noProof/>
          <w:lang w:eastAsia="en-GB"/>
        </w:rPr>
        <w:lastRenderedPageBreak/>
        <w:drawing>
          <wp:inline distT="0" distB="0" distL="0" distR="0">
            <wp:extent cx="8655050" cy="5688330"/>
            <wp:effectExtent l="0" t="0" r="0" b="7620"/>
            <wp:docPr id="7" name="Picture 7" descr="4 separate charts showing the following indicator performance over the total available time period, presented at both national and regional level.&#10;1. Of calls answered, proportion triaged.&#10;2. Of calls answered, proportion leading to call backs from the 111 service.&#10;3. Of calls answered, proportion transferred to clinical advisor.&#10;4. Average episode length in minutes and seconds.&#10;" title="4 charts showing various call handling measures for commissioning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5050" cy="5688330"/>
                    </a:xfrm>
                    <a:prstGeom prst="rect">
                      <a:avLst/>
                    </a:prstGeom>
                    <a:noFill/>
                    <a:ln>
                      <a:noFill/>
                    </a:ln>
                  </pic:spPr>
                </pic:pic>
              </a:graphicData>
            </a:graphic>
          </wp:inline>
        </w:drawing>
      </w:r>
    </w:p>
    <w:p w:rsidR="00387B60" w:rsidRDefault="00F406E9" w:rsidP="00F425E4">
      <w:pPr>
        <w:ind w:firstLine="142"/>
        <w:rPr>
          <w:rFonts w:cs="Arial"/>
          <w:b/>
          <w:noProof/>
          <w:sz w:val="28"/>
          <w:lang w:eastAsia="en-GB"/>
        </w:rPr>
      </w:pPr>
      <w:r>
        <w:rPr>
          <w:rFonts w:cs="Arial"/>
          <w:b/>
          <w:noProof/>
          <w:sz w:val="28"/>
          <w:lang w:eastAsia="en-GB"/>
        </w:rPr>
        <w:lastRenderedPageBreak/>
        <w:drawing>
          <wp:inline distT="0" distB="0" distL="0" distR="0" wp14:anchorId="31C568FF">
            <wp:extent cx="9211945" cy="5621020"/>
            <wp:effectExtent l="0" t="0" r="8255" b="0"/>
            <wp:docPr id="9" name="Picture 9" descr="Dispositions immediately following a NHS 111 shown as a proportion of all calls triaged in whole time period, presented at national and commissioning region level. Options for disposition include; ambulance dispatch, A&amp;E recommended, primary care recommended, other service recommended and no service recommended" title="Dispositions immediately following a NHS 111 shown as a proportion of all calls triaged, presented at national and commissioning region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11945" cy="5621020"/>
                    </a:xfrm>
                    <a:prstGeom prst="rect">
                      <a:avLst/>
                    </a:prstGeom>
                    <a:noFill/>
                  </pic:spPr>
                </pic:pic>
              </a:graphicData>
            </a:graphic>
          </wp:inline>
        </w:drawing>
      </w:r>
    </w:p>
    <w:p w:rsidR="009F4257" w:rsidRDefault="008D0263" w:rsidP="00F425E4">
      <w:pPr>
        <w:ind w:firstLine="142"/>
        <w:rPr>
          <w:rFonts w:cs="Arial"/>
          <w:b/>
          <w:noProof/>
          <w:sz w:val="28"/>
          <w:lang w:eastAsia="en-GB"/>
        </w:rPr>
      </w:pPr>
      <w:r w:rsidRPr="008D0263">
        <w:rPr>
          <w:noProof/>
          <w:lang w:eastAsia="en-GB"/>
        </w:rPr>
        <w:lastRenderedPageBreak/>
        <w:drawing>
          <wp:inline distT="0" distB="0" distL="0" distR="0">
            <wp:extent cx="8655050" cy="5815965"/>
            <wp:effectExtent l="0" t="0" r="0" b="0"/>
            <wp:docPr id="10" name="Picture 10" descr="4 separate charts showing the following indicator performance presented as a national monthly time series&#10;1. Calls per month per 1,000 people.&#10;2. Of calls offered, proportion abandoned after at least 30 seconds.&#10;3.Calls via 111 per month per1,000 people&#10;4. Of calls answered, percentage in 60 seconds&#10;" title="4 charts showing monthly time series of call volume and access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815965"/>
                    </a:xfrm>
                    <a:prstGeom prst="rect">
                      <a:avLst/>
                    </a:prstGeom>
                    <a:noFill/>
                    <a:ln>
                      <a:noFill/>
                    </a:ln>
                  </pic:spPr>
                </pic:pic>
              </a:graphicData>
            </a:graphic>
          </wp:inline>
        </w:drawing>
      </w:r>
    </w:p>
    <w:p w:rsidR="00CB5F09" w:rsidRDefault="00F87ABE" w:rsidP="00F425E4">
      <w:pPr>
        <w:ind w:firstLine="142"/>
        <w:rPr>
          <w:rFonts w:cs="Arial"/>
          <w:b/>
          <w:noProof/>
          <w:sz w:val="28"/>
          <w:lang w:eastAsia="en-GB"/>
        </w:rPr>
      </w:pPr>
      <w:r w:rsidRPr="00F87ABE">
        <w:rPr>
          <w:noProof/>
          <w:lang w:eastAsia="en-GB"/>
        </w:rPr>
        <w:lastRenderedPageBreak/>
        <w:drawing>
          <wp:inline distT="0" distB="0" distL="0" distR="0">
            <wp:extent cx="8655050" cy="5720080"/>
            <wp:effectExtent l="0" t="0" r="0" b="0"/>
            <wp:docPr id="11" name="Picture 11" descr="4 separate charts showing the following indicator performance presented as a national monthly time series&#10;1. Of calls answered, proportion triaged.&#10;2. Of calls answered, proportion leading to a call back.&#10;3. Of calls answered, proportion transferred to a clinical advisor.&#10;4. Average episode length, in minutes and seconds.&#10;" title="4 charts showing monthly time series of call handling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5050" cy="5720080"/>
                    </a:xfrm>
                    <a:prstGeom prst="rect">
                      <a:avLst/>
                    </a:prstGeom>
                    <a:noFill/>
                    <a:ln>
                      <a:noFill/>
                    </a:ln>
                  </pic:spPr>
                </pic:pic>
              </a:graphicData>
            </a:graphic>
          </wp:inline>
        </w:drawing>
      </w:r>
    </w:p>
    <w:p w:rsidR="009D6A47" w:rsidRDefault="00F87ABE" w:rsidP="001E0595">
      <w:pPr>
        <w:rPr>
          <w:noProof/>
          <w:lang w:eastAsia="en-GB"/>
        </w:rPr>
      </w:pPr>
      <w:r>
        <w:rPr>
          <w:noProof/>
          <w:lang w:eastAsia="en-GB"/>
        </w:rPr>
        <w:lastRenderedPageBreak/>
        <w:drawing>
          <wp:inline distT="0" distB="0" distL="0" distR="0" wp14:anchorId="41C30D88">
            <wp:extent cx="9217660" cy="5657850"/>
            <wp:effectExtent l="0" t="0" r="2540" b="0"/>
            <wp:docPr id="13" name="Picture 13" descr="Dispositions immediately following a NHS 111 shown as a proportion of all calls triaged presented as a monthly time series. Options for disposition include; ambulance dispatch, A&amp;E recommended, primary care recommended, other service recommended and no service recommended." title="Dispositions immediately following a NHS 111 call shown as a proportion of all calls triaged, presented as a monthly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17660" cy="5657850"/>
                    </a:xfrm>
                    <a:prstGeom prst="rect">
                      <a:avLst/>
                    </a:prstGeom>
                    <a:noFill/>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 xml:space="preserve">in the </w:t>
      </w:r>
      <w:r w:rsidR="009C5DEF">
        <w:t>10 December</w:t>
      </w:r>
      <w:r w:rsidR="005D3753">
        <w:t xml:space="preserve"> </w:t>
      </w:r>
      <w:r>
        <w:t>2015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The Government Statistical Service (GSS) statistician responsible for these data is:</w:t>
      </w:r>
    </w:p>
    <w:p w:rsidR="007D75E6" w:rsidRDefault="001A6CEA" w:rsidP="00CC6259">
      <w:pPr>
        <w:pStyle w:val="NoSpacing"/>
      </w:pPr>
      <w:r w:rsidRPr="001A6CEA">
        <w:t>Ian Kay, Operational Information for Commissioning (National)</w:t>
      </w:r>
      <w:r w:rsidR="00AE4C4B">
        <w:t>,</w:t>
      </w:r>
    </w:p>
    <w:p w:rsidR="00DF4526" w:rsidRDefault="00DF4526" w:rsidP="00CC6259">
      <w:pPr>
        <w:pStyle w:val="NoSpacing"/>
      </w:pPr>
      <w:proofErr w:type="gramStart"/>
      <w:r w:rsidRPr="00DF4526">
        <w:t>NHS England</w:t>
      </w:r>
      <w:r w:rsidR="00D03D3A">
        <w:t xml:space="preserve">, </w:t>
      </w:r>
      <w:r w:rsidRPr="00DF4526">
        <w:t>Room 5E24, Quarry House, Leeds, LS2 7UE</w:t>
      </w:r>
      <w:r w:rsidR="00AE4C4B">
        <w:t>.</w:t>
      </w:r>
      <w:proofErr w:type="gramEnd"/>
    </w:p>
    <w:p w:rsidR="007D75E6" w:rsidRDefault="007D75E6" w:rsidP="00CC6259">
      <w:pPr>
        <w:pStyle w:val="NoSpacing"/>
      </w:pPr>
      <w:r w:rsidRPr="00DF4526">
        <w:t xml:space="preserve">0113 </w:t>
      </w:r>
      <w:r w:rsidRPr="0056253E">
        <w:t>825 4606</w:t>
      </w:r>
    </w:p>
    <w:p w:rsidR="00DF4526" w:rsidRPr="00DF4526" w:rsidRDefault="00AC1557" w:rsidP="00DF4526">
      <w:pPr>
        <w:autoSpaceDE w:val="0"/>
        <w:autoSpaceDN w:val="0"/>
        <w:adjustRightInd w:val="0"/>
        <w:rPr>
          <w:rFonts w:cs="Arial"/>
        </w:rPr>
      </w:pPr>
      <w:hyperlink r:id="rId20" w:history="1">
        <w:r w:rsidR="00DF4526" w:rsidRPr="00DF4526">
          <w:rPr>
            <w:rStyle w:val="Hyperlink"/>
            <w:rFonts w:cs="Arial"/>
          </w:rPr>
          <w:t>i.kay@nhs.net</w:t>
        </w:r>
      </w:hyperlink>
    </w:p>
    <w:p w:rsidR="00CC6259" w:rsidRDefault="007F662D" w:rsidP="00CC6259">
      <w:pPr>
        <w:autoSpaceDE w:val="0"/>
        <w:autoSpaceDN w:val="0"/>
        <w:adjustRightInd w:val="0"/>
        <w:rPr>
          <w:rFonts w:cs="Arial"/>
        </w:rPr>
      </w:pPr>
      <w:proofErr w:type="gramStart"/>
      <w:r>
        <w:rPr>
          <w:rFonts w:cs="Arial"/>
        </w:rPr>
        <w:t xml:space="preserve">Published on </w:t>
      </w:r>
      <w:r w:rsidR="00560325">
        <w:rPr>
          <w:rFonts w:cs="Arial"/>
        </w:rPr>
        <w:t xml:space="preserve">Thursday </w:t>
      </w:r>
      <w:r w:rsidR="009C5DEF">
        <w:rPr>
          <w:rFonts w:cs="Arial"/>
        </w:rPr>
        <w:t>14 January</w:t>
      </w:r>
      <w:r w:rsidR="00FB62FE">
        <w:rPr>
          <w:rFonts w:cs="Arial"/>
        </w:rPr>
        <w:t xml:space="preserve"> </w:t>
      </w:r>
      <w:r w:rsidR="009C5DEF">
        <w:rPr>
          <w:rFonts w:cs="Arial"/>
        </w:rPr>
        <w:t>2016</w:t>
      </w:r>
      <w:r w:rsidR="00CC6259">
        <w:rPr>
          <w:rFonts w:cs="Arial"/>
        </w:rPr>
        <w:t>.</w:t>
      </w:r>
      <w:proofErr w:type="gramEnd"/>
    </w:p>
    <w:sectPr w:rsidR="00CC6259" w:rsidSect="002D6FB2">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AC1557" w:rsidP="00D46E39">
    <w:pPr>
      <w:pStyle w:val="Footer"/>
    </w:pPr>
    <w:sdt>
      <w:sdtPr>
        <w:id w:val="-1441057606"/>
        <w:docPartObj>
          <w:docPartGallery w:val="Page Numbers (Bottom of Page)"/>
          <w:docPartUnique/>
        </w:docPartObj>
      </w:sdtPr>
      <w:sdtEndPr>
        <w:rPr>
          <w:noProof/>
        </w:rPr>
      </w:sdtEndPr>
      <w:sdtContent>
        <w:r w:rsidR="00CC6259">
          <w:t xml:space="preserve">NHS 111 MDS Statistical Note, </w:t>
        </w:r>
        <w:r w:rsidR="004D65C0">
          <w:t>14 January</w:t>
        </w:r>
        <w:r w:rsidR="007F662D">
          <w:t xml:space="preserve"> </w:t>
        </w:r>
        <w:r w:rsidR="00CC6259">
          <w:t>201</w:t>
        </w:r>
        <w:r w:rsidR="00DA6CC0">
          <w:t>6</w:t>
        </w:r>
        <w:r w:rsidR="00CC6259">
          <w:t>.</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2</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9</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 w:id="1">
    <w:p w:rsidR="001C6D25" w:rsidRDefault="001C6D25">
      <w:pPr>
        <w:pStyle w:val="FootnoteText"/>
      </w:pPr>
      <w:r>
        <w:rPr>
          <w:rStyle w:val="FootnoteReference"/>
        </w:rPr>
        <w:footnoteRef/>
      </w:r>
      <w:r>
        <w:t xml:space="preserve"> Yorkshire Ambulance Service </w:t>
      </w:r>
      <w:proofErr w:type="gramStart"/>
      <w:r>
        <w:t>were</w:t>
      </w:r>
      <w:proofErr w:type="gramEnd"/>
      <w:r>
        <w:t xml:space="preserve"> unable to provide survey data for the period April 2015 to September 2015</w:t>
      </w:r>
      <w:r w:rsidR="006D61F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D49"/>
    <w:rsid w:val="0002454A"/>
    <w:rsid w:val="00032611"/>
    <w:rsid w:val="00035089"/>
    <w:rsid w:val="00060C39"/>
    <w:rsid w:val="00064BAB"/>
    <w:rsid w:val="00067326"/>
    <w:rsid w:val="000837E6"/>
    <w:rsid w:val="00093D29"/>
    <w:rsid w:val="00095B62"/>
    <w:rsid w:val="00097BA9"/>
    <w:rsid w:val="000A4E6C"/>
    <w:rsid w:val="000A5FBC"/>
    <w:rsid w:val="000A735A"/>
    <w:rsid w:val="000B0A60"/>
    <w:rsid w:val="000B1417"/>
    <w:rsid w:val="000B666E"/>
    <w:rsid w:val="000E467B"/>
    <w:rsid w:val="000E5781"/>
    <w:rsid w:val="000F6DA4"/>
    <w:rsid w:val="00101B1D"/>
    <w:rsid w:val="00111C95"/>
    <w:rsid w:val="00114524"/>
    <w:rsid w:val="0011686F"/>
    <w:rsid w:val="0012190C"/>
    <w:rsid w:val="0013207F"/>
    <w:rsid w:val="00144010"/>
    <w:rsid w:val="00154F82"/>
    <w:rsid w:val="00190960"/>
    <w:rsid w:val="001964A7"/>
    <w:rsid w:val="00196618"/>
    <w:rsid w:val="001A6CEA"/>
    <w:rsid w:val="001B08FE"/>
    <w:rsid w:val="001B735E"/>
    <w:rsid w:val="001C5DEB"/>
    <w:rsid w:val="001C6D25"/>
    <w:rsid w:val="001C7A0A"/>
    <w:rsid w:val="001E0595"/>
    <w:rsid w:val="001E1FE1"/>
    <w:rsid w:val="001E62E7"/>
    <w:rsid w:val="001F0CEA"/>
    <w:rsid w:val="001F1BD7"/>
    <w:rsid w:val="00207681"/>
    <w:rsid w:val="002229B9"/>
    <w:rsid w:val="0023101C"/>
    <w:rsid w:val="00232F6A"/>
    <w:rsid w:val="00233650"/>
    <w:rsid w:val="002338AD"/>
    <w:rsid w:val="00252466"/>
    <w:rsid w:val="00253CB5"/>
    <w:rsid w:val="002635B4"/>
    <w:rsid w:val="0027072F"/>
    <w:rsid w:val="00272DF2"/>
    <w:rsid w:val="00274F38"/>
    <w:rsid w:val="00275542"/>
    <w:rsid w:val="002860FD"/>
    <w:rsid w:val="002B0BFF"/>
    <w:rsid w:val="002C0367"/>
    <w:rsid w:val="002C1B3A"/>
    <w:rsid w:val="002D6FB2"/>
    <w:rsid w:val="002E3283"/>
    <w:rsid w:val="003044F4"/>
    <w:rsid w:val="00314BAE"/>
    <w:rsid w:val="0032476D"/>
    <w:rsid w:val="0033385E"/>
    <w:rsid w:val="003362DD"/>
    <w:rsid w:val="00341124"/>
    <w:rsid w:val="003660AE"/>
    <w:rsid w:val="00371667"/>
    <w:rsid w:val="003850CD"/>
    <w:rsid w:val="00387B60"/>
    <w:rsid w:val="00392B99"/>
    <w:rsid w:val="003A20C4"/>
    <w:rsid w:val="003A57A5"/>
    <w:rsid w:val="003B02F4"/>
    <w:rsid w:val="003B42D0"/>
    <w:rsid w:val="003B5F4F"/>
    <w:rsid w:val="003B75AF"/>
    <w:rsid w:val="003C1A0D"/>
    <w:rsid w:val="003C4DDE"/>
    <w:rsid w:val="003D6E4A"/>
    <w:rsid w:val="003D7532"/>
    <w:rsid w:val="00414109"/>
    <w:rsid w:val="00422AEC"/>
    <w:rsid w:val="0042386C"/>
    <w:rsid w:val="004241DE"/>
    <w:rsid w:val="0042481B"/>
    <w:rsid w:val="004378CB"/>
    <w:rsid w:val="004414DC"/>
    <w:rsid w:val="00453DF3"/>
    <w:rsid w:val="00460C5D"/>
    <w:rsid w:val="004664D6"/>
    <w:rsid w:val="00470362"/>
    <w:rsid w:val="0047437A"/>
    <w:rsid w:val="00482DF8"/>
    <w:rsid w:val="00484127"/>
    <w:rsid w:val="00494944"/>
    <w:rsid w:val="004971A3"/>
    <w:rsid w:val="00497A31"/>
    <w:rsid w:val="004A0EDF"/>
    <w:rsid w:val="004B259E"/>
    <w:rsid w:val="004C5D41"/>
    <w:rsid w:val="004D5EBB"/>
    <w:rsid w:val="004D65C0"/>
    <w:rsid w:val="004D73AE"/>
    <w:rsid w:val="004E1514"/>
    <w:rsid w:val="004E1FF5"/>
    <w:rsid w:val="004E5FD9"/>
    <w:rsid w:val="004F76BE"/>
    <w:rsid w:val="0053656B"/>
    <w:rsid w:val="00542AA0"/>
    <w:rsid w:val="005537B2"/>
    <w:rsid w:val="00557C0B"/>
    <w:rsid w:val="00560325"/>
    <w:rsid w:val="0056253E"/>
    <w:rsid w:val="00573AF0"/>
    <w:rsid w:val="00573B69"/>
    <w:rsid w:val="00577AC8"/>
    <w:rsid w:val="005808E2"/>
    <w:rsid w:val="00580FF4"/>
    <w:rsid w:val="005845F8"/>
    <w:rsid w:val="005868C2"/>
    <w:rsid w:val="005903CC"/>
    <w:rsid w:val="0059514C"/>
    <w:rsid w:val="005B06D8"/>
    <w:rsid w:val="005B0CE2"/>
    <w:rsid w:val="005C4FAD"/>
    <w:rsid w:val="005D061B"/>
    <w:rsid w:val="005D3753"/>
    <w:rsid w:val="005D60D7"/>
    <w:rsid w:val="005F05C3"/>
    <w:rsid w:val="005F3535"/>
    <w:rsid w:val="005F65B3"/>
    <w:rsid w:val="0060129C"/>
    <w:rsid w:val="00601A9A"/>
    <w:rsid w:val="006026DB"/>
    <w:rsid w:val="006034DE"/>
    <w:rsid w:val="00615628"/>
    <w:rsid w:val="00617551"/>
    <w:rsid w:val="00617C7A"/>
    <w:rsid w:val="00627A28"/>
    <w:rsid w:val="00631CB7"/>
    <w:rsid w:val="00633509"/>
    <w:rsid w:val="0063598E"/>
    <w:rsid w:val="0063709F"/>
    <w:rsid w:val="00641246"/>
    <w:rsid w:val="00650592"/>
    <w:rsid w:val="00651CE0"/>
    <w:rsid w:val="006625DA"/>
    <w:rsid w:val="00663343"/>
    <w:rsid w:val="00663E41"/>
    <w:rsid w:val="00664FCE"/>
    <w:rsid w:val="006651F1"/>
    <w:rsid w:val="00676125"/>
    <w:rsid w:val="0067787B"/>
    <w:rsid w:val="00684660"/>
    <w:rsid w:val="00687350"/>
    <w:rsid w:val="00687C8C"/>
    <w:rsid w:val="006A07E5"/>
    <w:rsid w:val="006A254F"/>
    <w:rsid w:val="006A4BB7"/>
    <w:rsid w:val="006A7027"/>
    <w:rsid w:val="006B18EB"/>
    <w:rsid w:val="006B7FEC"/>
    <w:rsid w:val="006C03D1"/>
    <w:rsid w:val="006C275E"/>
    <w:rsid w:val="006C3BBD"/>
    <w:rsid w:val="006C635F"/>
    <w:rsid w:val="006D2259"/>
    <w:rsid w:val="006D61F8"/>
    <w:rsid w:val="006D7A2D"/>
    <w:rsid w:val="006E1CD2"/>
    <w:rsid w:val="006F257B"/>
    <w:rsid w:val="00703E51"/>
    <w:rsid w:val="00711382"/>
    <w:rsid w:val="0072294A"/>
    <w:rsid w:val="0074537E"/>
    <w:rsid w:val="00752F5D"/>
    <w:rsid w:val="007605A8"/>
    <w:rsid w:val="00761181"/>
    <w:rsid w:val="00765148"/>
    <w:rsid w:val="0077042E"/>
    <w:rsid w:val="007A370A"/>
    <w:rsid w:val="007B3B21"/>
    <w:rsid w:val="007B4920"/>
    <w:rsid w:val="007B55C8"/>
    <w:rsid w:val="007C639E"/>
    <w:rsid w:val="007D75E6"/>
    <w:rsid w:val="007E5C14"/>
    <w:rsid w:val="007F1156"/>
    <w:rsid w:val="007F662D"/>
    <w:rsid w:val="0080308A"/>
    <w:rsid w:val="00813E8B"/>
    <w:rsid w:val="00815B0C"/>
    <w:rsid w:val="00817A7B"/>
    <w:rsid w:val="008226AA"/>
    <w:rsid w:val="00822957"/>
    <w:rsid w:val="00827BA7"/>
    <w:rsid w:val="0083171B"/>
    <w:rsid w:val="0083571E"/>
    <w:rsid w:val="00840026"/>
    <w:rsid w:val="00846A43"/>
    <w:rsid w:val="00846CDB"/>
    <w:rsid w:val="00851848"/>
    <w:rsid w:val="00852EB6"/>
    <w:rsid w:val="00853B09"/>
    <w:rsid w:val="00855D36"/>
    <w:rsid w:val="00856F33"/>
    <w:rsid w:val="00866BFC"/>
    <w:rsid w:val="00877BED"/>
    <w:rsid w:val="008807E5"/>
    <w:rsid w:val="008B5967"/>
    <w:rsid w:val="008B649B"/>
    <w:rsid w:val="008B6876"/>
    <w:rsid w:val="008B701F"/>
    <w:rsid w:val="008C1D4A"/>
    <w:rsid w:val="008D0263"/>
    <w:rsid w:val="008D1664"/>
    <w:rsid w:val="008D1F78"/>
    <w:rsid w:val="008D5501"/>
    <w:rsid w:val="008E0B01"/>
    <w:rsid w:val="008E228B"/>
    <w:rsid w:val="008F1680"/>
    <w:rsid w:val="008F4DD2"/>
    <w:rsid w:val="008F551C"/>
    <w:rsid w:val="00904C37"/>
    <w:rsid w:val="009108FC"/>
    <w:rsid w:val="00912FDF"/>
    <w:rsid w:val="00916502"/>
    <w:rsid w:val="009226AD"/>
    <w:rsid w:val="00926723"/>
    <w:rsid w:val="00940D9E"/>
    <w:rsid w:val="0094134B"/>
    <w:rsid w:val="00944F25"/>
    <w:rsid w:val="009544C5"/>
    <w:rsid w:val="00957A15"/>
    <w:rsid w:val="00975FA8"/>
    <w:rsid w:val="0097717F"/>
    <w:rsid w:val="0097761D"/>
    <w:rsid w:val="00983C0B"/>
    <w:rsid w:val="009946BD"/>
    <w:rsid w:val="00994CA9"/>
    <w:rsid w:val="00995344"/>
    <w:rsid w:val="009978B4"/>
    <w:rsid w:val="009A1AA3"/>
    <w:rsid w:val="009A48F6"/>
    <w:rsid w:val="009B3E24"/>
    <w:rsid w:val="009C4F7F"/>
    <w:rsid w:val="009C5DEF"/>
    <w:rsid w:val="009C5EEE"/>
    <w:rsid w:val="009D3DD6"/>
    <w:rsid w:val="009D5674"/>
    <w:rsid w:val="009D6A47"/>
    <w:rsid w:val="009F4257"/>
    <w:rsid w:val="009F6FE4"/>
    <w:rsid w:val="00A0465A"/>
    <w:rsid w:val="00A0575C"/>
    <w:rsid w:val="00A0769F"/>
    <w:rsid w:val="00A07D53"/>
    <w:rsid w:val="00A34C81"/>
    <w:rsid w:val="00A40262"/>
    <w:rsid w:val="00A52EA5"/>
    <w:rsid w:val="00A54B5A"/>
    <w:rsid w:val="00A566D9"/>
    <w:rsid w:val="00A643FB"/>
    <w:rsid w:val="00A6781D"/>
    <w:rsid w:val="00A81E22"/>
    <w:rsid w:val="00AA6617"/>
    <w:rsid w:val="00AB4B37"/>
    <w:rsid w:val="00AC1557"/>
    <w:rsid w:val="00AC2611"/>
    <w:rsid w:val="00AC3865"/>
    <w:rsid w:val="00AC46AC"/>
    <w:rsid w:val="00AE2A71"/>
    <w:rsid w:val="00AE3527"/>
    <w:rsid w:val="00AE360D"/>
    <w:rsid w:val="00AE4AF0"/>
    <w:rsid w:val="00AE4C4B"/>
    <w:rsid w:val="00AF2A04"/>
    <w:rsid w:val="00B02FFB"/>
    <w:rsid w:val="00B03EC7"/>
    <w:rsid w:val="00B25AA0"/>
    <w:rsid w:val="00B4267E"/>
    <w:rsid w:val="00B440D0"/>
    <w:rsid w:val="00B513BC"/>
    <w:rsid w:val="00B6171A"/>
    <w:rsid w:val="00B712B2"/>
    <w:rsid w:val="00B8477A"/>
    <w:rsid w:val="00BB6300"/>
    <w:rsid w:val="00BC016C"/>
    <w:rsid w:val="00BD2ACE"/>
    <w:rsid w:val="00BD305F"/>
    <w:rsid w:val="00BE0212"/>
    <w:rsid w:val="00BE089A"/>
    <w:rsid w:val="00BE2611"/>
    <w:rsid w:val="00BE34DC"/>
    <w:rsid w:val="00BE4CFE"/>
    <w:rsid w:val="00BE516A"/>
    <w:rsid w:val="00BF2DE3"/>
    <w:rsid w:val="00C1274B"/>
    <w:rsid w:val="00C16025"/>
    <w:rsid w:val="00C2058D"/>
    <w:rsid w:val="00C240E9"/>
    <w:rsid w:val="00C42118"/>
    <w:rsid w:val="00C8037F"/>
    <w:rsid w:val="00CB5F09"/>
    <w:rsid w:val="00CC6259"/>
    <w:rsid w:val="00CC7944"/>
    <w:rsid w:val="00CD22DA"/>
    <w:rsid w:val="00CD5013"/>
    <w:rsid w:val="00CD54F1"/>
    <w:rsid w:val="00CD6D7F"/>
    <w:rsid w:val="00CE0F08"/>
    <w:rsid w:val="00CE4FCD"/>
    <w:rsid w:val="00CF0EC8"/>
    <w:rsid w:val="00D03D3A"/>
    <w:rsid w:val="00D06C7C"/>
    <w:rsid w:val="00D13AA0"/>
    <w:rsid w:val="00D15C5E"/>
    <w:rsid w:val="00D203BA"/>
    <w:rsid w:val="00D27384"/>
    <w:rsid w:val="00D34BA3"/>
    <w:rsid w:val="00D34EFE"/>
    <w:rsid w:val="00D377A5"/>
    <w:rsid w:val="00D46E39"/>
    <w:rsid w:val="00D52D99"/>
    <w:rsid w:val="00D532AA"/>
    <w:rsid w:val="00D56A9D"/>
    <w:rsid w:val="00D64809"/>
    <w:rsid w:val="00D724D9"/>
    <w:rsid w:val="00D74A87"/>
    <w:rsid w:val="00D862D9"/>
    <w:rsid w:val="00DA1595"/>
    <w:rsid w:val="00DA1752"/>
    <w:rsid w:val="00DA295C"/>
    <w:rsid w:val="00DA3FEF"/>
    <w:rsid w:val="00DA5774"/>
    <w:rsid w:val="00DA6B2C"/>
    <w:rsid w:val="00DA6CC0"/>
    <w:rsid w:val="00DD2C49"/>
    <w:rsid w:val="00DD4F36"/>
    <w:rsid w:val="00DD6D96"/>
    <w:rsid w:val="00DF4526"/>
    <w:rsid w:val="00DF5C09"/>
    <w:rsid w:val="00E032A7"/>
    <w:rsid w:val="00E059BC"/>
    <w:rsid w:val="00E12564"/>
    <w:rsid w:val="00E202E5"/>
    <w:rsid w:val="00E265CE"/>
    <w:rsid w:val="00E27D4D"/>
    <w:rsid w:val="00E33BE2"/>
    <w:rsid w:val="00E3783F"/>
    <w:rsid w:val="00E407A0"/>
    <w:rsid w:val="00E4250C"/>
    <w:rsid w:val="00E5245B"/>
    <w:rsid w:val="00E54443"/>
    <w:rsid w:val="00E567D1"/>
    <w:rsid w:val="00E56A4E"/>
    <w:rsid w:val="00E60203"/>
    <w:rsid w:val="00E677BD"/>
    <w:rsid w:val="00E770BB"/>
    <w:rsid w:val="00E8589E"/>
    <w:rsid w:val="00EA0786"/>
    <w:rsid w:val="00EA3535"/>
    <w:rsid w:val="00EB4BA3"/>
    <w:rsid w:val="00EB7742"/>
    <w:rsid w:val="00EC0258"/>
    <w:rsid w:val="00EC1FD2"/>
    <w:rsid w:val="00ED18BD"/>
    <w:rsid w:val="00ED5AB8"/>
    <w:rsid w:val="00EE08B5"/>
    <w:rsid w:val="00EF5F3A"/>
    <w:rsid w:val="00F00A97"/>
    <w:rsid w:val="00F15970"/>
    <w:rsid w:val="00F24569"/>
    <w:rsid w:val="00F2764A"/>
    <w:rsid w:val="00F35202"/>
    <w:rsid w:val="00F406E9"/>
    <w:rsid w:val="00F425E4"/>
    <w:rsid w:val="00F50275"/>
    <w:rsid w:val="00F55B8A"/>
    <w:rsid w:val="00F55C30"/>
    <w:rsid w:val="00F66A33"/>
    <w:rsid w:val="00F70A3F"/>
    <w:rsid w:val="00F74E82"/>
    <w:rsid w:val="00F87ABE"/>
    <w:rsid w:val="00F947EF"/>
    <w:rsid w:val="00FA0612"/>
    <w:rsid w:val="00FB2239"/>
    <w:rsid w:val="00FB62FE"/>
    <w:rsid w:val="00FC3A67"/>
    <w:rsid w:val="00FE1959"/>
    <w:rsid w:val="00FF0AA5"/>
    <w:rsid w:val="00FF5B58"/>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i.kay@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9734-E721-4D92-9BAB-CC46DBEC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James Thomas</cp:lastModifiedBy>
  <cp:revision>5</cp:revision>
  <cp:lastPrinted>2016-01-13T07:55:00Z</cp:lastPrinted>
  <dcterms:created xsi:type="dcterms:W3CDTF">2016-01-12T16:49:00Z</dcterms:created>
  <dcterms:modified xsi:type="dcterms:W3CDTF">2016-01-13T08:24:00Z</dcterms:modified>
</cp:coreProperties>
</file>