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7C0DA8" w:rsidRDefault="0058750D" w:rsidP="007C0DA8">
      <w:pPr>
        <w:pStyle w:val="ListParagraph"/>
        <w:numPr>
          <w:ilvl w:val="0"/>
          <w:numId w:val="18"/>
        </w:numPr>
      </w:pPr>
      <w:r>
        <w:t xml:space="preserve">The latest </w:t>
      </w:r>
      <w:r w:rsidR="000F5FB4">
        <w:t xml:space="preserve">Systems Indicators </w:t>
      </w:r>
      <w:r w:rsidR="00BE2594">
        <w:t>for</w:t>
      </w:r>
      <w:r w:rsidR="00063229">
        <w:t xml:space="preserve"> March</w:t>
      </w:r>
      <w:r w:rsidR="00F31DC0">
        <w:t xml:space="preserve"> </w:t>
      </w:r>
      <w:r w:rsidR="00AD056A">
        <w:t>2016</w:t>
      </w:r>
      <w:r w:rsidR="005A6A3C">
        <w:t xml:space="preserve">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sidRPr="00A15B5A">
        <w:rPr>
          <w:vertAlign w:val="superscript"/>
        </w:rPr>
        <w:footnoteReference w:id="1"/>
      </w:r>
      <w:r w:rsidR="00892F48">
        <w:t xml:space="preserve"> to the NHS constitution</w:t>
      </w:r>
      <w:r w:rsidR="00B274C6" w:rsidRPr="00B274C6">
        <w:t xml:space="preserve"> </w:t>
      </w:r>
      <w:r w:rsidR="00E47A4B">
        <w:t>we</w:t>
      </w:r>
      <w:r w:rsidR="00FA13CC">
        <w:t>re not met</w:t>
      </w:r>
      <w:r w:rsidR="003F040F">
        <w:t>.</w:t>
      </w:r>
    </w:p>
    <w:p w:rsidR="002C522F" w:rsidRDefault="002C522F" w:rsidP="00D833D1">
      <w:pPr>
        <w:pStyle w:val="Heading2"/>
        <w:spacing w:after="0"/>
      </w:pPr>
      <w:r>
        <w:t>A.</w:t>
      </w:r>
      <w:r>
        <w:tab/>
      </w:r>
      <w:r w:rsidR="00C3443F" w:rsidRPr="00151AF2">
        <w:t xml:space="preserve">Systems </w:t>
      </w:r>
      <w:r w:rsidR="00465847">
        <w:t>Indicators</w:t>
      </w:r>
    </w:p>
    <w:p w:rsidR="00C3443F" w:rsidRPr="00127FD0" w:rsidRDefault="0044771F" w:rsidP="00D833D1">
      <w:pPr>
        <w:pStyle w:val="Heading3"/>
        <w:spacing w:before="120"/>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063229">
        <w:t>March</w:t>
      </w:r>
      <w:r w:rsidR="000002F1">
        <w:t xml:space="preserve"> 2016</w:t>
      </w:r>
      <w:r>
        <w:t xml:space="preserve">, </w:t>
      </w:r>
      <w:r w:rsidR="004C377A" w:rsidRPr="00513897">
        <w:t xml:space="preserve">of </w:t>
      </w:r>
      <w:proofErr w:type="gramStart"/>
      <w:r w:rsidR="004C377A" w:rsidRPr="00513897">
        <w:t>Category</w:t>
      </w:r>
      <w:r w:rsidR="0090527D" w:rsidRPr="00513897">
        <w:rPr>
          <w:rStyle w:val="FootnoteReference"/>
          <w:rFonts w:cs="Arial"/>
        </w:rPr>
        <w:footnoteReference w:id="2"/>
      </w:r>
      <w:r w:rsidR="00A07542">
        <w:t xml:space="preserve"> </w:t>
      </w:r>
      <w:r w:rsidR="008D50FB" w:rsidRPr="00513897">
        <w:t>A</w:t>
      </w:r>
      <w:proofErr w:type="gramEnd"/>
      <w:r w:rsidR="008D50FB" w:rsidRPr="00513897">
        <w:t xml:space="preserve">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t>
      </w:r>
      <w:r w:rsidR="002611D4">
        <w:t xml:space="preserve">was </w:t>
      </w:r>
      <w:r w:rsidR="007C0DA8">
        <w:t>6</w:t>
      </w:r>
      <w:r w:rsidR="00063229">
        <w:t>6.5</w:t>
      </w:r>
      <w:r w:rsidR="00D833D1">
        <w:t>%</w:t>
      </w:r>
      <w:r w:rsidR="00E6125B">
        <w:t>.</w:t>
      </w:r>
    </w:p>
    <w:p w:rsidR="00E1440E" w:rsidRDefault="00526112" w:rsidP="00513897">
      <w:r>
        <w:t xml:space="preserve">In </w:t>
      </w:r>
      <w:r w:rsidR="00063229">
        <w:t>March</w:t>
      </w:r>
      <w:r w:rsidR="000002F1">
        <w:t xml:space="preserve"> 2016</w:t>
      </w:r>
      <w:r>
        <w:t xml:space="preserve">, </w:t>
      </w:r>
      <w:r w:rsidR="00513897" w:rsidRPr="00513897">
        <w:t>of Category</w:t>
      </w:r>
      <w:r w:rsidR="00A15B5A" w:rsidRPr="00A15B5A">
        <w:rPr>
          <w:vertAlign w:val="superscript"/>
        </w:rPr>
        <w:t>2</w:t>
      </w:r>
      <w:r w:rsidR="00513897" w:rsidRPr="00513897">
        <w:t xml:space="preserve"> </w:t>
      </w:r>
      <w:proofErr w:type="gramStart"/>
      <w:r w:rsidR="00513897" w:rsidRPr="00513897">
        <w:t>A</w:t>
      </w:r>
      <w:proofErr w:type="gramEnd"/>
      <w:r w:rsidR="00513897" w:rsidRPr="00513897">
        <w:t xml:space="preserve">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t>
      </w:r>
      <w:r w:rsidR="002611D4" w:rsidRPr="00513897">
        <w:t xml:space="preserve">was </w:t>
      </w:r>
      <w:r w:rsidR="00063229">
        <w:t>58.0</w:t>
      </w:r>
      <w:r w:rsidR="00D833D1">
        <w:t>%</w:t>
      </w:r>
      <w:r w:rsidR="00E924D4">
        <w:t>.</w:t>
      </w:r>
      <w:r w:rsidR="00D833D1">
        <w:t xml:space="preserve"> This is the lowest proportion recorded since the data collection began in June 2012.</w:t>
      </w:r>
      <w:r w:rsidR="00E1440E">
        <w:t xml:space="preserve"> </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r w:rsidR="00710213">
        <w:t xml:space="preserve"> </w:t>
      </w:r>
    </w:p>
    <w:p w:rsidR="00266D58" w:rsidRDefault="00106538" w:rsidP="001D4F10">
      <w:r>
        <w:rPr>
          <w:noProof/>
        </w:rPr>
        <w:drawing>
          <wp:inline distT="0" distB="0" distL="0" distR="0" wp14:anchorId="051987BF" wp14:editId="3F795D1D">
            <wp:extent cx="5755005" cy="3499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9485"/>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w:t>
      </w:r>
      <w:proofErr w:type="gramStart"/>
      <w:r w:rsidRPr="00513897">
        <w:t>A</w:t>
      </w:r>
      <w:proofErr w:type="gramEnd"/>
      <w:r w:rsidRPr="00E924D4">
        <w:t xml:space="preserve"> </w:t>
      </w:r>
      <w:r w:rsidRPr="00513897">
        <w:t>calls</w:t>
      </w:r>
      <w:r>
        <w:t>. Figure 1 shows that for England,</w:t>
      </w:r>
      <w:r w:rsidR="0096283E">
        <w:t xml:space="preserve"> </w:t>
      </w:r>
      <w:r w:rsidR="002956C9">
        <w:t>Red 1</w:t>
      </w:r>
      <w:r w:rsidR="0096283E">
        <w:t xml:space="preserve"> </w:t>
      </w:r>
      <w:r w:rsidR="002350ED">
        <w:t>performance</w:t>
      </w:r>
      <w:r w:rsidR="002611D4">
        <w:t xml:space="preserve"> significantly</w:t>
      </w:r>
      <w:r w:rsidR="00FE726A">
        <w:rPr>
          <w:rStyle w:val="FootnoteReference"/>
        </w:rPr>
        <w:footnoteReference w:id="3"/>
      </w:r>
      <w:r w:rsidR="002350ED">
        <w:t xml:space="preserve"> </w:t>
      </w:r>
      <w:r w:rsidR="00CB4069">
        <w:t>de</w:t>
      </w:r>
      <w:r w:rsidR="008961C1">
        <w:t>crease</w:t>
      </w:r>
      <w:r w:rsidR="0046460A">
        <w:t xml:space="preserve">d </w:t>
      </w:r>
      <w:r w:rsidR="00CB4069">
        <w:t>to</w:t>
      </w:r>
      <w:r w:rsidR="0046460A" w:rsidRPr="007310F1">
        <w:t xml:space="preserve"> </w:t>
      </w:r>
      <w:r w:rsidR="003005B7">
        <w:t>66</w:t>
      </w:r>
      <w:r w:rsidR="00CB4069">
        <w:t>.</w:t>
      </w:r>
      <w:r w:rsidR="003005B7">
        <w:t>5% in March</w:t>
      </w:r>
      <w:r w:rsidR="00CB4069">
        <w:t xml:space="preserve"> 2016,</w:t>
      </w:r>
      <w:r w:rsidR="008961C1">
        <w:t xml:space="preserve"> it has</w:t>
      </w:r>
      <w:r w:rsidR="00B370F1">
        <w:t xml:space="preserve"> been</w:t>
      </w:r>
      <w:r w:rsidR="002350ED">
        <w:t xml:space="preserve"> below </w:t>
      </w:r>
      <w:r w:rsidR="0038780E">
        <w:t xml:space="preserve">75% </w:t>
      </w:r>
      <w:r w:rsidR="00D833D1">
        <w:t>for th</w:t>
      </w:r>
      <w:r w:rsidR="003005B7">
        <w:t>e past ten</w:t>
      </w:r>
      <w:r w:rsidR="00426EE4">
        <w:t xml:space="preserve"> </w:t>
      </w:r>
      <w:r w:rsidR="002350ED">
        <w:t>months</w:t>
      </w:r>
      <w:r w:rsidR="0046460A">
        <w:t>.</w:t>
      </w:r>
      <w:r w:rsidR="00710213" w:rsidRPr="00710213">
        <w:t xml:space="preserve"> </w:t>
      </w:r>
    </w:p>
    <w:p w:rsidR="00C54FB2" w:rsidRDefault="00643677" w:rsidP="00065771">
      <w:r>
        <w:t xml:space="preserve">For Red 1, </w:t>
      </w:r>
      <w:r w:rsidR="000E4408">
        <w:t>one trust</w:t>
      </w:r>
      <w:r w:rsidR="007A7785">
        <w:t xml:space="preserve"> had </w:t>
      </w:r>
      <w:r w:rsidR="000E4408">
        <w:t>a proportion</w:t>
      </w:r>
      <w:r w:rsidR="00F614AC">
        <w:t xml:space="preserve"> </w:t>
      </w:r>
      <w:r w:rsidR="001A399C">
        <w:t>exceeding 75%:</w:t>
      </w:r>
      <w:r w:rsidR="00191EA9">
        <w:t xml:space="preserve"> </w:t>
      </w:r>
      <w:r w:rsidR="007A7785" w:rsidRPr="00F471D3">
        <w:t xml:space="preserve">West Midlands </w:t>
      </w:r>
      <w:r w:rsidR="007A7785">
        <w:t>(</w:t>
      </w:r>
      <w:r w:rsidR="003005B7">
        <w:t>76.1</w:t>
      </w:r>
      <w:r w:rsidR="005A6A3C">
        <w:t>%</w:t>
      </w:r>
      <w:r w:rsidR="007A7785">
        <w:t>)</w:t>
      </w:r>
      <w:r w:rsidR="00191EA9">
        <w:t>.</w:t>
      </w:r>
      <w:r w:rsidR="00F614AC">
        <w:t xml:space="preserve"> </w:t>
      </w:r>
      <w:r w:rsidR="003005B7">
        <w:t>Ten</w:t>
      </w:r>
      <w:r w:rsidR="007A7785">
        <w:t xml:space="preserve"> trusts had proportions of less than 70%: </w:t>
      </w:r>
      <w:r w:rsidR="00634000">
        <w:t>North East</w:t>
      </w:r>
      <w:r w:rsidR="0038780E">
        <w:t xml:space="preserve"> </w:t>
      </w:r>
      <w:r w:rsidR="00634000">
        <w:t>(6</w:t>
      </w:r>
      <w:r w:rsidR="003005B7">
        <w:t>1</w:t>
      </w:r>
      <w:r w:rsidR="00BF1103">
        <w:t>.5%)</w:t>
      </w:r>
      <w:r w:rsidR="00BE51CF">
        <w:t>,</w:t>
      </w:r>
      <w:r w:rsidR="003005B7">
        <w:t xml:space="preserve"> North West (67.3%), Yorkshire (68.5</w:t>
      </w:r>
      <w:r w:rsidR="00586B8E">
        <w:t>%),</w:t>
      </w:r>
      <w:r w:rsidR="0038780E">
        <w:t xml:space="preserve"> </w:t>
      </w:r>
      <w:r w:rsidR="003F3CC6">
        <w:t>East Midlands (</w:t>
      </w:r>
      <w:r w:rsidR="00EC590B">
        <w:t>64.1</w:t>
      </w:r>
      <w:r w:rsidR="00586B8E">
        <w:t>%)</w:t>
      </w:r>
      <w:r w:rsidR="00BE51CF">
        <w:t>,</w:t>
      </w:r>
      <w:r w:rsidR="00BF1103">
        <w:t xml:space="preserve"> East of England (</w:t>
      </w:r>
      <w:r w:rsidR="00EC590B">
        <w:t>55.1</w:t>
      </w:r>
      <w:r w:rsidR="00586B8E">
        <w:t>%)</w:t>
      </w:r>
      <w:r w:rsidR="00BE51CF">
        <w:t>,</w:t>
      </w:r>
      <w:r w:rsidR="00D33D33">
        <w:t xml:space="preserve"> </w:t>
      </w:r>
      <w:r w:rsidR="003F3CC6">
        <w:t>South Central (69.1%), South Western (67.9</w:t>
      </w:r>
      <w:r w:rsidR="00D33D33">
        <w:t xml:space="preserve">%), </w:t>
      </w:r>
      <w:r w:rsidR="003F3CC6">
        <w:t>London (65.6</w:t>
      </w:r>
      <w:r w:rsidR="00BE51CF">
        <w:t>%)</w:t>
      </w:r>
      <w:r w:rsidR="00EC590B">
        <w:t>,</w:t>
      </w:r>
      <w:r w:rsidR="00BE51CF">
        <w:t xml:space="preserve"> </w:t>
      </w:r>
      <w:r w:rsidR="003F3CC6">
        <w:t>South East Coast (62.2</w:t>
      </w:r>
      <w:r w:rsidR="00BE51CF">
        <w:t>%)</w:t>
      </w:r>
      <w:r w:rsidR="00EC590B">
        <w:t xml:space="preserve"> and Isle of Wight (58.6%)</w:t>
      </w:r>
      <w:r w:rsidR="00586B8E">
        <w:t>.</w:t>
      </w:r>
    </w:p>
    <w:p w:rsidR="00C54B5E" w:rsidRDefault="00620FE6" w:rsidP="00C54B5E">
      <w:pPr>
        <w:pStyle w:val="Heading3"/>
      </w:pPr>
      <w:r>
        <w:t>A</w:t>
      </w:r>
      <w:r w:rsidR="00092A97">
        <w:t>2</w:t>
      </w:r>
      <w:r>
        <w:tab/>
        <w:t xml:space="preserve">Dispatch on Disposition </w:t>
      </w:r>
      <w:r w:rsidR="001171E8">
        <w:t>(</w:t>
      </w:r>
      <w:proofErr w:type="gramStart"/>
      <w:r w:rsidR="001171E8">
        <w:t>DoD</w:t>
      </w:r>
      <w:proofErr w:type="gramEnd"/>
      <w:r w:rsidR="001171E8">
        <w:t>)</w:t>
      </w:r>
    </w:p>
    <w:p w:rsidR="008B512A" w:rsidRDefault="008B512A" w:rsidP="008B512A">
      <w:r>
        <w:t>In January 2015, the Secretary of State for Health announced</w:t>
      </w:r>
      <w:r w:rsidR="00980342">
        <w:rPr>
          <w:rStyle w:val="FootnoteReference"/>
        </w:rPr>
        <w:footnoteReference w:id="4"/>
      </w:r>
      <w:r>
        <w:t xml:space="preserve"> the </w:t>
      </w:r>
      <w:r w:rsidR="001171E8">
        <w:t xml:space="preserve">introduction of </w:t>
      </w:r>
      <w:r>
        <w:t>Dispatch on Disposition (</w:t>
      </w:r>
      <w:proofErr w:type="gramStart"/>
      <w:r>
        <w:t>DoD</w:t>
      </w:r>
      <w:proofErr w:type="gramEnd"/>
      <w:r>
        <w:t xml:space="preserve">),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 xml:space="preserve">stern Ambulance Service (SWAS) use </w:t>
      </w:r>
      <w:proofErr w:type="gramStart"/>
      <w:r>
        <w:t>DoD</w:t>
      </w:r>
      <w:proofErr w:type="gramEnd"/>
      <w:r w:rsidR="008879DA">
        <w:t>.</w:t>
      </w:r>
    </w:p>
    <w:p w:rsidR="00540689" w:rsidRPr="00540689" w:rsidRDefault="00241092" w:rsidP="00540689">
      <w:r>
        <w:t xml:space="preserve">During October 2015, </w:t>
      </w:r>
      <w:proofErr w:type="gramStart"/>
      <w:r w:rsidR="00E8712C">
        <w:t>DoD</w:t>
      </w:r>
      <w:proofErr w:type="gramEnd"/>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r w:rsidR="002B0575">
        <w:t xml:space="preserve"> Details of the clock start time for the various cohorts are shown in the table below</w:t>
      </w:r>
      <w:r w:rsidR="00E174B5">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proofErr w:type="spellStart"/>
            <w:r w:rsidRPr="00AF2C09">
              <w:t>D</w:t>
            </w:r>
            <w:r>
              <w:t>x</w:t>
            </w:r>
            <w:proofErr w:type="spellEnd"/>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 xml:space="preserve">Pathways initial </w:t>
            </w:r>
            <w:proofErr w:type="spellStart"/>
            <w:r w:rsidRPr="00AF2C09">
              <w:t>D</w:t>
            </w:r>
            <w:r>
              <w:t>x</w:t>
            </w:r>
            <w:proofErr w:type="spellEnd"/>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bl>
    <w:p w:rsidR="004C0349" w:rsidRDefault="004C0349">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8879DA" w:rsidTr="00E8712C">
        <w:tc>
          <w:tcPr>
            <w:tcW w:w="4644" w:type="dxa"/>
          </w:tcPr>
          <w:p w:rsidR="008879DA" w:rsidRDefault="008879DA" w:rsidP="0024134C">
            <w:pPr>
              <w:pStyle w:val="NoSpacing"/>
            </w:pPr>
            <w:r>
              <w:lastRenderedPageBreak/>
              <w:t>SWAS from 5 October 2015:</w:t>
            </w:r>
          </w:p>
        </w:tc>
        <w:tc>
          <w:tcPr>
            <w:tcW w:w="4536" w:type="dxa"/>
          </w:tcPr>
          <w:p w:rsidR="00583FB1" w:rsidRDefault="00583FB1" w:rsidP="00583FB1">
            <w:pPr>
              <w:pStyle w:val="ListBullet"/>
              <w:numPr>
                <w:ilvl w:val="0"/>
                <w:numId w:val="0"/>
              </w:numPr>
              <w:ind w:left="360" w:hanging="360"/>
            </w:pPr>
            <w:r>
              <w:t>As above for 5</w:t>
            </w:r>
            <w:r>
              <w:rPr>
                <w:vertAlign w:val="superscript"/>
              </w:rPr>
              <w:t xml:space="preserve"> </w:t>
            </w:r>
            <w:r>
              <w:t>October 2015 except;</w:t>
            </w:r>
          </w:p>
          <w:p w:rsidR="008879DA" w:rsidRDefault="00583FB1" w:rsidP="00583FB1">
            <w:pPr>
              <w:pStyle w:val="ListBullet"/>
            </w:pPr>
            <w:r>
              <w:t>240</w:t>
            </w:r>
            <w:r w:rsidRPr="00AF2C09">
              <w:t xml:space="preserve"> seconds after </w:t>
            </w:r>
            <w:r>
              <w:t>c</w:t>
            </w:r>
            <w:r w:rsidRPr="00AF2C09">
              <w:t xml:space="preserve">all </w:t>
            </w:r>
            <w:r>
              <w:t>c</w:t>
            </w:r>
            <w:r w:rsidRPr="00AF2C09">
              <w:t>onnect</w:t>
            </w:r>
            <w:r>
              <w:t>.</w:t>
            </w:r>
          </w:p>
        </w:tc>
      </w:tr>
      <w:tr w:rsidR="00B063B7" w:rsidTr="00E8712C">
        <w:tc>
          <w:tcPr>
            <w:tcW w:w="4644" w:type="dxa"/>
          </w:tcPr>
          <w:p w:rsidR="00B063B7" w:rsidRDefault="00B063B7" w:rsidP="0024134C">
            <w:pPr>
              <w:pStyle w:val="NoSpacing"/>
            </w:pPr>
            <w:r>
              <w:t xml:space="preserve">SWAS from </w:t>
            </w:r>
            <w:r w:rsidR="0028118E">
              <w:t xml:space="preserve">14 </w:t>
            </w:r>
            <w:r>
              <w:t>December</w:t>
            </w:r>
            <w:r w:rsidRPr="00B063B7">
              <w:t xml:space="preserve"> 2015</w:t>
            </w:r>
          </w:p>
        </w:tc>
        <w:tc>
          <w:tcPr>
            <w:tcW w:w="4536" w:type="dxa"/>
          </w:tcPr>
          <w:p w:rsidR="00985E54" w:rsidRDefault="00985E54" w:rsidP="00985E54">
            <w:pPr>
              <w:pStyle w:val="ListBullet"/>
              <w:numPr>
                <w:ilvl w:val="0"/>
                <w:numId w:val="0"/>
              </w:numPr>
              <w:ind w:left="360" w:hanging="360"/>
            </w:pPr>
            <w:r>
              <w:t>As above for 5</w:t>
            </w:r>
            <w:r>
              <w:rPr>
                <w:vertAlign w:val="superscript"/>
              </w:rPr>
              <w:t xml:space="preserve"> </w:t>
            </w:r>
            <w:r>
              <w:t>October 2015 except;</w:t>
            </w:r>
          </w:p>
          <w:p w:rsidR="00B063B7" w:rsidRDefault="00B063B7" w:rsidP="00B063B7">
            <w:pPr>
              <w:pStyle w:val="ListBullet"/>
            </w:pPr>
            <w:r>
              <w:t>300</w:t>
            </w:r>
            <w:r w:rsidRPr="00AF2C09">
              <w:t xml:space="preserve"> seconds after </w:t>
            </w:r>
            <w:r>
              <w:t>c</w:t>
            </w:r>
            <w:r w:rsidRPr="00AF2C09">
              <w:t xml:space="preserve">all </w:t>
            </w:r>
            <w:r>
              <w:t>c</w:t>
            </w:r>
            <w:r w:rsidRPr="00AF2C09">
              <w:t>onnect</w:t>
            </w:r>
            <w:r>
              <w:t>.</w:t>
            </w:r>
          </w:p>
        </w:tc>
      </w:tr>
      <w:tr w:rsidR="003F3CC6" w:rsidTr="00E8712C">
        <w:tc>
          <w:tcPr>
            <w:tcW w:w="4644" w:type="dxa"/>
          </w:tcPr>
          <w:p w:rsidR="003F3CC6" w:rsidRDefault="003F3CC6" w:rsidP="0024134C">
            <w:pPr>
              <w:pStyle w:val="NoSpacing"/>
            </w:pPr>
            <w:r>
              <w:t>SWAS from 1 March 2016</w:t>
            </w:r>
          </w:p>
        </w:tc>
        <w:tc>
          <w:tcPr>
            <w:tcW w:w="4536" w:type="dxa"/>
          </w:tcPr>
          <w:p w:rsidR="003F3CC6" w:rsidRDefault="0017739F" w:rsidP="0017739F">
            <w:pPr>
              <w:pStyle w:val="NoSpacing"/>
            </w:pPr>
            <w:r>
              <w:t>As above for 14 December 2015 except;</w:t>
            </w:r>
          </w:p>
          <w:p w:rsidR="003F3CC6" w:rsidRDefault="003F3CC6" w:rsidP="003F3CC6">
            <w:pPr>
              <w:pStyle w:val="ListBullet"/>
            </w:pPr>
            <w:r>
              <w:t>240</w:t>
            </w:r>
            <w:r w:rsidRPr="00AF2C09">
              <w:t xml:space="preserve"> seconds after </w:t>
            </w:r>
            <w:r>
              <w:t>c</w:t>
            </w:r>
            <w:r w:rsidRPr="00AF2C09">
              <w:t xml:space="preserve">all </w:t>
            </w:r>
            <w:r>
              <w:t>c</w:t>
            </w:r>
            <w:r w:rsidRPr="00AF2C09">
              <w:t>onnect</w:t>
            </w:r>
            <w:r>
              <w:t>.</w:t>
            </w:r>
          </w:p>
        </w:tc>
      </w:tr>
      <w:tr w:rsidR="0017739F" w:rsidTr="00E8712C">
        <w:tc>
          <w:tcPr>
            <w:tcW w:w="4644" w:type="dxa"/>
          </w:tcPr>
          <w:p w:rsidR="0017739F" w:rsidRDefault="0017739F" w:rsidP="0024134C">
            <w:pPr>
              <w:pStyle w:val="NoSpacing"/>
            </w:pPr>
            <w:r>
              <w:t>YAS from 16 March 2016</w:t>
            </w:r>
          </w:p>
        </w:tc>
        <w:tc>
          <w:tcPr>
            <w:tcW w:w="4536" w:type="dxa"/>
          </w:tcPr>
          <w:p w:rsidR="0017739F" w:rsidRDefault="0017739F" w:rsidP="00514EF1">
            <w:pPr>
              <w:pStyle w:val="NoSpacing"/>
            </w:pPr>
            <w:r>
              <w:t>As above for 21 October 2015 except;</w:t>
            </w:r>
          </w:p>
          <w:p w:rsidR="0017739F" w:rsidRDefault="0017739F" w:rsidP="00514EF1">
            <w:pPr>
              <w:pStyle w:val="ListBullet"/>
            </w:pPr>
            <w:r>
              <w:t>240</w:t>
            </w:r>
            <w:r w:rsidRPr="00AF2C09">
              <w:t xml:space="preserve"> seconds after </w:t>
            </w:r>
            <w:r>
              <w:t>c</w:t>
            </w:r>
            <w:r w:rsidRPr="00AF2C09">
              <w:t xml:space="preserve">all </w:t>
            </w:r>
            <w:r>
              <w:t>c</w:t>
            </w:r>
            <w:r w:rsidRPr="00AF2C09">
              <w:t>onnect</w:t>
            </w:r>
            <w:r>
              <w:t>.</w:t>
            </w:r>
          </w:p>
        </w:tc>
      </w:tr>
    </w:tbl>
    <w:p w:rsidR="00660400" w:rsidRDefault="00660400" w:rsidP="00660400">
      <w:r>
        <w:t>The differing clock start times mean that data for the different cohorts are not comparable with each other.</w:t>
      </w:r>
      <w:r w:rsidRPr="00660400">
        <w:t xml:space="preserve"> Red 2 calls comprise the vast majority of Category </w:t>
      </w:r>
      <w:proofErr w:type="gramStart"/>
      <w:r w:rsidRPr="00660400">
        <w:t>A</w:t>
      </w:r>
      <w:proofErr w:type="gramEnd"/>
      <w:r w:rsidRPr="00660400">
        <w:t xml:space="preserve"> calls, so 19 minute Category A </w:t>
      </w:r>
      <w:r w:rsidR="00540689">
        <w:t xml:space="preserve">data are also not comparable for </w:t>
      </w:r>
      <w:r w:rsidR="004C0349">
        <w:t xml:space="preserve">the </w:t>
      </w:r>
      <w:r w:rsidR="00540689">
        <w:t>different cohorts.</w:t>
      </w:r>
    </w:p>
    <w:p w:rsidR="006C3B5D" w:rsidRDefault="000F2BCC" w:rsidP="00C51DF6">
      <w:r w:rsidRPr="00780F7F">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514EF1" w:rsidP="00C51DF6">
      <w:r>
        <w:rPr>
          <w:noProof/>
        </w:rPr>
        <w:drawing>
          <wp:inline distT="0" distB="0" distL="0" distR="0" wp14:anchorId="2DF5FA40" wp14:editId="508E457C">
            <wp:extent cx="5648324" cy="3638550"/>
            <wp:effectExtent l="0" t="0" r="1016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EA23A9" w:rsidRPr="00127FD0" w:rsidRDefault="00EA23A9" w:rsidP="00EA23A9">
      <w:pPr>
        <w:pStyle w:val="Heading3"/>
      </w:pPr>
      <w:r>
        <w:t>A</w:t>
      </w:r>
      <w:r w:rsidR="00092A97">
        <w:t>3</w:t>
      </w:r>
      <w:r>
        <w:tab/>
      </w:r>
      <w:r w:rsidR="00C94BBC">
        <w:t xml:space="preserve">Category </w:t>
      </w:r>
      <w:proofErr w:type="spellStart"/>
      <w:proofErr w:type="gramStart"/>
      <w:r w:rsidR="00C94BBC">
        <w:t>A</w:t>
      </w:r>
      <w:proofErr w:type="spellEnd"/>
      <w:proofErr w:type="gramEnd"/>
      <w:r w:rsidR="00C94BBC">
        <w:t xml:space="preserve">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t xml:space="preserve">affected by </w:t>
      </w:r>
      <w:proofErr w:type="gramStart"/>
      <w:r w:rsidR="00C84BD0">
        <w:t>DoD</w:t>
      </w:r>
      <w:proofErr w:type="gramEnd"/>
      <w:r w:rsidR="00C84BD0">
        <w:t>.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820B72">
        <w:t>88.0</w:t>
      </w:r>
      <w:r w:rsidR="00BF1103">
        <w:t xml:space="preserve">% in </w:t>
      </w:r>
      <w:r w:rsidR="00820B72">
        <w:t xml:space="preserve">March </w:t>
      </w:r>
      <w:r w:rsidR="00EC629A">
        <w:t>2016</w:t>
      </w:r>
      <w:r w:rsidR="002B0A28">
        <w:t xml:space="preserve"> from</w:t>
      </w:r>
      <w:r w:rsidR="00820B72">
        <w:t xml:space="preserve"> 89</w:t>
      </w:r>
      <w:r w:rsidR="00FB6A17">
        <w:t>.</w:t>
      </w:r>
      <w:r w:rsidR="00820B72">
        <w:t>8</w:t>
      </w:r>
      <w:r w:rsidR="00AD0D55">
        <w:t xml:space="preserve">% in </w:t>
      </w:r>
      <w:r w:rsidR="00820B72">
        <w:t>February</w:t>
      </w:r>
      <w:r w:rsidR="007744F8">
        <w:t xml:space="preserve"> 2016</w:t>
      </w:r>
      <w:r w:rsidR="004041D0">
        <w:t xml:space="preserve">. </w:t>
      </w:r>
      <w:r w:rsidR="002B0A28">
        <w:rPr>
          <w:noProof/>
        </w:rPr>
        <w:t xml:space="preserve">The performance for providers </w:t>
      </w:r>
      <w:r w:rsidR="000002F1">
        <w:rPr>
          <w:noProof/>
        </w:rPr>
        <w:t xml:space="preserve">(North </w:t>
      </w:r>
      <w:r w:rsidR="000002F1">
        <w:rPr>
          <w:noProof/>
        </w:rPr>
        <w:lastRenderedPageBreak/>
        <w:t>West</w:t>
      </w:r>
      <w:r w:rsidR="00632BC8">
        <w:rPr>
          <w:noProof/>
        </w:rPr>
        <w:t>, E</w:t>
      </w:r>
      <w:r w:rsidR="000002F1">
        <w:rPr>
          <w:noProof/>
        </w:rPr>
        <w:t>ast Midlands</w:t>
      </w:r>
      <w:r w:rsidR="00632BC8">
        <w:rPr>
          <w:noProof/>
        </w:rPr>
        <w:t>, East</w:t>
      </w:r>
      <w:r w:rsidR="000002F1">
        <w:rPr>
          <w:noProof/>
        </w:rPr>
        <w:t>ern</w:t>
      </w:r>
      <w:r w:rsidR="00632BC8">
        <w:rPr>
          <w:noProof/>
        </w:rPr>
        <w:t>, S</w:t>
      </w:r>
      <w:r w:rsidR="000002F1">
        <w:rPr>
          <w:noProof/>
        </w:rPr>
        <w:t xml:space="preserve">outh </w:t>
      </w:r>
      <w:r w:rsidR="00632BC8">
        <w:rPr>
          <w:noProof/>
        </w:rPr>
        <w:t>E</w:t>
      </w:r>
      <w:r w:rsidR="000002F1">
        <w:rPr>
          <w:noProof/>
        </w:rPr>
        <w:t xml:space="preserve">ast </w:t>
      </w:r>
      <w:r w:rsidR="00632BC8">
        <w:rPr>
          <w:noProof/>
        </w:rPr>
        <w:t>C</w:t>
      </w:r>
      <w:r w:rsidR="000002F1">
        <w:rPr>
          <w:noProof/>
        </w:rPr>
        <w:t>oast</w:t>
      </w:r>
      <w:r w:rsidR="00632BC8">
        <w:rPr>
          <w:noProof/>
        </w:rPr>
        <w:t xml:space="preserve"> and I</w:t>
      </w:r>
      <w:r w:rsidR="000002F1">
        <w:rPr>
          <w:noProof/>
        </w:rPr>
        <w:t>sle of Wight</w:t>
      </w:r>
      <w:r w:rsidR="00632BC8">
        <w:rPr>
          <w:noProof/>
        </w:rPr>
        <w:t xml:space="preserve">) </w:t>
      </w:r>
      <w:r w:rsidR="002B0A28">
        <w:rPr>
          <w:noProof/>
        </w:rPr>
        <w:t>no</w:t>
      </w:r>
      <w:r w:rsidR="007E28DC">
        <w:rPr>
          <w:noProof/>
        </w:rPr>
        <w:t>t undertaking DoD</w:t>
      </w:r>
      <w:r w:rsidR="00BF1103">
        <w:rPr>
          <w:noProof/>
        </w:rPr>
        <w:t xml:space="preserve"> was </w:t>
      </w:r>
      <w:r w:rsidR="00514EF1">
        <w:rPr>
          <w:noProof/>
        </w:rPr>
        <w:t>84.3</w:t>
      </w:r>
      <w:r w:rsidR="002B0A28">
        <w:rPr>
          <w:noProof/>
        </w:rPr>
        <w:t>%</w:t>
      </w:r>
      <w:r w:rsidR="00F321DD">
        <w:rPr>
          <w:noProof/>
        </w:rPr>
        <w:t>.</w:t>
      </w:r>
    </w:p>
    <w:p w:rsidR="00F321DD" w:rsidRDefault="00514EF1" w:rsidP="00F321DD">
      <w:r>
        <w:rPr>
          <w:noProof/>
        </w:rPr>
        <w:drawing>
          <wp:inline distT="0" distB="0" distL="0" distR="0" wp14:anchorId="7D0C96E3" wp14:editId="6705716E">
            <wp:extent cx="5695950" cy="3638552"/>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4123" w:rsidRDefault="00F37244" w:rsidP="00774123">
      <w:proofErr w:type="gramStart"/>
      <w:r>
        <w:t>DoD</w:t>
      </w:r>
      <w:proofErr w:type="gramEnd"/>
      <w:r>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r w:rsidR="00AB16C3">
        <w:t xml:space="preserve"> </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5"/>
      </w:r>
      <w:r w:rsidRPr="001B68DB">
        <w:t xml:space="preserve"> of emergency</w:t>
      </w:r>
      <w:r>
        <w:t xml:space="preserve"> telephone</w:t>
      </w:r>
      <w:r w:rsidRPr="001B68DB">
        <w:t xml:space="preserve"> calls presented to switchboard</w:t>
      </w:r>
      <w:r w:rsidRPr="004D3B3C">
        <w:t xml:space="preserve"> </w:t>
      </w:r>
      <w:r>
        <w:t xml:space="preserve">in </w:t>
      </w:r>
      <w:r w:rsidR="00820B72">
        <w:t xml:space="preserve">March </w:t>
      </w:r>
      <w:r w:rsidR="000002F1">
        <w:t>2016</w:t>
      </w:r>
      <w:r w:rsidR="00781110">
        <w:t xml:space="preserve"> </w:t>
      </w:r>
      <w:r>
        <w:t>was</w:t>
      </w:r>
      <w:r w:rsidR="004855AA">
        <w:t xml:space="preserve"> </w:t>
      </w:r>
      <w:r w:rsidR="00820B72" w:rsidRPr="00820B72">
        <w:t>861,853</w:t>
      </w:r>
      <w:r w:rsidR="009141A4">
        <w:t xml:space="preserve">, </w:t>
      </w:r>
      <w:r w:rsidR="00177CDB">
        <w:t>an average of</w:t>
      </w:r>
      <w:r>
        <w:t xml:space="preserve"> </w:t>
      </w:r>
      <w:r w:rsidR="009B3C39">
        <w:t>27</w:t>
      </w:r>
      <w:r w:rsidR="00C16F70">
        <w:t>.</w:t>
      </w:r>
      <w:r w:rsidR="00820B72">
        <w:t>8</w:t>
      </w:r>
      <w:r w:rsidR="00AB0008">
        <w:t xml:space="preserve"> thousand</w:t>
      </w:r>
      <w:r w:rsidR="00C2676B" w:rsidRPr="00C2676B">
        <w:t xml:space="preserve"> </w:t>
      </w:r>
      <w:r w:rsidRPr="005B7C87">
        <w:t>per day</w:t>
      </w:r>
      <w:r w:rsidR="00AB70A4">
        <w:t xml:space="preserve">. </w:t>
      </w:r>
      <w:r w:rsidR="007F4016">
        <w:t>Figure</w:t>
      </w:r>
      <w:r w:rsidR="00D643D9">
        <w:t xml:space="preserve"> 4 shows that there is a fair amount variation in call volume.</w:t>
      </w:r>
      <w:r w:rsidR="0077674C" w:rsidRPr="0077674C">
        <w:t xml:space="preserve"> </w:t>
      </w:r>
    </w:p>
    <w:p w:rsidR="00497452" w:rsidRDefault="00AD7C90" w:rsidP="00AD7C90">
      <w:r>
        <w:t xml:space="preserve">There were </w:t>
      </w:r>
      <w:r w:rsidR="00820B72" w:rsidRPr="00820B72">
        <w:t>594,863</w:t>
      </w:r>
      <w:r w:rsidR="00820B72">
        <w:t xml:space="preserve"> </w:t>
      </w:r>
      <w:r w:rsidRPr="00AD7C90">
        <w:t>emergency calls that receive</w:t>
      </w:r>
      <w:r w:rsidR="00037F53">
        <w:t>d</w:t>
      </w:r>
      <w:r w:rsidRPr="00AD7C90">
        <w:t xml:space="preserve"> a face-to-face resp</w:t>
      </w:r>
      <w:r>
        <w:t xml:space="preserve">onse from the ambulance service in </w:t>
      </w:r>
      <w:r w:rsidR="00820B72">
        <w:t>March</w:t>
      </w:r>
      <w:r w:rsidR="00BF4628">
        <w:t xml:space="preserve"> </w:t>
      </w:r>
      <w:r>
        <w:t>201</w:t>
      </w:r>
      <w:r w:rsidR="00F72AB0">
        <w:t xml:space="preserve">6, </w:t>
      </w:r>
      <w:r w:rsidR="002C28AD">
        <w:t xml:space="preserve">an average of </w:t>
      </w:r>
      <w:r w:rsidR="00820B72">
        <w:t>19.2</w:t>
      </w:r>
      <w:r w:rsidR="00AB0008">
        <w:t xml:space="preserve"> thousand</w:t>
      </w:r>
      <w:r w:rsidR="002C28AD" w:rsidRPr="00C2676B">
        <w:t xml:space="preserve"> </w:t>
      </w:r>
      <w:r w:rsidR="00D02FAE">
        <w:t>per day.</w:t>
      </w:r>
      <w:r w:rsidR="00820B72">
        <w:t xml:space="preserve"> This is the highest number recorded since th</w:t>
      </w:r>
      <w:r w:rsidR="00497452">
        <w:t>is data collection began</w:t>
      </w:r>
      <w:r w:rsidR="00820B72">
        <w:t>.</w:t>
      </w:r>
    </w:p>
    <w:p w:rsidR="00497452" w:rsidRDefault="00497452" w:rsidP="00497452">
      <w:r>
        <w:br w:type="page"/>
      </w:r>
    </w:p>
    <w:p w:rsidR="003F3CB1" w:rsidRDefault="003F3CB1" w:rsidP="00AD7C90"/>
    <w:p w:rsidR="00191AB9" w:rsidRDefault="004849F5" w:rsidP="00806A50">
      <w:pPr>
        <w:widowControl w:val="0"/>
      </w:pPr>
      <w:r>
        <w:t>T</w:t>
      </w:r>
      <w:r w:rsidR="00A32B3E">
        <w:t xml:space="preserve">here were </w:t>
      </w:r>
      <w:r w:rsidR="00820B72" w:rsidRPr="00820B72">
        <w:t>420,339</w:t>
      </w:r>
      <w:r w:rsidR="00820B72">
        <w:t xml:space="preserve">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6"/>
      </w:r>
      <w:r w:rsidR="00191AB9">
        <w:t xml:space="preserve"> in </w:t>
      </w:r>
      <w:r w:rsidR="00985E54">
        <w:t>March</w:t>
      </w:r>
      <w:r w:rsidR="00C137F2">
        <w:t xml:space="preserve"> </w:t>
      </w:r>
      <w:r w:rsidR="00D02FAE">
        <w:t>2016</w:t>
      </w:r>
      <w:r w:rsidR="00D52EE6">
        <w:t xml:space="preserve">, an </w:t>
      </w:r>
      <w:r w:rsidR="00037F53">
        <w:t xml:space="preserve">average </w:t>
      </w:r>
      <w:r w:rsidR="00F23C98">
        <w:t xml:space="preserve">of </w:t>
      </w:r>
      <w:r w:rsidR="004C6932">
        <w:t>13.</w:t>
      </w:r>
      <w:r w:rsidR="00820B72">
        <w:t>6</w:t>
      </w:r>
      <w:r w:rsidR="00AB0008">
        <w:t xml:space="preserve"> thousand</w:t>
      </w:r>
      <w:r w:rsidR="00C2676B" w:rsidRPr="00C2676B">
        <w:t xml:space="preserve"> </w:t>
      </w:r>
      <w:r w:rsidR="00191AB9">
        <w:t>per day</w:t>
      </w:r>
      <w:r w:rsidR="004C0349">
        <w:t>.</w:t>
      </w:r>
    </w:p>
    <w:p w:rsidR="00F51851" w:rsidRDefault="003C24D1" w:rsidP="003425A1">
      <w:pPr>
        <w:rPr>
          <w:noProof/>
        </w:rPr>
      </w:pPr>
      <w:r>
        <w:t xml:space="preserve">There were </w:t>
      </w:r>
      <w:r w:rsidR="00820B72" w:rsidRPr="00820B72">
        <w:t>319,990</w:t>
      </w:r>
      <w:r w:rsidR="00820B72">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820B72">
        <w:t>March</w:t>
      </w:r>
      <w:r w:rsidR="00793175">
        <w:t xml:space="preserve"> </w:t>
      </w:r>
      <w:r w:rsidR="00D02FAE">
        <w:t>2016</w:t>
      </w:r>
      <w:r w:rsidR="002941E6">
        <w:t>,</w:t>
      </w:r>
      <w:r w:rsidR="00820B72">
        <w:t xml:space="preserve"> this equates to 10.3</w:t>
      </w:r>
      <w:r w:rsidR="00AB0008">
        <w:t xml:space="preserve"> thousand</w:t>
      </w:r>
      <w:r w:rsidR="00474314">
        <w:t xml:space="preserve"> </w:t>
      </w:r>
      <w:r w:rsidR="00191AB9">
        <w:t>per day</w:t>
      </w:r>
      <w:r w:rsidR="004C0349">
        <w:t>,</w:t>
      </w:r>
      <w:r w:rsidR="00DA0061">
        <w:t xml:space="preserve"> the highest figure since records began</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F5150D">
        <w:t xml:space="preserve"> 2015</w:t>
      </w:r>
      <w:r w:rsidR="005376AA">
        <w:t>.</w:t>
      </w:r>
    </w:p>
    <w:p w:rsidR="00266D58" w:rsidRDefault="00266D58" w:rsidP="00F51851">
      <w:pPr>
        <w:jc w:val="center"/>
      </w:pPr>
    </w:p>
    <w:p w:rsidR="00F51851" w:rsidRDefault="00820B72" w:rsidP="00F51851">
      <w:pPr>
        <w:jc w:val="center"/>
      </w:pPr>
      <w:r>
        <w:rPr>
          <w:noProof/>
        </w:rPr>
        <w:drawing>
          <wp:inline distT="0" distB="0" distL="0" distR="0" wp14:anchorId="56DD899D" wp14:editId="0BF52128">
            <wp:extent cx="4954772" cy="4998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4773" cy="4998395"/>
                    </a:xfrm>
                    <a:prstGeom prst="rect">
                      <a:avLst/>
                    </a:prstGeom>
                    <a:noFill/>
                  </pic:spPr>
                </pic:pic>
              </a:graphicData>
            </a:graphic>
          </wp:inline>
        </w:drawing>
      </w:r>
    </w:p>
    <w:p w:rsidR="003425A1" w:rsidRDefault="003425A1" w:rsidP="003425A1">
      <w:pPr>
        <w:pStyle w:val="NoSpacing"/>
      </w:pP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820B72">
        <w:t>March</w:t>
      </w:r>
      <w:r w:rsidR="0013777A">
        <w:t xml:space="preserve"> </w:t>
      </w:r>
      <w:r w:rsidR="00911BEB">
        <w:t>2016</w:t>
      </w:r>
      <w:r>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154B4">
        <w:trPr>
          <w:cantSplit/>
          <w:trHeight w:val="567"/>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AB3F6D" w:rsidP="00081437">
            <w:pPr>
              <w:pStyle w:val="NoSpacing"/>
              <w:jc w:val="right"/>
              <w:rPr>
                <w:sz w:val="22"/>
                <w:szCs w:val="22"/>
              </w:rPr>
            </w:pPr>
            <w:r>
              <w:rPr>
                <w:szCs w:val="22"/>
              </w:rPr>
              <w:t>1.3%</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C90D22">
              <w:rPr>
                <w:szCs w:val="22"/>
              </w:rPr>
              <w:t>3</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C90D22" w:rsidP="00C90D22">
            <w:pPr>
              <w:pStyle w:val="NoSpacing"/>
              <w:jc w:val="center"/>
            </w:pPr>
            <w:r>
              <w:t>South Western</w:t>
            </w:r>
          </w:p>
        </w:tc>
        <w:tc>
          <w:tcPr>
            <w:tcW w:w="852" w:type="dxa"/>
            <w:tcBorders>
              <w:top w:val="single" w:sz="4" w:space="0" w:color="auto"/>
            </w:tcBorders>
            <w:shd w:val="clear" w:color="000000" w:fill="FFFFFF"/>
            <w:vAlign w:val="center"/>
          </w:tcPr>
          <w:p w:rsidR="0032599C" w:rsidRPr="00E53110" w:rsidRDefault="00820B72" w:rsidP="00F64059">
            <w:pPr>
              <w:pStyle w:val="NoSpacing"/>
              <w:jc w:val="right"/>
              <w:rPr>
                <w:sz w:val="22"/>
                <w:szCs w:val="22"/>
              </w:rPr>
            </w:pPr>
            <w:r>
              <w:rPr>
                <w:szCs w:val="22"/>
              </w:rPr>
              <w:t xml:space="preserve">3.5 </w:t>
            </w:r>
            <w:r w:rsidR="007D2560" w:rsidRPr="007D2560">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820B72" w:rsidP="00C90D22">
            <w:pPr>
              <w:pStyle w:val="NoSpacing"/>
              <w:jc w:val="right"/>
              <w:rPr>
                <w:rFonts w:cs="Arial"/>
              </w:rPr>
            </w:pPr>
            <w:r>
              <w:rPr>
                <w:rFonts w:cs="Arial"/>
              </w:rPr>
              <w:t>10.2</w:t>
            </w:r>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820B72" w:rsidP="00D520D5">
            <w:pPr>
              <w:pStyle w:val="NoSpacing"/>
              <w:jc w:val="right"/>
              <w:rPr>
                <w:sz w:val="22"/>
                <w:szCs w:val="22"/>
              </w:rPr>
            </w:pPr>
            <w:r>
              <w:rPr>
                <w:szCs w:val="22"/>
              </w:rPr>
              <w:t>5.7</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911BEB" w:rsidP="00AB70A4">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820B72">
              <w:rPr>
                <w:szCs w:val="22"/>
              </w:rPr>
              <w:t>5.8</w:t>
            </w:r>
            <w:r w:rsidR="0037489E" w:rsidRPr="0037489E">
              <w:rPr>
                <w:szCs w:val="22"/>
              </w:rPr>
              <w:t>%</w:t>
            </w:r>
          </w:p>
        </w:tc>
      </w:tr>
      <w:tr w:rsidR="0037489E" w:rsidRPr="006875C7" w:rsidTr="006154B4">
        <w:trPr>
          <w:cantSplit/>
          <w:trHeight w:val="567"/>
        </w:trPr>
        <w:tc>
          <w:tcPr>
            <w:tcW w:w="3601" w:type="dxa"/>
            <w:tcBorders>
              <w:right w:val="single" w:sz="4" w:space="0" w:color="auto"/>
            </w:tcBorders>
            <w:shd w:val="clear" w:color="000000" w:fill="FFFFFF"/>
            <w:vAlign w:val="center"/>
            <w:hideMark/>
          </w:tcPr>
          <w:p w:rsidR="0032599C" w:rsidRPr="00F5150D" w:rsidRDefault="0032599C" w:rsidP="00AB70A4">
            <w:pPr>
              <w:pStyle w:val="NoSpacing"/>
              <w:rPr>
                <w:vertAlign w:val="superscript"/>
              </w:rPr>
            </w:pPr>
            <w:r w:rsidRPr="00330CA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30CA6" w:rsidRDefault="00820B72" w:rsidP="00B870E5">
            <w:pPr>
              <w:pStyle w:val="NoSpacing"/>
              <w:jc w:val="right"/>
              <w:rPr>
                <w:sz w:val="22"/>
                <w:szCs w:val="22"/>
              </w:rPr>
            </w:pPr>
            <w:r>
              <w:rPr>
                <w:szCs w:val="22"/>
              </w:rPr>
              <w:t>38</w:t>
            </w:r>
            <w:r w:rsidR="00837B74" w:rsidRPr="00330CA6">
              <w:rPr>
                <w:szCs w:val="22"/>
              </w:rPr>
              <w:t>.</w:t>
            </w:r>
            <w:r>
              <w:rPr>
                <w:szCs w:val="22"/>
              </w:rPr>
              <w:t>7</w:t>
            </w:r>
            <w:r w:rsidR="0032599C" w:rsidRPr="00330CA6">
              <w:rPr>
                <w:szCs w:val="22"/>
              </w:rPr>
              <w:t>%</w:t>
            </w:r>
          </w:p>
        </w:tc>
        <w:tc>
          <w:tcPr>
            <w:tcW w:w="1417" w:type="dxa"/>
            <w:tcBorders>
              <w:left w:val="single" w:sz="4" w:space="0" w:color="auto"/>
            </w:tcBorders>
            <w:shd w:val="clear" w:color="000000" w:fill="FFFFFF"/>
            <w:vAlign w:val="center"/>
            <w:hideMark/>
          </w:tcPr>
          <w:p w:rsidR="0032599C" w:rsidRPr="00330CA6" w:rsidRDefault="00C90D22" w:rsidP="002221E6">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330CA6" w:rsidRDefault="00653E5D" w:rsidP="00D520D5">
            <w:pPr>
              <w:pStyle w:val="NoSpacing"/>
              <w:jc w:val="right"/>
              <w:rPr>
                <w:sz w:val="22"/>
                <w:szCs w:val="22"/>
              </w:rPr>
            </w:pPr>
            <w:r w:rsidRPr="00330CA6">
              <w:rPr>
                <w:szCs w:val="22"/>
              </w:rPr>
              <w:t>29</w:t>
            </w:r>
            <w:r w:rsidR="00A733D7" w:rsidRPr="00330CA6">
              <w:rPr>
                <w:szCs w:val="22"/>
              </w:rPr>
              <w:t>.</w:t>
            </w:r>
            <w:r w:rsidR="00820B72">
              <w:rPr>
                <w:szCs w:val="22"/>
              </w:rPr>
              <w:t>4</w:t>
            </w:r>
            <w:r w:rsidR="0037489E" w:rsidRPr="00330CA6">
              <w:rPr>
                <w:szCs w:val="22"/>
              </w:rPr>
              <w:t>%</w:t>
            </w:r>
          </w:p>
        </w:tc>
        <w:tc>
          <w:tcPr>
            <w:tcW w:w="1417" w:type="dxa"/>
            <w:tcBorders>
              <w:left w:val="single" w:sz="4" w:space="0" w:color="auto"/>
            </w:tcBorders>
            <w:shd w:val="clear" w:color="000000" w:fill="FFFFFF"/>
            <w:vAlign w:val="center"/>
            <w:hideMark/>
          </w:tcPr>
          <w:p w:rsidR="00330CA6" w:rsidRPr="00330CA6" w:rsidRDefault="0032599C" w:rsidP="00820B72">
            <w:pPr>
              <w:pStyle w:val="NoSpacing"/>
              <w:jc w:val="center"/>
              <w:rPr>
                <w:szCs w:val="22"/>
              </w:rPr>
            </w:pPr>
            <w:r w:rsidRPr="00330CA6">
              <w:rPr>
                <w:szCs w:val="22"/>
              </w:rPr>
              <w:t xml:space="preserve">South </w:t>
            </w:r>
            <w:r w:rsidR="00820B72">
              <w:rPr>
                <w:szCs w:val="22"/>
              </w:rPr>
              <w:t>East Coast</w:t>
            </w:r>
            <w:r w:rsidR="00C90D22">
              <w:rPr>
                <w:rStyle w:val="FootnoteReference"/>
              </w:rPr>
              <w:footnoteReference w:id="7"/>
            </w:r>
          </w:p>
        </w:tc>
        <w:tc>
          <w:tcPr>
            <w:tcW w:w="852" w:type="dxa"/>
            <w:shd w:val="clear" w:color="000000" w:fill="FFFFFF"/>
            <w:vAlign w:val="center"/>
          </w:tcPr>
          <w:p w:rsidR="0032599C" w:rsidRPr="00330CA6" w:rsidRDefault="00820B72" w:rsidP="00C90D22">
            <w:pPr>
              <w:pStyle w:val="NoSpacing"/>
              <w:jc w:val="right"/>
              <w:rPr>
                <w:sz w:val="22"/>
                <w:szCs w:val="22"/>
              </w:rPr>
            </w:pPr>
            <w:r>
              <w:rPr>
                <w:szCs w:val="22"/>
              </w:rPr>
              <w:t>50</w:t>
            </w:r>
            <w:r w:rsidR="00911BEB">
              <w:rPr>
                <w:szCs w:val="22"/>
              </w:rPr>
              <w:t>.</w:t>
            </w:r>
            <w:r>
              <w:rPr>
                <w:szCs w:val="22"/>
              </w:rPr>
              <w:t>7</w:t>
            </w:r>
            <w:r w:rsidR="0037489E" w:rsidRPr="00330CA6">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proofErr w:type="spellStart"/>
            <w:r w:rsidRPr="00E53110">
              <w:t>Recontact</w:t>
            </w:r>
            <w:proofErr w:type="spellEnd"/>
            <w:r w:rsidRPr="00E53110">
              <w:t xml:space="preserve">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882BC2" w:rsidP="00AB107E">
            <w:pPr>
              <w:pStyle w:val="NoSpacing"/>
              <w:jc w:val="right"/>
              <w:rPr>
                <w:sz w:val="22"/>
                <w:szCs w:val="22"/>
              </w:rPr>
            </w:pPr>
            <w:r>
              <w:rPr>
                <w:szCs w:val="22"/>
              </w:rPr>
              <w:t>6.</w:t>
            </w:r>
            <w:r w:rsidR="00820B72">
              <w:rPr>
                <w:szCs w:val="22"/>
              </w:rPr>
              <w:t>5</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AB107E"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820B72" w:rsidP="006F26D8">
            <w:pPr>
              <w:pStyle w:val="NoSpacing"/>
              <w:jc w:val="right"/>
              <w:rPr>
                <w:sz w:val="22"/>
                <w:szCs w:val="22"/>
              </w:rPr>
            </w:pPr>
            <w:r>
              <w:rPr>
                <w:szCs w:val="22"/>
              </w:rPr>
              <w:t>1.8</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C90D22" w:rsidP="00AB107E">
            <w:pPr>
              <w:pStyle w:val="NoSpacing"/>
              <w:jc w:val="center"/>
              <w:rPr>
                <w:sz w:val="22"/>
                <w:szCs w:val="22"/>
              </w:rPr>
            </w:pPr>
            <w:r>
              <w:rPr>
                <w:szCs w:val="22"/>
              </w:rPr>
              <w:t>West Midlands</w:t>
            </w:r>
          </w:p>
        </w:tc>
        <w:tc>
          <w:tcPr>
            <w:tcW w:w="852" w:type="dxa"/>
            <w:shd w:val="clear" w:color="000000" w:fill="FFFFFF"/>
            <w:vAlign w:val="center"/>
          </w:tcPr>
          <w:p w:rsidR="0032599C" w:rsidRPr="00E53110" w:rsidRDefault="00837B74" w:rsidP="00C90D22">
            <w:pPr>
              <w:pStyle w:val="NoSpacing"/>
              <w:jc w:val="right"/>
              <w:rPr>
                <w:sz w:val="22"/>
                <w:szCs w:val="22"/>
              </w:rPr>
            </w:pPr>
            <w:r>
              <w:rPr>
                <w:szCs w:val="22"/>
              </w:rPr>
              <w:t>1</w:t>
            </w:r>
            <w:r w:rsidR="00820B72">
              <w:rPr>
                <w:szCs w:val="22"/>
              </w:rPr>
              <w:t>4</w:t>
            </w:r>
            <w:r w:rsidR="00AB107E">
              <w:rPr>
                <w:szCs w:val="22"/>
              </w:rPr>
              <w:t>.</w:t>
            </w:r>
            <w:r w:rsidR="00820B72">
              <w:rPr>
                <w:szCs w:val="22"/>
              </w:rPr>
              <w:t>3</w:t>
            </w:r>
            <w:r w:rsidR="0037489E" w:rsidRPr="0037489E">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AB70A4">
            <w:pPr>
              <w:pStyle w:val="NoSpacing"/>
            </w:pPr>
            <w:proofErr w:type="spellStart"/>
            <w:r w:rsidRPr="00E53110">
              <w:t>Recontact</w:t>
            </w:r>
            <w:proofErr w:type="spellEnd"/>
            <w:r w:rsidRPr="00E53110">
              <w:t xml:space="preserve">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B107E">
            <w:pPr>
              <w:pStyle w:val="NoSpacing"/>
              <w:jc w:val="right"/>
              <w:rPr>
                <w:sz w:val="22"/>
                <w:szCs w:val="22"/>
              </w:rPr>
            </w:pPr>
            <w:r w:rsidRPr="00753EA9">
              <w:rPr>
                <w:szCs w:val="22"/>
              </w:rPr>
              <w:t>5.</w:t>
            </w:r>
            <w:r w:rsidR="00820B72">
              <w:rPr>
                <w:szCs w:val="22"/>
              </w:rPr>
              <w:t>5</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6372" w:rsidP="00882BC2">
            <w:pPr>
              <w:pStyle w:val="NoSpacing"/>
              <w:jc w:val="center"/>
              <w:rPr>
                <w:sz w:val="22"/>
              </w:rPr>
            </w:pPr>
            <w:r>
              <w:t>Yorkshire</w:t>
            </w:r>
            <w:r w:rsidR="00C90D22" w:rsidRPr="00911BEB">
              <w:rPr>
                <w:szCs w:val="22"/>
                <w:vertAlign w:val="superscript"/>
              </w:rPr>
              <w:t>7</w:t>
            </w:r>
          </w:p>
        </w:tc>
        <w:tc>
          <w:tcPr>
            <w:tcW w:w="850" w:type="dxa"/>
            <w:tcBorders>
              <w:right w:val="single" w:sz="4" w:space="0" w:color="auto"/>
            </w:tcBorders>
            <w:shd w:val="clear" w:color="000000" w:fill="FFFFFF"/>
            <w:vAlign w:val="center"/>
          </w:tcPr>
          <w:p w:rsidR="0032599C" w:rsidRPr="00E53110" w:rsidRDefault="00820B72" w:rsidP="00C90D22">
            <w:pPr>
              <w:pStyle w:val="NoSpacing"/>
              <w:jc w:val="right"/>
              <w:rPr>
                <w:sz w:val="22"/>
                <w:szCs w:val="22"/>
              </w:rPr>
            </w:pPr>
            <w:r>
              <w:rPr>
                <w:szCs w:val="22"/>
              </w:rPr>
              <w:t>3</w:t>
            </w:r>
            <w:r w:rsidR="0032599C" w:rsidRPr="00753EA9">
              <w:rPr>
                <w:szCs w:val="22"/>
              </w:rPr>
              <w:t>.</w:t>
            </w:r>
            <w:r>
              <w:rPr>
                <w:szCs w:val="22"/>
              </w:rPr>
              <w:t>2</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8862A6" w:rsidP="00753EA9">
            <w:pPr>
              <w:pStyle w:val="NoSpacing"/>
              <w:jc w:val="right"/>
              <w:rPr>
                <w:sz w:val="22"/>
                <w:szCs w:val="22"/>
              </w:rPr>
            </w:pPr>
            <w:r>
              <w:rPr>
                <w:szCs w:val="22"/>
              </w:rPr>
              <w:t>8.8</w:t>
            </w:r>
            <w:r w:rsidR="00D6205D" w:rsidRPr="00D6205D">
              <w:rPr>
                <w:szCs w:val="22"/>
              </w:rPr>
              <w:t>%</w:t>
            </w:r>
          </w:p>
        </w:tc>
      </w:tr>
      <w:tr w:rsidR="0037489E" w:rsidTr="006154B4">
        <w:trPr>
          <w:cantSplit/>
          <w:trHeight w:val="567"/>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8862A6" w:rsidP="00882BC2">
            <w:pPr>
              <w:jc w:val="right"/>
              <w:rPr>
                <w:rFonts w:cs="Arial"/>
              </w:rPr>
            </w:pPr>
            <w:r w:rsidRPr="008862A6">
              <w:rPr>
                <w:rFonts w:cs="Arial"/>
              </w:rPr>
              <w:t>420,343</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North</w:t>
            </w:r>
          </w:p>
          <w:p w:rsidR="0032599C" w:rsidRPr="00E53110" w:rsidRDefault="0032599C" w:rsidP="00C90D22">
            <w:pPr>
              <w:pStyle w:val="NoSpacing"/>
              <w:jc w:val="center"/>
              <w:rPr>
                <w:sz w:val="22"/>
                <w:szCs w:val="22"/>
              </w:rPr>
            </w:pPr>
            <w:r w:rsidRPr="009E4593">
              <w:t>East</w:t>
            </w:r>
            <w:r w:rsidR="00ED429A" w:rsidRPr="00911BEB">
              <w:rPr>
                <w:szCs w:val="22"/>
                <w:vertAlign w:val="superscript"/>
              </w:rPr>
              <w:t>7</w:t>
            </w:r>
          </w:p>
        </w:tc>
        <w:tc>
          <w:tcPr>
            <w:tcW w:w="850" w:type="dxa"/>
            <w:tcBorders>
              <w:bottom w:val="single" w:sz="4" w:space="0" w:color="auto"/>
              <w:right w:val="single" w:sz="4" w:space="0" w:color="auto"/>
            </w:tcBorders>
            <w:shd w:val="clear" w:color="auto" w:fill="auto"/>
            <w:vAlign w:val="center"/>
          </w:tcPr>
          <w:p w:rsidR="00A75E1A" w:rsidRPr="00A2578D" w:rsidRDefault="008862A6" w:rsidP="00882BC2">
            <w:pPr>
              <w:jc w:val="right"/>
              <w:rPr>
                <w:rFonts w:cs="Arial"/>
              </w:rPr>
            </w:pPr>
            <w:r w:rsidRPr="008862A6">
              <w:rPr>
                <w:rFonts w:cs="Arial"/>
              </w:rPr>
              <w:t>21,093</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8862A6" w:rsidP="00882BC2">
            <w:pPr>
              <w:jc w:val="right"/>
              <w:rPr>
                <w:rFonts w:cs="Arial"/>
              </w:rPr>
            </w:pPr>
            <w:r w:rsidRPr="008862A6">
              <w:rPr>
                <w:rFonts w:cs="Arial"/>
              </w:rPr>
              <w:t>68,315</w:t>
            </w:r>
          </w:p>
        </w:tc>
      </w:tr>
    </w:tbl>
    <w:p w:rsidR="00043776" w:rsidRDefault="00043776" w:rsidP="00043776">
      <w:pPr>
        <w:pStyle w:val="NoSpacing"/>
      </w:pPr>
    </w:p>
    <w:p w:rsidR="0054610C" w:rsidRDefault="00ED429A" w:rsidP="00C73251">
      <w:r>
        <w:t xml:space="preserve">In </w:t>
      </w:r>
      <w:r w:rsidR="008862A6">
        <w:t>March</w:t>
      </w:r>
      <w:r w:rsidR="00911BEB">
        <w:t xml:space="preserve"> 2016</w:t>
      </w:r>
      <w:r w:rsidR="00A95D10">
        <w:t xml:space="preserve">, the </w:t>
      </w:r>
      <w:r w:rsidR="00043776">
        <w:t xml:space="preserve">proportion </w:t>
      </w:r>
      <w:r w:rsidR="00A95D10">
        <w:t>of c</w:t>
      </w:r>
      <w:r w:rsidR="00A95D10" w:rsidRPr="00A95D10">
        <w:t>alls resolved through telephone assessment</w:t>
      </w:r>
      <w:r w:rsidR="00145910">
        <w:t xml:space="preserve"> was</w:t>
      </w:r>
      <w:r w:rsidR="008862A6">
        <w:t xml:space="preserve"> 10</w:t>
      </w:r>
      <w:r w:rsidR="00EB2D25">
        <w:t>.</w:t>
      </w:r>
      <w:r w:rsidR="008862A6">
        <w:t>2</w:t>
      </w:r>
      <w:r w:rsidR="009C268C">
        <w:t>%,</w:t>
      </w:r>
      <w:r w:rsidR="00145910">
        <w:t xml:space="preserve"> </w:t>
      </w:r>
      <w:r w:rsidR="008862A6">
        <w:t>higher than the 8.9</w:t>
      </w:r>
      <w:r w:rsidR="00911BEB">
        <w:t xml:space="preserve">% recorded in </w:t>
      </w:r>
      <w:r w:rsidR="008862A6">
        <w:t>March</w:t>
      </w:r>
      <w:r w:rsidR="00DA0061">
        <w:t xml:space="preserve"> 2015</w:t>
      </w:r>
      <w:r w:rsidR="00E6125B">
        <w:t>.</w:t>
      </w:r>
    </w:p>
    <w:p w:rsidR="00145910" w:rsidRDefault="00145910" w:rsidP="00C73251">
      <w:r>
        <w:t>Of emergency calls resolved with telephone advice, the proportion where the patient subsequently re-cont</w:t>
      </w:r>
      <w:r w:rsidR="009E4E86">
        <w:t>acts</w:t>
      </w:r>
      <w:r w:rsidR="00882BC2">
        <w:t xml:space="preserve"> 999 within 24 hours was 6.</w:t>
      </w:r>
      <w:r w:rsidR="008862A6">
        <w:t>5</w:t>
      </w:r>
      <w:r w:rsidR="00882BC2">
        <w:t>% in</w:t>
      </w:r>
      <w:r w:rsidR="00ED429A">
        <w:t xml:space="preserve"> </w:t>
      </w:r>
      <w:r w:rsidR="000A119D">
        <w:t xml:space="preserve">March </w:t>
      </w:r>
      <w:r w:rsidR="0074090B">
        <w:t>2016</w:t>
      </w:r>
      <w:r w:rsidR="00882BC2">
        <w:t>.</w:t>
      </w:r>
    </w:p>
    <w:p w:rsidR="00701404" w:rsidRDefault="00701404" w:rsidP="00701404">
      <w:pPr>
        <w:pStyle w:val="Heading3"/>
      </w:pPr>
      <w:r>
        <w:t>A6</w:t>
      </w:r>
      <w:r>
        <w:tab/>
        <w:t>Trust-level annual analysis: resolved without transport</w:t>
      </w:r>
      <w:r w:rsidRPr="00F7048D">
        <w:t xml:space="preserve"> </w:t>
      </w:r>
    </w:p>
    <w:p w:rsidR="00701404" w:rsidRDefault="00701404" w:rsidP="00701404">
      <w:r>
        <w:t>Figure 5 shows, of all calls that receive a telephone or face-to-face response from the ambulance service, the proportion resolved by telephone advice. This is sometimes referred to as “hear and treat”. For all England, this has increased from 5% in 2011-12 to 10% in 2015-16.</w:t>
      </w:r>
    </w:p>
    <w:p w:rsidR="00701404" w:rsidRPr="00554203" w:rsidRDefault="00701404" w:rsidP="00701404">
      <w:r>
        <w:t>In 2015-16, East Midlands had the largest proportion with 15%. West Midlands had the lowest proportion in 2015-16 with 5% of calls being resolved with telephone advice.  Both North West and East Midlands greater than doubled their ‘hear and treat’ rates in 2015-16</w:t>
      </w:r>
      <w:r w:rsidR="00C0220F">
        <w:t xml:space="preserve"> compared to their 2014-15 rates.</w:t>
      </w:r>
    </w:p>
    <w:p w:rsidR="00701404" w:rsidRDefault="00701404" w:rsidP="00701404">
      <w:pPr>
        <w:pStyle w:val="Heading5"/>
      </w:pPr>
      <w:r>
        <w:lastRenderedPageBreak/>
        <w:t>Figure 5: Calls resolved by telephone advice</w:t>
      </w:r>
    </w:p>
    <w:p w:rsidR="00701404" w:rsidRDefault="00C0220F" w:rsidP="00701404">
      <w:r>
        <w:rPr>
          <w:noProof/>
        </w:rPr>
        <w:drawing>
          <wp:inline distT="0" distB="0" distL="0" distR="0" wp14:anchorId="5605BC31" wp14:editId="35119AA3">
            <wp:extent cx="5706110" cy="2030095"/>
            <wp:effectExtent l="0" t="0" r="889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2030095"/>
                    </a:xfrm>
                    <a:prstGeom prst="rect">
                      <a:avLst/>
                    </a:prstGeom>
                    <a:noFill/>
                  </pic:spPr>
                </pic:pic>
              </a:graphicData>
            </a:graphic>
          </wp:inline>
        </w:drawing>
      </w:r>
    </w:p>
    <w:p w:rsidR="00701404" w:rsidRDefault="00701404" w:rsidP="00701404">
      <w:pPr>
        <w:pStyle w:val="Heading5"/>
      </w:pPr>
      <w:r>
        <w:t>Figure 6: Calls where no patients taken to Type 1 or Type 2 A&amp;E</w:t>
      </w:r>
    </w:p>
    <w:p w:rsidR="00701404" w:rsidRDefault="00C0220F" w:rsidP="00701404">
      <w:r>
        <w:rPr>
          <w:noProof/>
        </w:rPr>
        <w:drawing>
          <wp:inline distT="0" distB="0" distL="0" distR="0" wp14:anchorId="7F663C33" wp14:editId="10205A54">
            <wp:extent cx="5675630" cy="2036445"/>
            <wp:effectExtent l="0" t="0" r="127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630" cy="2036445"/>
                    </a:xfrm>
                    <a:prstGeom prst="rect">
                      <a:avLst/>
                    </a:prstGeom>
                    <a:noFill/>
                  </pic:spPr>
                </pic:pic>
              </a:graphicData>
            </a:graphic>
          </wp:inline>
        </w:drawing>
      </w:r>
    </w:p>
    <w:p w:rsidR="00701404" w:rsidRDefault="00701404" w:rsidP="00701404">
      <w:r>
        <w:t>Figure 6 shows, of all calls that receive a face-to-face response from the ambulance service, the proportion where no patients were taken to a Type 1 or Type 2 A&amp;E. This is sometimes referred to as “see and treat”.</w:t>
      </w:r>
    </w:p>
    <w:p w:rsidR="00701404" w:rsidRDefault="00701404" w:rsidP="00701404">
      <w:r>
        <w:t xml:space="preserve">Such patients are taken elsewhere (such as a minor injuries unit), or referred to an alternative care pathway, or discharged after treatment at the scene. Across the whole of England, the proportion not taken to Type 1 or Type 2 A&amp;E increased </w:t>
      </w:r>
      <w:r w:rsidR="00C0220F">
        <w:t>slowly from 34% in 2011-12 to 38% in 2015-16</w:t>
      </w:r>
      <w:r>
        <w:t>.</w:t>
      </w:r>
    </w:p>
    <w:p w:rsidR="00701404" w:rsidRDefault="00C0220F" w:rsidP="00701404">
      <w:r>
        <w:t>In all five</w:t>
      </w:r>
      <w:r w:rsidR="00701404">
        <w:t xml:space="preserve"> years the highest proportion was in South W</w:t>
      </w:r>
      <w:r>
        <w:t>estern, with 52% in the last three</w:t>
      </w:r>
      <w:r w:rsidR="00701404">
        <w:t xml:space="preserve"> years. The lowest proportion in each year was in North West, despite this measure increasing there </w:t>
      </w:r>
      <w:r>
        <w:t>from 19% in 2011-12 to 31% in 2015-16</w:t>
      </w:r>
      <w:r w:rsidR="00701404">
        <w:t>.</w:t>
      </w:r>
    </w:p>
    <w:p w:rsidR="00701404" w:rsidRDefault="00701404" w:rsidP="00701404">
      <w:pPr>
        <w:pStyle w:val="Heading3"/>
      </w:pPr>
      <w:r>
        <w:t>A8</w:t>
      </w:r>
      <w:r>
        <w:tab/>
        <w:t>Trust-level annual analysis: re-contacts</w:t>
      </w:r>
      <w:r w:rsidRPr="00F7048D">
        <w:t xml:space="preserve"> </w:t>
      </w:r>
    </w:p>
    <w:p w:rsidR="00701404" w:rsidRDefault="00701404" w:rsidP="00701404">
      <w:r>
        <w:t>Figure 7 shows, of all emergency calls that are closed with telephone advice, the proportion with at least one re-contact from the same address within 24 hours. For all England, this has reduced from 13% in 2011-12 and 2012-13 to 10% in 2013-14</w:t>
      </w:r>
      <w:r w:rsidR="00C0220F">
        <w:t>, 8% in 2014-15 and is now at 6% in 2015-16.</w:t>
      </w:r>
    </w:p>
    <w:p w:rsidR="00701404" w:rsidRPr="001F634A" w:rsidRDefault="00701404" w:rsidP="00701404">
      <w:r>
        <w:t>This measure was highest in North West in 2011-12 and 2012-13, which had more than 30% in those years, but 13% in 2013-14 and 11% in 2014-15. Yorkshire also had proportions of 20% or more in 2011-12 and 2012-13, but its proportions in 2013-</w:t>
      </w:r>
      <w:r>
        <w:lastRenderedPageBreak/>
        <w:t>14 and 2014-15 were both 6%. This measure was lowest in London in 2013-14 and 2014-15, with 2% each year.</w:t>
      </w:r>
    </w:p>
    <w:p w:rsidR="00701404" w:rsidRDefault="00701404" w:rsidP="00701404">
      <w:pPr>
        <w:pStyle w:val="Heading5"/>
      </w:pPr>
      <w:r>
        <w:t>Figure 7: Re-contacts following calls closed with telephone advice</w:t>
      </w:r>
    </w:p>
    <w:p w:rsidR="00701404" w:rsidRDefault="00C0220F" w:rsidP="00701404">
      <w:r>
        <w:rPr>
          <w:noProof/>
        </w:rPr>
        <w:drawing>
          <wp:inline distT="0" distB="0" distL="0" distR="0" wp14:anchorId="44360E46" wp14:editId="68CE7163">
            <wp:extent cx="5706110" cy="202374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6110" cy="2023745"/>
                    </a:xfrm>
                    <a:prstGeom prst="rect">
                      <a:avLst/>
                    </a:prstGeom>
                    <a:noFill/>
                  </pic:spPr>
                </pic:pic>
              </a:graphicData>
            </a:graphic>
          </wp:inline>
        </w:drawing>
      </w:r>
    </w:p>
    <w:p w:rsidR="00701404" w:rsidRDefault="00701404" w:rsidP="00701404">
      <w:pPr>
        <w:pStyle w:val="Heading5"/>
      </w:pPr>
      <w:r>
        <w:t>Figure 8: Re-contacts following discharge on scene</w:t>
      </w:r>
    </w:p>
    <w:p w:rsidR="00701404" w:rsidRDefault="00610D36" w:rsidP="00701404">
      <w:r>
        <w:rPr>
          <w:noProof/>
        </w:rPr>
        <w:drawing>
          <wp:inline distT="0" distB="0" distL="0" distR="0" wp14:anchorId="52E0DAA0" wp14:editId="1730090A">
            <wp:extent cx="5742940" cy="21151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2115185"/>
                    </a:xfrm>
                    <a:prstGeom prst="rect">
                      <a:avLst/>
                    </a:prstGeom>
                    <a:noFill/>
                  </pic:spPr>
                </pic:pic>
              </a:graphicData>
            </a:graphic>
          </wp:inline>
        </w:drawing>
      </w:r>
    </w:p>
    <w:p w:rsidR="00701404" w:rsidRDefault="00701404" w:rsidP="00701404">
      <w:r>
        <w:t>Figure 8 shows, of all patients treated and discharged on the scene, the proportion that re-contact on the telephone within 24 hours of the initial call. This is stable at 5% or 6% across England for each</w:t>
      </w:r>
      <w:r w:rsidR="00610D36">
        <w:t xml:space="preserve"> year 2011-12 to 2015-16</w:t>
      </w:r>
      <w:r>
        <w:t>.</w:t>
      </w:r>
    </w:p>
    <w:p w:rsidR="00701404" w:rsidRDefault="00610D36" w:rsidP="00701404">
      <w:r>
        <w:t>London has reported the highest proportion of re-contacts for the past 2 years, rising to 9% in 2015-16.</w:t>
      </w:r>
      <w:r w:rsidR="00701404">
        <w:t xml:space="preserve"> Isle</w:t>
      </w:r>
      <w:r>
        <w:t xml:space="preserve"> of Wight was lowest in all five</w:t>
      </w:r>
      <w:r w:rsidR="00701404">
        <w:t xml:space="preserve"> years, always less than 4%.</w:t>
      </w:r>
    </w:p>
    <w:p w:rsidR="00701404" w:rsidRDefault="00701404" w:rsidP="00701404">
      <w:pPr>
        <w:pStyle w:val="Heading3"/>
      </w:pPr>
      <w:r>
        <w:t>A9</w:t>
      </w:r>
      <w:r>
        <w:tab/>
        <w:t xml:space="preserve">Trust-level annual analysis: Volumes of Category </w:t>
      </w:r>
      <w:proofErr w:type="gramStart"/>
      <w:r>
        <w:t>A</w:t>
      </w:r>
      <w:proofErr w:type="gramEnd"/>
      <w:r>
        <w:t xml:space="preserve"> arrivals on scene</w:t>
      </w:r>
    </w:p>
    <w:p w:rsidR="0005588D" w:rsidRDefault="00701404" w:rsidP="00701404">
      <w:r>
        <w:t xml:space="preserve">Figure 9 shows the average numbers of calls per day which led to a Category </w:t>
      </w:r>
      <w:proofErr w:type="spellStart"/>
      <w:proofErr w:type="gramStart"/>
      <w:r>
        <w:t>A</w:t>
      </w:r>
      <w:proofErr w:type="spellEnd"/>
      <w:proofErr w:type="gramEnd"/>
      <w:r>
        <w:t xml:space="preserve"> ambulance arriving at the scene. </w:t>
      </w:r>
      <w:r w:rsidR="0005588D">
        <w:t xml:space="preserve">This has increased 33% between 2011-12 and 2015-16. </w:t>
      </w:r>
    </w:p>
    <w:p w:rsidR="00701404" w:rsidRDefault="00701404" w:rsidP="00701404">
      <w:r>
        <w:t>London averaged 1,</w:t>
      </w:r>
      <w:r w:rsidR="0005588D">
        <w:t>369</w:t>
      </w:r>
      <w:r>
        <w:t xml:space="preserve"> such calls </w:t>
      </w:r>
      <w:r w:rsidR="0005588D">
        <w:t>per day in 2015-16</w:t>
      </w:r>
      <w:r>
        <w:t xml:space="preserve"> and had the largest average in each year. North West and West Midlands also averaged more than 1,000 per day</w:t>
      </w:r>
      <w:r w:rsidR="0005588D">
        <w:t xml:space="preserve"> each year since 2012-13</w:t>
      </w:r>
      <w:r>
        <w:t xml:space="preserve">. Excluding the Isle of Wight, </w:t>
      </w:r>
      <w:r w:rsidR="002574F1">
        <w:t>North East</w:t>
      </w:r>
      <w:r>
        <w:t xml:space="preserve"> had the fewest</w:t>
      </w:r>
      <w:r w:rsidR="002574F1">
        <w:t xml:space="preserve"> daily calls recorded at 519. This is followed by South Central with </w:t>
      </w:r>
      <w:proofErr w:type="gramStart"/>
      <w:r w:rsidR="002574F1">
        <w:t>525,</w:t>
      </w:r>
      <w:proofErr w:type="gramEnd"/>
      <w:r w:rsidR="002574F1">
        <w:t xml:space="preserve"> this represents an increase of nearly 80% b</w:t>
      </w:r>
      <w:r w:rsidR="0005588D">
        <w:t>etween 2011-12 and 2015-16</w:t>
      </w:r>
      <w:r>
        <w:t>.</w:t>
      </w:r>
    </w:p>
    <w:p w:rsidR="00701404" w:rsidRDefault="00610D36" w:rsidP="00701404">
      <w:r>
        <w:rPr>
          <w:noProof/>
        </w:rPr>
        <w:lastRenderedPageBreak/>
        <w:drawing>
          <wp:inline distT="0" distB="0" distL="0" distR="0" wp14:anchorId="28D7811A" wp14:editId="6E808C52">
            <wp:extent cx="5541645" cy="2578735"/>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1645" cy="2578735"/>
                    </a:xfrm>
                    <a:prstGeom prst="rect">
                      <a:avLst/>
                    </a:prstGeom>
                    <a:noFill/>
                  </pic:spPr>
                </pic:pic>
              </a:graphicData>
            </a:graphic>
          </wp:inline>
        </w:drawing>
      </w:r>
    </w:p>
    <w:p w:rsidR="00AF32CD" w:rsidRDefault="00AF32CD" w:rsidP="00AF32CD">
      <w:pPr>
        <w:pStyle w:val="Heading3"/>
      </w:pPr>
      <w:r>
        <w:t>A6</w:t>
      </w:r>
      <w:r>
        <w:tab/>
        <w:t>Revisions</w:t>
      </w:r>
    </w:p>
    <w:p w:rsidR="00175E6C" w:rsidRDefault="00175E6C" w:rsidP="00175E6C">
      <w:r>
        <w:t>Nine</w:t>
      </w:r>
      <w:r w:rsidRPr="007573D5">
        <w:t xml:space="preserve"> Trusts (</w:t>
      </w:r>
      <w:r>
        <w:t>North East</w:t>
      </w:r>
      <w:r w:rsidRPr="007573D5">
        <w:t>,</w:t>
      </w:r>
      <w:r>
        <w:t xml:space="preserve"> North West,</w:t>
      </w:r>
      <w:r w:rsidRPr="007573D5">
        <w:t xml:space="preserve"> East Midlands, West Midla</w:t>
      </w:r>
      <w:r>
        <w:t>nds, East of England, South Central, South Western, London and South East Coast</w:t>
      </w:r>
      <w:r w:rsidRPr="007573D5">
        <w:t xml:space="preserve">) have supplied us with revisions to </w:t>
      </w:r>
      <w:r>
        <w:t>data for April 2015 to March 2016</w:t>
      </w:r>
      <w:r w:rsidRPr="007573D5">
        <w:t>, which are i</w:t>
      </w:r>
      <w:r>
        <w:t>ncluded in the data in Section A</w:t>
      </w:r>
      <w:r w:rsidRPr="007573D5">
        <w:t xml:space="preserve"> above. The largest revis</w:t>
      </w:r>
      <w:r>
        <w:t>ions are for rates of ‘See and Treat’, ‘Hear and Treat’ and telephone re-contact rates</w:t>
      </w:r>
      <w:r w:rsidR="00543157">
        <w:t xml:space="preserve"> (Figures </w:t>
      </w:r>
      <w:r w:rsidR="00E21767">
        <w:t>14, 15 and 17</w:t>
      </w:r>
      <w:r w:rsidR="00543157">
        <w:t xml:space="preserve"> respectively below)</w:t>
      </w:r>
    </w:p>
    <w:p w:rsidR="00D12038" w:rsidRDefault="006E1CDF" w:rsidP="00D12038">
      <w:pPr>
        <w:pStyle w:val="Heading4"/>
        <w:jc w:val="left"/>
      </w:pPr>
      <w:r>
        <w:t>Figure 10</w:t>
      </w:r>
      <w:r w:rsidR="00D12038">
        <w:t xml:space="preserve">: Revisions to </w:t>
      </w:r>
      <w:r w:rsidR="000B7582">
        <w:t>C</w:t>
      </w:r>
      <w:r w:rsidR="00D12038" w:rsidRPr="00D12038">
        <w:t xml:space="preserve">ategory </w:t>
      </w:r>
      <w:proofErr w:type="gramStart"/>
      <w:r w:rsidR="00D12038" w:rsidRPr="00D12038">
        <w:t>A</w:t>
      </w:r>
      <w:proofErr w:type="gramEnd"/>
      <w:r w:rsidR="00D12038" w:rsidRPr="00D12038">
        <w:t xml:space="preserve"> Red 1 calls in England resulting in an emergency response, the proportion arriving within 8 minutes</w:t>
      </w:r>
    </w:p>
    <w:p w:rsidR="00D12038" w:rsidRDefault="006E1CDF" w:rsidP="00D12038">
      <w:pPr>
        <w:pStyle w:val="Heading4"/>
        <w:jc w:val="left"/>
      </w:pPr>
      <w:r>
        <w:t>Figure 11</w:t>
      </w:r>
      <w:r w:rsidR="00D12038">
        <w:t xml:space="preserve">: Revisions to Category </w:t>
      </w:r>
      <w:proofErr w:type="gramStart"/>
      <w:r w:rsidR="00D12038">
        <w:t>A</w:t>
      </w:r>
      <w:proofErr w:type="gramEnd"/>
      <w:r w:rsidR="00D12038">
        <w:t xml:space="preserve"> Red 2</w:t>
      </w:r>
      <w:r w:rsidR="00D12038" w:rsidRPr="00D12038">
        <w:t xml:space="preserve"> calls in England resulting in an emergency response, the proportion arriving within 8 minutes</w:t>
      </w:r>
    </w:p>
    <w:p w:rsidR="005B11A6" w:rsidRDefault="005B11A6" w:rsidP="00BF574C">
      <w:pPr>
        <w:pStyle w:val="Heading4"/>
        <w:jc w:val="left"/>
      </w:pPr>
    </w:p>
    <w:p w:rsidR="005B11A6" w:rsidRPr="005B11A6" w:rsidRDefault="005B11A6" w:rsidP="005B11A6">
      <w:bookmarkStart w:id="1" w:name="_GoBack"/>
      <w:r>
        <w:rPr>
          <w:noProof/>
        </w:rPr>
        <w:drawing>
          <wp:inline distT="0" distB="0" distL="0" distR="0">
            <wp:extent cx="5316220" cy="1722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16220" cy="1722755"/>
                    </a:xfrm>
                    <a:prstGeom prst="rect">
                      <a:avLst/>
                    </a:prstGeom>
                    <a:noFill/>
                    <a:ln>
                      <a:noFill/>
                    </a:ln>
                  </pic:spPr>
                </pic:pic>
              </a:graphicData>
            </a:graphic>
          </wp:inline>
        </w:drawing>
      </w:r>
      <w:bookmarkEnd w:id="1"/>
    </w:p>
    <w:p w:rsidR="00BF574C" w:rsidRDefault="006E1CDF" w:rsidP="00BF574C">
      <w:pPr>
        <w:pStyle w:val="Heading4"/>
        <w:jc w:val="left"/>
      </w:pPr>
      <w:r>
        <w:lastRenderedPageBreak/>
        <w:t>Figure 12</w:t>
      </w:r>
      <w:r w:rsidR="00BF574C">
        <w:t xml:space="preserve">: Revisions to </w:t>
      </w:r>
      <w:r w:rsidR="00BF574C" w:rsidRPr="00D12038">
        <w:t xml:space="preserve">Category </w:t>
      </w:r>
      <w:proofErr w:type="gramStart"/>
      <w:r w:rsidR="00BF574C" w:rsidRPr="00D12038">
        <w:t>A</w:t>
      </w:r>
      <w:proofErr w:type="gramEnd"/>
      <w:r w:rsidR="00BF574C" w:rsidRPr="00D12038">
        <w:t xml:space="preserve"> calls in England resulting in an emergency response, </w:t>
      </w:r>
      <w:r w:rsidR="00BF574C">
        <w:t>the proportion arriving within 19</w:t>
      </w:r>
      <w:r w:rsidR="00BF574C" w:rsidRPr="00D12038">
        <w:t xml:space="preserve"> minutes</w:t>
      </w:r>
    </w:p>
    <w:p w:rsidR="00BF574C" w:rsidRDefault="006E1CDF" w:rsidP="00BF574C">
      <w:pPr>
        <w:pStyle w:val="Heading4"/>
        <w:jc w:val="left"/>
      </w:pPr>
      <w:r>
        <w:t>Figure 13</w:t>
      </w:r>
      <w:r w:rsidR="00BF574C">
        <w:t xml:space="preserve">: Revisions to </w:t>
      </w:r>
      <w:r w:rsidR="000B7582">
        <w:t>p</w:t>
      </w:r>
      <w:r w:rsidR="000B7582" w:rsidRPr="000B7582">
        <w:t>roportion of calls abandoned before being answered</w:t>
      </w:r>
      <w:r w:rsidR="00BF574C" w:rsidRPr="00D12038">
        <w:t>, England</w:t>
      </w:r>
    </w:p>
    <w:p w:rsidR="00BF574C" w:rsidRDefault="006E1CDF" w:rsidP="00175E6C">
      <w:r>
        <w:rPr>
          <w:noProof/>
        </w:rPr>
        <w:drawing>
          <wp:inline distT="0" distB="0" distL="0" distR="0" wp14:anchorId="767875B4" wp14:editId="06487D98">
            <wp:extent cx="5334635" cy="172529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635" cy="1725295"/>
                    </a:xfrm>
                    <a:prstGeom prst="rect">
                      <a:avLst/>
                    </a:prstGeom>
                    <a:noFill/>
                  </pic:spPr>
                </pic:pic>
              </a:graphicData>
            </a:graphic>
          </wp:inline>
        </w:drawing>
      </w:r>
    </w:p>
    <w:p w:rsidR="000B7582" w:rsidRDefault="006E1CDF" w:rsidP="000B7582">
      <w:pPr>
        <w:pStyle w:val="Heading4"/>
        <w:jc w:val="left"/>
      </w:pPr>
      <w:r>
        <w:t>Figure 14</w:t>
      </w:r>
      <w:r w:rsidR="000B7582">
        <w:t>: Revisions to p</w:t>
      </w:r>
      <w:r w:rsidR="000B7582" w:rsidRPr="000B7582">
        <w:t>roportion of calls resolved by telephone advice</w:t>
      </w:r>
      <w:r w:rsidR="000B7582">
        <w:t>, England</w:t>
      </w:r>
    </w:p>
    <w:p w:rsidR="000B7582" w:rsidRDefault="006E1CDF" w:rsidP="000B7582">
      <w:pPr>
        <w:pStyle w:val="Heading4"/>
        <w:jc w:val="left"/>
      </w:pPr>
      <w:r>
        <w:t>Figure 15</w:t>
      </w:r>
      <w:r w:rsidR="000B7582">
        <w:t>: Revisions to p</w:t>
      </w:r>
      <w:r w:rsidR="000B7582" w:rsidRPr="000B7582">
        <w:t>roportion of incidents managed without need for transport to Accident and Emergency department</w:t>
      </w:r>
      <w:r w:rsidR="000B7582">
        <w:t>, England</w:t>
      </w:r>
    </w:p>
    <w:p w:rsidR="000B7582" w:rsidRDefault="006E1CDF" w:rsidP="00C73251">
      <w:r>
        <w:rPr>
          <w:noProof/>
        </w:rPr>
        <w:drawing>
          <wp:inline distT="0" distB="0" distL="0" distR="0" wp14:anchorId="2606E5CB" wp14:editId="71AA71B6">
            <wp:extent cx="5340350" cy="17252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0350" cy="1725295"/>
                    </a:xfrm>
                    <a:prstGeom prst="rect">
                      <a:avLst/>
                    </a:prstGeom>
                    <a:noFill/>
                  </pic:spPr>
                </pic:pic>
              </a:graphicData>
            </a:graphic>
          </wp:inline>
        </w:drawing>
      </w:r>
    </w:p>
    <w:p w:rsidR="000B7582" w:rsidRDefault="000B7582" w:rsidP="000B7582">
      <w:pPr>
        <w:pStyle w:val="Heading4"/>
        <w:jc w:val="left"/>
      </w:pPr>
      <w:r>
        <w:t>Figure 1</w:t>
      </w:r>
      <w:r w:rsidR="006E1CDF">
        <w:t>6</w:t>
      </w:r>
      <w:r>
        <w:t xml:space="preserve">: Revisions to </w:t>
      </w:r>
      <w:r>
        <w:rPr>
          <w:lang w:val="en-US"/>
        </w:rPr>
        <w:t>r</w:t>
      </w:r>
      <w:r w:rsidRPr="000B7582">
        <w:rPr>
          <w:lang w:val="en-US"/>
        </w:rPr>
        <w:t>e-contacts a</w:t>
      </w:r>
      <w:r>
        <w:rPr>
          <w:lang w:val="en-US"/>
        </w:rPr>
        <w:t>fter discharge on scene</w:t>
      </w:r>
      <w:r>
        <w:t>, England</w:t>
      </w:r>
    </w:p>
    <w:p w:rsidR="000B7582" w:rsidRDefault="000B7582" w:rsidP="000B7582">
      <w:pPr>
        <w:pStyle w:val="Heading4"/>
        <w:jc w:val="left"/>
      </w:pPr>
      <w:r>
        <w:t>Figure 1</w:t>
      </w:r>
      <w:r w:rsidR="006E1CDF">
        <w:t>7</w:t>
      </w:r>
      <w:r>
        <w:t xml:space="preserve">: Revisions to </w:t>
      </w:r>
      <w:r w:rsidR="00255666">
        <w:t>p</w:t>
      </w:r>
      <w:r w:rsidR="00255666" w:rsidRPr="00255666">
        <w:t>roportion of incidents managed without need for transport to Accident and Emergency department</w:t>
      </w:r>
      <w:r>
        <w:t>, England</w:t>
      </w:r>
    </w:p>
    <w:p w:rsidR="000B7582" w:rsidRDefault="000B7582" w:rsidP="00C73251"/>
    <w:p w:rsidR="00994032" w:rsidRDefault="006E1CDF">
      <w:pPr>
        <w:spacing w:after="0"/>
        <w:rPr>
          <w:rFonts w:eastAsiaTheme="majorEastAsia" w:cstheme="majorBidi"/>
          <w:b/>
          <w:bCs/>
          <w:iCs/>
        </w:rPr>
      </w:pPr>
      <w:r>
        <w:rPr>
          <w:noProof/>
        </w:rPr>
        <w:drawing>
          <wp:inline distT="0" distB="0" distL="0" distR="0" wp14:anchorId="32D95292" wp14:editId="564183D4">
            <wp:extent cx="5346700" cy="173736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6700" cy="1737360"/>
                    </a:xfrm>
                    <a:prstGeom prst="rect">
                      <a:avLst/>
                    </a:prstGeom>
                    <a:noFill/>
                  </pic:spPr>
                </pic:pic>
              </a:graphicData>
            </a:graphic>
          </wp:inline>
        </w:drawing>
      </w:r>
      <w:r w:rsidR="00994032">
        <w:br w:type="page"/>
      </w:r>
    </w:p>
    <w:p w:rsidR="00994032" w:rsidRDefault="00994032" w:rsidP="00994032">
      <w:pPr>
        <w:pStyle w:val="Heading4"/>
      </w:pPr>
      <w:r>
        <w:lastRenderedPageBreak/>
        <w:t>Figu</w:t>
      </w:r>
      <w:r w:rsidR="006E1CDF">
        <w:t>re 18</w:t>
      </w:r>
      <w:r w:rsidR="00B86C3B">
        <w:t xml:space="preserve">: Revisions of more than </w:t>
      </w:r>
      <w:r w:rsidR="007A52C9">
        <w:t>2</w:t>
      </w:r>
      <w:r>
        <w:t>% points to Trust-level monthly data</w:t>
      </w:r>
    </w:p>
    <w:tbl>
      <w:tblPr>
        <w:tblStyle w:val="TableGrid"/>
        <w:tblW w:w="9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0% at trust level"/>
        <w:tblDescription w:val="Table giving detail of changes that are greater than 10% point change at a trust level."/>
      </w:tblPr>
      <w:tblGrid>
        <w:gridCol w:w="1804"/>
        <w:gridCol w:w="14"/>
        <w:gridCol w:w="4382"/>
        <w:gridCol w:w="14"/>
        <w:gridCol w:w="930"/>
        <w:gridCol w:w="14"/>
        <w:gridCol w:w="931"/>
        <w:gridCol w:w="14"/>
        <w:gridCol w:w="963"/>
        <w:gridCol w:w="14"/>
      </w:tblGrid>
      <w:tr w:rsidR="00994032" w:rsidTr="006D10B0">
        <w:trPr>
          <w:gridAfter w:val="1"/>
          <w:wAfter w:w="14" w:type="dxa"/>
        </w:trPr>
        <w:tc>
          <w:tcPr>
            <w:tcW w:w="1804" w:type="dxa"/>
            <w:tcBorders>
              <w:top w:val="nil"/>
            </w:tcBorders>
          </w:tcPr>
          <w:p w:rsidR="00994032" w:rsidRDefault="00994032" w:rsidP="00994032">
            <w:pPr>
              <w:pStyle w:val="Heading5"/>
            </w:pPr>
            <w:r>
              <w:t>Trust</w:t>
            </w:r>
          </w:p>
        </w:tc>
        <w:tc>
          <w:tcPr>
            <w:tcW w:w="4396" w:type="dxa"/>
            <w:gridSpan w:val="2"/>
            <w:tcBorders>
              <w:top w:val="nil"/>
            </w:tcBorders>
          </w:tcPr>
          <w:p w:rsidR="00994032" w:rsidRDefault="00994032" w:rsidP="00994032">
            <w:pPr>
              <w:pStyle w:val="Heading5"/>
            </w:pPr>
            <w:r>
              <w:t>Indicator</w:t>
            </w:r>
          </w:p>
        </w:tc>
        <w:tc>
          <w:tcPr>
            <w:tcW w:w="944" w:type="dxa"/>
            <w:gridSpan w:val="2"/>
            <w:tcBorders>
              <w:top w:val="nil"/>
            </w:tcBorders>
          </w:tcPr>
          <w:p w:rsidR="00994032" w:rsidRDefault="00994032" w:rsidP="00994032">
            <w:pPr>
              <w:pStyle w:val="Heading5"/>
            </w:pPr>
            <w:r>
              <w:t>Month</w:t>
            </w:r>
          </w:p>
        </w:tc>
        <w:tc>
          <w:tcPr>
            <w:tcW w:w="945" w:type="dxa"/>
            <w:gridSpan w:val="2"/>
            <w:tcBorders>
              <w:top w:val="nil"/>
            </w:tcBorders>
          </w:tcPr>
          <w:p w:rsidR="00994032" w:rsidRDefault="00994032" w:rsidP="00994032">
            <w:pPr>
              <w:pStyle w:val="Heading5"/>
            </w:pPr>
            <w:r>
              <w:t>From</w:t>
            </w:r>
          </w:p>
        </w:tc>
        <w:tc>
          <w:tcPr>
            <w:tcW w:w="977" w:type="dxa"/>
            <w:gridSpan w:val="2"/>
            <w:tcBorders>
              <w:top w:val="nil"/>
            </w:tcBorders>
          </w:tcPr>
          <w:p w:rsidR="00994032" w:rsidRDefault="00994032" w:rsidP="00994032">
            <w:pPr>
              <w:pStyle w:val="Heading5"/>
            </w:pPr>
            <w:r>
              <w:t>To</w:t>
            </w:r>
          </w:p>
        </w:tc>
      </w:tr>
      <w:tr w:rsidR="00994032" w:rsidTr="006D10B0">
        <w:trPr>
          <w:gridAfter w:val="1"/>
          <w:wAfter w:w="14" w:type="dxa"/>
        </w:trPr>
        <w:tc>
          <w:tcPr>
            <w:tcW w:w="1804" w:type="dxa"/>
            <w:tcBorders>
              <w:top w:val="single" w:sz="4" w:space="0" w:color="auto"/>
              <w:bottom w:val="nil"/>
            </w:tcBorders>
          </w:tcPr>
          <w:p w:rsidR="00994032" w:rsidRDefault="00846A8F" w:rsidP="00994032">
            <w:pPr>
              <w:pStyle w:val="NoSpacing"/>
            </w:pPr>
            <w:r>
              <w:t>East Midlands</w:t>
            </w:r>
          </w:p>
        </w:tc>
        <w:tc>
          <w:tcPr>
            <w:tcW w:w="4396" w:type="dxa"/>
            <w:gridSpan w:val="2"/>
            <w:tcBorders>
              <w:top w:val="single" w:sz="4" w:space="0" w:color="auto"/>
              <w:bottom w:val="nil"/>
            </w:tcBorders>
          </w:tcPr>
          <w:p w:rsidR="00994032" w:rsidRDefault="00846A8F" w:rsidP="00994032">
            <w:pPr>
              <w:pStyle w:val="NoSpacing"/>
            </w:pPr>
            <w:r w:rsidRPr="00E61B94">
              <w:t>Emergency calls closed with telephone advice</w:t>
            </w:r>
          </w:p>
        </w:tc>
        <w:tc>
          <w:tcPr>
            <w:tcW w:w="944" w:type="dxa"/>
            <w:gridSpan w:val="2"/>
          </w:tcPr>
          <w:p w:rsidR="00994032" w:rsidRDefault="00846A8F" w:rsidP="00994032">
            <w:pPr>
              <w:pStyle w:val="NoSpacing"/>
              <w:jc w:val="center"/>
            </w:pPr>
            <w:r>
              <w:t>Apr</w:t>
            </w:r>
          </w:p>
        </w:tc>
        <w:tc>
          <w:tcPr>
            <w:tcW w:w="945" w:type="dxa"/>
            <w:gridSpan w:val="2"/>
          </w:tcPr>
          <w:p w:rsidR="00994032" w:rsidRDefault="00846A8F" w:rsidP="00994032">
            <w:pPr>
              <w:pStyle w:val="NoSpacing"/>
              <w:jc w:val="right"/>
            </w:pPr>
            <w:r>
              <w:t>7.7</w:t>
            </w:r>
            <w:r w:rsidR="00994032" w:rsidRPr="00E35902">
              <w:t>%</w:t>
            </w:r>
          </w:p>
        </w:tc>
        <w:tc>
          <w:tcPr>
            <w:tcW w:w="977" w:type="dxa"/>
            <w:gridSpan w:val="2"/>
          </w:tcPr>
          <w:p w:rsidR="00994032" w:rsidRDefault="00846A8F" w:rsidP="00994032">
            <w:pPr>
              <w:pStyle w:val="NoSpacing"/>
              <w:jc w:val="right"/>
            </w:pPr>
            <w:r>
              <w:t>13.6</w:t>
            </w:r>
            <w:r w:rsidR="00994032" w:rsidRPr="00E35902">
              <w:t>%</w:t>
            </w:r>
          </w:p>
        </w:tc>
      </w:tr>
      <w:tr w:rsidR="00846A8F" w:rsidTr="006D10B0">
        <w:trPr>
          <w:gridAfter w:val="1"/>
          <w:wAfter w:w="14" w:type="dxa"/>
        </w:trPr>
        <w:tc>
          <w:tcPr>
            <w:tcW w:w="1804" w:type="dxa"/>
            <w:tcBorders>
              <w:top w:val="nil"/>
              <w:bottom w:val="nil"/>
            </w:tcBorders>
          </w:tcPr>
          <w:p w:rsidR="00846A8F" w:rsidRDefault="00846A8F" w:rsidP="00994032">
            <w:pPr>
              <w:pStyle w:val="NoSpacing"/>
            </w:pPr>
          </w:p>
        </w:tc>
        <w:tc>
          <w:tcPr>
            <w:tcW w:w="4396" w:type="dxa"/>
            <w:gridSpan w:val="2"/>
            <w:tcBorders>
              <w:top w:val="nil"/>
              <w:bottom w:val="nil"/>
            </w:tcBorders>
          </w:tcPr>
          <w:p w:rsidR="00846A8F" w:rsidRDefault="00846A8F" w:rsidP="00994032">
            <w:pPr>
              <w:pStyle w:val="NoSpacing"/>
            </w:pPr>
          </w:p>
        </w:tc>
        <w:tc>
          <w:tcPr>
            <w:tcW w:w="944" w:type="dxa"/>
            <w:gridSpan w:val="2"/>
          </w:tcPr>
          <w:p w:rsidR="00846A8F" w:rsidRDefault="00846A8F" w:rsidP="00994032">
            <w:pPr>
              <w:pStyle w:val="NoSpacing"/>
              <w:jc w:val="center"/>
            </w:pPr>
            <w:r>
              <w:t>May</w:t>
            </w:r>
          </w:p>
        </w:tc>
        <w:tc>
          <w:tcPr>
            <w:tcW w:w="945" w:type="dxa"/>
            <w:gridSpan w:val="2"/>
          </w:tcPr>
          <w:p w:rsidR="00846A8F" w:rsidRDefault="00846A8F" w:rsidP="00994032">
            <w:pPr>
              <w:pStyle w:val="NoSpacing"/>
              <w:jc w:val="right"/>
            </w:pPr>
            <w:r>
              <w:t>8.2%</w:t>
            </w:r>
          </w:p>
        </w:tc>
        <w:tc>
          <w:tcPr>
            <w:tcW w:w="977" w:type="dxa"/>
            <w:gridSpan w:val="2"/>
          </w:tcPr>
          <w:p w:rsidR="00846A8F" w:rsidRDefault="00846A8F" w:rsidP="00994032">
            <w:pPr>
              <w:pStyle w:val="NoSpacing"/>
              <w:jc w:val="right"/>
            </w:pPr>
            <w:r>
              <w:t>14.0%</w:t>
            </w:r>
          </w:p>
        </w:tc>
      </w:tr>
      <w:tr w:rsidR="00846A8F" w:rsidTr="006D10B0">
        <w:trPr>
          <w:gridAfter w:val="1"/>
          <w:wAfter w:w="14" w:type="dxa"/>
        </w:trPr>
        <w:tc>
          <w:tcPr>
            <w:tcW w:w="1804" w:type="dxa"/>
            <w:tcBorders>
              <w:top w:val="nil"/>
              <w:bottom w:val="nil"/>
            </w:tcBorders>
          </w:tcPr>
          <w:p w:rsidR="00846A8F" w:rsidRDefault="00846A8F" w:rsidP="00994032">
            <w:pPr>
              <w:pStyle w:val="NoSpacing"/>
            </w:pPr>
          </w:p>
        </w:tc>
        <w:tc>
          <w:tcPr>
            <w:tcW w:w="4396" w:type="dxa"/>
            <w:gridSpan w:val="2"/>
            <w:tcBorders>
              <w:top w:val="nil"/>
              <w:bottom w:val="nil"/>
            </w:tcBorders>
          </w:tcPr>
          <w:p w:rsidR="00846A8F" w:rsidRDefault="00846A8F" w:rsidP="00994032">
            <w:pPr>
              <w:pStyle w:val="NoSpacing"/>
            </w:pPr>
          </w:p>
        </w:tc>
        <w:tc>
          <w:tcPr>
            <w:tcW w:w="944" w:type="dxa"/>
            <w:gridSpan w:val="2"/>
          </w:tcPr>
          <w:p w:rsidR="00846A8F" w:rsidRDefault="00846A8F" w:rsidP="00994032">
            <w:pPr>
              <w:pStyle w:val="NoSpacing"/>
              <w:jc w:val="center"/>
            </w:pPr>
            <w:r>
              <w:t>Jun</w:t>
            </w:r>
          </w:p>
        </w:tc>
        <w:tc>
          <w:tcPr>
            <w:tcW w:w="945" w:type="dxa"/>
            <w:gridSpan w:val="2"/>
          </w:tcPr>
          <w:p w:rsidR="00846A8F" w:rsidRDefault="00846A8F" w:rsidP="00994032">
            <w:pPr>
              <w:pStyle w:val="NoSpacing"/>
              <w:jc w:val="right"/>
            </w:pPr>
            <w:r>
              <w:t>8.6%</w:t>
            </w:r>
          </w:p>
        </w:tc>
        <w:tc>
          <w:tcPr>
            <w:tcW w:w="977" w:type="dxa"/>
            <w:gridSpan w:val="2"/>
          </w:tcPr>
          <w:p w:rsidR="00846A8F" w:rsidRDefault="00846A8F" w:rsidP="00994032">
            <w:pPr>
              <w:pStyle w:val="NoSpacing"/>
              <w:jc w:val="right"/>
            </w:pPr>
            <w:r>
              <w:t>14.0%</w:t>
            </w:r>
          </w:p>
        </w:tc>
      </w:tr>
      <w:tr w:rsidR="00846A8F" w:rsidTr="006D10B0">
        <w:trPr>
          <w:gridAfter w:val="1"/>
          <w:wAfter w:w="14" w:type="dxa"/>
        </w:trPr>
        <w:tc>
          <w:tcPr>
            <w:tcW w:w="1804" w:type="dxa"/>
            <w:tcBorders>
              <w:top w:val="nil"/>
              <w:bottom w:val="nil"/>
            </w:tcBorders>
          </w:tcPr>
          <w:p w:rsidR="00846A8F" w:rsidRDefault="00846A8F" w:rsidP="00994032">
            <w:pPr>
              <w:pStyle w:val="NoSpacing"/>
            </w:pPr>
          </w:p>
        </w:tc>
        <w:tc>
          <w:tcPr>
            <w:tcW w:w="4396" w:type="dxa"/>
            <w:gridSpan w:val="2"/>
            <w:tcBorders>
              <w:top w:val="nil"/>
              <w:bottom w:val="nil"/>
            </w:tcBorders>
          </w:tcPr>
          <w:p w:rsidR="00846A8F" w:rsidRDefault="00846A8F" w:rsidP="00994032">
            <w:pPr>
              <w:pStyle w:val="NoSpacing"/>
            </w:pPr>
          </w:p>
        </w:tc>
        <w:tc>
          <w:tcPr>
            <w:tcW w:w="944" w:type="dxa"/>
            <w:gridSpan w:val="2"/>
          </w:tcPr>
          <w:p w:rsidR="00846A8F" w:rsidRDefault="00846A8F" w:rsidP="00994032">
            <w:pPr>
              <w:pStyle w:val="NoSpacing"/>
              <w:jc w:val="center"/>
            </w:pPr>
            <w:r>
              <w:t>Jul</w:t>
            </w:r>
          </w:p>
        </w:tc>
        <w:tc>
          <w:tcPr>
            <w:tcW w:w="945" w:type="dxa"/>
            <w:gridSpan w:val="2"/>
          </w:tcPr>
          <w:p w:rsidR="00846A8F" w:rsidRDefault="00846A8F" w:rsidP="00994032">
            <w:pPr>
              <w:pStyle w:val="NoSpacing"/>
              <w:jc w:val="right"/>
            </w:pPr>
            <w:r>
              <w:t>9.1%</w:t>
            </w:r>
          </w:p>
        </w:tc>
        <w:tc>
          <w:tcPr>
            <w:tcW w:w="977" w:type="dxa"/>
            <w:gridSpan w:val="2"/>
          </w:tcPr>
          <w:p w:rsidR="00846A8F" w:rsidRDefault="00846A8F" w:rsidP="00994032">
            <w:pPr>
              <w:pStyle w:val="NoSpacing"/>
              <w:jc w:val="right"/>
            </w:pPr>
            <w:r>
              <w:t>15.4%</w:t>
            </w:r>
          </w:p>
        </w:tc>
      </w:tr>
      <w:tr w:rsidR="00846A8F" w:rsidTr="006D10B0">
        <w:trPr>
          <w:gridAfter w:val="1"/>
          <w:wAfter w:w="14" w:type="dxa"/>
        </w:trPr>
        <w:tc>
          <w:tcPr>
            <w:tcW w:w="1804" w:type="dxa"/>
            <w:tcBorders>
              <w:top w:val="nil"/>
              <w:bottom w:val="nil"/>
            </w:tcBorders>
          </w:tcPr>
          <w:p w:rsidR="00846A8F" w:rsidRDefault="00846A8F" w:rsidP="00994032">
            <w:pPr>
              <w:pStyle w:val="NoSpacing"/>
            </w:pPr>
          </w:p>
        </w:tc>
        <w:tc>
          <w:tcPr>
            <w:tcW w:w="4396" w:type="dxa"/>
            <w:gridSpan w:val="2"/>
            <w:tcBorders>
              <w:top w:val="nil"/>
              <w:bottom w:val="nil"/>
            </w:tcBorders>
          </w:tcPr>
          <w:p w:rsidR="00846A8F" w:rsidRDefault="00846A8F" w:rsidP="00994032">
            <w:pPr>
              <w:pStyle w:val="NoSpacing"/>
            </w:pPr>
          </w:p>
        </w:tc>
        <w:tc>
          <w:tcPr>
            <w:tcW w:w="944" w:type="dxa"/>
            <w:gridSpan w:val="2"/>
          </w:tcPr>
          <w:p w:rsidR="00846A8F" w:rsidRDefault="00846A8F" w:rsidP="00994032">
            <w:pPr>
              <w:pStyle w:val="NoSpacing"/>
              <w:jc w:val="center"/>
            </w:pPr>
            <w:r>
              <w:t>Aug</w:t>
            </w:r>
          </w:p>
        </w:tc>
        <w:tc>
          <w:tcPr>
            <w:tcW w:w="945" w:type="dxa"/>
            <w:gridSpan w:val="2"/>
          </w:tcPr>
          <w:p w:rsidR="00846A8F" w:rsidRDefault="00846A8F" w:rsidP="00994032">
            <w:pPr>
              <w:pStyle w:val="NoSpacing"/>
              <w:jc w:val="right"/>
            </w:pPr>
            <w:r>
              <w:t>8.7%</w:t>
            </w:r>
          </w:p>
        </w:tc>
        <w:tc>
          <w:tcPr>
            <w:tcW w:w="977" w:type="dxa"/>
            <w:gridSpan w:val="2"/>
          </w:tcPr>
          <w:p w:rsidR="00846A8F" w:rsidRDefault="00846A8F" w:rsidP="00994032">
            <w:pPr>
              <w:pStyle w:val="NoSpacing"/>
              <w:jc w:val="right"/>
            </w:pPr>
            <w:r>
              <w:t>15.8%</w:t>
            </w:r>
          </w:p>
        </w:tc>
      </w:tr>
      <w:tr w:rsidR="00994032" w:rsidTr="006D10B0">
        <w:trPr>
          <w:gridAfter w:val="1"/>
          <w:wAfter w:w="14" w:type="dxa"/>
        </w:trPr>
        <w:tc>
          <w:tcPr>
            <w:tcW w:w="1804" w:type="dxa"/>
            <w:tcBorders>
              <w:top w:val="nil"/>
              <w:bottom w:val="nil"/>
            </w:tcBorders>
          </w:tcPr>
          <w:p w:rsidR="00994032" w:rsidRDefault="00994032" w:rsidP="00994032">
            <w:pPr>
              <w:pStyle w:val="NoSpacing"/>
            </w:pPr>
          </w:p>
        </w:tc>
        <w:tc>
          <w:tcPr>
            <w:tcW w:w="4396" w:type="dxa"/>
            <w:gridSpan w:val="2"/>
            <w:tcBorders>
              <w:top w:val="single" w:sz="4" w:space="0" w:color="auto"/>
              <w:bottom w:val="nil"/>
            </w:tcBorders>
          </w:tcPr>
          <w:p w:rsidR="00994032" w:rsidRDefault="006D10B0" w:rsidP="00994032">
            <w:pPr>
              <w:pStyle w:val="NoSpacing"/>
            </w:pPr>
            <w:r w:rsidRPr="00E61B94">
              <w:t>Patients discharged, after treatment at the scene or onward referral</w:t>
            </w:r>
          </w:p>
        </w:tc>
        <w:tc>
          <w:tcPr>
            <w:tcW w:w="944" w:type="dxa"/>
            <w:gridSpan w:val="2"/>
          </w:tcPr>
          <w:p w:rsidR="00994032" w:rsidRDefault="00FD01DA" w:rsidP="00994032">
            <w:pPr>
              <w:pStyle w:val="NoSpacing"/>
              <w:jc w:val="center"/>
            </w:pPr>
            <w:r>
              <w:t>Apr</w:t>
            </w:r>
          </w:p>
        </w:tc>
        <w:tc>
          <w:tcPr>
            <w:tcW w:w="945" w:type="dxa"/>
            <w:gridSpan w:val="2"/>
          </w:tcPr>
          <w:p w:rsidR="00994032" w:rsidRDefault="00FD01DA" w:rsidP="00994032">
            <w:pPr>
              <w:pStyle w:val="NoSpacing"/>
              <w:jc w:val="right"/>
            </w:pPr>
            <w:r>
              <w:t>30.6</w:t>
            </w:r>
            <w:r w:rsidR="00994032">
              <w:t>%</w:t>
            </w:r>
          </w:p>
        </w:tc>
        <w:tc>
          <w:tcPr>
            <w:tcW w:w="977" w:type="dxa"/>
            <w:gridSpan w:val="2"/>
          </w:tcPr>
          <w:p w:rsidR="00994032" w:rsidRDefault="00FD01DA" w:rsidP="00994032">
            <w:pPr>
              <w:pStyle w:val="NoSpacing"/>
              <w:jc w:val="right"/>
            </w:pPr>
            <w:r>
              <w:t>33.8</w:t>
            </w:r>
            <w:r w:rsidR="00994032">
              <w:t>%</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May</w:t>
            </w:r>
          </w:p>
        </w:tc>
        <w:tc>
          <w:tcPr>
            <w:tcW w:w="945" w:type="dxa"/>
            <w:gridSpan w:val="2"/>
          </w:tcPr>
          <w:p w:rsidR="00FD01DA" w:rsidRDefault="00FD01DA" w:rsidP="00994032">
            <w:pPr>
              <w:pStyle w:val="NoSpacing"/>
              <w:jc w:val="right"/>
            </w:pPr>
            <w:r>
              <w:t>30.3%</w:t>
            </w:r>
          </w:p>
        </w:tc>
        <w:tc>
          <w:tcPr>
            <w:tcW w:w="977" w:type="dxa"/>
            <w:gridSpan w:val="2"/>
          </w:tcPr>
          <w:p w:rsidR="00FD01DA" w:rsidRDefault="00FD01DA" w:rsidP="00994032">
            <w:pPr>
              <w:pStyle w:val="NoSpacing"/>
              <w:jc w:val="right"/>
            </w:pPr>
            <w:r>
              <w:t>33.6%</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Jun</w:t>
            </w:r>
          </w:p>
        </w:tc>
        <w:tc>
          <w:tcPr>
            <w:tcW w:w="945" w:type="dxa"/>
            <w:gridSpan w:val="2"/>
          </w:tcPr>
          <w:p w:rsidR="00FD01DA" w:rsidRDefault="00FD01DA" w:rsidP="00994032">
            <w:pPr>
              <w:pStyle w:val="NoSpacing"/>
              <w:jc w:val="right"/>
            </w:pPr>
            <w:r>
              <w:t>29.9%</w:t>
            </w:r>
          </w:p>
        </w:tc>
        <w:tc>
          <w:tcPr>
            <w:tcW w:w="977" w:type="dxa"/>
            <w:gridSpan w:val="2"/>
          </w:tcPr>
          <w:p w:rsidR="00FD01DA" w:rsidRDefault="00FD01DA" w:rsidP="00994032">
            <w:pPr>
              <w:pStyle w:val="NoSpacing"/>
              <w:jc w:val="right"/>
            </w:pPr>
            <w:r>
              <w:t>33.4%</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Jul</w:t>
            </w:r>
          </w:p>
        </w:tc>
        <w:tc>
          <w:tcPr>
            <w:tcW w:w="945" w:type="dxa"/>
            <w:gridSpan w:val="2"/>
          </w:tcPr>
          <w:p w:rsidR="00FD01DA" w:rsidRDefault="00FD01DA" w:rsidP="00994032">
            <w:pPr>
              <w:pStyle w:val="NoSpacing"/>
              <w:jc w:val="right"/>
            </w:pPr>
            <w:r>
              <w:t>30.7%</w:t>
            </w:r>
          </w:p>
        </w:tc>
        <w:tc>
          <w:tcPr>
            <w:tcW w:w="977" w:type="dxa"/>
            <w:gridSpan w:val="2"/>
          </w:tcPr>
          <w:p w:rsidR="00FD01DA" w:rsidRDefault="00FD01DA" w:rsidP="00994032">
            <w:pPr>
              <w:pStyle w:val="NoSpacing"/>
              <w:jc w:val="right"/>
            </w:pPr>
            <w:r>
              <w:t>34.3%</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Aug</w:t>
            </w:r>
          </w:p>
        </w:tc>
        <w:tc>
          <w:tcPr>
            <w:tcW w:w="945" w:type="dxa"/>
            <w:gridSpan w:val="2"/>
          </w:tcPr>
          <w:p w:rsidR="00FD01DA" w:rsidRDefault="00FD01DA" w:rsidP="00994032">
            <w:pPr>
              <w:pStyle w:val="NoSpacing"/>
              <w:jc w:val="right"/>
            </w:pPr>
            <w:r>
              <w:t>30.6%</w:t>
            </w:r>
          </w:p>
        </w:tc>
        <w:tc>
          <w:tcPr>
            <w:tcW w:w="977" w:type="dxa"/>
            <w:gridSpan w:val="2"/>
          </w:tcPr>
          <w:p w:rsidR="00FD01DA" w:rsidRDefault="00FD01DA" w:rsidP="00994032">
            <w:pPr>
              <w:pStyle w:val="NoSpacing"/>
              <w:jc w:val="right"/>
            </w:pPr>
            <w:r>
              <w:t>34.4%</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Sep</w:t>
            </w:r>
          </w:p>
        </w:tc>
        <w:tc>
          <w:tcPr>
            <w:tcW w:w="945" w:type="dxa"/>
            <w:gridSpan w:val="2"/>
          </w:tcPr>
          <w:p w:rsidR="00FD01DA" w:rsidRDefault="00FD01DA" w:rsidP="00994032">
            <w:pPr>
              <w:pStyle w:val="NoSpacing"/>
              <w:jc w:val="right"/>
            </w:pPr>
            <w:r>
              <w:t>29.7%</w:t>
            </w:r>
          </w:p>
        </w:tc>
        <w:tc>
          <w:tcPr>
            <w:tcW w:w="977" w:type="dxa"/>
            <w:gridSpan w:val="2"/>
          </w:tcPr>
          <w:p w:rsidR="00FD01DA" w:rsidRDefault="00FD01DA" w:rsidP="00994032">
            <w:pPr>
              <w:pStyle w:val="NoSpacing"/>
              <w:jc w:val="right"/>
            </w:pPr>
            <w:r>
              <w:t>33.5%</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Oct</w:t>
            </w:r>
          </w:p>
        </w:tc>
        <w:tc>
          <w:tcPr>
            <w:tcW w:w="945" w:type="dxa"/>
            <w:gridSpan w:val="2"/>
          </w:tcPr>
          <w:p w:rsidR="00FD01DA" w:rsidRDefault="00FD01DA" w:rsidP="00994032">
            <w:pPr>
              <w:pStyle w:val="NoSpacing"/>
              <w:jc w:val="right"/>
            </w:pPr>
            <w:r>
              <w:t>29.6%</w:t>
            </w:r>
          </w:p>
        </w:tc>
        <w:tc>
          <w:tcPr>
            <w:tcW w:w="977" w:type="dxa"/>
            <w:gridSpan w:val="2"/>
          </w:tcPr>
          <w:p w:rsidR="00FD01DA" w:rsidRDefault="00FD01DA" w:rsidP="00994032">
            <w:pPr>
              <w:pStyle w:val="NoSpacing"/>
              <w:jc w:val="right"/>
            </w:pPr>
            <w:r>
              <w:t>33.4%</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Nov</w:t>
            </w:r>
          </w:p>
        </w:tc>
        <w:tc>
          <w:tcPr>
            <w:tcW w:w="945" w:type="dxa"/>
            <w:gridSpan w:val="2"/>
          </w:tcPr>
          <w:p w:rsidR="00FD01DA" w:rsidRDefault="00FD01DA" w:rsidP="00994032">
            <w:pPr>
              <w:pStyle w:val="NoSpacing"/>
              <w:jc w:val="right"/>
            </w:pPr>
            <w:r>
              <w:t>29.2%</w:t>
            </w:r>
          </w:p>
        </w:tc>
        <w:tc>
          <w:tcPr>
            <w:tcW w:w="977" w:type="dxa"/>
            <w:gridSpan w:val="2"/>
          </w:tcPr>
          <w:p w:rsidR="00FD01DA" w:rsidRDefault="00FD01DA" w:rsidP="00994032">
            <w:pPr>
              <w:pStyle w:val="NoSpacing"/>
              <w:jc w:val="right"/>
            </w:pPr>
            <w:r>
              <w:t>32.6%</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Dec</w:t>
            </w:r>
          </w:p>
        </w:tc>
        <w:tc>
          <w:tcPr>
            <w:tcW w:w="945" w:type="dxa"/>
            <w:gridSpan w:val="2"/>
          </w:tcPr>
          <w:p w:rsidR="00FD01DA" w:rsidRDefault="00FD01DA" w:rsidP="00994032">
            <w:pPr>
              <w:pStyle w:val="NoSpacing"/>
              <w:jc w:val="right"/>
            </w:pPr>
            <w:r>
              <w:t>29.9%</w:t>
            </w:r>
          </w:p>
        </w:tc>
        <w:tc>
          <w:tcPr>
            <w:tcW w:w="977" w:type="dxa"/>
            <w:gridSpan w:val="2"/>
          </w:tcPr>
          <w:p w:rsidR="00FD01DA" w:rsidRDefault="00FD01DA" w:rsidP="00994032">
            <w:pPr>
              <w:pStyle w:val="NoSpacing"/>
              <w:jc w:val="right"/>
            </w:pPr>
            <w:r>
              <w:t>33.8%</w:t>
            </w:r>
          </w:p>
        </w:tc>
      </w:tr>
      <w:tr w:rsidR="00FD01DA" w:rsidTr="006D10B0">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Jan</w:t>
            </w:r>
          </w:p>
        </w:tc>
        <w:tc>
          <w:tcPr>
            <w:tcW w:w="945" w:type="dxa"/>
            <w:gridSpan w:val="2"/>
          </w:tcPr>
          <w:p w:rsidR="00FD01DA" w:rsidRDefault="00FD01DA" w:rsidP="00994032">
            <w:pPr>
              <w:pStyle w:val="NoSpacing"/>
              <w:jc w:val="right"/>
            </w:pPr>
            <w:r>
              <w:t>29.9%</w:t>
            </w:r>
          </w:p>
        </w:tc>
        <w:tc>
          <w:tcPr>
            <w:tcW w:w="977" w:type="dxa"/>
            <w:gridSpan w:val="2"/>
          </w:tcPr>
          <w:p w:rsidR="00FD01DA" w:rsidRDefault="00FD01DA" w:rsidP="00994032">
            <w:pPr>
              <w:pStyle w:val="NoSpacing"/>
              <w:jc w:val="right"/>
            </w:pPr>
            <w:r>
              <w:t>32.9%</w:t>
            </w:r>
          </w:p>
        </w:tc>
      </w:tr>
      <w:tr w:rsidR="00FD01DA" w:rsidTr="003F6CC7">
        <w:trPr>
          <w:gridAfter w:val="1"/>
          <w:wAfter w:w="14" w:type="dxa"/>
        </w:trPr>
        <w:tc>
          <w:tcPr>
            <w:tcW w:w="1804" w:type="dxa"/>
            <w:tcBorders>
              <w:top w:val="nil"/>
              <w:bottom w:val="nil"/>
            </w:tcBorders>
          </w:tcPr>
          <w:p w:rsidR="00FD01DA" w:rsidRDefault="00FD01DA" w:rsidP="00994032">
            <w:pPr>
              <w:pStyle w:val="NoSpacing"/>
            </w:pPr>
          </w:p>
        </w:tc>
        <w:tc>
          <w:tcPr>
            <w:tcW w:w="4396" w:type="dxa"/>
            <w:gridSpan w:val="2"/>
            <w:tcBorders>
              <w:top w:val="nil"/>
              <w:bottom w:val="nil"/>
            </w:tcBorders>
          </w:tcPr>
          <w:p w:rsidR="00FD01DA" w:rsidRPr="00757386" w:rsidRDefault="00FD01DA" w:rsidP="00994032">
            <w:pPr>
              <w:pStyle w:val="NoSpacing"/>
            </w:pPr>
          </w:p>
        </w:tc>
        <w:tc>
          <w:tcPr>
            <w:tcW w:w="944" w:type="dxa"/>
            <w:gridSpan w:val="2"/>
          </w:tcPr>
          <w:p w:rsidR="00FD01DA" w:rsidRDefault="00FD01DA" w:rsidP="00994032">
            <w:pPr>
              <w:pStyle w:val="NoSpacing"/>
              <w:jc w:val="center"/>
            </w:pPr>
            <w:r>
              <w:t>Feb</w:t>
            </w:r>
          </w:p>
        </w:tc>
        <w:tc>
          <w:tcPr>
            <w:tcW w:w="945" w:type="dxa"/>
            <w:gridSpan w:val="2"/>
          </w:tcPr>
          <w:p w:rsidR="00FD01DA" w:rsidRDefault="00FD01DA" w:rsidP="00994032">
            <w:pPr>
              <w:pStyle w:val="NoSpacing"/>
              <w:jc w:val="right"/>
            </w:pPr>
            <w:r>
              <w:t>30.0%</w:t>
            </w:r>
          </w:p>
        </w:tc>
        <w:tc>
          <w:tcPr>
            <w:tcW w:w="977" w:type="dxa"/>
            <w:gridSpan w:val="2"/>
          </w:tcPr>
          <w:p w:rsidR="00FD01DA" w:rsidRDefault="00FD01DA" w:rsidP="00994032">
            <w:pPr>
              <w:pStyle w:val="NoSpacing"/>
              <w:jc w:val="right"/>
            </w:pPr>
            <w:r>
              <w:t>33.4%</w:t>
            </w:r>
          </w:p>
        </w:tc>
      </w:tr>
      <w:tr w:rsidR="00994032" w:rsidTr="003F6CC7">
        <w:trPr>
          <w:gridAfter w:val="1"/>
          <w:wAfter w:w="14" w:type="dxa"/>
        </w:trPr>
        <w:tc>
          <w:tcPr>
            <w:tcW w:w="1804" w:type="dxa"/>
            <w:tcBorders>
              <w:top w:val="nil"/>
              <w:bottom w:val="nil"/>
            </w:tcBorders>
          </w:tcPr>
          <w:p w:rsidR="00994032" w:rsidRDefault="00994032" w:rsidP="00994032">
            <w:pPr>
              <w:pStyle w:val="NoSpacing"/>
            </w:pPr>
          </w:p>
        </w:tc>
        <w:tc>
          <w:tcPr>
            <w:tcW w:w="4396" w:type="dxa"/>
            <w:gridSpan w:val="2"/>
            <w:tcBorders>
              <w:bottom w:val="nil"/>
            </w:tcBorders>
          </w:tcPr>
          <w:p w:rsidR="00994032" w:rsidRDefault="00993A2A" w:rsidP="00994032">
            <w:pPr>
              <w:pStyle w:val="NoSpacing"/>
            </w:pPr>
            <w:r w:rsidRPr="00757386">
              <w:t>Emergency calls closed with telephone advice where re-contact occurs via 999 within 24 hours</w:t>
            </w:r>
          </w:p>
        </w:tc>
        <w:tc>
          <w:tcPr>
            <w:tcW w:w="944" w:type="dxa"/>
            <w:gridSpan w:val="2"/>
          </w:tcPr>
          <w:p w:rsidR="00994032" w:rsidRDefault="00994032" w:rsidP="00994032">
            <w:pPr>
              <w:pStyle w:val="NoSpacing"/>
              <w:jc w:val="center"/>
            </w:pPr>
            <w:r>
              <w:t>Apr</w:t>
            </w:r>
          </w:p>
        </w:tc>
        <w:tc>
          <w:tcPr>
            <w:tcW w:w="945" w:type="dxa"/>
            <w:gridSpan w:val="2"/>
          </w:tcPr>
          <w:p w:rsidR="00994032" w:rsidRPr="000B4ACB" w:rsidRDefault="00993A2A" w:rsidP="00994032">
            <w:pPr>
              <w:pStyle w:val="NoSpacing"/>
              <w:jc w:val="right"/>
            </w:pPr>
            <w:r>
              <w:t>7.5</w:t>
            </w:r>
            <w:r w:rsidR="00994032">
              <w:t>%</w:t>
            </w:r>
          </w:p>
        </w:tc>
        <w:tc>
          <w:tcPr>
            <w:tcW w:w="977" w:type="dxa"/>
            <w:gridSpan w:val="2"/>
          </w:tcPr>
          <w:p w:rsidR="00994032" w:rsidRPr="000B4ACB" w:rsidRDefault="00993A2A" w:rsidP="00994032">
            <w:pPr>
              <w:pStyle w:val="NoSpacing"/>
              <w:jc w:val="right"/>
            </w:pPr>
            <w:r>
              <w:t>4.0</w:t>
            </w:r>
            <w:r w:rsidR="00994032">
              <w:t>%</w:t>
            </w:r>
          </w:p>
        </w:tc>
      </w:tr>
      <w:tr w:rsidR="00993A2A" w:rsidTr="006D10B0">
        <w:trPr>
          <w:gridAfter w:val="1"/>
          <w:wAfter w:w="14" w:type="dxa"/>
        </w:trPr>
        <w:tc>
          <w:tcPr>
            <w:tcW w:w="1804" w:type="dxa"/>
            <w:tcBorders>
              <w:top w:val="nil"/>
              <w:bottom w:val="nil"/>
            </w:tcBorders>
          </w:tcPr>
          <w:p w:rsidR="00993A2A" w:rsidRDefault="00993A2A" w:rsidP="00994032">
            <w:pPr>
              <w:pStyle w:val="NoSpacing"/>
            </w:pPr>
          </w:p>
        </w:tc>
        <w:tc>
          <w:tcPr>
            <w:tcW w:w="4396" w:type="dxa"/>
            <w:gridSpan w:val="2"/>
            <w:tcBorders>
              <w:top w:val="nil"/>
              <w:bottom w:val="nil"/>
            </w:tcBorders>
          </w:tcPr>
          <w:p w:rsidR="00993A2A" w:rsidRDefault="00993A2A" w:rsidP="00994032">
            <w:pPr>
              <w:pStyle w:val="NoSpacing"/>
            </w:pPr>
          </w:p>
        </w:tc>
        <w:tc>
          <w:tcPr>
            <w:tcW w:w="944" w:type="dxa"/>
            <w:gridSpan w:val="2"/>
          </w:tcPr>
          <w:p w:rsidR="00993A2A" w:rsidRDefault="00993A2A" w:rsidP="00994032">
            <w:pPr>
              <w:pStyle w:val="NoSpacing"/>
              <w:jc w:val="center"/>
            </w:pPr>
            <w:r>
              <w:t>May</w:t>
            </w:r>
          </w:p>
        </w:tc>
        <w:tc>
          <w:tcPr>
            <w:tcW w:w="945" w:type="dxa"/>
            <w:gridSpan w:val="2"/>
          </w:tcPr>
          <w:p w:rsidR="00993A2A" w:rsidRDefault="00993A2A" w:rsidP="00994032">
            <w:pPr>
              <w:pStyle w:val="NoSpacing"/>
              <w:jc w:val="right"/>
            </w:pPr>
            <w:r>
              <w:t>7.0%</w:t>
            </w:r>
          </w:p>
        </w:tc>
        <w:tc>
          <w:tcPr>
            <w:tcW w:w="977" w:type="dxa"/>
            <w:gridSpan w:val="2"/>
          </w:tcPr>
          <w:p w:rsidR="00993A2A" w:rsidRDefault="00993A2A" w:rsidP="00994032">
            <w:pPr>
              <w:pStyle w:val="NoSpacing"/>
              <w:jc w:val="right"/>
            </w:pPr>
            <w:r>
              <w:t>3.8%</w:t>
            </w:r>
          </w:p>
        </w:tc>
      </w:tr>
      <w:tr w:rsidR="00993A2A" w:rsidTr="006D10B0">
        <w:trPr>
          <w:gridAfter w:val="1"/>
          <w:wAfter w:w="14" w:type="dxa"/>
        </w:trPr>
        <w:tc>
          <w:tcPr>
            <w:tcW w:w="1804" w:type="dxa"/>
            <w:tcBorders>
              <w:top w:val="nil"/>
              <w:bottom w:val="nil"/>
            </w:tcBorders>
          </w:tcPr>
          <w:p w:rsidR="00993A2A" w:rsidRDefault="00993A2A" w:rsidP="00994032">
            <w:pPr>
              <w:pStyle w:val="NoSpacing"/>
            </w:pPr>
          </w:p>
        </w:tc>
        <w:tc>
          <w:tcPr>
            <w:tcW w:w="4396" w:type="dxa"/>
            <w:gridSpan w:val="2"/>
            <w:tcBorders>
              <w:top w:val="nil"/>
              <w:bottom w:val="nil"/>
            </w:tcBorders>
          </w:tcPr>
          <w:p w:rsidR="00993A2A" w:rsidRDefault="00993A2A" w:rsidP="00994032">
            <w:pPr>
              <w:pStyle w:val="NoSpacing"/>
            </w:pPr>
          </w:p>
        </w:tc>
        <w:tc>
          <w:tcPr>
            <w:tcW w:w="944" w:type="dxa"/>
            <w:gridSpan w:val="2"/>
          </w:tcPr>
          <w:p w:rsidR="00993A2A" w:rsidRDefault="00993A2A" w:rsidP="00994032">
            <w:pPr>
              <w:pStyle w:val="NoSpacing"/>
              <w:jc w:val="center"/>
            </w:pPr>
            <w:r>
              <w:t>Jun</w:t>
            </w:r>
          </w:p>
        </w:tc>
        <w:tc>
          <w:tcPr>
            <w:tcW w:w="945" w:type="dxa"/>
            <w:gridSpan w:val="2"/>
          </w:tcPr>
          <w:p w:rsidR="00993A2A" w:rsidRDefault="00993A2A" w:rsidP="00994032">
            <w:pPr>
              <w:pStyle w:val="NoSpacing"/>
              <w:jc w:val="right"/>
            </w:pPr>
            <w:r>
              <w:t>7.0%</w:t>
            </w:r>
          </w:p>
        </w:tc>
        <w:tc>
          <w:tcPr>
            <w:tcW w:w="977" w:type="dxa"/>
            <w:gridSpan w:val="2"/>
          </w:tcPr>
          <w:p w:rsidR="00993A2A" w:rsidRDefault="00993A2A" w:rsidP="00994032">
            <w:pPr>
              <w:pStyle w:val="NoSpacing"/>
              <w:jc w:val="right"/>
            </w:pPr>
            <w:r>
              <w:t>3.9%</w:t>
            </w:r>
          </w:p>
        </w:tc>
      </w:tr>
      <w:tr w:rsidR="00993A2A" w:rsidTr="006D10B0">
        <w:trPr>
          <w:gridAfter w:val="1"/>
          <w:wAfter w:w="14" w:type="dxa"/>
        </w:trPr>
        <w:tc>
          <w:tcPr>
            <w:tcW w:w="1804" w:type="dxa"/>
            <w:tcBorders>
              <w:top w:val="nil"/>
              <w:bottom w:val="nil"/>
            </w:tcBorders>
          </w:tcPr>
          <w:p w:rsidR="00993A2A" w:rsidRDefault="00993A2A" w:rsidP="00994032">
            <w:pPr>
              <w:pStyle w:val="NoSpacing"/>
            </w:pPr>
          </w:p>
        </w:tc>
        <w:tc>
          <w:tcPr>
            <w:tcW w:w="4396" w:type="dxa"/>
            <w:gridSpan w:val="2"/>
            <w:tcBorders>
              <w:top w:val="nil"/>
              <w:bottom w:val="nil"/>
            </w:tcBorders>
          </w:tcPr>
          <w:p w:rsidR="00993A2A" w:rsidRDefault="00993A2A" w:rsidP="00994032">
            <w:pPr>
              <w:pStyle w:val="NoSpacing"/>
            </w:pPr>
          </w:p>
        </w:tc>
        <w:tc>
          <w:tcPr>
            <w:tcW w:w="944" w:type="dxa"/>
            <w:gridSpan w:val="2"/>
          </w:tcPr>
          <w:p w:rsidR="00993A2A" w:rsidRDefault="00993A2A" w:rsidP="00994032">
            <w:pPr>
              <w:pStyle w:val="NoSpacing"/>
              <w:jc w:val="center"/>
            </w:pPr>
            <w:r>
              <w:t>Jul</w:t>
            </w:r>
          </w:p>
        </w:tc>
        <w:tc>
          <w:tcPr>
            <w:tcW w:w="945" w:type="dxa"/>
            <w:gridSpan w:val="2"/>
          </w:tcPr>
          <w:p w:rsidR="00993A2A" w:rsidRDefault="00993A2A" w:rsidP="00994032">
            <w:pPr>
              <w:pStyle w:val="NoSpacing"/>
              <w:jc w:val="right"/>
            </w:pPr>
            <w:r>
              <w:t>6.2%</w:t>
            </w:r>
          </w:p>
        </w:tc>
        <w:tc>
          <w:tcPr>
            <w:tcW w:w="977" w:type="dxa"/>
            <w:gridSpan w:val="2"/>
          </w:tcPr>
          <w:p w:rsidR="00993A2A" w:rsidRDefault="00993A2A" w:rsidP="00994032">
            <w:pPr>
              <w:pStyle w:val="NoSpacing"/>
              <w:jc w:val="right"/>
            </w:pPr>
            <w:r>
              <w:t>3.4%</w:t>
            </w:r>
          </w:p>
        </w:tc>
      </w:tr>
      <w:tr w:rsidR="00994032" w:rsidTr="006D10B0">
        <w:trPr>
          <w:gridAfter w:val="1"/>
          <w:wAfter w:w="14" w:type="dxa"/>
        </w:trPr>
        <w:tc>
          <w:tcPr>
            <w:tcW w:w="1804" w:type="dxa"/>
            <w:tcBorders>
              <w:top w:val="nil"/>
            </w:tcBorders>
          </w:tcPr>
          <w:p w:rsidR="00994032" w:rsidRDefault="00994032" w:rsidP="00994032">
            <w:pPr>
              <w:pStyle w:val="NoSpacing"/>
            </w:pPr>
          </w:p>
        </w:tc>
        <w:tc>
          <w:tcPr>
            <w:tcW w:w="4396" w:type="dxa"/>
            <w:gridSpan w:val="2"/>
            <w:tcBorders>
              <w:top w:val="nil"/>
            </w:tcBorders>
          </w:tcPr>
          <w:p w:rsidR="00994032" w:rsidRDefault="00994032" w:rsidP="00994032">
            <w:pPr>
              <w:pStyle w:val="NoSpacing"/>
            </w:pPr>
          </w:p>
        </w:tc>
        <w:tc>
          <w:tcPr>
            <w:tcW w:w="944" w:type="dxa"/>
            <w:gridSpan w:val="2"/>
          </w:tcPr>
          <w:p w:rsidR="00994032" w:rsidRDefault="00993A2A" w:rsidP="00994032">
            <w:pPr>
              <w:pStyle w:val="NoSpacing"/>
              <w:jc w:val="center"/>
            </w:pPr>
            <w:r>
              <w:t>Aug</w:t>
            </w:r>
          </w:p>
        </w:tc>
        <w:tc>
          <w:tcPr>
            <w:tcW w:w="945" w:type="dxa"/>
            <w:gridSpan w:val="2"/>
          </w:tcPr>
          <w:p w:rsidR="00994032" w:rsidRDefault="00993A2A" w:rsidP="00994032">
            <w:pPr>
              <w:pStyle w:val="NoSpacing"/>
              <w:jc w:val="right"/>
            </w:pPr>
            <w:r>
              <w:t>6.0</w:t>
            </w:r>
            <w:r w:rsidR="00994032">
              <w:t>%</w:t>
            </w:r>
          </w:p>
        </w:tc>
        <w:tc>
          <w:tcPr>
            <w:tcW w:w="977" w:type="dxa"/>
            <w:gridSpan w:val="2"/>
          </w:tcPr>
          <w:p w:rsidR="00994032" w:rsidRDefault="00993A2A" w:rsidP="00994032">
            <w:pPr>
              <w:pStyle w:val="NoSpacing"/>
              <w:jc w:val="right"/>
            </w:pPr>
            <w:r>
              <w:t>3.1</w:t>
            </w:r>
            <w:r w:rsidR="00994032">
              <w:t>%</w:t>
            </w:r>
          </w:p>
        </w:tc>
      </w:tr>
      <w:tr w:rsidR="007A52C9" w:rsidTr="007A52C9">
        <w:trPr>
          <w:gridAfter w:val="1"/>
          <w:wAfter w:w="14" w:type="dxa"/>
        </w:trPr>
        <w:tc>
          <w:tcPr>
            <w:tcW w:w="1804" w:type="dxa"/>
            <w:tcBorders>
              <w:bottom w:val="nil"/>
            </w:tcBorders>
          </w:tcPr>
          <w:p w:rsidR="007A52C9" w:rsidRDefault="007A52C9" w:rsidP="00994032">
            <w:pPr>
              <w:pStyle w:val="NoSpacing"/>
            </w:pPr>
            <w:r>
              <w:t>East of England</w:t>
            </w:r>
          </w:p>
        </w:tc>
        <w:tc>
          <w:tcPr>
            <w:tcW w:w="4396" w:type="dxa"/>
            <w:gridSpan w:val="2"/>
            <w:tcBorders>
              <w:bottom w:val="nil"/>
            </w:tcBorders>
          </w:tcPr>
          <w:p w:rsidR="007A52C9" w:rsidRDefault="007A52C9" w:rsidP="00994032">
            <w:pPr>
              <w:pStyle w:val="NoSpacing"/>
            </w:pPr>
            <w:r w:rsidRPr="00757386">
              <w:t>Emergency calls closed with telephone advice where re-contact occurs via 999 within 24 hours</w:t>
            </w:r>
          </w:p>
        </w:tc>
        <w:tc>
          <w:tcPr>
            <w:tcW w:w="944" w:type="dxa"/>
            <w:gridSpan w:val="2"/>
          </w:tcPr>
          <w:p w:rsidR="007A52C9" w:rsidRDefault="007A52C9" w:rsidP="00820B72">
            <w:pPr>
              <w:pStyle w:val="NoSpacing"/>
              <w:jc w:val="center"/>
            </w:pPr>
            <w:r>
              <w:t>May</w:t>
            </w:r>
          </w:p>
        </w:tc>
        <w:tc>
          <w:tcPr>
            <w:tcW w:w="945" w:type="dxa"/>
            <w:gridSpan w:val="2"/>
          </w:tcPr>
          <w:p w:rsidR="007A52C9" w:rsidRDefault="007A52C9" w:rsidP="00820B72">
            <w:pPr>
              <w:pStyle w:val="NoSpacing"/>
              <w:jc w:val="right"/>
            </w:pPr>
            <w:r>
              <w:t>11.8%</w:t>
            </w:r>
          </w:p>
        </w:tc>
        <w:tc>
          <w:tcPr>
            <w:tcW w:w="977" w:type="dxa"/>
            <w:gridSpan w:val="2"/>
          </w:tcPr>
          <w:p w:rsidR="007A52C9" w:rsidRDefault="007A52C9" w:rsidP="00820B72">
            <w:pPr>
              <w:pStyle w:val="NoSpacing"/>
              <w:jc w:val="right"/>
            </w:pPr>
            <w:r>
              <w:t>9.7%</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Pr="00757386" w:rsidRDefault="007A52C9" w:rsidP="00994032">
            <w:pPr>
              <w:pStyle w:val="NoSpacing"/>
            </w:pPr>
          </w:p>
        </w:tc>
        <w:tc>
          <w:tcPr>
            <w:tcW w:w="944" w:type="dxa"/>
            <w:gridSpan w:val="2"/>
          </w:tcPr>
          <w:p w:rsidR="007A52C9" w:rsidRDefault="007A52C9" w:rsidP="00820B72">
            <w:pPr>
              <w:pStyle w:val="NoSpacing"/>
              <w:jc w:val="center"/>
            </w:pPr>
            <w:r>
              <w:t>Jun</w:t>
            </w:r>
          </w:p>
        </w:tc>
        <w:tc>
          <w:tcPr>
            <w:tcW w:w="945" w:type="dxa"/>
            <w:gridSpan w:val="2"/>
          </w:tcPr>
          <w:p w:rsidR="007A52C9" w:rsidRDefault="007A52C9" w:rsidP="00820B72">
            <w:pPr>
              <w:pStyle w:val="NoSpacing"/>
              <w:jc w:val="right"/>
            </w:pPr>
            <w:r>
              <w:t>11.6%</w:t>
            </w:r>
          </w:p>
        </w:tc>
        <w:tc>
          <w:tcPr>
            <w:tcW w:w="977" w:type="dxa"/>
            <w:gridSpan w:val="2"/>
          </w:tcPr>
          <w:p w:rsidR="007A52C9" w:rsidRDefault="007A52C9" w:rsidP="00820B72">
            <w:pPr>
              <w:pStyle w:val="NoSpacing"/>
              <w:jc w:val="right"/>
            </w:pPr>
            <w:r>
              <w:t>9.0%</w:t>
            </w:r>
          </w:p>
        </w:tc>
      </w:tr>
      <w:tr w:rsidR="007A52C9" w:rsidTr="006D10B0">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Pr="00757386" w:rsidRDefault="007A52C9" w:rsidP="00994032">
            <w:pPr>
              <w:pStyle w:val="NoSpacing"/>
            </w:pPr>
          </w:p>
        </w:tc>
        <w:tc>
          <w:tcPr>
            <w:tcW w:w="944" w:type="dxa"/>
            <w:gridSpan w:val="2"/>
          </w:tcPr>
          <w:p w:rsidR="007A52C9" w:rsidRDefault="007A52C9" w:rsidP="00820B72">
            <w:pPr>
              <w:pStyle w:val="NoSpacing"/>
              <w:jc w:val="center"/>
            </w:pPr>
            <w:r>
              <w:t>Jul</w:t>
            </w:r>
          </w:p>
        </w:tc>
        <w:tc>
          <w:tcPr>
            <w:tcW w:w="945" w:type="dxa"/>
            <w:gridSpan w:val="2"/>
          </w:tcPr>
          <w:p w:rsidR="007A52C9" w:rsidRDefault="007A52C9" w:rsidP="00820B72">
            <w:pPr>
              <w:pStyle w:val="NoSpacing"/>
              <w:jc w:val="right"/>
            </w:pPr>
            <w:r>
              <w:t>10.9%</w:t>
            </w:r>
          </w:p>
        </w:tc>
        <w:tc>
          <w:tcPr>
            <w:tcW w:w="977" w:type="dxa"/>
            <w:gridSpan w:val="2"/>
          </w:tcPr>
          <w:p w:rsidR="007A52C9" w:rsidRDefault="007A52C9" w:rsidP="00820B72">
            <w:pPr>
              <w:pStyle w:val="NoSpacing"/>
              <w:jc w:val="right"/>
            </w:pPr>
            <w:r>
              <w:t>8.7%</w:t>
            </w:r>
          </w:p>
        </w:tc>
      </w:tr>
      <w:tr w:rsidR="007A52C9" w:rsidTr="006D10B0">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Pr="00757386" w:rsidRDefault="007A52C9" w:rsidP="00994032">
            <w:pPr>
              <w:pStyle w:val="NoSpacing"/>
            </w:pPr>
          </w:p>
        </w:tc>
        <w:tc>
          <w:tcPr>
            <w:tcW w:w="944" w:type="dxa"/>
            <w:gridSpan w:val="2"/>
          </w:tcPr>
          <w:p w:rsidR="007A52C9" w:rsidRDefault="007A52C9" w:rsidP="00820B72">
            <w:pPr>
              <w:pStyle w:val="NoSpacing"/>
              <w:jc w:val="center"/>
            </w:pPr>
            <w:r>
              <w:t>Aug</w:t>
            </w:r>
          </w:p>
        </w:tc>
        <w:tc>
          <w:tcPr>
            <w:tcW w:w="945" w:type="dxa"/>
            <w:gridSpan w:val="2"/>
          </w:tcPr>
          <w:p w:rsidR="007A52C9" w:rsidRDefault="007A52C9" w:rsidP="00820B72">
            <w:pPr>
              <w:pStyle w:val="NoSpacing"/>
              <w:jc w:val="right"/>
            </w:pPr>
            <w:r>
              <w:t>11.5%</w:t>
            </w:r>
          </w:p>
        </w:tc>
        <w:tc>
          <w:tcPr>
            <w:tcW w:w="977" w:type="dxa"/>
            <w:gridSpan w:val="2"/>
          </w:tcPr>
          <w:p w:rsidR="007A52C9" w:rsidRDefault="007A52C9" w:rsidP="00820B72">
            <w:pPr>
              <w:pStyle w:val="NoSpacing"/>
              <w:jc w:val="right"/>
            </w:pPr>
            <w:r>
              <w:t>9.5%</w:t>
            </w:r>
          </w:p>
        </w:tc>
      </w:tr>
      <w:tr w:rsidR="007A52C9" w:rsidTr="006D10B0">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Pr="00757386" w:rsidRDefault="007A52C9" w:rsidP="00994032">
            <w:pPr>
              <w:pStyle w:val="NoSpacing"/>
            </w:pPr>
          </w:p>
        </w:tc>
        <w:tc>
          <w:tcPr>
            <w:tcW w:w="944" w:type="dxa"/>
            <w:gridSpan w:val="2"/>
          </w:tcPr>
          <w:p w:rsidR="007A52C9" w:rsidRDefault="007A52C9" w:rsidP="00820B72">
            <w:pPr>
              <w:pStyle w:val="NoSpacing"/>
              <w:jc w:val="center"/>
            </w:pPr>
            <w:r>
              <w:t>Sep</w:t>
            </w:r>
          </w:p>
        </w:tc>
        <w:tc>
          <w:tcPr>
            <w:tcW w:w="945" w:type="dxa"/>
            <w:gridSpan w:val="2"/>
          </w:tcPr>
          <w:p w:rsidR="007A52C9" w:rsidRDefault="007A52C9" w:rsidP="00820B72">
            <w:pPr>
              <w:pStyle w:val="NoSpacing"/>
              <w:jc w:val="right"/>
            </w:pPr>
            <w:r>
              <w:t>12.1%</w:t>
            </w:r>
          </w:p>
        </w:tc>
        <w:tc>
          <w:tcPr>
            <w:tcW w:w="977" w:type="dxa"/>
            <w:gridSpan w:val="2"/>
          </w:tcPr>
          <w:p w:rsidR="007A52C9" w:rsidRDefault="007A52C9" w:rsidP="00820B72">
            <w:pPr>
              <w:pStyle w:val="NoSpacing"/>
              <w:jc w:val="right"/>
            </w:pPr>
            <w:r>
              <w:t>9.3%</w:t>
            </w:r>
          </w:p>
        </w:tc>
      </w:tr>
      <w:tr w:rsidR="007A52C9" w:rsidTr="006D10B0">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Pr="00757386" w:rsidRDefault="007A52C9" w:rsidP="00994032">
            <w:pPr>
              <w:pStyle w:val="NoSpacing"/>
            </w:pPr>
          </w:p>
        </w:tc>
        <w:tc>
          <w:tcPr>
            <w:tcW w:w="944" w:type="dxa"/>
            <w:gridSpan w:val="2"/>
          </w:tcPr>
          <w:p w:rsidR="007A52C9" w:rsidRDefault="007A52C9" w:rsidP="00820B72">
            <w:pPr>
              <w:pStyle w:val="NoSpacing"/>
              <w:jc w:val="center"/>
            </w:pPr>
            <w:r>
              <w:t>Oct</w:t>
            </w:r>
          </w:p>
        </w:tc>
        <w:tc>
          <w:tcPr>
            <w:tcW w:w="945" w:type="dxa"/>
            <w:gridSpan w:val="2"/>
          </w:tcPr>
          <w:p w:rsidR="007A52C9" w:rsidRDefault="007A52C9" w:rsidP="00820B72">
            <w:pPr>
              <w:pStyle w:val="NoSpacing"/>
              <w:jc w:val="right"/>
            </w:pPr>
            <w:r>
              <w:t>10.5%</w:t>
            </w:r>
          </w:p>
        </w:tc>
        <w:tc>
          <w:tcPr>
            <w:tcW w:w="977" w:type="dxa"/>
            <w:gridSpan w:val="2"/>
          </w:tcPr>
          <w:p w:rsidR="007A52C9" w:rsidRDefault="007A52C9" w:rsidP="00820B72">
            <w:pPr>
              <w:pStyle w:val="NoSpacing"/>
              <w:jc w:val="right"/>
            </w:pPr>
            <w:r>
              <w:t>8.2%</w:t>
            </w:r>
          </w:p>
        </w:tc>
      </w:tr>
      <w:tr w:rsidR="007A52C9" w:rsidTr="006D10B0">
        <w:tc>
          <w:tcPr>
            <w:tcW w:w="1818" w:type="dxa"/>
            <w:gridSpan w:val="2"/>
            <w:tcBorders>
              <w:top w:val="single" w:sz="4" w:space="0" w:color="auto"/>
              <w:bottom w:val="nil"/>
            </w:tcBorders>
          </w:tcPr>
          <w:p w:rsidR="007A52C9" w:rsidRDefault="007A52C9" w:rsidP="00994032">
            <w:pPr>
              <w:pStyle w:val="NoSpacing"/>
            </w:pPr>
            <w:r>
              <w:t>South Central</w:t>
            </w:r>
          </w:p>
        </w:tc>
        <w:tc>
          <w:tcPr>
            <w:tcW w:w="4396" w:type="dxa"/>
            <w:gridSpan w:val="2"/>
            <w:tcBorders>
              <w:top w:val="single" w:sz="4" w:space="0" w:color="auto"/>
              <w:bottom w:val="nil"/>
            </w:tcBorders>
          </w:tcPr>
          <w:p w:rsidR="007A52C9" w:rsidRDefault="007A52C9" w:rsidP="00994032">
            <w:pPr>
              <w:pStyle w:val="NoSpacing"/>
            </w:pPr>
            <w:r w:rsidRPr="00E61B94">
              <w:t>Emergency calls closed with telephone advice</w:t>
            </w:r>
          </w:p>
        </w:tc>
        <w:tc>
          <w:tcPr>
            <w:tcW w:w="944" w:type="dxa"/>
            <w:gridSpan w:val="2"/>
            <w:tcBorders>
              <w:top w:val="single" w:sz="4" w:space="0" w:color="auto"/>
              <w:bottom w:val="single" w:sz="4" w:space="0" w:color="auto"/>
            </w:tcBorders>
          </w:tcPr>
          <w:p w:rsidR="007A52C9" w:rsidRDefault="007A52C9" w:rsidP="00994032">
            <w:pPr>
              <w:pStyle w:val="NoSpacing"/>
              <w:jc w:val="center"/>
            </w:pPr>
            <w:r>
              <w:t>Jul</w:t>
            </w:r>
          </w:p>
        </w:tc>
        <w:tc>
          <w:tcPr>
            <w:tcW w:w="945" w:type="dxa"/>
            <w:gridSpan w:val="2"/>
            <w:tcBorders>
              <w:top w:val="single" w:sz="4" w:space="0" w:color="auto"/>
              <w:bottom w:val="single" w:sz="4" w:space="0" w:color="auto"/>
            </w:tcBorders>
          </w:tcPr>
          <w:p w:rsidR="007A52C9" w:rsidRDefault="007A52C9" w:rsidP="00994032">
            <w:pPr>
              <w:pStyle w:val="NoSpacing"/>
              <w:jc w:val="right"/>
            </w:pPr>
            <w:r>
              <w:t>6.6%</w:t>
            </w:r>
          </w:p>
        </w:tc>
        <w:tc>
          <w:tcPr>
            <w:tcW w:w="977" w:type="dxa"/>
            <w:gridSpan w:val="2"/>
            <w:tcBorders>
              <w:top w:val="single" w:sz="4" w:space="0" w:color="auto"/>
              <w:bottom w:val="single" w:sz="4" w:space="0" w:color="auto"/>
            </w:tcBorders>
          </w:tcPr>
          <w:p w:rsidR="007A52C9" w:rsidRDefault="007A52C9" w:rsidP="00994032">
            <w:pPr>
              <w:pStyle w:val="NoSpacing"/>
              <w:jc w:val="right"/>
            </w:pPr>
            <w:r>
              <w:t>9.4%</w:t>
            </w:r>
          </w:p>
        </w:tc>
      </w:tr>
      <w:tr w:rsidR="007A52C9" w:rsidTr="006D10B0">
        <w:trPr>
          <w:gridAfter w:val="1"/>
          <w:wAfter w:w="14" w:type="dxa"/>
        </w:trPr>
        <w:tc>
          <w:tcPr>
            <w:tcW w:w="1804" w:type="dxa"/>
            <w:tcBorders>
              <w:top w:val="nil"/>
              <w:bottom w:val="single" w:sz="4" w:space="0" w:color="auto"/>
            </w:tcBorders>
          </w:tcPr>
          <w:p w:rsidR="007A52C9" w:rsidRDefault="007A52C9" w:rsidP="00994032">
            <w:pPr>
              <w:pStyle w:val="NoSpacing"/>
            </w:pPr>
          </w:p>
        </w:tc>
        <w:tc>
          <w:tcPr>
            <w:tcW w:w="4396" w:type="dxa"/>
            <w:gridSpan w:val="2"/>
            <w:tcBorders>
              <w:top w:val="single" w:sz="4" w:space="0" w:color="auto"/>
              <w:bottom w:val="single" w:sz="4" w:space="0" w:color="auto"/>
            </w:tcBorders>
          </w:tcPr>
          <w:p w:rsidR="007A52C9" w:rsidRDefault="007A52C9" w:rsidP="00994032">
            <w:pPr>
              <w:pStyle w:val="NoSpacing"/>
            </w:pPr>
            <w:r w:rsidRPr="00757386">
              <w:t>Emergency calls closed with telephone advice where re-contact occurs via 999 within 24 hours</w:t>
            </w:r>
          </w:p>
        </w:tc>
        <w:tc>
          <w:tcPr>
            <w:tcW w:w="944" w:type="dxa"/>
            <w:gridSpan w:val="2"/>
            <w:tcBorders>
              <w:top w:val="single" w:sz="4" w:space="0" w:color="auto"/>
              <w:bottom w:val="single" w:sz="4" w:space="0" w:color="auto"/>
            </w:tcBorders>
          </w:tcPr>
          <w:p w:rsidR="007A52C9" w:rsidRDefault="007A52C9" w:rsidP="00994032">
            <w:pPr>
              <w:pStyle w:val="NoSpacing"/>
              <w:jc w:val="center"/>
            </w:pPr>
            <w:r>
              <w:t>Jul</w:t>
            </w:r>
          </w:p>
        </w:tc>
        <w:tc>
          <w:tcPr>
            <w:tcW w:w="945" w:type="dxa"/>
            <w:gridSpan w:val="2"/>
            <w:tcBorders>
              <w:top w:val="single" w:sz="4" w:space="0" w:color="auto"/>
              <w:bottom w:val="single" w:sz="4" w:space="0" w:color="auto"/>
            </w:tcBorders>
          </w:tcPr>
          <w:p w:rsidR="007A52C9" w:rsidRDefault="007A52C9" w:rsidP="00994032">
            <w:pPr>
              <w:pStyle w:val="NoSpacing"/>
              <w:jc w:val="right"/>
            </w:pPr>
            <w:r>
              <w:t>11.9%</w:t>
            </w:r>
          </w:p>
        </w:tc>
        <w:tc>
          <w:tcPr>
            <w:tcW w:w="977" w:type="dxa"/>
            <w:gridSpan w:val="2"/>
            <w:tcBorders>
              <w:top w:val="single" w:sz="4" w:space="0" w:color="auto"/>
              <w:bottom w:val="single" w:sz="4" w:space="0" w:color="auto"/>
            </w:tcBorders>
          </w:tcPr>
          <w:p w:rsidR="007A52C9" w:rsidRDefault="007A52C9" w:rsidP="00994032">
            <w:pPr>
              <w:pStyle w:val="NoSpacing"/>
              <w:jc w:val="right"/>
            </w:pPr>
            <w:r>
              <w:t>8.2%</w:t>
            </w:r>
          </w:p>
        </w:tc>
      </w:tr>
      <w:tr w:rsidR="007A52C9" w:rsidTr="007A52C9">
        <w:trPr>
          <w:gridAfter w:val="1"/>
          <w:wAfter w:w="14" w:type="dxa"/>
        </w:trPr>
        <w:tc>
          <w:tcPr>
            <w:tcW w:w="1804" w:type="dxa"/>
            <w:tcBorders>
              <w:top w:val="single" w:sz="4" w:space="0" w:color="auto"/>
              <w:bottom w:val="nil"/>
            </w:tcBorders>
          </w:tcPr>
          <w:p w:rsidR="007A52C9" w:rsidRDefault="007A52C9" w:rsidP="00994032">
            <w:pPr>
              <w:pStyle w:val="NoSpacing"/>
            </w:pPr>
            <w:r>
              <w:t>South Western</w:t>
            </w:r>
          </w:p>
        </w:tc>
        <w:tc>
          <w:tcPr>
            <w:tcW w:w="4396" w:type="dxa"/>
            <w:gridSpan w:val="2"/>
            <w:tcBorders>
              <w:top w:val="single" w:sz="4" w:space="0" w:color="auto"/>
              <w:bottom w:val="nil"/>
            </w:tcBorders>
          </w:tcPr>
          <w:p w:rsidR="007A52C9" w:rsidRPr="00757386" w:rsidRDefault="007A52C9" w:rsidP="00994032">
            <w:pPr>
              <w:pStyle w:val="NoSpacing"/>
            </w:pPr>
            <w:r w:rsidRPr="00E61B94">
              <w:t>Emergency calls closed with telephone advice</w:t>
            </w:r>
          </w:p>
        </w:tc>
        <w:tc>
          <w:tcPr>
            <w:tcW w:w="944" w:type="dxa"/>
            <w:gridSpan w:val="2"/>
            <w:tcBorders>
              <w:top w:val="single" w:sz="4" w:space="0" w:color="auto"/>
              <w:bottom w:val="single" w:sz="4" w:space="0" w:color="auto"/>
            </w:tcBorders>
          </w:tcPr>
          <w:p w:rsidR="007A52C9" w:rsidRDefault="007A52C9" w:rsidP="00994032">
            <w:pPr>
              <w:pStyle w:val="NoSpacing"/>
              <w:jc w:val="center"/>
            </w:pPr>
            <w:r>
              <w:t>Nov</w:t>
            </w:r>
          </w:p>
        </w:tc>
        <w:tc>
          <w:tcPr>
            <w:tcW w:w="945" w:type="dxa"/>
            <w:gridSpan w:val="2"/>
            <w:tcBorders>
              <w:top w:val="single" w:sz="4" w:space="0" w:color="auto"/>
              <w:bottom w:val="single" w:sz="4" w:space="0" w:color="auto"/>
            </w:tcBorders>
          </w:tcPr>
          <w:p w:rsidR="007A52C9" w:rsidRDefault="007A52C9" w:rsidP="00994032">
            <w:pPr>
              <w:pStyle w:val="NoSpacing"/>
              <w:jc w:val="right"/>
            </w:pPr>
            <w:r>
              <w:t>13.1%</w:t>
            </w:r>
          </w:p>
        </w:tc>
        <w:tc>
          <w:tcPr>
            <w:tcW w:w="977" w:type="dxa"/>
            <w:gridSpan w:val="2"/>
            <w:tcBorders>
              <w:top w:val="single" w:sz="4" w:space="0" w:color="auto"/>
              <w:bottom w:val="single" w:sz="4" w:space="0" w:color="auto"/>
            </w:tcBorders>
          </w:tcPr>
          <w:p w:rsidR="007A52C9" w:rsidRDefault="007A52C9" w:rsidP="00994032">
            <w:pPr>
              <w:pStyle w:val="NoSpacing"/>
              <w:jc w:val="right"/>
            </w:pPr>
            <w:r>
              <w:t>10.1%</w:t>
            </w:r>
          </w:p>
        </w:tc>
      </w:tr>
      <w:tr w:rsidR="007A52C9" w:rsidTr="007A52C9">
        <w:trPr>
          <w:gridAfter w:val="1"/>
          <w:wAfter w:w="14" w:type="dxa"/>
        </w:trPr>
        <w:tc>
          <w:tcPr>
            <w:tcW w:w="1804" w:type="dxa"/>
            <w:tcBorders>
              <w:top w:val="nil"/>
              <w:bottom w:val="single" w:sz="4" w:space="0" w:color="auto"/>
            </w:tcBorders>
          </w:tcPr>
          <w:p w:rsidR="007A52C9" w:rsidRDefault="007A52C9" w:rsidP="00994032">
            <w:pPr>
              <w:pStyle w:val="NoSpacing"/>
            </w:pPr>
          </w:p>
        </w:tc>
        <w:tc>
          <w:tcPr>
            <w:tcW w:w="4396" w:type="dxa"/>
            <w:gridSpan w:val="2"/>
            <w:tcBorders>
              <w:top w:val="nil"/>
              <w:bottom w:val="single" w:sz="4" w:space="0" w:color="auto"/>
            </w:tcBorders>
          </w:tcPr>
          <w:p w:rsidR="007A52C9" w:rsidRPr="00E61B94"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Dec</w:t>
            </w:r>
          </w:p>
        </w:tc>
        <w:tc>
          <w:tcPr>
            <w:tcW w:w="945" w:type="dxa"/>
            <w:gridSpan w:val="2"/>
            <w:tcBorders>
              <w:top w:val="single" w:sz="4" w:space="0" w:color="auto"/>
              <w:bottom w:val="single" w:sz="4" w:space="0" w:color="auto"/>
            </w:tcBorders>
          </w:tcPr>
          <w:p w:rsidR="007A52C9" w:rsidRDefault="007A52C9" w:rsidP="00994032">
            <w:pPr>
              <w:pStyle w:val="NoSpacing"/>
              <w:jc w:val="right"/>
            </w:pPr>
            <w:r>
              <w:t>12.6%</w:t>
            </w:r>
          </w:p>
        </w:tc>
        <w:tc>
          <w:tcPr>
            <w:tcW w:w="977" w:type="dxa"/>
            <w:gridSpan w:val="2"/>
            <w:tcBorders>
              <w:top w:val="single" w:sz="4" w:space="0" w:color="auto"/>
              <w:bottom w:val="single" w:sz="4" w:space="0" w:color="auto"/>
            </w:tcBorders>
          </w:tcPr>
          <w:p w:rsidR="007A52C9" w:rsidRDefault="007A52C9" w:rsidP="00994032">
            <w:pPr>
              <w:pStyle w:val="NoSpacing"/>
              <w:jc w:val="right"/>
            </w:pPr>
            <w:r>
              <w:t>10.5%</w:t>
            </w:r>
          </w:p>
        </w:tc>
      </w:tr>
      <w:tr w:rsidR="007A52C9" w:rsidTr="007A52C9">
        <w:trPr>
          <w:gridAfter w:val="1"/>
          <w:wAfter w:w="14" w:type="dxa"/>
        </w:trPr>
        <w:tc>
          <w:tcPr>
            <w:tcW w:w="1804" w:type="dxa"/>
            <w:tcBorders>
              <w:top w:val="single" w:sz="4" w:space="0" w:color="auto"/>
              <w:bottom w:val="nil"/>
            </w:tcBorders>
          </w:tcPr>
          <w:p w:rsidR="007A52C9" w:rsidRDefault="007A52C9" w:rsidP="00994032">
            <w:pPr>
              <w:pStyle w:val="NoSpacing"/>
            </w:pPr>
            <w:r>
              <w:t>South East Coast</w:t>
            </w:r>
          </w:p>
        </w:tc>
        <w:tc>
          <w:tcPr>
            <w:tcW w:w="4396" w:type="dxa"/>
            <w:gridSpan w:val="2"/>
            <w:tcBorders>
              <w:top w:val="single" w:sz="4" w:space="0" w:color="auto"/>
              <w:bottom w:val="nil"/>
            </w:tcBorders>
          </w:tcPr>
          <w:p w:rsidR="007A52C9" w:rsidRPr="00E61B94" w:rsidRDefault="007A52C9" w:rsidP="00994032">
            <w:pPr>
              <w:pStyle w:val="NoSpacing"/>
            </w:pPr>
            <w:r>
              <w:t>Red 2 calls arriving within 8 minutes</w:t>
            </w:r>
          </w:p>
        </w:tc>
        <w:tc>
          <w:tcPr>
            <w:tcW w:w="944" w:type="dxa"/>
            <w:gridSpan w:val="2"/>
            <w:tcBorders>
              <w:top w:val="single" w:sz="4" w:space="0" w:color="auto"/>
              <w:bottom w:val="single" w:sz="4" w:space="0" w:color="auto"/>
            </w:tcBorders>
          </w:tcPr>
          <w:p w:rsidR="007A52C9" w:rsidRDefault="007A52C9" w:rsidP="00994032">
            <w:pPr>
              <w:pStyle w:val="NoSpacing"/>
              <w:jc w:val="center"/>
            </w:pPr>
            <w:r>
              <w:t>Apr</w:t>
            </w:r>
          </w:p>
        </w:tc>
        <w:tc>
          <w:tcPr>
            <w:tcW w:w="945" w:type="dxa"/>
            <w:gridSpan w:val="2"/>
            <w:tcBorders>
              <w:top w:val="single" w:sz="4" w:space="0" w:color="auto"/>
              <w:bottom w:val="single" w:sz="4" w:space="0" w:color="auto"/>
            </w:tcBorders>
          </w:tcPr>
          <w:p w:rsidR="007A52C9" w:rsidRDefault="007A52C9" w:rsidP="00994032">
            <w:pPr>
              <w:pStyle w:val="NoSpacing"/>
              <w:jc w:val="right"/>
            </w:pPr>
            <w:r>
              <w:t>77.3%</w:t>
            </w:r>
          </w:p>
        </w:tc>
        <w:tc>
          <w:tcPr>
            <w:tcW w:w="977" w:type="dxa"/>
            <w:gridSpan w:val="2"/>
            <w:tcBorders>
              <w:top w:val="single" w:sz="4" w:space="0" w:color="auto"/>
              <w:bottom w:val="single" w:sz="4" w:space="0" w:color="auto"/>
            </w:tcBorders>
          </w:tcPr>
          <w:p w:rsidR="007A52C9" w:rsidRDefault="007A52C9" w:rsidP="00994032">
            <w:pPr>
              <w:pStyle w:val="NoSpacing"/>
              <w:jc w:val="right"/>
            </w:pPr>
            <w:r>
              <w:t>74.7%</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May</w:t>
            </w:r>
          </w:p>
        </w:tc>
        <w:tc>
          <w:tcPr>
            <w:tcW w:w="945" w:type="dxa"/>
            <w:gridSpan w:val="2"/>
            <w:tcBorders>
              <w:top w:val="single" w:sz="4" w:space="0" w:color="auto"/>
              <w:bottom w:val="single" w:sz="4" w:space="0" w:color="auto"/>
            </w:tcBorders>
          </w:tcPr>
          <w:p w:rsidR="007A52C9" w:rsidRDefault="007A52C9" w:rsidP="00994032">
            <w:pPr>
              <w:pStyle w:val="NoSpacing"/>
              <w:jc w:val="right"/>
            </w:pPr>
            <w:r>
              <w:t>76.0%</w:t>
            </w:r>
          </w:p>
        </w:tc>
        <w:tc>
          <w:tcPr>
            <w:tcW w:w="977" w:type="dxa"/>
            <w:gridSpan w:val="2"/>
            <w:tcBorders>
              <w:top w:val="single" w:sz="4" w:space="0" w:color="auto"/>
              <w:bottom w:val="single" w:sz="4" w:space="0" w:color="auto"/>
            </w:tcBorders>
          </w:tcPr>
          <w:p w:rsidR="007A52C9" w:rsidRDefault="007A52C9" w:rsidP="00994032">
            <w:pPr>
              <w:pStyle w:val="NoSpacing"/>
              <w:jc w:val="right"/>
            </w:pPr>
            <w:r>
              <w:t>74.0%</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Jun</w:t>
            </w:r>
          </w:p>
        </w:tc>
        <w:tc>
          <w:tcPr>
            <w:tcW w:w="945" w:type="dxa"/>
            <w:gridSpan w:val="2"/>
            <w:tcBorders>
              <w:top w:val="single" w:sz="4" w:space="0" w:color="auto"/>
              <w:bottom w:val="single" w:sz="4" w:space="0" w:color="auto"/>
            </w:tcBorders>
          </w:tcPr>
          <w:p w:rsidR="007A52C9" w:rsidRDefault="007A52C9" w:rsidP="00994032">
            <w:pPr>
              <w:pStyle w:val="NoSpacing"/>
              <w:jc w:val="right"/>
            </w:pPr>
            <w:r>
              <w:t>74.2%</w:t>
            </w:r>
          </w:p>
        </w:tc>
        <w:tc>
          <w:tcPr>
            <w:tcW w:w="977" w:type="dxa"/>
            <w:gridSpan w:val="2"/>
            <w:tcBorders>
              <w:top w:val="single" w:sz="4" w:space="0" w:color="auto"/>
              <w:bottom w:val="single" w:sz="4" w:space="0" w:color="auto"/>
            </w:tcBorders>
          </w:tcPr>
          <w:p w:rsidR="007A52C9" w:rsidRDefault="007A52C9" w:rsidP="00994032">
            <w:pPr>
              <w:pStyle w:val="NoSpacing"/>
              <w:jc w:val="right"/>
            </w:pPr>
            <w:r>
              <w:t>72.0%</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Jul</w:t>
            </w:r>
          </w:p>
        </w:tc>
        <w:tc>
          <w:tcPr>
            <w:tcW w:w="945" w:type="dxa"/>
            <w:gridSpan w:val="2"/>
            <w:tcBorders>
              <w:top w:val="single" w:sz="4" w:space="0" w:color="auto"/>
              <w:bottom w:val="single" w:sz="4" w:space="0" w:color="auto"/>
            </w:tcBorders>
          </w:tcPr>
          <w:p w:rsidR="007A52C9" w:rsidRDefault="007A52C9" w:rsidP="00994032">
            <w:pPr>
              <w:pStyle w:val="NoSpacing"/>
              <w:jc w:val="right"/>
            </w:pPr>
            <w:r>
              <w:t>73.3%</w:t>
            </w:r>
          </w:p>
        </w:tc>
        <w:tc>
          <w:tcPr>
            <w:tcW w:w="977" w:type="dxa"/>
            <w:gridSpan w:val="2"/>
            <w:tcBorders>
              <w:top w:val="single" w:sz="4" w:space="0" w:color="auto"/>
              <w:bottom w:val="single" w:sz="4" w:space="0" w:color="auto"/>
            </w:tcBorders>
          </w:tcPr>
          <w:p w:rsidR="007A52C9" w:rsidRDefault="007A52C9" w:rsidP="00994032">
            <w:pPr>
              <w:pStyle w:val="NoSpacing"/>
              <w:jc w:val="right"/>
            </w:pPr>
            <w:r>
              <w:t>70.7%</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Aug</w:t>
            </w:r>
          </w:p>
        </w:tc>
        <w:tc>
          <w:tcPr>
            <w:tcW w:w="945" w:type="dxa"/>
            <w:gridSpan w:val="2"/>
            <w:tcBorders>
              <w:top w:val="single" w:sz="4" w:space="0" w:color="auto"/>
              <w:bottom w:val="single" w:sz="4" w:space="0" w:color="auto"/>
            </w:tcBorders>
          </w:tcPr>
          <w:p w:rsidR="007A52C9" w:rsidRDefault="007A52C9" w:rsidP="00994032">
            <w:pPr>
              <w:pStyle w:val="NoSpacing"/>
              <w:jc w:val="right"/>
            </w:pPr>
            <w:r>
              <w:t>72.0%</w:t>
            </w:r>
          </w:p>
        </w:tc>
        <w:tc>
          <w:tcPr>
            <w:tcW w:w="977" w:type="dxa"/>
            <w:gridSpan w:val="2"/>
            <w:tcBorders>
              <w:top w:val="single" w:sz="4" w:space="0" w:color="auto"/>
              <w:bottom w:val="single" w:sz="4" w:space="0" w:color="auto"/>
            </w:tcBorders>
          </w:tcPr>
          <w:p w:rsidR="007A52C9" w:rsidRDefault="007A52C9" w:rsidP="00994032">
            <w:pPr>
              <w:pStyle w:val="NoSpacing"/>
              <w:jc w:val="right"/>
            </w:pPr>
            <w:r>
              <w:t>69.6%</w:t>
            </w:r>
          </w:p>
        </w:tc>
      </w:tr>
      <w:tr w:rsidR="007A52C9" w:rsidTr="007A52C9">
        <w:trPr>
          <w:gridAfter w:val="1"/>
          <w:wAfter w:w="14" w:type="dxa"/>
        </w:trPr>
        <w:tc>
          <w:tcPr>
            <w:tcW w:w="1804" w:type="dxa"/>
            <w:tcBorders>
              <w:top w:val="nil"/>
              <w:bottom w:val="nil"/>
            </w:tcBorders>
          </w:tcPr>
          <w:p w:rsidR="007A52C9" w:rsidRDefault="007A52C9" w:rsidP="00994032">
            <w:pPr>
              <w:pStyle w:val="NoSpacing"/>
            </w:pPr>
          </w:p>
        </w:tc>
        <w:tc>
          <w:tcPr>
            <w:tcW w:w="4396" w:type="dxa"/>
            <w:gridSpan w:val="2"/>
            <w:tcBorders>
              <w:top w:val="nil"/>
              <w:bottom w:val="nil"/>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Sep</w:t>
            </w:r>
          </w:p>
        </w:tc>
        <w:tc>
          <w:tcPr>
            <w:tcW w:w="945" w:type="dxa"/>
            <w:gridSpan w:val="2"/>
            <w:tcBorders>
              <w:top w:val="single" w:sz="4" w:space="0" w:color="auto"/>
              <w:bottom w:val="single" w:sz="4" w:space="0" w:color="auto"/>
            </w:tcBorders>
          </w:tcPr>
          <w:p w:rsidR="007A52C9" w:rsidRDefault="007A52C9" w:rsidP="00994032">
            <w:pPr>
              <w:pStyle w:val="NoSpacing"/>
              <w:jc w:val="right"/>
            </w:pPr>
            <w:r>
              <w:t>73.2%</w:t>
            </w:r>
          </w:p>
        </w:tc>
        <w:tc>
          <w:tcPr>
            <w:tcW w:w="977" w:type="dxa"/>
            <w:gridSpan w:val="2"/>
            <w:tcBorders>
              <w:top w:val="single" w:sz="4" w:space="0" w:color="auto"/>
              <w:bottom w:val="single" w:sz="4" w:space="0" w:color="auto"/>
            </w:tcBorders>
          </w:tcPr>
          <w:p w:rsidR="007A52C9" w:rsidRDefault="007A52C9" w:rsidP="00994032">
            <w:pPr>
              <w:pStyle w:val="NoSpacing"/>
              <w:jc w:val="right"/>
            </w:pPr>
            <w:r>
              <w:t>70.3%</w:t>
            </w:r>
          </w:p>
        </w:tc>
      </w:tr>
      <w:tr w:rsidR="007A52C9" w:rsidTr="007A52C9">
        <w:trPr>
          <w:gridAfter w:val="1"/>
          <w:wAfter w:w="14" w:type="dxa"/>
        </w:trPr>
        <w:tc>
          <w:tcPr>
            <w:tcW w:w="1804" w:type="dxa"/>
            <w:tcBorders>
              <w:top w:val="nil"/>
              <w:bottom w:val="single" w:sz="4" w:space="0" w:color="auto"/>
            </w:tcBorders>
          </w:tcPr>
          <w:p w:rsidR="007A52C9" w:rsidRDefault="007A52C9" w:rsidP="00994032">
            <w:pPr>
              <w:pStyle w:val="NoSpacing"/>
            </w:pPr>
          </w:p>
        </w:tc>
        <w:tc>
          <w:tcPr>
            <w:tcW w:w="4396" w:type="dxa"/>
            <w:gridSpan w:val="2"/>
            <w:tcBorders>
              <w:top w:val="nil"/>
              <w:bottom w:val="single" w:sz="4" w:space="0" w:color="auto"/>
            </w:tcBorders>
          </w:tcPr>
          <w:p w:rsidR="007A52C9" w:rsidRDefault="007A52C9" w:rsidP="00994032">
            <w:pPr>
              <w:pStyle w:val="NoSpacing"/>
            </w:pPr>
          </w:p>
        </w:tc>
        <w:tc>
          <w:tcPr>
            <w:tcW w:w="944" w:type="dxa"/>
            <w:gridSpan w:val="2"/>
            <w:tcBorders>
              <w:top w:val="single" w:sz="4" w:space="0" w:color="auto"/>
              <w:bottom w:val="single" w:sz="4" w:space="0" w:color="auto"/>
            </w:tcBorders>
          </w:tcPr>
          <w:p w:rsidR="007A52C9" w:rsidRDefault="007A52C9" w:rsidP="00994032">
            <w:pPr>
              <w:pStyle w:val="NoSpacing"/>
              <w:jc w:val="center"/>
            </w:pPr>
            <w:r>
              <w:t>Oct</w:t>
            </w:r>
          </w:p>
        </w:tc>
        <w:tc>
          <w:tcPr>
            <w:tcW w:w="945" w:type="dxa"/>
            <w:gridSpan w:val="2"/>
            <w:tcBorders>
              <w:top w:val="single" w:sz="4" w:space="0" w:color="auto"/>
              <w:bottom w:val="single" w:sz="4" w:space="0" w:color="auto"/>
            </w:tcBorders>
          </w:tcPr>
          <w:p w:rsidR="007A52C9" w:rsidRDefault="007A52C9" w:rsidP="00994032">
            <w:pPr>
              <w:pStyle w:val="NoSpacing"/>
              <w:jc w:val="right"/>
            </w:pPr>
            <w:r>
              <w:t>73.4%</w:t>
            </w:r>
          </w:p>
        </w:tc>
        <w:tc>
          <w:tcPr>
            <w:tcW w:w="977" w:type="dxa"/>
            <w:gridSpan w:val="2"/>
            <w:tcBorders>
              <w:top w:val="single" w:sz="4" w:space="0" w:color="auto"/>
              <w:bottom w:val="single" w:sz="4" w:space="0" w:color="auto"/>
            </w:tcBorders>
          </w:tcPr>
          <w:p w:rsidR="007A52C9" w:rsidRDefault="007A52C9" w:rsidP="00994032">
            <w:pPr>
              <w:pStyle w:val="NoSpacing"/>
              <w:jc w:val="right"/>
            </w:pPr>
            <w:r>
              <w:t>70.8%</w:t>
            </w:r>
          </w:p>
        </w:tc>
      </w:tr>
    </w:tbl>
    <w:p w:rsidR="003F6CC7" w:rsidRDefault="003F6CC7" w:rsidP="00994032">
      <w:pPr>
        <w:pStyle w:val="Heading4"/>
      </w:pPr>
    </w:p>
    <w:p w:rsidR="00994032" w:rsidRDefault="00994032" w:rsidP="00994032">
      <w:pPr>
        <w:pStyle w:val="Heading4"/>
      </w:pPr>
      <w:r>
        <w:t>Fig</w:t>
      </w:r>
      <w:r w:rsidR="00E61B94">
        <w:t xml:space="preserve">ure </w:t>
      </w:r>
      <w:r w:rsidR="006E1CDF">
        <w:t>19</w:t>
      </w:r>
      <w:r w:rsidR="00E61B94">
        <w:t>: Revisions of more than 0.5</w:t>
      </w:r>
      <w:r w:rsidR="00B86C3B">
        <w:t>%</w:t>
      </w:r>
      <w:r>
        <w:t xml:space="preserve"> point</w:t>
      </w:r>
      <w:r w:rsidR="00B86C3B">
        <w:t>s</w:t>
      </w:r>
      <w:r>
        <w:t xml:space="preserve"> to England monthly data</w:t>
      </w:r>
    </w:p>
    <w:tbl>
      <w:tblPr>
        <w:tblStyle w:val="TableGrid"/>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Revision of more than 1% at england level"/>
        <w:tblDescription w:val="Table giving detail of Clinical Outcome revisions that have caused a greater than 1% point change at England level."/>
      </w:tblPr>
      <w:tblGrid>
        <w:gridCol w:w="6350"/>
        <w:gridCol w:w="1084"/>
        <w:gridCol w:w="944"/>
        <w:gridCol w:w="944"/>
      </w:tblGrid>
      <w:tr w:rsidR="00994032" w:rsidTr="00E61B94">
        <w:tc>
          <w:tcPr>
            <w:tcW w:w="6350" w:type="dxa"/>
          </w:tcPr>
          <w:p w:rsidR="00994032" w:rsidRDefault="00994032" w:rsidP="00994032">
            <w:pPr>
              <w:pStyle w:val="Heading5"/>
            </w:pPr>
            <w:r>
              <w:t>Indicator</w:t>
            </w:r>
          </w:p>
        </w:tc>
        <w:tc>
          <w:tcPr>
            <w:tcW w:w="1084" w:type="dxa"/>
          </w:tcPr>
          <w:p w:rsidR="00994032" w:rsidRDefault="00994032" w:rsidP="00994032">
            <w:pPr>
              <w:pStyle w:val="Heading5"/>
            </w:pPr>
            <w:r>
              <w:t>Month</w:t>
            </w:r>
          </w:p>
        </w:tc>
        <w:tc>
          <w:tcPr>
            <w:tcW w:w="944" w:type="dxa"/>
          </w:tcPr>
          <w:p w:rsidR="00994032" w:rsidRDefault="00994032" w:rsidP="00994032">
            <w:pPr>
              <w:pStyle w:val="Heading5"/>
            </w:pPr>
            <w:r>
              <w:t>From</w:t>
            </w:r>
          </w:p>
        </w:tc>
        <w:tc>
          <w:tcPr>
            <w:tcW w:w="944" w:type="dxa"/>
          </w:tcPr>
          <w:p w:rsidR="00994032" w:rsidRDefault="00994032" w:rsidP="00994032">
            <w:pPr>
              <w:pStyle w:val="Heading5"/>
            </w:pPr>
            <w:r>
              <w:t>To</w:t>
            </w:r>
          </w:p>
        </w:tc>
      </w:tr>
      <w:tr w:rsidR="00994032" w:rsidTr="00E61B94">
        <w:trPr>
          <w:trHeight w:val="285"/>
        </w:trPr>
        <w:tc>
          <w:tcPr>
            <w:tcW w:w="6350" w:type="dxa"/>
          </w:tcPr>
          <w:p w:rsidR="00994032" w:rsidRDefault="00E61B94" w:rsidP="00994032">
            <w:pPr>
              <w:pStyle w:val="NoSpacing"/>
            </w:pPr>
            <w:r w:rsidRPr="00E61B94">
              <w:t>Patients discharged, after treatment at the scene or onward referral</w:t>
            </w:r>
          </w:p>
        </w:tc>
        <w:tc>
          <w:tcPr>
            <w:tcW w:w="1084" w:type="dxa"/>
          </w:tcPr>
          <w:p w:rsidR="00994032" w:rsidRDefault="00E61B94" w:rsidP="00994032">
            <w:pPr>
              <w:pStyle w:val="NoSpacing"/>
              <w:jc w:val="center"/>
            </w:pPr>
            <w:r>
              <w:t>May</w:t>
            </w:r>
          </w:p>
        </w:tc>
        <w:tc>
          <w:tcPr>
            <w:tcW w:w="944" w:type="dxa"/>
          </w:tcPr>
          <w:p w:rsidR="00994032" w:rsidRPr="00924949" w:rsidRDefault="00E61B94" w:rsidP="00994032">
            <w:pPr>
              <w:pStyle w:val="NoSpacing"/>
              <w:jc w:val="right"/>
            </w:pPr>
            <w:r>
              <w:t>35.3</w:t>
            </w:r>
            <w:r w:rsidR="00994032">
              <w:t>%</w:t>
            </w:r>
          </w:p>
        </w:tc>
        <w:tc>
          <w:tcPr>
            <w:tcW w:w="944" w:type="dxa"/>
          </w:tcPr>
          <w:p w:rsidR="00994032" w:rsidRDefault="00E61B94" w:rsidP="00E61B94">
            <w:pPr>
              <w:pStyle w:val="NoSpacing"/>
              <w:jc w:val="right"/>
            </w:pPr>
            <w:r>
              <w:t>37.4</w:t>
            </w:r>
            <w:r w:rsidR="00994032" w:rsidRPr="00ED0E97">
              <w:t>%</w:t>
            </w:r>
          </w:p>
        </w:tc>
      </w:tr>
      <w:tr w:rsidR="00994032" w:rsidTr="00E61B94">
        <w:tc>
          <w:tcPr>
            <w:tcW w:w="6350" w:type="dxa"/>
            <w:vMerge w:val="restart"/>
          </w:tcPr>
          <w:p w:rsidR="00994032" w:rsidRDefault="00E61B94" w:rsidP="00994032">
            <w:pPr>
              <w:pStyle w:val="NoSpacing"/>
            </w:pPr>
            <w:r w:rsidRPr="00E61B94">
              <w:t>Emergency calls closed with telephone advice</w:t>
            </w:r>
          </w:p>
          <w:p w:rsidR="00994032" w:rsidRPr="0055496A" w:rsidRDefault="00994032" w:rsidP="00994032"/>
        </w:tc>
        <w:tc>
          <w:tcPr>
            <w:tcW w:w="1084" w:type="dxa"/>
          </w:tcPr>
          <w:p w:rsidR="00994032" w:rsidRDefault="00994032" w:rsidP="00994032">
            <w:pPr>
              <w:pStyle w:val="NoSpacing"/>
              <w:jc w:val="center"/>
            </w:pPr>
            <w:r>
              <w:t>Apr</w:t>
            </w:r>
          </w:p>
        </w:tc>
        <w:tc>
          <w:tcPr>
            <w:tcW w:w="944" w:type="dxa"/>
          </w:tcPr>
          <w:p w:rsidR="00994032" w:rsidRPr="006C7BD3" w:rsidRDefault="00E61B94" w:rsidP="00994032">
            <w:pPr>
              <w:pStyle w:val="NoSpacing"/>
              <w:jc w:val="right"/>
            </w:pPr>
            <w:r>
              <w:t>9</w:t>
            </w:r>
            <w:r w:rsidR="00994032">
              <w:t>.</w:t>
            </w:r>
            <w:r>
              <w:t>4</w:t>
            </w:r>
            <w:r w:rsidR="00994032" w:rsidRPr="006C7BD3">
              <w:t>%</w:t>
            </w:r>
          </w:p>
        </w:tc>
        <w:tc>
          <w:tcPr>
            <w:tcW w:w="944" w:type="dxa"/>
          </w:tcPr>
          <w:p w:rsidR="00994032" w:rsidRDefault="00E61B94" w:rsidP="00E61B94">
            <w:pPr>
              <w:pStyle w:val="NoSpacing"/>
              <w:jc w:val="right"/>
            </w:pPr>
            <w:r>
              <w:t>10.0</w:t>
            </w:r>
            <w:r w:rsidR="00994032" w:rsidRPr="006C7BD3">
              <w:t>%</w:t>
            </w:r>
          </w:p>
        </w:tc>
      </w:tr>
      <w:tr w:rsidR="00994032" w:rsidTr="00E61B94">
        <w:tc>
          <w:tcPr>
            <w:tcW w:w="6350" w:type="dxa"/>
            <w:vMerge/>
          </w:tcPr>
          <w:p w:rsidR="00994032" w:rsidRDefault="00994032" w:rsidP="00994032">
            <w:pPr>
              <w:pStyle w:val="NoSpacing"/>
            </w:pPr>
          </w:p>
        </w:tc>
        <w:tc>
          <w:tcPr>
            <w:tcW w:w="1084" w:type="dxa"/>
          </w:tcPr>
          <w:p w:rsidR="00994032" w:rsidRDefault="00994032" w:rsidP="00994032">
            <w:pPr>
              <w:pStyle w:val="NoSpacing"/>
              <w:jc w:val="center"/>
            </w:pPr>
            <w:r>
              <w:t>May</w:t>
            </w:r>
          </w:p>
        </w:tc>
        <w:tc>
          <w:tcPr>
            <w:tcW w:w="944" w:type="dxa"/>
          </w:tcPr>
          <w:p w:rsidR="00994032" w:rsidRPr="006C7BD3" w:rsidRDefault="00E61B94" w:rsidP="00E61B94">
            <w:pPr>
              <w:pStyle w:val="NoSpacing"/>
              <w:jc w:val="right"/>
            </w:pPr>
            <w:r>
              <w:t>9.5</w:t>
            </w:r>
            <w:r w:rsidR="00994032" w:rsidRPr="006011C6">
              <w:t>%</w:t>
            </w:r>
          </w:p>
        </w:tc>
        <w:tc>
          <w:tcPr>
            <w:tcW w:w="944" w:type="dxa"/>
          </w:tcPr>
          <w:p w:rsidR="00994032" w:rsidRDefault="00E61B94" w:rsidP="00E61B94">
            <w:pPr>
              <w:pStyle w:val="NoSpacing"/>
              <w:jc w:val="right"/>
            </w:pPr>
            <w:r>
              <w:t>10</w:t>
            </w:r>
            <w:r w:rsidR="00994032" w:rsidRPr="006011C6">
              <w:t>.</w:t>
            </w:r>
            <w:r>
              <w:t>1</w:t>
            </w:r>
            <w:r w:rsidR="00994032" w:rsidRPr="006011C6">
              <w:t>%</w:t>
            </w:r>
          </w:p>
        </w:tc>
      </w:tr>
      <w:tr w:rsidR="00994032" w:rsidTr="00E61B94">
        <w:tc>
          <w:tcPr>
            <w:tcW w:w="6350" w:type="dxa"/>
            <w:vMerge/>
          </w:tcPr>
          <w:p w:rsidR="00994032" w:rsidRDefault="00994032" w:rsidP="00994032">
            <w:pPr>
              <w:pStyle w:val="NoSpacing"/>
            </w:pPr>
          </w:p>
        </w:tc>
        <w:tc>
          <w:tcPr>
            <w:tcW w:w="1084" w:type="dxa"/>
          </w:tcPr>
          <w:p w:rsidR="00994032" w:rsidRDefault="00994032" w:rsidP="00994032">
            <w:pPr>
              <w:pStyle w:val="NoSpacing"/>
              <w:jc w:val="center"/>
            </w:pPr>
            <w:r>
              <w:t>Jun</w:t>
            </w:r>
          </w:p>
        </w:tc>
        <w:tc>
          <w:tcPr>
            <w:tcW w:w="944" w:type="dxa"/>
          </w:tcPr>
          <w:p w:rsidR="00994032" w:rsidRPr="006C7BD3" w:rsidRDefault="00E61B94" w:rsidP="00E61B94">
            <w:pPr>
              <w:pStyle w:val="NoSpacing"/>
              <w:jc w:val="right"/>
            </w:pPr>
            <w:r>
              <w:t>9</w:t>
            </w:r>
            <w:r w:rsidR="00994032">
              <w:t>.</w:t>
            </w:r>
            <w:r>
              <w:t>7</w:t>
            </w:r>
            <w:r w:rsidR="00994032">
              <w:t>%</w:t>
            </w:r>
          </w:p>
        </w:tc>
        <w:tc>
          <w:tcPr>
            <w:tcW w:w="944" w:type="dxa"/>
          </w:tcPr>
          <w:p w:rsidR="00994032" w:rsidRPr="006C7BD3" w:rsidRDefault="00E61B94" w:rsidP="00994032">
            <w:pPr>
              <w:pStyle w:val="NoSpacing"/>
              <w:jc w:val="right"/>
            </w:pPr>
            <w:r>
              <w:t>10.3</w:t>
            </w:r>
            <w:r w:rsidR="00994032">
              <w:t>%</w:t>
            </w:r>
          </w:p>
        </w:tc>
      </w:tr>
      <w:tr w:rsidR="00994032" w:rsidTr="00E61B94">
        <w:tc>
          <w:tcPr>
            <w:tcW w:w="6350" w:type="dxa"/>
            <w:vMerge/>
          </w:tcPr>
          <w:p w:rsidR="00994032" w:rsidRDefault="00994032" w:rsidP="00994032">
            <w:pPr>
              <w:pStyle w:val="NoSpacing"/>
            </w:pPr>
          </w:p>
        </w:tc>
        <w:tc>
          <w:tcPr>
            <w:tcW w:w="1084" w:type="dxa"/>
          </w:tcPr>
          <w:p w:rsidR="00994032" w:rsidRDefault="00994032" w:rsidP="00994032">
            <w:pPr>
              <w:pStyle w:val="NoSpacing"/>
              <w:jc w:val="center"/>
            </w:pPr>
            <w:r>
              <w:t>Jul</w:t>
            </w:r>
          </w:p>
        </w:tc>
        <w:tc>
          <w:tcPr>
            <w:tcW w:w="944" w:type="dxa"/>
          </w:tcPr>
          <w:p w:rsidR="00994032" w:rsidRPr="006C7BD3" w:rsidRDefault="00E61B94" w:rsidP="00994032">
            <w:pPr>
              <w:pStyle w:val="NoSpacing"/>
              <w:jc w:val="right"/>
            </w:pPr>
            <w:r>
              <w:t>9.5</w:t>
            </w:r>
            <w:r w:rsidR="00994032">
              <w:t>%</w:t>
            </w:r>
          </w:p>
        </w:tc>
        <w:tc>
          <w:tcPr>
            <w:tcW w:w="944" w:type="dxa"/>
          </w:tcPr>
          <w:p w:rsidR="00994032" w:rsidRPr="006C7BD3" w:rsidRDefault="00E61B94" w:rsidP="00994032">
            <w:pPr>
              <w:pStyle w:val="NoSpacing"/>
              <w:jc w:val="right"/>
            </w:pPr>
            <w:r>
              <w:t>10.4</w:t>
            </w:r>
            <w:r w:rsidR="00994032">
              <w:t>%</w:t>
            </w:r>
          </w:p>
        </w:tc>
      </w:tr>
      <w:tr w:rsidR="00994032" w:rsidTr="00E61B94">
        <w:tc>
          <w:tcPr>
            <w:tcW w:w="6350" w:type="dxa"/>
            <w:vMerge/>
          </w:tcPr>
          <w:p w:rsidR="00994032" w:rsidRDefault="00994032" w:rsidP="00994032">
            <w:pPr>
              <w:pStyle w:val="NoSpacing"/>
            </w:pPr>
          </w:p>
        </w:tc>
        <w:tc>
          <w:tcPr>
            <w:tcW w:w="1084" w:type="dxa"/>
          </w:tcPr>
          <w:p w:rsidR="00994032" w:rsidRDefault="00994032" w:rsidP="00994032">
            <w:pPr>
              <w:pStyle w:val="NoSpacing"/>
              <w:jc w:val="center"/>
            </w:pPr>
            <w:r>
              <w:t>Aug</w:t>
            </w:r>
          </w:p>
        </w:tc>
        <w:tc>
          <w:tcPr>
            <w:tcW w:w="944" w:type="dxa"/>
          </w:tcPr>
          <w:p w:rsidR="00994032" w:rsidRPr="00F96E23" w:rsidRDefault="00E61B94" w:rsidP="00994032">
            <w:pPr>
              <w:pStyle w:val="NoSpacing"/>
              <w:jc w:val="right"/>
            </w:pPr>
            <w:r>
              <w:t>9.9</w:t>
            </w:r>
            <w:r w:rsidR="00994032" w:rsidRPr="00F96E23">
              <w:t>%</w:t>
            </w:r>
          </w:p>
        </w:tc>
        <w:tc>
          <w:tcPr>
            <w:tcW w:w="944" w:type="dxa"/>
          </w:tcPr>
          <w:p w:rsidR="00994032" w:rsidRPr="00F96E23" w:rsidRDefault="00E61B94" w:rsidP="00994032">
            <w:pPr>
              <w:pStyle w:val="NoSpacing"/>
              <w:jc w:val="right"/>
            </w:pPr>
            <w:r>
              <w:t>10.4</w:t>
            </w:r>
            <w:r w:rsidR="00994032" w:rsidRPr="00F96E23">
              <w:t>%</w:t>
            </w:r>
          </w:p>
        </w:tc>
      </w:tr>
      <w:tr w:rsidR="00757386" w:rsidTr="00820B72">
        <w:tc>
          <w:tcPr>
            <w:tcW w:w="6350" w:type="dxa"/>
            <w:vMerge w:val="restart"/>
          </w:tcPr>
          <w:p w:rsidR="00757386" w:rsidRPr="0055496A" w:rsidRDefault="00757386" w:rsidP="00820B72">
            <w:r w:rsidRPr="00757386">
              <w:t>Emergency calls closed with telephone advice where re-contact occurs via 999 within 24 hours</w:t>
            </w:r>
          </w:p>
        </w:tc>
        <w:tc>
          <w:tcPr>
            <w:tcW w:w="1084" w:type="dxa"/>
          </w:tcPr>
          <w:p w:rsidR="00757386" w:rsidRDefault="00757386" w:rsidP="00820B72">
            <w:pPr>
              <w:pStyle w:val="NoSpacing"/>
              <w:jc w:val="center"/>
            </w:pPr>
            <w:r>
              <w:t>Apr</w:t>
            </w:r>
          </w:p>
        </w:tc>
        <w:tc>
          <w:tcPr>
            <w:tcW w:w="944" w:type="dxa"/>
          </w:tcPr>
          <w:p w:rsidR="00757386" w:rsidRPr="006C7BD3" w:rsidRDefault="00757386" w:rsidP="00820B72">
            <w:pPr>
              <w:pStyle w:val="NoSpacing"/>
              <w:jc w:val="right"/>
            </w:pPr>
            <w:r>
              <w:t>6.9</w:t>
            </w:r>
            <w:r w:rsidRPr="006C7BD3">
              <w:t>%</w:t>
            </w:r>
          </w:p>
        </w:tc>
        <w:tc>
          <w:tcPr>
            <w:tcW w:w="944" w:type="dxa"/>
          </w:tcPr>
          <w:p w:rsidR="00757386" w:rsidRDefault="00757386" w:rsidP="00820B72">
            <w:pPr>
              <w:pStyle w:val="NoSpacing"/>
              <w:jc w:val="right"/>
            </w:pPr>
            <w:r>
              <w:t>6.4</w:t>
            </w:r>
            <w:r w:rsidRPr="006C7BD3">
              <w:t>%</w:t>
            </w:r>
          </w:p>
        </w:tc>
      </w:tr>
      <w:tr w:rsidR="00757386" w:rsidTr="00820B72">
        <w:tc>
          <w:tcPr>
            <w:tcW w:w="6350" w:type="dxa"/>
            <w:vMerge/>
          </w:tcPr>
          <w:p w:rsidR="00757386" w:rsidRDefault="00757386" w:rsidP="00820B72">
            <w:pPr>
              <w:pStyle w:val="NoSpacing"/>
            </w:pPr>
          </w:p>
        </w:tc>
        <w:tc>
          <w:tcPr>
            <w:tcW w:w="1084" w:type="dxa"/>
          </w:tcPr>
          <w:p w:rsidR="00757386" w:rsidRDefault="00757386" w:rsidP="00820B72">
            <w:pPr>
              <w:pStyle w:val="NoSpacing"/>
              <w:jc w:val="center"/>
            </w:pPr>
            <w:r>
              <w:t>May</w:t>
            </w:r>
          </w:p>
        </w:tc>
        <w:tc>
          <w:tcPr>
            <w:tcW w:w="944" w:type="dxa"/>
          </w:tcPr>
          <w:p w:rsidR="00757386" w:rsidRPr="006C7BD3" w:rsidRDefault="00757386" w:rsidP="00820B72">
            <w:pPr>
              <w:pStyle w:val="NoSpacing"/>
              <w:jc w:val="right"/>
            </w:pPr>
            <w:r>
              <w:t>7.1</w:t>
            </w:r>
            <w:r w:rsidRPr="006011C6">
              <w:t>%</w:t>
            </w:r>
          </w:p>
        </w:tc>
        <w:tc>
          <w:tcPr>
            <w:tcW w:w="944" w:type="dxa"/>
          </w:tcPr>
          <w:p w:rsidR="00757386" w:rsidRDefault="00757386" w:rsidP="00820B72">
            <w:pPr>
              <w:pStyle w:val="NoSpacing"/>
              <w:jc w:val="right"/>
            </w:pPr>
            <w:r>
              <w:t>6</w:t>
            </w:r>
            <w:r w:rsidRPr="006011C6">
              <w:t>.</w:t>
            </w:r>
            <w:r>
              <w:t>5</w:t>
            </w:r>
            <w:r w:rsidRPr="006011C6">
              <w:t>%</w:t>
            </w:r>
          </w:p>
        </w:tc>
      </w:tr>
      <w:tr w:rsidR="00757386" w:rsidTr="00820B72">
        <w:tc>
          <w:tcPr>
            <w:tcW w:w="6350" w:type="dxa"/>
            <w:vMerge/>
          </w:tcPr>
          <w:p w:rsidR="00757386" w:rsidRDefault="00757386" w:rsidP="00820B72">
            <w:pPr>
              <w:pStyle w:val="NoSpacing"/>
            </w:pPr>
          </w:p>
        </w:tc>
        <w:tc>
          <w:tcPr>
            <w:tcW w:w="1084" w:type="dxa"/>
          </w:tcPr>
          <w:p w:rsidR="00757386" w:rsidRDefault="00757386" w:rsidP="00820B72">
            <w:pPr>
              <w:pStyle w:val="NoSpacing"/>
              <w:jc w:val="center"/>
            </w:pPr>
            <w:r>
              <w:t>Jun</w:t>
            </w:r>
          </w:p>
        </w:tc>
        <w:tc>
          <w:tcPr>
            <w:tcW w:w="944" w:type="dxa"/>
          </w:tcPr>
          <w:p w:rsidR="00757386" w:rsidRPr="006C7BD3" w:rsidRDefault="00757386" w:rsidP="00820B72">
            <w:pPr>
              <w:pStyle w:val="NoSpacing"/>
              <w:jc w:val="right"/>
            </w:pPr>
            <w:r>
              <w:t>7.4%</w:t>
            </w:r>
          </w:p>
        </w:tc>
        <w:tc>
          <w:tcPr>
            <w:tcW w:w="944" w:type="dxa"/>
          </w:tcPr>
          <w:p w:rsidR="00757386" w:rsidRPr="006C7BD3" w:rsidRDefault="00757386" w:rsidP="00820B72">
            <w:pPr>
              <w:pStyle w:val="NoSpacing"/>
              <w:jc w:val="right"/>
            </w:pPr>
            <w:r>
              <w:t>6.7%</w:t>
            </w:r>
          </w:p>
        </w:tc>
      </w:tr>
      <w:tr w:rsidR="00757386" w:rsidTr="00820B72">
        <w:tc>
          <w:tcPr>
            <w:tcW w:w="6350" w:type="dxa"/>
            <w:vMerge/>
          </w:tcPr>
          <w:p w:rsidR="00757386" w:rsidRDefault="00757386" w:rsidP="00820B72">
            <w:pPr>
              <w:pStyle w:val="NoSpacing"/>
            </w:pPr>
          </w:p>
        </w:tc>
        <w:tc>
          <w:tcPr>
            <w:tcW w:w="1084" w:type="dxa"/>
          </w:tcPr>
          <w:p w:rsidR="00757386" w:rsidRDefault="00757386" w:rsidP="00820B72">
            <w:pPr>
              <w:pStyle w:val="NoSpacing"/>
              <w:jc w:val="center"/>
            </w:pPr>
            <w:r>
              <w:t>Jul</w:t>
            </w:r>
          </w:p>
        </w:tc>
        <w:tc>
          <w:tcPr>
            <w:tcW w:w="944" w:type="dxa"/>
          </w:tcPr>
          <w:p w:rsidR="00757386" w:rsidRPr="006C7BD3" w:rsidRDefault="00757386" w:rsidP="00820B72">
            <w:pPr>
              <w:pStyle w:val="NoSpacing"/>
              <w:jc w:val="right"/>
            </w:pPr>
            <w:r>
              <w:t>7.0%</w:t>
            </w:r>
          </w:p>
        </w:tc>
        <w:tc>
          <w:tcPr>
            <w:tcW w:w="944" w:type="dxa"/>
          </w:tcPr>
          <w:p w:rsidR="00757386" w:rsidRPr="006C7BD3" w:rsidRDefault="00757386" w:rsidP="00820B72">
            <w:pPr>
              <w:pStyle w:val="NoSpacing"/>
              <w:jc w:val="right"/>
            </w:pPr>
            <w:r>
              <w:t>6.2%</w:t>
            </w:r>
          </w:p>
        </w:tc>
      </w:tr>
      <w:tr w:rsidR="00757386" w:rsidTr="00820B72">
        <w:tc>
          <w:tcPr>
            <w:tcW w:w="6350" w:type="dxa"/>
            <w:vMerge/>
          </w:tcPr>
          <w:p w:rsidR="00757386" w:rsidRDefault="00757386" w:rsidP="00820B72">
            <w:pPr>
              <w:pStyle w:val="NoSpacing"/>
            </w:pPr>
          </w:p>
        </w:tc>
        <w:tc>
          <w:tcPr>
            <w:tcW w:w="1084" w:type="dxa"/>
          </w:tcPr>
          <w:p w:rsidR="00757386" w:rsidRDefault="00757386" w:rsidP="00820B72">
            <w:pPr>
              <w:pStyle w:val="NoSpacing"/>
              <w:jc w:val="center"/>
            </w:pPr>
            <w:r>
              <w:t>Aug</w:t>
            </w:r>
          </w:p>
        </w:tc>
        <w:tc>
          <w:tcPr>
            <w:tcW w:w="944" w:type="dxa"/>
          </w:tcPr>
          <w:p w:rsidR="00757386" w:rsidRPr="00F96E23" w:rsidRDefault="00757386" w:rsidP="00820B72">
            <w:pPr>
              <w:pStyle w:val="NoSpacing"/>
              <w:jc w:val="right"/>
            </w:pPr>
            <w:r>
              <w:t>7.0</w:t>
            </w:r>
            <w:r w:rsidRPr="00F96E23">
              <w:t>%</w:t>
            </w:r>
          </w:p>
        </w:tc>
        <w:tc>
          <w:tcPr>
            <w:tcW w:w="944" w:type="dxa"/>
          </w:tcPr>
          <w:p w:rsidR="00757386" w:rsidRPr="00F96E23" w:rsidRDefault="00757386" w:rsidP="00820B72">
            <w:pPr>
              <w:pStyle w:val="NoSpacing"/>
              <w:jc w:val="right"/>
            </w:pPr>
            <w:r>
              <w:t>6.5</w:t>
            </w:r>
            <w:r w:rsidRPr="00F96E23">
              <w:t>%</w:t>
            </w:r>
          </w:p>
        </w:tc>
      </w:tr>
    </w:tbl>
    <w:p w:rsidR="00994032" w:rsidRDefault="00994032" w:rsidP="00C73251"/>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31580B" w:rsidRPr="00C71CE3" w:rsidRDefault="00044185" w:rsidP="003A0D0C">
      <w:r>
        <w:t xml:space="preserve">Patients in cardiac arrest will typically have no pulse and will not be breathing. </w:t>
      </w:r>
      <w:r w:rsidR="0032599C" w:rsidRPr="00DA6E95">
        <w:t xml:space="preserve">In </w:t>
      </w:r>
      <w:r w:rsidR="009D2C79">
        <w:t>December</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9D2C79">
        <w:t>2,646</w:t>
      </w:r>
      <w:r w:rsidR="00AF1A19">
        <w:t xml:space="preserve"> </w:t>
      </w:r>
      <w:r>
        <w:t xml:space="preserve">such </w:t>
      </w:r>
      <w:r w:rsidR="0032599C" w:rsidRPr="00DA6E95">
        <w:t>patients</w:t>
      </w:r>
      <w:r w:rsidR="0032599C">
        <w:t xml:space="preserve">. Of these, </w:t>
      </w:r>
      <w:r w:rsidR="009D2C79">
        <w:t>713</w:t>
      </w:r>
      <w:r w:rsidR="00AC1EF7" w:rsidRPr="00AC1EF7">
        <w:t xml:space="preserve"> </w:t>
      </w:r>
      <w:r w:rsidR="0032599C">
        <w:t>(</w:t>
      </w:r>
      <w:r w:rsidR="00C71CE3">
        <w:t>2</w:t>
      </w:r>
      <w:r w:rsidR="009D2C79">
        <w:t>6.9</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6E1CDF">
        <w:t xml:space="preserve"> (Figure 20</w:t>
      </w:r>
      <w:r w:rsidR="00C814F1">
        <w:t>)</w:t>
      </w:r>
      <w:r w:rsidR="00E41E8F">
        <w:t xml:space="preserve">, </w:t>
      </w:r>
      <w:r w:rsidR="000655B4">
        <w:t>similar to</w:t>
      </w:r>
      <w:r w:rsidR="0083071A">
        <w:t xml:space="preserve"> the</w:t>
      </w:r>
      <w:r w:rsidR="00BA610C">
        <w:t xml:space="preserv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83071A">
        <w:t>.3</w:t>
      </w:r>
      <w:r w:rsidR="0032599C" w:rsidRPr="00D13275">
        <w:t>%</w:t>
      </w:r>
      <w:r w:rsidR="0032599C" w:rsidRPr="00296E05">
        <w:t>.</w:t>
      </w:r>
      <w:r w:rsidR="006154B4">
        <w:t xml:space="preserve">  </w:t>
      </w:r>
      <w:r w:rsidR="008F7386">
        <w:t>The largest</w:t>
      </w:r>
      <w:r w:rsidR="00C570ED">
        <w:t xml:space="preserve"> proportion in </w:t>
      </w:r>
      <w:r w:rsidR="009D2C79">
        <w:t>December</w:t>
      </w:r>
      <w:r w:rsidR="00CF061B">
        <w:t xml:space="preserve"> </w:t>
      </w:r>
      <w:r w:rsidR="00CF061B" w:rsidRPr="00CF061B">
        <w:t xml:space="preserve">2015 was </w:t>
      </w:r>
      <w:r w:rsidR="001A0F87">
        <w:t>3</w:t>
      </w:r>
      <w:r w:rsidR="009D2C79">
        <w:t>2</w:t>
      </w:r>
      <w:r w:rsidR="001A0F87">
        <w:t>.</w:t>
      </w:r>
      <w:r w:rsidR="009D2C79">
        <w:t>2</w:t>
      </w:r>
      <w:r w:rsidR="005F29B1">
        <w:t>% for</w:t>
      </w:r>
      <w:r w:rsidR="009D2C79">
        <w:t xml:space="preserve"> North West</w:t>
      </w:r>
      <w:r w:rsidR="004D6E3F">
        <w:t>.</w:t>
      </w:r>
      <w:r w:rsidR="00C73251">
        <w:t xml:space="preserve"> </w:t>
      </w:r>
      <w:r w:rsidR="00AF2CDC">
        <w:t xml:space="preserve">The smallest proportion </w:t>
      </w:r>
      <w:r w:rsidR="00C71CE3">
        <w:t xml:space="preserve">reported </w:t>
      </w:r>
      <w:r w:rsidR="00AF2CDC">
        <w:t>was</w:t>
      </w:r>
      <w:r w:rsidR="009D2C79">
        <w:t xml:space="preserve"> 20.7</w:t>
      </w:r>
      <w:r w:rsidR="00AF2CDC">
        <w:t xml:space="preserve">% for </w:t>
      </w:r>
      <w:r w:rsidR="009D2C79">
        <w:t>Yorkshire</w:t>
      </w:r>
      <w:r w:rsidR="006154B4" w:rsidRPr="006154B4">
        <w:rPr>
          <w:rFonts w:cs="Arial"/>
        </w:rPr>
        <w:t>.</w:t>
      </w:r>
    </w:p>
    <w:p w:rsidR="00F36218" w:rsidRDefault="003A0D0C" w:rsidP="003A0D0C">
      <w:pPr>
        <w:rPr>
          <w:rFonts w:cs="Arial"/>
        </w:rPr>
      </w:pPr>
      <w:r>
        <w:t xml:space="preserve">The </w:t>
      </w:r>
      <w:proofErr w:type="spellStart"/>
      <w:r>
        <w:t>Utstein</w:t>
      </w:r>
      <w:proofErr w:type="spellEnd"/>
      <w:r>
        <w:t xml:space="preserve"> group</w:t>
      </w:r>
      <w:r w:rsidR="007E28DC">
        <w:rPr>
          <w:rStyle w:val="FootnoteReference"/>
        </w:rPr>
        <w:footnoteReference w:id="8"/>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 xml:space="preserve">The </w:t>
      </w:r>
      <w:proofErr w:type="spellStart"/>
      <w:r w:rsidR="002221E6">
        <w:rPr>
          <w:rFonts w:cs="Arial"/>
        </w:rPr>
        <w:t>Utstein</w:t>
      </w:r>
      <w:proofErr w:type="spellEnd"/>
      <w:r w:rsidR="002221E6">
        <w:rPr>
          <w:rFonts w:cs="Arial"/>
        </w:rPr>
        <w:t xml:space="preserve">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9D2C79">
        <w:rPr>
          <w:rFonts w:cs="Arial"/>
        </w:rPr>
        <w:t>336</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C570ED">
        <w:rPr>
          <w:rFonts w:cs="Arial"/>
        </w:rPr>
        <w:t xml:space="preserve"> </w:t>
      </w:r>
      <w:r w:rsidR="009D2C79">
        <w:rPr>
          <w:rFonts w:cs="Arial"/>
        </w:rPr>
        <w:t>December</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C71CE3">
        <w:rPr>
          <w:rFonts w:cs="Arial"/>
        </w:rPr>
        <w:t>156</w:t>
      </w:r>
      <w:r>
        <w:rPr>
          <w:rFonts w:cs="Arial"/>
        </w:rPr>
        <w:t xml:space="preserve"> (</w:t>
      </w:r>
      <w:r w:rsidR="009D2C79">
        <w:rPr>
          <w:rFonts w:cs="Arial"/>
        </w:rPr>
        <w:t>46.4</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6E1CDF">
        <w:rPr>
          <w:rFonts w:cs="Arial"/>
        </w:rPr>
        <w:t xml:space="preserve"> (Figure 20</w:t>
      </w:r>
      <w:r w:rsidR="00C814F1">
        <w:rPr>
          <w:rFonts w:cs="Arial"/>
        </w:rPr>
        <w:t>)</w:t>
      </w:r>
      <w:r w:rsidR="000E11CB">
        <w:rPr>
          <w:rFonts w:cs="Arial"/>
        </w:rPr>
        <w:t xml:space="preserve">. </w:t>
      </w:r>
      <w:proofErr w:type="gramStart"/>
      <w:r w:rsidR="000E11CB">
        <w:rPr>
          <w:rFonts w:cs="Arial"/>
        </w:rPr>
        <w:t>B</w:t>
      </w:r>
      <w:r w:rsidR="009D2C79">
        <w:rPr>
          <w:rFonts w:cs="Arial"/>
        </w:rPr>
        <w:t>elow</w:t>
      </w:r>
      <w:r w:rsidR="00BA610C">
        <w:rPr>
          <w:rFonts w:cs="Arial"/>
        </w:rPr>
        <w:t xml:space="preserve"> the England </w:t>
      </w:r>
      <w:r w:rsidR="0032599C" w:rsidRPr="00BF249B">
        <w:rPr>
          <w:rFonts w:cs="Arial"/>
        </w:rPr>
        <w:t xml:space="preserve">average for </w:t>
      </w:r>
      <w:r w:rsidR="00DA4BA4">
        <w:rPr>
          <w:rFonts w:cs="Arial"/>
        </w:rPr>
        <w:t xml:space="preserve">2014-15 </w:t>
      </w:r>
      <w:r w:rsidR="00DA4BA4">
        <w:rPr>
          <w:rFonts w:cs="Arial"/>
        </w:rPr>
        <w:lastRenderedPageBreak/>
        <w:t>of 49</w:t>
      </w:r>
      <w:r w:rsidR="00EA7E9E">
        <w:rPr>
          <w:rFonts w:cs="Arial"/>
        </w:rPr>
        <w:t>.1</w:t>
      </w:r>
      <w:r w:rsidR="00DA4BA4">
        <w:rPr>
          <w:rFonts w:cs="Arial"/>
        </w:rPr>
        <w:t>%</w:t>
      </w:r>
      <w:r w:rsidR="0032599C" w:rsidRPr="00BF249B">
        <w:rPr>
          <w:rFonts w:cs="Arial"/>
        </w:rPr>
        <w:t>.</w:t>
      </w:r>
      <w:proofErr w:type="gramEnd"/>
      <w:r w:rsidR="00CF061B">
        <w:rPr>
          <w:rFonts w:cs="Arial"/>
        </w:rPr>
        <w:t xml:space="preserve"> </w:t>
      </w:r>
      <w:r w:rsidR="00BE0BD9" w:rsidRPr="00BE0BD9">
        <w:rPr>
          <w:rFonts w:cs="Arial"/>
        </w:rPr>
        <w:t>The lar</w:t>
      </w:r>
      <w:r w:rsidR="009D2C79">
        <w:rPr>
          <w:rFonts w:cs="Arial"/>
        </w:rPr>
        <w:t>gest proportion in the December</w:t>
      </w:r>
      <w:r w:rsidR="008E41D7">
        <w:rPr>
          <w:rFonts w:cs="Arial"/>
        </w:rPr>
        <w:t xml:space="preserve"> 2015 was</w:t>
      </w:r>
      <w:r w:rsidR="00AA3478">
        <w:rPr>
          <w:rFonts w:cs="Arial"/>
        </w:rPr>
        <w:t xml:space="preserve"> reported in</w:t>
      </w:r>
      <w:r w:rsidR="008E41D7">
        <w:rPr>
          <w:rFonts w:cs="Arial"/>
        </w:rPr>
        <w:t xml:space="preserve"> </w:t>
      </w:r>
      <w:r w:rsidR="00AA3478">
        <w:rPr>
          <w:rFonts w:cs="Arial"/>
        </w:rPr>
        <w:t>East Midlands</w:t>
      </w:r>
      <w:r w:rsidR="00EA7E9E" w:rsidRPr="00EA7E9E">
        <w:rPr>
          <w:rFonts w:cs="Arial"/>
          <w:vertAlign w:val="superscript"/>
        </w:rPr>
        <w:t>9</w:t>
      </w:r>
      <w:r w:rsidR="00AA3478">
        <w:rPr>
          <w:rFonts w:cs="Arial"/>
        </w:rPr>
        <w:t xml:space="preserve"> with 66.7</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C71CE3">
        <w:rPr>
          <w:rFonts w:cs="Arial"/>
        </w:rPr>
        <w:t>30.0</w:t>
      </w:r>
      <w:r w:rsidR="00BE0BD9" w:rsidRPr="00BE0BD9">
        <w:rPr>
          <w:rFonts w:cs="Arial"/>
        </w:rPr>
        <w:t xml:space="preserve">% for </w:t>
      </w:r>
      <w:r w:rsidR="00AA3478">
        <w:rPr>
          <w:rFonts w:cs="Arial"/>
        </w:rPr>
        <w:t>North East</w:t>
      </w:r>
      <w:r w:rsidR="001A0F87">
        <w:rPr>
          <w:rFonts w:cs="Arial"/>
        </w:rPr>
        <w:t>.</w:t>
      </w:r>
    </w:p>
    <w:p w:rsidR="00DA4BA4" w:rsidRDefault="006E1CDF" w:rsidP="0032599C">
      <w:r>
        <w:rPr>
          <w:noProof/>
        </w:rPr>
        <w:drawing>
          <wp:inline distT="0" distB="0" distL="0" distR="0" wp14:anchorId="2A6B3F39" wp14:editId="6F653410">
            <wp:extent cx="5681980" cy="355409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198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C52730">
        <w:t>om hospital al</w:t>
      </w:r>
      <w:r w:rsidR="000E11CB">
        <w:t>ive was 7.2</w:t>
      </w:r>
      <w:r w:rsidR="002929F3">
        <w:t xml:space="preserve">% in </w:t>
      </w:r>
      <w:r w:rsidR="000E11CB">
        <w:t>December</w:t>
      </w:r>
      <w:r>
        <w:t xml:space="preserve"> </w:t>
      </w:r>
      <w:r w:rsidRPr="0079282B">
        <w:t>2015</w:t>
      </w:r>
      <w:r w:rsidR="006E1CDF">
        <w:t xml:space="preserve"> (Figure 21</w:t>
      </w:r>
      <w:r>
        <w:t xml:space="preserve">), </w:t>
      </w:r>
      <w:r w:rsidR="000E66BF">
        <w:t>slightly below</w:t>
      </w:r>
      <w:r w:rsidR="00C52730">
        <w:t xml:space="preserve"> the </w:t>
      </w:r>
      <w:r>
        <w:t xml:space="preserve">average for 2014-15 of </w:t>
      </w:r>
      <w:r w:rsidR="00107C32">
        <w:t>8.6</w:t>
      </w:r>
      <w:r>
        <w:t>%. T</w:t>
      </w:r>
      <w:r w:rsidRPr="003E0534">
        <w:t xml:space="preserve">he largest proportion </w:t>
      </w:r>
      <w:r w:rsidR="00C52730">
        <w:t xml:space="preserve">in </w:t>
      </w:r>
      <w:r w:rsidR="000E11CB">
        <w:t>December</w:t>
      </w:r>
      <w:r w:rsidR="001A013F" w:rsidRPr="001A013F">
        <w:t xml:space="preserve"> </w:t>
      </w:r>
      <w:r w:rsidR="00C73251">
        <w:t xml:space="preserve">2015 </w:t>
      </w:r>
      <w:r w:rsidRPr="003E0534">
        <w:t>was</w:t>
      </w:r>
      <w:r>
        <w:t xml:space="preserve"> </w:t>
      </w:r>
      <w:r w:rsidR="000E11CB">
        <w:t>15</w:t>
      </w:r>
      <w:r w:rsidR="002929F3">
        <w:t>.</w:t>
      </w:r>
      <w:r w:rsidR="000E11CB">
        <w:t>0</w:t>
      </w:r>
      <w:r w:rsidR="00C73251">
        <w:t xml:space="preserve">% for </w:t>
      </w:r>
      <w:r w:rsidR="00EA7E9E">
        <w:t>South Central</w:t>
      </w:r>
      <w:r w:rsidR="009D46E5">
        <w:rPr>
          <w:rStyle w:val="FootnoteReference"/>
        </w:rPr>
        <w:footnoteReference w:id="9"/>
      </w:r>
      <w:proofErr w:type="gramStart"/>
      <w:r w:rsidR="00C73251">
        <w:t>,</w:t>
      </w:r>
      <w:proofErr w:type="gramEnd"/>
      <w:r>
        <w:t xml:space="preserve"> </w:t>
      </w:r>
      <w:r w:rsidR="00C73251">
        <w:t>the smallest</w:t>
      </w:r>
      <w:r w:rsidR="000E11CB">
        <w:t xml:space="preserve"> was 2.8</w:t>
      </w:r>
      <w:r w:rsidR="009D46E5">
        <w:t>% for</w:t>
      </w:r>
      <w:r w:rsidR="000E11CB">
        <w:t xml:space="preserve"> North East</w:t>
      </w:r>
      <w:r w:rsidR="00C73251">
        <w:t>.</w:t>
      </w:r>
    </w:p>
    <w:p w:rsidR="00C73251" w:rsidRPr="002247A6" w:rsidRDefault="00C73251" w:rsidP="00C73251">
      <w:r>
        <w:t xml:space="preserve">For the </w:t>
      </w:r>
      <w:proofErr w:type="spellStart"/>
      <w:r>
        <w:t>Utstein</w:t>
      </w:r>
      <w:proofErr w:type="spellEnd"/>
      <w:r>
        <w:t xml:space="preserve"> gro</w:t>
      </w:r>
      <w:r w:rsidR="00717328">
        <w:t>u</w:t>
      </w:r>
      <w:r w:rsidR="00873A1E">
        <w:t>p,</w:t>
      </w:r>
      <w:r w:rsidR="0031580B">
        <w:t xml:space="preserve"> su</w:t>
      </w:r>
      <w:r w:rsidR="009D46E5">
        <w:t xml:space="preserve">rvival to discharge in </w:t>
      </w:r>
      <w:r w:rsidR="000E11CB">
        <w:t>December</w:t>
      </w:r>
      <w:r w:rsidR="0031580B">
        <w:t xml:space="preserve"> </w:t>
      </w:r>
      <w:r w:rsidRPr="0079282B">
        <w:t>2015</w:t>
      </w:r>
      <w:r w:rsidR="000E11CB">
        <w:t xml:space="preserve"> was 24</w:t>
      </w:r>
      <w:r w:rsidR="000E66BF">
        <w:t>.</w:t>
      </w:r>
      <w:r w:rsidR="000E11CB">
        <w:t>4</w:t>
      </w:r>
      <w:r w:rsidRPr="004C6F83">
        <w:t>%</w:t>
      </w:r>
      <w:r w:rsidR="009D46E5">
        <w:t>, lowe</w:t>
      </w:r>
      <w:r w:rsidR="000E66BF">
        <w:t>r than</w:t>
      </w:r>
      <w:r w:rsidR="0083071A">
        <w:t xml:space="preserve"> </w:t>
      </w:r>
      <w:r w:rsidR="002929F3">
        <w:t xml:space="preserve">the </w:t>
      </w:r>
      <w:r w:rsidRPr="002A2463">
        <w:t xml:space="preserve">average </w:t>
      </w:r>
      <w:r w:rsidR="006154B4">
        <w:t xml:space="preserve">for 2014-15 of </w:t>
      </w:r>
      <w:r>
        <w:t>26</w:t>
      </w:r>
      <w:r w:rsidR="0083071A">
        <w:t>.3</w:t>
      </w:r>
      <w:r>
        <w:t>%</w:t>
      </w:r>
      <w:r w:rsidR="00717328">
        <w:t xml:space="preserve">. The </w:t>
      </w:r>
      <w:r w:rsidR="000E11CB">
        <w:t>largest proportion was 55.6</w:t>
      </w:r>
      <w:r w:rsidRPr="003E0534">
        <w:t>% for</w:t>
      </w:r>
      <w:r w:rsidR="002929F3">
        <w:t xml:space="preserve"> </w:t>
      </w:r>
      <w:proofErr w:type="gramStart"/>
      <w:r w:rsidR="000E11CB">
        <w:t>Yorkshire</w:t>
      </w:r>
      <w:r>
        <w:t>,</w:t>
      </w:r>
      <w:proofErr w:type="gramEnd"/>
      <w:r>
        <w:t xml:space="preserve"> the smallest</w:t>
      </w:r>
      <w:r w:rsidR="000E11CB">
        <w:t xml:space="preserve"> was 9</w:t>
      </w:r>
      <w:r w:rsidR="000E66BF">
        <w:t>.</w:t>
      </w:r>
      <w:r w:rsidR="000E11CB">
        <w:t>1</w:t>
      </w:r>
      <w:r w:rsidR="00873A1E">
        <w:t>% for</w:t>
      </w:r>
      <w:r w:rsidR="000E66BF">
        <w:t xml:space="preserve"> </w:t>
      </w:r>
      <w:r w:rsidR="000E11CB">
        <w:t>East of England</w:t>
      </w:r>
      <w:r w:rsidRPr="003E0534">
        <w:t>.</w:t>
      </w:r>
    </w:p>
    <w:p w:rsidR="00E6125B" w:rsidRDefault="006E1CDF" w:rsidP="0032599C">
      <w:r>
        <w:rPr>
          <w:noProof/>
        </w:rPr>
        <w:lastRenderedPageBreak/>
        <w:drawing>
          <wp:inline distT="0" distB="0" distL="0" distR="0" wp14:anchorId="188B3929" wp14:editId="301C8A39">
            <wp:extent cx="5669915" cy="2871470"/>
            <wp:effectExtent l="0" t="0" r="6985"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097D78" w:rsidRDefault="005E1E7F" w:rsidP="00104812">
      <w:r>
        <w:t>910</w:t>
      </w:r>
      <w:r w:rsidR="000E66BF">
        <w:t xml:space="preserve"> </w:t>
      </w:r>
      <w:r w:rsidR="00097D78">
        <w:t>STEMI patients</w:t>
      </w:r>
      <w:r w:rsidR="00104812">
        <w:t xml:space="preserve"> </w:t>
      </w:r>
      <w:r w:rsidR="00104812" w:rsidRPr="00DA6E95">
        <w:t>receiv</w:t>
      </w:r>
      <w:r w:rsidR="00104812">
        <w:t xml:space="preserve">ed </w:t>
      </w:r>
      <w:r w:rsidR="00104812" w:rsidRPr="00DA6E95">
        <w:t>primary angioplasty</w:t>
      </w:r>
      <w:r w:rsidR="00104812" w:rsidRPr="00940A61">
        <w:t xml:space="preserve"> </w:t>
      </w:r>
      <w:r w:rsidR="00104812">
        <w:t xml:space="preserve">in </w:t>
      </w:r>
      <w:r>
        <w:t>December</w:t>
      </w:r>
      <w:r w:rsidR="005612D9">
        <w:t xml:space="preserve"> </w:t>
      </w:r>
      <w:r w:rsidR="00104812" w:rsidRPr="00597ACE">
        <w:t>2015</w:t>
      </w:r>
      <w:r w:rsidR="00104812">
        <w:t xml:space="preserve"> in England</w:t>
      </w:r>
      <w:r>
        <w:t>. Of these 910</w:t>
      </w:r>
      <w:r w:rsidR="002929F3">
        <w:t xml:space="preserve"> </w:t>
      </w:r>
      <w:r w:rsidR="00097D78">
        <w:t>patients</w:t>
      </w:r>
      <w:r w:rsidR="00104812" w:rsidRPr="00DA6E95">
        <w:t xml:space="preserve">, </w:t>
      </w:r>
      <w:r>
        <w:t>810</w:t>
      </w:r>
      <w:r w:rsidR="00104812" w:rsidRPr="00957E91">
        <w:t xml:space="preserve"> </w:t>
      </w:r>
      <w:r w:rsidR="00104812">
        <w:t>(8</w:t>
      </w:r>
      <w:r>
        <w:t>9.0</w:t>
      </w:r>
      <w:r w:rsidR="00104812" w:rsidRPr="00433A74">
        <w:t>%</w:t>
      </w:r>
      <w:r w:rsidR="00104812">
        <w:t xml:space="preserve">) of them </w:t>
      </w:r>
      <w:r w:rsidR="00104812" w:rsidRPr="00DA6E95">
        <w:t xml:space="preserve">received </w:t>
      </w:r>
      <w:r w:rsidR="00104812">
        <w:t xml:space="preserve">it </w:t>
      </w:r>
      <w:r w:rsidR="00104812" w:rsidRPr="00DA6E95">
        <w:t>within 150 minutes of the call being connected to the ambulance service</w:t>
      </w:r>
      <w:r w:rsidR="00104812">
        <w:t xml:space="preserve"> (Figure </w:t>
      </w:r>
      <w:r w:rsidR="006E1CDF">
        <w:t>22</w:t>
      </w:r>
      <w:r w:rsidR="00ED39A0">
        <w:t xml:space="preserve">), </w:t>
      </w:r>
      <w:r>
        <w:t>significantly above</w:t>
      </w:r>
      <w:r w:rsidR="00B855BA">
        <w:t xml:space="preserve"> </w:t>
      </w:r>
      <w:r w:rsidR="00104812" w:rsidRPr="00D96387">
        <w:t xml:space="preserve">the </w:t>
      </w:r>
      <w:r w:rsidR="002929F3">
        <w:t>average for 2014-15</w:t>
      </w:r>
      <w:r w:rsidR="00ED39A0">
        <w:t>. T</w:t>
      </w:r>
      <w:r w:rsidR="00E125FC" w:rsidRPr="008132F5">
        <w:t xml:space="preserve">he largest proportion </w:t>
      </w:r>
      <w:r w:rsidR="009D46E5">
        <w:t xml:space="preserve">for </w:t>
      </w:r>
      <w:r>
        <w:t>December</w:t>
      </w:r>
      <w:r w:rsidR="00E125FC">
        <w:t xml:space="preserve"> </w:t>
      </w:r>
      <w:r w:rsidR="00E125FC" w:rsidRPr="000F537D">
        <w:t>2015</w:t>
      </w:r>
      <w:r w:rsidR="00E125FC">
        <w:t xml:space="preserve"> </w:t>
      </w:r>
      <w:r w:rsidR="00E125FC" w:rsidRPr="008132F5">
        <w:t xml:space="preserve">was </w:t>
      </w:r>
      <w:r>
        <w:t>94.5</w:t>
      </w:r>
      <w:r w:rsidR="00E125FC" w:rsidRPr="00432C67">
        <w:t xml:space="preserve">% </w:t>
      </w:r>
      <w:r w:rsidR="00E125FC">
        <w:t>for</w:t>
      </w:r>
      <w:r w:rsidR="00E125FC" w:rsidRPr="008132F5">
        <w:t xml:space="preserve"> </w:t>
      </w:r>
      <w:r>
        <w:t>North East</w:t>
      </w:r>
      <w:r>
        <w:rPr>
          <w:rStyle w:val="FootnoteReference"/>
        </w:rPr>
        <w:footnoteReference w:id="10"/>
      </w:r>
      <w:r w:rsidR="00E125FC">
        <w:t xml:space="preserve">, and the </w:t>
      </w:r>
      <w:r w:rsidR="00E125FC" w:rsidRPr="008132F5">
        <w:t>smallest</w:t>
      </w:r>
      <w:r w:rsidR="008C3945">
        <w:t xml:space="preserve"> </w:t>
      </w:r>
      <w:r w:rsidR="00E125FC" w:rsidRPr="008132F5">
        <w:t>was</w:t>
      </w:r>
      <w:r>
        <w:t xml:space="preserve"> 77</w:t>
      </w:r>
      <w:r w:rsidR="000E66BF">
        <w:t>.</w:t>
      </w:r>
      <w:r>
        <w:t>9</w:t>
      </w:r>
      <w:r w:rsidR="00E125FC" w:rsidRPr="00433A74">
        <w:t xml:space="preserve">% </w:t>
      </w:r>
      <w:r w:rsidR="00E125FC">
        <w:t xml:space="preserve">for </w:t>
      </w:r>
      <w:r w:rsidR="000E66BF">
        <w:t>South Western</w:t>
      </w:r>
      <w:r w:rsidR="00E6125B">
        <w:t>.</w:t>
      </w:r>
    </w:p>
    <w:p w:rsidR="00D30055" w:rsidRDefault="000E78DB" w:rsidP="00104812">
      <w:r>
        <w:rPr>
          <w:noProof/>
        </w:rPr>
        <w:drawing>
          <wp:inline distT="0" distB="0" distL="0" distR="0" wp14:anchorId="51EF8C9D" wp14:editId="6DF2500E">
            <wp:extent cx="5602605" cy="29387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2605" cy="2938780"/>
                    </a:xfrm>
                    <a:prstGeom prst="rect">
                      <a:avLst/>
                    </a:prstGeom>
                    <a:noFill/>
                  </pic:spPr>
                </pic:pic>
              </a:graphicData>
            </a:graphic>
          </wp:inline>
        </w:drawing>
      </w:r>
    </w:p>
    <w:p w:rsidR="00104812" w:rsidRDefault="009D46E5" w:rsidP="00104812">
      <w:r>
        <w:lastRenderedPageBreak/>
        <w:t xml:space="preserve">In </w:t>
      </w:r>
      <w:r w:rsidR="005E1E7F">
        <w:t>December</w:t>
      </w:r>
      <w:r w:rsidR="00104812">
        <w:t xml:space="preserve"> </w:t>
      </w:r>
      <w:r w:rsidR="00104812" w:rsidRPr="0079282B">
        <w:t>2015</w:t>
      </w:r>
      <w:r w:rsidR="00104812">
        <w:t xml:space="preserve">, of </w:t>
      </w:r>
      <w:r w:rsidR="00097D78">
        <w:t>1,</w:t>
      </w:r>
      <w:r w:rsidR="005E1E7F">
        <w:t>423</w:t>
      </w:r>
      <w:r w:rsidR="00B730BB">
        <w:t xml:space="preserve"> </w:t>
      </w:r>
      <w:r w:rsidR="00104812" w:rsidRPr="00DA6E95">
        <w:t>patients with an acute STEMI</w:t>
      </w:r>
      <w:r w:rsidR="00104812" w:rsidRPr="00940A61">
        <w:t xml:space="preserve"> </w:t>
      </w:r>
      <w:r w:rsidR="00104812">
        <w:t xml:space="preserve">in England, </w:t>
      </w:r>
      <w:r w:rsidR="005E1E7F">
        <w:t>1,120</w:t>
      </w:r>
      <w:r w:rsidR="00B855BA" w:rsidRPr="00B855BA">
        <w:t xml:space="preserve"> </w:t>
      </w:r>
      <w:r w:rsidR="004A1C61">
        <w:t>(7</w:t>
      </w:r>
      <w:r w:rsidR="005E1E7F">
        <w:t>8.7</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1"/>
      </w:r>
      <w:r w:rsidR="00104812">
        <w:t xml:space="preserve">. This was </w:t>
      </w:r>
      <w:r w:rsidR="00B730BB">
        <w:t>similar to t</w:t>
      </w:r>
      <w:r w:rsidR="00104812">
        <w:t>he average for 2014-15 of 80</w:t>
      </w:r>
      <w:r w:rsidR="00775DE6">
        <w:t>.0</w:t>
      </w:r>
      <w:r w:rsidR="00104812">
        <w:t>%.</w:t>
      </w:r>
      <w:r w:rsidR="0023382F">
        <w:t xml:space="preserve"> </w:t>
      </w:r>
      <w:r w:rsidR="005E1E7F">
        <w:t>North West</w:t>
      </w:r>
      <w:r w:rsidR="00A32CDF" w:rsidRPr="00A32CDF">
        <w:t xml:space="preserve"> h</w:t>
      </w:r>
      <w:r w:rsidR="004A1C61">
        <w:t>ad the largest proportion</w:t>
      </w:r>
      <w:r w:rsidR="00A4662B">
        <w:t xml:space="preserve"> with 86.6</w:t>
      </w:r>
      <w:r w:rsidR="00A32CDF" w:rsidRPr="00A32CDF">
        <w:t xml:space="preserve">%, and </w:t>
      </w:r>
      <w:r w:rsidR="004A1C61">
        <w:t>the sm</w:t>
      </w:r>
      <w:r w:rsidR="00DE0599">
        <w:t xml:space="preserve">allest was </w:t>
      </w:r>
      <w:r w:rsidR="00E524CF">
        <w:t>South East Coast</w:t>
      </w:r>
      <w:r w:rsidR="00A4662B">
        <w:rPr>
          <w:rStyle w:val="FootnoteReference"/>
        </w:rPr>
        <w:footnoteReference w:id="12"/>
      </w:r>
      <w:r w:rsidR="00DE0599">
        <w:t xml:space="preserve"> with</w:t>
      </w:r>
      <w:r w:rsidR="00A4662B">
        <w:t xml:space="preserve"> 68.1</w:t>
      </w:r>
      <w:r w:rsidR="00E524CF">
        <w:t>%</w:t>
      </w:r>
      <w:r w:rsidR="00E46B90">
        <w:t>.</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A4662B">
        <w:t>December</w:t>
      </w:r>
      <w:r w:rsidR="00C835FB">
        <w:t xml:space="preserve"> </w:t>
      </w:r>
      <w:r w:rsidR="00240F81">
        <w:t>2</w:t>
      </w:r>
      <w:r w:rsidR="00F81BC9" w:rsidRPr="00F81BC9">
        <w:t>015</w:t>
      </w:r>
      <w:r>
        <w:t xml:space="preserve">, of </w:t>
      </w:r>
      <w:r w:rsidR="00E524CF">
        <w:t>3,</w:t>
      </w:r>
      <w:r w:rsidR="00A4662B">
        <w:t>09</w:t>
      </w:r>
      <w:r w:rsidR="00E524CF">
        <w:t>3</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A4662B">
        <w:t>1,699</w:t>
      </w:r>
      <w:r w:rsidR="005F1582" w:rsidRPr="005F1582">
        <w:t xml:space="preserve"> </w:t>
      </w:r>
      <w:r>
        <w:t>(</w:t>
      </w:r>
      <w:r w:rsidR="00670741">
        <w:t>5</w:t>
      </w:r>
      <w:r w:rsidR="00E524CF">
        <w:t>4</w:t>
      </w:r>
      <w:r w:rsidR="00DE0599">
        <w:t>.</w:t>
      </w:r>
      <w:r w:rsidR="00A4662B">
        <w:t>9</w:t>
      </w:r>
      <w:r w:rsidRPr="001067D4">
        <w:t>%</w:t>
      </w:r>
      <w:r>
        <w:t>) arrived at hospitals with</w:t>
      </w:r>
      <w:r w:rsidRPr="00DA6E95">
        <w:t xml:space="preserve"> a </w:t>
      </w:r>
      <w:proofErr w:type="spellStart"/>
      <w:r w:rsidRPr="00DA6E95">
        <w:t>hyperacute</w:t>
      </w:r>
      <w:proofErr w:type="spellEnd"/>
      <w:r w:rsidRPr="00DA6E95">
        <w:t xml:space="preserve"> stroke unit within 60 minutes</w:t>
      </w:r>
      <w:r>
        <w:t xml:space="preserve"> of an emergency call connecting to the ambulanc</w:t>
      </w:r>
      <w:r w:rsidR="00881BB4">
        <w:t>e service</w:t>
      </w:r>
      <w:r w:rsidR="00E524CF">
        <w:t>,</w:t>
      </w:r>
      <w:r w:rsidR="00670741">
        <w:t xml:space="preserve"> below </w:t>
      </w:r>
      <w:r w:rsidR="00B855BA">
        <w:t xml:space="preserve">the </w:t>
      </w:r>
      <w:r w:rsidR="00806A50">
        <w:t>average for 2014-15 of 59</w:t>
      </w:r>
      <w:r w:rsidR="00775DE6">
        <w:t>.0</w:t>
      </w:r>
      <w:r w:rsidR="00806A50">
        <w:t>%</w:t>
      </w:r>
      <w:r w:rsidR="00E6125B">
        <w:t>.</w:t>
      </w:r>
      <w:r w:rsidR="00A56A04" w:rsidRPr="00A56A04">
        <w:rPr>
          <w:highlight w:val="yellow"/>
        </w:rPr>
        <w:t xml:space="preserve"> </w:t>
      </w:r>
    </w:p>
    <w:p w:rsidR="00312B69" w:rsidRDefault="00312B69" w:rsidP="00312B69">
      <w:r w:rsidRPr="008E44F8">
        <w:t>The la</w:t>
      </w:r>
      <w:r w:rsidR="00DE0599">
        <w:t>rgest proportion for</w:t>
      </w:r>
      <w:r w:rsidRPr="008E44F8">
        <w:t xml:space="preserve"> </w:t>
      </w:r>
      <w:r w:rsidR="00A4662B">
        <w:t>December</w:t>
      </w:r>
      <w:r>
        <w:t xml:space="preserve"> </w:t>
      </w:r>
      <w:r w:rsidR="00A4662B">
        <w:t>2015 was 67</w:t>
      </w:r>
      <w:r w:rsidR="00DE0599">
        <w:t>.</w:t>
      </w:r>
      <w:r w:rsidR="00A4662B">
        <w:t>7</w:t>
      </w:r>
      <w:r w:rsidR="00A56A04">
        <w:t xml:space="preserve">% for </w:t>
      </w:r>
      <w:r w:rsidR="008A271E">
        <w:t>South East Coast</w:t>
      </w:r>
      <w:r w:rsidR="00A4662B" w:rsidRPr="00A4662B">
        <w:rPr>
          <w:vertAlign w:val="superscript"/>
        </w:rPr>
        <w:t>12</w:t>
      </w:r>
      <w:r w:rsidRPr="008E44F8">
        <w:t xml:space="preserve">, and </w:t>
      </w:r>
      <w:r w:rsidR="00E524CF">
        <w:t>t</w:t>
      </w:r>
      <w:r w:rsidRPr="008E44F8">
        <w:t xml:space="preserve">he smallest was </w:t>
      </w:r>
      <w:r w:rsidR="00A4662B">
        <w:t>3</w:t>
      </w:r>
      <w:r w:rsidR="00E524CF">
        <w:t>3</w:t>
      </w:r>
      <w:r w:rsidR="00DE0599">
        <w:t>.</w:t>
      </w:r>
      <w:r w:rsidR="00A4662B">
        <w:t>3</w:t>
      </w:r>
      <w:r w:rsidRPr="008E44F8">
        <w:t xml:space="preserve">% for </w:t>
      </w:r>
      <w:r w:rsidR="00A4662B">
        <w:t>South Central</w:t>
      </w:r>
      <w:r w:rsidRPr="008E44F8">
        <w:t>.</w:t>
      </w:r>
    </w:p>
    <w:p w:rsidR="006E6FAF" w:rsidRDefault="006A5F54" w:rsidP="001E75EA">
      <w:bookmarkStart w:id="2" w:name="OLE_LINK3"/>
      <w:r>
        <w:t>T</w:t>
      </w:r>
      <w:r w:rsidR="00033CF1">
        <w:t xml:space="preserve">here were </w:t>
      </w:r>
      <w:r w:rsidR="00A4662B">
        <w:t>6,86</w:t>
      </w:r>
      <w:r w:rsidR="00E524CF">
        <w:t>7</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A4662B">
        <w:t>December</w:t>
      </w:r>
      <w:r w:rsidR="00842445">
        <w:t xml:space="preserve"> </w:t>
      </w:r>
      <w:r w:rsidR="006E6FAF" w:rsidRPr="006E6FAF">
        <w:t>2015</w:t>
      </w:r>
      <w:r w:rsidR="00E524CF">
        <w:t xml:space="preserve"> </w:t>
      </w:r>
      <w:r w:rsidR="00033CF1">
        <w:t xml:space="preserve">in England, and </w:t>
      </w:r>
      <w:r w:rsidR="00A4662B">
        <w:t>6,</w:t>
      </w:r>
      <w:r w:rsidR="00E524CF">
        <w:t>66</w:t>
      </w:r>
      <w:r w:rsidR="00A4662B">
        <w:t>7</w:t>
      </w:r>
      <w:r w:rsidR="00A56A04" w:rsidRPr="00A56A04">
        <w:t xml:space="preserve"> </w:t>
      </w:r>
      <w:r w:rsidR="00A56A04">
        <w:t>(97</w:t>
      </w:r>
      <w:r w:rsidR="00A4662B">
        <w:t>.1</w:t>
      </w:r>
      <w:r w:rsidR="00033CF1" w:rsidRPr="002502D1">
        <w:t>%</w:t>
      </w:r>
      <w:r w:rsidR="00033CF1">
        <w:t>)</w:t>
      </w:r>
      <w:r w:rsidR="00033CF1" w:rsidRPr="001A6875">
        <w:t xml:space="preserve"> </w:t>
      </w:r>
      <w:r w:rsidR="00033CF1">
        <w:t xml:space="preserve">received </w:t>
      </w:r>
      <w:r w:rsidR="00033CF1" w:rsidRPr="00DA6E95">
        <w:t>the appropriate care bundle</w:t>
      </w:r>
      <w:r w:rsidR="00A4662B">
        <w:t xml:space="preserve">, the same as the </w:t>
      </w:r>
      <w:r w:rsidR="00CE0C83">
        <w:t>average for 2014-15 of</w:t>
      </w:r>
      <w:r w:rsidR="006034E1">
        <w:t xml:space="preserve"> </w:t>
      </w:r>
      <w:r w:rsidR="00352975">
        <w:t>97</w:t>
      </w:r>
      <w:bookmarkEnd w:id="2"/>
      <w:r w:rsidR="00775DE6">
        <w:t>.1</w:t>
      </w:r>
      <w:r w:rsidR="00E97670">
        <w:t>%</w:t>
      </w:r>
      <w:r w:rsidR="009A4740">
        <w:t>.</w:t>
      </w:r>
      <w:r w:rsidR="00421AE3">
        <w:t xml:space="preserve"> </w:t>
      </w:r>
    </w:p>
    <w:p w:rsidR="007573D5" w:rsidRDefault="000E78DB" w:rsidP="0032599C">
      <w:r>
        <w:rPr>
          <w:noProof/>
        </w:rPr>
        <w:drawing>
          <wp:inline distT="0" distB="0" distL="0" distR="0" wp14:anchorId="03F60DF2" wp14:editId="11819CC3">
            <wp:extent cx="5517515" cy="287782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AF32CD" w:rsidRDefault="00AF32CD" w:rsidP="0032599C"/>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F62030" w:rsidP="003A0D0C">
      <w:pPr>
        <w:rPr>
          <w:rFonts w:cs="Arial"/>
        </w:rPr>
      </w:pPr>
      <w:hyperlink r:id="rId27" w:history="1">
        <w:r w:rsidR="003A0D0C" w:rsidRPr="005D248D">
          <w:rPr>
            <w:rStyle w:val="Hyperlink"/>
            <w:rFonts w:cs="Arial"/>
          </w:rPr>
          <w:t>www.england.nhs.uk/statistics/statistical-work-areas/ambulance-quality-indicators</w:t>
        </w:r>
      </w:hyperlink>
      <w:r w:rsidR="003A0D0C">
        <w:rPr>
          <w:rFonts w:cs="Arial"/>
        </w:rPr>
        <w:t xml:space="preserve">, or </w:t>
      </w:r>
      <w:hyperlink r:id="rId28"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proofErr w:type="gramStart"/>
      <w:r>
        <w:t>links</w:t>
      </w:r>
      <w:proofErr w:type="gramEnd"/>
      <w:r>
        <w:t xml:space="preserve">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proofErr w:type="gramStart"/>
      <w:r>
        <w:t>the</w:t>
      </w:r>
      <w:proofErr w:type="gramEnd"/>
      <w:r>
        <w:t xml:space="preserve"> list of people with pre-release access to the data.</w:t>
      </w:r>
    </w:p>
    <w:p w:rsidR="00E6125B" w:rsidRDefault="0036736E" w:rsidP="00A66D79">
      <w:r>
        <w:t xml:space="preserve">Publication dates are also at </w:t>
      </w:r>
      <w:hyperlink r:id="rId29"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30"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31"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32"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F62030" w:rsidP="002221E6">
            <w:pPr>
              <w:pStyle w:val="NoSpacing"/>
            </w:pPr>
            <w:hyperlink r:id="rId3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F62030" w:rsidP="002221E6">
            <w:pPr>
              <w:rPr>
                <w:lang w:eastAsia="en-US"/>
              </w:rPr>
            </w:pPr>
            <w:hyperlink r:id="rId35"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37"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proofErr w:type="gramStart"/>
      <w:r>
        <w:t>are</w:t>
      </w:r>
      <w:proofErr w:type="gramEnd"/>
      <w:r>
        <w:t xml:space="preserv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8"/>
      <w:footerReference w:type="default" r:id="rId39"/>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0E" w:rsidRDefault="00E1440E" w:rsidP="008C63D3">
      <w:r>
        <w:separator/>
      </w:r>
    </w:p>
  </w:endnote>
  <w:endnote w:type="continuationSeparator" w:id="0">
    <w:p w:rsidR="00E1440E" w:rsidRDefault="00E1440E"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0E" w:rsidRDefault="00E1440E" w:rsidP="00E924D4">
    <w:pPr>
      <w:pStyle w:val="Footer"/>
      <w:tabs>
        <w:tab w:val="clear" w:pos="9026"/>
        <w:tab w:val="left" w:pos="5025"/>
        <w:tab w:val="right" w:pos="8364"/>
      </w:tabs>
    </w:pPr>
    <w:r>
      <w:t>NHS England AQI Statistical Note, 12 May 2016.</w:t>
    </w:r>
    <w:r>
      <w:tab/>
    </w:r>
    <w:r>
      <w:tab/>
      <w:t xml:space="preserve">Page </w:t>
    </w:r>
    <w:r>
      <w:fldChar w:fldCharType="begin"/>
    </w:r>
    <w:r>
      <w:instrText xml:space="preserve"> PAGE   \* MERGEFORMAT </w:instrText>
    </w:r>
    <w:r>
      <w:fldChar w:fldCharType="separate"/>
    </w:r>
    <w:r w:rsidR="00F62030">
      <w:rPr>
        <w:noProof/>
      </w:rPr>
      <w:t>1</w:t>
    </w:r>
    <w:r>
      <w:rPr>
        <w:noProof/>
      </w:rPr>
      <w:fldChar w:fldCharType="end"/>
    </w:r>
    <w:r>
      <w:rPr>
        <w:noProof/>
      </w:rPr>
      <w:t xml:space="preserve"> of </w:t>
    </w:r>
    <w:fldSimple w:instr=" NUMPAGES   \* MERGEFORMAT ">
      <w:r w:rsidR="00F62030">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0E" w:rsidRDefault="00E1440E" w:rsidP="008C63D3">
      <w:r>
        <w:separator/>
      </w:r>
    </w:p>
  </w:footnote>
  <w:footnote w:type="continuationSeparator" w:id="0">
    <w:p w:rsidR="00E1440E" w:rsidRDefault="00E1440E" w:rsidP="008C63D3">
      <w:r>
        <w:continuationSeparator/>
      </w:r>
    </w:p>
  </w:footnote>
  <w:footnote w:id="1">
    <w:p w:rsidR="00E1440E" w:rsidRDefault="00E1440E"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E1440E" w:rsidRPr="00B063B7" w:rsidRDefault="00E1440E" w:rsidP="00FF749A">
      <w:pPr>
        <w:pStyle w:val="Footer"/>
        <w:rPr>
          <w:sz w:val="16"/>
          <w:szCs w:val="16"/>
        </w:rPr>
      </w:pPr>
    </w:p>
  </w:footnote>
  <w:footnote w:id="2">
    <w:p w:rsidR="00E1440E" w:rsidRDefault="00E1440E"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E1440E" w:rsidRPr="00B063B7" w:rsidRDefault="00E1440E" w:rsidP="00526112">
      <w:pPr>
        <w:pStyle w:val="Footer"/>
        <w:rPr>
          <w:rStyle w:val="Hyperlink"/>
          <w:rFonts w:cs="Arial"/>
          <w:sz w:val="16"/>
          <w:szCs w:val="16"/>
        </w:rPr>
      </w:pPr>
    </w:p>
    <w:p w:rsidR="00E1440E" w:rsidRPr="00DC4BF3" w:rsidRDefault="00E1440E"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E1440E" w:rsidRDefault="00E1440E">
      <w:pPr>
        <w:pStyle w:val="FootnoteText"/>
      </w:pPr>
      <w:r>
        <w:rPr>
          <w:rStyle w:val="FootnoteReference"/>
        </w:rPr>
        <w:footnoteRef/>
      </w:r>
      <w:r>
        <w:t xml:space="preserve"> Significance test used is t-test</w:t>
      </w:r>
    </w:p>
  </w:footnote>
  <w:footnote w:id="4">
    <w:p w:rsidR="00E1440E" w:rsidRDefault="00E1440E"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5">
    <w:p w:rsidR="00E1440E" w:rsidRDefault="00E1440E"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E1440E" w:rsidRDefault="00E1440E" w:rsidP="00191AB9">
      <w:pPr>
        <w:pStyle w:val="Footer"/>
      </w:pPr>
    </w:p>
  </w:footnote>
  <w:footnote w:id="6">
    <w:p w:rsidR="00E1440E" w:rsidRDefault="00E1440E" w:rsidP="00191AB9">
      <w:pPr>
        <w:pStyle w:val="Footer"/>
      </w:pPr>
      <w:r>
        <w:rPr>
          <w:rStyle w:val="FootnoteReference"/>
        </w:rPr>
        <w:footnoteRef/>
      </w:r>
      <w:r>
        <w:t xml:space="preserve"> Type 1 are consultant-led 24 hour emergency departments wit</w:t>
      </w:r>
      <w:r w:rsidR="00497452">
        <w:t xml:space="preserve">h full resuscitation facilities / </w:t>
      </w:r>
      <w:r>
        <w:t xml:space="preserve">Type 2 offer a consultant-led speciality A&amp;E service </w:t>
      </w:r>
      <w:r w:rsidR="00497452">
        <w:t>such as ophthalmology or dental /</w:t>
      </w:r>
      <w:r>
        <w:t xml:space="preserve">Type 3 is </w:t>
      </w:r>
      <w:r w:rsidRPr="005239BD">
        <w:t>A&amp;E</w:t>
      </w:r>
      <w:r>
        <w:t xml:space="preserve"> </w:t>
      </w:r>
      <w:r w:rsidRPr="005239BD">
        <w:t>/</w:t>
      </w:r>
      <w:r>
        <w:t xml:space="preserve"> </w:t>
      </w:r>
      <w:r w:rsidRPr="005239BD">
        <w:t xml:space="preserve">minor injury </w:t>
      </w:r>
      <w:r>
        <w:t xml:space="preserve">activity that may </w:t>
      </w:r>
      <w:r w:rsidR="00497452">
        <w:t xml:space="preserve">be doctor-led or nurse-led /Type 4 are NHS walk-in centres. </w:t>
      </w:r>
    </w:p>
    <w:p w:rsidR="00E1440E" w:rsidRDefault="00E1440E" w:rsidP="00191AB9">
      <w:pPr>
        <w:pStyle w:val="Footer"/>
      </w:pPr>
    </w:p>
  </w:footnote>
  <w:footnote w:id="7">
    <w:p w:rsidR="00E1440E" w:rsidRDefault="00E1440E" w:rsidP="00C90D22">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p w:rsidR="00E1440E" w:rsidRDefault="00E1440E" w:rsidP="00C90D22">
      <w:pPr>
        <w:pStyle w:val="Footer"/>
      </w:pPr>
    </w:p>
  </w:footnote>
  <w:footnote w:id="8">
    <w:p w:rsidR="00E1440E" w:rsidRDefault="00E1440E"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4" w:history="1">
        <w:r w:rsidRPr="00416EE1">
          <w:rPr>
            <w:rStyle w:val="Hyperlink"/>
          </w:rPr>
          <w:t>http://circ.ahajournals.org/content/84/2/960.citation</w:t>
        </w:r>
      </w:hyperlink>
    </w:p>
  </w:footnote>
  <w:footnote w:id="9">
    <w:p w:rsidR="00E1440E" w:rsidRDefault="00E1440E">
      <w:pPr>
        <w:pStyle w:val="FootnoteText"/>
      </w:pPr>
      <w:r>
        <w:rPr>
          <w:rStyle w:val="FootnoteReference"/>
        </w:rPr>
        <w:footnoteRef/>
      </w:r>
      <w:r>
        <w:t xml:space="preserve"> </w:t>
      </w:r>
      <w:proofErr w:type="gramStart"/>
      <w:r w:rsidRPr="00EA7E9E">
        <w:t>Excludi</w:t>
      </w:r>
      <w:r>
        <w:t>ng Isle of Wight.</w:t>
      </w:r>
      <w:proofErr w:type="gramEnd"/>
      <w:r>
        <w:t xml:space="preserve"> See footnote 7</w:t>
      </w:r>
      <w:r w:rsidRPr="00EA7E9E">
        <w:t xml:space="preserve"> on page 6</w:t>
      </w:r>
    </w:p>
  </w:footnote>
  <w:footnote w:id="10">
    <w:p w:rsidR="00E1440E" w:rsidRDefault="00E1440E" w:rsidP="005E1E7F">
      <w:pPr>
        <w:pStyle w:val="FootnoteText"/>
      </w:pPr>
      <w:r>
        <w:rPr>
          <w:rStyle w:val="FootnoteReference"/>
        </w:rPr>
        <w:footnoteRef/>
      </w:r>
      <w:r>
        <w:t xml:space="preserve"> </w:t>
      </w:r>
      <w:proofErr w:type="gramStart"/>
      <w:r>
        <w:t>Excluding Isle of Wight.</w:t>
      </w:r>
      <w:proofErr w:type="gramEnd"/>
      <w:r>
        <w:t xml:space="preserve"> See footnote 7 on page 6.</w:t>
      </w:r>
    </w:p>
  </w:footnote>
  <w:footnote w:id="11">
    <w:p w:rsidR="00E1440E" w:rsidRDefault="00E1440E" w:rsidP="00104812">
      <w:pPr>
        <w:pStyle w:val="Footer"/>
      </w:pPr>
      <w:r>
        <w:rPr>
          <w:rStyle w:val="FootnoteReference"/>
        </w:rPr>
        <w:footnoteRef/>
      </w:r>
      <w:r>
        <w:t xml:space="preserve"> Pages 27 to 30 of the specification guidance for data suppliers on the AQI landing page at </w:t>
      </w:r>
      <w:hyperlink r:id="rId5"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E1440E" w:rsidRDefault="00E1440E" w:rsidP="00104812">
      <w:pPr>
        <w:pStyle w:val="Footer"/>
      </w:pPr>
    </w:p>
  </w:footnote>
  <w:footnote w:id="12">
    <w:p w:rsidR="00E1440E" w:rsidRDefault="00E1440E" w:rsidP="00A4662B">
      <w:pPr>
        <w:pStyle w:val="Footer"/>
      </w:pPr>
      <w:r>
        <w:rPr>
          <w:rStyle w:val="FootnoteReference"/>
        </w:rPr>
        <w:footnoteRef/>
      </w:r>
      <w:r>
        <w:t xml:space="preserve"> </w:t>
      </w:r>
      <w:proofErr w:type="gramStart"/>
      <w:r w:rsidRPr="00263D47">
        <w:t>Excludi</w:t>
      </w:r>
      <w:r>
        <w:t>ng Isle of Wight.</w:t>
      </w:r>
      <w:proofErr w:type="gramEnd"/>
      <w:r>
        <w:t xml:space="preserve"> See footnote 7</w:t>
      </w:r>
      <w:r w:rsidRPr="00263D47">
        <w:t xml:space="preserve"> on page 6.</w:t>
      </w:r>
    </w:p>
    <w:p w:rsidR="00E1440E" w:rsidRDefault="00E1440E" w:rsidP="00A4662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0E" w:rsidRDefault="00E1440E" w:rsidP="00EC40BA">
    <w:pPr>
      <w:pStyle w:val="Header"/>
      <w:tabs>
        <w:tab w:val="clear" w:pos="9026"/>
        <w:tab w:val="left" w:pos="3255"/>
        <w:tab w:val="right" w:pos="9923"/>
      </w:tabs>
      <w:ind w:right="-238" w:hanging="851"/>
    </w:pPr>
    <w:r>
      <w:rPr>
        <w:noProof/>
      </w:rPr>
      <w:drawing>
        <wp:inline distT="0" distB="0" distL="0" distR="0" wp14:anchorId="1F9E710E" wp14:editId="1C63F390">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4183AE1C" wp14:editId="73BB36FE">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E1440E" w:rsidRDefault="00E1440E"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3216"/>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1CB"/>
    <w:rsid w:val="000E166D"/>
    <w:rsid w:val="000E3B6E"/>
    <w:rsid w:val="000E4408"/>
    <w:rsid w:val="000E4972"/>
    <w:rsid w:val="000E519E"/>
    <w:rsid w:val="000E66BF"/>
    <w:rsid w:val="000E78DB"/>
    <w:rsid w:val="000F027D"/>
    <w:rsid w:val="000F0D83"/>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B4C"/>
    <w:rsid w:val="002055F7"/>
    <w:rsid w:val="002067E2"/>
    <w:rsid w:val="00210E7E"/>
    <w:rsid w:val="00214510"/>
    <w:rsid w:val="00214A55"/>
    <w:rsid w:val="00215414"/>
    <w:rsid w:val="0022110E"/>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20D7"/>
    <w:rsid w:val="00243B32"/>
    <w:rsid w:val="00244F63"/>
    <w:rsid w:val="00247D97"/>
    <w:rsid w:val="0025006E"/>
    <w:rsid w:val="00250AB3"/>
    <w:rsid w:val="00251383"/>
    <w:rsid w:val="00251854"/>
    <w:rsid w:val="002529A4"/>
    <w:rsid w:val="00252C62"/>
    <w:rsid w:val="00253E22"/>
    <w:rsid w:val="00254237"/>
    <w:rsid w:val="0025490C"/>
    <w:rsid w:val="00254B9C"/>
    <w:rsid w:val="00255666"/>
    <w:rsid w:val="00257281"/>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5C0B"/>
    <w:rsid w:val="002760F7"/>
    <w:rsid w:val="00276BB6"/>
    <w:rsid w:val="00277342"/>
    <w:rsid w:val="0028035E"/>
    <w:rsid w:val="00280386"/>
    <w:rsid w:val="0028118E"/>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C704E"/>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05B7"/>
    <w:rsid w:val="00305EA9"/>
    <w:rsid w:val="00305F1A"/>
    <w:rsid w:val="003076B8"/>
    <w:rsid w:val="00310203"/>
    <w:rsid w:val="0031043B"/>
    <w:rsid w:val="0031060B"/>
    <w:rsid w:val="0031228A"/>
    <w:rsid w:val="00312B69"/>
    <w:rsid w:val="0031323B"/>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3CC0"/>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97452"/>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6E3F"/>
    <w:rsid w:val="004F2D5D"/>
    <w:rsid w:val="004F34AD"/>
    <w:rsid w:val="004F37AE"/>
    <w:rsid w:val="004F3810"/>
    <w:rsid w:val="004F3ED3"/>
    <w:rsid w:val="004F47C7"/>
    <w:rsid w:val="004F6290"/>
    <w:rsid w:val="004F6A66"/>
    <w:rsid w:val="005005D8"/>
    <w:rsid w:val="005012E3"/>
    <w:rsid w:val="00503D8A"/>
    <w:rsid w:val="00504B11"/>
    <w:rsid w:val="00505BBA"/>
    <w:rsid w:val="0051070B"/>
    <w:rsid w:val="00511984"/>
    <w:rsid w:val="00511E6D"/>
    <w:rsid w:val="00513897"/>
    <w:rsid w:val="00514EF1"/>
    <w:rsid w:val="005168CD"/>
    <w:rsid w:val="00517BD3"/>
    <w:rsid w:val="0052029E"/>
    <w:rsid w:val="005211EE"/>
    <w:rsid w:val="0052145B"/>
    <w:rsid w:val="00522906"/>
    <w:rsid w:val="00522954"/>
    <w:rsid w:val="005239BD"/>
    <w:rsid w:val="00523BFF"/>
    <w:rsid w:val="00525B3E"/>
    <w:rsid w:val="00526112"/>
    <w:rsid w:val="005261D8"/>
    <w:rsid w:val="005273FA"/>
    <w:rsid w:val="0053086E"/>
    <w:rsid w:val="0053124D"/>
    <w:rsid w:val="00531825"/>
    <w:rsid w:val="00531A75"/>
    <w:rsid w:val="0053266B"/>
    <w:rsid w:val="00533D03"/>
    <w:rsid w:val="005347A4"/>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12D9"/>
    <w:rsid w:val="005639DF"/>
    <w:rsid w:val="005718F6"/>
    <w:rsid w:val="005719BB"/>
    <w:rsid w:val="00572500"/>
    <w:rsid w:val="00574C4A"/>
    <w:rsid w:val="0057661C"/>
    <w:rsid w:val="00576B86"/>
    <w:rsid w:val="005772D5"/>
    <w:rsid w:val="00577719"/>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AC4"/>
    <w:rsid w:val="005A3FF9"/>
    <w:rsid w:val="005A6A3C"/>
    <w:rsid w:val="005A79AD"/>
    <w:rsid w:val="005B0A25"/>
    <w:rsid w:val="005B11A6"/>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53BA"/>
    <w:rsid w:val="005F60A6"/>
    <w:rsid w:val="005F6D25"/>
    <w:rsid w:val="006011C6"/>
    <w:rsid w:val="006034E1"/>
    <w:rsid w:val="00603940"/>
    <w:rsid w:val="00603FEB"/>
    <w:rsid w:val="0060479B"/>
    <w:rsid w:val="00604932"/>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69D"/>
    <w:rsid w:val="00675D24"/>
    <w:rsid w:val="00676BD5"/>
    <w:rsid w:val="006817AD"/>
    <w:rsid w:val="00684097"/>
    <w:rsid w:val="006875C7"/>
    <w:rsid w:val="00691D18"/>
    <w:rsid w:val="00694D98"/>
    <w:rsid w:val="00694FB2"/>
    <w:rsid w:val="00695304"/>
    <w:rsid w:val="006959C7"/>
    <w:rsid w:val="006A341E"/>
    <w:rsid w:val="006A4A06"/>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2AAC"/>
    <w:rsid w:val="007154E1"/>
    <w:rsid w:val="007155C3"/>
    <w:rsid w:val="0071673C"/>
    <w:rsid w:val="00717328"/>
    <w:rsid w:val="007177B5"/>
    <w:rsid w:val="007177FD"/>
    <w:rsid w:val="00720B11"/>
    <w:rsid w:val="00723160"/>
    <w:rsid w:val="00724971"/>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3EA9"/>
    <w:rsid w:val="00757386"/>
    <w:rsid w:val="007573D5"/>
    <w:rsid w:val="00757B05"/>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A07DD"/>
    <w:rsid w:val="007A0911"/>
    <w:rsid w:val="007A138E"/>
    <w:rsid w:val="007A2AF5"/>
    <w:rsid w:val="007A2B8C"/>
    <w:rsid w:val="007A37B3"/>
    <w:rsid w:val="007A3B5C"/>
    <w:rsid w:val="007A52C9"/>
    <w:rsid w:val="007A7785"/>
    <w:rsid w:val="007B0011"/>
    <w:rsid w:val="007B0D9A"/>
    <w:rsid w:val="007B22A7"/>
    <w:rsid w:val="007B2807"/>
    <w:rsid w:val="007B2D4E"/>
    <w:rsid w:val="007B3406"/>
    <w:rsid w:val="007B5B41"/>
    <w:rsid w:val="007B5C09"/>
    <w:rsid w:val="007B5C1B"/>
    <w:rsid w:val="007B7EAE"/>
    <w:rsid w:val="007C0DA8"/>
    <w:rsid w:val="007C0F9B"/>
    <w:rsid w:val="007C0FC7"/>
    <w:rsid w:val="007C393E"/>
    <w:rsid w:val="007C3B46"/>
    <w:rsid w:val="007C6125"/>
    <w:rsid w:val="007C6985"/>
    <w:rsid w:val="007C7FEC"/>
    <w:rsid w:val="007D1A84"/>
    <w:rsid w:val="007D2560"/>
    <w:rsid w:val="007D2957"/>
    <w:rsid w:val="007D6F1C"/>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7B74"/>
    <w:rsid w:val="008404D1"/>
    <w:rsid w:val="00841DFF"/>
    <w:rsid w:val="00842445"/>
    <w:rsid w:val="00843ABC"/>
    <w:rsid w:val="00844712"/>
    <w:rsid w:val="00845B66"/>
    <w:rsid w:val="00845D8F"/>
    <w:rsid w:val="00846A8F"/>
    <w:rsid w:val="00850F3E"/>
    <w:rsid w:val="00853169"/>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5E54"/>
    <w:rsid w:val="0098668C"/>
    <w:rsid w:val="00987E8E"/>
    <w:rsid w:val="0099142B"/>
    <w:rsid w:val="009915A2"/>
    <w:rsid w:val="0099205E"/>
    <w:rsid w:val="00992442"/>
    <w:rsid w:val="009939D6"/>
    <w:rsid w:val="00993A2A"/>
    <w:rsid w:val="00994032"/>
    <w:rsid w:val="00995CC1"/>
    <w:rsid w:val="009969BD"/>
    <w:rsid w:val="009977B3"/>
    <w:rsid w:val="00997E2F"/>
    <w:rsid w:val="009A4740"/>
    <w:rsid w:val="009A4919"/>
    <w:rsid w:val="009B166A"/>
    <w:rsid w:val="009B36B1"/>
    <w:rsid w:val="009B3C39"/>
    <w:rsid w:val="009B5925"/>
    <w:rsid w:val="009B5D9A"/>
    <w:rsid w:val="009B72C4"/>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4CB7"/>
    <w:rsid w:val="00A35491"/>
    <w:rsid w:val="00A4253D"/>
    <w:rsid w:val="00A42A6B"/>
    <w:rsid w:val="00A44168"/>
    <w:rsid w:val="00A458E0"/>
    <w:rsid w:val="00A4662B"/>
    <w:rsid w:val="00A4673D"/>
    <w:rsid w:val="00A46C32"/>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9C6"/>
    <w:rsid w:val="00AA3478"/>
    <w:rsid w:val="00AA3CDD"/>
    <w:rsid w:val="00AA6661"/>
    <w:rsid w:val="00AA6B6B"/>
    <w:rsid w:val="00AA708E"/>
    <w:rsid w:val="00AA7926"/>
    <w:rsid w:val="00AB0008"/>
    <w:rsid w:val="00AB107E"/>
    <w:rsid w:val="00AB16C3"/>
    <w:rsid w:val="00AB3F6D"/>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804"/>
    <w:rsid w:val="00B03698"/>
    <w:rsid w:val="00B05CB0"/>
    <w:rsid w:val="00B063B7"/>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56497"/>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C3B"/>
    <w:rsid w:val="00B86E93"/>
    <w:rsid w:val="00B870E5"/>
    <w:rsid w:val="00B91122"/>
    <w:rsid w:val="00B91476"/>
    <w:rsid w:val="00B9347E"/>
    <w:rsid w:val="00B93837"/>
    <w:rsid w:val="00B947D5"/>
    <w:rsid w:val="00B96C65"/>
    <w:rsid w:val="00BA07B3"/>
    <w:rsid w:val="00BA610C"/>
    <w:rsid w:val="00BB35BC"/>
    <w:rsid w:val="00BB5041"/>
    <w:rsid w:val="00BC03EF"/>
    <w:rsid w:val="00BC05C3"/>
    <w:rsid w:val="00BC10E3"/>
    <w:rsid w:val="00BC435A"/>
    <w:rsid w:val="00BC6A0B"/>
    <w:rsid w:val="00BD02AE"/>
    <w:rsid w:val="00BD1057"/>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61B2"/>
    <w:rsid w:val="00C06A62"/>
    <w:rsid w:val="00C10486"/>
    <w:rsid w:val="00C137F2"/>
    <w:rsid w:val="00C14E1D"/>
    <w:rsid w:val="00C16133"/>
    <w:rsid w:val="00C16F70"/>
    <w:rsid w:val="00C21149"/>
    <w:rsid w:val="00C221BD"/>
    <w:rsid w:val="00C2359B"/>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4019"/>
    <w:rsid w:val="00C64DAF"/>
    <w:rsid w:val="00C667EE"/>
    <w:rsid w:val="00C66ACE"/>
    <w:rsid w:val="00C705C6"/>
    <w:rsid w:val="00C70840"/>
    <w:rsid w:val="00C70AC7"/>
    <w:rsid w:val="00C70C05"/>
    <w:rsid w:val="00C71776"/>
    <w:rsid w:val="00C71CE3"/>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D22"/>
    <w:rsid w:val="00C90FB6"/>
    <w:rsid w:val="00C93A2D"/>
    <w:rsid w:val="00C94BBC"/>
    <w:rsid w:val="00C957A6"/>
    <w:rsid w:val="00C95B24"/>
    <w:rsid w:val="00C96A98"/>
    <w:rsid w:val="00C973AE"/>
    <w:rsid w:val="00C9746F"/>
    <w:rsid w:val="00CA1266"/>
    <w:rsid w:val="00CA1AE1"/>
    <w:rsid w:val="00CA3CDC"/>
    <w:rsid w:val="00CA53CE"/>
    <w:rsid w:val="00CA5B86"/>
    <w:rsid w:val="00CB2E00"/>
    <w:rsid w:val="00CB4069"/>
    <w:rsid w:val="00CB58C3"/>
    <w:rsid w:val="00CB758D"/>
    <w:rsid w:val="00CB7A0D"/>
    <w:rsid w:val="00CC4553"/>
    <w:rsid w:val="00CD037E"/>
    <w:rsid w:val="00CD14DF"/>
    <w:rsid w:val="00CD22C6"/>
    <w:rsid w:val="00CD369E"/>
    <w:rsid w:val="00CD5263"/>
    <w:rsid w:val="00CD58BB"/>
    <w:rsid w:val="00CD624A"/>
    <w:rsid w:val="00CE0C83"/>
    <w:rsid w:val="00CE2AB5"/>
    <w:rsid w:val="00CE6F95"/>
    <w:rsid w:val="00CF061B"/>
    <w:rsid w:val="00CF0D21"/>
    <w:rsid w:val="00CF0FEA"/>
    <w:rsid w:val="00CF1DB8"/>
    <w:rsid w:val="00CF22D9"/>
    <w:rsid w:val="00CF2301"/>
    <w:rsid w:val="00D01436"/>
    <w:rsid w:val="00D028C8"/>
    <w:rsid w:val="00D02FA8"/>
    <w:rsid w:val="00D02FAE"/>
    <w:rsid w:val="00D03A3C"/>
    <w:rsid w:val="00D04686"/>
    <w:rsid w:val="00D05B8F"/>
    <w:rsid w:val="00D064D4"/>
    <w:rsid w:val="00D1102E"/>
    <w:rsid w:val="00D11CB6"/>
    <w:rsid w:val="00D12038"/>
    <w:rsid w:val="00D124B3"/>
    <w:rsid w:val="00D13275"/>
    <w:rsid w:val="00D1660D"/>
    <w:rsid w:val="00D166D9"/>
    <w:rsid w:val="00D16AE3"/>
    <w:rsid w:val="00D2535D"/>
    <w:rsid w:val="00D25CD8"/>
    <w:rsid w:val="00D26C0F"/>
    <w:rsid w:val="00D30055"/>
    <w:rsid w:val="00D30DAF"/>
    <w:rsid w:val="00D3262A"/>
    <w:rsid w:val="00D33852"/>
    <w:rsid w:val="00D33D33"/>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3CA"/>
    <w:rsid w:val="00D8289C"/>
    <w:rsid w:val="00D82D27"/>
    <w:rsid w:val="00D833D1"/>
    <w:rsid w:val="00D847FB"/>
    <w:rsid w:val="00D868A7"/>
    <w:rsid w:val="00D87887"/>
    <w:rsid w:val="00D8793C"/>
    <w:rsid w:val="00D904E8"/>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113C"/>
    <w:rsid w:val="00E31197"/>
    <w:rsid w:val="00E318EF"/>
    <w:rsid w:val="00E324F3"/>
    <w:rsid w:val="00E33061"/>
    <w:rsid w:val="00E34FE9"/>
    <w:rsid w:val="00E35902"/>
    <w:rsid w:val="00E40720"/>
    <w:rsid w:val="00E41296"/>
    <w:rsid w:val="00E41E8F"/>
    <w:rsid w:val="00E42D55"/>
    <w:rsid w:val="00E42D6F"/>
    <w:rsid w:val="00E434C4"/>
    <w:rsid w:val="00E446B4"/>
    <w:rsid w:val="00E44882"/>
    <w:rsid w:val="00E4574E"/>
    <w:rsid w:val="00E46B90"/>
    <w:rsid w:val="00E47A4B"/>
    <w:rsid w:val="00E47C1E"/>
    <w:rsid w:val="00E51A9F"/>
    <w:rsid w:val="00E51EC4"/>
    <w:rsid w:val="00E52050"/>
    <w:rsid w:val="00E52476"/>
    <w:rsid w:val="00E524CF"/>
    <w:rsid w:val="00E53110"/>
    <w:rsid w:val="00E53117"/>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30"/>
    <w:rsid w:val="00EB4C29"/>
    <w:rsid w:val="00EB4DFD"/>
    <w:rsid w:val="00EB5410"/>
    <w:rsid w:val="00EB5DF3"/>
    <w:rsid w:val="00EB7483"/>
    <w:rsid w:val="00EC40B1"/>
    <w:rsid w:val="00EC40BA"/>
    <w:rsid w:val="00EC590B"/>
    <w:rsid w:val="00EC60F1"/>
    <w:rsid w:val="00EC629A"/>
    <w:rsid w:val="00EC65C3"/>
    <w:rsid w:val="00ED0E97"/>
    <w:rsid w:val="00ED1702"/>
    <w:rsid w:val="00ED237F"/>
    <w:rsid w:val="00ED2DED"/>
    <w:rsid w:val="00ED3292"/>
    <w:rsid w:val="00ED39A0"/>
    <w:rsid w:val="00ED3F78"/>
    <w:rsid w:val="00ED429A"/>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A44"/>
    <w:rsid w:val="00F05F18"/>
    <w:rsid w:val="00F06D35"/>
    <w:rsid w:val="00F10AC3"/>
    <w:rsid w:val="00F11CDA"/>
    <w:rsid w:val="00F12B5D"/>
    <w:rsid w:val="00F14A46"/>
    <w:rsid w:val="00F16D7A"/>
    <w:rsid w:val="00F16EE8"/>
    <w:rsid w:val="00F232CC"/>
    <w:rsid w:val="00F2364E"/>
    <w:rsid w:val="00F23C98"/>
    <w:rsid w:val="00F23D7E"/>
    <w:rsid w:val="00F23E6F"/>
    <w:rsid w:val="00F2516A"/>
    <w:rsid w:val="00F2562E"/>
    <w:rsid w:val="00F266D4"/>
    <w:rsid w:val="00F26900"/>
    <w:rsid w:val="00F27645"/>
    <w:rsid w:val="00F30584"/>
    <w:rsid w:val="00F3075C"/>
    <w:rsid w:val="00F30D81"/>
    <w:rsid w:val="00F31DC0"/>
    <w:rsid w:val="00F321DD"/>
    <w:rsid w:val="00F32A65"/>
    <w:rsid w:val="00F33E46"/>
    <w:rsid w:val="00F347F8"/>
    <w:rsid w:val="00F35268"/>
    <w:rsid w:val="00F353B0"/>
    <w:rsid w:val="00F36218"/>
    <w:rsid w:val="00F371F1"/>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030"/>
    <w:rsid w:val="00F62D81"/>
    <w:rsid w:val="00F63574"/>
    <w:rsid w:val="00F63C46"/>
    <w:rsid w:val="00F64059"/>
    <w:rsid w:val="00F64A2E"/>
    <w:rsid w:val="00F65B38"/>
    <w:rsid w:val="00F661D9"/>
    <w:rsid w:val="00F703B0"/>
    <w:rsid w:val="00F7048D"/>
    <w:rsid w:val="00F72AB0"/>
    <w:rsid w:val="00F735BC"/>
    <w:rsid w:val="00F74799"/>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1DA"/>
    <w:rsid w:val="00FD06F7"/>
    <w:rsid w:val="00FD1B03"/>
    <w:rsid w:val="00FD3C35"/>
    <w:rsid w:val="00FD4A85"/>
    <w:rsid w:val="00FD58E1"/>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1990209043">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scottishambulance.com/TheService/BoardPapers.aspx"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ales.gov.uk/statistics-and-research/ambulance-services/?lang=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gov.uk/government/statistics/announce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image" Target="media/image13.png"/><Relationship Id="rId32" Type="http://schemas.openxmlformats.org/officeDocument/2006/relationships/hyperlink" Target="http://www.england.nhs.uk/statistics/statistical-work-areas/winter-daily-sitreps" TargetMode="External"/><Relationship Id="rId37" Type="http://schemas.openxmlformats.org/officeDocument/2006/relationships/hyperlink" Target="mailto:i.kay@nhs.ne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bit.ly/NHSAQI" TargetMode="External"/><Relationship Id="rId36" Type="http://schemas.openxmlformats.org/officeDocument/2006/relationships/hyperlink" Target="mailto:nhsengland.media@nhs.net" TargetMode="External"/><Relationship Id="rId10" Type="http://schemas.openxmlformats.org/officeDocument/2006/relationships/chart" Target="charts/chart1.xml"/><Relationship Id="rId19" Type="http://schemas.openxmlformats.org/officeDocument/2006/relationships/image" Target="media/image8.emf"/><Relationship Id="rId31" Type="http://schemas.openxmlformats.org/officeDocument/2006/relationships/hyperlink" Target="http://www.hscic.gov.uk/article/2021/Website-Search?q=ambulance+-accident&amp;sort=Tit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england.nhs.uk/statistics/statistical-work-areas/ambulance-quality-indicators" TargetMode="External"/><Relationship Id="rId30" Type="http://schemas.openxmlformats.org/officeDocument/2006/relationships/hyperlink" Target="http://aace.org.uk/national-performance/national-clinical-dashboards" TargetMode="External"/><Relationship Id="rId35" Type="http://schemas.openxmlformats.org/officeDocument/2006/relationships/hyperlink" Target="http://www.dhsspsni.gov.uk/index/statistics/hospital/emergency-care/ambulance-statistic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5" Type="http://schemas.openxmlformats.org/officeDocument/2006/relationships/hyperlink" Target="http://www.england.nhs.uk/statistics/statistical-work-areas/ambulance-quality-indicators" TargetMode="External"/><Relationship Id="rId4" Type="http://schemas.openxmlformats.org/officeDocument/2006/relationships/hyperlink" Target="http://circ.ahajournals.org/content/84/2/960.ci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1" Type="http://schemas.openxmlformats.org/officeDocument/2006/relationships/oleObject" Target="file:///\\ims.gov.uk\data\DH\Leeds\QHO\NW027\PPRT\DCVA\Ambulance%20return\Publication\2015-16%20Data\L%20May%2012%20pub\Working%20files\AmbSYS%20TimeSeries%20Interactive%20Working%20File%20March%202016%20with%20revisions%20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ms.gov.uk\data\DH\Leeds\QHO\NW027\PPRT\DCVA\Ambulance%20return\Publication\2015-16%20Data\L%20May%2012%20pub\Working%20files\AmbSYS%20TimeSeries%20Interactive%20Working%20File%20March%202016%20with%20revisions%20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b="1"/>
            </a:pPr>
            <a:r>
              <a:rPr lang="en-GB" sz="1200" b="1" i="0" u="none" strike="noStrike" baseline="0">
                <a:effectLst/>
              </a:rPr>
              <a:t>Figure 2: Red 2 emergency response </a:t>
            </a:r>
            <a:r>
              <a:rPr lang="en-GB" b="1"/>
              <a:t>within 8 minutes</a:t>
            </a:r>
          </a:p>
        </c:rich>
      </c:tx>
      <c:layout/>
      <c:overlay val="1"/>
    </c:title>
    <c:autoTitleDeleted val="0"/>
    <c:plotArea>
      <c:layout>
        <c:manualLayout>
          <c:layoutTarget val="inner"/>
          <c:xMode val="edge"/>
          <c:yMode val="edge"/>
          <c:x val="8.7453729637322508E-2"/>
          <c:y val="0.27106539693009579"/>
          <c:w val="0.88386625838036204"/>
          <c:h val="0.54502452900193754"/>
        </c:manualLayout>
      </c:layout>
      <c:lineChart>
        <c:grouping val="standard"/>
        <c:varyColors val="0"/>
        <c:ser>
          <c:idx val="1"/>
          <c:order val="0"/>
          <c:tx>
            <c:strRef>
              <c:f>'Eng GRAPHS and chgs'!$CT$2</c:f>
              <c:strCache>
                <c:ptCount val="1"/>
                <c:pt idx="0">
                  <c:v>NWAS, EMAS, EastAmb, SECAmb, IOW</c:v>
                </c:pt>
              </c:strCache>
            </c:strRef>
          </c:tx>
          <c:spPr>
            <a:ln w="12700">
              <a:solidFill>
                <a:schemeClr val="accent6">
                  <a:lumMod val="50000"/>
                </a:schemeClr>
              </a:solidFill>
              <a:prstDash val="solid"/>
            </a:ln>
          </c:spPr>
          <c:marker>
            <c:symbol val="none"/>
          </c:marker>
          <c:cat>
            <c:strRef>
              <c:f>'Eng GRAPHS and chgs'!$B$23:$B$67</c:f>
              <c:strCache>
                <c:ptCount val="45"/>
                <c:pt idx="0">
                  <c:v>Jul 2012</c:v>
                </c:pt>
                <c:pt idx="1">
                  <c:v>Aug 2012</c:v>
                </c:pt>
                <c:pt idx="2">
                  <c:v>Sep 2012</c:v>
                </c:pt>
                <c:pt idx="3">
                  <c:v>Oct 2012</c:v>
                </c:pt>
                <c:pt idx="4">
                  <c:v>Nov 2012</c:v>
                </c:pt>
                <c:pt idx="5">
                  <c:v>Dec 2012</c:v>
                </c:pt>
                <c:pt idx="6">
                  <c:v>Jan 2013</c:v>
                </c:pt>
                <c:pt idx="7">
                  <c:v>Feb 2013</c:v>
                </c:pt>
                <c:pt idx="8">
                  <c:v>Mar 2013</c:v>
                </c:pt>
                <c:pt idx="9">
                  <c:v>Apr 2013</c:v>
                </c:pt>
                <c:pt idx="10">
                  <c:v>May 2013</c:v>
                </c:pt>
                <c:pt idx="11">
                  <c:v>Jun 2013</c:v>
                </c:pt>
                <c:pt idx="12">
                  <c:v>Jul 2013</c:v>
                </c:pt>
                <c:pt idx="13">
                  <c:v>Aug 2013</c:v>
                </c:pt>
                <c:pt idx="14">
                  <c:v>Sep 2013</c:v>
                </c:pt>
                <c:pt idx="15">
                  <c:v>Oct 2013</c:v>
                </c:pt>
                <c:pt idx="16">
                  <c:v>Nov 2013</c:v>
                </c:pt>
                <c:pt idx="17">
                  <c:v>Dec 2013</c:v>
                </c:pt>
                <c:pt idx="18">
                  <c:v>Jan 2014</c:v>
                </c:pt>
                <c:pt idx="19">
                  <c:v>Feb 2014</c:v>
                </c:pt>
                <c:pt idx="20">
                  <c:v>Mar 2014</c:v>
                </c:pt>
                <c:pt idx="21">
                  <c:v>Apr 2014</c:v>
                </c:pt>
                <c:pt idx="22">
                  <c:v>May 2014</c:v>
                </c:pt>
                <c:pt idx="23">
                  <c:v>Jun 2014</c:v>
                </c:pt>
                <c:pt idx="24">
                  <c:v>Jul 2014</c:v>
                </c:pt>
                <c:pt idx="25">
                  <c:v>Aug 2014</c:v>
                </c:pt>
                <c:pt idx="26">
                  <c:v>Sep 2014</c:v>
                </c:pt>
                <c:pt idx="27">
                  <c:v>Oct 2014</c:v>
                </c:pt>
                <c:pt idx="28">
                  <c:v>Nov 2014</c:v>
                </c:pt>
                <c:pt idx="29">
                  <c:v>Dec 2014</c:v>
                </c:pt>
                <c:pt idx="30">
                  <c:v>Jan 2015</c:v>
                </c:pt>
                <c:pt idx="31">
                  <c:v>Feb 2015</c:v>
                </c:pt>
                <c:pt idx="32">
                  <c:v>Mar 2015</c:v>
                </c:pt>
                <c:pt idx="33">
                  <c:v>Apr 2015</c:v>
                </c:pt>
                <c:pt idx="34">
                  <c:v>May 2015</c:v>
                </c:pt>
                <c:pt idx="35">
                  <c:v>Jun 2015</c:v>
                </c:pt>
                <c:pt idx="36">
                  <c:v>Jul 2015</c:v>
                </c:pt>
                <c:pt idx="37">
                  <c:v>Aug 2015</c:v>
                </c:pt>
                <c:pt idx="38">
                  <c:v>Sep 2015</c:v>
                </c:pt>
                <c:pt idx="39">
                  <c:v>Oct 2015</c:v>
                </c:pt>
                <c:pt idx="40">
                  <c:v>Nov 2015</c:v>
                </c:pt>
                <c:pt idx="41">
                  <c:v>Dec 2015</c:v>
                </c:pt>
                <c:pt idx="42">
                  <c:v>Jan 2016</c:v>
                </c:pt>
                <c:pt idx="43">
                  <c:v>Feb 2016</c:v>
                </c:pt>
                <c:pt idx="44">
                  <c:v>Mar 2016</c:v>
                </c:pt>
              </c:strCache>
            </c:strRef>
          </c:cat>
          <c:val>
            <c:numRef>
              <c:f>'Eng GRAPHS and chgs'!$CT$23:$CT$67</c:f>
              <c:numCache>
                <c:formatCode>0.0%</c:formatCode>
                <c:ptCount val="45"/>
                <c:pt idx="0">
                  <c:v>0.78463171349661043</c:v>
                </c:pt>
                <c:pt idx="1">
                  <c:v>0.78119318924442438</c:v>
                </c:pt>
                <c:pt idx="2">
                  <c:v>0.75843207645567778</c:v>
                </c:pt>
                <c:pt idx="3">
                  <c:v>0.76505664877757906</c:v>
                </c:pt>
                <c:pt idx="4">
                  <c:v>0.76006089940236776</c:v>
                </c:pt>
                <c:pt idx="5">
                  <c:v>0.70921971582242915</c:v>
                </c:pt>
                <c:pt idx="6">
                  <c:v>0.74168484627040498</c:v>
                </c:pt>
                <c:pt idx="7">
                  <c:v>0.73706118887303518</c:v>
                </c:pt>
                <c:pt idx="8">
                  <c:v>0.72264041690793279</c:v>
                </c:pt>
                <c:pt idx="9">
                  <c:v>0.75168900210433054</c:v>
                </c:pt>
                <c:pt idx="10">
                  <c:v>0.77102606297811782</c:v>
                </c:pt>
                <c:pt idx="11">
                  <c:v>0.76239111193925557</c:v>
                </c:pt>
                <c:pt idx="12">
                  <c:v>0.73415328475176134</c:v>
                </c:pt>
                <c:pt idx="13">
                  <c:v>0.74969635742420282</c:v>
                </c:pt>
                <c:pt idx="14">
                  <c:v>0.72417367269376942</c:v>
                </c:pt>
                <c:pt idx="15">
                  <c:v>0.73194114549186939</c:v>
                </c:pt>
                <c:pt idx="16">
                  <c:v>0.72043736060490671</c:v>
                </c:pt>
                <c:pt idx="17">
                  <c:v>0.69925184561264431</c:v>
                </c:pt>
                <c:pt idx="18">
                  <c:v>0.74867164842608858</c:v>
                </c:pt>
                <c:pt idx="19">
                  <c:v>0.71523456538247931</c:v>
                </c:pt>
                <c:pt idx="20">
                  <c:v>0.72218328813593746</c:v>
                </c:pt>
                <c:pt idx="21">
                  <c:v>0.7332353598926552</c:v>
                </c:pt>
                <c:pt idx="22">
                  <c:v>0.71316630166161021</c:v>
                </c:pt>
                <c:pt idx="23">
                  <c:v>0.70398580968280466</c:v>
                </c:pt>
                <c:pt idx="24">
                  <c:v>0.67813181047703608</c:v>
                </c:pt>
                <c:pt idx="25">
                  <c:v>0.70061748247250277</c:v>
                </c:pt>
                <c:pt idx="26">
                  <c:v>0.70793732066092785</c:v>
                </c:pt>
                <c:pt idx="27">
                  <c:v>0.71171420112503703</c:v>
                </c:pt>
                <c:pt idx="28">
                  <c:v>0.69889453945689095</c:v>
                </c:pt>
                <c:pt idx="29">
                  <c:v>0.61398621289696487</c:v>
                </c:pt>
                <c:pt idx="30">
                  <c:v>0.66245201868380887</c:v>
                </c:pt>
                <c:pt idx="31">
                  <c:v>0.66999619482496198</c:v>
                </c:pt>
                <c:pt idx="32">
                  <c:v>0.69267852049063416</c:v>
                </c:pt>
                <c:pt idx="33">
                  <c:v>0.73051905354415136</c:v>
                </c:pt>
                <c:pt idx="34">
                  <c:v>0.74805342538294073</c:v>
                </c:pt>
                <c:pt idx="35">
                  <c:v>0.72863708100489344</c:v>
                </c:pt>
                <c:pt idx="36">
                  <c:v>0.70375069688755598</c:v>
                </c:pt>
                <c:pt idx="37">
                  <c:v>0.68731450820219675</c:v>
                </c:pt>
                <c:pt idx="38">
                  <c:v>0.68144625839712547</c:v>
                </c:pt>
                <c:pt idx="39">
                  <c:v>0.66200478739140955</c:v>
                </c:pt>
                <c:pt idx="40">
                  <c:v>0.64358829550668883</c:v>
                </c:pt>
                <c:pt idx="41">
                  <c:v>0.6467076655993842</c:v>
                </c:pt>
                <c:pt idx="42">
                  <c:v>0.59095660222294921</c:v>
                </c:pt>
                <c:pt idx="43">
                  <c:v>0.56451120162932789</c:v>
                </c:pt>
                <c:pt idx="44">
                  <c:v>0.51960829351953941</c:v>
                </c:pt>
              </c:numCache>
            </c:numRef>
          </c:val>
          <c:smooth val="0"/>
        </c:ser>
        <c:ser>
          <c:idx val="4"/>
          <c:order val="1"/>
          <c:tx>
            <c:strRef>
              <c:f>'Eng GRAPHS and chgs'!$CU$2</c:f>
              <c:strCache>
                <c:ptCount val="1"/>
                <c:pt idx="0">
                  <c:v>NEAS, YAS, WMAS, SCAS</c:v>
                </c:pt>
              </c:strCache>
            </c:strRef>
          </c:tx>
          <c:spPr>
            <a:ln w="12700">
              <a:solidFill>
                <a:schemeClr val="accent6">
                  <a:lumMod val="75000"/>
                </a:schemeClr>
              </a:solidFill>
              <a:prstDash val="lgDash"/>
            </a:ln>
          </c:spPr>
          <c:marker>
            <c:symbol val="none"/>
          </c:marker>
          <c:cat>
            <c:strRef>
              <c:f>'Eng GRAPHS and chgs'!$B$23:$B$67</c:f>
              <c:strCache>
                <c:ptCount val="45"/>
                <c:pt idx="0">
                  <c:v>Jul 2012</c:v>
                </c:pt>
                <c:pt idx="1">
                  <c:v>Aug 2012</c:v>
                </c:pt>
                <c:pt idx="2">
                  <c:v>Sep 2012</c:v>
                </c:pt>
                <c:pt idx="3">
                  <c:v>Oct 2012</c:v>
                </c:pt>
                <c:pt idx="4">
                  <c:v>Nov 2012</c:v>
                </c:pt>
                <c:pt idx="5">
                  <c:v>Dec 2012</c:v>
                </c:pt>
                <c:pt idx="6">
                  <c:v>Jan 2013</c:v>
                </c:pt>
                <c:pt idx="7">
                  <c:v>Feb 2013</c:v>
                </c:pt>
                <c:pt idx="8">
                  <c:v>Mar 2013</c:v>
                </c:pt>
                <c:pt idx="9">
                  <c:v>Apr 2013</c:v>
                </c:pt>
                <c:pt idx="10">
                  <c:v>May 2013</c:v>
                </c:pt>
                <c:pt idx="11">
                  <c:v>Jun 2013</c:v>
                </c:pt>
                <c:pt idx="12">
                  <c:v>Jul 2013</c:v>
                </c:pt>
                <c:pt idx="13">
                  <c:v>Aug 2013</c:v>
                </c:pt>
                <c:pt idx="14">
                  <c:v>Sep 2013</c:v>
                </c:pt>
                <c:pt idx="15">
                  <c:v>Oct 2013</c:v>
                </c:pt>
                <c:pt idx="16">
                  <c:v>Nov 2013</c:v>
                </c:pt>
                <c:pt idx="17">
                  <c:v>Dec 2013</c:v>
                </c:pt>
                <c:pt idx="18">
                  <c:v>Jan 2014</c:v>
                </c:pt>
                <c:pt idx="19">
                  <c:v>Feb 2014</c:v>
                </c:pt>
                <c:pt idx="20">
                  <c:v>Mar 2014</c:v>
                </c:pt>
                <c:pt idx="21">
                  <c:v>Apr 2014</c:v>
                </c:pt>
                <c:pt idx="22">
                  <c:v>May 2014</c:v>
                </c:pt>
                <c:pt idx="23">
                  <c:v>Jun 2014</c:v>
                </c:pt>
                <c:pt idx="24">
                  <c:v>Jul 2014</c:v>
                </c:pt>
                <c:pt idx="25">
                  <c:v>Aug 2014</c:v>
                </c:pt>
                <c:pt idx="26">
                  <c:v>Sep 2014</c:v>
                </c:pt>
                <c:pt idx="27">
                  <c:v>Oct 2014</c:v>
                </c:pt>
                <c:pt idx="28">
                  <c:v>Nov 2014</c:v>
                </c:pt>
                <c:pt idx="29">
                  <c:v>Dec 2014</c:v>
                </c:pt>
                <c:pt idx="30">
                  <c:v>Jan 2015</c:v>
                </c:pt>
                <c:pt idx="31">
                  <c:v>Feb 2015</c:v>
                </c:pt>
                <c:pt idx="32">
                  <c:v>Mar 2015</c:v>
                </c:pt>
                <c:pt idx="33">
                  <c:v>Apr 2015</c:v>
                </c:pt>
                <c:pt idx="34">
                  <c:v>May 2015</c:v>
                </c:pt>
                <c:pt idx="35">
                  <c:v>Jun 2015</c:v>
                </c:pt>
                <c:pt idx="36">
                  <c:v>Jul 2015</c:v>
                </c:pt>
                <c:pt idx="37">
                  <c:v>Aug 2015</c:v>
                </c:pt>
                <c:pt idx="38">
                  <c:v>Sep 2015</c:v>
                </c:pt>
                <c:pt idx="39">
                  <c:v>Oct 2015</c:v>
                </c:pt>
                <c:pt idx="40">
                  <c:v>Nov 2015</c:v>
                </c:pt>
                <c:pt idx="41">
                  <c:v>Dec 2015</c:v>
                </c:pt>
                <c:pt idx="42">
                  <c:v>Jan 2016</c:v>
                </c:pt>
                <c:pt idx="43">
                  <c:v>Feb 2016</c:v>
                </c:pt>
                <c:pt idx="44">
                  <c:v>Mar 2016</c:v>
                </c:pt>
              </c:strCache>
            </c:strRef>
          </c:cat>
          <c:val>
            <c:numRef>
              <c:f>'Eng GRAPHS and chgs'!$CU$23:$CU$67</c:f>
              <c:numCache>
                <c:formatCode>0.0%</c:formatCode>
                <c:ptCount val="45"/>
                <c:pt idx="0">
                  <c:v>0.75937724270252061</c:v>
                </c:pt>
                <c:pt idx="1">
                  <c:v>0.76272683715637535</c:v>
                </c:pt>
                <c:pt idx="2">
                  <c:v>0.76429646630996917</c:v>
                </c:pt>
                <c:pt idx="3">
                  <c:v>0.77014402491241729</c:v>
                </c:pt>
                <c:pt idx="4">
                  <c:v>0.76941894304713976</c:v>
                </c:pt>
                <c:pt idx="5">
                  <c:v>0.71093219397142537</c:v>
                </c:pt>
                <c:pt idx="6">
                  <c:v>0.75713470319634701</c:v>
                </c:pt>
                <c:pt idx="7">
                  <c:v>0.75335250491902528</c:v>
                </c:pt>
                <c:pt idx="8">
                  <c:v>0.73974547680764868</c:v>
                </c:pt>
                <c:pt idx="9">
                  <c:v>0.7650696371140282</c:v>
                </c:pt>
                <c:pt idx="10">
                  <c:v>0.78174797411214447</c:v>
                </c:pt>
                <c:pt idx="11">
                  <c:v>0.78392963064770471</c:v>
                </c:pt>
                <c:pt idx="12">
                  <c:v>0.74405798275094137</c:v>
                </c:pt>
                <c:pt idx="13">
                  <c:v>0.75854994108269214</c:v>
                </c:pt>
                <c:pt idx="14">
                  <c:v>0.75839952844752578</c:v>
                </c:pt>
                <c:pt idx="15">
                  <c:v>0.74874867086802044</c:v>
                </c:pt>
                <c:pt idx="16">
                  <c:v>0.74167946748591906</c:v>
                </c:pt>
                <c:pt idx="17">
                  <c:v>0.72767439884442175</c:v>
                </c:pt>
                <c:pt idx="18">
                  <c:v>0.7558856936341577</c:v>
                </c:pt>
                <c:pt idx="19">
                  <c:v>0.73206608142669527</c:v>
                </c:pt>
                <c:pt idx="20">
                  <c:v>0.74232752578351857</c:v>
                </c:pt>
                <c:pt idx="21">
                  <c:v>0.7468825396825397</c:v>
                </c:pt>
                <c:pt idx="22">
                  <c:v>0.74750312481399916</c:v>
                </c:pt>
                <c:pt idx="23">
                  <c:v>0.72815389388768226</c:v>
                </c:pt>
                <c:pt idx="24">
                  <c:v>0.72210023637258081</c:v>
                </c:pt>
                <c:pt idx="25">
                  <c:v>0.7427725444141825</c:v>
                </c:pt>
                <c:pt idx="26">
                  <c:v>0.74388236174511713</c:v>
                </c:pt>
                <c:pt idx="27">
                  <c:v>0.73234678912316975</c:v>
                </c:pt>
                <c:pt idx="28">
                  <c:v>0.72355300173579939</c:v>
                </c:pt>
                <c:pt idx="29">
                  <c:v>0.66112255078863014</c:v>
                </c:pt>
                <c:pt idx="30">
                  <c:v>0.72737956741613052</c:v>
                </c:pt>
                <c:pt idx="31">
                  <c:v>0.73132224414998592</c:v>
                </c:pt>
                <c:pt idx="32">
                  <c:v>0.74619344416448663</c:v>
                </c:pt>
                <c:pt idx="33">
                  <c:v>0.75706272310045897</c:v>
                </c:pt>
                <c:pt idx="34">
                  <c:v>0.76024502297090357</c:v>
                </c:pt>
                <c:pt idx="35">
                  <c:v>0.73530999334697411</c:v>
                </c:pt>
                <c:pt idx="36">
                  <c:v>0.73394901486966613</c:v>
                </c:pt>
                <c:pt idx="37">
                  <c:v>0.72777665673555136</c:v>
                </c:pt>
                <c:pt idx="38">
                  <c:v>0.72620749824297792</c:v>
                </c:pt>
                <c:pt idx="39">
                  <c:v>0.73437107421027381</c:v>
                </c:pt>
                <c:pt idx="40">
                  <c:v>0.73293555269072364</c:v>
                </c:pt>
                <c:pt idx="41">
                  <c:v>0.71918377655935928</c:v>
                </c:pt>
                <c:pt idx="42">
                  <c:v>0.70885058311320848</c:v>
                </c:pt>
                <c:pt idx="43">
                  <c:v>0.69039209549783165</c:v>
                </c:pt>
                <c:pt idx="44">
                  <c:v>0.6866458076417411</c:v>
                </c:pt>
              </c:numCache>
            </c:numRef>
          </c:val>
          <c:smooth val="0"/>
        </c:ser>
        <c:ser>
          <c:idx val="2"/>
          <c:order val="2"/>
          <c:tx>
            <c:strRef>
              <c:f>'Eng GRAPHS and chgs'!$CV$2</c:f>
              <c:strCache>
                <c:ptCount val="1"/>
                <c:pt idx="0">
                  <c:v>LAS</c:v>
                </c:pt>
              </c:strCache>
            </c:strRef>
          </c:tx>
          <c:spPr>
            <a:ln w="12700">
              <a:solidFill>
                <a:schemeClr val="accent3">
                  <a:lumMod val="75000"/>
                </a:schemeClr>
              </a:solidFill>
              <a:prstDash val="lgDashDot"/>
            </a:ln>
          </c:spPr>
          <c:marker>
            <c:symbol val="none"/>
          </c:marker>
          <c:cat>
            <c:strRef>
              <c:f>'Eng GRAPHS and chgs'!$B$23:$B$67</c:f>
              <c:strCache>
                <c:ptCount val="45"/>
                <c:pt idx="0">
                  <c:v>Jul 2012</c:v>
                </c:pt>
                <c:pt idx="1">
                  <c:v>Aug 2012</c:v>
                </c:pt>
                <c:pt idx="2">
                  <c:v>Sep 2012</c:v>
                </c:pt>
                <c:pt idx="3">
                  <c:v>Oct 2012</c:v>
                </c:pt>
                <c:pt idx="4">
                  <c:v>Nov 2012</c:v>
                </c:pt>
                <c:pt idx="5">
                  <c:v>Dec 2012</c:v>
                </c:pt>
                <c:pt idx="6">
                  <c:v>Jan 2013</c:v>
                </c:pt>
                <c:pt idx="7">
                  <c:v>Feb 2013</c:v>
                </c:pt>
                <c:pt idx="8">
                  <c:v>Mar 2013</c:v>
                </c:pt>
                <c:pt idx="9">
                  <c:v>Apr 2013</c:v>
                </c:pt>
                <c:pt idx="10">
                  <c:v>May 2013</c:v>
                </c:pt>
                <c:pt idx="11">
                  <c:v>Jun 2013</c:v>
                </c:pt>
                <c:pt idx="12">
                  <c:v>Jul 2013</c:v>
                </c:pt>
                <c:pt idx="13">
                  <c:v>Aug 2013</c:v>
                </c:pt>
                <c:pt idx="14">
                  <c:v>Sep 2013</c:v>
                </c:pt>
                <c:pt idx="15">
                  <c:v>Oct 2013</c:v>
                </c:pt>
                <c:pt idx="16">
                  <c:v>Nov 2013</c:v>
                </c:pt>
                <c:pt idx="17">
                  <c:v>Dec 2013</c:v>
                </c:pt>
                <c:pt idx="18">
                  <c:v>Jan 2014</c:v>
                </c:pt>
                <c:pt idx="19">
                  <c:v>Feb 2014</c:v>
                </c:pt>
                <c:pt idx="20">
                  <c:v>Mar 2014</c:v>
                </c:pt>
                <c:pt idx="21">
                  <c:v>Apr 2014</c:v>
                </c:pt>
                <c:pt idx="22">
                  <c:v>May 2014</c:v>
                </c:pt>
                <c:pt idx="23">
                  <c:v>Jun 2014</c:v>
                </c:pt>
                <c:pt idx="24">
                  <c:v>Jul 2014</c:v>
                </c:pt>
                <c:pt idx="25">
                  <c:v>Aug 2014</c:v>
                </c:pt>
                <c:pt idx="26">
                  <c:v>Sep 2014</c:v>
                </c:pt>
                <c:pt idx="27">
                  <c:v>Oct 2014</c:v>
                </c:pt>
                <c:pt idx="28">
                  <c:v>Nov 2014</c:v>
                </c:pt>
                <c:pt idx="29">
                  <c:v>Dec 2014</c:v>
                </c:pt>
                <c:pt idx="30">
                  <c:v>Jan 2015</c:v>
                </c:pt>
                <c:pt idx="31">
                  <c:v>Feb 2015</c:v>
                </c:pt>
                <c:pt idx="32">
                  <c:v>Mar 2015</c:v>
                </c:pt>
                <c:pt idx="33">
                  <c:v>Apr 2015</c:v>
                </c:pt>
                <c:pt idx="34">
                  <c:v>May 2015</c:v>
                </c:pt>
                <c:pt idx="35">
                  <c:v>Jun 2015</c:v>
                </c:pt>
                <c:pt idx="36">
                  <c:v>Jul 2015</c:v>
                </c:pt>
                <c:pt idx="37">
                  <c:v>Aug 2015</c:v>
                </c:pt>
                <c:pt idx="38">
                  <c:v>Sep 2015</c:v>
                </c:pt>
                <c:pt idx="39">
                  <c:v>Oct 2015</c:v>
                </c:pt>
                <c:pt idx="40">
                  <c:v>Nov 2015</c:v>
                </c:pt>
                <c:pt idx="41">
                  <c:v>Dec 2015</c:v>
                </c:pt>
                <c:pt idx="42">
                  <c:v>Jan 2016</c:v>
                </c:pt>
                <c:pt idx="43">
                  <c:v>Feb 2016</c:v>
                </c:pt>
                <c:pt idx="44">
                  <c:v>Mar 2016</c:v>
                </c:pt>
              </c:strCache>
            </c:strRef>
          </c:cat>
          <c:val>
            <c:numRef>
              <c:f>'Eng GRAPHS and chgs'!$CV$23:$CV$67</c:f>
              <c:numCache>
                <c:formatCode>0.0%</c:formatCode>
                <c:ptCount val="45"/>
                <c:pt idx="0">
                  <c:v>0.77764035895075934</c:v>
                </c:pt>
                <c:pt idx="1">
                  <c:v>0.81852626473886814</c:v>
                </c:pt>
                <c:pt idx="2">
                  <c:v>0.74164643831100718</c:v>
                </c:pt>
                <c:pt idx="3">
                  <c:v>0.75186712419619939</c:v>
                </c:pt>
                <c:pt idx="4">
                  <c:v>0.7388616006934412</c:v>
                </c:pt>
                <c:pt idx="5">
                  <c:v>0.67447358699667526</c:v>
                </c:pt>
                <c:pt idx="6">
                  <c:v>0.79766031195840559</c:v>
                </c:pt>
                <c:pt idx="7">
                  <c:v>0.79395267309377737</c:v>
                </c:pt>
                <c:pt idx="8">
                  <c:v>0.78432943852755665</c:v>
                </c:pt>
                <c:pt idx="9">
                  <c:v>0.7609942121490777</c:v>
                </c:pt>
                <c:pt idx="10">
                  <c:v>0.78020844642275544</c:v>
                </c:pt>
                <c:pt idx="11">
                  <c:v>0.76174515390201669</c:v>
                </c:pt>
                <c:pt idx="12">
                  <c:v>0.73694029850746268</c:v>
                </c:pt>
                <c:pt idx="13">
                  <c:v>0.7436754176610979</c:v>
                </c:pt>
                <c:pt idx="14">
                  <c:v>0.71135065154372235</c:v>
                </c:pt>
                <c:pt idx="15">
                  <c:v>0.70060284793680494</c:v>
                </c:pt>
                <c:pt idx="16">
                  <c:v>0.71137452301696846</c:v>
                </c:pt>
                <c:pt idx="17">
                  <c:v>0.71797515465473016</c:v>
                </c:pt>
                <c:pt idx="18">
                  <c:v>0.80332833101082646</c:v>
                </c:pt>
                <c:pt idx="19">
                  <c:v>0.80180790960451975</c:v>
                </c:pt>
                <c:pt idx="20">
                  <c:v>0.80867738961172009</c:v>
                </c:pt>
                <c:pt idx="21">
                  <c:v>0.7081940459582533</c:v>
                </c:pt>
                <c:pt idx="22">
                  <c:v>0.69134407792338204</c:v>
                </c:pt>
                <c:pt idx="23">
                  <c:v>0.64168241483221822</c:v>
                </c:pt>
                <c:pt idx="24">
                  <c:v>0.60691508060061261</c:v>
                </c:pt>
                <c:pt idx="25">
                  <c:v>0.61911760703301488</c:v>
                </c:pt>
                <c:pt idx="26">
                  <c:v>0.54104477611940294</c:v>
                </c:pt>
                <c:pt idx="27">
                  <c:v>0.57522705690423437</c:v>
                </c:pt>
                <c:pt idx="28">
                  <c:v>0.54970444678815822</c:v>
                </c:pt>
                <c:pt idx="29">
                  <c:v>0.47736116024053765</c:v>
                </c:pt>
                <c:pt idx="30">
                  <c:v>0.59850298646639277</c:v>
                </c:pt>
                <c:pt idx="31">
                  <c:v>0.58753945382187456</c:v>
                </c:pt>
                <c:pt idx="32">
                  <c:v>0.5911163989688677</c:v>
                </c:pt>
                <c:pt idx="33">
                  <c:v>0.65449240909827655</c:v>
                </c:pt>
                <c:pt idx="34">
                  <c:v>0.67285864424592745</c:v>
                </c:pt>
                <c:pt idx="35">
                  <c:v>0.65997746980692151</c:v>
                </c:pt>
                <c:pt idx="36">
                  <c:v>0.6693843340444986</c:v>
                </c:pt>
                <c:pt idx="37">
                  <c:v>0.65835860013361425</c:v>
                </c:pt>
                <c:pt idx="38">
                  <c:v>0.62808852703990936</c:v>
                </c:pt>
                <c:pt idx="39">
                  <c:v>0.6539722512591466</c:v>
                </c:pt>
                <c:pt idx="40">
                  <c:v>0.64391599013339085</c:v>
                </c:pt>
                <c:pt idx="41">
                  <c:v>0.66415600964820465</c:v>
                </c:pt>
                <c:pt idx="42">
                  <c:v>0.6094077361508482</c:v>
                </c:pt>
                <c:pt idx="43">
                  <c:v>0.5635323865113312</c:v>
                </c:pt>
                <c:pt idx="44">
                  <c:v>0.57936820890290919</c:v>
                </c:pt>
              </c:numCache>
            </c:numRef>
          </c:val>
          <c:smooth val="0"/>
        </c:ser>
        <c:ser>
          <c:idx val="3"/>
          <c:order val="3"/>
          <c:tx>
            <c:strRef>
              <c:f>'Eng GRAPHS and chgs'!$CW$2</c:f>
              <c:strCache>
                <c:ptCount val="1"/>
                <c:pt idx="0">
                  <c:v>SWAS</c:v>
                </c:pt>
              </c:strCache>
            </c:strRef>
          </c:tx>
          <c:spPr>
            <a:ln w="12700">
              <a:solidFill>
                <a:srgbClr val="003893"/>
              </a:solidFill>
              <a:prstDash val="lgDashDotDot"/>
            </a:ln>
          </c:spPr>
          <c:marker>
            <c:symbol val="none"/>
          </c:marker>
          <c:cat>
            <c:strRef>
              <c:f>'Eng GRAPHS and chgs'!$B$23:$B$67</c:f>
              <c:strCache>
                <c:ptCount val="45"/>
                <c:pt idx="0">
                  <c:v>Jul 2012</c:v>
                </c:pt>
                <c:pt idx="1">
                  <c:v>Aug 2012</c:v>
                </c:pt>
                <c:pt idx="2">
                  <c:v>Sep 2012</c:v>
                </c:pt>
                <c:pt idx="3">
                  <c:v>Oct 2012</c:v>
                </c:pt>
                <c:pt idx="4">
                  <c:v>Nov 2012</c:v>
                </c:pt>
                <c:pt idx="5">
                  <c:v>Dec 2012</c:v>
                </c:pt>
                <c:pt idx="6">
                  <c:v>Jan 2013</c:v>
                </c:pt>
                <c:pt idx="7">
                  <c:v>Feb 2013</c:v>
                </c:pt>
                <c:pt idx="8">
                  <c:v>Mar 2013</c:v>
                </c:pt>
                <c:pt idx="9">
                  <c:v>Apr 2013</c:v>
                </c:pt>
                <c:pt idx="10">
                  <c:v>May 2013</c:v>
                </c:pt>
                <c:pt idx="11">
                  <c:v>Jun 2013</c:v>
                </c:pt>
                <c:pt idx="12">
                  <c:v>Jul 2013</c:v>
                </c:pt>
                <c:pt idx="13">
                  <c:v>Aug 2013</c:v>
                </c:pt>
                <c:pt idx="14">
                  <c:v>Sep 2013</c:v>
                </c:pt>
                <c:pt idx="15">
                  <c:v>Oct 2013</c:v>
                </c:pt>
                <c:pt idx="16">
                  <c:v>Nov 2013</c:v>
                </c:pt>
                <c:pt idx="17">
                  <c:v>Dec 2013</c:v>
                </c:pt>
                <c:pt idx="18">
                  <c:v>Jan 2014</c:v>
                </c:pt>
                <c:pt idx="19">
                  <c:v>Feb 2014</c:v>
                </c:pt>
                <c:pt idx="20">
                  <c:v>Mar 2014</c:v>
                </c:pt>
                <c:pt idx="21">
                  <c:v>Apr 2014</c:v>
                </c:pt>
                <c:pt idx="22">
                  <c:v>May 2014</c:v>
                </c:pt>
                <c:pt idx="23">
                  <c:v>Jun 2014</c:v>
                </c:pt>
                <c:pt idx="24">
                  <c:v>Jul 2014</c:v>
                </c:pt>
                <c:pt idx="25">
                  <c:v>Aug 2014</c:v>
                </c:pt>
                <c:pt idx="26">
                  <c:v>Sep 2014</c:v>
                </c:pt>
                <c:pt idx="27">
                  <c:v>Oct 2014</c:v>
                </c:pt>
                <c:pt idx="28">
                  <c:v>Nov 2014</c:v>
                </c:pt>
                <c:pt idx="29">
                  <c:v>Dec 2014</c:v>
                </c:pt>
                <c:pt idx="30">
                  <c:v>Jan 2015</c:v>
                </c:pt>
                <c:pt idx="31">
                  <c:v>Feb 2015</c:v>
                </c:pt>
                <c:pt idx="32">
                  <c:v>Mar 2015</c:v>
                </c:pt>
                <c:pt idx="33">
                  <c:v>Apr 2015</c:v>
                </c:pt>
                <c:pt idx="34">
                  <c:v>May 2015</c:v>
                </c:pt>
                <c:pt idx="35">
                  <c:v>Jun 2015</c:v>
                </c:pt>
                <c:pt idx="36">
                  <c:v>Jul 2015</c:v>
                </c:pt>
                <c:pt idx="37">
                  <c:v>Aug 2015</c:v>
                </c:pt>
                <c:pt idx="38">
                  <c:v>Sep 2015</c:v>
                </c:pt>
                <c:pt idx="39">
                  <c:v>Oct 2015</c:v>
                </c:pt>
                <c:pt idx="40">
                  <c:v>Nov 2015</c:v>
                </c:pt>
                <c:pt idx="41">
                  <c:v>Dec 2015</c:v>
                </c:pt>
                <c:pt idx="42">
                  <c:v>Jan 2016</c:v>
                </c:pt>
                <c:pt idx="43">
                  <c:v>Feb 2016</c:v>
                </c:pt>
                <c:pt idx="44">
                  <c:v>Mar 2016</c:v>
                </c:pt>
              </c:strCache>
            </c:strRef>
          </c:cat>
          <c:val>
            <c:numRef>
              <c:f>'Eng GRAPHS and chgs'!$CW$23:$CW$67</c:f>
              <c:numCache>
                <c:formatCode>0.0%</c:formatCode>
                <c:ptCount val="45"/>
                <c:pt idx="0">
                  <c:v>0.77355716792336515</c:v>
                </c:pt>
                <c:pt idx="1">
                  <c:v>0.78224455611390287</c:v>
                </c:pt>
                <c:pt idx="2">
                  <c:v>0.77143001210165385</c:v>
                </c:pt>
                <c:pt idx="3">
                  <c:v>0.76687758694514485</c:v>
                </c:pt>
                <c:pt idx="4">
                  <c:v>0.76452915681639089</c:v>
                </c:pt>
                <c:pt idx="5">
                  <c:v>0.75031146625424239</c:v>
                </c:pt>
                <c:pt idx="6">
                  <c:v>0.75899936207053675</c:v>
                </c:pt>
                <c:pt idx="7">
                  <c:v>0.75393603327062086</c:v>
                </c:pt>
                <c:pt idx="8">
                  <c:v>0.71706715958102285</c:v>
                </c:pt>
                <c:pt idx="9">
                  <c:v>0.77841808368166876</c:v>
                </c:pt>
                <c:pt idx="10">
                  <c:v>0.79285306355551932</c:v>
                </c:pt>
                <c:pt idx="11">
                  <c:v>0.77890703098967007</c:v>
                </c:pt>
                <c:pt idx="12">
                  <c:v>0.76002233834616462</c:v>
                </c:pt>
                <c:pt idx="13">
                  <c:v>0.76885207470500894</c:v>
                </c:pt>
                <c:pt idx="14">
                  <c:v>0.76811221207051861</c:v>
                </c:pt>
                <c:pt idx="15">
                  <c:v>0.77203512729616497</c:v>
                </c:pt>
                <c:pt idx="16">
                  <c:v>0.76243827544711396</c:v>
                </c:pt>
                <c:pt idx="17">
                  <c:v>0.7562366357804704</c:v>
                </c:pt>
                <c:pt idx="18">
                  <c:v>0.78732433839131999</c:v>
                </c:pt>
                <c:pt idx="19">
                  <c:v>0.77297081875747242</c:v>
                </c:pt>
                <c:pt idx="20">
                  <c:v>0.77080361388492624</c:v>
                </c:pt>
                <c:pt idx="21">
                  <c:v>0.76773900099239167</c:v>
                </c:pt>
                <c:pt idx="22">
                  <c:v>0.75519394512771998</c:v>
                </c:pt>
                <c:pt idx="23">
                  <c:v>0.75675256131636137</c:v>
                </c:pt>
                <c:pt idx="24">
                  <c:v>0.74130140081337548</c:v>
                </c:pt>
                <c:pt idx="25">
                  <c:v>0.7656189667155765</c:v>
                </c:pt>
                <c:pt idx="26">
                  <c:v>0.76857338654412066</c:v>
                </c:pt>
                <c:pt idx="27">
                  <c:v>0.73560563828940029</c:v>
                </c:pt>
                <c:pt idx="28">
                  <c:v>0.70818505338078297</c:v>
                </c:pt>
                <c:pt idx="29">
                  <c:v>0.63346982374933236</c:v>
                </c:pt>
                <c:pt idx="30">
                  <c:v>0.67929827261185705</c:v>
                </c:pt>
                <c:pt idx="31">
                  <c:v>0.65679986131576662</c:v>
                </c:pt>
                <c:pt idx="32">
                  <c:v>0.7106657833719775</c:v>
                </c:pt>
                <c:pt idx="33">
                  <c:v>0.68297101449275366</c:v>
                </c:pt>
                <c:pt idx="34">
                  <c:v>0.6634251325176358</c:v>
                </c:pt>
                <c:pt idx="35">
                  <c:v>0.6589237000909316</c:v>
                </c:pt>
                <c:pt idx="36">
                  <c:v>0.66706306734847587</c:v>
                </c:pt>
                <c:pt idx="37">
                  <c:v>0.6900049764575279</c:v>
                </c:pt>
                <c:pt idx="38">
                  <c:v>0.68112905213854313</c:v>
                </c:pt>
                <c:pt idx="39">
                  <c:v>0.69432654491647516</c:v>
                </c:pt>
                <c:pt idx="40">
                  <c:v>0.65131120909723839</c:v>
                </c:pt>
                <c:pt idx="41">
                  <c:v>0.63856747355718035</c:v>
                </c:pt>
                <c:pt idx="42">
                  <c:v>0.6058227486798915</c:v>
                </c:pt>
                <c:pt idx="43">
                  <c:v>0.54477584629460196</c:v>
                </c:pt>
                <c:pt idx="44">
                  <c:v>0.49850823712543779</c:v>
                </c:pt>
              </c:numCache>
            </c:numRef>
          </c:val>
          <c:smooth val="0"/>
        </c:ser>
        <c:ser>
          <c:idx val="0"/>
          <c:order val="4"/>
          <c:tx>
            <c:strRef>
              <c:f>'Eng GRAPHS and chgs'!$E$2</c:f>
              <c:strCache>
                <c:ptCount val="1"/>
                <c:pt idx="0">
                  <c:v>Standard = 75%</c:v>
                </c:pt>
              </c:strCache>
            </c:strRef>
          </c:tx>
          <c:spPr>
            <a:ln w="12700">
              <a:solidFill>
                <a:srgbClr val="7030A0"/>
              </a:solidFill>
              <a:prstDash val="sysDash"/>
            </a:ln>
          </c:spPr>
          <c:marker>
            <c:symbol val="none"/>
          </c:marker>
          <c:cat>
            <c:strRef>
              <c:f>'Eng GRAPHS and chgs'!$B$23:$B$67</c:f>
              <c:strCache>
                <c:ptCount val="45"/>
                <c:pt idx="0">
                  <c:v>Jul 2012</c:v>
                </c:pt>
                <c:pt idx="1">
                  <c:v>Aug 2012</c:v>
                </c:pt>
                <c:pt idx="2">
                  <c:v>Sep 2012</c:v>
                </c:pt>
                <c:pt idx="3">
                  <c:v>Oct 2012</c:v>
                </c:pt>
                <c:pt idx="4">
                  <c:v>Nov 2012</c:v>
                </c:pt>
                <c:pt idx="5">
                  <c:v>Dec 2012</c:v>
                </c:pt>
                <c:pt idx="6">
                  <c:v>Jan 2013</c:v>
                </c:pt>
                <c:pt idx="7">
                  <c:v>Feb 2013</c:v>
                </c:pt>
                <c:pt idx="8">
                  <c:v>Mar 2013</c:v>
                </c:pt>
                <c:pt idx="9">
                  <c:v>Apr 2013</c:v>
                </c:pt>
                <c:pt idx="10">
                  <c:v>May 2013</c:v>
                </c:pt>
                <c:pt idx="11">
                  <c:v>Jun 2013</c:v>
                </c:pt>
                <c:pt idx="12">
                  <c:v>Jul 2013</c:v>
                </c:pt>
                <c:pt idx="13">
                  <c:v>Aug 2013</c:v>
                </c:pt>
                <c:pt idx="14">
                  <c:v>Sep 2013</c:v>
                </c:pt>
                <c:pt idx="15">
                  <c:v>Oct 2013</c:v>
                </c:pt>
                <c:pt idx="16">
                  <c:v>Nov 2013</c:v>
                </c:pt>
                <c:pt idx="17">
                  <c:v>Dec 2013</c:v>
                </c:pt>
                <c:pt idx="18">
                  <c:v>Jan 2014</c:v>
                </c:pt>
                <c:pt idx="19">
                  <c:v>Feb 2014</c:v>
                </c:pt>
                <c:pt idx="20">
                  <c:v>Mar 2014</c:v>
                </c:pt>
                <c:pt idx="21">
                  <c:v>Apr 2014</c:v>
                </c:pt>
                <c:pt idx="22">
                  <c:v>May 2014</c:v>
                </c:pt>
                <c:pt idx="23">
                  <c:v>Jun 2014</c:v>
                </c:pt>
                <c:pt idx="24">
                  <c:v>Jul 2014</c:v>
                </c:pt>
                <c:pt idx="25">
                  <c:v>Aug 2014</c:v>
                </c:pt>
                <c:pt idx="26">
                  <c:v>Sep 2014</c:v>
                </c:pt>
                <c:pt idx="27">
                  <c:v>Oct 2014</c:v>
                </c:pt>
                <c:pt idx="28">
                  <c:v>Nov 2014</c:v>
                </c:pt>
                <c:pt idx="29">
                  <c:v>Dec 2014</c:v>
                </c:pt>
                <c:pt idx="30">
                  <c:v>Jan 2015</c:v>
                </c:pt>
                <c:pt idx="31">
                  <c:v>Feb 2015</c:v>
                </c:pt>
                <c:pt idx="32">
                  <c:v>Mar 2015</c:v>
                </c:pt>
                <c:pt idx="33">
                  <c:v>Apr 2015</c:v>
                </c:pt>
                <c:pt idx="34">
                  <c:v>May 2015</c:v>
                </c:pt>
                <c:pt idx="35">
                  <c:v>Jun 2015</c:v>
                </c:pt>
                <c:pt idx="36">
                  <c:v>Jul 2015</c:v>
                </c:pt>
                <c:pt idx="37">
                  <c:v>Aug 2015</c:v>
                </c:pt>
                <c:pt idx="38">
                  <c:v>Sep 2015</c:v>
                </c:pt>
                <c:pt idx="39">
                  <c:v>Oct 2015</c:v>
                </c:pt>
                <c:pt idx="40">
                  <c:v>Nov 2015</c:v>
                </c:pt>
                <c:pt idx="41">
                  <c:v>Dec 2015</c:v>
                </c:pt>
                <c:pt idx="42">
                  <c:v>Jan 2016</c:v>
                </c:pt>
                <c:pt idx="43">
                  <c:v>Feb 2016</c:v>
                </c:pt>
                <c:pt idx="44">
                  <c:v>Mar 2016</c:v>
                </c:pt>
              </c:strCache>
            </c:strRef>
          </c:cat>
          <c:val>
            <c:numRef>
              <c:f>'Eng GRAPHS and chgs'!$E$23:$E$67</c:f>
              <c:numCache>
                <c:formatCode>0.0%</c:formatCode>
                <c:ptCount val="45"/>
                <c:pt idx="0">
                  <c:v>0.75</c:v>
                </c:pt>
                <c:pt idx="1">
                  <c:v>0.75</c:v>
                </c:pt>
                <c:pt idx="2">
                  <c:v>0.75</c:v>
                </c:pt>
                <c:pt idx="3">
                  <c:v>0.75</c:v>
                </c:pt>
                <c:pt idx="4">
                  <c:v>0.75</c:v>
                </c:pt>
                <c:pt idx="5">
                  <c:v>0.75</c:v>
                </c:pt>
                <c:pt idx="6">
                  <c:v>0.75</c:v>
                </c:pt>
                <c:pt idx="7">
                  <c:v>0.75</c:v>
                </c:pt>
                <c:pt idx="8">
                  <c:v>0.75</c:v>
                </c:pt>
                <c:pt idx="9">
                  <c:v>0.75</c:v>
                </c:pt>
                <c:pt idx="10">
                  <c:v>0.75</c:v>
                </c:pt>
                <c:pt idx="11">
                  <c:v>0.75</c:v>
                </c:pt>
                <c:pt idx="12">
                  <c:v>0.75</c:v>
                </c:pt>
                <c:pt idx="13">
                  <c:v>0.75</c:v>
                </c:pt>
                <c:pt idx="14">
                  <c:v>0.75</c:v>
                </c:pt>
                <c:pt idx="15">
                  <c:v>0.75</c:v>
                </c:pt>
                <c:pt idx="16">
                  <c:v>0.75</c:v>
                </c:pt>
                <c:pt idx="17">
                  <c:v>0.75</c:v>
                </c:pt>
                <c:pt idx="18">
                  <c:v>0.75</c:v>
                </c:pt>
                <c:pt idx="19">
                  <c:v>0.75</c:v>
                </c:pt>
                <c:pt idx="20">
                  <c:v>0.75</c:v>
                </c:pt>
                <c:pt idx="21">
                  <c:v>0.75</c:v>
                </c:pt>
                <c:pt idx="22">
                  <c:v>0.75</c:v>
                </c:pt>
                <c:pt idx="23">
                  <c:v>0.75</c:v>
                </c:pt>
                <c:pt idx="24">
                  <c:v>0.75</c:v>
                </c:pt>
                <c:pt idx="25">
                  <c:v>0.75</c:v>
                </c:pt>
                <c:pt idx="26">
                  <c:v>0.75</c:v>
                </c:pt>
                <c:pt idx="27">
                  <c:v>0.75</c:v>
                </c:pt>
                <c:pt idx="28">
                  <c:v>0.75</c:v>
                </c:pt>
                <c:pt idx="29">
                  <c:v>0.75</c:v>
                </c:pt>
                <c:pt idx="30">
                  <c:v>0.75</c:v>
                </c:pt>
                <c:pt idx="31">
                  <c:v>0.75</c:v>
                </c:pt>
                <c:pt idx="32">
                  <c:v>0.75</c:v>
                </c:pt>
                <c:pt idx="33">
                  <c:v>0.75</c:v>
                </c:pt>
                <c:pt idx="34">
                  <c:v>0.75</c:v>
                </c:pt>
                <c:pt idx="35">
                  <c:v>0.75</c:v>
                </c:pt>
                <c:pt idx="36">
                  <c:v>0.75</c:v>
                </c:pt>
                <c:pt idx="37">
                  <c:v>0.75</c:v>
                </c:pt>
                <c:pt idx="38">
                  <c:v>0.75</c:v>
                </c:pt>
                <c:pt idx="39">
                  <c:v>0.75</c:v>
                </c:pt>
                <c:pt idx="40">
                  <c:v>0.75</c:v>
                </c:pt>
                <c:pt idx="41">
                  <c:v>0.75</c:v>
                </c:pt>
                <c:pt idx="42">
                  <c:v>0.75</c:v>
                </c:pt>
                <c:pt idx="43">
                  <c:v>0.75</c:v>
                </c:pt>
                <c:pt idx="44">
                  <c:v>0.75</c:v>
                </c:pt>
              </c:numCache>
            </c:numRef>
          </c:val>
          <c:smooth val="0"/>
        </c:ser>
        <c:dLbls>
          <c:showLegendKey val="0"/>
          <c:showVal val="0"/>
          <c:showCatName val="0"/>
          <c:showSerName val="0"/>
          <c:showPercent val="0"/>
          <c:showBubbleSize val="0"/>
        </c:dLbls>
        <c:marker val="1"/>
        <c:smooth val="0"/>
        <c:axId val="30255360"/>
        <c:axId val="30265344"/>
      </c:lineChart>
      <c:catAx>
        <c:axId val="30255360"/>
        <c:scaling>
          <c:orientation val="minMax"/>
        </c:scaling>
        <c:delete val="0"/>
        <c:axPos val="b"/>
        <c:majorGridlines>
          <c:spPr>
            <a:ln>
              <a:solidFill>
                <a:schemeClr val="bg1">
                  <a:lumMod val="85000"/>
                </a:schemeClr>
              </a:solidFill>
            </a:ln>
          </c:spPr>
        </c:majorGridlines>
        <c:numFmt formatCode="mmm\ yyyy" sourceLinked="0"/>
        <c:majorTickMark val="out"/>
        <c:minorTickMark val="out"/>
        <c:tickLblPos val="nextTo"/>
        <c:txPr>
          <a:bodyPr rot="-5400000" vert="horz"/>
          <a:lstStyle/>
          <a:p>
            <a:pPr>
              <a:defRPr/>
            </a:pPr>
            <a:endParaRPr lang="en-US"/>
          </a:p>
        </c:txPr>
        <c:crossAx val="30265344"/>
        <c:crosses val="autoZero"/>
        <c:auto val="1"/>
        <c:lblAlgn val="ctr"/>
        <c:lblOffset val="100"/>
        <c:tickLblSkip val="4"/>
        <c:tickMarkSkip val="4"/>
        <c:noMultiLvlLbl val="1"/>
      </c:catAx>
      <c:valAx>
        <c:axId val="30265344"/>
        <c:scaling>
          <c:orientation val="minMax"/>
          <c:min val="0.45"/>
        </c:scaling>
        <c:delete val="0"/>
        <c:axPos val="l"/>
        <c:majorGridlines>
          <c:spPr>
            <a:ln>
              <a:solidFill>
                <a:schemeClr val="bg1">
                  <a:lumMod val="85000"/>
                </a:schemeClr>
              </a:solidFill>
            </a:ln>
          </c:spPr>
        </c:majorGridlines>
        <c:numFmt formatCode="0%" sourceLinked="0"/>
        <c:majorTickMark val="out"/>
        <c:minorTickMark val="none"/>
        <c:tickLblPos val="nextTo"/>
        <c:txPr>
          <a:bodyPr rot="0" vert="horz"/>
          <a:lstStyle/>
          <a:p>
            <a:pPr>
              <a:defRPr/>
            </a:pPr>
            <a:endParaRPr lang="en-US"/>
          </a:p>
        </c:txPr>
        <c:crossAx val="30255360"/>
        <c:crosses val="autoZero"/>
        <c:crossBetween val="midCat"/>
        <c:majorUnit val="0.1"/>
      </c:valAx>
      <c:spPr>
        <a:solidFill>
          <a:srgbClr val="FFFFCC"/>
        </a:solidFill>
      </c:spPr>
    </c:plotArea>
    <c:legend>
      <c:legendPos val="b"/>
      <c:layout>
        <c:manualLayout>
          <c:xMode val="edge"/>
          <c:yMode val="edge"/>
          <c:x val="1.4668244951953889E-2"/>
          <c:y val="9.2129557103791351E-2"/>
          <c:w val="0.97184102753312307"/>
          <c:h val="0.14946943150430803"/>
        </c:manualLayout>
      </c:layout>
      <c:overlay val="0"/>
      <c:spPr>
        <a:noFill/>
        <a:ln>
          <a:solidFill>
            <a:schemeClr val="bg1">
              <a:lumMod val="50000"/>
            </a:schemeClr>
          </a:solidFill>
        </a:ln>
      </c:spPr>
      <c:txPr>
        <a:bodyPr/>
        <a:lstStyle/>
        <a:p>
          <a:pPr>
            <a:defRPr sz="1000"/>
          </a:pPr>
          <a:endParaRPr lang="en-US"/>
        </a:p>
      </c:txPr>
    </c:legend>
    <c:plotVisOnly val="1"/>
    <c:dispBlanksAs val="gap"/>
    <c:showDLblsOverMax val="0"/>
  </c:chart>
  <c:txPr>
    <a:bodyPr/>
    <a:lstStyle/>
    <a:p>
      <a:pPr>
        <a:defRPr sz="10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lgn="ctr">
              <a:defRPr b="1"/>
            </a:pPr>
            <a:r>
              <a:rPr lang="en-GB" b="1"/>
              <a:t>Figure 3:</a:t>
            </a:r>
            <a:r>
              <a:rPr lang="en-GB" b="1" baseline="0"/>
              <a:t> Category A ambulance response within 19 minutes</a:t>
            </a:r>
            <a:endParaRPr lang="en-GB" sz="1000" b="0"/>
          </a:p>
        </c:rich>
      </c:tx>
      <c:layout>
        <c:manualLayout>
          <c:xMode val="edge"/>
          <c:yMode val="edge"/>
          <c:x val="0.11179564675627668"/>
          <c:y val="1.9184652278177457E-2"/>
        </c:manualLayout>
      </c:layout>
      <c:overlay val="1"/>
    </c:title>
    <c:autoTitleDeleted val="0"/>
    <c:plotArea>
      <c:layout>
        <c:manualLayout>
          <c:layoutTarget val="inner"/>
          <c:xMode val="edge"/>
          <c:yMode val="edge"/>
          <c:x val="8.9485336072121419E-2"/>
          <c:y val="0.27055982709605358"/>
          <c:w val="0.88347369622275473"/>
          <c:h val="0.54802404912723524"/>
        </c:manualLayout>
      </c:layout>
      <c:lineChart>
        <c:grouping val="standard"/>
        <c:varyColors val="0"/>
        <c:ser>
          <c:idx val="0"/>
          <c:order val="0"/>
          <c:tx>
            <c:strRef>
              <c:f>'Eng GRAPHS and chgs'!$CZ$2</c:f>
              <c:strCache>
                <c:ptCount val="1"/>
                <c:pt idx="0">
                  <c:v>NWAS, EMAS, EastAmb, SECAmb, IOW</c:v>
                </c:pt>
              </c:strCache>
            </c:strRef>
          </c:tx>
          <c:spPr>
            <a:ln w="12700">
              <a:solidFill>
                <a:schemeClr val="accent6">
                  <a:lumMod val="50000"/>
                </a:schemeClr>
              </a:solidFill>
              <a:prstDash val="solid"/>
            </a:ln>
          </c:spPr>
          <c:marker>
            <c:symbol val="none"/>
          </c:marker>
          <c:dPt>
            <c:idx val="14"/>
            <c:bubble3D val="0"/>
          </c:dPt>
          <c:dPt>
            <c:idx val="15"/>
            <c:bubble3D val="0"/>
          </c:dPt>
          <c:dPt>
            <c:idx val="16"/>
            <c:bubble3D val="0"/>
          </c:dPt>
          <c:dPt>
            <c:idx val="46"/>
            <c:bubble3D val="0"/>
          </c:dPt>
          <c:dPt>
            <c:idx val="47"/>
            <c:bubble3D val="0"/>
          </c:dPt>
          <c:cat>
            <c:strRef>
              <c:f>'Eng GRAPHS and chgs'!$DH$6:$DH$67</c:f>
              <c:strCache>
                <c:ptCount val="62"/>
                <c:pt idx="1">
                  <c:v>Mar 2011</c:v>
                </c:pt>
                <c:pt idx="5">
                  <c:v>Jul 2011</c:v>
                </c:pt>
                <c:pt idx="9">
                  <c:v>Nov 2011</c:v>
                </c:pt>
                <c:pt idx="13">
                  <c:v>Mar 2012</c:v>
                </c:pt>
                <c:pt idx="17">
                  <c:v>Jul 2012</c:v>
                </c:pt>
                <c:pt idx="21">
                  <c:v>Nov 2012</c:v>
                </c:pt>
                <c:pt idx="25">
                  <c:v>Mar 2013</c:v>
                </c:pt>
                <c:pt idx="29">
                  <c:v>Jul 2013</c:v>
                </c:pt>
                <c:pt idx="33">
                  <c:v>Nov 2013</c:v>
                </c:pt>
                <c:pt idx="37">
                  <c:v>Mar 2014</c:v>
                </c:pt>
                <c:pt idx="41">
                  <c:v>Jul 2014</c:v>
                </c:pt>
                <c:pt idx="45">
                  <c:v>Nov 2014</c:v>
                </c:pt>
                <c:pt idx="49">
                  <c:v>Mar 2015</c:v>
                </c:pt>
                <c:pt idx="53">
                  <c:v>Jul 2015</c:v>
                </c:pt>
                <c:pt idx="57">
                  <c:v>Nov 2015</c:v>
                </c:pt>
                <c:pt idx="61">
                  <c:v>Mar 2016</c:v>
                </c:pt>
              </c:strCache>
            </c:strRef>
          </c:cat>
          <c:val>
            <c:numRef>
              <c:f>'Eng GRAPHS and chgs'!$CZ$6:$CZ$67</c:f>
              <c:numCache>
                <c:formatCode>General</c:formatCode>
                <c:ptCount val="62"/>
                <c:pt idx="2" formatCode="0.0%">
                  <c:v>0.96053330041355467</c:v>
                </c:pt>
                <c:pt idx="3" formatCode="0.0%">
                  <c:v>0.96091791703442186</c:v>
                </c:pt>
                <c:pt idx="4" formatCode="0.0%">
                  <c:v>0.95537510778959467</c:v>
                </c:pt>
                <c:pt idx="5" formatCode="0.0%">
                  <c:v>0.95691755353250418</c:v>
                </c:pt>
                <c:pt idx="6" formatCode="0.0%">
                  <c:v>0.95668999087313655</c:v>
                </c:pt>
                <c:pt idx="7" formatCode="0.0%">
                  <c:v>0.95100721514696629</c:v>
                </c:pt>
                <c:pt idx="8" formatCode="0.0%">
                  <c:v>0.94963490407728246</c:v>
                </c:pt>
                <c:pt idx="9" formatCode="0.0%">
                  <c:v>0.9551817085569716</c:v>
                </c:pt>
                <c:pt idx="10" formatCode="0.0%">
                  <c:v>0.9437230781974818</c:v>
                </c:pt>
                <c:pt idx="11" formatCode="0.0%">
                  <c:v>0.95736488303307343</c:v>
                </c:pt>
                <c:pt idx="12" formatCode="0.0%">
                  <c:v>0.93950237629298294</c:v>
                </c:pt>
                <c:pt idx="13" formatCode="0.0%">
                  <c:v>0.95110391862212462</c:v>
                </c:pt>
                <c:pt idx="14" formatCode="0.0%">
                  <c:v>0.9544527084841703</c:v>
                </c:pt>
                <c:pt idx="15" formatCode="0.0%">
                  <c:v>0.94957294957294958</c:v>
                </c:pt>
                <c:pt idx="16" formatCode="0.0%">
                  <c:v>0.95562940674540797</c:v>
                </c:pt>
                <c:pt idx="17" formatCode="0.0%">
                  <c:v>0.95499591555956831</c:v>
                </c:pt>
                <c:pt idx="18" formatCode="0.0%">
                  <c:v>0.95474161902431431</c:v>
                </c:pt>
                <c:pt idx="19" formatCode="0.0%">
                  <c:v>0.94481497051571928</c:v>
                </c:pt>
                <c:pt idx="20" formatCode="0.0%">
                  <c:v>0.94892407804527645</c:v>
                </c:pt>
                <c:pt idx="21" formatCode="0.0%">
                  <c:v>0.94752813654609924</c:v>
                </c:pt>
                <c:pt idx="22" formatCode="0.0%">
                  <c:v>0.93061722600328567</c:v>
                </c:pt>
                <c:pt idx="23" formatCode="0.0%">
                  <c:v>0.94176988118153326</c:v>
                </c:pt>
                <c:pt idx="24" formatCode="0.0%">
                  <c:v>0.94224759549023285</c:v>
                </c:pt>
                <c:pt idx="25" formatCode="0.0%">
                  <c:v>0.93521252190074244</c:v>
                </c:pt>
                <c:pt idx="26" formatCode="0.0%">
                  <c:v>0.9517215568862275</c:v>
                </c:pt>
                <c:pt idx="27" formatCode="0.0%">
                  <c:v>0.95954077841616692</c:v>
                </c:pt>
                <c:pt idx="28" formatCode="0.0%">
                  <c:v>0.9559422517428775</c:v>
                </c:pt>
                <c:pt idx="29" formatCode="0.0%">
                  <c:v>0.94557027530531979</c:v>
                </c:pt>
                <c:pt idx="30" formatCode="0.0%">
                  <c:v>0.95114579090655749</c:v>
                </c:pt>
                <c:pt idx="31" formatCode="0.0%">
                  <c:v>0.94501220256253815</c:v>
                </c:pt>
                <c:pt idx="32" formatCode="0.0%">
                  <c:v>0.9510998462963528</c:v>
                </c:pt>
                <c:pt idx="33" formatCode="0.0%">
                  <c:v>0.94601452265038366</c:v>
                </c:pt>
                <c:pt idx="34" formatCode="0.0%">
                  <c:v>0.9396276148281083</c:v>
                </c:pt>
                <c:pt idx="35" formatCode="0.0%">
                  <c:v>0.95509625086161254</c:v>
                </c:pt>
                <c:pt idx="36" formatCode="0.0%">
                  <c:v>0.95027565166193861</c:v>
                </c:pt>
                <c:pt idx="37" formatCode="0.0%">
                  <c:v>0.95096145530025655</c:v>
                </c:pt>
                <c:pt idx="38" formatCode="0.0%">
                  <c:v>0.9515474429205486</c:v>
                </c:pt>
                <c:pt idx="39" formatCode="0.0%">
                  <c:v>0.94136613778626677</c:v>
                </c:pt>
                <c:pt idx="40" formatCode="0.0%">
                  <c:v>0.93971175449095923</c:v>
                </c:pt>
                <c:pt idx="41" formatCode="0.0%">
                  <c:v>0.9280851707575356</c:v>
                </c:pt>
                <c:pt idx="42" formatCode="0.0%">
                  <c:v>0.94007302280202376</c:v>
                </c:pt>
                <c:pt idx="43" formatCode="0.0%">
                  <c:v>0.94034162397205812</c:v>
                </c:pt>
                <c:pt idx="44" formatCode="0.0%">
                  <c:v>0.93352701372944102</c:v>
                </c:pt>
                <c:pt idx="45" formatCode="0.0%">
                  <c:v>0.93486072838310863</c:v>
                </c:pt>
                <c:pt idx="46" formatCode="0.0%">
                  <c:v>0.89199129918924258</c:v>
                </c:pt>
                <c:pt idx="47" formatCode="0.0%">
                  <c:v>0.91986187291261545</c:v>
                </c:pt>
                <c:pt idx="48" formatCode="0.0%">
                  <c:v>0.92519598432125427</c:v>
                </c:pt>
                <c:pt idx="49" formatCode="0.0%">
                  <c:v>0.93100776590569201</c:v>
                </c:pt>
                <c:pt idx="50" formatCode="0.0%">
                  <c:v>0.94654376998028289</c:v>
                </c:pt>
                <c:pt idx="51" formatCode="0.0%">
                  <c:v>0.95422178898017918</c:v>
                </c:pt>
                <c:pt idx="52" formatCode="0.0%">
                  <c:v>0.94392593778547951</c:v>
                </c:pt>
                <c:pt idx="53" formatCode="0.0%">
                  <c:v>0.9303538378782491</c:v>
                </c:pt>
                <c:pt idx="54" formatCode="0.0%">
                  <c:v>0.92529958967762971</c:v>
                </c:pt>
                <c:pt idx="55" formatCode="0.0%">
                  <c:v>0.92210454073304648</c:v>
                </c:pt>
                <c:pt idx="56" formatCode="0.0%">
                  <c:v>0.91575512846725282</c:v>
                </c:pt>
                <c:pt idx="57" formatCode="0.0%">
                  <c:v>0.90612333951513424</c:v>
                </c:pt>
                <c:pt idx="58" formatCode="0.0%">
                  <c:v>0.91274270524041223</c:v>
                </c:pt>
                <c:pt idx="59" formatCode="0.0%">
                  <c:v>0.88653697442040302</c:v>
                </c:pt>
                <c:pt idx="60" formatCode="0.0%">
                  <c:v>0.87348692232531477</c:v>
                </c:pt>
                <c:pt idx="61" formatCode="0.0%">
                  <c:v>0.84300328827183046</c:v>
                </c:pt>
              </c:numCache>
            </c:numRef>
          </c:val>
          <c:smooth val="0"/>
        </c:ser>
        <c:ser>
          <c:idx val="3"/>
          <c:order val="1"/>
          <c:tx>
            <c:strRef>
              <c:f>'Eng GRAPHS and chgs'!$DA$2</c:f>
              <c:strCache>
                <c:ptCount val="1"/>
                <c:pt idx="0">
                  <c:v>NEAS, YAS, WMAS, SCAS</c:v>
                </c:pt>
              </c:strCache>
            </c:strRef>
          </c:tx>
          <c:spPr>
            <a:ln w="12700">
              <a:solidFill>
                <a:schemeClr val="accent6">
                  <a:lumMod val="75000"/>
                </a:schemeClr>
              </a:solidFill>
              <a:prstDash val="lgDash"/>
            </a:ln>
          </c:spPr>
          <c:marker>
            <c:symbol val="none"/>
          </c:marker>
          <c:cat>
            <c:strRef>
              <c:f>'Eng GRAPHS and chgs'!$DH$6:$DH$67</c:f>
              <c:strCache>
                <c:ptCount val="62"/>
                <c:pt idx="1">
                  <c:v>Mar 2011</c:v>
                </c:pt>
                <c:pt idx="5">
                  <c:v>Jul 2011</c:v>
                </c:pt>
                <c:pt idx="9">
                  <c:v>Nov 2011</c:v>
                </c:pt>
                <c:pt idx="13">
                  <c:v>Mar 2012</c:v>
                </c:pt>
                <c:pt idx="17">
                  <c:v>Jul 2012</c:v>
                </c:pt>
                <c:pt idx="21">
                  <c:v>Nov 2012</c:v>
                </c:pt>
                <c:pt idx="25">
                  <c:v>Mar 2013</c:v>
                </c:pt>
                <c:pt idx="29">
                  <c:v>Jul 2013</c:v>
                </c:pt>
                <c:pt idx="33">
                  <c:v>Nov 2013</c:v>
                </c:pt>
                <c:pt idx="37">
                  <c:v>Mar 2014</c:v>
                </c:pt>
                <c:pt idx="41">
                  <c:v>Jul 2014</c:v>
                </c:pt>
                <c:pt idx="45">
                  <c:v>Nov 2014</c:v>
                </c:pt>
                <c:pt idx="49">
                  <c:v>Mar 2015</c:v>
                </c:pt>
                <c:pt idx="53">
                  <c:v>Jul 2015</c:v>
                </c:pt>
                <c:pt idx="57">
                  <c:v>Nov 2015</c:v>
                </c:pt>
                <c:pt idx="61">
                  <c:v>Mar 2016</c:v>
                </c:pt>
              </c:strCache>
            </c:strRef>
          </c:cat>
          <c:val>
            <c:numRef>
              <c:f>'Eng GRAPHS and chgs'!$DA$6:$DA$67</c:f>
              <c:numCache>
                <c:formatCode>General</c:formatCode>
                <c:ptCount val="62"/>
                <c:pt idx="2" formatCode="0.0%">
                  <c:v>0.98084365638409843</c:v>
                </c:pt>
                <c:pt idx="3" formatCode="0.0%">
                  <c:v>0.98199545114755138</c:v>
                </c:pt>
                <c:pt idx="4" formatCode="0.0%">
                  <c:v>0.97782924143292094</c:v>
                </c:pt>
                <c:pt idx="5" formatCode="0.0%">
                  <c:v>0.97901896624856088</c:v>
                </c:pt>
                <c:pt idx="6" formatCode="0.0%">
                  <c:v>0.97923060231253289</c:v>
                </c:pt>
                <c:pt idx="7" formatCode="0.0%">
                  <c:v>0.97752239562372367</c:v>
                </c:pt>
                <c:pt idx="8" formatCode="0.0%">
                  <c:v>0.976043266341724</c:v>
                </c:pt>
                <c:pt idx="9" formatCode="0.0%">
                  <c:v>0.97822775611732971</c:v>
                </c:pt>
                <c:pt idx="10" formatCode="0.0%">
                  <c:v>0.97083815174216903</c:v>
                </c:pt>
                <c:pt idx="11" formatCode="0.0%">
                  <c:v>0.97967977020054253</c:v>
                </c:pt>
                <c:pt idx="12" formatCode="0.0%">
                  <c:v>0.97102223221563277</c:v>
                </c:pt>
                <c:pt idx="13" formatCode="0.0%">
                  <c:v>0.97488385792510679</c:v>
                </c:pt>
                <c:pt idx="14" formatCode="0.0%">
                  <c:v>0.97654636217580904</c:v>
                </c:pt>
                <c:pt idx="15" formatCode="0.0%">
                  <c:v>0.97389675270607823</c:v>
                </c:pt>
                <c:pt idx="16" formatCode="0.0%">
                  <c:v>0.97312803700017558</c:v>
                </c:pt>
                <c:pt idx="17" formatCode="0.0%">
                  <c:v>0.96816190101679678</c:v>
                </c:pt>
                <c:pt idx="18" formatCode="0.0%">
                  <c:v>0.96726395589248793</c:v>
                </c:pt>
                <c:pt idx="19" formatCode="0.0%">
                  <c:v>0.96729590167432467</c:v>
                </c:pt>
                <c:pt idx="20" formatCode="0.0%">
                  <c:v>0.9708733974358974</c:v>
                </c:pt>
                <c:pt idx="21" formatCode="0.0%">
                  <c:v>0.97118447335744751</c:v>
                </c:pt>
                <c:pt idx="22" formatCode="0.0%">
                  <c:v>0.95441103409117789</c:v>
                </c:pt>
                <c:pt idx="23" formatCode="0.0%">
                  <c:v>0.96782981607727103</c:v>
                </c:pt>
                <c:pt idx="24" formatCode="0.0%">
                  <c:v>0.96871145166673922</c:v>
                </c:pt>
                <c:pt idx="25" formatCode="0.0%">
                  <c:v>0.96576833571053222</c:v>
                </c:pt>
                <c:pt idx="26" formatCode="0.0%">
                  <c:v>0.97196944536698771</c:v>
                </c:pt>
                <c:pt idx="27" formatCode="0.0%">
                  <c:v>0.97542688910696762</c:v>
                </c:pt>
                <c:pt idx="28" formatCode="0.0%">
                  <c:v>0.9750327781962228</c:v>
                </c:pt>
                <c:pt idx="29" formatCode="0.0%">
                  <c:v>0.9662580661880944</c:v>
                </c:pt>
                <c:pt idx="30" formatCode="0.0%">
                  <c:v>0.96969336505418979</c:v>
                </c:pt>
                <c:pt idx="31" formatCode="0.0%">
                  <c:v>0.97141402775545194</c:v>
                </c:pt>
                <c:pt idx="32" formatCode="0.0%">
                  <c:v>0.96972369924961488</c:v>
                </c:pt>
                <c:pt idx="33" formatCode="0.0%">
                  <c:v>0.96892183881276761</c:v>
                </c:pt>
                <c:pt idx="34" formatCode="0.0%">
                  <c:v>0.96345596198861061</c:v>
                </c:pt>
                <c:pt idx="35" formatCode="0.0%">
                  <c:v>0.96724582362563827</c:v>
                </c:pt>
                <c:pt idx="36" formatCode="0.0%">
                  <c:v>0.96181165203511576</c:v>
                </c:pt>
                <c:pt idx="37" formatCode="0.0%">
                  <c:v>0.9637619259597916</c:v>
                </c:pt>
                <c:pt idx="38" formatCode="0.0%">
                  <c:v>0.96487558074481283</c:v>
                </c:pt>
                <c:pt idx="39" formatCode="0.0%">
                  <c:v>0.96456490139748885</c:v>
                </c:pt>
                <c:pt idx="40" formatCode="0.0%">
                  <c:v>0.96058069049292005</c:v>
                </c:pt>
                <c:pt idx="41" formatCode="0.0%">
                  <c:v>0.95693983784779801</c:v>
                </c:pt>
                <c:pt idx="42" formatCode="0.0%">
                  <c:v>0.96424384525205153</c:v>
                </c:pt>
                <c:pt idx="43" formatCode="0.0%">
                  <c:v>0.96423994777436595</c:v>
                </c:pt>
                <c:pt idx="44" formatCode="0.0%">
                  <c:v>0.95957593811233566</c:v>
                </c:pt>
                <c:pt idx="45" formatCode="0.0%">
                  <c:v>0.95794434571345011</c:v>
                </c:pt>
                <c:pt idx="46" formatCode="0.0%">
                  <c:v>0.93696280765905859</c:v>
                </c:pt>
                <c:pt idx="47" formatCode="0.0%">
                  <c:v>0.95903638500254984</c:v>
                </c:pt>
                <c:pt idx="48" formatCode="0.0%">
                  <c:v>0.9608119147866524</c:v>
                </c:pt>
                <c:pt idx="49" formatCode="0.0%">
                  <c:v>0.96384819863129911</c:v>
                </c:pt>
                <c:pt idx="50" formatCode="0.0%">
                  <c:v>0.96589468143646673</c:v>
                </c:pt>
                <c:pt idx="51" formatCode="0.0%">
                  <c:v>0.96601381158047905</c:v>
                </c:pt>
                <c:pt idx="52" formatCode="0.0%">
                  <c:v>0.95774948178856978</c:v>
                </c:pt>
                <c:pt idx="53" formatCode="0.0%">
                  <c:v>0.95774282068365835</c:v>
                </c:pt>
                <c:pt idx="54" formatCode="0.0%">
                  <c:v>0.95528066364260544</c:v>
                </c:pt>
                <c:pt idx="55" formatCode="0.0%">
                  <c:v>0.95245966064080634</c:v>
                </c:pt>
                <c:pt idx="56" formatCode="0.0%">
                  <c:v>0.9523369009842414</c:v>
                </c:pt>
                <c:pt idx="57" formatCode="0.0%">
                  <c:v>0.952498842879132</c:v>
                </c:pt>
                <c:pt idx="58" formatCode="0.0%">
                  <c:v>0.94475307725062629</c:v>
                </c:pt>
                <c:pt idx="59" formatCode="0.0%">
                  <c:v>0.94616822429906544</c:v>
                </c:pt>
                <c:pt idx="60" formatCode="0.0%">
                  <c:v>0.94042974927777656</c:v>
                </c:pt>
                <c:pt idx="61" formatCode="0.0%">
                  <c:v>0.93773041862793227</c:v>
                </c:pt>
              </c:numCache>
            </c:numRef>
          </c:val>
          <c:smooth val="0"/>
        </c:ser>
        <c:ser>
          <c:idx val="1"/>
          <c:order val="2"/>
          <c:tx>
            <c:strRef>
              <c:f>'Eng GRAPHS and chgs'!$DB$2</c:f>
              <c:strCache>
                <c:ptCount val="1"/>
                <c:pt idx="0">
                  <c:v>LAS</c:v>
                </c:pt>
              </c:strCache>
            </c:strRef>
          </c:tx>
          <c:spPr>
            <a:ln w="12700">
              <a:solidFill>
                <a:schemeClr val="accent3">
                  <a:lumMod val="75000"/>
                </a:schemeClr>
              </a:solidFill>
              <a:prstDash val="lgDashDot"/>
            </a:ln>
          </c:spPr>
          <c:marker>
            <c:symbol val="none"/>
          </c:marker>
          <c:cat>
            <c:strRef>
              <c:f>'Eng GRAPHS and chgs'!$DH$6:$DH$67</c:f>
              <c:strCache>
                <c:ptCount val="62"/>
                <c:pt idx="1">
                  <c:v>Mar 2011</c:v>
                </c:pt>
                <c:pt idx="5">
                  <c:v>Jul 2011</c:v>
                </c:pt>
                <c:pt idx="9">
                  <c:v>Nov 2011</c:v>
                </c:pt>
                <c:pt idx="13">
                  <c:v>Mar 2012</c:v>
                </c:pt>
                <c:pt idx="17">
                  <c:v>Jul 2012</c:v>
                </c:pt>
                <c:pt idx="21">
                  <c:v>Nov 2012</c:v>
                </c:pt>
                <c:pt idx="25">
                  <c:v>Mar 2013</c:v>
                </c:pt>
                <c:pt idx="29">
                  <c:v>Jul 2013</c:v>
                </c:pt>
                <c:pt idx="33">
                  <c:v>Nov 2013</c:v>
                </c:pt>
                <c:pt idx="37">
                  <c:v>Mar 2014</c:v>
                </c:pt>
                <c:pt idx="41">
                  <c:v>Jul 2014</c:v>
                </c:pt>
                <c:pt idx="45">
                  <c:v>Nov 2014</c:v>
                </c:pt>
                <c:pt idx="49">
                  <c:v>Mar 2015</c:v>
                </c:pt>
                <c:pt idx="53">
                  <c:v>Jul 2015</c:v>
                </c:pt>
                <c:pt idx="57">
                  <c:v>Nov 2015</c:v>
                </c:pt>
                <c:pt idx="61">
                  <c:v>Mar 2016</c:v>
                </c:pt>
              </c:strCache>
            </c:strRef>
          </c:cat>
          <c:val>
            <c:numRef>
              <c:f>'Eng GRAPHS and chgs'!$DB$6:$DB$67</c:f>
              <c:numCache>
                <c:formatCode>General</c:formatCode>
                <c:ptCount val="62"/>
                <c:pt idx="2" formatCode="0.0%">
                  <c:v>0.99325521188172772</c:v>
                </c:pt>
                <c:pt idx="3" formatCode="0.0%">
                  <c:v>0.99427588260596234</c:v>
                </c:pt>
                <c:pt idx="4" formatCode="0.0%">
                  <c:v>0.99270633397312857</c:v>
                </c:pt>
                <c:pt idx="5" formatCode="0.0%">
                  <c:v>0.99424570825740866</c:v>
                </c:pt>
                <c:pt idx="6" formatCode="0.0%">
                  <c:v>0.99343355797477106</c:v>
                </c:pt>
                <c:pt idx="7" formatCode="0.0%">
                  <c:v>0.99193047796399747</c:v>
                </c:pt>
                <c:pt idx="8" formatCode="0.0%">
                  <c:v>0.9922106824925816</c:v>
                </c:pt>
                <c:pt idx="9" formatCode="0.0%">
                  <c:v>0.98621407205098188</c:v>
                </c:pt>
                <c:pt idx="10" formatCode="0.0%">
                  <c:v>0.98955508107796175</c:v>
                </c:pt>
                <c:pt idx="11" formatCode="0.0%">
                  <c:v>0.99306759098786823</c:v>
                </c:pt>
                <c:pt idx="12" formatCode="0.0%">
                  <c:v>0.99031828275351597</c:v>
                </c:pt>
                <c:pt idx="13" formatCode="0.0%">
                  <c:v>0.98653072946582421</c:v>
                </c:pt>
                <c:pt idx="14" formatCode="0.0%">
                  <c:v>0.98480362537764354</c:v>
                </c:pt>
                <c:pt idx="15" formatCode="0.0%">
                  <c:v>0.97685571871211097</c:v>
                </c:pt>
                <c:pt idx="16" formatCode="0.0%">
                  <c:v>0.98372435286988136</c:v>
                </c:pt>
                <c:pt idx="17" formatCode="0.0%">
                  <c:v>0.9859926748119775</c:v>
                </c:pt>
                <c:pt idx="18" formatCode="0.0%">
                  <c:v>0.98976350158842219</c:v>
                </c:pt>
                <c:pt idx="19" formatCode="0.0%">
                  <c:v>0.98009892347977889</c:v>
                </c:pt>
                <c:pt idx="20" formatCode="0.0%">
                  <c:v>0.97995570631605511</c:v>
                </c:pt>
                <c:pt idx="21" formatCode="0.0%">
                  <c:v>0.97922756914774001</c:v>
                </c:pt>
                <c:pt idx="22" formatCode="0.0%">
                  <c:v>0.96729644192960584</c:v>
                </c:pt>
                <c:pt idx="23" formatCode="0.0%">
                  <c:v>0.98561056452885776</c:v>
                </c:pt>
                <c:pt idx="24" formatCode="0.0%">
                  <c:v>0.98532548417370536</c:v>
                </c:pt>
                <c:pt idx="25" formatCode="0.0%">
                  <c:v>0.98457739025250746</c:v>
                </c:pt>
                <c:pt idx="26" formatCode="0.0%">
                  <c:v>0.98065127543633346</c:v>
                </c:pt>
                <c:pt idx="27" formatCode="0.0%">
                  <c:v>0.98500476039352591</c:v>
                </c:pt>
                <c:pt idx="28" formatCode="0.0%">
                  <c:v>0.98237801732330499</c:v>
                </c:pt>
                <c:pt idx="29" formatCode="0.0%">
                  <c:v>0.97833935018050544</c:v>
                </c:pt>
                <c:pt idx="30" formatCode="0.0%">
                  <c:v>0.98005908419497789</c:v>
                </c:pt>
                <c:pt idx="31" formatCode="0.0%">
                  <c:v>0.972574883209673</c:v>
                </c:pt>
                <c:pt idx="32" formatCode="0.0%">
                  <c:v>0.97089249492900609</c:v>
                </c:pt>
                <c:pt idx="33" formatCode="0.0%">
                  <c:v>0.97570359439232635</c:v>
                </c:pt>
                <c:pt idx="34" formatCode="0.0%">
                  <c:v>0.97070996497930595</c:v>
                </c:pt>
                <c:pt idx="35" formatCode="0.0%">
                  <c:v>0.98277844561751948</c:v>
                </c:pt>
                <c:pt idx="36" formatCode="0.0%">
                  <c:v>0.98151209566319497</c:v>
                </c:pt>
                <c:pt idx="37" formatCode="0.0%">
                  <c:v>0.98329385363421018</c:v>
                </c:pt>
                <c:pt idx="38" formatCode="0.0%">
                  <c:v>0.9646950234597339</c:v>
                </c:pt>
                <c:pt idx="39" formatCode="0.0%">
                  <c:v>0.95847877559987305</c:v>
                </c:pt>
                <c:pt idx="40" formatCode="0.0%">
                  <c:v>0.94533120510774138</c:v>
                </c:pt>
                <c:pt idx="41" formatCode="0.0%">
                  <c:v>0.93436511245738396</c:v>
                </c:pt>
                <c:pt idx="42" formatCode="0.0%">
                  <c:v>0.93946075175986188</c:v>
                </c:pt>
                <c:pt idx="43" formatCode="0.0%">
                  <c:v>0.90486531203143583</c:v>
                </c:pt>
                <c:pt idx="44" formatCode="0.0%">
                  <c:v>0.91541898379200537</c:v>
                </c:pt>
                <c:pt idx="45" formatCode="0.0%">
                  <c:v>0.89203004631740623</c:v>
                </c:pt>
                <c:pt idx="46" formatCode="0.0%">
                  <c:v>0.84704916970783217</c:v>
                </c:pt>
                <c:pt idx="47" formatCode="0.0%">
                  <c:v>0.91334573582688727</c:v>
                </c:pt>
                <c:pt idx="48" formatCode="0.0%">
                  <c:v>0.91840886580828229</c:v>
                </c:pt>
                <c:pt idx="49" formatCode="0.0%">
                  <c:v>0.92221899646779892</c:v>
                </c:pt>
                <c:pt idx="50" formatCode="0.0%">
                  <c:v>0.94725448785638855</c:v>
                </c:pt>
                <c:pt idx="51" formatCode="0.0%">
                  <c:v>0.95199897159017866</c:v>
                </c:pt>
                <c:pt idx="52" formatCode="0.0%">
                  <c:v>0.94096459408368671</c:v>
                </c:pt>
                <c:pt idx="53" formatCode="0.0%">
                  <c:v>0.94239848914069879</c:v>
                </c:pt>
                <c:pt idx="54" formatCode="0.0%">
                  <c:v>0.94046931860961225</c:v>
                </c:pt>
                <c:pt idx="55" formatCode="0.0%">
                  <c:v>0.93003533568904595</c:v>
                </c:pt>
                <c:pt idx="56" formatCode="0.0%">
                  <c:v>0.93525531964481323</c:v>
                </c:pt>
                <c:pt idx="57" formatCode="0.0%">
                  <c:v>0.93650458069062725</c:v>
                </c:pt>
                <c:pt idx="58" formatCode="0.0%">
                  <c:v>0.94208812773169204</c:v>
                </c:pt>
                <c:pt idx="59" formatCode="0.0%">
                  <c:v>0.92566972153683469</c:v>
                </c:pt>
                <c:pt idx="60" formatCode="0.0%">
                  <c:v>0.91287431390259155</c:v>
                </c:pt>
                <c:pt idx="61" formatCode="0.0%">
                  <c:v>0.91053984575835478</c:v>
                </c:pt>
              </c:numCache>
            </c:numRef>
          </c:val>
          <c:smooth val="0"/>
        </c:ser>
        <c:ser>
          <c:idx val="4"/>
          <c:order val="3"/>
          <c:tx>
            <c:strRef>
              <c:f>'Eng GRAPHS and chgs'!$DC$2</c:f>
              <c:strCache>
                <c:ptCount val="1"/>
                <c:pt idx="0">
                  <c:v>SWAS</c:v>
                </c:pt>
              </c:strCache>
            </c:strRef>
          </c:tx>
          <c:spPr>
            <a:ln w="12700">
              <a:solidFill>
                <a:srgbClr val="0038C5"/>
              </a:solidFill>
              <a:prstDash val="lgDashDotDot"/>
            </a:ln>
          </c:spPr>
          <c:marker>
            <c:symbol val="none"/>
          </c:marker>
          <c:cat>
            <c:strRef>
              <c:f>'Eng GRAPHS and chgs'!$DH$6:$DH$67</c:f>
              <c:strCache>
                <c:ptCount val="62"/>
                <c:pt idx="1">
                  <c:v>Mar 2011</c:v>
                </c:pt>
                <c:pt idx="5">
                  <c:v>Jul 2011</c:v>
                </c:pt>
                <c:pt idx="9">
                  <c:v>Nov 2011</c:v>
                </c:pt>
                <c:pt idx="13">
                  <c:v>Mar 2012</c:v>
                </c:pt>
                <c:pt idx="17">
                  <c:v>Jul 2012</c:v>
                </c:pt>
                <c:pt idx="21">
                  <c:v>Nov 2012</c:v>
                </c:pt>
                <c:pt idx="25">
                  <c:v>Mar 2013</c:v>
                </c:pt>
                <c:pt idx="29">
                  <c:v>Jul 2013</c:v>
                </c:pt>
                <c:pt idx="33">
                  <c:v>Nov 2013</c:v>
                </c:pt>
                <c:pt idx="37">
                  <c:v>Mar 2014</c:v>
                </c:pt>
                <c:pt idx="41">
                  <c:v>Jul 2014</c:v>
                </c:pt>
                <c:pt idx="45">
                  <c:v>Nov 2014</c:v>
                </c:pt>
                <c:pt idx="49">
                  <c:v>Mar 2015</c:v>
                </c:pt>
                <c:pt idx="53">
                  <c:v>Jul 2015</c:v>
                </c:pt>
                <c:pt idx="57">
                  <c:v>Nov 2015</c:v>
                </c:pt>
                <c:pt idx="61">
                  <c:v>Mar 2016</c:v>
                </c:pt>
              </c:strCache>
            </c:strRef>
          </c:cat>
          <c:val>
            <c:numRef>
              <c:f>'Eng GRAPHS and chgs'!$DC$6:$DC$67</c:f>
              <c:numCache>
                <c:formatCode>General</c:formatCode>
                <c:ptCount val="62"/>
                <c:pt idx="2" formatCode="0.0%">
                  <c:v>0.96893526203462177</c:v>
                </c:pt>
                <c:pt idx="3" formatCode="0.0%">
                  <c:v>0.96473993925588464</c:v>
                </c:pt>
                <c:pt idx="4" formatCode="0.0%">
                  <c:v>0.95595369614294634</c:v>
                </c:pt>
                <c:pt idx="5" formatCode="0.0%">
                  <c:v>0.97448394495412849</c:v>
                </c:pt>
                <c:pt idx="6" formatCode="0.0%">
                  <c:v>0.97110478806907374</c:v>
                </c:pt>
                <c:pt idx="7" formatCode="0.0%">
                  <c:v>0.95668014173778515</c:v>
                </c:pt>
                <c:pt idx="8" formatCode="0.0%">
                  <c:v>0.9605545233671573</c:v>
                </c:pt>
                <c:pt idx="9" formatCode="0.0%">
                  <c:v>0.96311086706933557</c:v>
                </c:pt>
                <c:pt idx="10" formatCode="0.0%">
                  <c:v>0.95920771345054756</c:v>
                </c:pt>
                <c:pt idx="11" formatCode="0.0%">
                  <c:v>0.95842564223426818</c:v>
                </c:pt>
                <c:pt idx="12" formatCode="0.0%">
                  <c:v>0.95435325773592161</c:v>
                </c:pt>
                <c:pt idx="13" formatCode="0.0%">
                  <c:v>0.95682279262591519</c:v>
                </c:pt>
                <c:pt idx="14" formatCode="0.0%">
                  <c:v>0.96198465963566637</c:v>
                </c:pt>
                <c:pt idx="15" formatCode="0.0%">
                  <c:v>0.95982287005858202</c:v>
                </c:pt>
                <c:pt idx="16" formatCode="0.0%">
                  <c:v>0.95784883720930236</c:v>
                </c:pt>
                <c:pt idx="17" formatCode="0.0%">
                  <c:v>0.95467422096317278</c:v>
                </c:pt>
                <c:pt idx="18" formatCode="0.0%">
                  <c:v>0.95724703302988423</c:v>
                </c:pt>
                <c:pt idx="19" formatCode="0.0%">
                  <c:v>0.9552776290817071</c:v>
                </c:pt>
                <c:pt idx="20" formatCode="0.0%">
                  <c:v>0.95388705537220386</c:v>
                </c:pt>
                <c:pt idx="21" formatCode="0.0%">
                  <c:v>0.95745989684379884</c:v>
                </c:pt>
                <c:pt idx="22" formatCode="0.0%">
                  <c:v>0.94970986460348161</c:v>
                </c:pt>
                <c:pt idx="23" formatCode="0.0%">
                  <c:v>0.95354619209630986</c:v>
                </c:pt>
                <c:pt idx="24" formatCode="0.0%">
                  <c:v>0.95499430307633881</c:v>
                </c:pt>
                <c:pt idx="25" formatCode="0.0%">
                  <c:v>0.94405043341213557</c:v>
                </c:pt>
                <c:pt idx="26" formatCode="0.0%">
                  <c:v>0.95865531714588315</c:v>
                </c:pt>
                <c:pt idx="27" formatCode="0.0%">
                  <c:v>0.96363278171788813</c:v>
                </c:pt>
                <c:pt idx="28" formatCode="0.0%">
                  <c:v>0.95935975486836267</c:v>
                </c:pt>
                <c:pt idx="29" formatCode="0.0%">
                  <c:v>0.95</c:v>
                </c:pt>
                <c:pt idx="30" formatCode="0.0%">
                  <c:v>0.95489206722561559</c:v>
                </c:pt>
                <c:pt idx="31" formatCode="0.0%">
                  <c:v>0.95699548411153001</c:v>
                </c:pt>
                <c:pt idx="32" formatCode="0.0%">
                  <c:v>0.95932439761369803</c:v>
                </c:pt>
                <c:pt idx="33" formatCode="0.0%">
                  <c:v>0.95600597061827319</c:v>
                </c:pt>
                <c:pt idx="34" formatCode="0.0%">
                  <c:v>0.95736832771768043</c:v>
                </c:pt>
                <c:pt idx="35" formatCode="0.0%">
                  <c:v>0.96018434572378364</c:v>
                </c:pt>
                <c:pt idx="36" formatCode="0.0%">
                  <c:v>0.95675562092876654</c:v>
                </c:pt>
                <c:pt idx="37" formatCode="0.0%">
                  <c:v>0.9579455100425821</c:v>
                </c:pt>
                <c:pt idx="38" formatCode="0.0%">
                  <c:v>0.95438679060281606</c:v>
                </c:pt>
                <c:pt idx="39" formatCode="0.0%">
                  <c:v>0.95287393508034079</c:v>
                </c:pt>
                <c:pt idx="40" formatCode="0.0%">
                  <c:v>0.94999260792430518</c:v>
                </c:pt>
                <c:pt idx="41" formatCode="0.0%">
                  <c:v>0.94684694352040633</c:v>
                </c:pt>
                <c:pt idx="42" formatCode="0.0%">
                  <c:v>0.9536212770634136</c:v>
                </c:pt>
                <c:pt idx="43" formatCode="0.0%">
                  <c:v>0.95247031788586745</c:v>
                </c:pt>
                <c:pt idx="44" formatCode="0.0%">
                  <c:v>0.93872706033085884</c:v>
                </c:pt>
                <c:pt idx="45" formatCode="0.0%">
                  <c:v>0.93417022724694676</c:v>
                </c:pt>
                <c:pt idx="46" formatCode="0.0%">
                  <c:v>0.89711451456147995</c:v>
                </c:pt>
                <c:pt idx="47" formatCode="0.0%">
                  <c:v>0.92501543265913799</c:v>
                </c:pt>
                <c:pt idx="48" formatCode="0.0%">
                  <c:v>0.91341193809874721</c:v>
                </c:pt>
                <c:pt idx="49" formatCode="0.0%">
                  <c:v>0.93762190840290238</c:v>
                </c:pt>
                <c:pt idx="50" formatCode="0.0%">
                  <c:v>0.92657814096016344</c:v>
                </c:pt>
                <c:pt idx="51" formatCode="0.0%">
                  <c:v>0.91777509068923824</c:v>
                </c:pt>
                <c:pt idx="52" formatCode="0.0%">
                  <c:v>0.9106603366422098</c:v>
                </c:pt>
                <c:pt idx="53" formatCode="0.0%">
                  <c:v>0.90727628803856586</c:v>
                </c:pt>
                <c:pt idx="54" formatCode="0.0%">
                  <c:v>0.91705951679434294</c:v>
                </c:pt>
                <c:pt idx="55" formatCode="0.0%">
                  <c:v>0.9147347433441495</c:v>
                </c:pt>
                <c:pt idx="56" formatCode="0.0%">
                  <c:v>0.91747787610619469</c:v>
                </c:pt>
                <c:pt idx="57" formatCode="0.0%">
                  <c:v>0.90868897983045893</c:v>
                </c:pt>
                <c:pt idx="58" formatCode="0.0%">
                  <c:v>0.90267297179461381</c:v>
                </c:pt>
                <c:pt idx="59" formatCode="0.0%">
                  <c:v>0.88841057375395172</c:v>
                </c:pt>
                <c:pt idx="60" formatCode="0.0%">
                  <c:v>0.83894572568059644</c:v>
                </c:pt>
                <c:pt idx="61" formatCode="0.0%">
                  <c:v>0.80904430049427445</c:v>
                </c:pt>
              </c:numCache>
            </c:numRef>
          </c:val>
          <c:smooth val="0"/>
        </c:ser>
        <c:ser>
          <c:idx val="2"/>
          <c:order val="4"/>
          <c:tx>
            <c:strRef>
              <c:f>'Eng GRAPHS and chgs'!$J$2</c:f>
              <c:strCache>
                <c:ptCount val="1"/>
                <c:pt idx="0">
                  <c:v>Standard = 95%</c:v>
                </c:pt>
              </c:strCache>
            </c:strRef>
          </c:tx>
          <c:spPr>
            <a:ln w="12700" cmpd="sng">
              <a:solidFill>
                <a:schemeClr val="accent4">
                  <a:lumMod val="50000"/>
                </a:schemeClr>
              </a:solidFill>
              <a:prstDash val="sysDash"/>
            </a:ln>
          </c:spPr>
          <c:marker>
            <c:symbol val="none"/>
          </c:marker>
          <c:dPt>
            <c:idx val="0"/>
            <c:bubble3D val="0"/>
          </c:dPt>
          <c:dPt>
            <c:idx val="14"/>
            <c:bubble3D val="0"/>
          </c:dPt>
          <c:dPt>
            <c:idx val="15"/>
            <c:bubble3D val="0"/>
          </c:dPt>
          <c:dPt>
            <c:idx val="16"/>
            <c:bubble3D val="0"/>
          </c:dPt>
          <c:cat>
            <c:strRef>
              <c:f>'Eng GRAPHS and chgs'!$DH$6:$DH$67</c:f>
              <c:strCache>
                <c:ptCount val="62"/>
                <c:pt idx="1">
                  <c:v>Mar 2011</c:v>
                </c:pt>
                <c:pt idx="5">
                  <c:v>Jul 2011</c:v>
                </c:pt>
                <c:pt idx="9">
                  <c:v>Nov 2011</c:v>
                </c:pt>
                <c:pt idx="13">
                  <c:v>Mar 2012</c:v>
                </c:pt>
                <c:pt idx="17">
                  <c:v>Jul 2012</c:v>
                </c:pt>
                <c:pt idx="21">
                  <c:v>Nov 2012</c:v>
                </c:pt>
                <c:pt idx="25">
                  <c:v>Mar 2013</c:v>
                </c:pt>
                <c:pt idx="29">
                  <c:v>Jul 2013</c:v>
                </c:pt>
                <c:pt idx="33">
                  <c:v>Nov 2013</c:v>
                </c:pt>
                <c:pt idx="37">
                  <c:v>Mar 2014</c:v>
                </c:pt>
                <c:pt idx="41">
                  <c:v>Jul 2014</c:v>
                </c:pt>
                <c:pt idx="45">
                  <c:v>Nov 2014</c:v>
                </c:pt>
                <c:pt idx="49">
                  <c:v>Mar 2015</c:v>
                </c:pt>
                <c:pt idx="53">
                  <c:v>Jul 2015</c:v>
                </c:pt>
                <c:pt idx="57">
                  <c:v>Nov 2015</c:v>
                </c:pt>
                <c:pt idx="61">
                  <c:v>Mar 2016</c:v>
                </c:pt>
              </c:strCache>
            </c:strRef>
          </c:cat>
          <c:val>
            <c:numRef>
              <c:f>'Eng GRAPHS and chgs'!$J$6:$J$67</c:f>
              <c:numCache>
                <c:formatCode>General</c:formatCode>
                <c:ptCount val="62"/>
                <c:pt idx="2" formatCode="0.0%">
                  <c:v>0.95</c:v>
                </c:pt>
                <c:pt idx="3" formatCode="0.0%">
                  <c:v>0.95</c:v>
                </c:pt>
                <c:pt idx="4" formatCode="0.0%">
                  <c:v>0.95</c:v>
                </c:pt>
                <c:pt idx="5" formatCode="0.0%">
                  <c:v>0.95</c:v>
                </c:pt>
                <c:pt idx="6" formatCode="0.0%">
                  <c:v>0.95</c:v>
                </c:pt>
                <c:pt idx="7" formatCode="0.0%">
                  <c:v>0.95</c:v>
                </c:pt>
                <c:pt idx="8" formatCode="0.0%">
                  <c:v>0.95</c:v>
                </c:pt>
                <c:pt idx="9" formatCode="0.0%">
                  <c:v>0.95</c:v>
                </c:pt>
                <c:pt idx="10" formatCode="0.0%">
                  <c:v>0.95</c:v>
                </c:pt>
                <c:pt idx="11" formatCode="0.0%">
                  <c:v>0.95</c:v>
                </c:pt>
                <c:pt idx="12" formatCode="0.0%">
                  <c:v>0.95</c:v>
                </c:pt>
                <c:pt idx="13" formatCode="0.0%">
                  <c:v>0.95</c:v>
                </c:pt>
                <c:pt idx="14" formatCode="0.0%">
                  <c:v>0.95</c:v>
                </c:pt>
                <c:pt idx="15" formatCode="0.0%">
                  <c:v>0.95</c:v>
                </c:pt>
                <c:pt idx="16" formatCode="0.0%">
                  <c:v>0.95</c:v>
                </c:pt>
                <c:pt idx="17" formatCode="0.0%">
                  <c:v>0.95</c:v>
                </c:pt>
                <c:pt idx="18" formatCode="0.0%">
                  <c:v>0.95</c:v>
                </c:pt>
                <c:pt idx="19" formatCode="0.0%">
                  <c:v>0.95</c:v>
                </c:pt>
                <c:pt idx="20" formatCode="0.0%">
                  <c:v>0.95</c:v>
                </c:pt>
                <c:pt idx="21" formatCode="0.0%">
                  <c:v>0.95</c:v>
                </c:pt>
                <c:pt idx="22" formatCode="0.0%">
                  <c:v>0.95</c:v>
                </c:pt>
                <c:pt idx="23" formatCode="0.0%">
                  <c:v>0.95</c:v>
                </c:pt>
                <c:pt idx="24" formatCode="0.0%">
                  <c:v>0.95</c:v>
                </c:pt>
                <c:pt idx="25" formatCode="0.0%">
                  <c:v>0.95</c:v>
                </c:pt>
                <c:pt idx="26" formatCode="0.0%">
                  <c:v>0.95</c:v>
                </c:pt>
                <c:pt idx="27" formatCode="0.0%">
                  <c:v>0.95</c:v>
                </c:pt>
                <c:pt idx="28" formatCode="0.0%">
                  <c:v>0.95</c:v>
                </c:pt>
                <c:pt idx="29" formatCode="0.0%">
                  <c:v>0.95</c:v>
                </c:pt>
                <c:pt idx="30" formatCode="0.0%">
                  <c:v>0.95</c:v>
                </c:pt>
                <c:pt idx="31" formatCode="0.0%">
                  <c:v>0.95</c:v>
                </c:pt>
                <c:pt idx="32" formatCode="0.0%">
                  <c:v>0.95</c:v>
                </c:pt>
                <c:pt idx="33" formatCode="0.0%">
                  <c:v>0.95</c:v>
                </c:pt>
                <c:pt idx="34" formatCode="0.0%">
                  <c:v>0.95</c:v>
                </c:pt>
                <c:pt idx="35" formatCode="0.0%">
                  <c:v>0.95</c:v>
                </c:pt>
                <c:pt idx="36" formatCode="0.0%">
                  <c:v>0.95</c:v>
                </c:pt>
                <c:pt idx="37" formatCode="0.0%">
                  <c:v>0.95</c:v>
                </c:pt>
                <c:pt idx="38" formatCode="0.0%">
                  <c:v>0.95</c:v>
                </c:pt>
                <c:pt idx="39" formatCode="0.0%">
                  <c:v>0.95</c:v>
                </c:pt>
                <c:pt idx="40" formatCode="0.0%">
                  <c:v>0.95</c:v>
                </c:pt>
                <c:pt idx="41" formatCode="0.0%">
                  <c:v>0.95</c:v>
                </c:pt>
                <c:pt idx="42" formatCode="0.0%">
                  <c:v>0.95</c:v>
                </c:pt>
                <c:pt idx="43" formatCode="0.0%">
                  <c:v>0.95</c:v>
                </c:pt>
                <c:pt idx="44" formatCode="0.0%">
                  <c:v>0.95</c:v>
                </c:pt>
                <c:pt idx="45" formatCode="0.0%">
                  <c:v>0.95</c:v>
                </c:pt>
                <c:pt idx="46" formatCode="0.0%">
                  <c:v>0.95</c:v>
                </c:pt>
                <c:pt idx="47" formatCode="0.0%">
                  <c:v>0.95</c:v>
                </c:pt>
                <c:pt idx="48" formatCode="0.0%">
                  <c:v>0.95</c:v>
                </c:pt>
                <c:pt idx="49" formatCode="0.0%">
                  <c:v>0.95</c:v>
                </c:pt>
                <c:pt idx="50" formatCode="0.0%">
                  <c:v>0.95</c:v>
                </c:pt>
                <c:pt idx="51" formatCode="0.0%">
                  <c:v>0.95</c:v>
                </c:pt>
                <c:pt idx="52" formatCode="0.0%">
                  <c:v>0.95</c:v>
                </c:pt>
                <c:pt idx="53" formatCode="0.0%">
                  <c:v>0.95</c:v>
                </c:pt>
                <c:pt idx="54" formatCode="0.0%">
                  <c:v>0.95</c:v>
                </c:pt>
                <c:pt idx="55" formatCode="0.0%">
                  <c:v>0.95</c:v>
                </c:pt>
                <c:pt idx="56" formatCode="0.0%">
                  <c:v>0.95</c:v>
                </c:pt>
                <c:pt idx="57" formatCode="0.0%">
                  <c:v>0.95</c:v>
                </c:pt>
                <c:pt idx="58" formatCode="0.0%">
                  <c:v>0.95</c:v>
                </c:pt>
                <c:pt idx="59" formatCode="0.0%">
                  <c:v>0.95</c:v>
                </c:pt>
                <c:pt idx="60" formatCode="0.0%">
                  <c:v>0.95</c:v>
                </c:pt>
                <c:pt idx="61" formatCode="0.0%">
                  <c:v>0.95</c:v>
                </c:pt>
              </c:numCache>
            </c:numRef>
          </c:val>
          <c:smooth val="0"/>
        </c:ser>
        <c:dLbls>
          <c:showLegendKey val="0"/>
          <c:showVal val="0"/>
          <c:showCatName val="0"/>
          <c:showSerName val="0"/>
          <c:showPercent val="0"/>
          <c:showBubbleSize val="0"/>
        </c:dLbls>
        <c:marker val="1"/>
        <c:smooth val="0"/>
        <c:axId val="97691136"/>
        <c:axId val="97692672"/>
      </c:lineChart>
      <c:catAx>
        <c:axId val="97691136"/>
        <c:scaling>
          <c:orientation val="minMax"/>
        </c:scaling>
        <c:delete val="0"/>
        <c:axPos val="b"/>
        <c:majorGridlines>
          <c:spPr>
            <a:ln>
              <a:solidFill>
                <a:schemeClr val="bg1">
                  <a:lumMod val="85000"/>
                </a:schemeClr>
              </a:solidFill>
            </a:ln>
          </c:spPr>
        </c:majorGridlines>
        <c:numFmt formatCode="mmm\ yyyy" sourceLinked="0"/>
        <c:majorTickMark val="out"/>
        <c:minorTickMark val="out"/>
        <c:tickLblPos val="nextTo"/>
        <c:txPr>
          <a:bodyPr rot="-5400000" vert="horz"/>
          <a:lstStyle/>
          <a:p>
            <a:pPr>
              <a:defRPr/>
            </a:pPr>
            <a:endParaRPr lang="en-US"/>
          </a:p>
        </c:txPr>
        <c:crossAx val="97692672"/>
        <c:crosses val="autoZero"/>
        <c:auto val="0"/>
        <c:lblAlgn val="ctr"/>
        <c:lblOffset val="100"/>
        <c:tickLblSkip val="1"/>
        <c:tickMarkSkip val="2"/>
        <c:noMultiLvlLbl val="1"/>
      </c:catAx>
      <c:valAx>
        <c:axId val="97692672"/>
        <c:scaling>
          <c:orientation val="minMax"/>
          <c:max val="1"/>
          <c:min val="0.8"/>
        </c:scaling>
        <c:delete val="0"/>
        <c:axPos val="l"/>
        <c:majorGridlines>
          <c:spPr>
            <a:ln>
              <a:solidFill>
                <a:schemeClr val="bg1">
                  <a:lumMod val="85000"/>
                </a:schemeClr>
              </a:solidFill>
            </a:ln>
          </c:spPr>
        </c:majorGridlines>
        <c:numFmt formatCode="0%" sourceLinked="0"/>
        <c:majorTickMark val="out"/>
        <c:minorTickMark val="none"/>
        <c:tickLblPos val="nextTo"/>
        <c:txPr>
          <a:bodyPr rot="0" vert="horz"/>
          <a:lstStyle/>
          <a:p>
            <a:pPr>
              <a:defRPr/>
            </a:pPr>
            <a:endParaRPr lang="en-US"/>
          </a:p>
        </c:txPr>
        <c:crossAx val="97691136"/>
        <c:crosses val="autoZero"/>
        <c:crossBetween val="midCat"/>
        <c:majorUnit val="5.000000000000001E-2"/>
      </c:valAx>
      <c:spPr>
        <a:solidFill>
          <a:srgbClr val="FFFFCC"/>
        </a:solidFill>
        <a:ln>
          <a:solidFill>
            <a:schemeClr val="bg1">
              <a:lumMod val="65000"/>
            </a:schemeClr>
          </a:solidFill>
        </a:ln>
      </c:spPr>
    </c:plotArea>
    <c:legend>
      <c:legendPos val="b"/>
      <c:layout>
        <c:manualLayout>
          <c:xMode val="edge"/>
          <c:yMode val="edge"/>
          <c:x val="9.8822847812919685E-3"/>
          <c:y val="9.4938590955962701E-2"/>
          <c:w val="0.97650172490980436"/>
          <c:h val="0.14427579982366612"/>
        </c:manualLayout>
      </c:layout>
      <c:overlay val="0"/>
      <c:spPr>
        <a:noFill/>
        <a:ln>
          <a:solidFill>
            <a:schemeClr val="bg1">
              <a:lumMod val="50000"/>
            </a:schemeClr>
          </a:solidFill>
        </a:ln>
      </c:spPr>
      <c:txPr>
        <a:bodyPr/>
        <a:lstStyle/>
        <a:p>
          <a:pPr>
            <a:defRPr sz="1000"/>
          </a:pPr>
          <a:endParaRPr lang="en-US"/>
        </a:p>
      </c:txPr>
    </c:legend>
    <c:plotVisOnly val="1"/>
    <c:dispBlanksAs val="gap"/>
    <c:showDLblsOverMax val="0"/>
  </c:chart>
  <c:txPr>
    <a:bodyPr/>
    <a:lstStyle/>
    <a:p>
      <a:pPr>
        <a:defRPr sz="1000" b="0" i="0" u="none" strike="noStrike" baseline="0">
          <a:solidFill>
            <a:srgbClr val="333333"/>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A893-C426-410D-A808-2CD7435C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3601</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23867</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Thomas, Ashley</cp:lastModifiedBy>
  <cp:revision>5</cp:revision>
  <cp:lastPrinted>2016-05-11T06:59:00Z</cp:lastPrinted>
  <dcterms:created xsi:type="dcterms:W3CDTF">2016-05-11T07:00:00Z</dcterms:created>
  <dcterms:modified xsi:type="dcterms:W3CDTF">2016-05-11T08:07:00Z</dcterms:modified>
</cp:coreProperties>
</file>