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2B72F1" w:rsidP="00C96A98">
      <w:pPr>
        <w:pStyle w:val="Heading2"/>
      </w:pPr>
      <w:bookmarkStart w:id="0" w:name="_GoBack"/>
      <w:bookmarkEnd w:id="0"/>
      <w:r>
        <w:rPr>
          <w:noProof/>
        </w:rPr>
        <w:drawing>
          <wp:anchor distT="0" distB="0" distL="114300" distR="114300" simplePos="0" relativeHeight="251660288" behindDoc="0" locked="0" layoutInCell="1" allowOverlap="1">
            <wp:simplePos x="0" y="0"/>
            <wp:positionH relativeFrom="column">
              <wp:posOffset>-1066800</wp:posOffset>
            </wp:positionH>
            <wp:positionV relativeFrom="paragraph">
              <wp:posOffset>-1411605</wp:posOffset>
            </wp:positionV>
            <wp:extent cx="1496060" cy="1496060"/>
            <wp:effectExtent l="0" t="0" r="8890" b="8890"/>
            <wp:wrapSquare wrapText="bothSides"/>
            <wp:docPr id="8" name="Picture 8" title="National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060" cy="1496060"/>
                    </a:xfrm>
                    <a:prstGeom prst="rect">
                      <a:avLst/>
                    </a:prstGeom>
                    <a:effectLst/>
                  </pic:spPr>
                </pic:pic>
              </a:graphicData>
            </a:graphic>
            <wp14:sizeRelH relativeFrom="page">
              <wp14:pctWidth>0</wp14:pctWidth>
            </wp14:sizeRelH>
            <wp14:sizeRelV relativeFrom="page">
              <wp14:pctHeight>0</wp14:pctHeight>
            </wp14:sizeRelV>
          </wp:anchor>
        </w:drawing>
      </w:r>
      <w:r w:rsidR="00C21149">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 xml:space="preserve">for </w:t>
      </w:r>
      <w:r w:rsidR="005A6A3C">
        <w:t xml:space="preserve">June 2015 for </w:t>
      </w:r>
      <w:r w:rsidR="00BE2594">
        <w:t>Ambulance Services in England</w:t>
      </w:r>
      <w:r w:rsidR="008A7838">
        <w:t xml:space="preserve"> </w:t>
      </w:r>
      <w:r w:rsidR="00B947D5">
        <w:t xml:space="preserve">showed </w:t>
      </w:r>
      <w:r w:rsidR="00FF749A">
        <w:t>that</w:t>
      </w:r>
      <w:r w:rsidR="00892F48">
        <w:t xml:space="preserve"> </w:t>
      </w:r>
      <w:r w:rsidR="00FA13CC">
        <w:t>the response standards</w:t>
      </w:r>
      <w:r w:rsidR="00892F48" w:rsidRPr="00892F48">
        <w:t xml:space="preserve"> </w:t>
      </w:r>
      <w:r w:rsidR="00FF749A">
        <w:t>in the Handbook</w:t>
      </w:r>
      <w:r w:rsidR="00FF749A">
        <w:rPr>
          <w:rStyle w:val="FootnoteReference"/>
        </w:rPr>
        <w:footnoteReference w:id="1"/>
      </w:r>
      <w:r w:rsidR="00892F48">
        <w:t xml:space="preserve"> to the NHS constitution</w:t>
      </w:r>
      <w:r w:rsidR="00B274C6" w:rsidRPr="00B274C6">
        <w:t xml:space="preserve"> </w:t>
      </w:r>
      <w:r w:rsidR="00FA13CC">
        <w:t>were not met</w:t>
      </w:r>
      <w:r w:rsidR="005A6A3C">
        <w:t>.</w:t>
      </w:r>
    </w:p>
    <w:p w:rsidR="002956C9" w:rsidRPr="002956C9" w:rsidRDefault="0058750D" w:rsidP="002956C9">
      <w:pPr>
        <w:pStyle w:val="ListBullet"/>
      </w:pPr>
      <w:r>
        <w:t xml:space="preserve">The latest </w:t>
      </w:r>
      <w:r w:rsidR="00FF749A">
        <w:t>C</w:t>
      </w:r>
      <w:r w:rsidR="00966F66">
        <w:t xml:space="preserve">linical </w:t>
      </w:r>
      <w:r w:rsidR="00FF749A">
        <w:t>O</w:t>
      </w:r>
      <w:r w:rsidR="00966F66">
        <w:t xml:space="preserve">utcomes </w:t>
      </w:r>
      <w:r>
        <w:t xml:space="preserve">data </w:t>
      </w:r>
      <w:r w:rsidR="00966F66">
        <w:t>for patients t</w:t>
      </w:r>
      <w:r w:rsidR="00FF749A">
        <w:t xml:space="preserve">ransported by Ambulance Services </w:t>
      </w:r>
      <w:r w:rsidR="005A6A3C">
        <w:t xml:space="preserve">in March 2015 show fewer appropriate care bundles provided </w:t>
      </w:r>
      <w:r w:rsidR="00FA13CC">
        <w:t>for patients with ST-</w:t>
      </w:r>
      <w:r w:rsidR="005A6A3C">
        <w:t xml:space="preserve">segment </w:t>
      </w:r>
      <w:r w:rsidR="00FA13CC">
        <w:t>elevation myocardial infarction</w:t>
      </w:r>
      <w:r w:rsidR="005A6A3C">
        <w:t xml:space="preserve"> (a type of heart attack)</w:t>
      </w:r>
      <w:r w:rsidR="00FE438D">
        <w:t>.</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AE0B3F">
        <w:t xml:space="preserve">June </w:t>
      </w:r>
      <w:r w:rsidR="00F10AC3" w:rsidRPr="00F10AC3">
        <w:t>2015</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AE0B3F">
        <w:t>74.8</w:t>
      </w:r>
      <w:r w:rsidR="00F3075C" w:rsidRPr="00F3075C">
        <w:t>%</w:t>
      </w:r>
      <w:r w:rsidR="00191AB9">
        <w:t xml:space="preserve">. </w:t>
      </w:r>
    </w:p>
    <w:p w:rsidR="00E924D4" w:rsidRDefault="00526112" w:rsidP="00513897">
      <w:r>
        <w:t xml:space="preserve">In </w:t>
      </w:r>
      <w:r w:rsidR="00AE0B3F">
        <w:t xml:space="preserve">June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F3075C" w:rsidRPr="00F3075C">
        <w:t>7</w:t>
      </w:r>
      <w:r w:rsidR="00AE0B3F">
        <w:t>1</w:t>
      </w:r>
      <w:r w:rsidR="00FE438D">
        <w:t>.</w:t>
      </w:r>
      <w:r w:rsidR="00AE0B3F">
        <w:t>4</w:t>
      </w:r>
      <w:r w:rsidR="00F3075C" w:rsidRPr="00F3075C">
        <w:t>%</w:t>
      </w:r>
      <w:r w:rsidR="00E924D4">
        <w:t>.</w:t>
      </w:r>
    </w:p>
    <w:p w:rsidR="001D4F10"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xml:space="preserve">; see section A2 on the Dispatch on Disposition </w:t>
      </w:r>
      <w:r w:rsidR="001D4F10">
        <w:t>pilot</w:t>
      </w:r>
      <w:r w:rsidR="00620FE6">
        <w:t>.</w:t>
      </w:r>
    </w:p>
    <w:p w:rsidR="00DD604F" w:rsidRDefault="00DD604F" w:rsidP="00DD604F">
      <w:pPr>
        <w:pStyle w:val="NoSpacing"/>
      </w:pPr>
    </w:p>
    <w:p w:rsidR="00C96A98" w:rsidRDefault="00DD604F" w:rsidP="00465EBD">
      <w:pPr>
        <w:jc w:val="center"/>
      </w:pPr>
      <w:r>
        <w:rPr>
          <w:noProof/>
        </w:rPr>
        <w:drawing>
          <wp:inline distT="0" distB="0" distL="0" distR="0" wp14:anchorId="00CD9DFD">
            <wp:extent cx="5621020" cy="2932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1020" cy="2932430"/>
                    </a:xfrm>
                    <a:prstGeom prst="rect">
                      <a:avLst/>
                    </a:prstGeom>
                    <a:noFill/>
                  </pic:spPr>
                </pic:pic>
              </a:graphicData>
            </a:graphic>
          </wp:inline>
        </w:drawing>
      </w:r>
    </w:p>
    <w:p w:rsidR="008076E2" w:rsidRDefault="008076E2" w:rsidP="00A90C28">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5A6A3C">
        <w:t xml:space="preserve">performance </w:t>
      </w:r>
      <w:r w:rsidR="00FE502E">
        <w:t>in June 2015</w:t>
      </w:r>
      <w:r w:rsidR="005A6A3C">
        <w:t xml:space="preserve"> was below April and May 2015 but above the eleven months before that</w:t>
      </w:r>
      <w:r>
        <w:t>.</w:t>
      </w:r>
    </w:p>
    <w:p w:rsidR="00C54FB2" w:rsidRDefault="00AD0D55" w:rsidP="00065771">
      <w:r>
        <w:t xml:space="preserve">The </w:t>
      </w:r>
      <w:r w:rsidR="005A6A3C">
        <w:t xml:space="preserve">largest proportions were 79.8% for </w:t>
      </w:r>
      <w:r>
        <w:t xml:space="preserve">North West </w:t>
      </w:r>
      <w:r w:rsidR="005A6A3C">
        <w:t>and 79.7% for West Midlands</w:t>
      </w:r>
      <w:r w:rsidR="007B5C1B">
        <w:t xml:space="preserve">. </w:t>
      </w:r>
      <w:r w:rsidR="005A6A3C">
        <w:t xml:space="preserve">The smallest proportions were 66.6% in London and 66.7% in Isle of Wight. Yorkshire, </w:t>
      </w:r>
      <w:r w:rsidR="00DD604F">
        <w:t xml:space="preserve">East Midlands, </w:t>
      </w:r>
      <w:r w:rsidR="005A6A3C">
        <w:t>South East Coast and South Central</w:t>
      </w:r>
      <w:r w:rsidR="007B5C1B">
        <w:t xml:space="preserve"> </w:t>
      </w:r>
      <w:r w:rsidR="008076E2">
        <w:t xml:space="preserve">Ambulance Services </w:t>
      </w:r>
      <w:r w:rsidR="005A6A3C">
        <w:t>also had proportions below 75%</w:t>
      </w:r>
      <w:r w:rsidR="00DD604F">
        <w:t>.</w:t>
      </w:r>
    </w:p>
    <w:p w:rsidR="00C54B5E" w:rsidRDefault="00620FE6" w:rsidP="00C54B5E">
      <w:pPr>
        <w:pStyle w:val="Heading3"/>
      </w:pPr>
      <w:r>
        <w:t>A</w:t>
      </w:r>
      <w:r w:rsidR="00092A97">
        <w:t>2</w:t>
      </w:r>
      <w:r>
        <w:tab/>
        <w:t xml:space="preserve">Dispatch on Disposition </w:t>
      </w:r>
      <w:r w:rsidR="00533D03">
        <w:t xml:space="preserve">(DoD) </w:t>
      </w:r>
      <w:r w:rsidR="00C54B5E">
        <w:t>pilot</w:t>
      </w:r>
      <w:r w:rsidR="000A00D6">
        <w:t xml:space="preserve"> (Figure 2)</w:t>
      </w:r>
    </w:p>
    <w:p w:rsidR="001D4F10" w:rsidRDefault="003E1019" w:rsidP="008A7838">
      <w:r>
        <w:t>Because of t</w:t>
      </w:r>
      <w:r w:rsidR="008A7838">
        <w:t>he</w:t>
      </w:r>
      <w:r w:rsidR="008A7838" w:rsidRPr="008A7838">
        <w:t xml:space="preserve"> </w:t>
      </w:r>
      <w:r w:rsidR="008A7838">
        <w:t>Dispatch on Disposition (DoD) pilot</w:t>
      </w:r>
      <w:r w:rsidR="008C5A76">
        <w:rPr>
          <w:rStyle w:val="FootnoteReference"/>
        </w:rPr>
        <w:footnoteReference w:id="3"/>
      </w:r>
      <w:r>
        <w:t xml:space="preserve">, </w:t>
      </w:r>
      <w:r w:rsidR="00DD604F">
        <w:t xml:space="preserve">from 10 February 2015 onwards, </w:t>
      </w:r>
      <w:r w:rsidR="00AF2C09">
        <w:t>London Ambulance Service (LAS) and South West</w:t>
      </w:r>
      <w:r w:rsidR="00AC23EC">
        <w:t>ern</w:t>
      </w:r>
      <w:r w:rsidR="00305EA9">
        <w:t xml:space="preserve"> Ambulance Service (SWAS)</w:t>
      </w:r>
      <w:r w:rsidR="008A7838">
        <w:t xml:space="preserve"> </w:t>
      </w:r>
      <w:r>
        <w:t>data</w:t>
      </w:r>
      <w:r w:rsidR="0012724F">
        <w:t xml:space="preserve"> for the </w:t>
      </w:r>
      <w:r w:rsidR="008A7838">
        <w:t>8 minute Red 2</w:t>
      </w:r>
      <w:r>
        <w:t xml:space="preserve"> measure </w:t>
      </w:r>
      <w:r w:rsidR="008A7838">
        <w:t xml:space="preserve">are not comparable with </w:t>
      </w:r>
      <w:r>
        <w:t>other services</w:t>
      </w:r>
      <w:r w:rsidR="00581E8E">
        <w:t>.</w:t>
      </w:r>
    </w:p>
    <w:p w:rsidR="00581E8E" w:rsidRDefault="000F2BCC" w:rsidP="001D4F10">
      <w:r>
        <w:t>Figure 2</w:t>
      </w:r>
      <w:r w:rsidR="0012724F">
        <w:t xml:space="preserve"> </w:t>
      </w:r>
      <w:r w:rsidR="00581E8E">
        <w:t xml:space="preserve">shows </w:t>
      </w:r>
      <w:r w:rsidR="00533D03">
        <w:t>the Red 2</w:t>
      </w:r>
      <w:r w:rsidR="00533D03" w:rsidRPr="00533D03">
        <w:t xml:space="preserve"> </w:t>
      </w:r>
      <w:r w:rsidR="00533D03">
        <w:t xml:space="preserve">measure </w:t>
      </w:r>
      <w:r w:rsidR="005A6A3C">
        <w:t>including and e</w:t>
      </w:r>
      <w:r w:rsidR="00581E8E">
        <w:t xml:space="preserve">xcluding the affected trusts. For all England, it </w:t>
      </w:r>
      <w:r w:rsidR="001A7F8A">
        <w:t>de</w:t>
      </w:r>
      <w:r w:rsidR="00C06A62">
        <w:t xml:space="preserve">creased </w:t>
      </w:r>
      <w:r w:rsidR="00533D03">
        <w:t xml:space="preserve">from </w:t>
      </w:r>
      <w:r w:rsidR="00581E8E" w:rsidRPr="00F93974">
        <w:t>7</w:t>
      </w:r>
      <w:r w:rsidR="001A7F8A">
        <w:t>3</w:t>
      </w:r>
      <w:r w:rsidR="00581E8E" w:rsidRPr="00F93974">
        <w:t>.</w:t>
      </w:r>
      <w:r w:rsidR="001A7F8A">
        <w:t>2</w:t>
      </w:r>
      <w:r w:rsidR="00581E8E" w:rsidRPr="00F93974">
        <w:t>%</w:t>
      </w:r>
      <w:r w:rsidR="00581E8E">
        <w:t xml:space="preserve"> in </w:t>
      </w:r>
      <w:r w:rsidR="001A7F8A">
        <w:t>May 2015 to 71.4</w:t>
      </w:r>
      <w:r w:rsidR="00581E8E">
        <w:t xml:space="preserve">% in </w:t>
      </w:r>
      <w:r w:rsidR="001A7F8A">
        <w:t xml:space="preserve">June </w:t>
      </w:r>
      <w:r w:rsidR="00F93974" w:rsidRPr="00F93974">
        <w:t>2015</w:t>
      </w:r>
      <w:r w:rsidR="00D8793C">
        <w:t>. W</w:t>
      </w:r>
      <w:r w:rsidR="00533D03">
        <w:t>ith LAS and SWAS</w:t>
      </w:r>
      <w:r w:rsidR="00533D03" w:rsidRPr="00533D03">
        <w:t xml:space="preserve"> </w:t>
      </w:r>
      <w:r w:rsidR="00533D03">
        <w:t>excluded</w:t>
      </w:r>
      <w:r w:rsidR="00D8793C">
        <w:t>, the me</w:t>
      </w:r>
      <w:r w:rsidR="001F1305">
        <w:t xml:space="preserve">asure </w:t>
      </w:r>
      <w:r w:rsidR="001A7F8A">
        <w:t>de</w:t>
      </w:r>
      <w:r w:rsidR="00D8289C">
        <w:t>crease</w:t>
      </w:r>
      <w:r w:rsidR="006417C1">
        <w:t>d by a little more</w:t>
      </w:r>
      <w:r w:rsidR="00D8289C">
        <w:t xml:space="preserve">, </w:t>
      </w:r>
      <w:r w:rsidR="001F1305">
        <w:t xml:space="preserve">from </w:t>
      </w:r>
      <w:r w:rsidR="00581E8E" w:rsidRPr="00F93974">
        <w:t>7</w:t>
      </w:r>
      <w:r w:rsidR="001A7F8A">
        <w:t>5</w:t>
      </w:r>
      <w:r w:rsidR="00581E8E" w:rsidRPr="00F93974">
        <w:t>.</w:t>
      </w:r>
      <w:r w:rsidR="001A7F8A">
        <w:t>6</w:t>
      </w:r>
      <w:r w:rsidR="003F17A5">
        <w:t>%</w:t>
      </w:r>
      <w:r w:rsidR="00004858">
        <w:t xml:space="preserve"> in May</w:t>
      </w:r>
      <w:r w:rsidR="00581E8E">
        <w:t xml:space="preserve"> to </w:t>
      </w:r>
      <w:r w:rsidR="00632CBA" w:rsidRPr="00632CBA">
        <w:t>7</w:t>
      </w:r>
      <w:r w:rsidR="001A7F8A">
        <w:t>3.4</w:t>
      </w:r>
      <w:r w:rsidR="00632CBA" w:rsidRPr="00632CBA">
        <w:t>%</w:t>
      </w:r>
      <w:r w:rsidR="00004858">
        <w:t xml:space="preserve"> in June.</w:t>
      </w:r>
    </w:p>
    <w:p w:rsidR="00D8793C" w:rsidRDefault="006417C1" w:rsidP="001D4F10">
      <w:r>
        <w:rPr>
          <w:noProof/>
        </w:rPr>
        <w:drawing>
          <wp:inline distT="0" distB="0" distL="0" distR="0" wp14:anchorId="42984D37">
            <wp:extent cx="5657850" cy="2932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932430"/>
                    </a:xfrm>
                    <a:prstGeom prst="rect">
                      <a:avLst/>
                    </a:prstGeom>
                    <a:noFill/>
                  </pic:spPr>
                </pic:pic>
              </a:graphicData>
            </a:graphic>
          </wp:inline>
        </w:drawing>
      </w:r>
    </w:p>
    <w:p w:rsidR="00C51DF6" w:rsidRDefault="00C51DF6" w:rsidP="00C51DF6">
      <w:r>
        <w:rPr>
          <w:noProof/>
        </w:rPr>
        <w:t xml:space="preserve">In </w:t>
      </w:r>
      <w:r w:rsidR="007463B2">
        <w:rPr>
          <w:noProof/>
        </w:rPr>
        <w:t xml:space="preserve">June </w:t>
      </w:r>
      <w:r>
        <w:rPr>
          <w:noProof/>
        </w:rPr>
        <w:t xml:space="preserve">2015, </w:t>
      </w:r>
      <w:r w:rsidR="007463B2">
        <w:rPr>
          <w:noProof/>
        </w:rPr>
        <w:t xml:space="preserve">only three </w:t>
      </w:r>
      <w:r w:rsidR="00243B32">
        <w:rPr>
          <w:noProof/>
        </w:rPr>
        <w:t>trusts</w:t>
      </w:r>
      <w:r w:rsidR="00243B32" w:rsidRPr="00243B32">
        <w:rPr>
          <w:noProof/>
        </w:rPr>
        <w:t xml:space="preserve"> </w:t>
      </w:r>
      <w:r w:rsidR="00243B32">
        <w:rPr>
          <w:noProof/>
        </w:rPr>
        <w:t xml:space="preserve">had more than 75% of Red 2 responses within 8 minutes: </w:t>
      </w:r>
      <w:r w:rsidR="00AD0D55">
        <w:rPr>
          <w:noProof/>
        </w:rPr>
        <w:t>North West</w:t>
      </w:r>
      <w:r w:rsidR="00243B32">
        <w:rPr>
          <w:noProof/>
        </w:rPr>
        <w:t xml:space="preserve"> (</w:t>
      </w:r>
      <w:r w:rsidR="007463B2">
        <w:rPr>
          <w:noProof/>
        </w:rPr>
        <w:t>highest</w:t>
      </w:r>
      <w:r w:rsidR="00243B32">
        <w:rPr>
          <w:noProof/>
        </w:rPr>
        <w:t xml:space="preserve"> with 7</w:t>
      </w:r>
      <w:r w:rsidR="007463B2">
        <w:rPr>
          <w:noProof/>
        </w:rPr>
        <w:t>8.2</w:t>
      </w:r>
      <w:r w:rsidR="00243B32">
        <w:rPr>
          <w:noProof/>
        </w:rPr>
        <w:t>%)</w:t>
      </w:r>
      <w:r w:rsidR="00AD0D55">
        <w:rPr>
          <w:noProof/>
        </w:rPr>
        <w:t>, West Midlands</w:t>
      </w:r>
      <w:r w:rsidR="007463B2">
        <w:rPr>
          <w:noProof/>
        </w:rPr>
        <w:t xml:space="preserve"> (75.3%) and Isle of </w:t>
      </w:r>
      <w:r w:rsidR="004F34AD" w:rsidRPr="004F34AD">
        <w:rPr>
          <w:noProof/>
        </w:rPr>
        <w:t>Wight</w:t>
      </w:r>
      <w:r w:rsidR="007463B2">
        <w:rPr>
          <w:noProof/>
        </w:rPr>
        <w:t xml:space="preserve"> (76.6</w:t>
      </w:r>
      <w:r w:rsidR="00B430AD">
        <w:rPr>
          <w:noProof/>
        </w:rPr>
        <w:t>%</w:t>
      </w:r>
      <w:r w:rsidR="007463B2">
        <w:rPr>
          <w:noProof/>
        </w:rPr>
        <w:t>)</w:t>
      </w:r>
      <w:r w:rsidR="0065426A">
        <w:rPr>
          <w:noProof/>
        </w:rPr>
        <w:t xml:space="preserve">. </w:t>
      </w:r>
      <w:r w:rsidR="006417C1">
        <w:rPr>
          <w:noProof/>
        </w:rPr>
        <w:t xml:space="preserve">Three had fewer than </w:t>
      </w:r>
      <w:r w:rsidR="006417C1" w:rsidRPr="00FE0936">
        <w:rPr>
          <w:noProof/>
        </w:rPr>
        <w:t>7</w:t>
      </w:r>
      <w:r w:rsidR="006417C1">
        <w:rPr>
          <w:noProof/>
        </w:rPr>
        <w:t>0</w:t>
      </w:r>
      <w:r w:rsidR="006417C1" w:rsidRPr="00FE0936">
        <w:rPr>
          <w:noProof/>
        </w:rPr>
        <w:t>%</w:t>
      </w:r>
      <w:r w:rsidR="006417C1">
        <w:rPr>
          <w:noProof/>
        </w:rPr>
        <w:t xml:space="preserve">: </w:t>
      </w:r>
      <w:r w:rsidR="00AD0D55">
        <w:rPr>
          <w:noProof/>
        </w:rPr>
        <w:t>East of England</w:t>
      </w:r>
      <w:r w:rsidR="007463B2">
        <w:rPr>
          <w:noProof/>
        </w:rPr>
        <w:t xml:space="preserve"> (66.1%)</w:t>
      </w:r>
      <w:r w:rsidR="00AD0D55">
        <w:rPr>
          <w:noProof/>
        </w:rPr>
        <w:t xml:space="preserve">, </w:t>
      </w:r>
      <w:r w:rsidR="0065426A">
        <w:rPr>
          <w:noProof/>
        </w:rPr>
        <w:t>London</w:t>
      </w:r>
      <w:r w:rsidR="007463B2">
        <w:rPr>
          <w:noProof/>
        </w:rPr>
        <w:t xml:space="preserve"> (</w:t>
      </w:r>
      <w:r w:rsidR="007463B2" w:rsidRPr="007463B2">
        <w:rPr>
          <w:noProof/>
        </w:rPr>
        <w:t>65.2%</w:t>
      </w:r>
      <w:r w:rsidR="007463B2">
        <w:rPr>
          <w:noProof/>
        </w:rPr>
        <w:t>)</w:t>
      </w:r>
      <w:r w:rsidR="0065426A">
        <w:rPr>
          <w:noProof/>
        </w:rPr>
        <w:t xml:space="preserve"> and </w:t>
      </w:r>
      <w:r>
        <w:rPr>
          <w:noProof/>
        </w:rPr>
        <w:t>South Western</w:t>
      </w:r>
      <w:r w:rsidR="007463B2" w:rsidRPr="007463B2">
        <w:t xml:space="preserve"> </w:t>
      </w:r>
      <w:r w:rsidR="007463B2">
        <w:t>(</w:t>
      </w:r>
      <w:r w:rsidR="007463B2" w:rsidRPr="007463B2">
        <w:rPr>
          <w:noProof/>
        </w:rPr>
        <w:t>65.9%</w:t>
      </w:r>
      <w:r w:rsidR="007463B2">
        <w:rPr>
          <w:noProof/>
        </w:rPr>
        <w:t>)</w:t>
      </w:r>
      <w:r w:rsidR="006417C1">
        <w:rPr>
          <w:noProof/>
        </w:rPr>
        <w:t>.</w:t>
      </w:r>
    </w:p>
    <w:p w:rsidR="00C51DF6" w:rsidRDefault="006417C1" w:rsidP="00C51DF6">
      <w:r>
        <w:t>Red 2 calls comprise t</w:t>
      </w:r>
      <w:r w:rsidR="00C51DF6">
        <w:t xml:space="preserve">he vast majority of Category A calls, so the </w:t>
      </w:r>
      <w:r w:rsidR="00AD0D55">
        <w:t xml:space="preserve">DoD </w:t>
      </w:r>
      <w:r w:rsidR="00C51DF6">
        <w:t>pilot affect</w:t>
      </w:r>
      <w:r w:rsidR="00F321DD">
        <w:t>s</w:t>
      </w:r>
      <w:r w:rsidR="00C51DF6">
        <w:t xml:space="preserve"> not only the 8 minute Red 2 measure, but also the 19 minute Category A measure.</w:t>
      </w:r>
    </w:p>
    <w:p w:rsidR="00EA23A9" w:rsidRPr="00127FD0" w:rsidRDefault="00EA23A9" w:rsidP="00EA23A9">
      <w:pPr>
        <w:pStyle w:val="Heading3"/>
      </w:pPr>
      <w:r>
        <w:lastRenderedPageBreak/>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Figure 3 shows for England as a whole, this </w:t>
      </w:r>
      <w:r w:rsidR="00AD0D55">
        <w:t>measure</w:t>
      </w:r>
      <w:r w:rsidR="00FB6A17">
        <w:t xml:space="preserve"> decreased from 95.3</w:t>
      </w:r>
      <w:r w:rsidR="00AD0D55">
        <w:t xml:space="preserve">% in </w:t>
      </w:r>
      <w:r w:rsidR="00FB6A17">
        <w:t>May</w:t>
      </w:r>
      <w:r w:rsidR="00AD0D55">
        <w:t xml:space="preserve"> 2015 to 9</w:t>
      </w:r>
      <w:r w:rsidR="00FB6A17">
        <w:t>4.4</w:t>
      </w:r>
      <w:r w:rsidR="00AD0D55">
        <w:t xml:space="preserve">% in </w:t>
      </w:r>
      <w:r w:rsidR="00FB6A17">
        <w:t>June</w:t>
      </w:r>
      <w:r w:rsidR="00F321DD">
        <w:t>.</w:t>
      </w:r>
      <w:r w:rsidR="00F321DD" w:rsidRPr="00F321DD">
        <w:rPr>
          <w:noProof/>
        </w:rPr>
        <w:t xml:space="preserve"> </w:t>
      </w:r>
      <w:r w:rsidR="00F321DD">
        <w:rPr>
          <w:noProof/>
        </w:rPr>
        <w:t>Excluding LAS and SWAS, the</w:t>
      </w:r>
      <w:r w:rsidR="00FB6A17">
        <w:rPr>
          <w:noProof/>
        </w:rPr>
        <w:t xml:space="preserve"> de</w:t>
      </w:r>
      <w:r w:rsidR="00F321DD">
        <w:rPr>
          <w:noProof/>
        </w:rPr>
        <w:t xml:space="preserve">crease was similar, from </w:t>
      </w:r>
      <w:r w:rsidR="00FB6A17">
        <w:rPr>
          <w:noProof/>
        </w:rPr>
        <w:t>95.9</w:t>
      </w:r>
      <w:r w:rsidR="00F321DD" w:rsidRPr="003F33D6">
        <w:rPr>
          <w:noProof/>
        </w:rPr>
        <w:t>%</w:t>
      </w:r>
      <w:r w:rsidR="00AD0D55">
        <w:rPr>
          <w:noProof/>
        </w:rPr>
        <w:t xml:space="preserve"> to 95.</w:t>
      </w:r>
      <w:r w:rsidR="00FB6A17">
        <w:rPr>
          <w:noProof/>
        </w:rPr>
        <w:t>0</w:t>
      </w:r>
      <w:r w:rsidR="00AD0D55">
        <w:rPr>
          <w:noProof/>
        </w:rPr>
        <w:t>%</w:t>
      </w:r>
      <w:r w:rsidR="00F321DD">
        <w:rPr>
          <w:noProof/>
        </w:rPr>
        <w:t>.</w:t>
      </w:r>
    </w:p>
    <w:p w:rsidR="0085317B" w:rsidRDefault="000D3E6B" w:rsidP="00F321DD">
      <w:r>
        <w:rPr>
          <w:noProof/>
        </w:rPr>
        <w:drawing>
          <wp:inline distT="0" distB="0" distL="0" distR="0" wp14:anchorId="37381902" wp14:editId="7E243904">
            <wp:extent cx="5669915" cy="2676525"/>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2676525"/>
                    </a:xfrm>
                    <a:prstGeom prst="rect">
                      <a:avLst/>
                    </a:prstGeom>
                    <a:noFill/>
                  </pic:spPr>
                </pic:pic>
              </a:graphicData>
            </a:graphic>
          </wp:inline>
        </w:drawing>
      </w:r>
    </w:p>
    <w:p w:rsidR="00F321DD" w:rsidRDefault="00B43524" w:rsidP="00F321DD">
      <w:r>
        <w:rPr>
          <w:noProof/>
        </w:rPr>
        <w:t>West Midlands had the largest proportion (97.4%)</w:t>
      </w:r>
      <w:r w:rsidR="00DD604F">
        <w:rPr>
          <w:noProof/>
        </w:rPr>
        <w:t xml:space="preserve"> for this measure</w:t>
      </w:r>
      <w:r w:rsidR="000D3E6B">
        <w:rPr>
          <w:noProof/>
        </w:rPr>
        <w:t xml:space="preserve">. </w:t>
      </w:r>
      <w:r>
        <w:rPr>
          <w:noProof/>
        </w:rPr>
        <w:t xml:space="preserve">North West, Yorkshire </w:t>
      </w:r>
      <w:r w:rsidR="000D3E6B">
        <w:rPr>
          <w:noProof/>
        </w:rPr>
        <w:t xml:space="preserve">and South East Coast were the others that </w:t>
      </w:r>
      <w:r>
        <w:rPr>
          <w:noProof/>
        </w:rPr>
        <w:t>met the 9</w:t>
      </w:r>
      <w:r w:rsidRPr="00B430AD">
        <w:rPr>
          <w:noProof/>
        </w:rPr>
        <w:t xml:space="preserve">5% </w:t>
      </w:r>
      <w:r>
        <w:rPr>
          <w:noProof/>
        </w:rPr>
        <w:t xml:space="preserve">standard. </w:t>
      </w:r>
      <w:r w:rsidR="00B430AD">
        <w:rPr>
          <w:noProof/>
        </w:rPr>
        <w:t xml:space="preserve">The </w:t>
      </w:r>
      <w:r w:rsidR="000D3E6B">
        <w:rPr>
          <w:noProof/>
        </w:rPr>
        <w:t xml:space="preserve">lowest were </w:t>
      </w:r>
      <w:r>
        <w:rPr>
          <w:noProof/>
        </w:rPr>
        <w:t>South Western</w:t>
      </w:r>
      <w:r w:rsidR="00A621ED" w:rsidRPr="001B68DB">
        <w:t xml:space="preserve"> </w:t>
      </w:r>
      <w:r w:rsidR="009E0AC6">
        <w:rPr>
          <w:noProof/>
        </w:rPr>
        <w:t>(</w:t>
      </w:r>
      <w:r w:rsidR="009E0AC6" w:rsidRPr="009E0AC6">
        <w:rPr>
          <w:noProof/>
        </w:rPr>
        <w:t>91.1%</w:t>
      </w:r>
      <w:r w:rsidR="009E0AC6">
        <w:rPr>
          <w:noProof/>
        </w:rPr>
        <w:t>)</w:t>
      </w:r>
      <w:r w:rsidR="009E0AC6" w:rsidRPr="009E0AC6">
        <w:rPr>
          <w:noProof/>
        </w:rPr>
        <w:t xml:space="preserve"> </w:t>
      </w:r>
      <w:r w:rsidR="005B2160">
        <w:rPr>
          <w:noProof/>
        </w:rPr>
        <w:t>and</w:t>
      </w:r>
      <w:r w:rsidR="005B2160" w:rsidRPr="005B2160">
        <w:t xml:space="preserve"> </w:t>
      </w:r>
      <w:r w:rsidR="005B2160" w:rsidRPr="005B2160">
        <w:rPr>
          <w:noProof/>
        </w:rPr>
        <w:t xml:space="preserve">Isle of </w:t>
      </w:r>
      <w:r w:rsidR="004F34AD" w:rsidRPr="004F34AD">
        <w:rPr>
          <w:noProof/>
        </w:rPr>
        <w:t>Wight</w:t>
      </w:r>
      <w:r w:rsidR="005B2160" w:rsidRPr="005B2160">
        <w:rPr>
          <w:noProof/>
        </w:rPr>
        <w:t xml:space="preserve"> (</w:t>
      </w:r>
      <w:r w:rsidR="009E0AC6">
        <w:rPr>
          <w:noProof/>
        </w:rPr>
        <w:t>9</w:t>
      </w:r>
      <w:r w:rsidR="005B2160">
        <w:rPr>
          <w:noProof/>
        </w:rPr>
        <w:t>0.2</w:t>
      </w:r>
      <w:r w:rsidR="000D3E6B">
        <w:rPr>
          <w:noProof/>
        </w:rPr>
        <w:t>%).</w:t>
      </w:r>
    </w:p>
    <w:p w:rsidR="00774123" w:rsidRDefault="00774123" w:rsidP="00774123">
      <w:r>
        <w:t xml:space="preserve">Other Systems Indicators are </w:t>
      </w:r>
      <w:r w:rsidR="000D3E6B">
        <w:t xml:space="preserve">unaffected by the pilot and </w:t>
      </w:r>
      <w:r>
        <w:t>still measured consistently.</w:t>
      </w:r>
    </w:p>
    <w:p w:rsidR="003A0D0C" w:rsidRPr="00127FD0" w:rsidRDefault="003A0D0C" w:rsidP="003A0D0C">
      <w:pPr>
        <w:pStyle w:val="Heading3"/>
      </w:pPr>
      <w:r>
        <w:t>A</w:t>
      </w:r>
      <w:r w:rsidR="00D4605E">
        <w:t>5</w:t>
      </w:r>
      <w:r>
        <w:tab/>
      </w:r>
      <w:r w:rsidRPr="00151AF2">
        <w:t xml:space="preserve">Systems </w:t>
      </w:r>
      <w:r>
        <w:t xml:space="preserve">Indicators: Ambulance volumes (Figure </w:t>
      </w:r>
      <w:r w:rsidR="00AC1EF7">
        <w:t>4</w:t>
      </w:r>
      <w:r>
        <w:t>)</w:t>
      </w:r>
    </w:p>
    <w:p w:rsidR="00191AB9" w:rsidRDefault="00191AB9" w:rsidP="00191AB9">
      <w:r w:rsidRPr="001B68DB">
        <w:t>The number</w:t>
      </w:r>
      <w:r>
        <w:rPr>
          <w:rStyle w:val="FootnoteReference"/>
        </w:rPr>
        <w:footnoteReference w:id="4"/>
      </w:r>
      <w:r w:rsidRPr="001B68DB">
        <w:t xml:space="preserve"> of emergency</w:t>
      </w:r>
      <w:r>
        <w:t xml:space="preserve"> telephone</w:t>
      </w:r>
      <w:r w:rsidRPr="001B68DB">
        <w:t xml:space="preserve"> calls presented to switchboard</w:t>
      </w:r>
      <w:r w:rsidRPr="004D3B3C">
        <w:t xml:space="preserve"> </w:t>
      </w:r>
      <w:r>
        <w:t xml:space="preserve">in </w:t>
      </w:r>
      <w:r w:rsidR="0085317B">
        <w:t xml:space="preserve">June </w:t>
      </w:r>
      <w:r>
        <w:t xml:space="preserve">2015 was </w:t>
      </w:r>
      <w:r w:rsidR="003224D0" w:rsidRPr="003224D0">
        <w:t>756,888</w:t>
      </w:r>
      <w:r w:rsidR="009141A4">
        <w:t xml:space="preserve">, </w:t>
      </w:r>
      <w:r w:rsidR="00177CDB">
        <w:t>an average of</w:t>
      </w:r>
      <w:r>
        <w:t xml:space="preserve"> 2</w:t>
      </w:r>
      <w:r w:rsidR="003224D0">
        <w:t>5</w:t>
      </w:r>
      <w:r w:rsidRPr="005B7C87">
        <w:t xml:space="preserve"> thousand per day</w:t>
      </w:r>
      <w:r w:rsidR="00E9274F">
        <w:t xml:space="preserve">, </w:t>
      </w:r>
      <w:r w:rsidR="000D3E6B">
        <w:t>almost identical to June 2014.</w:t>
      </w:r>
    </w:p>
    <w:p w:rsidR="003F3CB1" w:rsidRDefault="00AD7C90" w:rsidP="00AD7C90">
      <w:r>
        <w:t xml:space="preserve">There were </w:t>
      </w:r>
      <w:r w:rsidR="009E0B41" w:rsidRPr="009E0B41">
        <w:t xml:space="preserve">523,473 </w:t>
      </w:r>
      <w:r w:rsidRPr="00AD7C90">
        <w:t>emergency calls that receive</w:t>
      </w:r>
      <w:r w:rsidR="00037F53">
        <w:t>d</w:t>
      </w:r>
      <w:r w:rsidRPr="00AD7C90">
        <w:t xml:space="preserve"> a face-to-face resp</w:t>
      </w:r>
      <w:r>
        <w:t xml:space="preserve">onse from the ambulance service in </w:t>
      </w:r>
      <w:r w:rsidR="009E0B41">
        <w:t xml:space="preserve">June </w:t>
      </w:r>
      <w:r>
        <w:t>2015</w:t>
      </w:r>
      <w:r w:rsidR="00037F53">
        <w:t>. Th</w:t>
      </w:r>
      <w:r w:rsidR="00D52EE6">
        <w:t xml:space="preserve">is was an </w:t>
      </w:r>
      <w:r>
        <w:t xml:space="preserve">average of </w:t>
      </w:r>
      <w:r w:rsidRPr="00AD7C90">
        <w:t>17</w:t>
      </w:r>
      <w:r>
        <w:t xml:space="preserve"> thousand</w:t>
      </w:r>
      <w:r w:rsidRPr="00474435">
        <w:t xml:space="preserve"> </w:t>
      </w:r>
      <w:r w:rsidR="00D52EE6">
        <w:t xml:space="preserve">per day, </w:t>
      </w:r>
      <w:r>
        <w:t>the same as in</w:t>
      </w:r>
      <w:r w:rsidR="00740D50">
        <w:t xml:space="preserve"> </w:t>
      </w:r>
      <w:r w:rsidR="00037F53">
        <w:t xml:space="preserve">all previous </w:t>
      </w:r>
      <w:r>
        <w:t>months</w:t>
      </w:r>
      <w:r w:rsidR="003F3CB1">
        <w:t xml:space="preserve"> </w:t>
      </w:r>
      <w:r w:rsidR="00037F53">
        <w:t xml:space="preserve">in </w:t>
      </w:r>
      <w:r w:rsidR="00740D50">
        <w:t>20</w:t>
      </w:r>
      <w:r>
        <w:t>15</w:t>
      </w:r>
      <w:r w:rsidR="00037F53">
        <w:t>.</w:t>
      </w:r>
    </w:p>
    <w:p w:rsidR="00191AB9" w:rsidRPr="008E5931" w:rsidRDefault="00A32B3E" w:rsidP="00806A50">
      <w:pPr>
        <w:widowControl w:val="0"/>
        <w:rPr>
          <w:rFonts w:cs="Arial"/>
        </w:rPr>
      </w:pPr>
      <w:r>
        <w:t xml:space="preserve">There were </w:t>
      </w:r>
      <w:r w:rsidR="00C137F2" w:rsidRPr="00C137F2">
        <w:t xml:space="preserve">376,486 </w:t>
      </w:r>
      <w:r>
        <w:t xml:space="preserve">incidents </w:t>
      </w:r>
      <w:r w:rsidR="001E30CD">
        <w:t>where a</w:t>
      </w:r>
      <w:r>
        <w:t xml:space="preserve"> </w:t>
      </w:r>
      <w:r w:rsidR="00191AB9">
        <w:t xml:space="preserve">patient </w:t>
      </w:r>
      <w:r w:rsidR="001E30CD">
        <w:t xml:space="preserve">was transported </w:t>
      </w:r>
      <w:r w:rsidR="00191AB9">
        <w:t>to Type 1 or Type 2 A&amp;E</w:t>
      </w:r>
      <w:r w:rsidR="00191AB9">
        <w:rPr>
          <w:rStyle w:val="FootnoteReference"/>
        </w:rPr>
        <w:footnoteReference w:id="5"/>
      </w:r>
      <w:r w:rsidR="00191AB9">
        <w:t xml:space="preserve"> in </w:t>
      </w:r>
      <w:r w:rsidR="00C137F2">
        <w:t xml:space="preserve">June </w:t>
      </w:r>
      <w:r w:rsidR="00037F53">
        <w:t>2015</w:t>
      </w:r>
      <w:r w:rsidR="00D52EE6">
        <w:t xml:space="preserve">, an </w:t>
      </w:r>
      <w:r w:rsidR="00037F53">
        <w:t xml:space="preserve">average </w:t>
      </w:r>
      <w:r w:rsidR="00F23C98">
        <w:t xml:space="preserve">of </w:t>
      </w:r>
      <w:r w:rsidR="00D52EE6">
        <w:t>1</w:t>
      </w:r>
      <w:r w:rsidR="00C137F2">
        <w:t>3</w:t>
      </w:r>
      <w:r w:rsidR="00191AB9">
        <w:t xml:space="preserve"> thousand</w:t>
      </w:r>
      <w:r w:rsidR="00191AB9" w:rsidRPr="00474435">
        <w:t xml:space="preserve"> </w:t>
      </w:r>
      <w:r w:rsidR="00191AB9">
        <w:t>per day</w:t>
      </w:r>
      <w:r w:rsidR="00D52EE6">
        <w:t xml:space="preserve">. In the last twelve months, </w:t>
      </w:r>
      <w:r w:rsidR="00D52EE6">
        <w:lastRenderedPageBreak/>
        <w:t>only August 2014</w:t>
      </w:r>
      <w:r w:rsidR="00E9274F">
        <w:t xml:space="preserve"> and</w:t>
      </w:r>
      <w:r w:rsidR="00D52EE6">
        <w:t xml:space="preserve"> </w:t>
      </w:r>
      <w:r w:rsidR="00E9274F">
        <w:t xml:space="preserve">May 2015 </w:t>
      </w:r>
      <w:r w:rsidR="00D52EE6">
        <w:t>had fewer per day.</w:t>
      </w:r>
      <w:r w:rsidR="007F463B">
        <w:t xml:space="preserve"> </w:t>
      </w:r>
      <w:r w:rsidR="00F0288C">
        <w:t>(</w:t>
      </w:r>
      <w:r w:rsidR="007F463B">
        <w:t>Before April 2013, these were described as Emergency Journeys</w:t>
      </w:r>
      <w:r w:rsidR="00DD604F">
        <w:t xml:space="preserve">. From that time forwards, </w:t>
      </w:r>
      <w:r w:rsidR="007F463B">
        <w:t xml:space="preserve">one incident where two patients were transported was counted as </w:t>
      </w:r>
      <w:r w:rsidR="00DD604F">
        <w:t>one incident</w:t>
      </w:r>
      <w:r w:rsidR="007F463B">
        <w:t>, rather than</w:t>
      </w:r>
      <w:r w:rsidR="00DD604F" w:rsidRPr="00DD604F">
        <w:t xml:space="preserve"> </w:t>
      </w:r>
      <w:r w:rsidR="00DD604F">
        <w:t>two journeys</w:t>
      </w:r>
      <w:r w:rsidR="007F463B">
        <w:t>.</w:t>
      </w:r>
      <w:r w:rsidR="00F0288C">
        <w:t>)</w:t>
      </w:r>
    </w:p>
    <w:p w:rsidR="00191AB9" w:rsidRDefault="003C24D1" w:rsidP="00191AB9">
      <w:r>
        <w:t xml:space="preserve">There were </w:t>
      </w:r>
      <w:r w:rsidR="000E166D">
        <w:t xml:space="preserve">255,681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E9274F">
        <w:t xml:space="preserve">June </w:t>
      </w:r>
      <w:r w:rsidR="002941E6">
        <w:t xml:space="preserve">2015, or </w:t>
      </w:r>
      <w:r w:rsidR="00BD1E82" w:rsidRPr="00BD1E82">
        <w:t>8,</w:t>
      </w:r>
      <w:r w:rsidR="000E166D">
        <w:t xml:space="preserve">523 </w:t>
      </w:r>
      <w:r w:rsidR="00191AB9">
        <w:t>per day</w:t>
      </w:r>
      <w:r w:rsidR="00D52EE6">
        <w:t xml:space="preserve">. Figure </w:t>
      </w:r>
      <w:r w:rsidR="00AC1EF7">
        <w:t>4</w:t>
      </w:r>
      <w:r w:rsidR="00D52EE6">
        <w:t xml:space="preserve"> shows that </w:t>
      </w:r>
      <w:r w:rsidR="00CE6F95">
        <w:t xml:space="preserve">these increased steadily from around 6,500 per day in 2011 to around 8,500 per day in 2014, but have </w:t>
      </w:r>
      <w:r w:rsidR="00F0288C">
        <w:t>changed little in 2015.</w:t>
      </w:r>
    </w:p>
    <w:p w:rsidR="00177CDB" w:rsidRDefault="00A06FBD" w:rsidP="00191AB9">
      <w:r>
        <w:rPr>
          <w:noProof/>
        </w:rPr>
        <w:drawing>
          <wp:inline distT="0" distB="0" distL="0" distR="0" wp14:anchorId="045FA756">
            <wp:extent cx="5553710" cy="59988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5998845"/>
                    </a:xfrm>
                    <a:prstGeom prst="rect">
                      <a:avLst/>
                    </a:prstGeom>
                    <a:noFill/>
                  </pic:spPr>
                </pic:pic>
              </a:graphicData>
            </a:graphic>
          </wp:inline>
        </w:drawing>
      </w:r>
    </w:p>
    <w:p w:rsidR="003A0D0C" w:rsidRDefault="003A0D0C" w:rsidP="003A0D0C">
      <w:pPr>
        <w:pStyle w:val="Heading3"/>
      </w:pPr>
      <w:r>
        <w:lastRenderedPageBreak/>
        <w:t>A</w:t>
      </w:r>
      <w:r w:rsidR="00D4605E">
        <w:t>6</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EA7839">
        <w:t xml:space="preserve">June </w:t>
      </w:r>
      <w:r w:rsidR="000D7762">
        <w:t>2015</w:t>
      </w:r>
      <w:r>
        <w:t xml:space="preserve"> </w:t>
      </w:r>
    </w:p>
    <w:tbl>
      <w:tblPr>
        <w:tblW w:w="9271" w:type="dxa"/>
        <w:tblLayout w:type="fixed"/>
        <w:tblCellMar>
          <w:left w:w="57" w:type="dxa"/>
          <w:right w:w="57" w:type="dxa"/>
        </w:tblCellMar>
        <w:tblLook w:val="04A0" w:firstRow="1" w:lastRow="0" w:firstColumn="1" w:lastColumn="0" w:noHBand="0" w:noVBand="1"/>
      </w:tblPr>
      <w:tblGrid>
        <w:gridCol w:w="3601"/>
        <w:gridCol w:w="1134"/>
        <w:gridCol w:w="1418"/>
        <w:gridCol w:w="850"/>
        <w:gridCol w:w="1418"/>
        <w:gridCol w:w="850"/>
      </w:tblGrid>
      <w:tr w:rsidR="003A0D0C" w:rsidTr="00F0288C">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E53110" w:rsidRDefault="003A0D0C" w:rsidP="00F23C98">
            <w:pPr>
              <w:pStyle w:val="Heading4"/>
            </w:pPr>
            <w:r w:rsidRPr="00E53110">
              <w:t>Highest Trust</w:t>
            </w:r>
          </w:p>
        </w:tc>
      </w:tr>
      <w:tr w:rsidR="0037489E" w:rsidTr="00CE6F95">
        <w:trPr>
          <w:cantSplit/>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D52EE6">
            <w:pPr>
              <w:pStyle w:val="NoSpacing"/>
              <w:jc w:val="right"/>
              <w:rPr>
                <w:sz w:val="22"/>
                <w:szCs w:val="22"/>
              </w:rPr>
            </w:pPr>
            <w:r w:rsidRPr="003E345E">
              <w:rPr>
                <w:szCs w:val="22"/>
              </w:rPr>
              <w:t>0.</w:t>
            </w:r>
            <w:r w:rsidR="000468C4">
              <w:rPr>
                <w:szCs w:val="22"/>
              </w:rPr>
              <w:t>5</w:t>
            </w:r>
            <w:r w:rsidRPr="003E345E">
              <w:rPr>
                <w:szCs w:val="22"/>
              </w:rPr>
              <w:t>%</w:t>
            </w:r>
            <w:r w:rsidR="000D7762">
              <w:rPr>
                <w:szCs w:val="22"/>
              </w:rPr>
              <w:t xml:space="preserve"> </w:t>
            </w:r>
          </w:p>
        </w:tc>
        <w:tc>
          <w:tcPr>
            <w:tcW w:w="1418" w:type="dxa"/>
            <w:tcBorders>
              <w:top w:val="single" w:sz="4" w:space="0" w:color="auto"/>
              <w:left w:val="single" w:sz="4" w:space="0" w:color="auto"/>
            </w:tcBorders>
            <w:shd w:val="clear" w:color="000000" w:fill="FFFFFF"/>
            <w:vAlign w:val="center"/>
            <w:hideMark/>
          </w:tcPr>
          <w:p w:rsidR="0032599C" w:rsidRPr="00E53110" w:rsidRDefault="000468C4"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0468C4">
            <w:pPr>
              <w:pStyle w:val="NoSpacing"/>
              <w:jc w:val="right"/>
              <w:rPr>
                <w:sz w:val="22"/>
                <w:szCs w:val="22"/>
              </w:rPr>
            </w:pPr>
            <w:r w:rsidRPr="00753EA9">
              <w:rPr>
                <w:szCs w:val="22"/>
              </w:rPr>
              <w:t>0.</w:t>
            </w:r>
            <w:r w:rsidR="000468C4">
              <w:rPr>
                <w:szCs w:val="22"/>
              </w:rPr>
              <w:t>1</w:t>
            </w:r>
            <w:r w:rsidRPr="00753EA9">
              <w:rPr>
                <w:szCs w:val="22"/>
              </w:rPr>
              <w:t>%</w:t>
            </w:r>
          </w:p>
        </w:tc>
        <w:tc>
          <w:tcPr>
            <w:tcW w:w="1418" w:type="dxa"/>
            <w:tcBorders>
              <w:top w:val="single" w:sz="4" w:space="0" w:color="auto"/>
              <w:left w:val="single" w:sz="4" w:space="0" w:color="auto"/>
            </w:tcBorders>
            <w:shd w:val="clear" w:color="000000" w:fill="FFFFFF"/>
            <w:vAlign w:val="center"/>
            <w:hideMark/>
          </w:tcPr>
          <w:p w:rsidR="0032599C" w:rsidRPr="00E53110" w:rsidRDefault="000468C4" w:rsidP="00A44168">
            <w:pPr>
              <w:pStyle w:val="NoSpacing"/>
              <w:jc w:val="center"/>
              <w:rPr>
                <w:sz w:val="22"/>
                <w:szCs w:val="22"/>
              </w:rPr>
            </w:pPr>
            <w:r>
              <w:rPr>
                <w:szCs w:val="22"/>
              </w:rPr>
              <w:t>North East</w:t>
            </w:r>
            <w:r w:rsidR="000D7762">
              <w:rPr>
                <w:szCs w:val="22"/>
              </w:rPr>
              <w:t xml:space="preserve"> </w:t>
            </w:r>
          </w:p>
        </w:tc>
        <w:tc>
          <w:tcPr>
            <w:tcW w:w="850" w:type="dxa"/>
            <w:tcBorders>
              <w:top w:val="single" w:sz="4" w:space="0" w:color="auto"/>
            </w:tcBorders>
            <w:shd w:val="clear" w:color="000000" w:fill="FFFFFF"/>
            <w:vAlign w:val="center"/>
          </w:tcPr>
          <w:p w:rsidR="0032599C" w:rsidRPr="00E53110" w:rsidRDefault="000468C4" w:rsidP="000468C4">
            <w:pPr>
              <w:pStyle w:val="NoSpacing"/>
              <w:jc w:val="right"/>
              <w:rPr>
                <w:sz w:val="22"/>
                <w:szCs w:val="22"/>
              </w:rPr>
            </w:pPr>
            <w:r>
              <w:rPr>
                <w:szCs w:val="22"/>
              </w:rPr>
              <w:t>1.7</w:t>
            </w:r>
            <w:r w:rsidR="007D2560" w:rsidRPr="007D2560">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E02284" w:rsidP="00E434C4">
            <w:pPr>
              <w:pStyle w:val="NoSpacing"/>
              <w:jc w:val="right"/>
              <w:rPr>
                <w:sz w:val="22"/>
                <w:szCs w:val="22"/>
              </w:rPr>
            </w:pPr>
            <w:r w:rsidRPr="00E02284">
              <w:rPr>
                <w:szCs w:val="22"/>
              </w:rPr>
              <w:t>9.</w:t>
            </w:r>
            <w:r w:rsidR="00E434C4">
              <w:rPr>
                <w:szCs w:val="22"/>
              </w:rPr>
              <w:t>7</w:t>
            </w:r>
            <w:r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E434C4" w:rsidP="00E434C4">
            <w:pPr>
              <w:pStyle w:val="NoSpacing"/>
              <w:jc w:val="right"/>
              <w:rPr>
                <w:sz w:val="22"/>
                <w:szCs w:val="22"/>
              </w:rPr>
            </w:pPr>
            <w:r>
              <w:rPr>
                <w:szCs w:val="22"/>
              </w:rPr>
              <w:t>4</w:t>
            </w:r>
            <w:r w:rsidR="00E02284" w:rsidRPr="00E02284">
              <w:rPr>
                <w:szCs w:val="22"/>
              </w:rPr>
              <w:t>.</w:t>
            </w:r>
            <w:r>
              <w:rPr>
                <w:szCs w:val="22"/>
              </w:rPr>
              <w:t>8</w:t>
            </w:r>
            <w:r w:rsidR="00E02284" w:rsidRPr="00E02284">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E434C4" w:rsidP="00753EA9">
            <w:pPr>
              <w:pStyle w:val="NoSpacing"/>
              <w:jc w:val="right"/>
              <w:rPr>
                <w:sz w:val="22"/>
                <w:szCs w:val="22"/>
              </w:rPr>
            </w:pPr>
            <w:r>
              <w:rPr>
                <w:szCs w:val="22"/>
              </w:rPr>
              <w:t>14.1</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753EA9">
            <w:pPr>
              <w:pStyle w:val="NoSpacing"/>
              <w:jc w:val="right"/>
              <w:rPr>
                <w:sz w:val="22"/>
                <w:szCs w:val="22"/>
              </w:rPr>
            </w:pPr>
            <w:r>
              <w:rPr>
                <w:szCs w:val="22"/>
              </w:rPr>
              <w:t>37.3</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D52EE6" w:rsidP="002221E6">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837B74" w:rsidP="00837B74">
            <w:pPr>
              <w:pStyle w:val="NoSpacing"/>
              <w:jc w:val="right"/>
              <w:rPr>
                <w:sz w:val="22"/>
                <w:szCs w:val="22"/>
              </w:rPr>
            </w:pPr>
            <w:r>
              <w:rPr>
                <w:szCs w:val="22"/>
              </w:rPr>
              <w:t>29.9</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32599C" w:rsidP="00F0288C">
            <w:pPr>
              <w:pStyle w:val="NoSpacing"/>
              <w:jc w:val="center"/>
              <w:rPr>
                <w:sz w:val="22"/>
                <w:szCs w:val="22"/>
              </w:rPr>
            </w:pPr>
            <w:r w:rsidRPr="00753EA9">
              <w:rPr>
                <w:szCs w:val="22"/>
              </w:rPr>
              <w:t>South Western</w:t>
            </w:r>
          </w:p>
        </w:tc>
        <w:tc>
          <w:tcPr>
            <w:tcW w:w="850" w:type="dxa"/>
            <w:shd w:val="clear" w:color="000000" w:fill="FFFFFF"/>
            <w:vAlign w:val="center"/>
          </w:tcPr>
          <w:p w:rsidR="0032599C" w:rsidRPr="00E53110" w:rsidRDefault="00E02284" w:rsidP="00837B74">
            <w:pPr>
              <w:pStyle w:val="NoSpacing"/>
              <w:jc w:val="right"/>
              <w:rPr>
                <w:sz w:val="22"/>
                <w:szCs w:val="22"/>
              </w:rPr>
            </w:pPr>
            <w:r>
              <w:rPr>
                <w:szCs w:val="22"/>
              </w:rPr>
              <w:t>52</w:t>
            </w:r>
            <w:r w:rsidR="0037489E" w:rsidRPr="0037489E">
              <w:rPr>
                <w:szCs w:val="22"/>
              </w:rPr>
              <w:t>.</w:t>
            </w:r>
            <w:r w:rsidR="00837B74">
              <w:rPr>
                <w:szCs w:val="22"/>
              </w:rPr>
              <w:t>9</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1" w:name="RANGE!A22"/>
            <w:r w:rsidRPr="00E53110">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E53110" w:rsidRDefault="00837B74" w:rsidP="00AC1EF7">
            <w:pPr>
              <w:pStyle w:val="NoSpacing"/>
              <w:jc w:val="right"/>
              <w:rPr>
                <w:sz w:val="22"/>
                <w:szCs w:val="22"/>
              </w:rPr>
            </w:pPr>
            <w:r>
              <w:rPr>
                <w:szCs w:val="22"/>
              </w:rPr>
              <w:t>7.4</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0D7762" w:rsidP="00E0228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E02284" w:rsidP="00AC1EF7">
            <w:pPr>
              <w:pStyle w:val="NoSpacing"/>
              <w:jc w:val="right"/>
              <w:rPr>
                <w:sz w:val="22"/>
                <w:szCs w:val="22"/>
              </w:rPr>
            </w:pPr>
            <w:r>
              <w:rPr>
                <w:szCs w:val="22"/>
              </w:rPr>
              <w:t>1.</w:t>
            </w:r>
            <w:r w:rsidR="00837B74">
              <w:rPr>
                <w:szCs w:val="22"/>
              </w:rPr>
              <w:t>5</w:t>
            </w:r>
            <w:r w:rsidR="0037489E" w:rsidRPr="0037489E">
              <w:rPr>
                <w:szCs w:val="22"/>
              </w:rPr>
              <w:t>%</w:t>
            </w:r>
          </w:p>
        </w:tc>
        <w:tc>
          <w:tcPr>
            <w:tcW w:w="1418" w:type="dxa"/>
            <w:tcBorders>
              <w:left w:val="single" w:sz="4" w:space="0" w:color="auto"/>
            </w:tcBorders>
            <w:shd w:val="clear" w:color="000000" w:fill="FFFFFF"/>
            <w:vAlign w:val="center"/>
            <w:hideMark/>
          </w:tcPr>
          <w:p w:rsidR="0032599C" w:rsidRPr="00E53110" w:rsidRDefault="00AC1EF7" w:rsidP="002221E6">
            <w:pPr>
              <w:pStyle w:val="NoSpacing"/>
              <w:jc w:val="center"/>
              <w:rPr>
                <w:sz w:val="22"/>
                <w:szCs w:val="22"/>
              </w:rPr>
            </w:pPr>
            <w:r>
              <w:rPr>
                <w:szCs w:val="22"/>
              </w:rPr>
              <w:t>North East</w:t>
            </w:r>
          </w:p>
        </w:tc>
        <w:tc>
          <w:tcPr>
            <w:tcW w:w="850" w:type="dxa"/>
            <w:shd w:val="clear" w:color="000000" w:fill="FFFFFF"/>
            <w:vAlign w:val="center"/>
          </w:tcPr>
          <w:p w:rsidR="0032599C" w:rsidRPr="00E53110" w:rsidRDefault="00837B74" w:rsidP="00837B74">
            <w:pPr>
              <w:pStyle w:val="NoSpacing"/>
              <w:jc w:val="right"/>
              <w:rPr>
                <w:sz w:val="22"/>
                <w:szCs w:val="22"/>
              </w:rPr>
            </w:pPr>
            <w:r>
              <w:rPr>
                <w:szCs w:val="22"/>
              </w:rPr>
              <w:t>16.7</w:t>
            </w:r>
            <w:r w:rsidR="0037489E" w:rsidRPr="0037489E">
              <w:rPr>
                <w:szCs w:val="22"/>
              </w:rPr>
              <w:t>%</w:t>
            </w:r>
          </w:p>
        </w:tc>
      </w:tr>
      <w:tr w:rsidR="0037489E" w:rsidTr="00CE6F95">
        <w:trPr>
          <w:cantSplit/>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C1EF7">
            <w:pPr>
              <w:pStyle w:val="NoSpacing"/>
              <w:jc w:val="right"/>
              <w:rPr>
                <w:sz w:val="22"/>
                <w:szCs w:val="22"/>
              </w:rPr>
            </w:pPr>
            <w:r w:rsidRPr="00753EA9">
              <w:rPr>
                <w:szCs w:val="22"/>
              </w:rPr>
              <w:t>5.</w:t>
            </w:r>
            <w:r w:rsidR="00837B74">
              <w:rPr>
                <w:szCs w:val="22"/>
              </w:rPr>
              <w:t>5</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837B74" w:rsidP="00837B74">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E53110" w:rsidRDefault="0032599C" w:rsidP="00AC1EF7">
            <w:pPr>
              <w:pStyle w:val="NoSpacing"/>
              <w:jc w:val="right"/>
              <w:rPr>
                <w:sz w:val="22"/>
                <w:szCs w:val="22"/>
              </w:rPr>
            </w:pPr>
            <w:r w:rsidRPr="00753EA9">
              <w:rPr>
                <w:szCs w:val="22"/>
              </w:rPr>
              <w:t>3.</w:t>
            </w:r>
            <w:r w:rsidR="00837B74">
              <w:rPr>
                <w:szCs w:val="22"/>
              </w:rPr>
              <w:t>2</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AC1EF7" w:rsidP="00753EA9">
            <w:pPr>
              <w:pStyle w:val="NoSpacing"/>
              <w:jc w:val="right"/>
              <w:rPr>
                <w:sz w:val="22"/>
                <w:szCs w:val="22"/>
              </w:rPr>
            </w:pPr>
            <w:r>
              <w:rPr>
                <w:szCs w:val="22"/>
              </w:rPr>
              <w:t>7.</w:t>
            </w:r>
            <w:r w:rsidR="00837B74">
              <w:rPr>
                <w:szCs w:val="22"/>
              </w:rPr>
              <w:t>8</w:t>
            </w:r>
            <w:r w:rsidR="00D6205D" w:rsidRPr="00D6205D">
              <w:rPr>
                <w:szCs w:val="22"/>
              </w:rPr>
              <w:t>%</w:t>
            </w:r>
          </w:p>
        </w:tc>
      </w:tr>
      <w:tr w:rsidR="0037489E" w:rsidTr="00CE6F95">
        <w:trPr>
          <w:cantSplit/>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837B74" w:rsidP="00753EA9">
            <w:pPr>
              <w:pStyle w:val="NoSpacing"/>
              <w:jc w:val="right"/>
              <w:rPr>
                <w:sz w:val="22"/>
                <w:szCs w:val="22"/>
              </w:rPr>
            </w:pPr>
            <w:r w:rsidRPr="00837B74">
              <w:rPr>
                <w:szCs w:val="22"/>
              </w:rPr>
              <w:t>376,486</w:t>
            </w:r>
          </w:p>
        </w:tc>
        <w:tc>
          <w:tcPr>
            <w:tcW w:w="1418"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F0288C">
            <w:pPr>
              <w:pStyle w:val="NoSpacing"/>
              <w:jc w:val="center"/>
              <w:rPr>
                <w:sz w:val="22"/>
                <w:szCs w:val="22"/>
              </w:rPr>
            </w:pPr>
            <w:r w:rsidRPr="009E4593">
              <w:t>East</w:t>
            </w:r>
            <w:r w:rsidR="00F0288C">
              <w:rPr>
                <w:rStyle w:val="FootnoteReference"/>
              </w:rPr>
              <w:footnoteReference w:id="6"/>
            </w:r>
          </w:p>
        </w:tc>
        <w:tc>
          <w:tcPr>
            <w:tcW w:w="850" w:type="dxa"/>
            <w:tcBorders>
              <w:bottom w:val="single" w:sz="4" w:space="0" w:color="auto"/>
              <w:right w:val="single" w:sz="4" w:space="0" w:color="auto"/>
            </w:tcBorders>
            <w:shd w:val="clear" w:color="auto" w:fill="auto"/>
            <w:vAlign w:val="center"/>
          </w:tcPr>
          <w:p w:rsidR="0032599C" w:rsidRPr="00E53110" w:rsidRDefault="00837B74" w:rsidP="00753EA9">
            <w:pPr>
              <w:pStyle w:val="NoSpacing"/>
              <w:jc w:val="right"/>
              <w:rPr>
                <w:sz w:val="22"/>
                <w:szCs w:val="22"/>
              </w:rPr>
            </w:pPr>
            <w:r w:rsidRPr="00837B74">
              <w:rPr>
                <w:szCs w:val="22"/>
              </w:rPr>
              <w:t>19,718</w:t>
            </w:r>
          </w:p>
        </w:tc>
        <w:tc>
          <w:tcPr>
            <w:tcW w:w="1418"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0" w:type="dxa"/>
            <w:tcBorders>
              <w:bottom w:val="single" w:sz="4" w:space="0" w:color="auto"/>
            </w:tcBorders>
            <w:shd w:val="clear" w:color="auto" w:fill="auto"/>
            <w:vAlign w:val="center"/>
          </w:tcPr>
          <w:p w:rsidR="0032599C" w:rsidRPr="00E53110" w:rsidRDefault="00837B74" w:rsidP="00753EA9">
            <w:pPr>
              <w:pStyle w:val="NoSpacing"/>
              <w:jc w:val="right"/>
              <w:rPr>
                <w:sz w:val="22"/>
                <w:szCs w:val="22"/>
              </w:rPr>
            </w:pPr>
            <w:r w:rsidRPr="00837B74">
              <w:rPr>
                <w:szCs w:val="22"/>
              </w:rPr>
              <w:t>61,984</w:t>
            </w:r>
          </w:p>
        </w:tc>
      </w:tr>
    </w:tbl>
    <w:p w:rsidR="00CB58C3" w:rsidRPr="00C061B2" w:rsidRDefault="00CB58C3" w:rsidP="00CB58C3">
      <w:pPr>
        <w:pStyle w:val="NoSpacing"/>
      </w:pP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6B6BD1">
        <w:t xml:space="preserve">) (Figure </w:t>
      </w:r>
      <w:r w:rsidR="00AC1EF7">
        <w:t>5</w:t>
      </w:r>
      <w:r>
        <w:t>)</w:t>
      </w:r>
    </w:p>
    <w:p w:rsidR="00845D8F" w:rsidRDefault="00044185" w:rsidP="0032599C">
      <w:r>
        <w:t xml:space="preserve">Patients in cardiac arrest will typically have no pulse and will not be breathing. </w:t>
      </w:r>
      <w:r w:rsidR="0032599C" w:rsidRPr="00DA6E95">
        <w:t xml:space="preserve">In </w:t>
      </w:r>
      <w:r w:rsidR="00406FCF">
        <w:t>March</w:t>
      </w:r>
      <w:r w:rsidR="006E7B5C">
        <w:t xml:space="preserve"> 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FA2CEC" w:rsidRPr="00FA2CEC">
        <w:t>2,628</w:t>
      </w:r>
      <w:r w:rsidR="00FA2CEC">
        <w:t xml:space="preserve"> </w:t>
      </w:r>
      <w:r>
        <w:t xml:space="preserve">such </w:t>
      </w:r>
      <w:r w:rsidR="0032599C" w:rsidRPr="00DA6E95">
        <w:t>patients</w:t>
      </w:r>
      <w:r w:rsidR="0032599C">
        <w:t xml:space="preserve">. Of these, </w:t>
      </w:r>
      <w:r w:rsidR="00FA2CEC">
        <w:t>719</w:t>
      </w:r>
      <w:r w:rsidR="00AC1EF7" w:rsidRPr="00AC1EF7">
        <w:t xml:space="preserve"> </w:t>
      </w:r>
      <w:r w:rsidR="0032599C">
        <w:t>(</w:t>
      </w:r>
      <w:r w:rsidR="00F43D58">
        <w:t>2</w:t>
      </w:r>
      <w:r w:rsidR="00E853D7">
        <w:t>7</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t>.</w:t>
      </w:r>
      <w:r w:rsidR="00845D8F">
        <w:t xml:space="preserve"> T</w:t>
      </w:r>
      <w:r w:rsidR="0032599C">
        <w:t xml:space="preserve">he average </w:t>
      </w:r>
      <w:r w:rsidR="0032599C" w:rsidRPr="00296E05">
        <w:t xml:space="preserve">for </w:t>
      </w:r>
      <w:r w:rsidR="00845D8F">
        <w:t>2014-15</w:t>
      </w:r>
      <w:r w:rsidR="0032599C" w:rsidRPr="00C344CA">
        <w:t xml:space="preserve"> </w:t>
      </w:r>
      <w:r w:rsidR="00845D8F">
        <w:t xml:space="preserve">was also </w:t>
      </w:r>
      <w:r w:rsidR="00D4605E">
        <w:t>27</w:t>
      </w:r>
      <w:r w:rsidR="0032599C" w:rsidRPr="00D13275">
        <w:t>%</w:t>
      </w:r>
      <w:r w:rsidR="0032599C" w:rsidRPr="00296E05">
        <w:t>.</w:t>
      </w:r>
    </w:p>
    <w:p w:rsidR="0032599C" w:rsidRDefault="0032599C" w:rsidP="0032599C">
      <w:r>
        <w:t>The largest</w:t>
      </w:r>
      <w:r w:rsidRPr="00992442">
        <w:t xml:space="preserve"> </w:t>
      </w:r>
      <w:r>
        <w:t xml:space="preserve">proportion </w:t>
      </w:r>
      <w:r w:rsidR="00D124B3">
        <w:t>i</w:t>
      </w:r>
      <w:r w:rsidR="00D124B3" w:rsidRPr="00DA6E95">
        <w:t>n</w:t>
      </w:r>
      <w:r w:rsidR="00AC1EF7">
        <w:t xml:space="preserve"> </w:t>
      </w:r>
      <w:r w:rsidR="00FA2CEC">
        <w:t xml:space="preserve">March </w:t>
      </w:r>
      <w:r w:rsidR="005C42AC">
        <w:t>2015</w:t>
      </w:r>
      <w:r w:rsidR="00D124B3">
        <w:t xml:space="preserve"> </w:t>
      </w:r>
      <w:r>
        <w:t xml:space="preserve">was </w:t>
      </w:r>
      <w:r w:rsidR="00AC1EF7">
        <w:t>3</w:t>
      </w:r>
      <w:r w:rsidR="00FA2CEC">
        <w:t>7</w:t>
      </w:r>
      <w:r w:rsidRPr="00C21811">
        <w:t xml:space="preserve">% </w:t>
      </w:r>
      <w:r>
        <w:t xml:space="preserve">for </w:t>
      </w:r>
      <w:r w:rsidR="00FA2CEC">
        <w:t>North West</w:t>
      </w:r>
      <w:r>
        <w:t>, and the smallest</w:t>
      </w:r>
      <w:r w:rsidR="00DA4BA4" w:rsidRPr="00DA4BA4">
        <w:rPr>
          <w:vertAlign w:val="superscript"/>
        </w:rPr>
        <w:t>6</w:t>
      </w:r>
      <w:r>
        <w:t xml:space="preserve"> was </w:t>
      </w:r>
      <w:r w:rsidR="00FA2CEC">
        <w:t>2</w:t>
      </w:r>
      <w:r w:rsidR="002F1115">
        <w:t>0</w:t>
      </w:r>
      <w:r w:rsidRPr="00C21811">
        <w:t xml:space="preserve">% </w:t>
      </w:r>
      <w:r>
        <w:t>for</w:t>
      </w:r>
      <w:r w:rsidR="00FA2CEC">
        <w:t xml:space="preserve"> </w:t>
      </w:r>
      <w:r w:rsidR="00DA4BA4">
        <w:t xml:space="preserve">both Yorkshire and </w:t>
      </w:r>
      <w:r w:rsidR="00FA2CEC">
        <w:t>East Midlands</w:t>
      </w:r>
      <w:r w:rsidRPr="001C688D">
        <w:t>.</w:t>
      </w:r>
      <w:r>
        <w:t xml:space="preserve"> </w:t>
      </w:r>
    </w:p>
    <w:p w:rsidR="00F36218" w:rsidRDefault="003A0D0C" w:rsidP="003A0D0C">
      <w:pPr>
        <w:rPr>
          <w:rFonts w:cs="Arial"/>
        </w:rPr>
      </w:pPr>
      <w:r>
        <w:t>The Utstein group</w:t>
      </w:r>
      <w:r w:rsidR="00D536BB">
        <w:rPr>
          <w:rStyle w:val="FootnoteReference"/>
          <w:rFonts w:cs="Arial"/>
        </w:rPr>
        <w:footnoteReference w:id="7"/>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3A0D0C" w:rsidRDefault="002221E6" w:rsidP="003A0D0C">
      <w:pPr>
        <w:rPr>
          <w:rFonts w:cs="Arial"/>
        </w:rPr>
      </w:pPr>
      <w:r>
        <w:rPr>
          <w:rFonts w:cs="Arial"/>
        </w:rPr>
        <w:lastRenderedPageBreak/>
        <w:t xml:space="preserve">There are </w:t>
      </w:r>
      <w:r w:rsidR="00FF749A">
        <w:rPr>
          <w:rFonts w:cs="Arial"/>
        </w:rPr>
        <w:t xml:space="preserve">usually </w:t>
      </w:r>
      <w:r>
        <w:rPr>
          <w:rFonts w:cs="Arial"/>
        </w:rPr>
        <w:t xml:space="preserve">fewer than 50 patients in </w:t>
      </w:r>
      <w:r w:rsidR="00CB58C3">
        <w:rPr>
          <w:rFonts w:cs="Arial"/>
        </w:rPr>
        <w:t xml:space="preserve">the Utstein group in </w:t>
      </w:r>
      <w:r w:rsidR="00FF749A">
        <w:rPr>
          <w:rFonts w:cs="Arial"/>
        </w:rPr>
        <w:t>most</w:t>
      </w:r>
      <w:r>
        <w:rPr>
          <w:rFonts w:cs="Arial"/>
        </w:rPr>
        <w:t xml:space="preserve"> trust</w:t>
      </w:r>
      <w:r w:rsidR="00FF749A">
        <w:rPr>
          <w:rFonts w:cs="Arial"/>
        </w:rPr>
        <w:t>s</w:t>
      </w:r>
      <w:r>
        <w:rPr>
          <w:rFonts w:cs="Arial"/>
        </w:rPr>
        <w:t xml:space="preserve"> each month, so percentages calculated</w:t>
      </w:r>
      <w:r w:rsidR="00D124B3">
        <w:rPr>
          <w:rFonts w:cs="Arial"/>
        </w:rPr>
        <w:t xml:space="preserve"> for them can vary considerably, and changes are often not statistically significant.</w:t>
      </w:r>
    </w:p>
    <w:p w:rsidR="0032599C" w:rsidRDefault="00F8461F" w:rsidP="0032599C">
      <w:r>
        <w:rPr>
          <w:rFonts w:cs="Arial"/>
        </w:rPr>
        <w:t>There were</w:t>
      </w:r>
      <w:r w:rsidR="0032599C">
        <w:rPr>
          <w:rFonts w:cs="Arial"/>
        </w:rPr>
        <w:t xml:space="preserve"> </w:t>
      </w:r>
      <w:r w:rsidR="00AD0455" w:rsidRPr="00AD0455">
        <w:rPr>
          <w:rFonts w:cs="Arial"/>
        </w:rPr>
        <w:t>365</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 </w:t>
      </w:r>
      <w:r w:rsidR="00DA4BA4">
        <w:rPr>
          <w:rFonts w:cs="Arial"/>
        </w:rPr>
        <w:t>March</w:t>
      </w:r>
      <w:r w:rsidR="00022C19" w:rsidRPr="00022C19">
        <w:rPr>
          <w:rFonts w:cs="Arial"/>
        </w:rPr>
        <w:t xml:space="preserve"> 2015</w:t>
      </w:r>
      <w:r w:rsidR="0032599C" w:rsidRPr="00BF249B">
        <w:rPr>
          <w:rFonts w:cs="Arial"/>
        </w:rPr>
        <w:t xml:space="preserve">, </w:t>
      </w:r>
      <w:r>
        <w:rPr>
          <w:rFonts w:cs="Arial"/>
        </w:rPr>
        <w:t xml:space="preserve">of which </w:t>
      </w:r>
      <w:r w:rsidR="00AD0455" w:rsidRPr="00AD0455">
        <w:rPr>
          <w:rFonts w:cs="Arial"/>
        </w:rPr>
        <w:t>186</w:t>
      </w:r>
      <w:r>
        <w:rPr>
          <w:rFonts w:cs="Arial"/>
        </w:rPr>
        <w:t xml:space="preserve"> (</w:t>
      </w:r>
      <w:r w:rsidR="00AD0455">
        <w:rPr>
          <w:rFonts w:cs="Arial"/>
        </w:rPr>
        <w:t>51</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32599C">
        <w:rPr>
          <w:rFonts w:cs="Arial"/>
        </w:rPr>
        <w:t xml:space="preserve">, </w:t>
      </w:r>
      <w:r w:rsidR="00FB7D9D">
        <w:rPr>
          <w:rFonts w:cs="Arial"/>
        </w:rPr>
        <w:t>similar to</w:t>
      </w:r>
      <w:r w:rsidR="0032599C">
        <w:rPr>
          <w:rFonts w:cs="Arial"/>
        </w:rPr>
        <w:t xml:space="preserve"> the </w:t>
      </w:r>
      <w:r w:rsidR="0032599C" w:rsidRPr="00BF249B">
        <w:rPr>
          <w:rFonts w:cs="Arial"/>
        </w:rPr>
        <w:t xml:space="preserve">average for </w:t>
      </w:r>
      <w:r w:rsidR="00DA4BA4">
        <w:rPr>
          <w:rFonts w:cs="Arial"/>
        </w:rPr>
        <w:t>2014-15 of 49%</w:t>
      </w:r>
      <w:r w:rsidR="0032599C" w:rsidRPr="00BF249B">
        <w:rPr>
          <w:rFonts w:cs="Arial"/>
        </w:rPr>
        <w:t>.</w:t>
      </w:r>
      <w:r w:rsidR="0032599C">
        <w:rPr>
          <w:rFonts w:cs="Arial"/>
        </w:rPr>
        <w:t xml:space="preserve"> </w:t>
      </w:r>
      <w:r w:rsidR="0032599C">
        <w:t>The largest</w:t>
      </w:r>
      <w:r w:rsidR="0032599C">
        <w:rPr>
          <w:vertAlign w:val="superscript"/>
        </w:rPr>
        <w:t xml:space="preserve"> </w:t>
      </w:r>
      <w:r w:rsidR="0032599C">
        <w:t xml:space="preserve">proportion in </w:t>
      </w:r>
      <w:r w:rsidR="0032599C" w:rsidRPr="00BF249B">
        <w:rPr>
          <w:rFonts w:cs="Arial"/>
        </w:rPr>
        <w:t xml:space="preserve">the month of </w:t>
      </w:r>
      <w:r w:rsidR="006F2389">
        <w:rPr>
          <w:rFonts w:cs="Arial"/>
        </w:rPr>
        <w:t xml:space="preserve">March </w:t>
      </w:r>
      <w:r w:rsidR="00022C19" w:rsidRPr="00022C19">
        <w:rPr>
          <w:rFonts w:cs="Arial"/>
        </w:rPr>
        <w:t>2015</w:t>
      </w:r>
      <w:r w:rsidR="00022C19">
        <w:rPr>
          <w:rFonts w:cs="Arial"/>
        </w:rPr>
        <w:t xml:space="preserve"> </w:t>
      </w:r>
      <w:r w:rsidR="0032599C">
        <w:t xml:space="preserve">was </w:t>
      </w:r>
      <w:r w:rsidR="006F2389">
        <w:t>69</w:t>
      </w:r>
      <w:r w:rsidR="0032599C" w:rsidRPr="00745962">
        <w:t xml:space="preserve">% </w:t>
      </w:r>
      <w:r w:rsidR="0032599C">
        <w:t xml:space="preserve">for </w:t>
      </w:r>
      <w:r w:rsidR="00DA4BA4">
        <w:t>both N</w:t>
      </w:r>
      <w:r w:rsidR="006541BF">
        <w:t xml:space="preserve">orth </w:t>
      </w:r>
      <w:r w:rsidR="00022C19" w:rsidRPr="00022C19">
        <w:t>East</w:t>
      </w:r>
      <w:r w:rsidR="00DA4BA4">
        <w:t xml:space="preserve"> and East of England</w:t>
      </w:r>
      <w:r w:rsidR="0032599C">
        <w:t>, and the smallest</w:t>
      </w:r>
      <w:r w:rsidR="00022C19">
        <w:rPr>
          <w:rStyle w:val="FootnoteReference"/>
          <w:rFonts w:cs="Arial"/>
        </w:rPr>
        <w:footnoteReference w:id="8"/>
      </w:r>
      <w:r w:rsidR="00022C19" w:rsidRPr="00992442">
        <w:t xml:space="preserve"> </w:t>
      </w:r>
      <w:r w:rsidR="0032599C">
        <w:t xml:space="preserve">was </w:t>
      </w:r>
      <w:r w:rsidR="006F2389">
        <w:t>32</w:t>
      </w:r>
      <w:r w:rsidR="0032599C" w:rsidRPr="00745962">
        <w:t>%</w:t>
      </w:r>
      <w:r w:rsidR="0032599C" w:rsidRPr="00EF3B4A">
        <w:t xml:space="preserve"> </w:t>
      </w:r>
      <w:r w:rsidR="0032599C">
        <w:t xml:space="preserve">for </w:t>
      </w:r>
      <w:r w:rsidR="006F2389" w:rsidRPr="006F2389">
        <w:t>East Midlands</w:t>
      </w:r>
      <w:r w:rsidR="0032599C">
        <w:t>.</w:t>
      </w:r>
    </w:p>
    <w:p w:rsidR="00DA4BA4" w:rsidRDefault="00DA4BA4" w:rsidP="0032599C">
      <w:r>
        <w:rPr>
          <w:noProof/>
        </w:rPr>
        <w:drawing>
          <wp:inline distT="0" distB="0" distL="0" distR="0" wp14:anchorId="35FB00F4">
            <wp:extent cx="5675630" cy="293878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5630" cy="2938780"/>
                    </a:xfrm>
                    <a:prstGeom prst="rect">
                      <a:avLst/>
                    </a:prstGeom>
                    <a:noFill/>
                  </pic:spPr>
                </pic:pic>
              </a:graphicData>
            </a:graphic>
          </wp:inline>
        </w:drawing>
      </w:r>
    </w:p>
    <w:p w:rsidR="003A0D0C" w:rsidRDefault="003A0D0C" w:rsidP="003A0D0C">
      <w:pPr>
        <w:pStyle w:val="Heading3"/>
        <w:rPr>
          <w:noProof/>
        </w:rPr>
      </w:pPr>
      <w:r>
        <w:t>B2</w:t>
      </w:r>
      <w:r>
        <w:tab/>
        <w:t xml:space="preserve">Cardiac arrest: survival to discharge (Figure </w:t>
      </w:r>
      <w:r w:rsidR="0079282B">
        <w:t>6</w:t>
      </w:r>
      <w:r>
        <w:t>)</w:t>
      </w:r>
      <w:r w:rsidR="00D4605E" w:rsidRPr="00D4605E">
        <w:rPr>
          <w:noProof/>
        </w:rPr>
        <w:t xml:space="preserve"> </w:t>
      </w:r>
    </w:p>
    <w:p w:rsidR="00DA4BA4" w:rsidRDefault="0032599C" w:rsidP="0032599C">
      <w:r>
        <w:t xml:space="preserve">The proportion of cardiac arrest patients in England discharged from hospital alive was </w:t>
      </w:r>
      <w:r w:rsidR="00484CF7">
        <w:t>9</w:t>
      </w:r>
      <w:r>
        <w:t xml:space="preserve">% in </w:t>
      </w:r>
      <w:r w:rsidR="00484CF7">
        <w:t xml:space="preserve">March </w:t>
      </w:r>
      <w:r w:rsidR="0079282B" w:rsidRPr="0079282B">
        <w:t>2015</w:t>
      </w:r>
      <w:r w:rsidR="00DA4BA4">
        <w:t>,</w:t>
      </w:r>
      <w:r w:rsidR="00E8050D">
        <w:t xml:space="preserve"> similar to the </w:t>
      </w:r>
      <w:r>
        <w:t>average</w:t>
      </w:r>
      <w:r w:rsidR="0067269D">
        <w:t xml:space="preserve"> </w:t>
      </w:r>
      <w:r>
        <w:t xml:space="preserve">for </w:t>
      </w:r>
      <w:r w:rsidR="00DA4BA4">
        <w:t>2014-15 of 8%</w:t>
      </w:r>
      <w:r w:rsidR="000610E8">
        <w:t>.</w:t>
      </w:r>
      <w:r w:rsidR="00806A50">
        <w:t xml:space="preserve"> For the Utstein group, survival to discharge in March </w:t>
      </w:r>
      <w:r w:rsidR="00806A50" w:rsidRPr="0079282B">
        <w:t>2015</w:t>
      </w:r>
      <w:r w:rsidR="00806A50">
        <w:t xml:space="preserve"> was 26</w:t>
      </w:r>
      <w:r w:rsidR="00806A50" w:rsidRPr="004C6F83">
        <w:t>%</w:t>
      </w:r>
      <w:r w:rsidR="00806A50">
        <w:t xml:space="preserve">, the same as the </w:t>
      </w:r>
      <w:r w:rsidR="00806A50" w:rsidRPr="002A2463">
        <w:t xml:space="preserve">average </w:t>
      </w:r>
      <w:r w:rsidR="00806A50">
        <w:t>for 2014-15.</w:t>
      </w:r>
    </w:p>
    <w:p w:rsidR="001E1B0A" w:rsidRDefault="00DA4BA4" w:rsidP="0032599C">
      <w:r>
        <w:rPr>
          <w:noProof/>
        </w:rPr>
        <w:drawing>
          <wp:inline distT="0" distB="0" distL="0" distR="0" wp14:anchorId="01E0715D" wp14:editId="1A69B44F">
            <wp:extent cx="5669915" cy="257302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573020"/>
                    </a:xfrm>
                    <a:prstGeom prst="rect">
                      <a:avLst/>
                    </a:prstGeom>
                    <a:noFill/>
                  </pic:spPr>
                </pic:pic>
              </a:graphicData>
            </a:graphic>
          </wp:inline>
        </w:drawing>
      </w:r>
    </w:p>
    <w:p w:rsidR="00D124B3" w:rsidRDefault="00806A50" w:rsidP="0032599C">
      <w:r>
        <w:rPr>
          <w:rFonts w:cs="Arial"/>
        </w:rPr>
        <w:lastRenderedPageBreak/>
        <w:t xml:space="preserve">In March </w:t>
      </w:r>
      <w:r w:rsidRPr="0079282B">
        <w:t>2015</w:t>
      </w:r>
      <w:r>
        <w:t>, the</w:t>
      </w:r>
      <w:r w:rsidR="0032599C">
        <w:t xml:space="preserve"> largest</w:t>
      </w:r>
      <w:r w:rsidR="0032599C">
        <w:rPr>
          <w:vertAlign w:val="superscript"/>
        </w:rPr>
        <w:t xml:space="preserve"> </w:t>
      </w:r>
      <w:r w:rsidR="0032599C">
        <w:t>proportion for survival to discharge</w:t>
      </w:r>
      <w:r w:rsidR="0032599C" w:rsidRPr="0066320C">
        <w:rPr>
          <w:rFonts w:cs="Arial"/>
        </w:rPr>
        <w:t xml:space="preserve"> </w:t>
      </w:r>
      <w:r w:rsidR="0032599C">
        <w:t xml:space="preserve">was </w:t>
      </w:r>
      <w:r w:rsidR="001C2FF8">
        <w:t>21</w:t>
      </w:r>
      <w:r w:rsidR="0067269D" w:rsidRPr="0067269D">
        <w:t>%</w:t>
      </w:r>
      <w:r w:rsidR="0032599C" w:rsidRPr="005A5CE2">
        <w:t xml:space="preserve"> </w:t>
      </w:r>
      <w:r w:rsidR="0032599C">
        <w:t>for South Central, and the smallest</w:t>
      </w:r>
      <w:r w:rsidR="00DA4BA4">
        <w:rPr>
          <w:rStyle w:val="FootnoteReference"/>
          <w:rFonts w:cs="Arial"/>
        </w:rPr>
        <w:footnoteReference w:id="9"/>
      </w:r>
      <w:r w:rsidR="0079282B">
        <w:t xml:space="preserve"> </w:t>
      </w:r>
      <w:r w:rsidR="0032599C">
        <w:t xml:space="preserve">was </w:t>
      </w:r>
      <w:r w:rsidR="001C2FF8">
        <w:t>5</w:t>
      </w:r>
      <w:r w:rsidR="0032599C" w:rsidRPr="005A5CE2">
        <w:t>%</w:t>
      </w:r>
      <w:r w:rsidR="0032599C">
        <w:t xml:space="preserve"> for </w:t>
      </w:r>
      <w:r w:rsidR="00E853D7">
        <w:t xml:space="preserve">East </w:t>
      </w:r>
      <w:r w:rsidR="001C2FF8">
        <w:t>Midlands</w:t>
      </w:r>
      <w:r w:rsidR="0032599C">
        <w:t>.</w:t>
      </w:r>
      <w:r w:rsidRPr="00806A50">
        <w:rPr>
          <w:rFonts w:cs="Arial"/>
        </w:rPr>
        <w:t xml:space="preserve"> </w:t>
      </w:r>
      <w:r>
        <w:rPr>
          <w:rFonts w:cs="Arial"/>
        </w:rPr>
        <w:t>For the Utstein subgroup, t</w:t>
      </w:r>
      <w:r w:rsidR="0032599C">
        <w:t xml:space="preserve">he largest proportion was </w:t>
      </w:r>
      <w:r w:rsidR="004C7F43">
        <w:t>47</w:t>
      </w:r>
      <w:r w:rsidR="003F3F9B" w:rsidRPr="003F3F9B">
        <w:t>%</w:t>
      </w:r>
      <w:r w:rsidR="0032599C" w:rsidRPr="004C6F83">
        <w:t xml:space="preserve"> </w:t>
      </w:r>
      <w:r w:rsidR="0032599C">
        <w:t xml:space="preserve">for </w:t>
      </w:r>
      <w:r w:rsidR="003F3F9B">
        <w:t>Yorkshire</w:t>
      </w:r>
      <w:r w:rsidR="0032599C">
        <w:t>, and the smallest</w:t>
      </w:r>
      <w:r w:rsidRPr="00806A50">
        <w:rPr>
          <w:vertAlign w:val="superscript"/>
        </w:rPr>
        <w:t>9</w:t>
      </w:r>
      <w:r w:rsidR="0032599C">
        <w:t xml:space="preserve"> was </w:t>
      </w:r>
      <w:r w:rsidR="00957E91">
        <w:t>1</w:t>
      </w:r>
      <w:r w:rsidR="004C7F43">
        <w:t>2</w:t>
      </w:r>
      <w:r w:rsidR="0032599C" w:rsidRPr="004C6F83">
        <w:t xml:space="preserve">% </w:t>
      </w:r>
      <w:r w:rsidR="0032599C">
        <w:t>for</w:t>
      </w:r>
      <w:r w:rsidR="004C7F43">
        <w:t xml:space="preserve"> East </w:t>
      </w:r>
      <w:r w:rsidR="0079282B" w:rsidRPr="0079282B">
        <w:t>Midlands.</w:t>
      </w:r>
    </w:p>
    <w:p w:rsidR="003A0D0C" w:rsidRDefault="003A0D0C" w:rsidP="003A0D0C">
      <w:pPr>
        <w:pStyle w:val="Heading3"/>
      </w:pPr>
      <w:r>
        <w:t>B3</w:t>
      </w:r>
      <w:r>
        <w:tab/>
      </w:r>
      <w:r w:rsidRPr="00DA6E95">
        <w:t>ST-Elevation myocardial infarction</w:t>
      </w:r>
      <w:r w:rsidR="00CD037E">
        <w:t xml:space="preserve"> </w:t>
      </w:r>
      <w:r>
        <w:t xml:space="preserve">(Figure </w:t>
      </w:r>
      <w:r w:rsidR="00FC44C3">
        <w:t>7</w:t>
      </w:r>
      <w:r>
        <w:t>)</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806A50" w:rsidRDefault="0032599C" w:rsidP="0032599C">
      <w:r>
        <w:t xml:space="preserve">In </w:t>
      </w:r>
      <w:r w:rsidR="009915A2">
        <w:t xml:space="preserve">March </w:t>
      </w:r>
      <w:r w:rsidR="00FC44C3" w:rsidRPr="0079282B">
        <w:t>2015</w:t>
      </w:r>
      <w:r>
        <w:t xml:space="preserve">, of </w:t>
      </w:r>
      <w:r w:rsidR="00F05F18" w:rsidRPr="00F05F18">
        <w:t xml:space="preserve">1,666 </w:t>
      </w:r>
      <w:r w:rsidRPr="00DA6E95">
        <w:t>patients with an acute STEMI</w:t>
      </w:r>
      <w:r w:rsidRPr="00940A61">
        <w:t xml:space="preserve"> </w:t>
      </w:r>
      <w:r>
        <w:t xml:space="preserve">in England, </w:t>
      </w:r>
      <w:r w:rsidR="00F05F18" w:rsidRPr="00F05F18">
        <w:t xml:space="preserve">1,267 </w:t>
      </w:r>
      <w:r>
        <w:t>(</w:t>
      </w:r>
      <w:r w:rsidR="00F05F18">
        <w:t>76</w:t>
      </w:r>
      <w:r w:rsidRPr="00432C67">
        <w:t>%</w:t>
      </w:r>
      <w:r>
        <w:t>)</w:t>
      </w:r>
      <w:r w:rsidRPr="00432C67">
        <w:t xml:space="preserve"> </w:t>
      </w:r>
      <w:r w:rsidRPr="00DA6E95">
        <w:t>received the appropriate care bundle</w:t>
      </w:r>
      <w:r>
        <w:rPr>
          <w:rStyle w:val="FootnoteReference"/>
        </w:rPr>
        <w:footnoteReference w:id="10"/>
      </w:r>
      <w:r w:rsidR="00806A50">
        <w:t>.</w:t>
      </w:r>
    </w:p>
    <w:p w:rsidR="00806A50" w:rsidRDefault="00806A50" w:rsidP="0032599C">
      <w:r>
        <w:t>This</w:t>
      </w:r>
      <w:r w:rsidR="00240F81">
        <w:t xml:space="preserve"> was </w:t>
      </w:r>
      <w:r w:rsidR="00581B52">
        <w:t xml:space="preserve">significant less than </w:t>
      </w:r>
      <w:r w:rsidR="00240F81">
        <w:t>the a</w:t>
      </w:r>
      <w:r w:rsidR="00F05F18">
        <w:t xml:space="preserve">verage </w:t>
      </w:r>
      <w:r w:rsidR="00240F81">
        <w:t xml:space="preserve">for </w:t>
      </w:r>
      <w:r>
        <w:t xml:space="preserve">2014-15 of </w:t>
      </w:r>
      <w:r w:rsidR="007F5A7E">
        <w:t>80%</w:t>
      </w:r>
      <w:r>
        <w:t>.</w:t>
      </w:r>
    </w:p>
    <w:p w:rsidR="0032599C" w:rsidRDefault="0032599C" w:rsidP="0032599C">
      <w:r w:rsidRPr="008132F5">
        <w:t xml:space="preserve">The largest proportion </w:t>
      </w:r>
      <w:r>
        <w:t xml:space="preserve">for </w:t>
      </w:r>
      <w:r w:rsidR="00806A50">
        <w:t>March</w:t>
      </w:r>
      <w:r w:rsidR="00957E91" w:rsidRPr="0079282B">
        <w:t xml:space="preserve"> </w:t>
      </w:r>
      <w:r w:rsidR="000F537D" w:rsidRPr="000F537D">
        <w:t>2015</w:t>
      </w:r>
      <w:r>
        <w:t xml:space="preserve"> </w:t>
      </w:r>
      <w:r w:rsidRPr="008132F5">
        <w:t xml:space="preserve">was </w:t>
      </w:r>
      <w:r w:rsidR="00F36218">
        <w:t>9</w:t>
      </w:r>
      <w:r w:rsidR="007E6EF0">
        <w:t>0</w:t>
      </w:r>
      <w:r w:rsidRPr="00432C67">
        <w:t xml:space="preserve">% </w:t>
      </w:r>
      <w:r>
        <w:t>for</w:t>
      </w:r>
      <w:r w:rsidRPr="008132F5">
        <w:t xml:space="preserve"> </w:t>
      </w:r>
      <w:r w:rsidR="00F36218">
        <w:t xml:space="preserve">North </w:t>
      </w:r>
      <w:r w:rsidR="000F537D">
        <w:t>East</w:t>
      </w:r>
      <w:r>
        <w:t xml:space="preserve">, and the </w:t>
      </w:r>
      <w:r w:rsidRPr="008132F5">
        <w:t>smallest</w:t>
      </w:r>
      <w:r>
        <w:rPr>
          <w:vertAlign w:val="superscript"/>
        </w:rPr>
        <w:t xml:space="preserve"> </w:t>
      </w:r>
      <w:r w:rsidRPr="008132F5">
        <w:t xml:space="preserve">was </w:t>
      </w:r>
      <w:r w:rsidR="00806A50">
        <w:t>55</w:t>
      </w:r>
      <w:r w:rsidR="00F36218" w:rsidRPr="00433A74">
        <w:t xml:space="preserve">% </w:t>
      </w:r>
      <w:r w:rsidR="00F36218">
        <w:t xml:space="preserve">for </w:t>
      </w:r>
      <w:r w:rsidR="00F36218" w:rsidRPr="00085A95">
        <w:t>South Central</w:t>
      </w:r>
      <w:r w:rsidRPr="008132F5">
        <w:t>.</w:t>
      </w:r>
    </w:p>
    <w:p w:rsidR="0032599C" w:rsidRDefault="0032599C" w:rsidP="0032599C">
      <w:r>
        <w:t xml:space="preserve">Of </w:t>
      </w:r>
      <w:r w:rsidR="000517B6" w:rsidRPr="000517B6">
        <w:t>1,031</w:t>
      </w:r>
      <w:r w:rsidR="00957E91">
        <w:t xml:space="preserve"> </w:t>
      </w:r>
      <w:r>
        <w:t xml:space="preserve">STEMI patients </w:t>
      </w:r>
      <w:r w:rsidR="00806A50">
        <w:t xml:space="preserve">that </w:t>
      </w:r>
      <w:r w:rsidRPr="00DA6E95">
        <w:t>receiv</w:t>
      </w:r>
      <w:r w:rsidR="00806A50">
        <w:t>ed</w:t>
      </w:r>
      <w:r>
        <w:t xml:space="preserve"> </w:t>
      </w:r>
      <w:r w:rsidRPr="00DA6E95">
        <w:t>primary angioplasty</w:t>
      </w:r>
      <w:r w:rsidRPr="00940A61">
        <w:t xml:space="preserve"> </w:t>
      </w:r>
      <w:r>
        <w:t xml:space="preserve">in </w:t>
      </w:r>
      <w:r w:rsidR="000517B6">
        <w:t xml:space="preserve">March </w:t>
      </w:r>
      <w:r w:rsidR="00597ACE" w:rsidRPr="00597ACE">
        <w:t>2015</w:t>
      </w:r>
      <w:r w:rsidR="00597ACE">
        <w:t xml:space="preserve"> </w:t>
      </w:r>
      <w:r>
        <w:t>in England</w:t>
      </w:r>
      <w:r w:rsidRPr="00DA6E95">
        <w:t xml:space="preserve">, </w:t>
      </w:r>
      <w:r w:rsidR="000517B6">
        <w:t>904</w:t>
      </w:r>
      <w:r w:rsidR="00957E91" w:rsidRPr="00957E91">
        <w:t xml:space="preserve"> </w:t>
      </w:r>
      <w:r>
        <w:t>(</w:t>
      </w:r>
      <w:r w:rsidR="00CD037E">
        <w:t>8</w:t>
      </w:r>
      <w:r w:rsidR="00957E91">
        <w:t>8</w:t>
      </w:r>
      <w:r w:rsidRPr="00433A74">
        <w:t>%</w:t>
      </w:r>
      <w:r>
        <w:t xml:space="preserve">) of them </w:t>
      </w:r>
      <w:r w:rsidRPr="00DA6E95">
        <w:t xml:space="preserve">received </w:t>
      </w:r>
      <w:r>
        <w:t xml:space="preserve">it </w:t>
      </w:r>
      <w:r w:rsidRPr="00DA6E95">
        <w:t>within 150 minutes of the call being connected to the ambulance service</w:t>
      </w:r>
      <w:r>
        <w:t xml:space="preserve">, </w:t>
      </w:r>
      <w:r w:rsidR="00957E91">
        <w:t>similar</w:t>
      </w:r>
      <w:r w:rsidR="00D96387" w:rsidRPr="00D96387">
        <w:t xml:space="preserve"> </w:t>
      </w:r>
      <w:r w:rsidR="00957E91">
        <w:t xml:space="preserve">to </w:t>
      </w:r>
      <w:r w:rsidR="00D96387" w:rsidRPr="00D96387">
        <w:t xml:space="preserve">the </w:t>
      </w:r>
      <w:r w:rsidR="00806A50">
        <w:t>average for 2014-15 of 87%</w:t>
      </w:r>
      <w:r>
        <w:t>.</w:t>
      </w:r>
      <w:r w:rsidRPr="00320970">
        <w:t xml:space="preserve"> </w:t>
      </w:r>
      <w:r w:rsidR="000517B6">
        <w:t xml:space="preserve">London </w:t>
      </w:r>
      <w:r>
        <w:t>had the largest</w:t>
      </w:r>
      <w:r>
        <w:rPr>
          <w:vertAlign w:val="superscript"/>
        </w:rPr>
        <w:t xml:space="preserve"> </w:t>
      </w:r>
      <w:r>
        <w:t xml:space="preserve">proportion </w:t>
      </w:r>
      <w:r w:rsidR="00806A50">
        <w:t xml:space="preserve">in </w:t>
      </w:r>
      <w:r w:rsidR="000517B6">
        <w:t xml:space="preserve">March </w:t>
      </w:r>
      <w:r w:rsidR="00433F86" w:rsidRPr="00433F86">
        <w:t>2015</w:t>
      </w:r>
      <w:r>
        <w:t xml:space="preserve">, with </w:t>
      </w:r>
      <w:r w:rsidR="00085A95">
        <w:t>9</w:t>
      </w:r>
      <w:r w:rsidR="00957E91">
        <w:t>6</w:t>
      </w:r>
      <w:r w:rsidRPr="00433A74">
        <w:t>%</w:t>
      </w:r>
      <w:r>
        <w:t>, and the smallest</w:t>
      </w:r>
      <w:r w:rsidR="00806A50">
        <w:rPr>
          <w:vertAlign w:val="superscript"/>
        </w:rPr>
        <w:t>9</w:t>
      </w:r>
      <w:r w:rsidR="00085A95">
        <w:t xml:space="preserve"> </w:t>
      </w:r>
      <w:r>
        <w:t>was</w:t>
      </w:r>
      <w:r w:rsidR="00F36218">
        <w:t xml:space="preserve"> 7</w:t>
      </w:r>
      <w:r w:rsidR="00957E91">
        <w:t>5</w:t>
      </w:r>
      <w:r w:rsidR="00F36218" w:rsidRPr="00432C67">
        <w:t xml:space="preserve">% </w:t>
      </w:r>
      <w:r w:rsidR="00F36218">
        <w:t xml:space="preserve">for </w:t>
      </w:r>
      <w:r w:rsidR="000F537D" w:rsidRPr="000F537D">
        <w:t>South Western</w:t>
      </w:r>
      <w:r>
        <w:t>.</w:t>
      </w:r>
    </w:p>
    <w:p w:rsidR="002221E6" w:rsidRPr="008132F5" w:rsidRDefault="00806A50" w:rsidP="0032599C">
      <w:r>
        <w:rPr>
          <w:noProof/>
        </w:rPr>
        <w:drawing>
          <wp:inline distT="0" distB="0" distL="0" distR="0" wp14:anchorId="70368CAF">
            <wp:extent cx="5602605" cy="32188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3218815"/>
                    </a:xfrm>
                    <a:prstGeom prst="rect">
                      <a:avLst/>
                    </a:prstGeom>
                    <a:noFill/>
                  </pic:spPr>
                </pic:pic>
              </a:graphicData>
            </a:graphic>
          </wp:inline>
        </w:drawing>
      </w:r>
    </w:p>
    <w:p w:rsidR="003A0D0C" w:rsidRDefault="003A0D0C" w:rsidP="003A0D0C">
      <w:pPr>
        <w:pStyle w:val="Heading3"/>
      </w:pPr>
      <w:r>
        <w:lastRenderedPageBreak/>
        <w:t>B4</w:t>
      </w:r>
      <w:r>
        <w:tab/>
        <w:t xml:space="preserve">Stroke (Figure </w:t>
      </w:r>
      <w:r w:rsidR="00F81BC9">
        <w:t>8</w:t>
      </w:r>
      <w:r w:rsidR="00F36218">
        <w:t>)</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806A50" w:rsidRDefault="0032599C" w:rsidP="00033CF1">
      <w:r>
        <w:t xml:space="preserve">In </w:t>
      </w:r>
      <w:r w:rsidR="00240F81">
        <w:t>March 2</w:t>
      </w:r>
      <w:r w:rsidR="00F81BC9" w:rsidRPr="00F81BC9">
        <w:t>015</w:t>
      </w:r>
      <w:r>
        <w:t xml:space="preserve">, of </w:t>
      </w:r>
      <w:r w:rsidR="00240F81" w:rsidRPr="00240F81">
        <w:t>3,105</w:t>
      </w:r>
      <w:r w:rsidR="00240F81">
        <w:t xml:space="preserve"> </w:t>
      </w:r>
      <w:r>
        <w:t>FAST positive patients</w:t>
      </w:r>
      <w:r w:rsidRPr="00940A61">
        <w:t xml:space="preserve"> </w:t>
      </w:r>
      <w:r>
        <w:t xml:space="preserve">in England, assessed face to face, and potentially eligible for stroke thrombolysis within agreed local guidelines, </w:t>
      </w:r>
      <w:r w:rsidR="00240F81" w:rsidRPr="00240F81">
        <w:t xml:space="preserve">1,790 </w:t>
      </w:r>
      <w:r>
        <w:t>(</w:t>
      </w:r>
      <w:r w:rsidR="00240F81">
        <w:t>58</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806A50">
        <w:t xml:space="preserve">. This </w:t>
      </w:r>
      <w:r w:rsidR="007F5A7E">
        <w:t xml:space="preserve">was </w:t>
      </w:r>
      <w:r w:rsidR="00806A50">
        <w:t>similar to the average for 2014-15 of 59%.</w:t>
      </w:r>
    </w:p>
    <w:p w:rsidR="00033CF1" w:rsidRDefault="00033CF1" w:rsidP="00033CF1">
      <w:r>
        <w:t>The largest proportion in the month of</w:t>
      </w:r>
      <w:r w:rsidR="00FF528E">
        <w:t xml:space="preserve"> March </w:t>
      </w:r>
      <w:r w:rsidR="006E6FAF" w:rsidRPr="006E6FAF">
        <w:t>2015</w:t>
      </w:r>
      <w:r w:rsidR="006E6FAF">
        <w:t xml:space="preserve"> </w:t>
      </w:r>
      <w:r w:rsidR="00140B7B">
        <w:t>was 77</w:t>
      </w:r>
      <w:r w:rsidRPr="00B009BE">
        <w:t xml:space="preserve">% </w:t>
      </w:r>
      <w:r>
        <w:t xml:space="preserve">for </w:t>
      </w:r>
      <w:r w:rsidR="00881BB4">
        <w:t xml:space="preserve">North </w:t>
      </w:r>
      <w:r w:rsidR="001E75EA">
        <w:t>East</w:t>
      </w:r>
      <w:r>
        <w:t xml:space="preserve">, and the smallest was </w:t>
      </w:r>
      <w:r w:rsidR="00881BB4">
        <w:t>4</w:t>
      </w:r>
      <w:r w:rsidR="001E75EA">
        <w:t>7</w:t>
      </w:r>
      <w:r w:rsidRPr="00B009BE">
        <w:t xml:space="preserve">% </w:t>
      </w:r>
      <w:r>
        <w:t xml:space="preserve">for </w:t>
      </w:r>
      <w:r w:rsidR="001E75EA">
        <w:t>West Midlands</w:t>
      </w:r>
      <w:r>
        <w:t>.</w:t>
      </w:r>
    </w:p>
    <w:p w:rsidR="006E6FAF" w:rsidRDefault="00033CF1" w:rsidP="001E75EA">
      <w:bookmarkStart w:id="2" w:name="OLE_LINK3"/>
      <w:r>
        <w:t xml:space="preserve">There were </w:t>
      </w:r>
      <w:r w:rsidR="00140B7B" w:rsidRPr="00140B7B">
        <w:t>7,487</w:t>
      </w:r>
      <w:r w:rsidR="00140B7B">
        <w:t xml:space="preserve"> </w:t>
      </w:r>
      <w:r>
        <w:t>stroke patients</w:t>
      </w:r>
      <w:r w:rsidRPr="00940A61">
        <w:t xml:space="preserve"> </w:t>
      </w:r>
      <w:r>
        <w:t>assessed face to face</w:t>
      </w:r>
      <w:r w:rsidRPr="007920B1">
        <w:t xml:space="preserve"> </w:t>
      </w:r>
      <w:r>
        <w:t xml:space="preserve">in </w:t>
      </w:r>
      <w:r w:rsidR="00140B7B">
        <w:t xml:space="preserve">March </w:t>
      </w:r>
      <w:r w:rsidR="006E6FAF" w:rsidRPr="006E6FAF">
        <w:t>2015</w:t>
      </w:r>
      <w:r w:rsidR="006E6FAF">
        <w:t xml:space="preserve"> </w:t>
      </w:r>
      <w:r>
        <w:t xml:space="preserve">in England, and </w:t>
      </w:r>
      <w:r w:rsidR="00140B7B" w:rsidRPr="00140B7B">
        <w:t xml:space="preserve">7,288 </w:t>
      </w:r>
      <w:r>
        <w:t>(97</w:t>
      </w:r>
      <w:r w:rsidRPr="002502D1">
        <w:t>%</w:t>
      </w:r>
      <w:r>
        <w:t>)</w:t>
      </w:r>
      <w:r w:rsidRPr="001A6875">
        <w:t xml:space="preserve"> </w:t>
      </w:r>
      <w:r>
        <w:t xml:space="preserve">received </w:t>
      </w:r>
      <w:r w:rsidRPr="00DA6E95">
        <w:t>the appropriate care bundle</w:t>
      </w:r>
      <w:r w:rsidR="00806A50">
        <w:t>, the same proportion as the average for 2014-15</w:t>
      </w:r>
      <w:r w:rsidR="001E1B0A">
        <w:t>. All trusts h</w:t>
      </w:r>
      <w:r w:rsidR="00806A50">
        <w:t>ad a proportion of at least 95% in March 2015.</w:t>
      </w:r>
      <w:bookmarkEnd w:id="2"/>
    </w:p>
    <w:p w:rsidR="00881F90" w:rsidRDefault="001E75EA" w:rsidP="0032599C">
      <w:r>
        <w:rPr>
          <w:noProof/>
        </w:rPr>
        <w:drawing>
          <wp:inline distT="0" distB="0" distL="0" distR="0" wp14:anchorId="553CC22C">
            <wp:extent cx="5517515" cy="2792095"/>
            <wp:effectExtent l="0" t="0" r="698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7515" cy="2792095"/>
                    </a:xfrm>
                    <a:prstGeom prst="rect">
                      <a:avLst/>
                    </a:prstGeom>
                    <a:noFill/>
                  </pic:spPr>
                </pic:pic>
              </a:graphicData>
            </a:graphic>
          </wp:inline>
        </w:drawing>
      </w:r>
    </w:p>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2D5C5D"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lastRenderedPageBreak/>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6736E" w:rsidRDefault="0036736E" w:rsidP="0036736E">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Default="003A0D0C" w:rsidP="002221E6">
            <w:pPr>
              <w:pStyle w:val="Heading4"/>
            </w:pPr>
            <w:r>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Default="003A0D0C" w:rsidP="002221E6">
            <w:pPr>
              <w:pStyle w:val="Heading4"/>
            </w:pPr>
            <w: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Default="003A0D0C" w:rsidP="002221E6">
            <w:pPr>
              <w:pStyle w:val="Heading4"/>
            </w:pPr>
            <w:r>
              <w:t>Months affected</w:t>
            </w:r>
          </w:p>
        </w:tc>
      </w:tr>
      <w:tr w:rsidR="003A0D0C" w:rsidTr="00E57244">
        <w:tc>
          <w:tcPr>
            <w:tcW w:w="2268" w:type="dxa"/>
            <w:tcBorders>
              <w:top w:val="single" w:sz="4" w:space="0" w:color="auto"/>
            </w:tcBorders>
            <w:tcMar>
              <w:left w:w="57" w:type="dxa"/>
              <w:right w:w="57" w:type="dxa"/>
            </w:tcMar>
          </w:tcPr>
          <w:p w:rsidR="003A0D0C" w:rsidRDefault="003A0D0C" w:rsidP="00E57244">
            <w:pPr>
              <w:pStyle w:val="NoSpacing"/>
              <w:jc w:val="right"/>
            </w:pPr>
            <w:r>
              <w:t xml:space="preserve"> </w:t>
            </w:r>
            <w:r w:rsidR="00E57244">
              <w:t>12</w:t>
            </w:r>
            <w:r>
              <w:t xml:space="preserve"> </w:t>
            </w:r>
            <w:r w:rsidRPr="00875FD5">
              <w:t>November</w:t>
            </w:r>
            <w:r>
              <w:t xml:space="preserve"> 2015</w:t>
            </w:r>
          </w:p>
        </w:tc>
        <w:tc>
          <w:tcPr>
            <w:tcW w:w="284" w:type="dxa"/>
            <w:tcMar>
              <w:left w:w="57" w:type="dxa"/>
              <w:right w:w="57" w:type="dxa"/>
            </w:tcMar>
          </w:tcPr>
          <w:p w:rsidR="003A0D0C" w:rsidRPr="00B4687B" w:rsidRDefault="003A0D0C" w:rsidP="002221E6">
            <w:pPr>
              <w:pStyle w:val="NoSpacing"/>
            </w:pPr>
          </w:p>
        </w:tc>
        <w:tc>
          <w:tcPr>
            <w:tcW w:w="2149" w:type="dxa"/>
            <w:tcBorders>
              <w:top w:val="single" w:sz="4" w:space="0" w:color="auto"/>
            </w:tcBorders>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Borders>
              <w:top w:val="single" w:sz="4" w:space="0" w:color="auto"/>
            </w:tcBorders>
            <w:tcMar>
              <w:left w:w="57" w:type="dxa"/>
              <w:right w:w="57" w:type="dxa"/>
            </w:tcMar>
          </w:tcPr>
          <w:p w:rsidR="003A0D0C" w:rsidRDefault="003A0D0C" w:rsidP="002221E6">
            <w:pPr>
              <w:pStyle w:val="NoSpacing"/>
            </w:pPr>
            <w:r>
              <w:t>April 2015 to August 2015</w:t>
            </w:r>
          </w:p>
        </w:tc>
      </w:tr>
      <w:tr w:rsidR="003A0D0C" w:rsidTr="00E57244">
        <w:trPr>
          <w:trHeight w:val="397"/>
        </w:trPr>
        <w:tc>
          <w:tcPr>
            <w:tcW w:w="2268" w:type="dxa"/>
            <w:tcMar>
              <w:left w:w="57" w:type="dxa"/>
              <w:right w:w="57" w:type="dxa"/>
            </w:tcMar>
          </w:tcPr>
          <w:p w:rsidR="003A0D0C" w:rsidRDefault="00E57244" w:rsidP="002221E6">
            <w:pPr>
              <w:pStyle w:val="NoSpacing"/>
              <w:jc w:val="right"/>
            </w:pPr>
            <w:r>
              <w:t>10</w:t>
            </w:r>
            <w:r w:rsidR="003A0D0C">
              <w:t xml:space="preserve"> September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March 2015</w:t>
            </w:r>
          </w:p>
        </w:tc>
      </w:tr>
      <w:tr w:rsidR="00054D5D" w:rsidTr="00E57244">
        <w:trPr>
          <w:trHeight w:val="80"/>
        </w:trPr>
        <w:tc>
          <w:tcPr>
            <w:tcW w:w="2268" w:type="dxa"/>
            <w:tcMar>
              <w:left w:w="57" w:type="dxa"/>
              <w:right w:w="57" w:type="dxa"/>
            </w:tcMar>
          </w:tcPr>
          <w:p w:rsidR="00054D5D" w:rsidRDefault="00054D5D" w:rsidP="002221E6">
            <w:pPr>
              <w:pStyle w:val="NoSpacing"/>
              <w:jc w:val="right"/>
            </w:pPr>
            <w:r>
              <w:t>4 June 2015</w:t>
            </w:r>
          </w:p>
        </w:tc>
        <w:tc>
          <w:tcPr>
            <w:tcW w:w="284" w:type="dxa"/>
            <w:tcMar>
              <w:left w:w="57" w:type="dxa"/>
              <w:right w:w="57" w:type="dxa"/>
            </w:tcMar>
          </w:tcPr>
          <w:p w:rsidR="00054D5D" w:rsidRPr="00B4687B" w:rsidRDefault="00054D5D" w:rsidP="002221E6">
            <w:pPr>
              <w:pStyle w:val="NoSpacing"/>
            </w:pPr>
          </w:p>
        </w:tc>
        <w:tc>
          <w:tcPr>
            <w:tcW w:w="2149" w:type="dxa"/>
            <w:tcMar>
              <w:left w:w="57" w:type="dxa"/>
              <w:right w:w="57" w:type="dxa"/>
            </w:tcMar>
          </w:tcPr>
          <w:p w:rsidR="00054D5D" w:rsidRPr="00B4687B" w:rsidRDefault="00054D5D" w:rsidP="002221E6">
            <w:pPr>
              <w:pStyle w:val="NoSpacing"/>
            </w:pPr>
            <w:r w:rsidRPr="00B4687B">
              <w:t>Systems Indicators</w:t>
            </w:r>
          </w:p>
        </w:tc>
        <w:tc>
          <w:tcPr>
            <w:tcW w:w="236" w:type="dxa"/>
            <w:tcMar>
              <w:left w:w="57" w:type="dxa"/>
              <w:right w:w="57" w:type="dxa"/>
            </w:tcMar>
          </w:tcPr>
          <w:p w:rsidR="00054D5D" w:rsidRDefault="00054D5D" w:rsidP="002221E6">
            <w:pPr>
              <w:pStyle w:val="NoSpacing"/>
            </w:pPr>
          </w:p>
        </w:tc>
        <w:tc>
          <w:tcPr>
            <w:tcW w:w="3585" w:type="dxa"/>
            <w:tcMar>
              <w:left w:w="57" w:type="dxa"/>
              <w:right w:w="57" w:type="dxa"/>
            </w:tcMar>
          </w:tcPr>
          <w:p w:rsidR="00054D5D" w:rsidRDefault="00054D5D" w:rsidP="002221E6">
            <w:pPr>
              <w:pStyle w:val="NoSpacing"/>
            </w:pPr>
            <w:r>
              <w:t>April 2014 to February 2015</w:t>
            </w:r>
          </w:p>
        </w:tc>
      </w:tr>
      <w:tr w:rsidR="003A0D0C" w:rsidTr="00E57244">
        <w:trPr>
          <w:trHeight w:val="80"/>
        </w:trPr>
        <w:tc>
          <w:tcPr>
            <w:tcW w:w="2268" w:type="dxa"/>
            <w:tcMar>
              <w:left w:w="57" w:type="dxa"/>
              <w:right w:w="57" w:type="dxa"/>
            </w:tcMar>
          </w:tcPr>
          <w:p w:rsidR="003A0D0C" w:rsidRDefault="003A0D0C" w:rsidP="002221E6">
            <w:pPr>
              <w:pStyle w:val="NoSpacing"/>
              <w:jc w:val="right"/>
            </w:pPr>
            <w:r>
              <w:t>30 April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February 2015</w:t>
            </w:r>
          </w:p>
        </w:tc>
      </w:tr>
      <w:tr w:rsidR="003A0D0C" w:rsidTr="00E57244">
        <w:trPr>
          <w:trHeight w:val="80"/>
        </w:trPr>
        <w:tc>
          <w:tcPr>
            <w:tcW w:w="2268" w:type="dxa"/>
            <w:tcMar>
              <w:left w:w="57" w:type="dxa"/>
              <w:right w:w="57" w:type="dxa"/>
            </w:tcMar>
          </w:tcPr>
          <w:p w:rsidR="003A0D0C" w:rsidRDefault="003A0D0C" w:rsidP="002221E6">
            <w:pPr>
              <w:pStyle w:val="NoSpacing"/>
              <w:jc w:val="right"/>
            </w:pPr>
            <w:r>
              <w:t>5 March 2015</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September 2014</w:t>
            </w:r>
          </w:p>
        </w:tc>
      </w:tr>
      <w:tr w:rsidR="003A0D0C" w:rsidTr="00E57244">
        <w:trPr>
          <w:trHeight w:val="137"/>
        </w:trPr>
        <w:tc>
          <w:tcPr>
            <w:tcW w:w="2268" w:type="dxa"/>
            <w:tcMar>
              <w:left w:w="57" w:type="dxa"/>
              <w:right w:w="57" w:type="dxa"/>
            </w:tcMar>
          </w:tcPr>
          <w:p w:rsidR="003A0D0C" w:rsidRDefault="003A0D0C" w:rsidP="002221E6">
            <w:pPr>
              <w:pStyle w:val="NoSpacing"/>
              <w:jc w:val="right"/>
            </w:pPr>
            <w:r>
              <w:t>6 November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2014</w:t>
            </w:r>
          </w:p>
        </w:tc>
      </w:tr>
      <w:tr w:rsidR="003A0D0C" w:rsidTr="00E57244">
        <w:trPr>
          <w:trHeight w:val="137"/>
        </w:trPr>
        <w:tc>
          <w:tcPr>
            <w:tcW w:w="2268" w:type="dxa"/>
            <w:tcMar>
              <w:left w:w="57" w:type="dxa"/>
              <w:right w:w="57" w:type="dxa"/>
            </w:tcMar>
          </w:tcPr>
          <w:p w:rsidR="003A0D0C" w:rsidRPr="00875FD5" w:rsidRDefault="003A0D0C" w:rsidP="002221E6">
            <w:pPr>
              <w:pStyle w:val="NoSpacing"/>
              <w:jc w:val="right"/>
            </w:pPr>
            <w:r>
              <w:t>5 September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March 2014</w:t>
            </w:r>
          </w:p>
        </w:tc>
      </w:tr>
      <w:tr w:rsidR="003A0D0C" w:rsidTr="00E57244">
        <w:trPr>
          <w:trHeight w:val="271"/>
        </w:trPr>
        <w:tc>
          <w:tcPr>
            <w:tcW w:w="2268" w:type="dxa"/>
            <w:tcMar>
              <w:left w:w="57" w:type="dxa"/>
              <w:right w:w="57" w:type="dxa"/>
            </w:tcMar>
          </w:tcPr>
          <w:p w:rsidR="003A0D0C" w:rsidRDefault="003A0D0C" w:rsidP="002221E6">
            <w:pPr>
              <w:pStyle w:val="NoSpacing"/>
              <w:jc w:val="right"/>
            </w:pPr>
            <w:r>
              <w:t>2 May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February 2014</w:t>
            </w:r>
          </w:p>
        </w:tc>
      </w:tr>
      <w:tr w:rsidR="003A0D0C" w:rsidTr="00E57244">
        <w:trPr>
          <w:trHeight w:val="70"/>
        </w:trPr>
        <w:tc>
          <w:tcPr>
            <w:tcW w:w="2268" w:type="dxa"/>
            <w:tcMar>
              <w:left w:w="57" w:type="dxa"/>
              <w:right w:w="57" w:type="dxa"/>
            </w:tcMar>
          </w:tcPr>
          <w:p w:rsidR="003A0D0C" w:rsidRDefault="003A0D0C" w:rsidP="002221E6">
            <w:pPr>
              <w:pStyle w:val="NoSpacing"/>
              <w:jc w:val="right"/>
            </w:pPr>
            <w:r>
              <w:t>7 March 2014</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September 2013</w:t>
            </w:r>
          </w:p>
        </w:tc>
      </w:tr>
      <w:tr w:rsidR="003A0D0C" w:rsidTr="00E57244">
        <w:trPr>
          <w:trHeight w:val="123"/>
        </w:trPr>
        <w:tc>
          <w:tcPr>
            <w:tcW w:w="2268" w:type="dxa"/>
            <w:tcMar>
              <w:left w:w="57" w:type="dxa"/>
              <w:right w:w="57" w:type="dxa"/>
            </w:tcMar>
          </w:tcPr>
          <w:p w:rsidR="003A0D0C" w:rsidRDefault="003A0D0C" w:rsidP="002221E6">
            <w:pPr>
              <w:pStyle w:val="NoSpacing"/>
              <w:jc w:val="right"/>
            </w:pPr>
            <w:r>
              <w:t>1 November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2013</w:t>
            </w:r>
          </w:p>
        </w:tc>
      </w:tr>
      <w:tr w:rsidR="003A0D0C" w:rsidTr="00E57244">
        <w:trPr>
          <w:trHeight w:val="269"/>
        </w:trPr>
        <w:tc>
          <w:tcPr>
            <w:tcW w:w="2268" w:type="dxa"/>
            <w:tcMar>
              <w:left w:w="57" w:type="dxa"/>
              <w:right w:w="57" w:type="dxa"/>
            </w:tcMar>
          </w:tcPr>
          <w:p w:rsidR="003A0D0C" w:rsidRDefault="003A0D0C" w:rsidP="002221E6">
            <w:pPr>
              <w:pStyle w:val="NoSpacing"/>
              <w:jc w:val="right"/>
            </w:pPr>
            <w:r>
              <w:t>2 August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E57244">
        <w:trPr>
          <w:trHeight w:val="118"/>
        </w:trPr>
        <w:tc>
          <w:tcPr>
            <w:tcW w:w="2268" w:type="dxa"/>
            <w:tcMar>
              <w:left w:w="57" w:type="dxa"/>
              <w:right w:w="57" w:type="dxa"/>
            </w:tcMar>
          </w:tcPr>
          <w:p w:rsidR="003A0D0C" w:rsidRDefault="003A0D0C" w:rsidP="002221E6">
            <w:pPr>
              <w:pStyle w:val="NoSpacing"/>
              <w:jc w:val="right"/>
            </w:pPr>
            <w:r>
              <w:t>3 May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E57244">
        <w:trPr>
          <w:trHeight w:val="121"/>
        </w:trPr>
        <w:tc>
          <w:tcPr>
            <w:tcW w:w="2268" w:type="dxa"/>
            <w:tcMar>
              <w:left w:w="57" w:type="dxa"/>
              <w:right w:w="57" w:type="dxa"/>
            </w:tcMar>
          </w:tcPr>
          <w:p w:rsidR="003A0D0C" w:rsidRDefault="003A0D0C" w:rsidP="002221E6">
            <w:pPr>
              <w:pStyle w:val="NoSpacing"/>
              <w:jc w:val="right"/>
            </w:pPr>
            <w:r>
              <w:t>1 February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August 2012</w:t>
            </w:r>
          </w:p>
        </w:tc>
      </w:tr>
      <w:tr w:rsidR="003A0D0C" w:rsidTr="00E57244">
        <w:trPr>
          <w:trHeight w:val="267"/>
        </w:trPr>
        <w:tc>
          <w:tcPr>
            <w:tcW w:w="2268" w:type="dxa"/>
            <w:tcMar>
              <w:left w:w="57" w:type="dxa"/>
              <w:right w:w="57" w:type="dxa"/>
            </w:tcMar>
          </w:tcPr>
          <w:p w:rsidR="003A0D0C" w:rsidRDefault="003A0D0C" w:rsidP="002221E6">
            <w:pPr>
              <w:pStyle w:val="NoSpacing"/>
              <w:jc w:val="right"/>
            </w:pPr>
            <w:r>
              <w:t>11 January 2013</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October 2012</w:t>
            </w:r>
          </w:p>
        </w:tc>
      </w:tr>
      <w:tr w:rsidR="003A0D0C" w:rsidTr="00E57244">
        <w:trPr>
          <w:trHeight w:val="115"/>
        </w:trPr>
        <w:tc>
          <w:tcPr>
            <w:tcW w:w="2268" w:type="dxa"/>
            <w:tcMar>
              <w:left w:w="57" w:type="dxa"/>
              <w:right w:w="57" w:type="dxa"/>
            </w:tcMar>
          </w:tcPr>
          <w:p w:rsidR="003A0D0C" w:rsidRDefault="003A0D0C" w:rsidP="002221E6">
            <w:pPr>
              <w:pStyle w:val="NoSpacing"/>
              <w:jc w:val="right"/>
            </w:pPr>
            <w:r>
              <w:t>31 August 2012</w:t>
            </w:r>
          </w:p>
        </w:tc>
        <w:tc>
          <w:tcPr>
            <w:tcW w:w="284" w:type="dxa"/>
            <w:tcMar>
              <w:left w:w="57" w:type="dxa"/>
              <w:right w:w="57" w:type="dxa"/>
            </w:tcMar>
          </w:tcPr>
          <w:p w:rsidR="003A0D0C" w:rsidRPr="00B4687B" w:rsidRDefault="003A0D0C" w:rsidP="002221E6">
            <w:pPr>
              <w:pStyle w:val="NoSpacing"/>
            </w:pPr>
          </w:p>
        </w:tc>
        <w:tc>
          <w:tcPr>
            <w:tcW w:w="2149"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t>measures for calls abandoned (SQU03_1_1), re-contacts (SQU03_2_1 and SQU03_2_2), frequent callers (SQU03_2_3), time to answer calls (SQU03_8_1_1) and calls resolved by telephone advice (SQU03_10_1).</w:t>
      </w:r>
    </w:p>
    <w:p w:rsidR="003A0D0C" w:rsidRDefault="003A0D0C" w:rsidP="003A0D0C">
      <w:r>
        <w:t xml:space="preserve">All other Systems Indicators involve the dispatch of an ambulance, and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1"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lastRenderedPageBreak/>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F32A65">
        <w:t xml:space="preserve"> </w:t>
      </w:r>
      <w:hyperlink r:id="rId22"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17577C">
        <w:t>:</w:t>
      </w:r>
      <w:r>
        <w:t xml:space="preserve"> </w:t>
      </w:r>
      <w:hyperlink r:id="rId23"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2D5C5D" w:rsidP="002221E6">
            <w:pPr>
              <w:pStyle w:val="NoSpacing"/>
            </w:pPr>
            <w:hyperlink r:id="rId24"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2D5C5D"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8"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E11703">
      <w:headerReference w:type="default" r:id="rId29"/>
      <w:footerReference w:type="default" r:id="rId30"/>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97" w:rsidRDefault="00092A97" w:rsidP="008C63D3">
      <w:r>
        <w:separator/>
      </w:r>
    </w:p>
  </w:endnote>
  <w:endnote w:type="continuationSeparator" w:id="0">
    <w:p w:rsidR="00092A97" w:rsidRDefault="00092A9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924D4">
    <w:pPr>
      <w:pStyle w:val="Footer"/>
      <w:tabs>
        <w:tab w:val="clear" w:pos="9026"/>
        <w:tab w:val="left" w:pos="5025"/>
        <w:tab w:val="right" w:pos="8364"/>
      </w:tabs>
    </w:pPr>
    <w:r>
      <w:t xml:space="preserve">NHS England AQI Statistical Note, </w:t>
    </w:r>
    <w:r w:rsidR="005B6A5B">
      <w:t>13 August 2015.</w:t>
    </w:r>
    <w:r w:rsidR="005B6A5B">
      <w:tab/>
    </w:r>
    <w:r>
      <w:tab/>
      <w:t xml:space="preserve">Page </w:t>
    </w:r>
    <w:r>
      <w:fldChar w:fldCharType="begin"/>
    </w:r>
    <w:r>
      <w:instrText xml:space="preserve"> PAGE   \* MERGEFORMAT </w:instrText>
    </w:r>
    <w:r>
      <w:fldChar w:fldCharType="separate"/>
    </w:r>
    <w:r w:rsidR="002D5C5D">
      <w:rPr>
        <w:noProof/>
      </w:rPr>
      <w:t>1</w:t>
    </w:r>
    <w:r>
      <w:rPr>
        <w:noProof/>
      </w:rPr>
      <w:fldChar w:fldCharType="end"/>
    </w:r>
    <w:r>
      <w:rPr>
        <w:noProof/>
      </w:rPr>
      <w:t xml:space="preserve"> of </w:t>
    </w:r>
    <w:fldSimple w:instr=" NUMPAGES   \* MERGEFORMAT ">
      <w:r w:rsidR="002D5C5D">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97" w:rsidRDefault="00092A97" w:rsidP="008C63D3">
      <w:r>
        <w:separator/>
      </w:r>
    </w:p>
  </w:footnote>
  <w:footnote w:type="continuationSeparator" w:id="0">
    <w:p w:rsidR="00092A97" w:rsidRDefault="00092A97" w:rsidP="008C63D3">
      <w:r>
        <w:continuationSeparator/>
      </w:r>
    </w:p>
  </w:footnote>
  <w:footnote w:id="1">
    <w:p w:rsidR="00FF749A" w:rsidRDefault="00FF749A" w:rsidP="00FF749A">
      <w:pPr>
        <w:pStyle w:val="Footer"/>
        <w:rPr>
          <w:rStyle w:val="Hyperlink"/>
          <w:lang w:eastAsia="en-US"/>
        </w:rPr>
      </w:pPr>
      <w:r>
        <w:rPr>
          <w:rStyle w:val="FootnoteReference"/>
        </w:rPr>
        <w:footnoteRef/>
      </w:r>
      <w:r>
        <w:t xml:space="preserve"> Page 30 of the </w:t>
      </w:r>
      <w:r w:rsidRPr="000F3EC8">
        <w:t>Handbook to the NHS Constitution</w:t>
      </w:r>
      <w:r>
        <w:t xml:space="preserve"> has</w:t>
      </w:r>
      <w:r w:rsidRPr="00774123">
        <w:t xml:space="preserve"> </w:t>
      </w:r>
      <w:r>
        <w:t xml:space="preserve">Ambulance response time standards, </w:t>
      </w:r>
      <w:hyperlink r:id="rId1" w:history="1">
        <w:r w:rsidRPr="00CD4562">
          <w:rPr>
            <w:rStyle w:val="Hyperlink"/>
            <w:lang w:eastAsia="en-US"/>
          </w:rPr>
          <w:t>www.nhs.uk/choiceintheNHS/Rightsandpledges/NHSConstitution/Pages/Overview.aspx</w:t>
        </w:r>
      </w:hyperlink>
      <w:r>
        <w:rPr>
          <w:rStyle w:val="Hyperlink"/>
          <w:lang w:eastAsia="en-US"/>
        </w:rPr>
        <w:t>.</w:t>
      </w:r>
    </w:p>
    <w:p w:rsidR="00FF749A" w:rsidRDefault="00FF749A" w:rsidP="00FF749A">
      <w:pPr>
        <w:pStyle w:val="Footer"/>
      </w:pPr>
    </w:p>
  </w:footnote>
  <w:footnote w:id="2">
    <w:p w:rsidR="00092A97" w:rsidRDefault="00092A97"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326C83" w:rsidRDefault="00326C83" w:rsidP="00526112">
      <w:pPr>
        <w:pStyle w:val="Footer"/>
        <w:rPr>
          <w:rStyle w:val="Hyperlink"/>
          <w:rFonts w:cs="Arial"/>
          <w:szCs w:val="20"/>
        </w:rPr>
      </w:pPr>
    </w:p>
    <w:p w:rsidR="00326C83" w:rsidRPr="00DC4BF3" w:rsidRDefault="00326C8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092A97" w:rsidRDefault="00092A97" w:rsidP="000F5FB4">
      <w:pPr>
        <w:pStyle w:val="Footer"/>
      </w:pPr>
      <w:r>
        <w:rPr>
          <w:rStyle w:val="FootnoteReference"/>
        </w:rPr>
        <w:footnoteRef/>
      </w:r>
      <w:r>
        <w:t xml:space="preserve"> DoD pilot announcement in January 2015: </w:t>
      </w:r>
      <w:hyperlink r:id="rId3" w:history="1">
        <w:r w:rsidRPr="00470B85">
          <w:rPr>
            <w:rStyle w:val="Hyperlink"/>
          </w:rPr>
          <w:t>www.parliament.uk/business/publications/written-questions-answers-statements/written-statement/Commons/2015-01-16/HCWS201</w:t>
        </w:r>
      </w:hyperlink>
      <w:r w:rsidR="00581E8E">
        <w:t>. For more information, see the 9 April, 30 April or 4 June 2015 Statistical Note</w:t>
      </w:r>
      <w:r w:rsidR="006417C1">
        <w:t>s</w:t>
      </w:r>
      <w:r w:rsidR="00581E8E">
        <w:t>.</w:t>
      </w:r>
    </w:p>
  </w:footnote>
  <w:footnote w:id="4">
    <w:p w:rsidR="00092A97" w:rsidRDefault="00092A9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E446B4" w:rsidRDefault="00E446B4" w:rsidP="00191AB9">
      <w:pPr>
        <w:pStyle w:val="Footer"/>
      </w:pPr>
    </w:p>
  </w:footnote>
  <w:footnote w:id="5">
    <w:p w:rsidR="00092A97" w:rsidRDefault="00092A97" w:rsidP="00191AB9">
      <w:pPr>
        <w:pStyle w:val="Footer"/>
      </w:pPr>
      <w:r>
        <w:rPr>
          <w:rStyle w:val="FootnoteReference"/>
        </w:rPr>
        <w:footnoteRef/>
      </w:r>
      <w:r>
        <w:t xml:space="preserve"> Type 1 are consultant-led 24 hour emergency departments with full resuscitation facilities.</w:t>
      </w:r>
    </w:p>
    <w:p w:rsidR="00092A97" w:rsidRDefault="00092A97" w:rsidP="00191AB9">
      <w:pPr>
        <w:pStyle w:val="Footer"/>
      </w:pPr>
      <w:r>
        <w:t>Type 2 offer a consultant-led speciality A&amp;E service such as ophthalmology or dental.</w:t>
      </w:r>
    </w:p>
    <w:p w:rsidR="00092A97" w:rsidRDefault="00092A9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092A97" w:rsidRDefault="00092A97" w:rsidP="00191AB9">
      <w:pPr>
        <w:pStyle w:val="Footer"/>
        <w:rPr>
          <w:rStyle w:val="Hyperlink"/>
        </w:rP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p w:rsidR="007B3406" w:rsidRDefault="007B3406" w:rsidP="00191AB9">
      <w:pPr>
        <w:pStyle w:val="Footer"/>
      </w:pPr>
    </w:p>
  </w:footnote>
  <w:footnote w:id="6">
    <w:p w:rsidR="00F0288C" w:rsidRDefault="00F0288C" w:rsidP="00F0288C">
      <w:pPr>
        <w:pStyle w:val="Footer"/>
      </w:pPr>
      <w:r>
        <w:rPr>
          <w:rStyle w:val="FootnoteReference"/>
        </w:rPr>
        <w:footnoteRef/>
      </w:r>
      <w:r>
        <w:t xml:space="preserve"> </w:t>
      </w:r>
      <w:r w:rsidRPr="00A44168">
        <w:t xml:space="preserve">Due to its small size, performance on Isle of Wight tends to vary more than other trusts. If it has the largest or smallest value, the Table in A6 </w:t>
      </w:r>
      <w:r w:rsidR="00D536BB" w:rsidRPr="00A44168">
        <w:t>shows the second largest or smallest value</w:t>
      </w:r>
      <w:r w:rsidR="00D536BB">
        <w:t xml:space="preserve">, but </w:t>
      </w:r>
      <w:r w:rsidRPr="00A44168">
        <w:t xml:space="preserve">has a footnote marker to show that </w:t>
      </w:r>
      <w:r w:rsidR="00D536BB">
        <w:t xml:space="preserve">Isle of Wight </w:t>
      </w:r>
      <w:r w:rsidRPr="00A44168">
        <w:t xml:space="preserve">is </w:t>
      </w:r>
      <w:r w:rsidR="00D536BB">
        <w:t xml:space="preserve">more </w:t>
      </w:r>
      <w:r w:rsidRPr="00A44168">
        <w:t>extreme. The Clinical Outcomes in section B also use this system.</w:t>
      </w:r>
    </w:p>
    <w:p w:rsidR="00F0288C" w:rsidRDefault="00F0288C" w:rsidP="00F0288C">
      <w:pPr>
        <w:pStyle w:val="Footer"/>
      </w:pPr>
    </w:p>
  </w:footnote>
  <w:footnote w:id="7">
    <w:p w:rsidR="00D536BB" w:rsidRDefault="00D536BB" w:rsidP="00D536BB">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8">
    <w:p w:rsidR="00022C19" w:rsidRDefault="00022C19" w:rsidP="00022C19">
      <w:pPr>
        <w:pStyle w:val="Footer"/>
      </w:pPr>
      <w:r>
        <w:rPr>
          <w:rStyle w:val="FootnoteReference"/>
        </w:rPr>
        <w:footnoteRef/>
      </w:r>
      <w:r>
        <w:t xml:space="preserve"> Excluding Isle of Wight. See </w:t>
      </w:r>
      <w:r w:rsidR="000D7762">
        <w:t>footnot</w:t>
      </w:r>
      <w:r w:rsidR="00957E91">
        <w:t>e 6</w:t>
      </w:r>
      <w:r w:rsidR="000D7762">
        <w:t xml:space="preserve"> on page </w:t>
      </w:r>
      <w:r w:rsidR="00DA4BA4">
        <w:t>5</w:t>
      </w:r>
      <w:r>
        <w:t>.</w:t>
      </w:r>
    </w:p>
  </w:footnote>
  <w:footnote w:id="9">
    <w:p w:rsidR="00DA4BA4" w:rsidRDefault="00DA4BA4" w:rsidP="00DA4BA4">
      <w:pPr>
        <w:pStyle w:val="Footer"/>
      </w:pPr>
      <w:r>
        <w:rPr>
          <w:rStyle w:val="FootnoteReference"/>
        </w:rPr>
        <w:footnoteRef/>
      </w:r>
      <w:r>
        <w:t xml:space="preserve"> Excluding Isle of Wight. See footnote 6 on page 5.</w:t>
      </w:r>
    </w:p>
    <w:p w:rsidR="00DA4BA4" w:rsidRDefault="00DA4BA4" w:rsidP="00DA4BA4">
      <w:pPr>
        <w:pStyle w:val="Footer"/>
      </w:pPr>
    </w:p>
  </w:footnote>
  <w:footnote w:id="10">
    <w:p w:rsidR="00092A97" w:rsidRDefault="00092A97" w:rsidP="00F36218">
      <w:pPr>
        <w:pStyle w:val="Footer"/>
      </w:pPr>
      <w:r>
        <w:rPr>
          <w:rStyle w:val="FootnoteReference"/>
        </w:rPr>
        <w:footnoteRef/>
      </w:r>
      <w:r>
        <w:t xml:space="preserve"> Pages </w:t>
      </w:r>
      <w:r w:rsidR="00F8461F">
        <w:t>27 to 30</w:t>
      </w:r>
      <w:r>
        <w:t xml:space="preserve">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97" w:rsidRDefault="00092A97" w:rsidP="00E11703">
    <w:pPr>
      <w:pStyle w:val="Header"/>
      <w:tabs>
        <w:tab w:val="clear" w:pos="9026"/>
        <w:tab w:val="left" w:pos="3255"/>
        <w:tab w:val="right" w:pos="9923"/>
      </w:tabs>
      <w:ind w:right="-238"/>
    </w:pPr>
    <w:r>
      <w:tab/>
    </w:r>
    <w:r>
      <w:tab/>
    </w:r>
    <w:r>
      <w:tab/>
    </w:r>
    <w:r>
      <w:rPr>
        <w:noProof/>
      </w:rPr>
      <w:drawing>
        <wp:inline distT="0" distB="0" distL="0" distR="0" wp14:anchorId="7DDC51D9" wp14:editId="083CEC7E">
          <wp:extent cx="1155194" cy="719329"/>
          <wp:effectExtent l="0" t="0" r="6985" b="5080"/>
          <wp:docPr id="7" name="Picture 7"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092A97" w:rsidRDefault="00092A9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8B63E18"/>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89306B5C"/>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4858"/>
    <w:rsid w:val="00007EAE"/>
    <w:rsid w:val="00017E64"/>
    <w:rsid w:val="00017EE8"/>
    <w:rsid w:val="00022C19"/>
    <w:rsid w:val="00022C9A"/>
    <w:rsid w:val="00024821"/>
    <w:rsid w:val="000274BA"/>
    <w:rsid w:val="00032244"/>
    <w:rsid w:val="00033CF1"/>
    <w:rsid w:val="00035B25"/>
    <w:rsid w:val="00036949"/>
    <w:rsid w:val="00037F53"/>
    <w:rsid w:val="00040A6E"/>
    <w:rsid w:val="00042A5D"/>
    <w:rsid w:val="00044185"/>
    <w:rsid w:val="000442D5"/>
    <w:rsid w:val="00044C0E"/>
    <w:rsid w:val="000452BC"/>
    <w:rsid w:val="00045B64"/>
    <w:rsid w:val="000468C4"/>
    <w:rsid w:val="000517B6"/>
    <w:rsid w:val="0005385F"/>
    <w:rsid w:val="0005401E"/>
    <w:rsid w:val="000543A2"/>
    <w:rsid w:val="00054879"/>
    <w:rsid w:val="000549C2"/>
    <w:rsid w:val="00054D5D"/>
    <w:rsid w:val="0005599E"/>
    <w:rsid w:val="00055BFC"/>
    <w:rsid w:val="000609DB"/>
    <w:rsid w:val="000610E8"/>
    <w:rsid w:val="00064B43"/>
    <w:rsid w:val="00065110"/>
    <w:rsid w:val="00065771"/>
    <w:rsid w:val="000670B6"/>
    <w:rsid w:val="00070143"/>
    <w:rsid w:val="0007019A"/>
    <w:rsid w:val="00072DE5"/>
    <w:rsid w:val="000768E8"/>
    <w:rsid w:val="000776AF"/>
    <w:rsid w:val="0007786F"/>
    <w:rsid w:val="00077876"/>
    <w:rsid w:val="00085A95"/>
    <w:rsid w:val="00085AC3"/>
    <w:rsid w:val="00085B01"/>
    <w:rsid w:val="000871A7"/>
    <w:rsid w:val="00087A96"/>
    <w:rsid w:val="000908B7"/>
    <w:rsid w:val="00092393"/>
    <w:rsid w:val="00092A97"/>
    <w:rsid w:val="00095266"/>
    <w:rsid w:val="00096317"/>
    <w:rsid w:val="000965D6"/>
    <w:rsid w:val="00096A9C"/>
    <w:rsid w:val="00097741"/>
    <w:rsid w:val="000A00D6"/>
    <w:rsid w:val="000A3161"/>
    <w:rsid w:val="000A42E3"/>
    <w:rsid w:val="000A4DF4"/>
    <w:rsid w:val="000B17F3"/>
    <w:rsid w:val="000B1B66"/>
    <w:rsid w:val="000B2219"/>
    <w:rsid w:val="000B2586"/>
    <w:rsid w:val="000B6AA0"/>
    <w:rsid w:val="000C2092"/>
    <w:rsid w:val="000C3202"/>
    <w:rsid w:val="000D14CB"/>
    <w:rsid w:val="000D3E6B"/>
    <w:rsid w:val="000D3FB5"/>
    <w:rsid w:val="000D4CAE"/>
    <w:rsid w:val="000D6BA7"/>
    <w:rsid w:val="000D71FF"/>
    <w:rsid w:val="000D7762"/>
    <w:rsid w:val="000E166D"/>
    <w:rsid w:val="000E519E"/>
    <w:rsid w:val="000F027D"/>
    <w:rsid w:val="000F0D83"/>
    <w:rsid w:val="000F2BCC"/>
    <w:rsid w:val="000F3EC8"/>
    <w:rsid w:val="000F4631"/>
    <w:rsid w:val="000F537D"/>
    <w:rsid w:val="000F5B3F"/>
    <w:rsid w:val="000F5FB4"/>
    <w:rsid w:val="000F6221"/>
    <w:rsid w:val="001000B2"/>
    <w:rsid w:val="0010506D"/>
    <w:rsid w:val="00110E64"/>
    <w:rsid w:val="00111B6E"/>
    <w:rsid w:val="00113395"/>
    <w:rsid w:val="0011384E"/>
    <w:rsid w:val="00115FF0"/>
    <w:rsid w:val="00120401"/>
    <w:rsid w:val="00120424"/>
    <w:rsid w:val="0012242C"/>
    <w:rsid w:val="001251FA"/>
    <w:rsid w:val="0012724F"/>
    <w:rsid w:val="001275F2"/>
    <w:rsid w:val="00127A5B"/>
    <w:rsid w:val="00127E1D"/>
    <w:rsid w:val="00127FD0"/>
    <w:rsid w:val="00133520"/>
    <w:rsid w:val="001359EC"/>
    <w:rsid w:val="00136E8B"/>
    <w:rsid w:val="001405FE"/>
    <w:rsid w:val="001407C4"/>
    <w:rsid w:val="00140B7B"/>
    <w:rsid w:val="0014147C"/>
    <w:rsid w:val="001417C4"/>
    <w:rsid w:val="00144A92"/>
    <w:rsid w:val="00145BE4"/>
    <w:rsid w:val="00146D12"/>
    <w:rsid w:val="001476C3"/>
    <w:rsid w:val="00151236"/>
    <w:rsid w:val="0015128C"/>
    <w:rsid w:val="00151567"/>
    <w:rsid w:val="00151AF2"/>
    <w:rsid w:val="0015216C"/>
    <w:rsid w:val="00155E50"/>
    <w:rsid w:val="00156A47"/>
    <w:rsid w:val="00160F31"/>
    <w:rsid w:val="0016743F"/>
    <w:rsid w:val="00170786"/>
    <w:rsid w:val="0017281D"/>
    <w:rsid w:val="001747C9"/>
    <w:rsid w:val="00174FF6"/>
    <w:rsid w:val="00175513"/>
    <w:rsid w:val="0017577C"/>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A2A3F"/>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3157"/>
    <w:rsid w:val="001D4F10"/>
    <w:rsid w:val="001D5DCC"/>
    <w:rsid w:val="001E0C96"/>
    <w:rsid w:val="001E1B0A"/>
    <w:rsid w:val="001E2906"/>
    <w:rsid w:val="001E30CD"/>
    <w:rsid w:val="001E3296"/>
    <w:rsid w:val="001E75EA"/>
    <w:rsid w:val="001F1181"/>
    <w:rsid w:val="001F1305"/>
    <w:rsid w:val="001F48A8"/>
    <w:rsid w:val="001F634A"/>
    <w:rsid w:val="001F7230"/>
    <w:rsid w:val="002055F7"/>
    <w:rsid w:val="002067E2"/>
    <w:rsid w:val="00210E7E"/>
    <w:rsid w:val="00214510"/>
    <w:rsid w:val="00214A55"/>
    <w:rsid w:val="002221E6"/>
    <w:rsid w:val="00222B38"/>
    <w:rsid w:val="00225C13"/>
    <w:rsid w:val="00230B2D"/>
    <w:rsid w:val="002346FC"/>
    <w:rsid w:val="00240F81"/>
    <w:rsid w:val="00241F79"/>
    <w:rsid w:val="00243B32"/>
    <w:rsid w:val="00244F63"/>
    <w:rsid w:val="00247D97"/>
    <w:rsid w:val="0025006E"/>
    <w:rsid w:val="00250AB3"/>
    <w:rsid w:val="00251383"/>
    <w:rsid w:val="00251854"/>
    <w:rsid w:val="002529A4"/>
    <w:rsid w:val="00252C62"/>
    <w:rsid w:val="00254237"/>
    <w:rsid w:val="0025490C"/>
    <w:rsid w:val="00254B9C"/>
    <w:rsid w:val="00260C5F"/>
    <w:rsid w:val="00261C03"/>
    <w:rsid w:val="00261FC5"/>
    <w:rsid w:val="0026240F"/>
    <w:rsid w:val="0026352B"/>
    <w:rsid w:val="00263BD6"/>
    <w:rsid w:val="00265EFB"/>
    <w:rsid w:val="00266E0D"/>
    <w:rsid w:val="00267437"/>
    <w:rsid w:val="002674B1"/>
    <w:rsid w:val="00270C17"/>
    <w:rsid w:val="002719AC"/>
    <w:rsid w:val="00275C0B"/>
    <w:rsid w:val="002760F7"/>
    <w:rsid w:val="00276BB6"/>
    <w:rsid w:val="00277342"/>
    <w:rsid w:val="0028035E"/>
    <w:rsid w:val="00280386"/>
    <w:rsid w:val="00291664"/>
    <w:rsid w:val="0029257D"/>
    <w:rsid w:val="002941E6"/>
    <w:rsid w:val="002956C9"/>
    <w:rsid w:val="00296E05"/>
    <w:rsid w:val="00297264"/>
    <w:rsid w:val="002A0F67"/>
    <w:rsid w:val="002A2463"/>
    <w:rsid w:val="002A2AFC"/>
    <w:rsid w:val="002A2C06"/>
    <w:rsid w:val="002A3DFB"/>
    <w:rsid w:val="002A4955"/>
    <w:rsid w:val="002A4C7B"/>
    <w:rsid w:val="002A7621"/>
    <w:rsid w:val="002A79F0"/>
    <w:rsid w:val="002B1C61"/>
    <w:rsid w:val="002B4DD9"/>
    <w:rsid w:val="002B4F9D"/>
    <w:rsid w:val="002B55AA"/>
    <w:rsid w:val="002B6786"/>
    <w:rsid w:val="002B72F1"/>
    <w:rsid w:val="002C04A5"/>
    <w:rsid w:val="002C1974"/>
    <w:rsid w:val="002C1DD5"/>
    <w:rsid w:val="002C37DD"/>
    <w:rsid w:val="002C3A8E"/>
    <w:rsid w:val="002C3ECB"/>
    <w:rsid w:val="002C4E14"/>
    <w:rsid w:val="002C522F"/>
    <w:rsid w:val="002D10A5"/>
    <w:rsid w:val="002D2035"/>
    <w:rsid w:val="002D4D8D"/>
    <w:rsid w:val="002D5C5D"/>
    <w:rsid w:val="002E3DEA"/>
    <w:rsid w:val="002E4181"/>
    <w:rsid w:val="002E6965"/>
    <w:rsid w:val="002F09FA"/>
    <w:rsid w:val="002F1115"/>
    <w:rsid w:val="002F3C5E"/>
    <w:rsid w:val="002F5002"/>
    <w:rsid w:val="002F5385"/>
    <w:rsid w:val="002F7555"/>
    <w:rsid w:val="00300176"/>
    <w:rsid w:val="00300551"/>
    <w:rsid w:val="00305EA9"/>
    <w:rsid w:val="003076B8"/>
    <w:rsid w:val="00310203"/>
    <w:rsid w:val="0031043B"/>
    <w:rsid w:val="0031060B"/>
    <w:rsid w:val="0031228A"/>
    <w:rsid w:val="00317C23"/>
    <w:rsid w:val="00320970"/>
    <w:rsid w:val="00322346"/>
    <w:rsid w:val="003224D0"/>
    <w:rsid w:val="0032556F"/>
    <w:rsid w:val="00325786"/>
    <w:rsid w:val="0032599C"/>
    <w:rsid w:val="00326A6F"/>
    <w:rsid w:val="00326C83"/>
    <w:rsid w:val="003336E9"/>
    <w:rsid w:val="00335EE6"/>
    <w:rsid w:val="00336020"/>
    <w:rsid w:val="0033606F"/>
    <w:rsid w:val="0034037C"/>
    <w:rsid w:val="00340492"/>
    <w:rsid w:val="00340769"/>
    <w:rsid w:val="00341729"/>
    <w:rsid w:val="00346087"/>
    <w:rsid w:val="00346103"/>
    <w:rsid w:val="00347494"/>
    <w:rsid w:val="003507AC"/>
    <w:rsid w:val="003518B6"/>
    <w:rsid w:val="00356BD0"/>
    <w:rsid w:val="003635DF"/>
    <w:rsid w:val="0036445B"/>
    <w:rsid w:val="003663E1"/>
    <w:rsid w:val="0036736E"/>
    <w:rsid w:val="003674CA"/>
    <w:rsid w:val="003708E7"/>
    <w:rsid w:val="003723D5"/>
    <w:rsid w:val="0037489E"/>
    <w:rsid w:val="00377786"/>
    <w:rsid w:val="00377FF6"/>
    <w:rsid w:val="00387879"/>
    <w:rsid w:val="0039160E"/>
    <w:rsid w:val="00391832"/>
    <w:rsid w:val="0039219A"/>
    <w:rsid w:val="00393F68"/>
    <w:rsid w:val="00395D9D"/>
    <w:rsid w:val="00396552"/>
    <w:rsid w:val="00396DD4"/>
    <w:rsid w:val="00396E0E"/>
    <w:rsid w:val="003A0D0C"/>
    <w:rsid w:val="003A2736"/>
    <w:rsid w:val="003A398E"/>
    <w:rsid w:val="003A63FB"/>
    <w:rsid w:val="003A67C6"/>
    <w:rsid w:val="003A7386"/>
    <w:rsid w:val="003B164C"/>
    <w:rsid w:val="003B4AEC"/>
    <w:rsid w:val="003B628A"/>
    <w:rsid w:val="003C007F"/>
    <w:rsid w:val="003C1F17"/>
    <w:rsid w:val="003C24D1"/>
    <w:rsid w:val="003C3939"/>
    <w:rsid w:val="003D5086"/>
    <w:rsid w:val="003E1019"/>
    <w:rsid w:val="003E185C"/>
    <w:rsid w:val="003E3082"/>
    <w:rsid w:val="003E345E"/>
    <w:rsid w:val="003E38D7"/>
    <w:rsid w:val="003E411B"/>
    <w:rsid w:val="003E4789"/>
    <w:rsid w:val="003E540C"/>
    <w:rsid w:val="003E5931"/>
    <w:rsid w:val="003E59EE"/>
    <w:rsid w:val="003E6081"/>
    <w:rsid w:val="003E62E5"/>
    <w:rsid w:val="003F17A5"/>
    <w:rsid w:val="003F33D6"/>
    <w:rsid w:val="003F3CB1"/>
    <w:rsid w:val="003F3F9B"/>
    <w:rsid w:val="003F43AB"/>
    <w:rsid w:val="00405587"/>
    <w:rsid w:val="004058D7"/>
    <w:rsid w:val="00406FCF"/>
    <w:rsid w:val="00407A2A"/>
    <w:rsid w:val="0041065C"/>
    <w:rsid w:val="00410783"/>
    <w:rsid w:val="00413F2F"/>
    <w:rsid w:val="004140F7"/>
    <w:rsid w:val="0041753D"/>
    <w:rsid w:val="00417AB4"/>
    <w:rsid w:val="00421E46"/>
    <w:rsid w:val="0042340C"/>
    <w:rsid w:val="0042443A"/>
    <w:rsid w:val="004255DC"/>
    <w:rsid w:val="00426208"/>
    <w:rsid w:val="00433F86"/>
    <w:rsid w:val="00435A7B"/>
    <w:rsid w:val="00436A36"/>
    <w:rsid w:val="004370AB"/>
    <w:rsid w:val="004379E9"/>
    <w:rsid w:val="00440EF3"/>
    <w:rsid w:val="00444612"/>
    <w:rsid w:val="004446CF"/>
    <w:rsid w:val="0044623C"/>
    <w:rsid w:val="0044771F"/>
    <w:rsid w:val="00453F16"/>
    <w:rsid w:val="004550F1"/>
    <w:rsid w:val="00456108"/>
    <w:rsid w:val="00465847"/>
    <w:rsid w:val="00465EBD"/>
    <w:rsid w:val="00473BFA"/>
    <w:rsid w:val="00474435"/>
    <w:rsid w:val="0047575F"/>
    <w:rsid w:val="004769D3"/>
    <w:rsid w:val="00480623"/>
    <w:rsid w:val="00480A45"/>
    <w:rsid w:val="00483782"/>
    <w:rsid w:val="00483F77"/>
    <w:rsid w:val="00484CF7"/>
    <w:rsid w:val="00486866"/>
    <w:rsid w:val="0048733F"/>
    <w:rsid w:val="00493002"/>
    <w:rsid w:val="004953E1"/>
    <w:rsid w:val="00496F34"/>
    <w:rsid w:val="004A2A45"/>
    <w:rsid w:val="004A463E"/>
    <w:rsid w:val="004A75D3"/>
    <w:rsid w:val="004B32DC"/>
    <w:rsid w:val="004B46D5"/>
    <w:rsid w:val="004B489E"/>
    <w:rsid w:val="004B592C"/>
    <w:rsid w:val="004B7035"/>
    <w:rsid w:val="004B77EC"/>
    <w:rsid w:val="004C0D17"/>
    <w:rsid w:val="004C2DB8"/>
    <w:rsid w:val="004C377A"/>
    <w:rsid w:val="004C500F"/>
    <w:rsid w:val="004C5144"/>
    <w:rsid w:val="004C7F43"/>
    <w:rsid w:val="004D05E1"/>
    <w:rsid w:val="004D083F"/>
    <w:rsid w:val="004D1017"/>
    <w:rsid w:val="004D10AF"/>
    <w:rsid w:val="004D2EE5"/>
    <w:rsid w:val="004D3B3C"/>
    <w:rsid w:val="004F2D5D"/>
    <w:rsid w:val="004F34AD"/>
    <w:rsid w:val="004F37AE"/>
    <w:rsid w:val="004F3810"/>
    <w:rsid w:val="004F3ED3"/>
    <w:rsid w:val="004F6290"/>
    <w:rsid w:val="004F6A66"/>
    <w:rsid w:val="005005D8"/>
    <w:rsid w:val="00503D8A"/>
    <w:rsid w:val="00505BBA"/>
    <w:rsid w:val="00511984"/>
    <w:rsid w:val="00511E6D"/>
    <w:rsid w:val="00513897"/>
    <w:rsid w:val="005168CD"/>
    <w:rsid w:val="00517BD3"/>
    <w:rsid w:val="0052029E"/>
    <w:rsid w:val="0052145B"/>
    <w:rsid w:val="00522954"/>
    <w:rsid w:val="005239BD"/>
    <w:rsid w:val="00523BFF"/>
    <w:rsid w:val="00525B3E"/>
    <w:rsid w:val="00526112"/>
    <w:rsid w:val="005261D8"/>
    <w:rsid w:val="0053124D"/>
    <w:rsid w:val="00531825"/>
    <w:rsid w:val="00531A75"/>
    <w:rsid w:val="0053266B"/>
    <w:rsid w:val="00533D03"/>
    <w:rsid w:val="005347A4"/>
    <w:rsid w:val="00536610"/>
    <w:rsid w:val="00536B5E"/>
    <w:rsid w:val="00536EBE"/>
    <w:rsid w:val="00537299"/>
    <w:rsid w:val="005374F6"/>
    <w:rsid w:val="0054261F"/>
    <w:rsid w:val="0054766B"/>
    <w:rsid w:val="00550D56"/>
    <w:rsid w:val="00551D2D"/>
    <w:rsid w:val="00551DDC"/>
    <w:rsid w:val="00552E5E"/>
    <w:rsid w:val="005538AF"/>
    <w:rsid w:val="00553B53"/>
    <w:rsid w:val="00554203"/>
    <w:rsid w:val="005639DF"/>
    <w:rsid w:val="005719BB"/>
    <w:rsid w:val="00572500"/>
    <w:rsid w:val="0057661C"/>
    <w:rsid w:val="005772D5"/>
    <w:rsid w:val="00581B52"/>
    <w:rsid w:val="00581E8E"/>
    <w:rsid w:val="0058243A"/>
    <w:rsid w:val="0058367E"/>
    <w:rsid w:val="0058750D"/>
    <w:rsid w:val="00587D4D"/>
    <w:rsid w:val="005945B8"/>
    <w:rsid w:val="005946BA"/>
    <w:rsid w:val="005950EE"/>
    <w:rsid w:val="0059638C"/>
    <w:rsid w:val="00597ACE"/>
    <w:rsid w:val="005A3FF9"/>
    <w:rsid w:val="005A6A3C"/>
    <w:rsid w:val="005A79AD"/>
    <w:rsid w:val="005B2160"/>
    <w:rsid w:val="005B4A17"/>
    <w:rsid w:val="005B6A5B"/>
    <w:rsid w:val="005B7945"/>
    <w:rsid w:val="005B7C87"/>
    <w:rsid w:val="005C1025"/>
    <w:rsid w:val="005C1BA6"/>
    <w:rsid w:val="005C1D5F"/>
    <w:rsid w:val="005C42AC"/>
    <w:rsid w:val="005C59BC"/>
    <w:rsid w:val="005C6B63"/>
    <w:rsid w:val="005C7115"/>
    <w:rsid w:val="005C7B11"/>
    <w:rsid w:val="005D2E52"/>
    <w:rsid w:val="005D348F"/>
    <w:rsid w:val="005E5EB2"/>
    <w:rsid w:val="005F1398"/>
    <w:rsid w:val="005F1E0D"/>
    <w:rsid w:val="005F2095"/>
    <w:rsid w:val="005F272A"/>
    <w:rsid w:val="005F3B29"/>
    <w:rsid w:val="005F53BA"/>
    <w:rsid w:val="005F60A6"/>
    <w:rsid w:val="00603940"/>
    <w:rsid w:val="00603FEB"/>
    <w:rsid w:val="006059ED"/>
    <w:rsid w:val="00605F7E"/>
    <w:rsid w:val="006157C7"/>
    <w:rsid w:val="006201BE"/>
    <w:rsid w:val="00620FE6"/>
    <w:rsid w:val="006211E3"/>
    <w:rsid w:val="00621A41"/>
    <w:rsid w:val="00624EB5"/>
    <w:rsid w:val="00624FF8"/>
    <w:rsid w:val="006272D8"/>
    <w:rsid w:val="006303F7"/>
    <w:rsid w:val="006306D8"/>
    <w:rsid w:val="00631E87"/>
    <w:rsid w:val="00632CBA"/>
    <w:rsid w:val="00634165"/>
    <w:rsid w:val="00637766"/>
    <w:rsid w:val="006417C1"/>
    <w:rsid w:val="00642E05"/>
    <w:rsid w:val="00642E76"/>
    <w:rsid w:val="00644C87"/>
    <w:rsid w:val="006463FF"/>
    <w:rsid w:val="00652737"/>
    <w:rsid w:val="006541BF"/>
    <w:rsid w:val="0065426A"/>
    <w:rsid w:val="00655F0D"/>
    <w:rsid w:val="006561AF"/>
    <w:rsid w:val="00656C83"/>
    <w:rsid w:val="006606D4"/>
    <w:rsid w:val="0066320C"/>
    <w:rsid w:val="006653DB"/>
    <w:rsid w:val="00667CEB"/>
    <w:rsid w:val="0067269D"/>
    <w:rsid w:val="00676BD5"/>
    <w:rsid w:val="006817AD"/>
    <w:rsid w:val="00694D98"/>
    <w:rsid w:val="00694FB2"/>
    <w:rsid w:val="00695304"/>
    <w:rsid w:val="006A341E"/>
    <w:rsid w:val="006A4A06"/>
    <w:rsid w:val="006A61BC"/>
    <w:rsid w:val="006A6856"/>
    <w:rsid w:val="006B2BEA"/>
    <w:rsid w:val="006B3E8A"/>
    <w:rsid w:val="006B6BD1"/>
    <w:rsid w:val="006B7501"/>
    <w:rsid w:val="006C336E"/>
    <w:rsid w:val="006D0E12"/>
    <w:rsid w:val="006D1E78"/>
    <w:rsid w:val="006D5EDF"/>
    <w:rsid w:val="006E0078"/>
    <w:rsid w:val="006E0760"/>
    <w:rsid w:val="006E2C05"/>
    <w:rsid w:val="006E58F5"/>
    <w:rsid w:val="006E6FAF"/>
    <w:rsid w:val="006E7B5C"/>
    <w:rsid w:val="006F0DF6"/>
    <w:rsid w:val="006F2263"/>
    <w:rsid w:val="006F2389"/>
    <w:rsid w:val="006F4168"/>
    <w:rsid w:val="00700863"/>
    <w:rsid w:val="007017DC"/>
    <w:rsid w:val="00701D5C"/>
    <w:rsid w:val="0070276C"/>
    <w:rsid w:val="007027B5"/>
    <w:rsid w:val="00702DCC"/>
    <w:rsid w:val="00705EA9"/>
    <w:rsid w:val="00706C80"/>
    <w:rsid w:val="00706F94"/>
    <w:rsid w:val="007154E1"/>
    <w:rsid w:val="007155C3"/>
    <w:rsid w:val="0071673C"/>
    <w:rsid w:val="007177B5"/>
    <w:rsid w:val="007177FD"/>
    <w:rsid w:val="00720B11"/>
    <w:rsid w:val="00723160"/>
    <w:rsid w:val="00724971"/>
    <w:rsid w:val="00725439"/>
    <w:rsid w:val="0073041B"/>
    <w:rsid w:val="00732D3C"/>
    <w:rsid w:val="00732ECD"/>
    <w:rsid w:val="00735077"/>
    <w:rsid w:val="00737724"/>
    <w:rsid w:val="00740D50"/>
    <w:rsid w:val="00741E8A"/>
    <w:rsid w:val="00742B0B"/>
    <w:rsid w:val="007463B2"/>
    <w:rsid w:val="007469AC"/>
    <w:rsid w:val="00747269"/>
    <w:rsid w:val="00753EA9"/>
    <w:rsid w:val="00761FF8"/>
    <w:rsid w:val="007639D5"/>
    <w:rsid w:val="0076596A"/>
    <w:rsid w:val="00767475"/>
    <w:rsid w:val="007700CE"/>
    <w:rsid w:val="00771043"/>
    <w:rsid w:val="00774123"/>
    <w:rsid w:val="00775632"/>
    <w:rsid w:val="007804B7"/>
    <w:rsid w:val="007920B1"/>
    <w:rsid w:val="0079282B"/>
    <w:rsid w:val="00793660"/>
    <w:rsid w:val="0079446A"/>
    <w:rsid w:val="007A07DD"/>
    <w:rsid w:val="007A0911"/>
    <w:rsid w:val="007A138E"/>
    <w:rsid w:val="007A2AF5"/>
    <w:rsid w:val="007A37B3"/>
    <w:rsid w:val="007B0011"/>
    <w:rsid w:val="007B0D9A"/>
    <w:rsid w:val="007B22A7"/>
    <w:rsid w:val="007B2807"/>
    <w:rsid w:val="007B2D4E"/>
    <w:rsid w:val="007B3406"/>
    <w:rsid w:val="007B5B41"/>
    <w:rsid w:val="007B5C09"/>
    <w:rsid w:val="007B5C1B"/>
    <w:rsid w:val="007C0F9B"/>
    <w:rsid w:val="007C0FC7"/>
    <w:rsid w:val="007C393E"/>
    <w:rsid w:val="007C3B46"/>
    <w:rsid w:val="007C6125"/>
    <w:rsid w:val="007C6985"/>
    <w:rsid w:val="007D1A84"/>
    <w:rsid w:val="007D2560"/>
    <w:rsid w:val="007D2957"/>
    <w:rsid w:val="007E152B"/>
    <w:rsid w:val="007E3671"/>
    <w:rsid w:val="007E3EBE"/>
    <w:rsid w:val="007E6EF0"/>
    <w:rsid w:val="007E7FAA"/>
    <w:rsid w:val="007F02F1"/>
    <w:rsid w:val="007F1EB3"/>
    <w:rsid w:val="007F2531"/>
    <w:rsid w:val="007F277B"/>
    <w:rsid w:val="007F366E"/>
    <w:rsid w:val="007F39C7"/>
    <w:rsid w:val="007F463B"/>
    <w:rsid w:val="007F561F"/>
    <w:rsid w:val="007F5A7E"/>
    <w:rsid w:val="007F6B19"/>
    <w:rsid w:val="008006FA"/>
    <w:rsid w:val="00806A50"/>
    <w:rsid w:val="00806B8A"/>
    <w:rsid w:val="008076E2"/>
    <w:rsid w:val="0081046A"/>
    <w:rsid w:val="008113A4"/>
    <w:rsid w:val="008132F5"/>
    <w:rsid w:val="00814AF3"/>
    <w:rsid w:val="008150FA"/>
    <w:rsid w:val="00815169"/>
    <w:rsid w:val="00821EA9"/>
    <w:rsid w:val="008227CE"/>
    <w:rsid w:val="00822C2F"/>
    <w:rsid w:val="008231E3"/>
    <w:rsid w:val="0082452F"/>
    <w:rsid w:val="00826D43"/>
    <w:rsid w:val="008301F3"/>
    <w:rsid w:val="008340D3"/>
    <w:rsid w:val="00837B74"/>
    <w:rsid w:val="008404D1"/>
    <w:rsid w:val="00841DFF"/>
    <w:rsid w:val="00843ABC"/>
    <w:rsid w:val="00844712"/>
    <w:rsid w:val="00845B66"/>
    <w:rsid w:val="00845D8F"/>
    <w:rsid w:val="00850F3E"/>
    <w:rsid w:val="0085317B"/>
    <w:rsid w:val="00853643"/>
    <w:rsid w:val="0085446E"/>
    <w:rsid w:val="00861B67"/>
    <w:rsid w:val="00862969"/>
    <w:rsid w:val="00864978"/>
    <w:rsid w:val="00865E6C"/>
    <w:rsid w:val="00867D59"/>
    <w:rsid w:val="0087012E"/>
    <w:rsid w:val="00871ADB"/>
    <w:rsid w:val="008755AA"/>
    <w:rsid w:val="00875FD5"/>
    <w:rsid w:val="00876654"/>
    <w:rsid w:val="00880163"/>
    <w:rsid w:val="008805A7"/>
    <w:rsid w:val="0088067A"/>
    <w:rsid w:val="00881BB4"/>
    <w:rsid w:val="00881F90"/>
    <w:rsid w:val="0088370E"/>
    <w:rsid w:val="00883B6B"/>
    <w:rsid w:val="00884B4D"/>
    <w:rsid w:val="00887DBB"/>
    <w:rsid w:val="0089121D"/>
    <w:rsid w:val="00891640"/>
    <w:rsid w:val="00892F48"/>
    <w:rsid w:val="00893655"/>
    <w:rsid w:val="008969B0"/>
    <w:rsid w:val="008A503B"/>
    <w:rsid w:val="008A5185"/>
    <w:rsid w:val="008A5626"/>
    <w:rsid w:val="008A58CE"/>
    <w:rsid w:val="008A6950"/>
    <w:rsid w:val="008A7838"/>
    <w:rsid w:val="008B579C"/>
    <w:rsid w:val="008C4B8B"/>
    <w:rsid w:val="008C5A76"/>
    <w:rsid w:val="008C63D3"/>
    <w:rsid w:val="008D1CF1"/>
    <w:rsid w:val="008D2F54"/>
    <w:rsid w:val="008D50FB"/>
    <w:rsid w:val="008D61DF"/>
    <w:rsid w:val="008D69BA"/>
    <w:rsid w:val="008E2FEE"/>
    <w:rsid w:val="008E3542"/>
    <w:rsid w:val="008E4F65"/>
    <w:rsid w:val="008E5931"/>
    <w:rsid w:val="008E6B23"/>
    <w:rsid w:val="008F1385"/>
    <w:rsid w:val="008F22AB"/>
    <w:rsid w:val="008F3E74"/>
    <w:rsid w:val="008F5EE8"/>
    <w:rsid w:val="008F78EA"/>
    <w:rsid w:val="0090071E"/>
    <w:rsid w:val="00900AD0"/>
    <w:rsid w:val="009038ED"/>
    <w:rsid w:val="0090527D"/>
    <w:rsid w:val="00906084"/>
    <w:rsid w:val="0090652B"/>
    <w:rsid w:val="00906E39"/>
    <w:rsid w:val="00910BE4"/>
    <w:rsid w:val="009132F3"/>
    <w:rsid w:val="009141A4"/>
    <w:rsid w:val="00915F3E"/>
    <w:rsid w:val="00917404"/>
    <w:rsid w:val="009207F3"/>
    <w:rsid w:val="00921ACE"/>
    <w:rsid w:val="00921DB1"/>
    <w:rsid w:val="00924E3D"/>
    <w:rsid w:val="00927612"/>
    <w:rsid w:val="00940A61"/>
    <w:rsid w:val="00940ADF"/>
    <w:rsid w:val="00947505"/>
    <w:rsid w:val="00950A7E"/>
    <w:rsid w:val="0095326B"/>
    <w:rsid w:val="0095462C"/>
    <w:rsid w:val="00954E2E"/>
    <w:rsid w:val="00954EA7"/>
    <w:rsid w:val="00955D7C"/>
    <w:rsid w:val="00957E91"/>
    <w:rsid w:val="0096283E"/>
    <w:rsid w:val="009638D7"/>
    <w:rsid w:val="00965572"/>
    <w:rsid w:val="00966F66"/>
    <w:rsid w:val="00971C38"/>
    <w:rsid w:val="0097213E"/>
    <w:rsid w:val="0097321C"/>
    <w:rsid w:val="00974797"/>
    <w:rsid w:val="00975403"/>
    <w:rsid w:val="00975BA9"/>
    <w:rsid w:val="0097746A"/>
    <w:rsid w:val="00981224"/>
    <w:rsid w:val="00983F79"/>
    <w:rsid w:val="00984A60"/>
    <w:rsid w:val="00985A23"/>
    <w:rsid w:val="0099142B"/>
    <w:rsid w:val="009915A2"/>
    <w:rsid w:val="0099205E"/>
    <w:rsid w:val="00992442"/>
    <w:rsid w:val="00995CC1"/>
    <w:rsid w:val="009969BD"/>
    <w:rsid w:val="009977B3"/>
    <w:rsid w:val="00997E2F"/>
    <w:rsid w:val="009A4919"/>
    <w:rsid w:val="009B166A"/>
    <w:rsid w:val="009B36B1"/>
    <w:rsid w:val="009B5925"/>
    <w:rsid w:val="009B5D9A"/>
    <w:rsid w:val="009B72C4"/>
    <w:rsid w:val="009C1A30"/>
    <w:rsid w:val="009C74A5"/>
    <w:rsid w:val="009D0C4D"/>
    <w:rsid w:val="009D0DA1"/>
    <w:rsid w:val="009D34C0"/>
    <w:rsid w:val="009E0AC6"/>
    <w:rsid w:val="009E0B41"/>
    <w:rsid w:val="009E1EA4"/>
    <w:rsid w:val="009E31EF"/>
    <w:rsid w:val="009E4593"/>
    <w:rsid w:val="009E6DA1"/>
    <w:rsid w:val="009F060C"/>
    <w:rsid w:val="009F0F7A"/>
    <w:rsid w:val="009F1FA7"/>
    <w:rsid w:val="009F3BDF"/>
    <w:rsid w:val="00A039C6"/>
    <w:rsid w:val="00A0462D"/>
    <w:rsid w:val="00A06FBD"/>
    <w:rsid w:val="00A07542"/>
    <w:rsid w:val="00A107A5"/>
    <w:rsid w:val="00A10CE7"/>
    <w:rsid w:val="00A13D6C"/>
    <w:rsid w:val="00A1696C"/>
    <w:rsid w:val="00A17A58"/>
    <w:rsid w:val="00A22978"/>
    <w:rsid w:val="00A244B1"/>
    <w:rsid w:val="00A249AF"/>
    <w:rsid w:val="00A26CA7"/>
    <w:rsid w:val="00A3104B"/>
    <w:rsid w:val="00A31BC8"/>
    <w:rsid w:val="00A32B3E"/>
    <w:rsid w:val="00A33BDB"/>
    <w:rsid w:val="00A4253D"/>
    <w:rsid w:val="00A42A6B"/>
    <w:rsid w:val="00A44168"/>
    <w:rsid w:val="00A458E0"/>
    <w:rsid w:val="00A46C32"/>
    <w:rsid w:val="00A54078"/>
    <w:rsid w:val="00A56831"/>
    <w:rsid w:val="00A575B0"/>
    <w:rsid w:val="00A621ED"/>
    <w:rsid w:val="00A64EB2"/>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08E"/>
    <w:rsid w:val="00AA7926"/>
    <w:rsid w:val="00AC1EF7"/>
    <w:rsid w:val="00AC23EC"/>
    <w:rsid w:val="00AC2B2D"/>
    <w:rsid w:val="00AC2C68"/>
    <w:rsid w:val="00AC3DAD"/>
    <w:rsid w:val="00AC597D"/>
    <w:rsid w:val="00AC617A"/>
    <w:rsid w:val="00AD0455"/>
    <w:rsid w:val="00AD051D"/>
    <w:rsid w:val="00AD0D55"/>
    <w:rsid w:val="00AD6F90"/>
    <w:rsid w:val="00AD7C90"/>
    <w:rsid w:val="00AE0B3F"/>
    <w:rsid w:val="00AE110A"/>
    <w:rsid w:val="00AE15EE"/>
    <w:rsid w:val="00AE2AEE"/>
    <w:rsid w:val="00AE33C1"/>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E1C"/>
    <w:rsid w:val="00B26DEC"/>
    <w:rsid w:val="00B274C6"/>
    <w:rsid w:val="00B316A5"/>
    <w:rsid w:val="00B33BAE"/>
    <w:rsid w:val="00B40C2F"/>
    <w:rsid w:val="00B412D1"/>
    <w:rsid w:val="00B41F06"/>
    <w:rsid w:val="00B430AD"/>
    <w:rsid w:val="00B43524"/>
    <w:rsid w:val="00B441CC"/>
    <w:rsid w:val="00B45B8D"/>
    <w:rsid w:val="00B4687B"/>
    <w:rsid w:val="00B477EF"/>
    <w:rsid w:val="00B558BA"/>
    <w:rsid w:val="00B63CE9"/>
    <w:rsid w:val="00B66383"/>
    <w:rsid w:val="00B66678"/>
    <w:rsid w:val="00B71432"/>
    <w:rsid w:val="00B72C29"/>
    <w:rsid w:val="00B82858"/>
    <w:rsid w:val="00B828B6"/>
    <w:rsid w:val="00B85756"/>
    <w:rsid w:val="00B86E93"/>
    <w:rsid w:val="00B91476"/>
    <w:rsid w:val="00B9347E"/>
    <w:rsid w:val="00B93837"/>
    <w:rsid w:val="00B947D5"/>
    <w:rsid w:val="00BA07B3"/>
    <w:rsid w:val="00BB35BC"/>
    <w:rsid w:val="00BC03EF"/>
    <w:rsid w:val="00BC05C3"/>
    <w:rsid w:val="00BC10E3"/>
    <w:rsid w:val="00BC435A"/>
    <w:rsid w:val="00BC6A0B"/>
    <w:rsid w:val="00BD1057"/>
    <w:rsid w:val="00BD1E82"/>
    <w:rsid w:val="00BD1EA6"/>
    <w:rsid w:val="00BD33CF"/>
    <w:rsid w:val="00BD48E2"/>
    <w:rsid w:val="00BD4D0C"/>
    <w:rsid w:val="00BD563F"/>
    <w:rsid w:val="00BE1CE7"/>
    <w:rsid w:val="00BE2594"/>
    <w:rsid w:val="00BE26F1"/>
    <w:rsid w:val="00BE72B7"/>
    <w:rsid w:val="00BE741D"/>
    <w:rsid w:val="00BE7849"/>
    <w:rsid w:val="00BF249B"/>
    <w:rsid w:val="00BF2C50"/>
    <w:rsid w:val="00BF7A8A"/>
    <w:rsid w:val="00C00BBA"/>
    <w:rsid w:val="00C0131F"/>
    <w:rsid w:val="00C03C2F"/>
    <w:rsid w:val="00C03D2B"/>
    <w:rsid w:val="00C061B2"/>
    <w:rsid w:val="00C06A62"/>
    <w:rsid w:val="00C10486"/>
    <w:rsid w:val="00C137F2"/>
    <w:rsid w:val="00C14E1D"/>
    <w:rsid w:val="00C16133"/>
    <w:rsid w:val="00C21149"/>
    <w:rsid w:val="00C221BD"/>
    <w:rsid w:val="00C259E7"/>
    <w:rsid w:val="00C25A42"/>
    <w:rsid w:val="00C26738"/>
    <w:rsid w:val="00C26810"/>
    <w:rsid w:val="00C307CE"/>
    <w:rsid w:val="00C3190D"/>
    <w:rsid w:val="00C3404F"/>
    <w:rsid w:val="00C3443F"/>
    <w:rsid w:val="00C344CA"/>
    <w:rsid w:val="00C34B3D"/>
    <w:rsid w:val="00C3748B"/>
    <w:rsid w:val="00C40D56"/>
    <w:rsid w:val="00C418B2"/>
    <w:rsid w:val="00C445E6"/>
    <w:rsid w:val="00C5192F"/>
    <w:rsid w:val="00C51DF6"/>
    <w:rsid w:val="00C521D4"/>
    <w:rsid w:val="00C52FEA"/>
    <w:rsid w:val="00C532C8"/>
    <w:rsid w:val="00C54B5E"/>
    <w:rsid w:val="00C54FB2"/>
    <w:rsid w:val="00C57812"/>
    <w:rsid w:val="00C57FBC"/>
    <w:rsid w:val="00C611A3"/>
    <w:rsid w:val="00C61A40"/>
    <w:rsid w:val="00C61AF0"/>
    <w:rsid w:val="00C64019"/>
    <w:rsid w:val="00C667EE"/>
    <w:rsid w:val="00C66ACE"/>
    <w:rsid w:val="00C70840"/>
    <w:rsid w:val="00C70AC7"/>
    <w:rsid w:val="00C70C05"/>
    <w:rsid w:val="00C71776"/>
    <w:rsid w:val="00C7319F"/>
    <w:rsid w:val="00C739C2"/>
    <w:rsid w:val="00C73A40"/>
    <w:rsid w:val="00C757AB"/>
    <w:rsid w:val="00C75B8F"/>
    <w:rsid w:val="00C75DDB"/>
    <w:rsid w:val="00C7779C"/>
    <w:rsid w:val="00C90FB6"/>
    <w:rsid w:val="00C93A2D"/>
    <w:rsid w:val="00C94BBC"/>
    <w:rsid w:val="00C957A6"/>
    <w:rsid w:val="00C96A98"/>
    <w:rsid w:val="00C973AE"/>
    <w:rsid w:val="00C9746F"/>
    <w:rsid w:val="00CA1AE1"/>
    <w:rsid w:val="00CA53CE"/>
    <w:rsid w:val="00CA5B86"/>
    <w:rsid w:val="00CB2E00"/>
    <w:rsid w:val="00CB58C3"/>
    <w:rsid w:val="00CC4553"/>
    <w:rsid w:val="00CD037E"/>
    <w:rsid w:val="00CD22C6"/>
    <w:rsid w:val="00CD369E"/>
    <w:rsid w:val="00CD5263"/>
    <w:rsid w:val="00CE2AB5"/>
    <w:rsid w:val="00CE6F95"/>
    <w:rsid w:val="00CF0FEA"/>
    <w:rsid w:val="00CF1DB8"/>
    <w:rsid w:val="00CF22D9"/>
    <w:rsid w:val="00CF2301"/>
    <w:rsid w:val="00D01436"/>
    <w:rsid w:val="00D02FA8"/>
    <w:rsid w:val="00D03A3C"/>
    <w:rsid w:val="00D04686"/>
    <w:rsid w:val="00D05B8F"/>
    <w:rsid w:val="00D064D4"/>
    <w:rsid w:val="00D11CB6"/>
    <w:rsid w:val="00D124B3"/>
    <w:rsid w:val="00D13275"/>
    <w:rsid w:val="00D1660D"/>
    <w:rsid w:val="00D166D9"/>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06E"/>
    <w:rsid w:val="00D50962"/>
    <w:rsid w:val="00D51401"/>
    <w:rsid w:val="00D51658"/>
    <w:rsid w:val="00D51A2F"/>
    <w:rsid w:val="00D52EE6"/>
    <w:rsid w:val="00D536BB"/>
    <w:rsid w:val="00D547A7"/>
    <w:rsid w:val="00D56563"/>
    <w:rsid w:val="00D57887"/>
    <w:rsid w:val="00D57D81"/>
    <w:rsid w:val="00D612EA"/>
    <w:rsid w:val="00D6205D"/>
    <w:rsid w:val="00D63B78"/>
    <w:rsid w:val="00D67C11"/>
    <w:rsid w:val="00D706BD"/>
    <w:rsid w:val="00D71457"/>
    <w:rsid w:val="00D7215A"/>
    <w:rsid w:val="00D727BC"/>
    <w:rsid w:val="00D72F12"/>
    <w:rsid w:val="00D74651"/>
    <w:rsid w:val="00D75F20"/>
    <w:rsid w:val="00D8289C"/>
    <w:rsid w:val="00D82D27"/>
    <w:rsid w:val="00D847FB"/>
    <w:rsid w:val="00D868A7"/>
    <w:rsid w:val="00D87887"/>
    <w:rsid w:val="00D8793C"/>
    <w:rsid w:val="00D90B9A"/>
    <w:rsid w:val="00D915B6"/>
    <w:rsid w:val="00D96387"/>
    <w:rsid w:val="00DA4BA4"/>
    <w:rsid w:val="00DA4CE4"/>
    <w:rsid w:val="00DA6E95"/>
    <w:rsid w:val="00DB11F1"/>
    <w:rsid w:val="00DB3336"/>
    <w:rsid w:val="00DB41B0"/>
    <w:rsid w:val="00DB6904"/>
    <w:rsid w:val="00DC0B1E"/>
    <w:rsid w:val="00DC41F9"/>
    <w:rsid w:val="00DC48A5"/>
    <w:rsid w:val="00DC4BF3"/>
    <w:rsid w:val="00DC5551"/>
    <w:rsid w:val="00DD21E6"/>
    <w:rsid w:val="00DD280D"/>
    <w:rsid w:val="00DD3BB7"/>
    <w:rsid w:val="00DD604F"/>
    <w:rsid w:val="00DD791D"/>
    <w:rsid w:val="00DE353D"/>
    <w:rsid w:val="00DE4AEF"/>
    <w:rsid w:val="00DE5B0A"/>
    <w:rsid w:val="00DE5DC5"/>
    <w:rsid w:val="00DF0479"/>
    <w:rsid w:val="00DF0993"/>
    <w:rsid w:val="00DF0ADA"/>
    <w:rsid w:val="00DF1F6C"/>
    <w:rsid w:val="00DF3C09"/>
    <w:rsid w:val="00DF69D1"/>
    <w:rsid w:val="00E02284"/>
    <w:rsid w:val="00E0266B"/>
    <w:rsid w:val="00E043A8"/>
    <w:rsid w:val="00E055D4"/>
    <w:rsid w:val="00E0653D"/>
    <w:rsid w:val="00E11703"/>
    <w:rsid w:val="00E132B5"/>
    <w:rsid w:val="00E135D5"/>
    <w:rsid w:val="00E14C48"/>
    <w:rsid w:val="00E203FF"/>
    <w:rsid w:val="00E204F2"/>
    <w:rsid w:val="00E21DD4"/>
    <w:rsid w:val="00E24229"/>
    <w:rsid w:val="00E24A7F"/>
    <w:rsid w:val="00E25C7B"/>
    <w:rsid w:val="00E25E8A"/>
    <w:rsid w:val="00E26E89"/>
    <w:rsid w:val="00E274DD"/>
    <w:rsid w:val="00E3113C"/>
    <w:rsid w:val="00E31197"/>
    <w:rsid w:val="00E318EF"/>
    <w:rsid w:val="00E324F3"/>
    <w:rsid w:val="00E34FE9"/>
    <w:rsid w:val="00E41296"/>
    <w:rsid w:val="00E42D55"/>
    <w:rsid w:val="00E42D6F"/>
    <w:rsid w:val="00E434C4"/>
    <w:rsid w:val="00E446B4"/>
    <w:rsid w:val="00E44882"/>
    <w:rsid w:val="00E4574E"/>
    <w:rsid w:val="00E47C1E"/>
    <w:rsid w:val="00E51A9F"/>
    <w:rsid w:val="00E52050"/>
    <w:rsid w:val="00E52476"/>
    <w:rsid w:val="00E53110"/>
    <w:rsid w:val="00E53117"/>
    <w:rsid w:val="00E55FAB"/>
    <w:rsid w:val="00E56682"/>
    <w:rsid w:val="00E57244"/>
    <w:rsid w:val="00E575C0"/>
    <w:rsid w:val="00E61830"/>
    <w:rsid w:val="00E639AA"/>
    <w:rsid w:val="00E74035"/>
    <w:rsid w:val="00E759ED"/>
    <w:rsid w:val="00E76C17"/>
    <w:rsid w:val="00E77913"/>
    <w:rsid w:val="00E8050D"/>
    <w:rsid w:val="00E853D7"/>
    <w:rsid w:val="00E91079"/>
    <w:rsid w:val="00E924D4"/>
    <w:rsid w:val="00E9274F"/>
    <w:rsid w:val="00E940EF"/>
    <w:rsid w:val="00E94351"/>
    <w:rsid w:val="00E977EB"/>
    <w:rsid w:val="00EA10A9"/>
    <w:rsid w:val="00EA1F50"/>
    <w:rsid w:val="00EA23A9"/>
    <w:rsid w:val="00EA2A84"/>
    <w:rsid w:val="00EA5D90"/>
    <w:rsid w:val="00EA7839"/>
    <w:rsid w:val="00EB18A7"/>
    <w:rsid w:val="00EB27D0"/>
    <w:rsid w:val="00EB4830"/>
    <w:rsid w:val="00EB4C29"/>
    <w:rsid w:val="00EB4DFD"/>
    <w:rsid w:val="00EB5410"/>
    <w:rsid w:val="00EB5DF3"/>
    <w:rsid w:val="00EB7483"/>
    <w:rsid w:val="00EC40B1"/>
    <w:rsid w:val="00EC65C3"/>
    <w:rsid w:val="00ED237F"/>
    <w:rsid w:val="00ED2DED"/>
    <w:rsid w:val="00ED3292"/>
    <w:rsid w:val="00ED3F78"/>
    <w:rsid w:val="00ED4AE1"/>
    <w:rsid w:val="00ED7532"/>
    <w:rsid w:val="00EE6BE8"/>
    <w:rsid w:val="00EE7507"/>
    <w:rsid w:val="00EF2D87"/>
    <w:rsid w:val="00EF3B4A"/>
    <w:rsid w:val="00EF3C6E"/>
    <w:rsid w:val="00EF5ADA"/>
    <w:rsid w:val="00EF6133"/>
    <w:rsid w:val="00F01361"/>
    <w:rsid w:val="00F0288C"/>
    <w:rsid w:val="00F031F0"/>
    <w:rsid w:val="00F0321B"/>
    <w:rsid w:val="00F04282"/>
    <w:rsid w:val="00F051FD"/>
    <w:rsid w:val="00F05F18"/>
    <w:rsid w:val="00F06D35"/>
    <w:rsid w:val="00F10AC3"/>
    <w:rsid w:val="00F11CDA"/>
    <w:rsid w:val="00F14A46"/>
    <w:rsid w:val="00F16D7A"/>
    <w:rsid w:val="00F16EE8"/>
    <w:rsid w:val="00F232CC"/>
    <w:rsid w:val="00F23C98"/>
    <w:rsid w:val="00F23D7E"/>
    <w:rsid w:val="00F23E6F"/>
    <w:rsid w:val="00F2562E"/>
    <w:rsid w:val="00F26900"/>
    <w:rsid w:val="00F27645"/>
    <w:rsid w:val="00F30584"/>
    <w:rsid w:val="00F3075C"/>
    <w:rsid w:val="00F30D81"/>
    <w:rsid w:val="00F321DD"/>
    <w:rsid w:val="00F32A65"/>
    <w:rsid w:val="00F33E46"/>
    <w:rsid w:val="00F35268"/>
    <w:rsid w:val="00F36218"/>
    <w:rsid w:val="00F40B3B"/>
    <w:rsid w:val="00F42D71"/>
    <w:rsid w:val="00F43D58"/>
    <w:rsid w:val="00F55DB5"/>
    <w:rsid w:val="00F56F7A"/>
    <w:rsid w:val="00F57C7B"/>
    <w:rsid w:val="00F57F10"/>
    <w:rsid w:val="00F608D1"/>
    <w:rsid w:val="00F62D81"/>
    <w:rsid w:val="00F63574"/>
    <w:rsid w:val="00F63C46"/>
    <w:rsid w:val="00F64A2E"/>
    <w:rsid w:val="00F65B38"/>
    <w:rsid w:val="00F661D9"/>
    <w:rsid w:val="00F703B0"/>
    <w:rsid w:val="00F7048D"/>
    <w:rsid w:val="00F735BC"/>
    <w:rsid w:val="00F81BC9"/>
    <w:rsid w:val="00F83563"/>
    <w:rsid w:val="00F8461F"/>
    <w:rsid w:val="00F84799"/>
    <w:rsid w:val="00F912AC"/>
    <w:rsid w:val="00F92432"/>
    <w:rsid w:val="00F92A10"/>
    <w:rsid w:val="00F93974"/>
    <w:rsid w:val="00F93A98"/>
    <w:rsid w:val="00F94C99"/>
    <w:rsid w:val="00F96341"/>
    <w:rsid w:val="00FA13CC"/>
    <w:rsid w:val="00FA2CEC"/>
    <w:rsid w:val="00FB225C"/>
    <w:rsid w:val="00FB353C"/>
    <w:rsid w:val="00FB42A2"/>
    <w:rsid w:val="00FB5A5C"/>
    <w:rsid w:val="00FB6979"/>
    <w:rsid w:val="00FB6A17"/>
    <w:rsid w:val="00FB7D9D"/>
    <w:rsid w:val="00FC44C3"/>
    <w:rsid w:val="00FC53E3"/>
    <w:rsid w:val="00FC6239"/>
    <w:rsid w:val="00FD06F7"/>
    <w:rsid w:val="00FD4A85"/>
    <w:rsid w:val="00FD58E1"/>
    <w:rsid w:val="00FE0936"/>
    <w:rsid w:val="00FE12CD"/>
    <w:rsid w:val="00FE438D"/>
    <w:rsid w:val="00FE502E"/>
    <w:rsid w:val="00FF1418"/>
    <w:rsid w:val="00FF237D"/>
    <w:rsid w:val="00FF38FD"/>
    <w:rsid w:val="00FF4218"/>
    <w:rsid w:val="00FF4219"/>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E203FF"/>
    <w:pPr>
      <w:keepNext/>
      <w:keepLines/>
      <w:spacing w:before="24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203FF"/>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aace.org.uk/national-performance/national-clinical-dashboard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gov.uk/government/statistics/announc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england.nhs.uk/statistics/statistical-work-areas/winter-daily-sitreps" TargetMode="External"/><Relationship Id="rId28" Type="http://schemas.openxmlformats.org/officeDocument/2006/relationships/hyperlink" Target="mailto:i.kay@nhs.net" TargetMode="External"/><Relationship Id="rId10" Type="http://schemas.openxmlformats.org/officeDocument/2006/relationships/image" Target="media/image2.png"/><Relationship Id="rId19" Type="http://schemas.openxmlformats.org/officeDocument/2006/relationships/hyperlink" Target="http://bit.ly/NHSAQ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hscic.gov.uk/article/2021/Website-Search?q=ambulance+-accident&amp;sort=Title"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8288-81DA-4652-8463-F02A90AA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2316</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15870</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7</cp:revision>
  <cp:lastPrinted>2015-04-09T06:34:00Z</cp:lastPrinted>
  <dcterms:created xsi:type="dcterms:W3CDTF">2015-08-06T15:28:00Z</dcterms:created>
  <dcterms:modified xsi:type="dcterms:W3CDTF">2015-08-12T10:49:00Z</dcterms:modified>
</cp:coreProperties>
</file>