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w:t>
      </w:r>
      <w:r w:rsidR="000F5FB4">
        <w:t xml:space="preserve">Systems Indicators </w:t>
      </w:r>
      <w:r w:rsidR="00BE2594">
        <w:t xml:space="preserve">for </w:t>
      </w:r>
      <w:r w:rsidR="00F31DC0">
        <w:t xml:space="preserve">August </w:t>
      </w:r>
      <w:r w:rsidR="005A6A3C">
        <w:t xml:space="preserve">2015 for </w:t>
      </w:r>
      <w:r w:rsidR="00BE2594">
        <w:t>Ambulance Services in England</w:t>
      </w:r>
      <w:r w:rsidR="008A7838">
        <w:t xml:space="preserve"> </w:t>
      </w:r>
      <w:r w:rsidR="00B947D5">
        <w:t xml:space="preserve">showed </w:t>
      </w:r>
      <w:r w:rsidR="00360AFD">
        <w:t xml:space="preserve">responses against the </w:t>
      </w:r>
      <w:r w:rsidR="00FA13CC">
        <w:t>standards</w:t>
      </w:r>
      <w:r w:rsidR="00892F48" w:rsidRPr="00892F48">
        <w:t xml:space="preserve"> </w:t>
      </w:r>
      <w:r w:rsidR="00FF749A">
        <w:t>in the Handbook</w:t>
      </w:r>
      <w:r w:rsidR="00FF749A">
        <w:rPr>
          <w:rStyle w:val="FootnoteReference"/>
        </w:rPr>
        <w:footnoteReference w:id="1"/>
      </w:r>
      <w:r w:rsidR="00892F48">
        <w:t xml:space="preserve"> to the NHS constitution</w:t>
      </w:r>
      <w:r w:rsidR="00B274C6" w:rsidRPr="00B274C6">
        <w:t xml:space="preserve"> </w:t>
      </w:r>
      <w:r w:rsidR="00360AFD">
        <w:t xml:space="preserve">declined, and therefore </w:t>
      </w:r>
      <w:r w:rsidR="00FA13CC">
        <w:t>were not met</w:t>
      </w:r>
      <w:r w:rsidR="006034E1">
        <w:t>, although there was an increase in the proportion of calls closed on the telephone.</w:t>
      </w:r>
    </w:p>
    <w:p w:rsidR="00A575F5" w:rsidRDefault="0058750D" w:rsidP="006034E1">
      <w:pPr>
        <w:pStyle w:val="ListBullet"/>
      </w:pPr>
      <w:r>
        <w:t xml:space="preserve">The latest </w:t>
      </w:r>
      <w:r w:rsidR="00FF749A">
        <w:t>C</w:t>
      </w:r>
      <w:r w:rsidR="00966F66">
        <w:t xml:space="preserve">linical </w:t>
      </w:r>
      <w:r w:rsidR="00FF749A">
        <w:t>O</w:t>
      </w:r>
      <w:r w:rsidR="00966F66">
        <w:t xml:space="preserve">utcomes </w:t>
      </w:r>
      <w:r>
        <w:t xml:space="preserve">data </w:t>
      </w:r>
      <w:r w:rsidR="00966F66">
        <w:t>for patients t</w:t>
      </w:r>
      <w:r w:rsidR="00FF749A">
        <w:t xml:space="preserve">ransported by Ambulance Services </w:t>
      </w:r>
      <w:r w:rsidR="00604932">
        <w:t xml:space="preserve">for </w:t>
      </w:r>
      <w:r w:rsidR="00F31DC0">
        <w:t xml:space="preserve">May </w:t>
      </w:r>
      <w:r w:rsidR="00604932">
        <w:t>2015</w:t>
      </w:r>
      <w:r w:rsidR="00360AFD">
        <w:t xml:space="preserve"> showed a </w:t>
      </w:r>
      <w:r w:rsidR="009C268C">
        <w:t>significant in</w:t>
      </w:r>
      <w:r w:rsidR="00360AFD">
        <w:t xml:space="preserve">crease in </w:t>
      </w:r>
      <w:r w:rsidR="009C268C">
        <w:t>appropriate care provided to stroke</w:t>
      </w:r>
      <w:r w:rsidR="00360AFD">
        <w:t xml:space="preserve"> </w:t>
      </w:r>
      <w:r w:rsidR="00DF7309">
        <w:t>patients</w:t>
      </w:r>
      <w:r w:rsidR="00360AFD">
        <w:t>.</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191AB9" w:rsidRDefault="00526112" w:rsidP="00191AB9">
      <w:r>
        <w:t>In</w:t>
      </w:r>
      <w:r w:rsidR="00AA7926">
        <w:t xml:space="preserve"> </w:t>
      </w:r>
      <w:r w:rsidR="00EF5E02" w:rsidRPr="00EF5E02">
        <w:t>August</w:t>
      </w:r>
      <w:r w:rsidR="00AE0B3F">
        <w:t xml:space="preserve"> </w:t>
      </w:r>
      <w:r w:rsidR="00F10AC3" w:rsidRPr="00F10AC3">
        <w:t>2015</w:t>
      </w:r>
      <w:r>
        <w:t xml:space="preserve">, </w:t>
      </w:r>
      <w:r w:rsidR="004C377A" w:rsidRPr="00513897">
        <w:t>of Category</w:t>
      </w:r>
      <w:r w:rsidR="0090527D" w:rsidRPr="00513897">
        <w:rPr>
          <w:rStyle w:val="FootnoteReference"/>
          <w:rFonts w:cs="Arial"/>
        </w:rPr>
        <w:footnoteReference w:id="2"/>
      </w:r>
      <w:r w:rsidR="00A07542">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EF5E02">
        <w:t>73</w:t>
      </w:r>
      <w:r w:rsidR="00AE0B3F">
        <w:t>.</w:t>
      </w:r>
      <w:r w:rsidR="00EF5E02">
        <w:t>6</w:t>
      </w:r>
      <w:r w:rsidR="00F3075C" w:rsidRPr="00F3075C">
        <w:t>%</w:t>
      </w:r>
      <w:r w:rsidR="00191AB9">
        <w:t xml:space="preserve">. </w:t>
      </w:r>
    </w:p>
    <w:p w:rsidR="00E924D4" w:rsidRDefault="00526112" w:rsidP="00513897">
      <w:r>
        <w:t xml:space="preserve">In </w:t>
      </w:r>
      <w:r w:rsidR="00EF5E02">
        <w:t xml:space="preserve">August </w:t>
      </w:r>
      <w:r w:rsidR="00F10AC3" w:rsidRPr="00F10AC3">
        <w:t>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EF5E02">
        <w:t>69</w:t>
      </w:r>
      <w:r w:rsidR="00FE438D">
        <w:t>.</w:t>
      </w:r>
      <w:r w:rsidR="00EF5E02">
        <w:t>7</w:t>
      </w:r>
      <w:r w:rsidR="00F3075C" w:rsidRPr="00F3075C">
        <w:t>%</w:t>
      </w:r>
      <w:r w:rsidR="00E924D4">
        <w:t>.</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xml:space="preserve">; see section A2 on the Dispatch on Disposition </w:t>
      </w:r>
      <w:r w:rsidR="001D4F10">
        <w:t>pilot</w:t>
      </w:r>
      <w:r w:rsidR="00620FE6">
        <w:t>.</w:t>
      </w:r>
    </w:p>
    <w:p w:rsidR="0038780E" w:rsidRDefault="00222A8A" w:rsidP="001D4F10">
      <w:r>
        <w:rPr>
          <w:noProof/>
        </w:rPr>
        <w:drawing>
          <wp:inline distT="0" distB="0" distL="0" distR="0" wp14:anchorId="7C1CC1F4">
            <wp:extent cx="5499100" cy="3115310"/>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115310"/>
                    </a:xfrm>
                    <a:prstGeom prst="rect">
                      <a:avLst/>
                    </a:prstGeom>
                    <a:noFill/>
                  </pic:spPr>
                </pic:pic>
              </a:graphicData>
            </a:graphic>
          </wp:inline>
        </w:drawing>
      </w:r>
    </w:p>
    <w:p w:rsidR="005D0BE3" w:rsidRDefault="008076E2" w:rsidP="00065771">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w:t>
      </w:r>
      <w:proofErr w:type="gramStart"/>
      <w:r w:rsidRPr="00513897">
        <w:t>A</w:t>
      </w:r>
      <w:proofErr w:type="gramEnd"/>
      <w:r w:rsidRPr="00E924D4">
        <w:t xml:space="preserve"> </w:t>
      </w:r>
      <w:r w:rsidRPr="00513897">
        <w:t>calls</w:t>
      </w:r>
      <w:r>
        <w:t>. Figure 1 shows that for England,</w:t>
      </w:r>
      <w:r w:rsidR="0096283E">
        <w:t xml:space="preserve"> </w:t>
      </w:r>
      <w:r w:rsidR="002956C9">
        <w:t>Red 1</w:t>
      </w:r>
      <w:r w:rsidR="0096283E">
        <w:t xml:space="preserve"> </w:t>
      </w:r>
      <w:r w:rsidR="002350ED">
        <w:t xml:space="preserve">performance was below </w:t>
      </w:r>
      <w:r w:rsidR="0038780E">
        <w:t xml:space="preserve">75% in </w:t>
      </w:r>
      <w:r w:rsidR="002350ED">
        <w:t>the last three months in a row</w:t>
      </w:r>
      <w:r w:rsidR="006C2217">
        <w:t xml:space="preserve">, </w:t>
      </w:r>
      <w:r w:rsidR="00455AE3">
        <w:t>and</w:t>
      </w:r>
      <w:r w:rsidR="006C2217">
        <w:t xml:space="preserve"> </w:t>
      </w:r>
      <w:r w:rsidR="007310F1">
        <w:t xml:space="preserve">decreased </w:t>
      </w:r>
      <w:r w:rsidR="007310F1" w:rsidRPr="007310F1">
        <w:t xml:space="preserve">to </w:t>
      </w:r>
      <w:r w:rsidR="007310F1">
        <w:t xml:space="preserve">73.6% in August </w:t>
      </w:r>
      <w:r w:rsidR="006C2217">
        <w:t xml:space="preserve">2015. </w:t>
      </w:r>
    </w:p>
    <w:p w:rsidR="005D0BE3" w:rsidRDefault="007A7785" w:rsidP="00065771">
      <w:r>
        <w:t xml:space="preserve">Three trusts had </w:t>
      </w:r>
      <w:r w:rsidR="00F614AC">
        <w:t xml:space="preserve">proportions </w:t>
      </w:r>
      <w:r>
        <w:t xml:space="preserve">exceeding 75%: </w:t>
      </w:r>
      <w:r w:rsidRPr="00F471D3">
        <w:t>North West</w:t>
      </w:r>
      <w:r>
        <w:t xml:space="preserve"> (77.7%), </w:t>
      </w:r>
      <w:r w:rsidRPr="00F471D3">
        <w:t xml:space="preserve">West Midlands </w:t>
      </w:r>
      <w:r>
        <w:t>(</w:t>
      </w:r>
      <w:r w:rsidR="00F614AC">
        <w:t>80.6</w:t>
      </w:r>
      <w:r w:rsidR="005A6A3C">
        <w:t>%</w:t>
      </w:r>
      <w:r>
        <w:t>)</w:t>
      </w:r>
      <w:r w:rsidR="005A6A3C">
        <w:t xml:space="preserve"> </w:t>
      </w:r>
      <w:r w:rsidR="00F471D3">
        <w:t>and</w:t>
      </w:r>
      <w:r w:rsidR="00F614AC">
        <w:t xml:space="preserve"> </w:t>
      </w:r>
      <w:r w:rsidR="0038780E">
        <w:t>South Western</w:t>
      </w:r>
      <w:r w:rsidR="00F471D3">
        <w:t xml:space="preserve"> </w:t>
      </w:r>
      <w:r>
        <w:t>(76.2%)</w:t>
      </w:r>
      <w:r w:rsidR="00DD604F">
        <w:t>.</w:t>
      </w:r>
      <w:r w:rsidR="0038780E" w:rsidRPr="0038780E">
        <w:t xml:space="preserve"> </w:t>
      </w:r>
    </w:p>
    <w:p w:rsidR="00C54FB2" w:rsidRDefault="006C2217" w:rsidP="00065771">
      <w:r>
        <w:t>T</w:t>
      </w:r>
      <w:r w:rsidR="007A7785">
        <w:t xml:space="preserve">hree trusts had proportions of less than 70%: Yorkshire (68.7%), </w:t>
      </w:r>
      <w:r w:rsidR="0038780E">
        <w:t xml:space="preserve">London </w:t>
      </w:r>
      <w:r w:rsidR="007A7785">
        <w:t xml:space="preserve">(65.8%) </w:t>
      </w:r>
      <w:r w:rsidR="0038780E">
        <w:t xml:space="preserve">and </w:t>
      </w:r>
      <w:r w:rsidR="00F614AC">
        <w:t>Isle of Wright</w:t>
      </w:r>
      <w:r w:rsidR="007A7785">
        <w:t xml:space="preserve"> (68.6%)</w:t>
      </w:r>
      <w:r w:rsidR="00F614AC">
        <w:t>.</w:t>
      </w:r>
    </w:p>
    <w:p w:rsidR="00C54B5E" w:rsidRDefault="00620FE6" w:rsidP="00C54B5E">
      <w:pPr>
        <w:pStyle w:val="Heading3"/>
      </w:pPr>
      <w:r>
        <w:t>A</w:t>
      </w:r>
      <w:r w:rsidR="00092A97">
        <w:t>2</w:t>
      </w:r>
      <w:r>
        <w:tab/>
        <w:t xml:space="preserve">Dispatch on Disposition </w:t>
      </w:r>
      <w:r w:rsidR="00533D03">
        <w:t>(</w:t>
      </w:r>
      <w:proofErr w:type="gramStart"/>
      <w:r w:rsidR="00533D03">
        <w:t>DoD</w:t>
      </w:r>
      <w:proofErr w:type="gramEnd"/>
      <w:r w:rsidR="00533D03">
        <w:t xml:space="preserve">) </w:t>
      </w:r>
      <w:r w:rsidR="00C54B5E">
        <w:t>pilot</w:t>
      </w:r>
      <w:r w:rsidR="000A00D6">
        <w:t xml:space="preserve"> (Figure 2)</w:t>
      </w:r>
    </w:p>
    <w:p w:rsidR="001D4F10" w:rsidRDefault="003E1019" w:rsidP="008A7838">
      <w:r>
        <w:t>Because of t</w:t>
      </w:r>
      <w:r w:rsidR="008A7838">
        <w:t>he</w:t>
      </w:r>
      <w:r w:rsidR="008A7838" w:rsidRPr="008A7838">
        <w:t xml:space="preserve"> </w:t>
      </w:r>
      <w:r w:rsidR="008A7838">
        <w:t>DoD pilot</w:t>
      </w:r>
      <w:r w:rsidR="008C5A76">
        <w:rPr>
          <w:rStyle w:val="FootnoteReference"/>
        </w:rPr>
        <w:footnoteReference w:id="3"/>
      </w:r>
      <w:r>
        <w:t xml:space="preserve">, </w:t>
      </w:r>
      <w:r w:rsidR="00DD604F">
        <w:t xml:space="preserve">from 10 February 2015 onwards, </w:t>
      </w:r>
      <w:r w:rsidR="00AF2C09">
        <w:t>London Ambulance Service (LAS) and South West</w:t>
      </w:r>
      <w:r w:rsidR="00AC23EC">
        <w:t>ern</w:t>
      </w:r>
      <w:r w:rsidR="00305EA9">
        <w:t xml:space="preserve"> Ambulance Service (SWAS)</w:t>
      </w:r>
      <w:r w:rsidR="008A7838">
        <w:t xml:space="preserve"> </w:t>
      </w:r>
      <w:r>
        <w:t>data</w:t>
      </w:r>
      <w:r w:rsidR="0012724F">
        <w:t xml:space="preserve"> for the </w:t>
      </w:r>
      <w:r w:rsidR="008A7838">
        <w:t>8 minute Red 2</w:t>
      </w:r>
      <w:r>
        <w:t xml:space="preserve"> measure </w:t>
      </w:r>
      <w:r w:rsidR="008A7838">
        <w:t xml:space="preserve">are not comparable with </w:t>
      </w:r>
      <w:r>
        <w:t>other services</w:t>
      </w:r>
      <w:r w:rsidR="00581E8E">
        <w:t>.</w:t>
      </w:r>
    </w:p>
    <w:p w:rsidR="00581E8E" w:rsidRDefault="000F2BCC" w:rsidP="001D4F10">
      <w:r>
        <w:t>Figure 2</w:t>
      </w:r>
      <w:r w:rsidR="0012724F">
        <w:t xml:space="preserve"> </w:t>
      </w:r>
      <w:r w:rsidR="00581E8E">
        <w:t xml:space="preserve">shows </w:t>
      </w:r>
      <w:r w:rsidR="00533D03">
        <w:t>the Red 2</w:t>
      </w:r>
      <w:r w:rsidR="00533D03" w:rsidRPr="00533D03">
        <w:t xml:space="preserve"> </w:t>
      </w:r>
      <w:r w:rsidR="00533D03">
        <w:t xml:space="preserve">measure </w:t>
      </w:r>
      <w:r w:rsidR="005A6A3C">
        <w:t>including and e</w:t>
      </w:r>
      <w:r w:rsidR="00581E8E">
        <w:t xml:space="preserve">xcluding the affected trusts. For all England, it </w:t>
      </w:r>
      <w:r w:rsidR="001A7F8A">
        <w:t>de</w:t>
      </w:r>
      <w:r w:rsidR="00C06A62">
        <w:t xml:space="preserve">creased </w:t>
      </w:r>
      <w:r w:rsidR="00533D03">
        <w:t xml:space="preserve">from </w:t>
      </w:r>
      <w:r w:rsidR="00581E8E" w:rsidRPr="00F93974">
        <w:t>7</w:t>
      </w:r>
      <w:r w:rsidR="00D028C8">
        <w:t>0.6</w:t>
      </w:r>
      <w:r w:rsidR="00581E8E" w:rsidRPr="00F93974">
        <w:t>%</w:t>
      </w:r>
      <w:r w:rsidR="00581E8E">
        <w:t xml:space="preserve"> in </w:t>
      </w:r>
      <w:r w:rsidR="00D1102E">
        <w:t>Ju</w:t>
      </w:r>
      <w:r w:rsidR="00D028C8">
        <w:t xml:space="preserve">ly </w:t>
      </w:r>
      <w:r w:rsidR="00B96C65">
        <w:t>2015 to 69.7</w:t>
      </w:r>
      <w:r w:rsidR="00581E8E">
        <w:t xml:space="preserve">% in </w:t>
      </w:r>
      <w:r w:rsidR="007A7785">
        <w:t xml:space="preserve">August </w:t>
      </w:r>
      <w:r w:rsidR="00F93974" w:rsidRPr="00F93974">
        <w:t>2015</w:t>
      </w:r>
      <w:r w:rsidR="00D8793C">
        <w:t>. W</w:t>
      </w:r>
      <w:r w:rsidR="00533D03">
        <w:t>ith LAS and SWAS</w:t>
      </w:r>
      <w:r w:rsidR="00533D03" w:rsidRPr="00533D03">
        <w:t xml:space="preserve"> </w:t>
      </w:r>
      <w:r w:rsidR="00533D03">
        <w:t>excluded</w:t>
      </w:r>
      <w:r w:rsidR="00D8793C">
        <w:t xml:space="preserve">, the </w:t>
      </w:r>
      <w:r w:rsidR="001A7F8A">
        <w:t>de</w:t>
      </w:r>
      <w:r w:rsidR="00D8289C">
        <w:t>crease</w:t>
      </w:r>
      <w:r w:rsidR="009C268C">
        <w:t xml:space="preserve"> was slightly larger</w:t>
      </w:r>
      <w:r w:rsidR="00D8289C">
        <w:t xml:space="preserve">, </w:t>
      </w:r>
      <w:r w:rsidR="001F1305">
        <w:t xml:space="preserve">from </w:t>
      </w:r>
      <w:r w:rsidR="00581E8E" w:rsidRPr="00F93974">
        <w:t>7</w:t>
      </w:r>
      <w:r w:rsidR="00A16F11">
        <w:t>2.0</w:t>
      </w:r>
      <w:r w:rsidR="003F17A5">
        <w:t>%</w:t>
      </w:r>
      <w:r w:rsidR="00004858">
        <w:t xml:space="preserve"> in</w:t>
      </w:r>
      <w:r w:rsidR="00D1102E">
        <w:t xml:space="preserve"> Ju</w:t>
      </w:r>
      <w:r w:rsidR="00A16F11">
        <w:t>ly</w:t>
      </w:r>
      <w:r w:rsidR="00D1102E">
        <w:t xml:space="preserve"> </w:t>
      </w:r>
      <w:r w:rsidR="00581E8E">
        <w:t xml:space="preserve">to </w:t>
      </w:r>
      <w:r w:rsidR="00632CBA" w:rsidRPr="00632CBA">
        <w:t>7</w:t>
      </w:r>
      <w:r w:rsidR="00A16F11">
        <w:t>0.8</w:t>
      </w:r>
      <w:r w:rsidR="00632CBA" w:rsidRPr="00632CBA">
        <w:t>%</w:t>
      </w:r>
      <w:r w:rsidR="00D1102E">
        <w:t xml:space="preserve"> in </w:t>
      </w:r>
      <w:r w:rsidR="00A16F11">
        <w:t>August</w:t>
      </w:r>
      <w:r w:rsidR="00D1102E">
        <w:t>.</w:t>
      </w:r>
    </w:p>
    <w:p w:rsidR="00D8793C" w:rsidRDefault="00222A8A" w:rsidP="001D4F10">
      <w:r>
        <w:rPr>
          <w:noProof/>
        </w:rPr>
        <w:drawing>
          <wp:inline distT="0" distB="0" distL="0" distR="0" wp14:anchorId="2C989462">
            <wp:extent cx="5657850" cy="31153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3115310"/>
                    </a:xfrm>
                    <a:prstGeom prst="rect">
                      <a:avLst/>
                    </a:prstGeom>
                    <a:noFill/>
                  </pic:spPr>
                </pic:pic>
              </a:graphicData>
            </a:graphic>
          </wp:inline>
        </w:drawing>
      </w:r>
    </w:p>
    <w:p w:rsidR="006C3B5D" w:rsidRDefault="00C51DF6" w:rsidP="00C51DF6">
      <w:r>
        <w:rPr>
          <w:noProof/>
        </w:rPr>
        <w:t xml:space="preserve">In </w:t>
      </w:r>
      <w:r w:rsidR="00FE5BB0">
        <w:rPr>
          <w:noProof/>
        </w:rPr>
        <w:t xml:space="preserve">August </w:t>
      </w:r>
      <w:r>
        <w:rPr>
          <w:noProof/>
        </w:rPr>
        <w:t xml:space="preserve">2015, </w:t>
      </w:r>
      <w:r w:rsidR="00A61D98">
        <w:rPr>
          <w:noProof/>
        </w:rPr>
        <w:t xml:space="preserve">only two </w:t>
      </w:r>
      <w:r w:rsidR="00243B32">
        <w:rPr>
          <w:noProof/>
        </w:rPr>
        <w:t>trusts</w:t>
      </w:r>
      <w:r w:rsidR="00243B32" w:rsidRPr="00243B32">
        <w:rPr>
          <w:noProof/>
        </w:rPr>
        <w:t xml:space="preserve"> </w:t>
      </w:r>
      <w:r w:rsidR="00243B32">
        <w:rPr>
          <w:noProof/>
        </w:rPr>
        <w:t xml:space="preserve">had more than 75% of Red 2 responses within 8 minutes: </w:t>
      </w:r>
      <w:r w:rsidR="00AD0D55">
        <w:rPr>
          <w:noProof/>
        </w:rPr>
        <w:t>North West</w:t>
      </w:r>
      <w:r w:rsidR="0038780E">
        <w:rPr>
          <w:noProof/>
        </w:rPr>
        <w:t xml:space="preserve"> </w:t>
      </w:r>
      <w:r w:rsidR="00455AE3">
        <w:rPr>
          <w:noProof/>
        </w:rPr>
        <w:t xml:space="preserve">(75.4%) </w:t>
      </w:r>
      <w:r w:rsidR="0038780E">
        <w:rPr>
          <w:noProof/>
        </w:rPr>
        <w:t xml:space="preserve">and </w:t>
      </w:r>
      <w:r w:rsidR="00AD0D55">
        <w:rPr>
          <w:noProof/>
        </w:rPr>
        <w:t>West Midlands</w:t>
      </w:r>
      <w:r w:rsidR="00455AE3">
        <w:rPr>
          <w:noProof/>
        </w:rPr>
        <w:t xml:space="preserve"> (76.2%). </w:t>
      </w:r>
      <w:r w:rsidR="00E74070">
        <w:rPr>
          <w:noProof/>
        </w:rPr>
        <w:t xml:space="preserve">Five </w:t>
      </w:r>
      <w:r w:rsidR="006417C1">
        <w:rPr>
          <w:noProof/>
        </w:rPr>
        <w:t xml:space="preserve">had fewer than </w:t>
      </w:r>
      <w:r w:rsidR="006417C1" w:rsidRPr="00FE0936">
        <w:rPr>
          <w:noProof/>
        </w:rPr>
        <w:t>7</w:t>
      </w:r>
      <w:r w:rsidR="006417C1">
        <w:rPr>
          <w:noProof/>
        </w:rPr>
        <w:t>0</w:t>
      </w:r>
      <w:r w:rsidR="006417C1" w:rsidRPr="00FE0936">
        <w:rPr>
          <w:noProof/>
        </w:rPr>
        <w:t>%</w:t>
      </w:r>
      <w:r w:rsidR="006417C1">
        <w:rPr>
          <w:noProof/>
        </w:rPr>
        <w:t xml:space="preserve">: </w:t>
      </w:r>
      <w:r w:rsidR="00E74070" w:rsidRPr="00E74070">
        <w:rPr>
          <w:noProof/>
        </w:rPr>
        <w:t xml:space="preserve">East </w:t>
      </w:r>
      <w:r w:rsidR="00E74070">
        <w:rPr>
          <w:noProof/>
        </w:rPr>
        <w:t xml:space="preserve">Midlands (65.4%), </w:t>
      </w:r>
      <w:r w:rsidR="00455AE3">
        <w:rPr>
          <w:noProof/>
        </w:rPr>
        <w:t>East of England (61.8%),</w:t>
      </w:r>
      <w:r w:rsidR="00455AE3" w:rsidRPr="00E74070">
        <w:t xml:space="preserve"> </w:t>
      </w:r>
      <w:r w:rsidR="0065426A">
        <w:rPr>
          <w:noProof/>
        </w:rPr>
        <w:t>London</w:t>
      </w:r>
      <w:r w:rsidR="007463B2">
        <w:rPr>
          <w:noProof/>
        </w:rPr>
        <w:t xml:space="preserve"> (</w:t>
      </w:r>
      <w:r w:rsidR="003C183D">
        <w:rPr>
          <w:noProof/>
        </w:rPr>
        <w:t>6</w:t>
      </w:r>
      <w:r w:rsidR="00E74070">
        <w:rPr>
          <w:noProof/>
        </w:rPr>
        <w:t>5.0</w:t>
      </w:r>
      <w:r w:rsidR="007463B2" w:rsidRPr="007463B2">
        <w:rPr>
          <w:noProof/>
        </w:rPr>
        <w:t>%</w:t>
      </w:r>
      <w:r w:rsidR="007463B2">
        <w:rPr>
          <w:noProof/>
        </w:rPr>
        <w:t>)</w:t>
      </w:r>
      <w:r w:rsidR="00E74070">
        <w:rPr>
          <w:noProof/>
        </w:rPr>
        <w:t xml:space="preserve">, </w:t>
      </w:r>
      <w:r>
        <w:rPr>
          <w:noProof/>
        </w:rPr>
        <w:t>South Western</w:t>
      </w:r>
      <w:r w:rsidR="007463B2" w:rsidRPr="007463B2">
        <w:t xml:space="preserve"> </w:t>
      </w:r>
      <w:r w:rsidR="007463B2">
        <w:t>(</w:t>
      </w:r>
      <w:r w:rsidR="00E74070">
        <w:rPr>
          <w:noProof/>
        </w:rPr>
        <w:t>69.0</w:t>
      </w:r>
      <w:r w:rsidR="007463B2" w:rsidRPr="007463B2">
        <w:rPr>
          <w:noProof/>
        </w:rPr>
        <w:t>%</w:t>
      </w:r>
      <w:r w:rsidR="007463B2">
        <w:rPr>
          <w:noProof/>
        </w:rPr>
        <w:t>)</w:t>
      </w:r>
      <w:r w:rsidR="00E74070">
        <w:rPr>
          <w:noProof/>
        </w:rPr>
        <w:t xml:space="preserve">, and </w:t>
      </w:r>
      <w:r w:rsidR="00E74070" w:rsidRPr="00E74070">
        <w:rPr>
          <w:noProof/>
        </w:rPr>
        <w:t>Isle of Wright</w:t>
      </w:r>
      <w:r w:rsidR="00E74070">
        <w:rPr>
          <w:noProof/>
        </w:rPr>
        <w:t xml:space="preserve"> (68.4%)</w:t>
      </w:r>
      <w:r w:rsidR="006417C1">
        <w:rPr>
          <w:noProof/>
        </w:rPr>
        <w:t>.</w:t>
      </w:r>
      <w:r w:rsidR="003C183D" w:rsidRPr="003C183D">
        <w:t xml:space="preserve"> </w:t>
      </w:r>
    </w:p>
    <w:p w:rsidR="00C51DF6" w:rsidRDefault="006417C1" w:rsidP="00C51DF6">
      <w:r>
        <w:t>Red 2 calls comprise t</w:t>
      </w:r>
      <w:r w:rsidR="00C51DF6">
        <w:t xml:space="preserve">he vast majority of Category A calls, so the </w:t>
      </w:r>
      <w:proofErr w:type="gramStart"/>
      <w:r w:rsidR="00AD0D55">
        <w:t>DoD</w:t>
      </w:r>
      <w:proofErr w:type="gramEnd"/>
      <w:r w:rsidR="00AD0D55">
        <w:t xml:space="preserve"> </w:t>
      </w:r>
      <w:r w:rsidR="00C51DF6">
        <w:t>pilot affect</w:t>
      </w:r>
      <w:r w:rsidR="00F321DD">
        <w:t>s</w:t>
      </w:r>
      <w:r w:rsidR="00C51DF6">
        <w:t xml:space="preserve"> not only the 8 minute Red 2 measure, but also the 19 minute Category A measure.</w:t>
      </w:r>
    </w:p>
    <w:p w:rsidR="00EA23A9" w:rsidRPr="00127FD0" w:rsidRDefault="00EA23A9" w:rsidP="00EA23A9">
      <w:pPr>
        <w:pStyle w:val="Heading3"/>
      </w:pPr>
      <w:r>
        <w:lastRenderedPageBreak/>
        <w:t>A</w:t>
      </w:r>
      <w:r w:rsidR="00092A97">
        <w:t>3</w:t>
      </w:r>
      <w:r>
        <w:tab/>
      </w:r>
      <w:r w:rsidR="00C94BBC">
        <w:t xml:space="preserve">Category A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Figure 3 shows for England as a whole, this </w:t>
      </w:r>
      <w:r w:rsidR="00AD0D55">
        <w:t>measure</w:t>
      </w:r>
      <w:r w:rsidR="00FB6A17">
        <w:t xml:space="preserve"> decreased from </w:t>
      </w:r>
      <w:r w:rsidR="004041D0">
        <w:t>93.8</w:t>
      </w:r>
      <w:r w:rsidR="008F7441">
        <w:t>% in Ju</w:t>
      </w:r>
      <w:r w:rsidR="004041D0">
        <w:t xml:space="preserve">ly </w:t>
      </w:r>
      <w:r w:rsidR="00AD0D55">
        <w:t>2015 to 9</w:t>
      </w:r>
      <w:r w:rsidR="007978AF">
        <w:t>3</w:t>
      </w:r>
      <w:r w:rsidR="00FB6A17">
        <w:t>.</w:t>
      </w:r>
      <w:r w:rsidR="004041D0">
        <w:t>5</w:t>
      </w:r>
      <w:r w:rsidR="00AD0D55">
        <w:t xml:space="preserve">% in </w:t>
      </w:r>
      <w:r w:rsidR="004041D0">
        <w:t xml:space="preserve">August. </w:t>
      </w:r>
      <w:r w:rsidR="00F321DD">
        <w:rPr>
          <w:noProof/>
        </w:rPr>
        <w:t>Excluding LAS and SWAS, the</w:t>
      </w:r>
      <w:r w:rsidR="00FB6A17">
        <w:rPr>
          <w:noProof/>
        </w:rPr>
        <w:t xml:space="preserve"> de</w:t>
      </w:r>
      <w:r w:rsidR="00F321DD">
        <w:rPr>
          <w:noProof/>
        </w:rPr>
        <w:t xml:space="preserve">crease was similar, from </w:t>
      </w:r>
      <w:r w:rsidR="008F7441">
        <w:rPr>
          <w:noProof/>
        </w:rPr>
        <w:t>9</w:t>
      </w:r>
      <w:r w:rsidR="004041D0">
        <w:rPr>
          <w:noProof/>
        </w:rPr>
        <w:t>4.3</w:t>
      </w:r>
      <w:r w:rsidR="00F321DD" w:rsidRPr="003F33D6">
        <w:rPr>
          <w:noProof/>
        </w:rPr>
        <w:t>%</w:t>
      </w:r>
      <w:r w:rsidR="008F7441">
        <w:rPr>
          <w:noProof/>
        </w:rPr>
        <w:t xml:space="preserve"> to 9</w:t>
      </w:r>
      <w:r w:rsidR="004041D0">
        <w:rPr>
          <w:noProof/>
        </w:rPr>
        <w:t>3.9</w:t>
      </w:r>
      <w:r w:rsidR="00AD0D55">
        <w:rPr>
          <w:noProof/>
        </w:rPr>
        <w:t>%</w:t>
      </w:r>
      <w:r w:rsidR="00F321DD">
        <w:rPr>
          <w:noProof/>
        </w:rPr>
        <w:t>.</w:t>
      </w:r>
    </w:p>
    <w:p w:rsidR="0085317B" w:rsidRDefault="00222A8A" w:rsidP="00F321DD">
      <w:r>
        <w:rPr>
          <w:noProof/>
        </w:rPr>
        <w:drawing>
          <wp:inline distT="0" distB="0" distL="0" distR="0" wp14:anchorId="3E0D8D80">
            <wp:extent cx="5669915" cy="3347085"/>
            <wp:effectExtent l="0" t="0" r="698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3347085"/>
                    </a:xfrm>
                    <a:prstGeom prst="rect">
                      <a:avLst/>
                    </a:prstGeom>
                    <a:noFill/>
                  </pic:spPr>
                </pic:pic>
              </a:graphicData>
            </a:graphic>
          </wp:inline>
        </w:drawing>
      </w:r>
    </w:p>
    <w:p w:rsidR="00F321DD" w:rsidRDefault="00B43524" w:rsidP="00F321DD">
      <w:pPr>
        <w:rPr>
          <w:noProof/>
        </w:rPr>
      </w:pPr>
      <w:r>
        <w:rPr>
          <w:noProof/>
        </w:rPr>
        <w:t>West Midlands had the largest proportion (97.4%)</w:t>
      </w:r>
      <w:r w:rsidR="00DD604F">
        <w:rPr>
          <w:noProof/>
        </w:rPr>
        <w:t xml:space="preserve"> for this measure</w:t>
      </w:r>
      <w:r w:rsidR="000D3E6B">
        <w:rPr>
          <w:noProof/>
        </w:rPr>
        <w:t>.</w:t>
      </w:r>
      <w:r>
        <w:rPr>
          <w:noProof/>
        </w:rPr>
        <w:t xml:space="preserve"> </w:t>
      </w:r>
      <w:r w:rsidR="00B870E5">
        <w:rPr>
          <w:noProof/>
        </w:rPr>
        <w:t>North</w:t>
      </w:r>
      <w:r w:rsidR="000E3B6E">
        <w:rPr>
          <w:noProof/>
        </w:rPr>
        <w:t xml:space="preserve"> West</w:t>
      </w:r>
      <w:r w:rsidR="00B870E5">
        <w:rPr>
          <w:noProof/>
        </w:rPr>
        <w:t xml:space="preserve"> and </w:t>
      </w:r>
      <w:r>
        <w:rPr>
          <w:noProof/>
        </w:rPr>
        <w:t xml:space="preserve">Yorkshire </w:t>
      </w:r>
      <w:r w:rsidR="00F80743">
        <w:rPr>
          <w:noProof/>
        </w:rPr>
        <w:t xml:space="preserve">also </w:t>
      </w:r>
      <w:r>
        <w:rPr>
          <w:noProof/>
        </w:rPr>
        <w:t>met the 9</w:t>
      </w:r>
      <w:r w:rsidRPr="00B430AD">
        <w:rPr>
          <w:noProof/>
        </w:rPr>
        <w:t xml:space="preserve">5% </w:t>
      </w:r>
      <w:r>
        <w:rPr>
          <w:noProof/>
        </w:rPr>
        <w:t xml:space="preserve">standard. </w:t>
      </w:r>
      <w:r w:rsidR="00B430AD">
        <w:rPr>
          <w:noProof/>
        </w:rPr>
        <w:t xml:space="preserve">The </w:t>
      </w:r>
      <w:r w:rsidR="000D3E6B">
        <w:rPr>
          <w:noProof/>
        </w:rPr>
        <w:t xml:space="preserve">lowest were </w:t>
      </w:r>
      <w:r w:rsidR="00D16AE3" w:rsidRPr="00D16AE3">
        <w:rPr>
          <w:noProof/>
        </w:rPr>
        <w:t xml:space="preserve">East of </w:t>
      </w:r>
      <w:r w:rsidR="000E3B6E">
        <w:rPr>
          <w:noProof/>
        </w:rPr>
        <w:t xml:space="preserve">Midlands </w:t>
      </w:r>
      <w:r w:rsidR="000E3B6E" w:rsidRPr="005B2160">
        <w:rPr>
          <w:noProof/>
        </w:rPr>
        <w:t>(</w:t>
      </w:r>
      <w:r w:rsidR="00AB0008">
        <w:rPr>
          <w:noProof/>
        </w:rPr>
        <w:t xml:space="preserve">89.0%), </w:t>
      </w:r>
      <w:r w:rsidR="000E3B6E">
        <w:rPr>
          <w:noProof/>
        </w:rPr>
        <w:t xml:space="preserve">East of </w:t>
      </w:r>
      <w:r w:rsidR="00D16AE3" w:rsidRPr="00D16AE3">
        <w:rPr>
          <w:noProof/>
        </w:rPr>
        <w:t xml:space="preserve">England </w:t>
      </w:r>
      <w:r w:rsidR="00B870E5">
        <w:rPr>
          <w:noProof/>
        </w:rPr>
        <w:t>(</w:t>
      </w:r>
      <w:r w:rsidR="00B870E5" w:rsidRPr="009E0AC6">
        <w:rPr>
          <w:noProof/>
        </w:rPr>
        <w:t>9</w:t>
      </w:r>
      <w:r w:rsidR="000E3B6E">
        <w:rPr>
          <w:noProof/>
        </w:rPr>
        <w:t>0.6</w:t>
      </w:r>
      <w:r w:rsidR="00B870E5" w:rsidRPr="009E0AC6">
        <w:rPr>
          <w:noProof/>
        </w:rPr>
        <w:t>%</w:t>
      </w:r>
      <w:r w:rsidR="00AB0008">
        <w:rPr>
          <w:noProof/>
        </w:rPr>
        <w:t>) and South Western (91.5%).</w:t>
      </w:r>
    </w:p>
    <w:p w:rsidR="00774123" w:rsidRDefault="00FF385A" w:rsidP="00774123">
      <w:r>
        <w:t>The measurement of the o</w:t>
      </w:r>
      <w:r w:rsidR="00774123">
        <w:t xml:space="preserve">ther Systems Indicators </w:t>
      </w:r>
      <w:r>
        <w:t xml:space="preserve">is </w:t>
      </w:r>
      <w:r w:rsidR="000D3E6B">
        <w:t>unaffected by the pilot</w:t>
      </w:r>
      <w:r w:rsidR="00774123">
        <w:t>.</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AC53E1">
        <w:t>August</w:t>
      </w:r>
      <w:r w:rsidR="0085317B">
        <w:t xml:space="preserve"> </w:t>
      </w:r>
      <w:r>
        <w:t xml:space="preserve">2015 was </w:t>
      </w:r>
      <w:r w:rsidR="00AC53E1" w:rsidRPr="00AC53E1">
        <w:t>777,535</w:t>
      </w:r>
      <w:r w:rsidR="009141A4">
        <w:t xml:space="preserve">, </w:t>
      </w:r>
      <w:r w:rsidR="00177CDB">
        <w:t>an average of</w:t>
      </w:r>
      <w:r>
        <w:t xml:space="preserve"> </w:t>
      </w:r>
      <w:r w:rsidR="00C2676B" w:rsidRPr="00C2676B">
        <w:t>25</w:t>
      </w:r>
      <w:r w:rsidR="00AB0008">
        <w:t>.1 thousand</w:t>
      </w:r>
      <w:r w:rsidR="00C2676B" w:rsidRPr="00C2676B">
        <w:t xml:space="preserve"> </w:t>
      </w:r>
      <w:r w:rsidRPr="005B7C87">
        <w:t>per day</w:t>
      </w:r>
      <w:r w:rsidR="00E9274F">
        <w:t>,</w:t>
      </w:r>
      <w:r w:rsidR="007F4039">
        <w:t xml:space="preserve"> </w:t>
      </w:r>
      <w:r w:rsidR="007F4016">
        <w:t xml:space="preserve">an increase upon </w:t>
      </w:r>
      <w:r w:rsidR="000534B8">
        <w:t>23.8 thousand in August</w:t>
      </w:r>
      <w:r w:rsidR="007F4016">
        <w:t xml:space="preserve"> 2014, although Figure 4 shows that this measure often changes a lot from month to month.</w:t>
      </w:r>
    </w:p>
    <w:p w:rsidR="003F3CB1" w:rsidRDefault="00AD7C90" w:rsidP="00AD7C90">
      <w:r>
        <w:t xml:space="preserve">There were </w:t>
      </w:r>
      <w:r w:rsidR="00BF4628" w:rsidRPr="00BF4628">
        <w:t xml:space="preserve">540,532 </w:t>
      </w:r>
      <w:r w:rsidRPr="00AD7C90">
        <w:t>emergency calls that receive</w:t>
      </w:r>
      <w:r w:rsidR="00037F53">
        <w:t>d</w:t>
      </w:r>
      <w:r w:rsidRPr="00AD7C90">
        <w:t xml:space="preserve"> a face-to-face resp</w:t>
      </w:r>
      <w:r>
        <w:t xml:space="preserve">onse from the ambulance service in </w:t>
      </w:r>
      <w:r w:rsidR="00BF4628">
        <w:t xml:space="preserve">August </w:t>
      </w:r>
      <w:r>
        <w:t>2015</w:t>
      </w:r>
      <w:r w:rsidR="002C28AD">
        <w:t>.</w:t>
      </w:r>
      <w:r w:rsidR="00E825BE">
        <w:t xml:space="preserve"> </w:t>
      </w:r>
      <w:r w:rsidR="002C28AD">
        <w:t xml:space="preserve">This was an average of </w:t>
      </w:r>
      <w:r w:rsidR="002C28AD" w:rsidRPr="00C2676B">
        <w:t>17</w:t>
      </w:r>
      <w:r w:rsidR="00AB0008">
        <w:t>.4 thousand</w:t>
      </w:r>
      <w:r w:rsidR="002C28AD" w:rsidRPr="00C2676B">
        <w:t xml:space="preserve"> </w:t>
      </w:r>
      <w:r w:rsidR="002C28AD">
        <w:t xml:space="preserve">per day, </w:t>
      </w:r>
      <w:r w:rsidR="007F4016">
        <w:t>fairly similar to 17.2 thousand per day in August 2014.</w:t>
      </w:r>
    </w:p>
    <w:p w:rsidR="00191AB9" w:rsidRPr="008E5931" w:rsidRDefault="00A32B3E" w:rsidP="00806A50">
      <w:pPr>
        <w:widowControl w:val="0"/>
        <w:rPr>
          <w:rFonts w:cs="Arial"/>
        </w:rPr>
      </w:pPr>
      <w:r>
        <w:lastRenderedPageBreak/>
        <w:t xml:space="preserve">There were </w:t>
      </w:r>
      <w:r w:rsidR="00C2676B" w:rsidRPr="00C2676B">
        <w:t xml:space="preserve">385,968 </w:t>
      </w:r>
      <w:r>
        <w:t xml:space="preserve">incidents </w:t>
      </w:r>
      <w:r w:rsidR="00F80743">
        <w:t>with</w:t>
      </w:r>
      <w:r w:rsidR="001E30CD">
        <w:t xml:space="preserve"> a</w:t>
      </w:r>
      <w:r>
        <w:t xml:space="preserve"> </w:t>
      </w:r>
      <w:r w:rsidR="00191AB9">
        <w:t xml:space="preserve">patient </w:t>
      </w:r>
      <w:r w:rsidR="001E30CD">
        <w:t xml:space="preserve">transported </w:t>
      </w:r>
      <w:r w:rsidR="00191AB9">
        <w:t>to Type 1 or Type 2 A&amp;E</w:t>
      </w:r>
      <w:r w:rsidR="00191AB9">
        <w:rPr>
          <w:rStyle w:val="FootnoteReference"/>
        </w:rPr>
        <w:footnoteReference w:id="5"/>
      </w:r>
      <w:r w:rsidR="00191AB9">
        <w:t xml:space="preserve"> in </w:t>
      </w:r>
      <w:r w:rsidR="00C2676B">
        <w:t>August</w:t>
      </w:r>
      <w:r w:rsidR="00C137F2">
        <w:t xml:space="preserve"> </w:t>
      </w:r>
      <w:r w:rsidR="00037F53">
        <w:t>2015</w:t>
      </w:r>
      <w:r w:rsidR="00D52EE6">
        <w:t xml:space="preserve">, an </w:t>
      </w:r>
      <w:r w:rsidR="00037F53">
        <w:t xml:space="preserve">average </w:t>
      </w:r>
      <w:r w:rsidR="00F23C98">
        <w:t xml:space="preserve">of </w:t>
      </w:r>
      <w:r w:rsidR="00AB0008">
        <w:t>12.5 thousand</w:t>
      </w:r>
      <w:r w:rsidR="00C2676B" w:rsidRPr="00C2676B">
        <w:t xml:space="preserve"> </w:t>
      </w:r>
      <w:r w:rsidR="00191AB9">
        <w:t>per day</w:t>
      </w:r>
      <w:r w:rsidR="007F4016">
        <w:t>, similar to 12.4 thousand per day in August 2014</w:t>
      </w:r>
      <w:r w:rsidR="00427B32">
        <w:t xml:space="preserve">. </w:t>
      </w:r>
    </w:p>
    <w:p w:rsidR="00727CC5" w:rsidRDefault="003C24D1" w:rsidP="00DD473B">
      <w:r>
        <w:t xml:space="preserve">There were </w:t>
      </w:r>
      <w:r w:rsidR="00793175" w:rsidRPr="00793175">
        <w:t xml:space="preserve">267,087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793175">
        <w:t xml:space="preserve">August </w:t>
      </w:r>
      <w:r w:rsidR="002941E6">
        <w:t xml:space="preserve">2015, </w:t>
      </w:r>
      <w:r w:rsidR="00AB0008">
        <w:t>or 8.6 thousand</w:t>
      </w:r>
      <w:r w:rsidR="00474314">
        <w:t xml:space="preserve"> </w:t>
      </w:r>
      <w:r w:rsidR="00191AB9">
        <w:t>per day</w:t>
      </w:r>
      <w:r w:rsidR="00793175">
        <w:t xml:space="preserve">. </w:t>
      </w:r>
      <w:r w:rsidR="007F4016">
        <w:t xml:space="preserve">This was less than 8.0 thousand per day in August 2014. </w:t>
      </w:r>
      <w:r w:rsidR="00727CC5">
        <w:t>Fi</w:t>
      </w:r>
      <w:r w:rsidR="00D52EE6">
        <w:t xml:space="preserve">gure </w:t>
      </w:r>
      <w:r w:rsidR="00AC1EF7">
        <w:t>4</w:t>
      </w:r>
      <w:r w:rsidR="00D52EE6">
        <w:t xml:space="preserve"> shows </w:t>
      </w:r>
      <w:r w:rsidR="007F4016">
        <w:t xml:space="preserve">how this has </w:t>
      </w:r>
      <w:r w:rsidR="00CE6F95">
        <w:t xml:space="preserve">increased steadily </w:t>
      </w:r>
      <w:r w:rsidR="007F4016">
        <w:t>between 2011 and</w:t>
      </w:r>
      <w:r w:rsidR="00CE6F95">
        <w:t xml:space="preserve"> 2014, but </w:t>
      </w:r>
      <w:r w:rsidR="00B870E5">
        <w:t>has changed little</w:t>
      </w:r>
      <w:r w:rsidR="00F80743">
        <w:t xml:space="preserve"> </w:t>
      </w:r>
      <w:r w:rsidR="00F0288C">
        <w:t>in 2015.</w:t>
      </w:r>
    </w:p>
    <w:p w:rsidR="00F80743" w:rsidRDefault="00CB758D" w:rsidP="00DD473B">
      <w:r>
        <w:rPr>
          <w:noProof/>
        </w:rPr>
        <w:drawing>
          <wp:inline distT="0" distB="0" distL="0" distR="0" wp14:anchorId="0FA955BE">
            <wp:extent cx="5553710" cy="600519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710" cy="6005195"/>
                    </a:xfrm>
                    <a:prstGeom prst="rect">
                      <a:avLst/>
                    </a:prstGeom>
                    <a:noFill/>
                  </pic:spPr>
                </pic:pic>
              </a:graphicData>
            </a:graphic>
          </wp:inline>
        </w:drawing>
      </w:r>
    </w:p>
    <w:p w:rsidR="003A0D0C" w:rsidRDefault="003A0D0C" w:rsidP="003A0D0C">
      <w:pPr>
        <w:pStyle w:val="Heading3"/>
      </w:pPr>
      <w:r>
        <w:lastRenderedPageBreak/>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13777A">
        <w:t xml:space="preserve">August </w:t>
      </w:r>
      <w:r w:rsidR="000D7762">
        <w:t>2015</w:t>
      </w:r>
      <w:r>
        <w:t xml:space="preserve"> </w:t>
      </w:r>
    </w:p>
    <w:tbl>
      <w:tblPr>
        <w:tblW w:w="9271" w:type="dxa"/>
        <w:tblLayout w:type="fixed"/>
        <w:tblCellMar>
          <w:left w:w="57" w:type="dxa"/>
          <w:right w:w="57" w:type="dxa"/>
        </w:tblCellMar>
        <w:tblLook w:val="04A0" w:firstRow="1" w:lastRow="0" w:firstColumn="1" w:lastColumn="0" w:noHBand="0" w:noVBand="1"/>
      </w:tblPr>
      <w:tblGrid>
        <w:gridCol w:w="3600"/>
        <w:gridCol w:w="1134"/>
        <w:gridCol w:w="1417"/>
        <w:gridCol w:w="851"/>
        <w:gridCol w:w="1417"/>
        <w:gridCol w:w="852"/>
      </w:tblGrid>
      <w:tr w:rsidR="003A0D0C" w:rsidTr="006A5F54">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Highest Trust</w:t>
            </w:r>
          </w:p>
        </w:tc>
      </w:tr>
      <w:tr w:rsidR="0037489E" w:rsidTr="006A5F54">
        <w:trPr>
          <w:cantSplit/>
          <w:trHeight w:val="624"/>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081437">
            <w:pPr>
              <w:pStyle w:val="NoSpacing"/>
              <w:jc w:val="right"/>
              <w:rPr>
                <w:sz w:val="22"/>
                <w:szCs w:val="22"/>
              </w:rPr>
            </w:pPr>
            <w:r w:rsidRPr="003E345E">
              <w:rPr>
                <w:szCs w:val="22"/>
              </w:rPr>
              <w:t>0.</w:t>
            </w:r>
            <w:r w:rsidR="00081437">
              <w:rPr>
                <w:szCs w:val="22"/>
              </w:rPr>
              <w:t>7</w:t>
            </w:r>
            <w:r w:rsidRPr="003E345E">
              <w:rPr>
                <w:szCs w:val="22"/>
              </w:rPr>
              <w:t>%</w:t>
            </w:r>
            <w:r w:rsidR="000D7762">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222A8A">
            <w:pPr>
              <w:pStyle w:val="NoSpacing"/>
              <w:jc w:val="right"/>
              <w:rPr>
                <w:sz w:val="22"/>
                <w:szCs w:val="22"/>
              </w:rPr>
            </w:pPr>
            <w:r w:rsidRPr="00753EA9">
              <w:rPr>
                <w:szCs w:val="22"/>
              </w:rPr>
              <w:t>0.</w:t>
            </w:r>
            <w:r w:rsidR="00222A8A">
              <w:rPr>
                <w:szCs w:val="22"/>
              </w:rPr>
              <w:t>2</w:t>
            </w:r>
            <w:r w:rsidRPr="00753EA9">
              <w:rPr>
                <w:szCs w:val="22"/>
              </w:rPr>
              <w:t>%</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A44168">
            <w:pPr>
              <w:pStyle w:val="NoSpacing"/>
              <w:jc w:val="center"/>
              <w:rPr>
                <w:sz w:val="22"/>
                <w:szCs w:val="22"/>
              </w:rPr>
            </w:pPr>
            <w:r>
              <w:rPr>
                <w:sz w:val="22"/>
                <w:szCs w:val="22"/>
              </w:rPr>
              <w:t>North East</w:t>
            </w:r>
          </w:p>
        </w:tc>
        <w:tc>
          <w:tcPr>
            <w:tcW w:w="852" w:type="dxa"/>
            <w:tcBorders>
              <w:top w:val="single" w:sz="4" w:space="0" w:color="auto"/>
            </w:tcBorders>
            <w:shd w:val="clear" w:color="000000" w:fill="FFFFFF"/>
            <w:vAlign w:val="center"/>
          </w:tcPr>
          <w:p w:rsidR="0032599C" w:rsidRPr="00E53110" w:rsidRDefault="00A733D7" w:rsidP="00081437">
            <w:pPr>
              <w:pStyle w:val="NoSpacing"/>
              <w:jc w:val="right"/>
              <w:rPr>
                <w:sz w:val="22"/>
                <w:szCs w:val="22"/>
              </w:rPr>
            </w:pPr>
            <w:r>
              <w:rPr>
                <w:szCs w:val="22"/>
              </w:rPr>
              <w:t>1.</w:t>
            </w:r>
            <w:r w:rsidR="00081437">
              <w:rPr>
                <w:szCs w:val="22"/>
              </w:rPr>
              <w:t>8</w:t>
            </w:r>
            <w:r w:rsidR="007D2560" w:rsidRPr="007D2560">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E53110" w:rsidRDefault="00E02284" w:rsidP="00E434C4">
            <w:pPr>
              <w:pStyle w:val="NoSpacing"/>
              <w:jc w:val="right"/>
              <w:rPr>
                <w:sz w:val="22"/>
                <w:szCs w:val="22"/>
              </w:rPr>
            </w:pPr>
            <w:r w:rsidRPr="00E02284">
              <w:rPr>
                <w:szCs w:val="22"/>
              </w:rPr>
              <w:t>9.</w:t>
            </w:r>
            <w:r w:rsidR="00D520D5">
              <w:rPr>
                <w:szCs w:val="22"/>
              </w:rPr>
              <w:t>9</w:t>
            </w:r>
            <w:r w:rsidRPr="00E02284">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D520D5" w:rsidP="00D520D5">
            <w:pPr>
              <w:pStyle w:val="NoSpacing"/>
              <w:jc w:val="right"/>
              <w:rPr>
                <w:sz w:val="22"/>
                <w:szCs w:val="22"/>
              </w:rPr>
            </w:pPr>
            <w:r>
              <w:rPr>
                <w:szCs w:val="22"/>
              </w:rPr>
              <w:t>5.0</w:t>
            </w:r>
            <w:r w:rsidR="00E02284" w:rsidRPr="00E02284">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E434C4" w:rsidP="00D520D5">
            <w:pPr>
              <w:pStyle w:val="NoSpacing"/>
              <w:jc w:val="right"/>
              <w:rPr>
                <w:sz w:val="22"/>
                <w:szCs w:val="22"/>
              </w:rPr>
            </w:pPr>
            <w:r>
              <w:rPr>
                <w:szCs w:val="22"/>
              </w:rPr>
              <w:t>1</w:t>
            </w:r>
            <w:r w:rsidR="00A733D7">
              <w:rPr>
                <w:szCs w:val="22"/>
              </w:rPr>
              <w:t>3.</w:t>
            </w:r>
            <w:r w:rsidR="00D520D5">
              <w:rPr>
                <w:szCs w:val="22"/>
              </w:rPr>
              <w:t>9</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E53110" w:rsidRDefault="00837B74" w:rsidP="00B870E5">
            <w:pPr>
              <w:pStyle w:val="NoSpacing"/>
              <w:jc w:val="right"/>
              <w:rPr>
                <w:sz w:val="22"/>
                <w:szCs w:val="22"/>
              </w:rPr>
            </w:pPr>
            <w:r>
              <w:rPr>
                <w:szCs w:val="22"/>
              </w:rPr>
              <w:t>37.</w:t>
            </w:r>
            <w:r w:rsidR="00D520D5">
              <w:rPr>
                <w:szCs w:val="22"/>
              </w:rPr>
              <w:t>8</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D52EE6" w:rsidP="002221E6">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A733D7" w:rsidP="00D520D5">
            <w:pPr>
              <w:pStyle w:val="NoSpacing"/>
              <w:jc w:val="right"/>
              <w:rPr>
                <w:sz w:val="22"/>
                <w:szCs w:val="22"/>
              </w:rPr>
            </w:pPr>
            <w:r>
              <w:rPr>
                <w:szCs w:val="22"/>
              </w:rPr>
              <w:t>30.</w:t>
            </w:r>
            <w:r w:rsidR="00D520D5">
              <w:rPr>
                <w:szCs w:val="22"/>
              </w:rPr>
              <w:t>6</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32599C" w:rsidP="00F0288C">
            <w:pPr>
              <w:pStyle w:val="NoSpacing"/>
              <w:jc w:val="center"/>
              <w:rPr>
                <w:sz w:val="22"/>
                <w:szCs w:val="22"/>
              </w:rPr>
            </w:pPr>
            <w:r w:rsidRPr="00753EA9">
              <w:rPr>
                <w:szCs w:val="22"/>
              </w:rPr>
              <w:t>South Western</w:t>
            </w:r>
          </w:p>
        </w:tc>
        <w:tc>
          <w:tcPr>
            <w:tcW w:w="852" w:type="dxa"/>
            <w:shd w:val="clear" w:color="000000" w:fill="FFFFFF"/>
            <w:vAlign w:val="center"/>
          </w:tcPr>
          <w:p w:rsidR="0032599C" w:rsidRPr="00E53110" w:rsidRDefault="00E02284" w:rsidP="00A733D7">
            <w:pPr>
              <w:pStyle w:val="NoSpacing"/>
              <w:jc w:val="right"/>
              <w:rPr>
                <w:sz w:val="22"/>
                <w:szCs w:val="22"/>
              </w:rPr>
            </w:pPr>
            <w:r>
              <w:rPr>
                <w:szCs w:val="22"/>
              </w:rPr>
              <w:t>5</w:t>
            </w:r>
            <w:r w:rsidR="00D520D5">
              <w:rPr>
                <w:szCs w:val="22"/>
              </w:rPr>
              <w:t>3.2</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r w:rsidRPr="00E53110">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837B74" w:rsidP="00091724">
            <w:pPr>
              <w:pStyle w:val="NoSpacing"/>
              <w:jc w:val="right"/>
              <w:rPr>
                <w:sz w:val="22"/>
                <w:szCs w:val="22"/>
              </w:rPr>
            </w:pPr>
            <w:r>
              <w:rPr>
                <w:szCs w:val="22"/>
              </w:rPr>
              <w:t>7.</w:t>
            </w:r>
            <w:r w:rsidR="00091724">
              <w:rPr>
                <w:szCs w:val="22"/>
              </w:rPr>
              <w:t>0</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6F26D8" w:rsidP="006F26D8">
            <w:pPr>
              <w:pStyle w:val="NoSpacing"/>
              <w:jc w:val="right"/>
              <w:rPr>
                <w:sz w:val="22"/>
                <w:szCs w:val="22"/>
              </w:rPr>
            </w:pPr>
            <w:r>
              <w:rPr>
                <w:szCs w:val="22"/>
              </w:rPr>
              <w:t>2.2</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AC1EF7" w:rsidP="002221E6">
            <w:pPr>
              <w:pStyle w:val="NoSpacing"/>
              <w:jc w:val="center"/>
              <w:rPr>
                <w:sz w:val="22"/>
                <w:szCs w:val="22"/>
              </w:rPr>
            </w:pPr>
            <w:r>
              <w:rPr>
                <w:szCs w:val="22"/>
              </w:rPr>
              <w:t>North East</w:t>
            </w:r>
          </w:p>
        </w:tc>
        <w:tc>
          <w:tcPr>
            <w:tcW w:w="852" w:type="dxa"/>
            <w:shd w:val="clear" w:color="000000" w:fill="FFFFFF"/>
            <w:vAlign w:val="center"/>
          </w:tcPr>
          <w:p w:rsidR="0032599C" w:rsidRPr="00E53110" w:rsidRDefault="00837B74" w:rsidP="006F26D8">
            <w:pPr>
              <w:pStyle w:val="NoSpacing"/>
              <w:jc w:val="right"/>
              <w:rPr>
                <w:sz w:val="22"/>
                <w:szCs w:val="22"/>
              </w:rPr>
            </w:pPr>
            <w:r>
              <w:rPr>
                <w:szCs w:val="22"/>
              </w:rPr>
              <w:t>1</w:t>
            </w:r>
            <w:r w:rsidR="006F26D8">
              <w:rPr>
                <w:szCs w:val="22"/>
              </w:rPr>
              <w:t>3.8</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C1EF7">
            <w:pPr>
              <w:pStyle w:val="NoSpacing"/>
              <w:jc w:val="right"/>
              <w:rPr>
                <w:sz w:val="22"/>
                <w:szCs w:val="22"/>
              </w:rPr>
            </w:pPr>
            <w:r w:rsidRPr="00753EA9">
              <w:rPr>
                <w:szCs w:val="22"/>
              </w:rPr>
              <w:t>5.</w:t>
            </w:r>
            <w:r w:rsidR="006F26D8">
              <w:rPr>
                <w:szCs w:val="22"/>
              </w:rPr>
              <w:t>6</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837B74" w:rsidP="006F26D8">
            <w:pPr>
              <w:pStyle w:val="NoSpacing"/>
              <w:jc w:val="center"/>
              <w:rPr>
                <w:sz w:val="22"/>
                <w:szCs w:val="22"/>
              </w:rPr>
            </w:pPr>
            <w:r>
              <w:rPr>
                <w:szCs w:val="22"/>
              </w:rPr>
              <w:t>Yorkshire</w:t>
            </w:r>
            <w:r w:rsidR="006F26D8">
              <w:rPr>
                <w:rStyle w:val="FootnoteReference"/>
              </w:rPr>
              <w:footnoteReference w:id="6"/>
            </w:r>
          </w:p>
        </w:tc>
        <w:tc>
          <w:tcPr>
            <w:tcW w:w="850" w:type="dxa"/>
            <w:tcBorders>
              <w:right w:val="single" w:sz="4" w:space="0" w:color="auto"/>
            </w:tcBorders>
            <w:shd w:val="clear" w:color="000000" w:fill="FFFFFF"/>
            <w:vAlign w:val="center"/>
          </w:tcPr>
          <w:p w:rsidR="0032599C" w:rsidRPr="00E53110" w:rsidRDefault="0032599C" w:rsidP="006F26D8">
            <w:pPr>
              <w:pStyle w:val="NoSpacing"/>
              <w:jc w:val="right"/>
              <w:rPr>
                <w:sz w:val="22"/>
                <w:szCs w:val="22"/>
              </w:rPr>
            </w:pPr>
            <w:r w:rsidRPr="00753EA9">
              <w:rPr>
                <w:szCs w:val="22"/>
              </w:rPr>
              <w:t>3.</w:t>
            </w:r>
            <w:r w:rsidR="006F26D8">
              <w:rPr>
                <w:szCs w:val="22"/>
              </w:rPr>
              <w:t>1</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837B74" w:rsidP="00753EA9">
            <w:pPr>
              <w:pStyle w:val="NoSpacing"/>
              <w:jc w:val="right"/>
              <w:rPr>
                <w:sz w:val="22"/>
                <w:szCs w:val="22"/>
              </w:rPr>
            </w:pPr>
            <w:r>
              <w:rPr>
                <w:szCs w:val="22"/>
              </w:rPr>
              <w:t>8</w:t>
            </w:r>
            <w:r w:rsidR="0088528E">
              <w:rPr>
                <w:szCs w:val="22"/>
              </w:rPr>
              <w:t>.6</w:t>
            </w:r>
            <w:r w:rsidR="00D6205D" w:rsidRPr="00D6205D">
              <w:rPr>
                <w:szCs w:val="22"/>
              </w:rPr>
              <w:t>%</w:t>
            </w:r>
          </w:p>
        </w:tc>
      </w:tr>
      <w:tr w:rsidR="0037489E" w:rsidTr="006A5F54">
        <w:trPr>
          <w:cantSplit/>
          <w:trHeight w:val="624"/>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E53110" w:rsidRDefault="00474314" w:rsidP="00A75E1A">
            <w:pPr>
              <w:pStyle w:val="NoSpacing"/>
              <w:jc w:val="right"/>
              <w:rPr>
                <w:sz w:val="22"/>
                <w:szCs w:val="22"/>
              </w:rPr>
            </w:pPr>
            <w:r w:rsidRPr="00474314">
              <w:rPr>
                <w:szCs w:val="22"/>
              </w:rPr>
              <w:t>385,968</w:t>
            </w:r>
          </w:p>
        </w:tc>
        <w:tc>
          <w:tcPr>
            <w:tcW w:w="1417"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r w:rsidR="0088528E" w:rsidRPr="0088528E">
              <w:rPr>
                <w:vertAlign w:val="superscript"/>
              </w:rPr>
              <w:t>6</w:t>
            </w:r>
          </w:p>
          <w:p w:rsidR="0032599C" w:rsidRPr="00E53110" w:rsidRDefault="0032599C" w:rsidP="00014432">
            <w:pPr>
              <w:pStyle w:val="NoSpacing"/>
              <w:jc w:val="center"/>
              <w:rPr>
                <w:sz w:val="22"/>
                <w:szCs w:val="22"/>
              </w:rPr>
            </w:pPr>
            <w:r w:rsidRPr="009E4593">
              <w:t>East</w:t>
            </w:r>
          </w:p>
        </w:tc>
        <w:tc>
          <w:tcPr>
            <w:tcW w:w="850" w:type="dxa"/>
            <w:tcBorders>
              <w:bottom w:val="single" w:sz="4" w:space="0" w:color="auto"/>
              <w:right w:val="single" w:sz="4" w:space="0" w:color="auto"/>
            </w:tcBorders>
            <w:shd w:val="clear" w:color="auto" w:fill="auto"/>
            <w:vAlign w:val="center"/>
          </w:tcPr>
          <w:p w:rsidR="00A75E1A" w:rsidRPr="00E53110" w:rsidRDefault="00A75E1A" w:rsidP="00474314">
            <w:pPr>
              <w:pStyle w:val="NoSpacing"/>
              <w:jc w:val="right"/>
              <w:rPr>
                <w:sz w:val="22"/>
                <w:szCs w:val="22"/>
              </w:rPr>
            </w:pPr>
            <w:r>
              <w:rPr>
                <w:szCs w:val="22"/>
              </w:rPr>
              <w:t>20,</w:t>
            </w:r>
            <w:r w:rsidR="00474314">
              <w:rPr>
                <w:szCs w:val="22"/>
              </w:rPr>
              <w:t>209</w:t>
            </w:r>
          </w:p>
        </w:tc>
        <w:tc>
          <w:tcPr>
            <w:tcW w:w="1417"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2" w:type="dxa"/>
            <w:tcBorders>
              <w:bottom w:val="single" w:sz="4" w:space="0" w:color="auto"/>
            </w:tcBorders>
            <w:shd w:val="clear" w:color="auto" w:fill="auto"/>
            <w:vAlign w:val="center"/>
          </w:tcPr>
          <w:p w:rsidR="0032599C" w:rsidRPr="00E53110" w:rsidRDefault="00474314" w:rsidP="00A75E1A">
            <w:pPr>
              <w:pStyle w:val="NoSpacing"/>
              <w:jc w:val="right"/>
              <w:rPr>
                <w:sz w:val="22"/>
                <w:szCs w:val="22"/>
              </w:rPr>
            </w:pPr>
            <w:r w:rsidRPr="00474314">
              <w:rPr>
                <w:szCs w:val="22"/>
              </w:rPr>
              <w:t>62,695</w:t>
            </w:r>
          </w:p>
        </w:tc>
      </w:tr>
    </w:tbl>
    <w:p w:rsidR="00043776" w:rsidRDefault="00043776" w:rsidP="00043776">
      <w:pPr>
        <w:pStyle w:val="NoSpacing"/>
      </w:pPr>
    </w:p>
    <w:p w:rsidR="0054610C" w:rsidRDefault="00A95D10" w:rsidP="00043776">
      <w:r>
        <w:t xml:space="preserve">In August 2015, the </w:t>
      </w:r>
      <w:r w:rsidR="00043776">
        <w:t xml:space="preserve">proportion </w:t>
      </w:r>
      <w:r>
        <w:t>of c</w:t>
      </w:r>
      <w:r w:rsidRPr="00A95D10">
        <w:t>alls resolved through telephone assessment</w:t>
      </w:r>
      <w:r w:rsidR="009C268C">
        <w:t xml:space="preserve"> was 9.9%, the highest proportion</w:t>
      </w:r>
      <w:r w:rsidR="00043776">
        <w:t xml:space="preserve"> </w:t>
      </w:r>
      <w:r w:rsidR="00864BBA">
        <w:t>since monthly data collection began in April 2011.</w:t>
      </w:r>
      <w:r w:rsidRPr="00A95D10">
        <w:t xml:space="preserve"> </w:t>
      </w:r>
    </w:p>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 xml:space="preserve">ts to achieve sustained </w:t>
      </w:r>
      <w:r w:rsidRPr="005538AF">
        <w:t>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C814F1">
        <w:t>)</w:t>
      </w:r>
    </w:p>
    <w:p w:rsidR="0054610C" w:rsidRDefault="00044185" w:rsidP="003A0D0C">
      <w:r>
        <w:t xml:space="preserve">Patients in cardiac arrest will typically have no pulse and will not be breathing. </w:t>
      </w:r>
      <w:r w:rsidR="0032599C" w:rsidRPr="00DA6E95">
        <w:t xml:space="preserve">In </w:t>
      </w:r>
      <w:r w:rsidR="004B406E">
        <w:t xml:space="preserve">May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4B406E" w:rsidRPr="004B406E">
        <w:t>2,314</w:t>
      </w:r>
      <w:r w:rsidR="004B406E">
        <w:t xml:space="preserve"> </w:t>
      </w:r>
      <w:r>
        <w:t xml:space="preserve">such </w:t>
      </w:r>
      <w:r w:rsidR="0032599C" w:rsidRPr="00DA6E95">
        <w:t>patients</w:t>
      </w:r>
      <w:r w:rsidR="0032599C">
        <w:t xml:space="preserve">. Of these, </w:t>
      </w:r>
      <w:r w:rsidR="004B406E" w:rsidRPr="004B406E">
        <w:t>639</w:t>
      </w:r>
      <w:r w:rsidR="00AC1EF7" w:rsidRPr="00AC1EF7">
        <w:t xml:space="preserve"> </w:t>
      </w:r>
      <w:r w:rsidR="0032599C">
        <w:t>(</w:t>
      </w:r>
      <w:r w:rsidR="00F43D58">
        <w:t>2</w:t>
      </w:r>
      <w:r w:rsidR="001D60BD">
        <w:t>8</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C814F1">
        <w:t xml:space="preserve"> (Figure 5)</w:t>
      </w:r>
      <w:r w:rsidR="00BA610C">
        <w:t xml:space="preserve">, similar to the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32599C" w:rsidRPr="00D13275">
        <w:t>%</w:t>
      </w:r>
      <w:r w:rsidR="0032599C" w:rsidRPr="00296E05">
        <w:t>.</w:t>
      </w:r>
    </w:p>
    <w:p w:rsidR="00CF061B" w:rsidRDefault="00CF061B" w:rsidP="003A0D0C">
      <w:r w:rsidRPr="00CF061B">
        <w:t xml:space="preserve">The largest proportion in </w:t>
      </w:r>
      <w:r>
        <w:t xml:space="preserve">May </w:t>
      </w:r>
      <w:r w:rsidRPr="00CF061B">
        <w:t>2015 was 3</w:t>
      </w:r>
      <w:r>
        <w:t>4</w:t>
      </w:r>
      <w:r w:rsidRPr="00CF061B">
        <w:t>% for West</w:t>
      </w:r>
      <w:r>
        <w:t xml:space="preserve"> Midlands</w:t>
      </w:r>
      <w:r w:rsidR="000E4972">
        <w:t>, and the smallest was 2</w:t>
      </w:r>
      <w:r w:rsidR="00A65D7A">
        <w:t>3</w:t>
      </w:r>
      <w:r w:rsidRPr="00CF061B">
        <w:t>% for East Midlands.</w:t>
      </w:r>
      <w:r>
        <w:t xml:space="preserve"> </w:t>
      </w:r>
    </w:p>
    <w:p w:rsidR="00F36218" w:rsidRDefault="003A0D0C" w:rsidP="003A0D0C">
      <w:pPr>
        <w:rPr>
          <w:rFonts w:cs="Arial"/>
        </w:rPr>
      </w:pPr>
      <w:r>
        <w:t>The Utstein group</w:t>
      </w:r>
      <w:r w:rsidR="00D536BB">
        <w:rPr>
          <w:rStyle w:val="FootnoteReference"/>
          <w:rFonts w:cs="Arial"/>
        </w:rPr>
        <w:footnoteReference w:id="7"/>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The Utstein group therefore ha</w:t>
      </w:r>
      <w:r w:rsidR="00CB58C3">
        <w:rPr>
          <w:rFonts w:cs="Arial"/>
        </w:rPr>
        <w:t>ve a better chance of survival.</w:t>
      </w:r>
    </w:p>
    <w:p w:rsidR="00BE0BD9" w:rsidRDefault="00F8461F" w:rsidP="0032599C">
      <w:pPr>
        <w:rPr>
          <w:rFonts w:cs="Arial"/>
        </w:rPr>
      </w:pPr>
      <w:r>
        <w:rPr>
          <w:rFonts w:cs="Arial"/>
        </w:rPr>
        <w:lastRenderedPageBreak/>
        <w:t>There were</w:t>
      </w:r>
      <w:r w:rsidR="0032599C">
        <w:rPr>
          <w:rFonts w:cs="Arial"/>
        </w:rPr>
        <w:t xml:space="preserve"> </w:t>
      </w:r>
      <w:r w:rsidR="0088041C" w:rsidRPr="0088041C">
        <w:rPr>
          <w:rFonts w:cs="Arial"/>
        </w:rPr>
        <w:t>32</w:t>
      </w:r>
      <w:r w:rsidR="004B406E">
        <w:rPr>
          <w:rFonts w:cs="Arial"/>
        </w:rPr>
        <w:t>8</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w:t>
      </w:r>
      <w:r w:rsidR="00051663">
        <w:rPr>
          <w:rFonts w:cs="Arial"/>
        </w:rPr>
        <w:t xml:space="preserve"> May</w:t>
      </w:r>
      <w:r w:rsidR="0088041C">
        <w:rPr>
          <w:rFonts w:cs="Arial"/>
        </w:rPr>
        <w:t xml:space="preserve"> </w:t>
      </w:r>
      <w:r w:rsidR="00022C19" w:rsidRPr="00022C19">
        <w:rPr>
          <w:rFonts w:cs="Arial"/>
        </w:rPr>
        <w:t>2015</w:t>
      </w:r>
      <w:r w:rsidR="0032599C" w:rsidRPr="00BF249B">
        <w:rPr>
          <w:rFonts w:cs="Arial"/>
        </w:rPr>
        <w:t xml:space="preserve">, </w:t>
      </w:r>
      <w:r>
        <w:rPr>
          <w:rFonts w:cs="Arial"/>
        </w:rPr>
        <w:t xml:space="preserve">of which </w:t>
      </w:r>
      <w:r w:rsidR="00AD0455" w:rsidRPr="00AD0455">
        <w:rPr>
          <w:rFonts w:cs="Arial"/>
        </w:rPr>
        <w:t>1</w:t>
      </w:r>
      <w:r w:rsidR="0088041C">
        <w:rPr>
          <w:rFonts w:cs="Arial"/>
        </w:rPr>
        <w:t>7</w:t>
      </w:r>
      <w:r w:rsidR="004B406E">
        <w:rPr>
          <w:rFonts w:cs="Arial"/>
        </w:rPr>
        <w:t>1</w:t>
      </w:r>
      <w:r>
        <w:rPr>
          <w:rFonts w:cs="Arial"/>
        </w:rPr>
        <w:t xml:space="preserve"> (</w:t>
      </w:r>
      <w:r w:rsidR="004B406E">
        <w:rPr>
          <w:rFonts w:cs="Arial"/>
        </w:rPr>
        <w:t>52</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C814F1">
        <w:rPr>
          <w:rFonts w:cs="Arial"/>
        </w:rPr>
        <w:t xml:space="preserve"> (Figure 5)</w:t>
      </w:r>
      <w:r w:rsidR="00BA610C">
        <w:rPr>
          <w:rFonts w:cs="Arial"/>
        </w:rPr>
        <w:t>. This was not significantly</w:t>
      </w:r>
      <w:r w:rsidR="00864BBA">
        <w:rPr>
          <w:rStyle w:val="FootnoteReference"/>
          <w:rFonts w:cs="Arial"/>
        </w:rPr>
        <w:footnoteReference w:id="8"/>
      </w:r>
      <w:r w:rsidR="00BA610C">
        <w:rPr>
          <w:rFonts w:cs="Arial"/>
        </w:rPr>
        <w:t xml:space="preserve"> different to the England </w:t>
      </w:r>
      <w:r w:rsidR="0032599C" w:rsidRPr="00BF249B">
        <w:rPr>
          <w:rFonts w:cs="Arial"/>
        </w:rPr>
        <w:t xml:space="preserve">average for </w:t>
      </w:r>
      <w:r w:rsidR="00DA4BA4">
        <w:rPr>
          <w:rFonts w:cs="Arial"/>
        </w:rPr>
        <w:t>2014-15 of 49%</w:t>
      </w:r>
      <w:r w:rsidR="0032599C" w:rsidRPr="00BF249B">
        <w:rPr>
          <w:rFonts w:cs="Arial"/>
        </w:rPr>
        <w:t>.</w:t>
      </w:r>
      <w:r w:rsidR="00CF061B">
        <w:rPr>
          <w:rFonts w:cs="Arial"/>
        </w:rPr>
        <w:t xml:space="preserve"> </w:t>
      </w:r>
      <w:r w:rsidR="00BE0BD9" w:rsidRPr="00BE0BD9">
        <w:rPr>
          <w:rFonts w:cs="Arial"/>
        </w:rPr>
        <w:t xml:space="preserve">The largest proportion in the month of </w:t>
      </w:r>
      <w:r w:rsidR="00BE0BD9">
        <w:rPr>
          <w:rFonts w:cs="Arial"/>
        </w:rPr>
        <w:t xml:space="preserve">May 2015 was 71% </w:t>
      </w:r>
      <w:r w:rsidR="00BE0BD9" w:rsidRPr="00BE0BD9">
        <w:rPr>
          <w:rFonts w:cs="Arial"/>
        </w:rPr>
        <w:t>for</w:t>
      </w:r>
      <w:r w:rsidR="00BE0BD9">
        <w:rPr>
          <w:rFonts w:cs="Arial"/>
        </w:rPr>
        <w:t xml:space="preserve"> North East, </w:t>
      </w:r>
      <w:r w:rsidR="00BE0BD9" w:rsidRPr="00BE0BD9">
        <w:rPr>
          <w:rFonts w:cs="Arial"/>
        </w:rPr>
        <w:t>and the smal</w:t>
      </w:r>
      <w:r w:rsidR="00BE0BD9">
        <w:rPr>
          <w:rFonts w:cs="Arial"/>
        </w:rPr>
        <w:t xml:space="preserve">lest </w:t>
      </w:r>
      <w:r w:rsidR="00BE0BD9" w:rsidRPr="00BE0BD9">
        <w:rPr>
          <w:rFonts w:cs="Arial"/>
        </w:rPr>
        <w:t xml:space="preserve">was </w:t>
      </w:r>
      <w:r w:rsidR="0017232F">
        <w:rPr>
          <w:rFonts w:cs="Arial"/>
        </w:rPr>
        <w:t>40</w:t>
      </w:r>
      <w:r w:rsidR="00BE0BD9" w:rsidRPr="00BE0BD9">
        <w:rPr>
          <w:rFonts w:cs="Arial"/>
        </w:rPr>
        <w:t xml:space="preserve">% for East </w:t>
      </w:r>
      <w:r w:rsidR="009C268C">
        <w:rPr>
          <w:rFonts w:cs="Arial"/>
        </w:rPr>
        <w:t>of England</w:t>
      </w:r>
      <w:r w:rsidR="00BE0BD9" w:rsidRPr="00BE0BD9">
        <w:rPr>
          <w:rFonts w:cs="Arial"/>
        </w:rPr>
        <w:t>.</w:t>
      </w:r>
    </w:p>
    <w:p w:rsidR="00DA4BA4" w:rsidRDefault="00B2640B" w:rsidP="0032599C">
      <w:r>
        <w:rPr>
          <w:noProof/>
        </w:rPr>
        <w:drawing>
          <wp:inline distT="0" distB="0" distL="0" distR="0" wp14:anchorId="73E00054">
            <wp:extent cx="5675630" cy="284099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5630" cy="2840990"/>
                    </a:xfrm>
                    <a:prstGeom prst="rect">
                      <a:avLst/>
                    </a:prstGeom>
                    <a:noFill/>
                  </pic:spPr>
                </pic:pic>
              </a:graphicData>
            </a:graphic>
          </wp:inline>
        </w:drawing>
      </w:r>
    </w:p>
    <w:p w:rsidR="003A0D0C" w:rsidRDefault="003A0D0C" w:rsidP="003A0D0C">
      <w:pPr>
        <w:pStyle w:val="Heading3"/>
        <w:rPr>
          <w:noProof/>
        </w:rPr>
      </w:pPr>
      <w:r>
        <w:t>B2</w:t>
      </w:r>
      <w:r>
        <w:tab/>
        <w:t>Cardiac arrest: survival to discharge</w:t>
      </w:r>
      <w:r w:rsidR="00D4605E" w:rsidRPr="00D4605E">
        <w:rPr>
          <w:noProof/>
        </w:rPr>
        <w:t xml:space="preserve"> </w:t>
      </w:r>
    </w:p>
    <w:p w:rsidR="001E1B0A" w:rsidRDefault="00B2640B" w:rsidP="0032599C">
      <w:r>
        <w:rPr>
          <w:noProof/>
        </w:rPr>
        <w:drawing>
          <wp:inline distT="0" distB="0" distL="0" distR="0" wp14:anchorId="12A90CCF">
            <wp:extent cx="5669915" cy="2871470"/>
            <wp:effectExtent l="0" t="0" r="698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B2640B" w:rsidRDefault="00B2640B" w:rsidP="00B2640B">
      <w:r>
        <w:t xml:space="preserve">The proportion of cardiac arrest patients in England discharged from hospital alive was 8% in May </w:t>
      </w:r>
      <w:r w:rsidRPr="0079282B">
        <w:t>2015</w:t>
      </w:r>
      <w:r>
        <w:t xml:space="preserve"> (Figure 6), similar to the average for 2014-15 of 9%. In May </w:t>
      </w:r>
      <w:r w:rsidRPr="003E0534">
        <w:t xml:space="preserve">2015, the largest proportion for survival to discharge was </w:t>
      </w:r>
      <w:r>
        <w:t>15</w:t>
      </w:r>
      <w:r w:rsidRPr="003E0534">
        <w:t>% for S</w:t>
      </w:r>
      <w:r>
        <w:t>outh Central, and the smallest</w:t>
      </w:r>
      <w:r>
        <w:rPr>
          <w:rStyle w:val="FootnoteReference"/>
        </w:rPr>
        <w:footnoteReference w:id="9"/>
      </w:r>
      <w:r>
        <w:t xml:space="preserve"> was 5</w:t>
      </w:r>
      <w:r w:rsidRPr="003E0534">
        <w:t xml:space="preserve">% for </w:t>
      </w:r>
      <w:r>
        <w:t xml:space="preserve">both </w:t>
      </w:r>
      <w:r w:rsidRPr="003E0534">
        <w:t xml:space="preserve">East </w:t>
      </w:r>
      <w:r>
        <w:t>of England and South East.</w:t>
      </w:r>
    </w:p>
    <w:p w:rsidR="002247A6" w:rsidRPr="002247A6" w:rsidRDefault="003E0534" w:rsidP="002247A6">
      <w:r>
        <w:lastRenderedPageBreak/>
        <w:t xml:space="preserve">For the Utstein group, survival to discharge in </w:t>
      </w:r>
      <w:r w:rsidR="00082855">
        <w:t xml:space="preserve">May </w:t>
      </w:r>
      <w:r w:rsidRPr="0079282B">
        <w:t>2015</w:t>
      </w:r>
      <w:r>
        <w:t xml:space="preserve"> was </w:t>
      </w:r>
      <w:r w:rsidR="006F200A">
        <w:t>27</w:t>
      </w:r>
      <w:r w:rsidRPr="004C6F83">
        <w:t>%</w:t>
      </w:r>
      <w:r>
        <w:t xml:space="preserve">, which was also not significantly different to the </w:t>
      </w:r>
      <w:r w:rsidRPr="002A2463">
        <w:t xml:space="preserve">average </w:t>
      </w:r>
      <w:r>
        <w:t>for 2014-15 (26%).</w:t>
      </w:r>
      <w:r w:rsidR="009939D6">
        <w:t xml:space="preserve"> T</w:t>
      </w:r>
      <w:r w:rsidR="0060479B">
        <w:t>he largest proportion was 49</w:t>
      </w:r>
      <w:r w:rsidRPr="003E0534">
        <w:t>% for</w:t>
      </w:r>
      <w:r w:rsidR="0060479B">
        <w:t xml:space="preserve"> South Central, and the smallest</w:t>
      </w:r>
      <w:r w:rsidR="00E80B0C">
        <w:rPr>
          <w:rStyle w:val="FootnoteReference"/>
        </w:rPr>
        <w:footnoteReference w:id="10"/>
      </w:r>
      <w:r w:rsidR="0060479B">
        <w:t xml:space="preserve"> was 11</w:t>
      </w:r>
      <w:r w:rsidRPr="003E0534">
        <w:t xml:space="preserve">% for </w:t>
      </w:r>
      <w:r w:rsidR="0060479B">
        <w:t>South East</w:t>
      </w:r>
      <w:r w:rsidRPr="003E0534">
        <w:t>.</w:t>
      </w:r>
    </w:p>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E125FC" w:rsidRDefault="00104812" w:rsidP="00E125FC">
      <w:r>
        <w:t xml:space="preserve">Of </w:t>
      </w:r>
      <w:r w:rsidR="005612D9" w:rsidRPr="005612D9">
        <w:t>994</w:t>
      </w:r>
      <w:r>
        <w:t xml:space="preserve"> STEMI patients that </w:t>
      </w:r>
      <w:r w:rsidRPr="00DA6E95">
        <w:t>receiv</w:t>
      </w:r>
      <w:r>
        <w:t xml:space="preserve">ed </w:t>
      </w:r>
      <w:r w:rsidRPr="00DA6E95">
        <w:t>primary angioplasty</w:t>
      </w:r>
      <w:r w:rsidRPr="00940A61">
        <w:t xml:space="preserve"> </w:t>
      </w:r>
      <w:r>
        <w:t xml:space="preserve">in </w:t>
      </w:r>
      <w:r w:rsidR="005612D9">
        <w:t xml:space="preserve">May </w:t>
      </w:r>
      <w:r w:rsidRPr="00597ACE">
        <w:t>2015</w:t>
      </w:r>
      <w:r>
        <w:t xml:space="preserve"> in England</w:t>
      </w:r>
      <w:r w:rsidRPr="00DA6E95">
        <w:t xml:space="preserve">, </w:t>
      </w:r>
      <w:r w:rsidR="005612D9" w:rsidRPr="005612D9">
        <w:t>832</w:t>
      </w:r>
      <w:r w:rsidRPr="00957E91">
        <w:t xml:space="preserve"> </w:t>
      </w:r>
      <w:r>
        <w:t>(8</w:t>
      </w:r>
      <w:r w:rsidR="005612D9">
        <w:t>4</w:t>
      </w:r>
      <w:r w:rsidRPr="00433A74">
        <w:t>%</w:t>
      </w:r>
      <w:r>
        <w:t xml:space="preserve">) of them </w:t>
      </w:r>
      <w:r w:rsidRPr="00DA6E95">
        <w:t xml:space="preserve">received </w:t>
      </w:r>
      <w:r>
        <w:t xml:space="preserve">it </w:t>
      </w:r>
      <w:r w:rsidRPr="00DA6E95">
        <w:t>within 150 minutes of the call being connected to the ambulance service</w:t>
      </w:r>
      <w:r>
        <w:t xml:space="preserve"> (Figure </w:t>
      </w:r>
      <w:r w:rsidR="005612D9">
        <w:t>7</w:t>
      </w:r>
      <w:r w:rsidR="00ED39A0">
        <w:t xml:space="preserve">), </w:t>
      </w:r>
      <w:r>
        <w:t xml:space="preserve">significantly less than </w:t>
      </w:r>
      <w:r w:rsidRPr="00D96387">
        <w:t xml:space="preserve">the </w:t>
      </w:r>
      <w:r>
        <w:t>average for 2014-15 of 87%</w:t>
      </w:r>
      <w:r w:rsidR="00ED39A0">
        <w:t>. T</w:t>
      </w:r>
      <w:r w:rsidR="00E125FC" w:rsidRPr="008132F5">
        <w:t xml:space="preserve">he largest proportion </w:t>
      </w:r>
      <w:r w:rsidR="00E125FC">
        <w:t xml:space="preserve">for May </w:t>
      </w:r>
      <w:r w:rsidR="00E125FC" w:rsidRPr="000F537D">
        <w:t>2015</w:t>
      </w:r>
      <w:r w:rsidR="00E125FC">
        <w:t xml:space="preserve"> </w:t>
      </w:r>
      <w:r w:rsidR="00E125FC" w:rsidRPr="008132F5">
        <w:t xml:space="preserve">was </w:t>
      </w:r>
      <w:r w:rsidR="00E125FC">
        <w:t>94</w:t>
      </w:r>
      <w:r w:rsidR="00E125FC" w:rsidRPr="00432C67">
        <w:t xml:space="preserve">% </w:t>
      </w:r>
      <w:r w:rsidR="00E125FC">
        <w:t>for</w:t>
      </w:r>
      <w:r w:rsidR="00E125FC" w:rsidRPr="008132F5">
        <w:t xml:space="preserve"> </w:t>
      </w:r>
      <w:r w:rsidR="00E125FC">
        <w:t xml:space="preserve">East of England, and the </w:t>
      </w:r>
      <w:r w:rsidR="00E125FC" w:rsidRPr="008132F5">
        <w:t>smallest</w:t>
      </w:r>
      <w:r w:rsidR="00E80B0C">
        <w:rPr>
          <w:vertAlign w:val="superscript"/>
        </w:rPr>
        <w:t>10</w:t>
      </w:r>
      <w:bookmarkStart w:id="1" w:name="_GoBack"/>
      <w:bookmarkEnd w:id="1"/>
      <w:r w:rsidR="00E125FC" w:rsidRPr="00E125FC">
        <w:rPr>
          <w:vertAlign w:val="superscript"/>
        </w:rPr>
        <w:t xml:space="preserve"> </w:t>
      </w:r>
      <w:r w:rsidR="00E125FC" w:rsidRPr="008132F5">
        <w:t>was</w:t>
      </w:r>
      <w:r w:rsidR="00E125FC">
        <w:t xml:space="preserve"> 71</w:t>
      </w:r>
      <w:r w:rsidR="00E125FC" w:rsidRPr="00433A74">
        <w:t xml:space="preserve">% </w:t>
      </w:r>
      <w:r w:rsidR="00E125FC">
        <w:t xml:space="preserve">for </w:t>
      </w:r>
      <w:r w:rsidR="00E125FC" w:rsidRPr="00085A95">
        <w:t xml:space="preserve">South </w:t>
      </w:r>
      <w:r w:rsidR="00E125FC">
        <w:t>Western</w:t>
      </w:r>
      <w:r w:rsidR="00FA68E8">
        <w:t xml:space="preserve">. </w:t>
      </w:r>
    </w:p>
    <w:p w:rsidR="00104812" w:rsidRDefault="00104812" w:rsidP="00104812">
      <w:r>
        <w:t xml:space="preserve">In </w:t>
      </w:r>
      <w:r w:rsidR="00B730BB">
        <w:t>May</w:t>
      </w:r>
      <w:r>
        <w:t xml:space="preserve"> </w:t>
      </w:r>
      <w:r w:rsidRPr="0079282B">
        <w:t>2015</w:t>
      </w:r>
      <w:r>
        <w:t xml:space="preserve">, of </w:t>
      </w:r>
      <w:r w:rsidR="00B730BB" w:rsidRPr="00B730BB">
        <w:t>1,614</w:t>
      </w:r>
      <w:r w:rsidR="00B730BB">
        <w:t xml:space="preserve"> </w:t>
      </w:r>
      <w:r w:rsidRPr="00DA6E95">
        <w:t>patients with an acute STEMI</w:t>
      </w:r>
      <w:r w:rsidRPr="00940A61">
        <w:t xml:space="preserve"> </w:t>
      </w:r>
      <w:r>
        <w:t xml:space="preserve">in England, </w:t>
      </w:r>
      <w:r w:rsidR="00B730BB" w:rsidRPr="00B730BB">
        <w:t xml:space="preserve">1,295 </w:t>
      </w:r>
      <w:r w:rsidR="00B730BB">
        <w:t>(80</w:t>
      </w:r>
      <w:r w:rsidRPr="00432C67">
        <w:t>%</w:t>
      </w:r>
      <w:r>
        <w:t>)</w:t>
      </w:r>
      <w:r w:rsidRPr="00432C67">
        <w:t xml:space="preserve"> </w:t>
      </w:r>
      <w:r w:rsidRPr="00DA6E95">
        <w:t>received the appropriate care bundle</w:t>
      </w:r>
      <w:r>
        <w:rPr>
          <w:rStyle w:val="FootnoteReference"/>
        </w:rPr>
        <w:footnoteReference w:id="11"/>
      </w:r>
      <w:r>
        <w:t xml:space="preserve">. This was </w:t>
      </w:r>
      <w:r w:rsidR="00B730BB">
        <w:t>similar to t</w:t>
      </w:r>
      <w:r>
        <w:t>he average for 2014-15 of 80%.</w:t>
      </w:r>
      <w:r w:rsidR="0023382F">
        <w:t xml:space="preserve"> </w:t>
      </w:r>
      <w:r w:rsidR="00A32CDF" w:rsidRPr="00A32CDF">
        <w:t>North East had the largest proportion in May 2015, with 96%, and the smallest was 62% for South East.</w:t>
      </w:r>
    </w:p>
    <w:p w:rsidR="00A064FC" w:rsidRDefault="00B2640B" w:rsidP="00BE79C9">
      <w:r>
        <w:rPr>
          <w:noProof/>
        </w:rPr>
        <w:drawing>
          <wp:inline distT="0" distB="0" distL="0" distR="0" wp14:anchorId="33105749">
            <wp:extent cx="5602605" cy="32188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605" cy="3218815"/>
                    </a:xfrm>
                    <a:prstGeom prst="rect">
                      <a:avLst/>
                    </a:prstGeom>
                    <a:noFill/>
                  </pic:spPr>
                </pic:pic>
              </a:graphicData>
            </a:graphic>
          </wp:inline>
        </w:drawing>
      </w:r>
    </w:p>
    <w:p w:rsidR="00E80B0C" w:rsidRDefault="00E80B0C" w:rsidP="003A0D0C">
      <w:pPr>
        <w:pStyle w:val="Heading3"/>
      </w:pPr>
      <w:r>
        <w:br w:type="page"/>
      </w:r>
    </w:p>
    <w:p w:rsidR="003A0D0C" w:rsidRDefault="003A0D0C" w:rsidP="003A0D0C">
      <w:pPr>
        <w:pStyle w:val="Heading3"/>
      </w:pPr>
      <w:r>
        <w:lastRenderedPageBreak/>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95B24" w:rsidRDefault="0032599C" w:rsidP="00312B69">
      <w:r>
        <w:t xml:space="preserve">In </w:t>
      </w:r>
      <w:r w:rsidR="00C835FB">
        <w:t xml:space="preserve">May </w:t>
      </w:r>
      <w:r w:rsidR="00240F81">
        <w:t>2</w:t>
      </w:r>
      <w:r w:rsidR="00F81BC9" w:rsidRPr="00F81BC9">
        <w:t>015</w:t>
      </w:r>
      <w:r>
        <w:t xml:space="preserve">, of </w:t>
      </w:r>
      <w:r w:rsidR="00C8550E" w:rsidRPr="00C8550E">
        <w:t xml:space="preserve">3,147 </w:t>
      </w:r>
      <w:r>
        <w:t>FAST positive patients</w:t>
      </w:r>
      <w:r w:rsidRPr="00940A61">
        <w:t xml:space="preserve"> </w:t>
      </w:r>
      <w:r>
        <w:t xml:space="preserve">in England, assessed face to face, and potentially eligible for stroke thrombolysis within agreed local guidelines, </w:t>
      </w:r>
      <w:r w:rsidR="005F1582" w:rsidRPr="005F1582">
        <w:t xml:space="preserve">1,906 </w:t>
      </w:r>
      <w:r>
        <w:t>(</w:t>
      </w:r>
      <w:r w:rsidR="005F1582">
        <w:t>61</w:t>
      </w:r>
      <w:r w:rsidRPr="001067D4">
        <w:t>%</w:t>
      </w:r>
      <w:r>
        <w:t>) arrived at hospitals with</w:t>
      </w:r>
      <w:r w:rsidRPr="00DA6E95">
        <w:t xml:space="preserve"> a hyperacute stroke unit within 60 minutes</w:t>
      </w:r>
      <w:r>
        <w:t xml:space="preserve"> of an emergency call connecting to the ambulanc</w:t>
      </w:r>
      <w:r w:rsidR="00881BB4">
        <w:t>e service</w:t>
      </w:r>
      <w:r w:rsidR="006034E1">
        <w:t xml:space="preserve">, </w:t>
      </w:r>
      <w:r w:rsidR="00806A50">
        <w:t>similar to the average for 2014-15 of 59%.</w:t>
      </w:r>
      <w:r w:rsidR="00C95B24">
        <w:t xml:space="preserve"> </w:t>
      </w:r>
    </w:p>
    <w:p w:rsidR="00312B69" w:rsidRDefault="00312B69" w:rsidP="00312B69">
      <w:r w:rsidRPr="008E44F8">
        <w:t xml:space="preserve">The largest proportion in the month of </w:t>
      </w:r>
      <w:r>
        <w:t xml:space="preserve">May </w:t>
      </w:r>
      <w:r w:rsidRPr="008E44F8">
        <w:t>2015 was 7</w:t>
      </w:r>
      <w:r>
        <w:t>8</w:t>
      </w:r>
      <w:r w:rsidR="005F1582">
        <w:t>% for North West</w:t>
      </w:r>
      <w:r w:rsidRPr="008E44F8">
        <w:t xml:space="preserve">, and the smallest was </w:t>
      </w:r>
      <w:r w:rsidR="005F1582">
        <w:t>51</w:t>
      </w:r>
      <w:r w:rsidRPr="008E44F8">
        <w:t xml:space="preserve">% for </w:t>
      </w:r>
      <w:r w:rsidR="006C5E47">
        <w:t xml:space="preserve">both West Midlands and </w:t>
      </w:r>
      <w:r w:rsidR="005F1582">
        <w:t xml:space="preserve">South </w:t>
      </w:r>
      <w:r w:rsidRPr="008E44F8">
        <w:t>West</w:t>
      </w:r>
      <w:r w:rsidR="005F1582">
        <w:t>ern</w:t>
      </w:r>
      <w:r w:rsidRPr="008E44F8">
        <w:t>.</w:t>
      </w:r>
    </w:p>
    <w:p w:rsidR="006E6FAF" w:rsidRDefault="006A5F54" w:rsidP="001E75EA">
      <w:bookmarkStart w:id="2" w:name="OLE_LINK3"/>
      <w:r>
        <w:t>T</w:t>
      </w:r>
      <w:r w:rsidR="00033CF1">
        <w:t xml:space="preserve">here were </w:t>
      </w:r>
      <w:r w:rsidR="00842445" w:rsidRPr="00842445">
        <w:t xml:space="preserve">7,386 </w:t>
      </w:r>
      <w:r w:rsidR="00033CF1">
        <w:t>stroke patients</w:t>
      </w:r>
      <w:r w:rsidR="00033CF1" w:rsidRPr="00940A61">
        <w:t xml:space="preserve"> </w:t>
      </w:r>
      <w:r w:rsidR="00033CF1">
        <w:t>assessed face to face</w:t>
      </w:r>
      <w:r w:rsidR="00033CF1" w:rsidRPr="007920B1">
        <w:t xml:space="preserve"> </w:t>
      </w:r>
      <w:r w:rsidR="00033CF1">
        <w:t xml:space="preserve">in </w:t>
      </w:r>
      <w:r w:rsidR="00842445">
        <w:t xml:space="preserve">May </w:t>
      </w:r>
      <w:r w:rsidR="006E6FAF" w:rsidRPr="006E6FAF">
        <w:t>2015</w:t>
      </w:r>
      <w:r w:rsidR="006E6FAF">
        <w:t xml:space="preserve"> </w:t>
      </w:r>
      <w:r w:rsidR="00033CF1">
        <w:t xml:space="preserve">in England, and </w:t>
      </w:r>
      <w:r w:rsidR="00842445" w:rsidRPr="00842445">
        <w:t xml:space="preserve">7,231 </w:t>
      </w:r>
      <w:r w:rsidR="00352975">
        <w:t>(98</w:t>
      </w:r>
      <w:r w:rsidR="00033CF1" w:rsidRPr="002502D1">
        <w:t>%</w:t>
      </w:r>
      <w:r w:rsidR="00033CF1">
        <w:t>)</w:t>
      </w:r>
      <w:r w:rsidR="00033CF1" w:rsidRPr="001A6875">
        <w:t xml:space="preserve"> </w:t>
      </w:r>
      <w:r w:rsidR="00033CF1">
        <w:t xml:space="preserve">received </w:t>
      </w:r>
      <w:r w:rsidR="00033CF1" w:rsidRPr="00DA6E95">
        <w:t>the appropriate care bundle</w:t>
      </w:r>
      <w:r>
        <w:t xml:space="preserve">. </w:t>
      </w:r>
      <w:r w:rsidR="006034E1" w:rsidRPr="00536139">
        <w:t>All trusts had a proportion of at least 9</w:t>
      </w:r>
      <w:r w:rsidR="006034E1">
        <w:t>6</w:t>
      </w:r>
      <w:r w:rsidR="006034E1" w:rsidRPr="00536139">
        <w:t xml:space="preserve">% in </w:t>
      </w:r>
      <w:r w:rsidR="006034E1">
        <w:t xml:space="preserve">May </w:t>
      </w:r>
      <w:r w:rsidR="006034E1" w:rsidRPr="00536139">
        <w:t>2015.</w:t>
      </w:r>
      <w:r w:rsidR="006034E1">
        <w:t xml:space="preserve"> </w:t>
      </w:r>
      <w:r>
        <w:t xml:space="preserve">Although the </w:t>
      </w:r>
      <w:r w:rsidR="00806A50">
        <w:t>average for 2014-15</w:t>
      </w:r>
      <w:r w:rsidR="00352975">
        <w:t xml:space="preserve"> </w:t>
      </w:r>
      <w:r>
        <w:t xml:space="preserve">was </w:t>
      </w:r>
      <w:r w:rsidR="006034E1">
        <w:t xml:space="preserve">not a lot different at </w:t>
      </w:r>
      <w:r w:rsidR="00352975">
        <w:t>97%</w:t>
      </w:r>
      <w:r>
        <w:t xml:space="preserve">, the May 2015 </w:t>
      </w:r>
      <w:r w:rsidR="006034E1">
        <w:t xml:space="preserve">proportion </w:t>
      </w:r>
      <w:r>
        <w:t>was actually a significant improvement</w:t>
      </w:r>
      <w:bookmarkEnd w:id="2"/>
      <w:r w:rsidR="006034E1">
        <w:t xml:space="preserve"> upon this.</w:t>
      </w:r>
    </w:p>
    <w:p w:rsidR="00881F90" w:rsidRDefault="00B2640B" w:rsidP="0032599C">
      <w:r>
        <w:rPr>
          <w:noProof/>
        </w:rPr>
        <w:drawing>
          <wp:inline distT="0" distB="0" distL="0" distR="0" wp14:anchorId="76EA86F2">
            <wp:extent cx="5517515" cy="278638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7515" cy="2786380"/>
                    </a:xfrm>
                    <a:prstGeom prst="rect">
                      <a:avLst/>
                    </a:prstGeom>
                    <a:noFill/>
                  </pic:spPr>
                </pic:pic>
              </a:graphicData>
            </a:graphic>
          </wp:inline>
        </w:drawing>
      </w:r>
    </w:p>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E80B0C" w:rsidP="003A0D0C">
      <w:pPr>
        <w:rPr>
          <w:rFonts w:cs="Arial"/>
        </w:rPr>
      </w:pPr>
      <w:hyperlink r:id="rId17" w:history="1">
        <w:r w:rsidR="003A0D0C" w:rsidRPr="005D248D">
          <w:rPr>
            <w:rStyle w:val="Hyperlink"/>
            <w:rFonts w:cs="Arial"/>
          </w:rPr>
          <w:t>www.england.nhs.uk/statistics/statistical-work-areas/ambulance-quality-indicators</w:t>
        </w:r>
      </w:hyperlink>
      <w:r w:rsidR="003A0D0C">
        <w:rPr>
          <w:rFonts w:cs="Arial"/>
        </w:rPr>
        <w:t xml:space="preserve">, or </w:t>
      </w:r>
      <w:hyperlink r:id="rId18"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lastRenderedPageBreak/>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36736E" w:rsidRDefault="0036736E" w:rsidP="0036736E">
      <w:r>
        <w:t xml:space="preserve">Publication dates are also at </w:t>
      </w:r>
      <w:hyperlink r:id="rId19" w:history="1">
        <w:r w:rsidR="001E75EA">
          <w:rPr>
            <w:rStyle w:val="Hyperlink"/>
          </w:rPr>
          <w:t>www.gov.uk/government/statistics/announcements</w:t>
        </w:r>
      </w:hyperlink>
      <w:r>
        <w:t>.</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3265C0">
            <w:pPr>
              <w:pStyle w:val="NoSpacing"/>
              <w:jc w:val="center"/>
              <w:rPr>
                <w:b/>
              </w:rPr>
            </w:pPr>
            <w:r w:rsidRPr="003265C0">
              <w:rPr>
                <w:b/>
              </w:rPr>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3265C0">
            <w:pPr>
              <w:pStyle w:val="NoSpacing"/>
              <w:jc w:val="center"/>
              <w:rPr>
                <w:b/>
                <w:bCs/>
              </w:rPr>
            </w:pPr>
            <w:r w:rsidRPr="003265C0">
              <w:rPr>
                <w:b/>
                <w:bCs/>
              </w:rPr>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3265C0">
            <w:pPr>
              <w:pStyle w:val="NoSpacing"/>
              <w:jc w:val="center"/>
              <w:rPr>
                <w:b/>
                <w:bCs/>
              </w:rPr>
            </w:pPr>
            <w:r w:rsidRPr="003265C0">
              <w:rPr>
                <w:b/>
                <w:bCs/>
              </w:rPr>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9B66E3">
            <w:pPr>
              <w:pStyle w:val="NoSpacing"/>
            </w:pPr>
            <w:r w:rsidRPr="00B4687B">
              <w:t>Systems Indicators</w:t>
            </w:r>
          </w:p>
        </w:tc>
        <w:tc>
          <w:tcPr>
            <w:tcW w:w="236" w:type="dxa"/>
            <w:tcBorders>
              <w:top w:val="nil"/>
              <w:bottom w:val="nil"/>
            </w:tcBorders>
            <w:tcMar>
              <w:left w:w="57" w:type="dxa"/>
              <w:right w:w="57" w:type="dxa"/>
            </w:tcMar>
          </w:tcPr>
          <w:p w:rsidR="00B870E5" w:rsidRDefault="00B870E5" w:rsidP="009B66E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2D3F1A">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2D3F1A">
            <w:pPr>
              <w:pStyle w:val="NoSpacing"/>
              <w:jc w:val="center"/>
            </w:pPr>
          </w:p>
        </w:tc>
        <w:tc>
          <w:tcPr>
            <w:tcW w:w="3585" w:type="dxa"/>
            <w:tcBorders>
              <w:top w:val="nil"/>
              <w:bottom w:val="nil"/>
            </w:tcBorders>
            <w:tcMar>
              <w:left w:w="57" w:type="dxa"/>
              <w:right w:w="57" w:type="dxa"/>
            </w:tcMar>
          </w:tcPr>
          <w:p w:rsidR="00B870E5" w:rsidRPr="005B5932" w:rsidRDefault="00B870E5" w:rsidP="002D3F1A">
            <w:pPr>
              <w:pStyle w:val="NoSpacing"/>
            </w:pPr>
            <w:r>
              <w:t xml:space="preserve">April 2015 </w:t>
            </w:r>
            <w:r w:rsidRPr="005B5932">
              <w:t xml:space="preserve">to </w:t>
            </w:r>
            <w:r>
              <w:t xml:space="preserve">September </w:t>
            </w:r>
            <w:r w:rsidRPr="005B5932">
              <w:t>2015</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 xml:space="preserve"> 12 </w:t>
            </w:r>
            <w:r w:rsidRPr="00875FD5">
              <w:t>November</w:t>
            </w:r>
            <w:r>
              <w:t xml:space="preserve"> </w:t>
            </w:r>
            <w:r w:rsidRPr="005B5932">
              <w:t>2015</w:t>
            </w:r>
          </w:p>
        </w:tc>
        <w:tc>
          <w:tcPr>
            <w:tcW w:w="284" w:type="dxa"/>
            <w:tcBorders>
              <w:top w:val="nil"/>
              <w:bottom w:val="nil"/>
            </w:tcBorders>
            <w:tcMar>
              <w:left w:w="57" w:type="dxa"/>
              <w:right w:w="57" w:type="dxa"/>
            </w:tcMar>
          </w:tcPr>
          <w:p w:rsidR="00B870E5" w:rsidRPr="00B4687B" w:rsidRDefault="00B870E5" w:rsidP="005B5932"/>
        </w:tc>
        <w:tc>
          <w:tcPr>
            <w:tcW w:w="2149" w:type="dxa"/>
            <w:tcBorders>
              <w:top w:val="nil"/>
              <w:bottom w:val="nil"/>
            </w:tcBorders>
            <w:tcMar>
              <w:left w:w="57" w:type="dxa"/>
              <w:right w:w="57" w:type="dxa"/>
            </w:tcMar>
          </w:tcPr>
          <w:p w:rsidR="00B870E5" w:rsidRPr="005B5932" w:rsidRDefault="00B870E5" w:rsidP="005B5932">
            <w:r w:rsidRPr="005B5932">
              <w:t>Systems Indicators</w:t>
            </w:r>
          </w:p>
        </w:tc>
        <w:tc>
          <w:tcPr>
            <w:tcW w:w="236" w:type="dxa"/>
            <w:tcBorders>
              <w:top w:val="nil"/>
              <w:bottom w:val="nil"/>
            </w:tcBorders>
            <w:tcMar>
              <w:left w:w="57" w:type="dxa"/>
              <w:right w:w="57" w:type="dxa"/>
            </w:tcMar>
          </w:tcPr>
          <w:p w:rsidR="00B870E5" w:rsidRDefault="00B870E5" w:rsidP="005B5932"/>
        </w:tc>
        <w:tc>
          <w:tcPr>
            <w:tcW w:w="3585" w:type="dxa"/>
            <w:tcBorders>
              <w:top w:val="nil"/>
              <w:bottom w:val="nil"/>
            </w:tcBorders>
            <w:tcMar>
              <w:left w:w="57" w:type="dxa"/>
              <w:right w:w="57" w:type="dxa"/>
            </w:tcMar>
          </w:tcPr>
          <w:p w:rsidR="00B870E5" w:rsidRDefault="00B870E5" w:rsidP="002221E6">
            <w:pPr>
              <w:pStyle w:val="NoSpacing"/>
            </w:pPr>
            <w:r>
              <w:t>April 2015 to August 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 xml:space="preserve">All other Systems Indicators involve the dispatch of an ambulance, and include ambulances dispatched as a result of a call to NHS 111, as well as 999 or 112. </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0"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lastRenderedPageBreak/>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F32A65">
        <w:t xml:space="preserve"> </w:t>
      </w:r>
      <w:hyperlink r:id="rId21"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17577C">
        <w:t>:</w:t>
      </w:r>
      <w:r>
        <w:t xml:space="preserve"> </w:t>
      </w:r>
      <w:hyperlink r:id="rId22"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E80B0C" w:rsidP="002221E6">
            <w:pPr>
              <w:pStyle w:val="NoSpacing"/>
            </w:pPr>
            <w:hyperlink r:id="rId23"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4"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E80B0C" w:rsidP="002221E6">
            <w:pPr>
              <w:rPr>
                <w:lang w:eastAsia="en-US"/>
              </w:rPr>
            </w:pPr>
            <w:hyperlink r:id="rId25"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6"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7" w:history="1">
        <w:r w:rsidRPr="009A0418">
          <w:rPr>
            <w:rStyle w:val="Hyperlink"/>
          </w:rPr>
          <w:t>i.kay@nhs.net</w:t>
        </w:r>
      </w:hyperlink>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11703">
      <w:headerReference w:type="default" r:id="rId28"/>
      <w:footerReference w:type="default" r:id="rId29"/>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97" w:rsidRDefault="00092A97" w:rsidP="008C63D3">
      <w:r>
        <w:separator/>
      </w:r>
    </w:p>
  </w:endnote>
  <w:endnote w:type="continuationSeparator" w:id="0">
    <w:p w:rsidR="00092A97" w:rsidRDefault="00092A9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924D4">
    <w:pPr>
      <w:pStyle w:val="Footer"/>
      <w:tabs>
        <w:tab w:val="clear" w:pos="9026"/>
        <w:tab w:val="left" w:pos="5025"/>
        <w:tab w:val="right" w:pos="8364"/>
      </w:tabs>
    </w:pPr>
    <w:r>
      <w:t xml:space="preserve">NHS England AQI Statistical Note, </w:t>
    </w:r>
    <w:r w:rsidR="00864BBA">
      <w:t>8 October</w:t>
    </w:r>
    <w:r w:rsidR="005B6A5B">
      <w:t xml:space="preserve"> 2015.</w:t>
    </w:r>
    <w:r w:rsidR="005B6A5B">
      <w:tab/>
    </w:r>
    <w:r>
      <w:tab/>
      <w:t xml:space="preserve">Page </w:t>
    </w:r>
    <w:r>
      <w:fldChar w:fldCharType="begin"/>
    </w:r>
    <w:r>
      <w:instrText xml:space="preserve"> PAGE   \* MERGEFORMAT </w:instrText>
    </w:r>
    <w:r>
      <w:fldChar w:fldCharType="separate"/>
    </w:r>
    <w:r w:rsidR="00E80B0C">
      <w:rPr>
        <w:noProof/>
      </w:rPr>
      <w:t>7</w:t>
    </w:r>
    <w:r>
      <w:rPr>
        <w:noProof/>
      </w:rPr>
      <w:fldChar w:fldCharType="end"/>
    </w:r>
    <w:r>
      <w:rPr>
        <w:noProof/>
      </w:rPr>
      <w:t xml:space="preserve"> of </w:t>
    </w:r>
    <w:r w:rsidR="00E80B0C">
      <w:fldChar w:fldCharType="begin"/>
    </w:r>
    <w:r w:rsidR="00E80B0C">
      <w:instrText xml:space="preserve"> NUMPAGES   \* MERGEFORMAT </w:instrText>
    </w:r>
    <w:r w:rsidR="00E80B0C">
      <w:fldChar w:fldCharType="separate"/>
    </w:r>
    <w:r w:rsidR="00E80B0C">
      <w:rPr>
        <w:noProof/>
      </w:rPr>
      <w:t>10</w:t>
    </w:r>
    <w:r w:rsidR="00E80B0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97" w:rsidRDefault="00092A97" w:rsidP="008C63D3">
      <w:r>
        <w:separator/>
      </w:r>
    </w:p>
  </w:footnote>
  <w:footnote w:type="continuationSeparator" w:id="0">
    <w:p w:rsidR="00092A97" w:rsidRDefault="00092A97" w:rsidP="008C63D3">
      <w:r>
        <w:continuationSeparator/>
      </w:r>
    </w:p>
  </w:footnote>
  <w:footnote w:id="1">
    <w:p w:rsidR="00FF749A" w:rsidRDefault="00FF749A" w:rsidP="00FF749A">
      <w:pPr>
        <w:pStyle w:val="Footer"/>
        <w:rPr>
          <w:rStyle w:val="Hyperlink"/>
          <w:lang w:eastAsia="en-US"/>
        </w:rPr>
      </w:pPr>
      <w:r>
        <w:rPr>
          <w:rStyle w:val="FootnoteReference"/>
        </w:rPr>
        <w:footnoteRef/>
      </w:r>
      <w:r>
        <w:t xml:space="preserve"> Page 3</w:t>
      </w:r>
      <w:r w:rsidR="00E853DC">
        <w:t>4</w:t>
      </w:r>
      <w:r>
        <w:t xml:space="preserve"> of the </w:t>
      </w:r>
      <w:r w:rsidR="00B870E5">
        <w:t xml:space="preserve">July 2015 </w:t>
      </w:r>
      <w:r w:rsidRPr="000F3EC8">
        <w:t>Handbook to the NHS Constitution</w:t>
      </w:r>
      <w:r>
        <w:t xml:space="preserve"> has</w:t>
      </w:r>
      <w:r w:rsidRPr="00774123">
        <w:t xml:space="preserve"> </w:t>
      </w:r>
      <w:r>
        <w:t xml:space="preserve">Ambulance response time standards, </w:t>
      </w:r>
      <w:hyperlink r:id="rId1" w:history="1">
        <w:r w:rsidR="00E853DC" w:rsidRPr="007D0908">
          <w:rPr>
            <w:rStyle w:val="Hyperlink"/>
          </w:rPr>
          <w:t>www.gov.uk/government/publications/the-nhs-constitution-for-england</w:t>
        </w:r>
      </w:hyperlink>
      <w:r w:rsidR="00E853DC">
        <w:t>.</w:t>
      </w:r>
    </w:p>
    <w:p w:rsidR="00FF749A" w:rsidRDefault="00FF749A" w:rsidP="00FF749A">
      <w:pPr>
        <w:pStyle w:val="Footer"/>
      </w:pPr>
    </w:p>
  </w:footnote>
  <w:footnote w:id="2">
    <w:p w:rsidR="00092A97" w:rsidRDefault="00092A97"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326C83" w:rsidRDefault="00326C83" w:rsidP="00526112">
      <w:pPr>
        <w:pStyle w:val="Footer"/>
        <w:rPr>
          <w:rStyle w:val="Hyperlink"/>
          <w:rFonts w:cs="Arial"/>
          <w:szCs w:val="20"/>
        </w:rPr>
      </w:pPr>
    </w:p>
    <w:p w:rsidR="00326C83" w:rsidRPr="00DC4BF3" w:rsidRDefault="00326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092A97" w:rsidRDefault="00092A97" w:rsidP="000F5FB4">
      <w:pPr>
        <w:pStyle w:val="Footer"/>
      </w:pPr>
      <w:r>
        <w:rPr>
          <w:rStyle w:val="FootnoteReference"/>
        </w:rPr>
        <w:footnoteRef/>
      </w:r>
      <w:r>
        <w:t xml:space="preserve"> </w:t>
      </w:r>
      <w:r w:rsidR="005F6D25" w:rsidRPr="005F6D25">
        <w:t xml:space="preserve">Dispatch on Disposition </w:t>
      </w:r>
      <w:r>
        <w:t>pilot announcement</w:t>
      </w:r>
      <w:r w:rsidR="005F6D25">
        <w:t>:</w:t>
      </w:r>
      <w:r>
        <w:t xml:space="preserve"> </w:t>
      </w:r>
      <w:hyperlink r:id="rId3" w:history="1">
        <w:r w:rsidRPr="00470B85">
          <w:rPr>
            <w:rStyle w:val="Hyperlink"/>
          </w:rPr>
          <w:t>www.parliament.uk/business/publications/written-questions-answers-statements/written-statement/Commons/2015-01-16/HCWS201</w:t>
        </w:r>
      </w:hyperlink>
      <w:r w:rsidR="005F6D25" w:rsidRPr="005F6D25">
        <w:t xml:space="preserve"> </w:t>
      </w:r>
      <w:r w:rsidR="005F6D25">
        <w:t>(January 2015)</w:t>
      </w:r>
      <w:r w:rsidR="00581E8E">
        <w:t>. For mo</w:t>
      </w:r>
      <w:r w:rsidR="00455AE3">
        <w:t>re information, see the 9 April</w:t>
      </w:r>
      <w:r w:rsidR="00581E8E">
        <w:t xml:space="preserve"> 2015 </w:t>
      </w:r>
      <w:r w:rsidR="00B870E5">
        <w:t xml:space="preserve">AQI </w:t>
      </w:r>
      <w:r w:rsidR="00581E8E">
        <w:t>Statistical Note.</w:t>
      </w:r>
    </w:p>
  </w:footnote>
  <w:footnote w:id="4">
    <w:p w:rsidR="00092A97" w:rsidRDefault="00092A97"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E446B4" w:rsidRDefault="00E446B4" w:rsidP="00191AB9">
      <w:pPr>
        <w:pStyle w:val="Footer"/>
      </w:pPr>
    </w:p>
  </w:footnote>
  <w:footnote w:id="5">
    <w:p w:rsidR="00092A97" w:rsidRDefault="00092A97"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092A97" w:rsidRDefault="00092A97" w:rsidP="00191AB9">
      <w:pPr>
        <w:pStyle w:val="Footer"/>
      </w:pPr>
      <w:r>
        <w:t>Type 2 offer a consultant-led speciality A&amp;E service such as ophthalmology or dental.</w:t>
      </w:r>
    </w:p>
    <w:p w:rsidR="00092A97" w:rsidRDefault="00092A97"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7B3406" w:rsidRDefault="00092A97" w:rsidP="00191AB9">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6">
    <w:p w:rsidR="006F26D8" w:rsidRDefault="006F26D8" w:rsidP="006F26D8">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 this system.</w:t>
      </w:r>
    </w:p>
    <w:p w:rsidR="00B2640B" w:rsidRDefault="00B2640B" w:rsidP="006F26D8">
      <w:pPr>
        <w:pStyle w:val="Footer"/>
      </w:pPr>
    </w:p>
  </w:footnote>
  <w:footnote w:id="7">
    <w:p w:rsidR="00D536BB" w:rsidRDefault="00D536BB" w:rsidP="00D536BB">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8">
    <w:p w:rsidR="00864BBA" w:rsidRDefault="00864BBA" w:rsidP="00864BBA">
      <w:pPr>
        <w:pStyle w:val="FootnoteText"/>
      </w:pPr>
      <w:r>
        <w:rPr>
          <w:rStyle w:val="FootnoteReference"/>
        </w:rPr>
        <w:footnoteRef/>
      </w:r>
      <w:r>
        <w:t xml:space="preserve"> Significance calculations throughout this document use t-tests with 95% confidence.</w:t>
      </w:r>
    </w:p>
    <w:p w:rsidR="00E80B0C" w:rsidRDefault="00E80B0C" w:rsidP="00864BBA">
      <w:pPr>
        <w:pStyle w:val="FootnoteText"/>
      </w:pPr>
    </w:p>
  </w:footnote>
  <w:footnote w:id="9">
    <w:p w:rsidR="00B2640B" w:rsidRDefault="00B2640B" w:rsidP="00B2640B">
      <w:pPr>
        <w:pStyle w:val="Footer"/>
      </w:pPr>
      <w:r>
        <w:rPr>
          <w:rStyle w:val="FootnoteReference"/>
        </w:rPr>
        <w:footnoteRef/>
      </w:r>
      <w:r>
        <w:t xml:space="preserve"> </w:t>
      </w:r>
      <w:proofErr w:type="gramStart"/>
      <w:r>
        <w:t>Excluding Isle of Wight.</w:t>
      </w:r>
      <w:proofErr w:type="gramEnd"/>
      <w:r>
        <w:t xml:space="preserve"> See footnote 6 on page 5.</w:t>
      </w:r>
    </w:p>
    <w:p w:rsidR="00B2640B" w:rsidRDefault="00B2640B" w:rsidP="00B2640B">
      <w:pPr>
        <w:pStyle w:val="Footer"/>
      </w:pPr>
    </w:p>
  </w:footnote>
  <w:footnote w:id="10">
    <w:p w:rsidR="00E80B0C" w:rsidRDefault="00E80B0C" w:rsidP="00E80B0C">
      <w:pPr>
        <w:pStyle w:val="Footer"/>
      </w:pPr>
      <w:r>
        <w:rPr>
          <w:rStyle w:val="FootnoteReference"/>
        </w:rPr>
        <w:footnoteRef/>
      </w:r>
      <w:r>
        <w:t xml:space="preserve"> </w:t>
      </w:r>
      <w:proofErr w:type="gramStart"/>
      <w:r>
        <w:t>Excluding Isle of Wight.</w:t>
      </w:r>
      <w:proofErr w:type="gramEnd"/>
      <w:r>
        <w:t xml:space="preserve"> See footnote 6 on page 5.</w:t>
      </w:r>
    </w:p>
    <w:p w:rsidR="00E80B0C" w:rsidRDefault="00E80B0C" w:rsidP="00E80B0C">
      <w:pPr>
        <w:pStyle w:val="Footer"/>
      </w:pPr>
    </w:p>
  </w:footnote>
  <w:footnote w:id="11">
    <w:p w:rsidR="00104812" w:rsidRDefault="00104812" w:rsidP="00104812">
      <w:pPr>
        <w:pStyle w:val="Footer"/>
      </w:pPr>
      <w:r>
        <w:rPr>
          <w:rStyle w:val="FootnoteReference"/>
        </w:rPr>
        <w:footnoteRef/>
      </w:r>
      <w:r>
        <w:t xml:space="preserve"> Pages 27 to 30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7684" w:rsidP="009F620F">
    <w:pPr>
      <w:pStyle w:val="Header"/>
      <w:tabs>
        <w:tab w:val="clear" w:pos="9026"/>
        <w:tab w:val="left" w:pos="3255"/>
        <w:tab w:val="right" w:pos="9923"/>
      </w:tabs>
      <w:ind w:right="-238"/>
    </w:pPr>
    <w:r>
      <w:rPr>
        <w:noProof/>
      </w:rPr>
      <w:drawing>
        <wp:inline distT="0" distB="0" distL="0" distR="0" wp14:anchorId="352C9F22" wp14:editId="0BE1B292">
          <wp:extent cx="800100" cy="800100"/>
          <wp:effectExtent l="0" t="0" r="0" b="0"/>
          <wp:docPr id="58" name="Picture 58" descr="Nation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092A97">
      <w:tab/>
    </w:r>
    <w:r w:rsidR="00092A97">
      <w:tab/>
    </w:r>
    <w:r w:rsidR="00092A97">
      <w:tab/>
    </w:r>
    <w:r w:rsidR="00092A97">
      <w:rPr>
        <w:noProof/>
      </w:rPr>
      <w:drawing>
        <wp:inline distT="0" distB="0" distL="0" distR="0" wp14:anchorId="6C8C4EFF" wp14:editId="5DBF832C">
          <wp:extent cx="1155194" cy="719329"/>
          <wp:effectExtent l="0" t="0" r="6985" b="5080"/>
          <wp:docPr id="59" name="Picture 59"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092A97" w:rsidRDefault="00092A97"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5EEF086"/>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57AA9CC4"/>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4858"/>
    <w:rsid w:val="00007EAE"/>
    <w:rsid w:val="00012199"/>
    <w:rsid w:val="00014432"/>
    <w:rsid w:val="00017E64"/>
    <w:rsid w:val="00017EE8"/>
    <w:rsid w:val="00022C19"/>
    <w:rsid w:val="00022C9A"/>
    <w:rsid w:val="00024821"/>
    <w:rsid w:val="000274BA"/>
    <w:rsid w:val="00032244"/>
    <w:rsid w:val="00033CF1"/>
    <w:rsid w:val="00035B25"/>
    <w:rsid w:val="00036949"/>
    <w:rsid w:val="00037F53"/>
    <w:rsid w:val="00040A6E"/>
    <w:rsid w:val="00042A5D"/>
    <w:rsid w:val="00043776"/>
    <w:rsid w:val="00044185"/>
    <w:rsid w:val="000442D5"/>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99E"/>
    <w:rsid w:val="00055BFC"/>
    <w:rsid w:val="000609DB"/>
    <w:rsid w:val="000610E8"/>
    <w:rsid w:val="00064B43"/>
    <w:rsid w:val="00064EA6"/>
    <w:rsid w:val="00065110"/>
    <w:rsid w:val="00065771"/>
    <w:rsid w:val="000670B6"/>
    <w:rsid w:val="00070143"/>
    <w:rsid w:val="0007019A"/>
    <w:rsid w:val="00072DE5"/>
    <w:rsid w:val="000768E8"/>
    <w:rsid w:val="000776AF"/>
    <w:rsid w:val="0007786F"/>
    <w:rsid w:val="00077876"/>
    <w:rsid w:val="00081437"/>
    <w:rsid w:val="00082855"/>
    <w:rsid w:val="00085A95"/>
    <w:rsid w:val="00085AC3"/>
    <w:rsid w:val="00085B01"/>
    <w:rsid w:val="000871A7"/>
    <w:rsid w:val="00087A96"/>
    <w:rsid w:val="000908B7"/>
    <w:rsid w:val="00091724"/>
    <w:rsid w:val="00092393"/>
    <w:rsid w:val="00092A97"/>
    <w:rsid w:val="00095266"/>
    <w:rsid w:val="00096317"/>
    <w:rsid w:val="000965D6"/>
    <w:rsid w:val="00096A9C"/>
    <w:rsid w:val="00097684"/>
    <w:rsid w:val="00097741"/>
    <w:rsid w:val="00097833"/>
    <w:rsid w:val="000A00D6"/>
    <w:rsid w:val="000A0425"/>
    <w:rsid w:val="000A0CF7"/>
    <w:rsid w:val="000A3161"/>
    <w:rsid w:val="000A42E3"/>
    <w:rsid w:val="000A4DF4"/>
    <w:rsid w:val="000B17F3"/>
    <w:rsid w:val="000B1B66"/>
    <w:rsid w:val="000B2219"/>
    <w:rsid w:val="000B2586"/>
    <w:rsid w:val="000B6AA0"/>
    <w:rsid w:val="000C13BF"/>
    <w:rsid w:val="000C2092"/>
    <w:rsid w:val="000C3202"/>
    <w:rsid w:val="000C7FCE"/>
    <w:rsid w:val="000D14CB"/>
    <w:rsid w:val="000D3E6B"/>
    <w:rsid w:val="000D3FB5"/>
    <w:rsid w:val="000D4CAE"/>
    <w:rsid w:val="000D52EC"/>
    <w:rsid w:val="000D6BA7"/>
    <w:rsid w:val="000D71FF"/>
    <w:rsid w:val="000D7762"/>
    <w:rsid w:val="000E0E23"/>
    <w:rsid w:val="000E166D"/>
    <w:rsid w:val="000E3B6E"/>
    <w:rsid w:val="000E4972"/>
    <w:rsid w:val="000E519E"/>
    <w:rsid w:val="000F027D"/>
    <w:rsid w:val="000F0D83"/>
    <w:rsid w:val="000F2BCC"/>
    <w:rsid w:val="000F3EC8"/>
    <w:rsid w:val="000F4631"/>
    <w:rsid w:val="000F537D"/>
    <w:rsid w:val="000F5B3F"/>
    <w:rsid w:val="000F5FB4"/>
    <w:rsid w:val="000F6221"/>
    <w:rsid w:val="001000B2"/>
    <w:rsid w:val="00104812"/>
    <w:rsid w:val="0010506D"/>
    <w:rsid w:val="00110E64"/>
    <w:rsid w:val="00111B6E"/>
    <w:rsid w:val="00113395"/>
    <w:rsid w:val="0011384E"/>
    <w:rsid w:val="00115FF0"/>
    <w:rsid w:val="00120401"/>
    <w:rsid w:val="00120424"/>
    <w:rsid w:val="0012242C"/>
    <w:rsid w:val="001251FA"/>
    <w:rsid w:val="0012724F"/>
    <w:rsid w:val="001275F2"/>
    <w:rsid w:val="00127A5B"/>
    <w:rsid w:val="00127E1D"/>
    <w:rsid w:val="00127FD0"/>
    <w:rsid w:val="00133520"/>
    <w:rsid w:val="001359EC"/>
    <w:rsid w:val="00136E8B"/>
    <w:rsid w:val="0013777A"/>
    <w:rsid w:val="001405FE"/>
    <w:rsid w:val="001407C4"/>
    <w:rsid w:val="00140B7B"/>
    <w:rsid w:val="0014147C"/>
    <w:rsid w:val="001417C4"/>
    <w:rsid w:val="00144A92"/>
    <w:rsid w:val="00145BE4"/>
    <w:rsid w:val="00146D12"/>
    <w:rsid w:val="001476C3"/>
    <w:rsid w:val="00151236"/>
    <w:rsid w:val="0015128C"/>
    <w:rsid w:val="00151567"/>
    <w:rsid w:val="00151AF2"/>
    <w:rsid w:val="0015216C"/>
    <w:rsid w:val="00155E50"/>
    <w:rsid w:val="00156A47"/>
    <w:rsid w:val="00160F31"/>
    <w:rsid w:val="00163FFB"/>
    <w:rsid w:val="0016646E"/>
    <w:rsid w:val="0016743F"/>
    <w:rsid w:val="00170786"/>
    <w:rsid w:val="001712AD"/>
    <w:rsid w:val="0017232F"/>
    <w:rsid w:val="0017281D"/>
    <w:rsid w:val="001747C9"/>
    <w:rsid w:val="00174FF6"/>
    <w:rsid w:val="00175513"/>
    <w:rsid w:val="0017577C"/>
    <w:rsid w:val="00177CDB"/>
    <w:rsid w:val="00181692"/>
    <w:rsid w:val="00182E71"/>
    <w:rsid w:val="001847B2"/>
    <w:rsid w:val="001857AC"/>
    <w:rsid w:val="00186446"/>
    <w:rsid w:val="001876F0"/>
    <w:rsid w:val="0019011B"/>
    <w:rsid w:val="00190332"/>
    <w:rsid w:val="00190BCC"/>
    <w:rsid w:val="00191AB9"/>
    <w:rsid w:val="00193CB9"/>
    <w:rsid w:val="0019534B"/>
    <w:rsid w:val="00196595"/>
    <w:rsid w:val="00197242"/>
    <w:rsid w:val="00197CEC"/>
    <w:rsid w:val="001A2A3F"/>
    <w:rsid w:val="001A37E4"/>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3157"/>
    <w:rsid w:val="001D341A"/>
    <w:rsid w:val="001D4F10"/>
    <w:rsid w:val="001D5DCC"/>
    <w:rsid w:val="001D60BD"/>
    <w:rsid w:val="001D731A"/>
    <w:rsid w:val="001E0C96"/>
    <w:rsid w:val="001E1B0A"/>
    <w:rsid w:val="001E2906"/>
    <w:rsid w:val="001E30CD"/>
    <w:rsid w:val="001E3296"/>
    <w:rsid w:val="001E5191"/>
    <w:rsid w:val="001E75EA"/>
    <w:rsid w:val="001F1181"/>
    <w:rsid w:val="001F1305"/>
    <w:rsid w:val="001F48A8"/>
    <w:rsid w:val="001F634A"/>
    <w:rsid w:val="001F7230"/>
    <w:rsid w:val="002029B2"/>
    <w:rsid w:val="002055F7"/>
    <w:rsid w:val="002067E2"/>
    <w:rsid w:val="00210E7E"/>
    <w:rsid w:val="00214510"/>
    <w:rsid w:val="00214A55"/>
    <w:rsid w:val="002221E6"/>
    <w:rsid w:val="00222A8A"/>
    <w:rsid w:val="00222B38"/>
    <w:rsid w:val="002247A6"/>
    <w:rsid w:val="00225C13"/>
    <w:rsid w:val="00230B2D"/>
    <w:rsid w:val="0023382F"/>
    <w:rsid w:val="002346FC"/>
    <w:rsid w:val="002350ED"/>
    <w:rsid w:val="00240F81"/>
    <w:rsid w:val="00241F79"/>
    <w:rsid w:val="00243B32"/>
    <w:rsid w:val="00244F63"/>
    <w:rsid w:val="00247D97"/>
    <w:rsid w:val="0025006E"/>
    <w:rsid w:val="00250AB3"/>
    <w:rsid w:val="00251383"/>
    <w:rsid w:val="00251854"/>
    <w:rsid w:val="002529A4"/>
    <w:rsid w:val="00252C62"/>
    <w:rsid w:val="00253E22"/>
    <w:rsid w:val="00254237"/>
    <w:rsid w:val="0025490C"/>
    <w:rsid w:val="00254B9C"/>
    <w:rsid w:val="00260C5F"/>
    <w:rsid w:val="00261C03"/>
    <w:rsid w:val="00261FC5"/>
    <w:rsid w:val="0026240F"/>
    <w:rsid w:val="0026352B"/>
    <w:rsid w:val="00263BD6"/>
    <w:rsid w:val="00265EFB"/>
    <w:rsid w:val="00266E0D"/>
    <w:rsid w:val="00267437"/>
    <w:rsid w:val="002674B1"/>
    <w:rsid w:val="00270C17"/>
    <w:rsid w:val="002719AC"/>
    <w:rsid w:val="00275C0B"/>
    <w:rsid w:val="002760F7"/>
    <w:rsid w:val="00276BB6"/>
    <w:rsid w:val="00277342"/>
    <w:rsid w:val="0028035E"/>
    <w:rsid w:val="00280386"/>
    <w:rsid w:val="00291664"/>
    <w:rsid w:val="0029257D"/>
    <w:rsid w:val="002941E6"/>
    <w:rsid w:val="002956C9"/>
    <w:rsid w:val="00296E05"/>
    <w:rsid w:val="00297264"/>
    <w:rsid w:val="002A0F67"/>
    <w:rsid w:val="002A2463"/>
    <w:rsid w:val="002A2AFC"/>
    <w:rsid w:val="002A2C06"/>
    <w:rsid w:val="002A3DFB"/>
    <w:rsid w:val="002A4955"/>
    <w:rsid w:val="002A4C7B"/>
    <w:rsid w:val="002A7621"/>
    <w:rsid w:val="002A79F0"/>
    <w:rsid w:val="002B1C61"/>
    <w:rsid w:val="002B4DD9"/>
    <w:rsid w:val="002B4F9D"/>
    <w:rsid w:val="002B55AA"/>
    <w:rsid w:val="002B6786"/>
    <w:rsid w:val="002B72F1"/>
    <w:rsid w:val="002C04A5"/>
    <w:rsid w:val="002C1974"/>
    <w:rsid w:val="002C1DD5"/>
    <w:rsid w:val="002C28AD"/>
    <w:rsid w:val="002C37DD"/>
    <w:rsid w:val="002C3A8E"/>
    <w:rsid w:val="002C3ECB"/>
    <w:rsid w:val="002C4E14"/>
    <w:rsid w:val="002C522F"/>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7555"/>
    <w:rsid w:val="00300176"/>
    <w:rsid w:val="00300551"/>
    <w:rsid w:val="00305EA9"/>
    <w:rsid w:val="003076B8"/>
    <w:rsid w:val="00310203"/>
    <w:rsid w:val="0031043B"/>
    <w:rsid w:val="0031060B"/>
    <w:rsid w:val="0031228A"/>
    <w:rsid w:val="00312B69"/>
    <w:rsid w:val="0031323B"/>
    <w:rsid w:val="00317C23"/>
    <w:rsid w:val="00320970"/>
    <w:rsid w:val="00322346"/>
    <w:rsid w:val="003224D0"/>
    <w:rsid w:val="0032556F"/>
    <w:rsid w:val="00325786"/>
    <w:rsid w:val="0032599C"/>
    <w:rsid w:val="003265C0"/>
    <w:rsid w:val="00326A6F"/>
    <w:rsid w:val="00326C83"/>
    <w:rsid w:val="003336E9"/>
    <w:rsid w:val="00335EE6"/>
    <w:rsid w:val="00336020"/>
    <w:rsid w:val="0033606F"/>
    <w:rsid w:val="0034037C"/>
    <w:rsid w:val="00340492"/>
    <w:rsid w:val="003404AA"/>
    <w:rsid w:val="00340769"/>
    <w:rsid w:val="00341729"/>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780E"/>
    <w:rsid w:val="00387879"/>
    <w:rsid w:val="0039160E"/>
    <w:rsid w:val="00391832"/>
    <w:rsid w:val="0039219A"/>
    <w:rsid w:val="00393F68"/>
    <w:rsid w:val="00394711"/>
    <w:rsid w:val="00395D9D"/>
    <w:rsid w:val="00396552"/>
    <w:rsid w:val="00396DD4"/>
    <w:rsid w:val="00396E0E"/>
    <w:rsid w:val="003A0D0C"/>
    <w:rsid w:val="003A2736"/>
    <w:rsid w:val="003A398E"/>
    <w:rsid w:val="003A3994"/>
    <w:rsid w:val="003A63FB"/>
    <w:rsid w:val="003A67C6"/>
    <w:rsid w:val="003A7386"/>
    <w:rsid w:val="003B164C"/>
    <w:rsid w:val="003B4AEC"/>
    <w:rsid w:val="003B628A"/>
    <w:rsid w:val="003C007F"/>
    <w:rsid w:val="003C11F6"/>
    <w:rsid w:val="003C183D"/>
    <w:rsid w:val="003C1F17"/>
    <w:rsid w:val="003C24D1"/>
    <w:rsid w:val="003C3939"/>
    <w:rsid w:val="003C39F0"/>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17A5"/>
    <w:rsid w:val="003F33D6"/>
    <w:rsid w:val="003F3CB1"/>
    <w:rsid w:val="003F3F9B"/>
    <w:rsid w:val="003F43AB"/>
    <w:rsid w:val="004041D0"/>
    <w:rsid w:val="00405587"/>
    <w:rsid w:val="004058D7"/>
    <w:rsid w:val="00406FCF"/>
    <w:rsid w:val="004079F3"/>
    <w:rsid w:val="00407A2A"/>
    <w:rsid w:val="0041065C"/>
    <w:rsid w:val="00410783"/>
    <w:rsid w:val="00413F2F"/>
    <w:rsid w:val="004140F7"/>
    <w:rsid w:val="0041753D"/>
    <w:rsid w:val="00417AB4"/>
    <w:rsid w:val="00421E46"/>
    <w:rsid w:val="0042297F"/>
    <w:rsid w:val="0042340C"/>
    <w:rsid w:val="0042443A"/>
    <w:rsid w:val="004255DC"/>
    <w:rsid w:val="00426208"/>
    <w:rsid w:val="00427B32"/>
    <w:rsid w:val="00430226"/>
    <w:rsid w:val="00433F86"/>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5847"/>
    <w:rsid w:val="00465EBD"/>
    <w:rsid w:val="00473BFA"/>
    <w:rsid w:val="00474314"/>
    <w:rsid w:val="00474435"/>
    <w:rsid w:val="0047575F"/>
    <w:rsid w:val="004769D3"/>
    <w:rsid w:val="00480623"/>
    <w:rsid w:val="00480A45"/>
    <w:rsid w:val="00483782"/>
    <w:rsid w:val="00483F77"/>
    <w:rsid w:val="00484CF7"/>
    <w:rsid w:val="00486866"/>
    <w:rsid w:val="0048733F"/>
    <w:rsid w:val="00493002"/>
    <w:rsid w:val="004953E1"/>
    <w:rsid w:val="004958EE"/>
    <w:rsid w:val="00496F34"/>
    <w:rsid w:val="004A070C"/>
    <w:rsid w:val="004A2A45"/>
    <w:rsid w:val="004A463E"/>
    <w:rsid w:val="004A6F8B"/>
    <w:rsid w:val="004A75D3"/>
    <w:rsid w:val="004B32DC"/>
    <w:rsid w:val="004B406E"/>
    <w:rsid w:val="004B46D5"/>
    <w:rsid w:val="004B489E"/>
    <w:rsid w:val="004B592C"/>
    <w:rsid w:val="004B7035"/>
    <w:rsid w:val="004B77EC"/>
    <w:rsid w:val="004C0D17"/>
    <w:rsid w:val="004C2DB8"/>
    <w:rsid w:val="004C377A"/>
    <w:rsid w:val="004C500F"/>
    <w:rsid w:val="004C5144"/>
    <w:rsid w:val="004C7F43"/>
    <w:rsid w:val="004D05E1"/>
    <w:rsid w:val="004D083F"/>
    <w:rsid w:val="004D1017"/>
    <w:rsid w:val="004D10AF"/>
    <w:rsid w:val="004D2EE5"/>
    <w:rsid w:val="004D3B3C"/>
    <w:rsid w:val="004F2D5D"/>
    <w:rsid w:val="004F34AD"/>
    <w:rsid w:val="004F37AE"/>
    <w:rsid w:val="004F3810"/>
    <w:rsid w:val="004F3ED3"/>
    <w:rsid w:val="004F6290"/>
    <w:rsid w:val="004F6A66"/>
    <w:rsid w:val="005005D8"/>
    <w:rsid w:val="005012E3"/>
    <w:rsid w:val="00503D8A"/>
    <w:rsid w:val="00505BBA"/>
    <w:rsid w:val="00511984"/>
    <w:rsid w:val="00511E6D"/>
    <w:rsid w:val="00513897"/>
    <w:rsid w:val="005168CD"/>
    <w:rsid w:val="00517BD3"/>
    <w:rsid w:val="0052029E"/>
    <w:rsid w:val="0052145B"/>
    <w:rsid w:val="00522954"/>
    <w:rsid w:val="005239BD"/>
    <w:rsid w:val="00523BFF"/>
    <w:rsid w:val="00525B3E"/>
    <w:rsid w:val="00526112"/>
    <w:rsid w:val="005261D8"/>
    <w:rsid w:val="0053124D"/>
    <w:rsid w:val="00531825"/>
    <w:rsid w:val="00531A75"/>
    <w:rsid w:val="0053266B"/>
    <w:rsid w:val="00533D03"/>
    <w:rsid w:val="005347A4"/>
    <w:rsid w:val="00536139"/>
    <w:rsid w:val="00536610"/>
    <w:rsid w:val="00536B5E"/>
    <w:rsid w:val="00536EBE"/>
    <w:rsid w:val="00537299"/>
    <w:rsid w:val="005374F6"/>
    <w:rsid w:val="00541DE2"/>
    <w:rsid w:val="0054261F"/>
    <w:rsid w:val="0054481A"/>
    <w:rsid w:val="0054610C"/>
    <w:rsid w:val="0054766B"/>
    <w:rsid w:val="005507A2"/>
    <w:rsid w:val="00550D56"/>
    <w:rsid w:val="00551D2D"/>
    <w:rsid w:val="00551DDC"/>
    <w:rsid w:val="00552E5E"/>
    <w:rsid w:val="005538AF"/>
    <w:rsid w:val="00553B53"/>
    <w:rsid w:val="00554203"/>
    <w:rsid w:val="005612D9"/>
    <w:rsid w:val="005639DF"/>
    <w:rsid w:val="005719BB"/>
    <w:rsid w:val="00572500"/>
    <w:rsid w:val="00574C4A"/>
    <w:rsid w:val="0057661C"/>
    <w:rsid w:val="005772D5"/>
    <w:rsid w:val="00581B52"/>
    <w:rsid w:val="00581E8E"/>
    <w:rsid w:val="0058243A"/>
    <w:rsid w:val="0058367E"/>
    <w:rsid w:val="00584D90"/>
    <w:rsid w:val="0058750D"/>
    <w:rsid w:val="00587D4D"/>
    <w:rsid w:val="005945B8"/>
    <w:rsid w:val="005946BA"/>
    <w:rsid w:val="005950EE"/>
    <w:rsid w:val="0059638C"/>
    <w:rsid w:val="00597ACE"/>
    <w:rsid w:val="005A3AC4"/>
    <w:rsid w:val="005A3FF9"/>
    <w:rsid w:val="005A6A3C"/>
    <w:rsid w:val="005A79AD"/>
    <w:rsid w:val="005B0A25"/>
    <w:rsid w:val="005B2160"/>
    <w:rsid w:val="005B4A17"/>
    <w:rsid w:val="005B5932"/>
    <w:rsid w:val="005B6A5B"/>
    <w:rsid w:val="005B7945"/>
    <w:rsid w:val="005B7C87"/>
    <w:rsid w:val="005C1025"/>
    <w:rsid w:val="005C1BA6"/>
    <w:rsid w:val="005C1D5F"/>
    <w:rsid w:val="005C42AC"/>
    <w:rsid w:val="005C59BC"/>
    <w:rsid w:val="005C6B63"/>
    <w:rsid w:val="005C7115"/>
    <w:rsid w:val="005C7B11"/>
    <w:rsid w:val="005D0BE3"/>
    <w:rsid w:val="005D2E52"/>
    <w:rsid w:val="005D348F"/>
    <w:rsid w:val="005D383B"/>
    <w:rsid w:val="005D6413"/>
    <w:rsid w:val="005D6BEB"/>
    <w:rsid w:val="005E5EB2"/>
    <w:rsid w:val="005F1398"/>
    <w:rsid w:val="005F1582"/>
    <w:rsid w:val="005F1E0D"/>
    <w:rsid w:val="005F2095"/>
    <w:rsid w:val="005F272A"/>
    <w:rsid w:val="005F3B29"/>
    <w:rsid w:val="005F53BA"/>
    <w:rsid w:val="005F60A6"/>
    <w:rsid w:val="005F6D25"/>
    <w:rsid w:val="006034E1"/>
    <w:rsid w:val="00603940"/>
    <w:rsid w:val="00603FEB"/>
    <w:rsid w:val="0060479B"/>
    <w:rsid w:val="00604932"/>
    <w:rsid w:val="006059ED"/>
    <w:rsid w:val="00605F7E"/>
    <w:rsid w:val="006157C7"/>
    <w:rsid w:val="006161DE"/>
    <w:rsid w:val="006201BE"/>
    <w:rsid w:val="00620FE6"/>
    <w:rsid w:val="006211E3"/>
    <w:rsid w:val="00621A41"/>
    <w:rsid w:val="00624EB5"/>
    <w:rsid w:val="00624FF8"/>
    <w:rsid w:val="006272D8"/>
    <w:rsid w:val="006303F7"/>
    <w:rsid w:val="006306D8"/>
    <w:rsid w:val="00631E87"/>
    <w:rsid w:val="00632CBA"/>
    <w:rsid w:val="00634165"/>
    <w:rsid w:val="00637766"/>
    <w:rsid w:val="006417C1"/>
    <w:rsid w:val="00642E05"/>
    <w:rsid w:val="00642E76"/>
    <w:rsid w:val="00644C87"/>
    <w:rsid w:val="006463FF"/>
    <w:rsid w:val="00652737"/>
    <w:rsid w:val="00652DC1"/>
    <w:rsid w:val="006541BF"/>
    <w:rsid w:val="0065426A"/>
    <w:rsid w:val="00655F0D"/>
    <w:rsid w:val="006561AF"/>
    <w:rsid w:val="00656C83"/>
    <w:rsid w:val="00657C57"/>
    <w:rsid w:val="006606D4"/>
    <w:rsid w:val="0066320C"/>
    <w:rsid w:val="006653DB"/>
    <w:rsid w:val="00667CEB"/>
    <w:rsid w:val="0067269D"/>
    <w:rsid w:val="00675D24"/>
    <w:rsid w:val="00676BD5"/>
    <w:rsid w:val="006817AD"/>
    <w:rsid w:val="00691D18"/>
    <w:rsid w:val="00694D98"/>
    <w:rsid w:val="00694FB2"/>
    <w:rsid w:val="00695304"/>
    <w:rsid w:val="006959C7"/>
    <w:rsid w:val="006A341E"/>
    <w:rsid w:val="006A4A06"/>
    <w:rsid w:val="006A5F54"/>
    <w:rsid w:val="006A61BC"/>
    <w:rsid w:val="006A6856"/>
    <w:rsid w:val="006B2BEA"/>
    <w:rsid w:val="006B3E8A"/>
    <w:rsid w:val="006B6BD1"/>
    <w:rsid w:val="006B7501"/>
    <w:rsid w:val="006C2217"/>
    <w:rsid w:val="006C336E"/>
    <w:rsid w:val="006C3B5D"/>
    <w:rsid w:val="006C5E47"/>
    <w:rsid w:val="006D0E12"/>
    <w:rsid w:val="006D1E78"/>
    <w:rsid w:val="006D5EDF"/>
    <w:rsid w:val="006E0078"/>
    <w:rsid w:val="006E0760"/>
    <w:rsid w:val="006E2C05"/>
    <w:rsid w:val="006E58F5"/>
    <w:rsid w:val="006E6FAF"/>
    <w:rsid w:val="006E7B5C"/>
    <w:rsid w:val="006F0DF6"/>
    <w:rsid w:val="006F200A"/>
    <w:rsid w:val="006F2263"/>
    <w:rsid w:val="006F2389"/>
    <w:rsid w:val="006F26D8"/>
    <w:rsid w:val="006F4168"/>
    <w:rsid w:val="006F6411"/>
    <w:rsid w:val="00700863"/>
    <w:rsid w:val="007012EC"/>
    <w:rsid w:val="007017DC"/>
    <w:rsid w:val="00701D5C"/>
    <w:rsid w:val="0070276C"/>
    <w:rsid w:val="007027B5"/>
    <w:rsid w:val="00702DCC"/>
    <w:rsid w:val="00705EA9"/>
    <w:rsid w:val="00706C80"/>
    <w:rsid w:val="00706F94"/>
    <w:rsid w:val="00707E84"/>
    <w:rsid w:val="007154E1"/>
    <w:rsid w:val="007155C3"/>
    <w:rsid w:val="0071673C"/>
    <w:rsid w:val="007177B5"/>
    <w:rsid w:val="007177FD"/>
    <w:rsid w:val="00720B11"/>
    <w:rsid w:val="00723160"/>
    <w:rsid w:val="00724971"/>
    <w:rsid w:val="00725439"/>
    <w:rsid w:val="00727CC5"/>
    <w:rsid w:val="0073041B"/>
    <w:rsid w:val="007310F1"/>
    <w:rsid w:val="00732D3C"/>
    <w:rsid w:val="00732ECD"/>
    <w:rsid w:val="00735077"/>
    <w:rsid w:val="00737724"/>
    <w:rsid w:val="00740D50"/>
    <w:rsid w:val="00741E8A"/>
    <w:rsid w:val="00742B0B"/>
    <w:rsid w:val="007463B2"/>
    <w:rsid w:val="007469AC"/>
    <w:rsid w:val="00747269"/>
    <w:rsid w:val="00753EA9"/>
    <w:rsid w:val="00761FF8"/>
    <w:rsid w:val="007639D5"/>
    <w:rsid w:val="0076596A"/>
    <w:rsid w:val="00767475"/>
    <w:rsid w:val="007700CE"/>
    <w:rsid w:val="00771043"/>
    <w:rsid w:val="00774123"/>
    <w:rsid w:val="00775632"/>
    <w:rsid w:val="007804B7"/>
    <w:rsid w:val="007920B1"/>
    <w:rsid w:val="0079282B"/>
    <w:rsid w:val="00793175"/>
    <w:rsid w:val="00793660"/>
    <w:rsid w:val="0079446A"/>
    <w:rsid w:val="007978AF"/>
    <w:rsid w:val="007A07DD"/>
    <w:rsid w:val="007A0911"/>
    <w:rsid w:val="007A138E"/>
    <w:rsid w:val="007A2AF5"/>
    <w:rsid w:val="007A37B3"/>
    <w:rsid w:val="007A3B5C"/>
    <w:rsid w:val="007A7785"/>
    <w:rsid w:val="007B0011"/>
    <w:rsid w:val="007B0D9A"/>
    <w:rsid w:val="007B22A7"/>
    <w:rsid w:val="007B2807"/>
    <w:rsid w:val="007B2D4E"/>
    <w:rsid w:val="007B3406"/>
    <w:rsid w:val="007B5B41"/>
    <w:rsid w:val="007B5C09"/>
    <w:rsid w:val="007B5C1B"/>
    <w:rsid w:val="007B7EAE"/>
    <w:rsid w:val="007C0F9B"/>
    <w:rsid w:val="007C0FC7"/>
    <w:rsid w:val="007C393E"/>
    <w:rsid w:val="007C3B46"/>
    <w:rsid w:val="007C6125"/>
    <w:rsid w:val="007C6985"/>
    <w:rsid w:val="007D1A84"/>
    <w:rsid w:val="007D2560"/>
    <w:rsid w:val="007D2957"/>
    <w:rsid w:val="007E152B"/>
    <w:rsid w:val="007E1D16"/>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1E3F"/>
    <w:rsid w:val="00806A50"/>
    <w:rsid w:val="00806B8A"/>
    <w:rsid w:val="008076E2"/>
    <w:rsid w:val="0081046A"/>
    <w:rsid w:val="008113A4"/>
    <w:rsid w:val="008132F5"/>
    <w:rsid w:val="00814AF3"/>
    <w:rsid w:val="008150FA"/>
    <w:rsid w:val="00815169"/>
    <w:rsid w:val="00816D25"/>
    <w:rsid w:val="00821EA9"/>
    <w:rsid w:val="008227CE"/>
    <w:rsid w:val="00822C2F"/>
    <w:rsid w:val="008231E3"/>
    <w:rsid w:val="0082452F"/>
    <w:rsid w:val="00826D43"/>
    <w:rsid w:val="008301F3"/>
    <w:rsid w:val="008340D3"/>
    <w:rsid w:val="00837B74"/>
    <w:rsid w:val="008404D1"/>
    <w:rsid w:val="00841DFF"/>
    <w:rsid w:val="00842445"/>
    <w:rsid w:val="00843ABC"/>
    <w:rsid w:val="00844712"/>
    <w:rsid w:val="00845B66"/>
    <w:rsid w:val="00845D8F"/>
    <w:rsid w:val="00850F3E"/>
    <w:rsid w:val="0085317B"/>
    <w:rsid w:val="00853643"/>
    <w:rsid w:val="0085446E"/>
    <w:rsid w:val="00861B67"/>
    <w:rsid w:val="00862969"/>
    <w:rsid w:val="00864978"/>
    <w:rsid w:val="00864BBA"/>
    <w:rsid w:val="00865E6C"/>
    <w:rsid w:val="00867D59"/>
    <w:rsid w:val="0087012E"/>
    <w:rsid w:val="008715F2"/>
    <w:rsid w:val="00871ADB"/>
    <w:rsid w:val="008755AA"/>
    <w:rsid w:val="00875FD5"/>
    <w:rsid w:val="00876654"/>
    <w:rsid w:val="0087702E"/>
    <w:rsid w:val="00880163"/>
    <w:rsid w:val="0088041C"/>
    <w:rsid w:val="008805A7"/>
    <w:rsid w:val="0088067A"/>
    <w:rsid w:val="00881BB4"/>
    <w:rsid w:val="00881F90"/>
    <w:rsid w:val="0088370E"/>
    <w:rsid w:val="00883B6B"/>
    <w:rsid w:val="00884B4D"/>
    <w:rsid w:val="0088528E"/>
    <w:rsid w:val="00887DBB"/>
    <w:rsid w:val="0089121D"/>
    <w:rsid w:val="00891640"/>
    <w:rsid w:val="008919A4"/>
    <w:rsid w:val="00892F48"/>
    <w:rsid w:val="008932A0"/>
    <w:rsid w:val="00893655"/>
    <w:rsid w:val="008969B0"/>
    <w:rsid w:val="008A503B"/>
    <w:rsid w:val="008A5185"/>
    <w:rsid w:val="008A5626"/>
    <w:rsid w:val="008A58CE"/>
    <w:rsid w:val="008A6950"/>
    <w:rsid w:val="008A7838"/>
    <w:rsid w:val="008B579C"/>
    <w:rsid w:val="008C4B8B"/>
    <w:rsid w:val="008C5A76"/>
    <w:rsid w:val="008C63D3"/>
    <w:rsid w:val="008D1CF1"/>
    <w:rsid w:val="008D2F54"/>
    <w:rsid w:val="008D50FB"/>
    <w:rsid w:val="008D61DF"/>
    <w:rsid w:val="008D69BA"/>
    <w:rsid w:val="008E2FEE"/>
    <w:rsid w:val="008E3542"/>
    <w:rsid w:val="008E44F8"/>
    <w:rsid w:val="008E4F65"/>
    <w:rsid w:val="008E5931"/>
    <w:rsid w:val="008E63CD"/>
    <w:rsid w:val="008E6B23"/>
    <w:rsid w:val="008F1385"/>
    <w:rsid w:val="008F22AB"/>
    <w:rsid w:val="008F3E74"/>
    <w:rsid w:val="008F5EE8"/>
    <w:rsid w:val="008F7441"/>
    <w:rsid w:val="008F78EA"/>
    <w:rsid w:val="0090071E"/>
    <w:rsid w:val="00900AD0"/>
    <w:rsid w:val="009038ED"/>
    <w:rsid w:val="0090527D"/>
    <w:rsid w:val="00906084"/>
    <w:rsid w:val="009062EF"/>
    <w:rsid w:val="0090652B"/>
    <w:rsid w:val="00906E39"/>
    <w:rsid w:val="00910BE4"/>
    <w:rsid w:val="00911958"/>
    <w:rsid w:val="009132F3"/>
    <w:rsid w:val="009141A4"/>
    <w:rsid w:val="0091495D"/>
    <w:rsid w:val="00914D7A"/>
    <w:rsid w:val="00915F3E"/>
    <w:rsid w:val="00917404"/>
    <w:rsid w:val="009207F3"/>
    <w:rsid w:val="00921ACE"/>
    <w:rsid w:val="00921DB1"/>
    <w:rsid w:val="00924E3D"/>
    <w:rsid w:val="00927612"/>
    <w:rsid w:val="0092770A"/>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5572"/>
    <w:rsid w:val="00966F66"/>
    <w:rsid w:val="00971C38"/>
    <w:rsid w:val="0097213E"/>
    <w:rsid w:val="0097321C"/>
    <w:rsid w:val="00974797"/>
    <w:rsid w:val="00975403"/>
    <w:rsid w:val="00975BA9"/>
    <w:rsid w:val="0097746A"/>
    <w:rsid w:val="00981224"/>
    <w:rsid w:val="00983F79"/>
    <w:rsid w:val="00984A60"/>
    <w:rsid w:val="00985A23"/>
    <w:rsid w:val="0098668C"/>
    <w:rsid w:val="00987E8E"/>
    <w:rsid w:val="0099142B"/>
    <w:rsid w:val="009915A2"/>
    <w:rsid w:val="0099205E"/>
    <w:rsid w:val="00992442"/>
    <w:rsid w:val="009939D6"/>
    <w:rsid w:val="00995CC1"/>
    <w:rsid w:val="009969BD"/>
    <w:rsid w:val="009977B3"/>
    <w:rsid w:val="00997E2F"/>
    <w:rsid w:val="009A4919"/>
    <w:rsid w:val="009B166A"/>
    <w:rsid w:val="009B36B1"/>
    <w:rsid w:val="009B5925"/>
    <w:rsid w:val="009B5D9A"/>
    <w:rsid w:val="009B72C4"/>
    <w:rsid w:val="009C1A30"/>
    <w:rsid w:val="009C268C"/>
    <w:rsid w:val="009C74A5"/>
    <w:rsid w:val="009D0C4D"/>
    <w:rsid w:val="009D0DA1"/>
    <w:rsid w:val="009D34C0"/>
    <w:rsid w:val="009E0AC6"/>
    <w:rsid w:val="009E0B41"/>
    <w:rsid w:val="009E1EA4"/>
    <w:rsid w:val="009E31EF"/>
    <w:rsid w:val="009E4593"/>
    <w:rsid w:val="009E5CA6"/>
    <w:rsid w:val="009E6DA1"/>
    <w:rsid w:val="009F060C"/>
    <w:rsid w:val="009F0F7A"/>
    <w:rsid w:val="009F1FA7"/>
    <w:rsid w:val="009F3BDF"/>
    <w:rsid w:val="009F620F"/>
    <w:rsid w:val="00A039C6"/>
    <w:rsid w:val="00A0462D"/>
    <w:rsid w:val="00A064FC"/>
    <w:rsid w:val="00A06FBD"/>
    <w:rsid w:val="00A07542"/>
    <w:rsid w:val="00A107A5"/>
    <w:rsid w:val="00A10CA9"/>
    <w:rsid w:val="00A10CE7"/>
    <w:rsid w:val="00A12A11"/>
    <w:rsid w:val="00A13D6C"/>
    <w:rsid w:val="00A1696C"/>
    <w:rsid w:val="00A16F11"/>
    <w:rsid w:val="00A17A58"/>
    <w:rsid w:val="00A22978"/>
    <w:rsid w:val="00A244B1"/>
    <w:rsid w:val="00A249AF"/>
    <w:rsid w:val="00A26CA7"/>
    <w:rsid w:val="00A3104B"/>
    <w:rsid w:val="00A31BC8"/>
    <w:rsid w:val="00A32B3E"/>
    <w:rsid w:val="00A32CDF"/>
    <w:rsid w:val="00A33BDB"/>
    <w:rsid w:val="00A35491"/>
    <w:rsid w:val="00A4253D"/>
    <w:rsid w:val="00A42A6B"/>
    <w:rsid w:val="00A44168"/>
    <w:rsid w:val="00A458E0"/>
    <w:rsid w:val="00A4673D"/>
    <w:rsid w:val="00A46C32"/>
    <w:rsid w:val="00A54078"/>
    <w:rsid w:val="00A56831"/>
    <w:rsid w:val="00A575B0"/>
    <w:rsid w:val="00A575F5"/>
    <w:rsid w:val="00A61D98"/>
    <w:rsid w:val="00A621ED"/>
    <w:rsid w:val="00A64EB2"/>
    <w:rsid w:val="00A65D0F"/>
    <w:rsid w:val="00A65D7A"/>
    <w:rsid w:val="00A66836"/>
    <w:rsid w:val="00A718FA"/>
    <w:rsid w:val="00A7265B"/>
    <w:rsid w:val="00A72E13"/>
    <w:rsid w:val="00A733D7"/>
    <w:rsid w:val="00A755DE"/>
    <w:rsid w:val="00A75E1A"/>
    <w:rsid w:val="00A76C6D"/>
    <w:rsid w:val="00A778EA"/>
    <w:rsid w:val="00A831DC"/>
    <w:rsid w:val="00A855BD"/>
    <w:rsid w:val="00A86E59"/>
    <w:rsid w:val="00A90C28"/>
    <w:rsid w:val="00A914E9"/>
    <w:rsid w:val="00A91618"/>
    <w:rsid w:val="00A92F4D"/>
    <w:rsid w:val="00A9585B"/>
    <w:rsid w:val="00A95D10"/>
    <w:rsid w:val="00A9686B"/>
    <w:rsid w:val="00A979C6"/>
    <w:rsid w:val="00AA3CDD"/>
    <w:rsid w:val="00AA6B6B"/>
    <w:rsid w:val="00AA708E"/>
    <w:rsid w:val="00AA7926"/>
    <w:rsid w:val="00AB0008"/>
    <w:rsid w:val="00AC071F"/>
    <w:rsid w:val="00AC1EF7"/>
    <w:rsid w:val="00AC23EC"/>
    <w:rsid w:val="00AC2B2D"/>
    <w:rsid w:val="00AC2C68"/>
    <w:rsid w:val="00AC3DAD"/>
    <w:rsid w:val="00AC53E1"/>
    <w:rsid w:val="00AC597D"/>
    <w:rsid w:val="00AC617A"/>
    <w:rsid w:val="00AD0455"/>
    <w:rsid w:val="00AD051D"/>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D9"/>
    <w:rsid w:val="00AF24DB"/>
    <w:rsid w:val="00AF2574"/>
    <w:rsid w:val="00AF2C09"/>
    <w:rsid w:val="00B0176E"/>
    <w:rsid w:val="00B02804"/>
    <w:rsid w:val="00B03698"/>
    <w:rsid w:val="00B05CB0"/>
    <w:rsid w:val="00B0776C"/>
    <w:rsid w:val="00B105F7"/>
    <w:rsid w:val="00B10ECF"/>
    <w:rsid w:val="00B117F9"/>
    <w:rsid w:val="00B143DF"/>
    <w:rsid w:val="00B176FE"/>
    <w:rsid w:val="00B21828"/>
    <w:rsid w:val="00B21E1C"/>
    <w:rsid w:val="00B2640B"/>
    <w:rsid w:val="00B26DEC"/>
    <w:rsid w:val="00B274C6"/>
    <w:rsid w:val="00B316A5"/>
    <w:rsid w:val="00B33BAE"/>
    <w:rsid w:val="00B40C2F"/>
    <w:rsid w:val="00B412D1"/>
    <w:rsid w:val="00B41F06"/>
    <w:rsid w:val="00B430AD"/>
    <w:rsid w:val="00B43524"/>
    <w:rsid w:val="00B441CC"/>
    <w:rsid w:val="00B45B8D"/>
    <w:rsid w:val="00B4687B"/>
    <w:rsid w:val="00B477EF"/>
    <w:rsid w:val="00B5303C"/>
    <w:rsid w:val="00B558BA"/>
    <w:rsid w:val="00B63CE9"/>
    <w:rsid w:val="00B66383"/>
    <w:rsid w:val="00B66678"/>
    <w:rsid w:val="00B71432"/>
    <w:rsid w:val="00B72C29"/>
    <w:rsid w:val="00B730BB"/>
    <w:rsid w:val="00B82858"/>
    <w:rsid w:val="00B828B6"/>
    <w:rsid w:val="00B85756"/>
    <w:rsid w:val="00B86E93"/>
    <w:rsid w:val="00B870E5"/>
    <w:rsid w:val="00B91476"/>
    <w:rsid w:val="00B9347E"/>
    <w:rsid w:val="00B93837"/>
    <w:rsid w:val="00B947D5"/>
    <w:rsid w:val="00B96C65"/>
    <w:rsid w:val="00BA07B3"/>
    <w:rsid w:val="00BA610C"/>
    <w:rsid w:val="00BB35BC"/>
    <w:rsid w:val="00BC03EF"/>
    <w:rsid w:val="00BC05C3"/>
    <w:rsid w:val="00BC10E3"/>
    <w:rsid w:val="00BC435A"/>
    <w:rsid w:val="00BC6A0B"/>
    <w:rsid w:val="00BD02AE"/>
    <w:rsid w:val="00BD1057"/>
    <w:rsid w:val="00BD1E82"/>
    <w:rsid w:val="00BD1EA6"/>
    <w:rsid w:val="00BD33CF"/>
    <w:rsid w:val="00BD48E2"/>
    <w:rsid w:val="00BD4D0C"/>
    <w:rsid w:val="00BD563F"/>
    <w:rsid w:val="00BE0BD9"/>
    <w:rsid w:val="00BE1CE7"/>
    <w:rsid w:val="00BE2594"/>
    <w:rsid w:val="00BE26F1"/>
    <w:rsid w:val="00BE72B7"/>
    <w:rsid w:val="00BE741D"/>
    <w:rsid w:val="00BE7849"/>
    <w:rsid w:val="00BE79C9"/>
    <w:rsid w:val="00BF249B"/>
    <w:rsid w:val="00BF2C50"/>
    <w:rsid w:val="00BF4628"/>
    <w:rsid w:val="00BF7A8A"/>
    <w:rsid w:val="00C00BBA"/>
    <w:rsid w:val="00C0131F"/>
    <w:rsid w:val="00C03C2F"/>
    <w:rsid w:val="00C03D2B"/>
    <w:rsid w:val="00C061B2"/>
    <w:rsid w:val="00C06A62"/>
    <w:rsid w:val="00C10486"/>
    <w:rsid w:val="00C137F2"/>
    <w:rsid w:val="00C14E1D"/>
    <w:rsid w:val="00C16133"/>
    <w:rsid w:val="00C21149"/>
    <w:rsid w:val="00C221BD"/>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FEA"/>
    <w:rsid w:val="00C532C8"/>
    <w:rsid w:val="00C54B5E"/>
    <w:rsid w:val="00C54FB2"/>
    <w:rsid w:val="00C57812"/>
    <w:rsid w:val="00C57FBC"/>
    <w:rsid w:val="00C611A3"/>
    <w:rsid w:val="00C61A40"/>
    <w:rsid w:val="00C61AF0"/>
    <w:rsid w:val="00C64019"/>
    <w:rsid w:val="00C667EE"/>
    <w:rsid w:val="00C66ACE"/>
    <w:rsid w:val="00C70840"/>
    <w:rsid w:val="00C70AC7"/>
    <w:rsid w:val="00C70C05"/>
    <w:rsid w:val="00C71776"/>
    <w:rsid w:val="00C7319F"/>
    <w:rsid w:val="00C739C2"/>
    <w:rsid w:val="00C73A40"/>
    <w:rsid w:val="00C757AB"/>
    <w:rsid w:val="00C75B8F"/>
    <w:rsid w:val="00C75DDB"/>
    <w:rsid w:val="00C7779C"/>
    <w:rsid w:val="00C814F1"/>
    <w:rsid w:val="00C835FB"/>
    <w:rsid w:val="00C846B1"/>
    <w:rsid w:val="00C8550E"/>
    <w:rsid w:val="00C85A38"/>
    <w:rsid w:val="00C90FB6"/>
    <w:rsid w:val="00C93A2D"/>
    <w:rsid w:val="00C94BBC"/>
    <w:rsid w:val="00C957A6"/>
    <w:rsid w:val="00C95B24"/>
    <w:rsid w:val="00C96A98"/>
    <w:rsid w:val="00C973AE"/>
    <w:rsid w:val="00C9746F"/>
    <w:rsid w:val="00CA1AE1"/>
    <w:rsid w:val="00CA53CE"/>
    <w:rsid w:val="00CA5B86"/>
    <w:rsid w:val="00CB2E00"/>
    <w:rsid w:val="00CB58C3"/>
    <w:rsid w:val="00CB758D"/>
    <w:rsid w:val="00CB7A0D"/>
    <w:rsid w:val="00CC4553"/>
    <w:rsid w:val="00CD037E"/>
    <w:rsid w:val="00CD14DF"/>
    <w:rsid w:val="00CD22C6"/>
    <w:rsid w:val="00CD369E"/>
    <w:rsid w:val="00CD5263"/>
    <w:rsid w:val="00CE2AB5"/>
    <w:rsid w:val="00CE6F95"/>
    <w:rsid w:val="00CF061B"/>
    <w:rsid w:val="00CF0D21"/>
    <w:rsid w:val="00CF0FEA"/>
    <w:rsid w:val="00CF1DB8"/>
    <w:rsid w:val="00CF22D9"/>
    <w:rsid w:val="00CF2301"/>
    <w:rsid w:val="00D01436"/>
    <w:rsid w:val="00D028C8"/>
    <w:rsid w:val="00D02FA8"/>
    <w:rsid w:val="00D03A3C"/>
    <w:rsid w:val="00D04686"/>
    <w:rsid w:val="00D05B8F"/>
    <w:rsid w:val="00D064D4"/>
    <w:rsid w:val="00D1102E"/>
    <w:rsid w:val="00D11CB6"/>
    <w:rsid w:val="00D124B3"/>
    <w:rsid w:val="00D13275"/>
    <w:rsid w:val="00D1660D"/>
    <w:rsid w:val="00D166D9"/>
    <w:rsid w:val="00D16AE3"/>
    <w:rsid w:val="00D2535D"/>
    <w:rsid w:val="00D25CD8"/>
    <w:rsid w:val="00D26C0F"/>
    <w:rsid w:val="00D30DAF"/>
    <w:rsid w:val="00D3262A"/>
    <w:rsid w:val="00D348E4"/>
    <w:rsid w:val="00D35203"/>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B78"/>
    <w:rsid w:val="00D643C0"/>
    <w:rsid w:val="00D67C11"/>
    <w:rsid w:val="00D706BD"/>
    <w:rsid w:val="00D71457"/>
    <w:rsid w:val="00D7215A"/>
    <w:rsid w:val="00D721ED"/>
    <w:rsid w:val="00D727BC"/>
    <w:rsid w:val="00D72F12"/>
    <w:rsid w:val="00D74651"/>
    <w:rsid w:val="00D75F20"/>
    <w:rsid w:val="00D8289C"/>
    <w:rsid w:val="00D82D27"/>
    <w:rsid w:val="00D847FB"/>
    <w:rsid w:val="00D868A7"/>
    <w:rsid w:val="00D87887"/>
    <w:rsid w:val="00D8793C"/>
    <w:rsid w:val="00D90B9A"/>
    <w:rsid w:val="00D915B6"/>
    <w:rsid w:val="00D945AB"/>
    <w:rsid w:val="00D96387"/>
    <w:rsid w:val="00DA1C65"/>
    <w:rsid w:val="00DA4BA4"/>
    <w:rsid w:val="00DA4CE4"/>
    <w:rsid w:val="00DA6E95"/>
    <w:rsid w:val="00DB11F1"/>
    <w:rsid w:val="00DB3336"/>
    <w:rsid w:val="00DB41B0"/>
    <w:rsid w:val="00DB5372"/>
    <w:rsid w:val="00DB6904"/>
    <w:rsid w:val="00DC0B1E"/>
    <w:rsid w:val="00DC1E50"/>
    <w:rsid w:val="00DC41F9"/>
    <w:rsid w:val="00DC48A5"/>
    <w:rsid w:val="00DC4BF3"/>
    <w:rsid w:val="00DC5551"/>
    <w:rsid w:val="00DD0661"/>
    <w:rsid w:val="00DD21E6"/>
    <w:rsid w:val="00DD280D"/>
    <w:rsid w:val="00DD3BB7"/>
    <w:rsid w:val="00DD473B"/>
    <w:rsid w:val="00DD604F"/>
    <w:rsid w:val="00DD791D"/>
    <w:rsid w:val="00DE194D"/>
    <w:rsid w:val="00DE2DBC"/>
    <w:rsid w:val="00DE353D"/>
    <w:rsid w:val="00DE3F6E"/>
    <w:rsid w:val="00DE4AEF"/>
    <w:rsid w:val="00DE5B0A"/>
    <w:rsid w:val="00DE5DC5"/>
    <w:rsid w:val="00DF0479"/>
    <w:rsid w:val="00DF0993"/>
    <w:rsid w:val="00DF0ADA"/>
    <w:rsid w:val="00DF1F6C"/>
    <w:rsid w:val="00DF3C09"/>
    <w:rsid w:val="00DF69D1"/>
    <w:rsid w:val="00DF7309"/>
    <w:rsid w:val="00E02284"/>
    <w:rsid w:val="00E0266B"/>
    <w:rsid w:val="00E043A8"/>
    <w:rsid w:val="00E055D4"/>
    <w:rsid w:val="00E0653D"/>
    <w:rsid w:val="00E11703"/>
    <w:rsid w:val="00E125FC"/>
    <w:rsid w:val="00E132B5"/>
    <w:rsid w:val="00E135D5"/>
    <w:rsid w:val="00E14C48"/>
    <w:rsid w:val="00E203FF"/>
    <w:rsid w:val="00E204F2"/>
    <w:rsid w:val="00E21DD4"/>
    <w:rsid w:val="00E24229"/>
    <w:rsid w:val="00E24A7F"/>
    <w:rsid w:val="00E25C7B"/>
    <w:rsid w:val="00E25E8A"/>
    <w:rsid w:val="00E26E89"/>
    <w:rsid w:val="00E274DD"/>
    <w:rsid w:val="00E3113C"/>
    <w:rsid w:val="00E31197"/>
    <w:rsid w:val="00E318EF"/>
    <w:rsid w:val="00E324F3"/>
    <w:rsid w:val="00E34FE9"/>
    <w:rsid w:val="00E35902"/>
    <w:rsid w:val="00E41296"/>
    <w:rsid w:val="00E42D55"/>
    <w:rsid w:val="00E42D6F"/>
    <w:rsid w:val="00E434C4"/>
    <w:rsid w:val="00E446B4"/>
    <w:rsid w:val="00E44882"/>
    <w:rsid w:val="00E4574E"/>
    <w:rsid w:val="00E47C1E"/>
    <w:rsid w:val="00E51A9F"/>
    <w:rsid w:val="00E52050"/>
    <w:rsid w:val="00E52476"/>
    <w:rsid w:val="00E53110"/>
    <w:rsid w:val="00E53117"/>
    <w:rsid w:val="00E55FAB"/>
    <w:rsid w:val="00E56682"/>
    <w:rsid w:val="00E57244"/>
    <w:rsid w:val="00E575C0"/>
    <w:rsid w:val="00E61830"/>
    <w:rsid w:val="00E639AA"/>
    <w:rsid w:val="00E74035"/>
    <w:rsid w:val="00E74070"/>
    <w:rsid w:val="00E759ED"/>
    <w:rsid w:val="00E76C17"/>
    <w:rsid w:val="00E77913"/>
    <w:rsid w:val="00E8050D"/>
    <w:rsid w:val="00E80B0C"/>
    <w:rsid w:val="00E825BE"/>
    <w:rsid w:val="00E853D7"/>
    <w:rsid w:val="00E853DC"/>
    <w:rsid w:val="00E91079"/>
    <w:rsid w:val="00E924D4"/>
    <w:rsid w:val="00E9274F"/>
    <w:rsid w:val="00E940EF"/>
    <w:rsid w:val="00E94351"/>
    <w:rsid w:val="00E977EB"/>
    <w:rsid w:val="00EA10A9"/>
    <w:rsid w:val="00EA1F50"/>
    <w:rsid w:val="00EA23A9"/>
    <w:rsid w:val="00EA2A84"/>
    <w:rsid w:val="00EA5D90"/>
    <w:rsid w:val="00EA7839"/>
    <w:rsid w:val="00EB18A7"/>
    <w:rsid w:val="00EB27D0"/>
    <w:rsid w:val="00EB33EF"/>
    <w:rsid w:val="00EB4830"/>
    <w:rsid w:val="00EB4C29"/>
    <w:rsid w:val="00EB4DFD"/>
    <w:rsid w:val="00EB5410"/>
    <w:rsid w:val="00EB5DF3"/>
    <w:rsid w:val="00EB7483"/>
    <w:rsid w:val="00EC40B1"/>
    <w:rsid w:val="00EC60F1"/>
    <w:rsid w:val="00EC65C3"/>
    <w:rsid w:val="00ED237F"/>
    <w:rsid w:val="00ED2DED"/>
    <w:rsid w:val="00ED3292"/>
    <w:rsid w:val="00ED39A0"/>
    <w:rsid w:val="00ED3F78"/>
    <w:rsid w:val="00ED4AE1"/>
    <w:rsid w:val="00ED7532"/>
    <w:rsid w:val="00EE6BE8"/>
    <w:rsid w:val="00EE7507"/>
    <w:rsid w:val="00EF2D87"/>
    <w:rsid w:val="00EF3B4A"/>
    <w:rsid w:val="00EF3C6E"/>
    <w:rsid w:val="00EF5ADA"/>
    <w:rsid w:val="00EF5E02"/>
    <w:rsid w:val="00EF6133"/>
    <w:rsid w:val="00F01361"/>
    <w:rsid w:val="00F01682"/>
    <w:rsid w:val="00F0288C"/>
    <w:rsid w:val="00F031F0"/>
    <w:rsid w:val="00F0321B"/>
    <w:rsid w:val="00F04282"/>
    <w:rsid w:val="00F051FD"/>
    <w:rsid w:val="00F05F18"/>
    <w:rsid w:val="00F06D35"/>
    <w:rsid w:val="00F10AC3"/>
    <w:rsid w:val="00F11CDA"/>
    <w:rsid w:val="00F14A46"/>
    <w:rsid w:val="00F16D7A"/>
    <w:rsid w:val="00F16EE8"/>
    <w:rsid w:val="00F232CC"/>
    <w:rsid w:val="00F23C98"/>
    <w:rsid w:val="00F23D7E"/>
    <w:rsid w:val="00F23E6F"/>
    <w:rsid w:val="00F2562E"/>
    <w:rsid w:val="00F266D4"/>
    <w:rsid w:val="00F26900"/>
    <w:rsid w:val="00F27645"/>
    <w:rsid w:val="00F30584"/>
    <w:rsid w:val="00F3075C"/>
    <w:rsid w:val="00F30D81"/>
    <w:rsid w:val="00F31DC0"/>
    <w:rsid w:val="00F321DD"/>
    <w:rsid w:val="00F32A65"/>
    <w:rsid w:val="00F33E46"/>
    <w:rsid w:val="00F35268"/>
    <w:rsid w:val="00F36218"/>
    <w:rsid w:val="00F40B3B"/>
    <w:rsid w:val="00F42D71"/>
    <w:rsid w:val="00F43D58"/>
    <w:rsid w:val="00F471D3"/>
    <w:rsid w:val="00F55DB5"/>
    <w:rsid w:val="00F56F7A"/>
    <w:rsid w:val="00F57C7B"/>
    <w:rsid w:val="00F57F10"/>
    <w:rsid w:val="00F608D1"/>
    <w:rsid w:val="00F614AC"/>
    <w:rsid w:val="00F62D81"/>
    <w:rsid w:val="00F63574"/>
    <w:rsid w:val="00F63C46"/>
    <w:rsid w:val="00F64A2E"/>
    <w:rsid w:val="00F65B38"/>
    <w:rsid w:val="00F661D9"/>
    <w:rsid w:val="00F703B0"/>
    <w:rsid w:val="00F7048D"/>
    <w:rsid w:val="00F735BC"/>
    <w:rsid w:val="00F80743"/>
    <w:rsid w:val="00F81BC9"/>
    <w:rsid w:val="00F83563"/>
    <w:rsid w:val="00F8461F"/>
    <w:rsid w:val="00F84799"/>
    <w:rsid w:val="00F912AC"/>
    <w:rsid w:val="00F92432"/>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44C3"/>
    <w:rsid w:val="00FC53E3"/>
    <w:rsid w:val="00FC6239"/>
    <w:rsid w:val="00FD06F7"/>
    <w:rsid w:val="00FD4A85"/>
    <w:rsid w:val="00FD58E1"/>
    <w:rsid w:val="00FE0936"/>
    <w:rsid w:val="00FE12CD"/>
    <w:rsid w:val="00FE438D"/>
    <w:rsid w:val="00FE502E"/>
    <w:rsid w:val="00FE5BB0"/>
    <w:rsid w:val="00FE6896"/>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A064FC"/>
    <w:pPr>
      <w:keepNext/>
      <w:keepLines/>
      <w:spacing w:before="120" w:after="60"/>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A064FC"/>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A064FC"/>
    <w:pPr>
      <w:keepNext/>
      <w:keepLines/>
      <w:spacing w:before="120" w:after="60"/>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A064FC"/>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bit.ly/NHSAQI" TargetMode="External"/><Relationship Id="rId26"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hyperlink" Target="http://www.hscic.gov.uk/article/2021/Website-Search?q=ambulance+-accident&amp;sort=Titl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england.nhs.uk/statistics/statistical-work-areas/ambulance-quality-indicators" TargetMode="External"/><Relationship Id="rId25" Type="http://schemas.openxmlformats.org/officeDocument/2006/relationships/hyperlink" Target="http://www.dhsspsni.gov.uk/index/statistics/hospital/emergency-care/ambulance-statistics.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aace.org.uk/national-performance/national-clinical-dashboar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cottishambulance.com/TheService/BoardPapers.aspx"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ales.gov.uk/statistics-and-research/ambulance-services/?lang=en"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gov.uk/government/statistics/announcement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england.nhs.uk/statistics/statistical-work-areas/winter-daily-sitreps" TargetMode="External"/><Relationship Id="rId27" Type="http://schemas.openxmlformats.org/officeDocument/2006/relationships/hyperlink" Target="mailto:i.kay@nhs.ne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EEFE-A16F-4D82-B19B-216BFC58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2327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15905</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7</cp:revision>
  <cp:lastPrinted>2015-09-08T10:39:00Z</cp:lastPrinted>
  <dcterms:created xsi:type="dcterms:W3CDTF">2015-10-05T07:15:00Z</dcterms:created>
  <dcterms:modified xsi:type="dcterms:W3CDTF">2015-10-07T07:53:00Z</dcterms:modified>
</cp:coreProperties>
</file>