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492" w:rsidRDefault="00C21149" w:rsidP="00C96A98">
      <w:pPr>
        <w:pStyle w:val="Heading2"/>
      </w:pPr>
      <w:r>
        <w:t xml:space="preserve">Statistical Note: </w:t>
      </w:r>
      <w:r w:rsidR="00340492" w:rsidRPr="007A138E">
        <w:t>Ambulance Quality Indicators</w:t>
      </w:r>
      <w:r w:rsidR="002C522F">
        <w:t xml:space="preserve"> (AQI</w:t>
      </w:r>
      <w:r w:rsidR="00DC4BF3">
        <w:t>)</w:t>
      </w:r>
    </w:p>
    <w:p w:rsidR="004671B5" w:rsidRDefault="0058750D" w:rsidP="004671B5">
      <w:pPr>
        <w:pStyle w:val="ListBullet"/>
      </w:pPr>
      <w:r>
        <w:t xml:space="preserve">The latest </w:t>
      </w:r>
      <w:r w:rsidR="000F5FB4">
        <w:t xml:space="preserve">Systems Indicators </w:t>
      </w:r>
      <w:r w:rsidR="00BE2594">
        <w:t xml:space="preserve">for </w:t>
      </w:r>
      <w:r w:rsidR="00435354">
        <w:t>October</w:t>
      </w:r>
      <w:r w:rsidR="00F31DC0">
        <w:t xml:space="preserve"> </w:t>
      </w:r>
      <w:r w:rsidR="005A6A3C">
        <w:t xml:space="preserve">2015 for </w:t>
      </w:r>
      <w:r w:rsidR="00BE2594">
        <w:t>Ambulance Services in England</w:t>
      </w:r>
      <w:r w:rsidR="008A7838">
        <w:t xml:space="preserve"> </w:t>
      </w:r>
      <w:r w:rsidR="00B947D5">
        <w:t xml:space="preserve">showed </w:t>
      </w:r>
      <w:r w:rsidR="00360AFD">
        <w:t xml:space="preserve">the </w:t>
      </w:r>
      <w:r w:rsidR="00FA13CC">
        <w:t>standards</w:t>
      </w:r>
      <w:r w:rsidR="00892F48" w:rsidRPr="00892F48">
        <w:t xml:space="preserve"> </w:t>
      </w:r>
      <w:r w:rsidR="00FF749A">
        <w:t>in the Handbook</w:t>
      </w:r>
      <w:r w:rsidR="00FF749A">
        <w:rPr>
          <w:rStyle w:val="FootnoteReference"/>
        </w:rPr>
        <w:footnoteReference w:id="1"/>
      </w:r>
      <w:r w:rsidR="00892F48">
        <w:t xml:space="preserve"> to the NHS constitution</w:t>
      </w:r>
      <w:r w:rsidR="00B274C6" w:rsidRPr="00B274C6">
        <w:t xml:space="preserve"> </w:t>
      </w:r>
      <w:r w:rsidR="00E47A4B">
        <w:t>we</w:t>
      </w:r>
      <w:r w:rsidR="00FA13CC">
        <w:t>re not met</w:t>
      </w:r>
      <w:r w:rsidR="006034E1">
        <w:t>,</w:t>
      </w:r>
      <w:r w:rsidR="00E13867">
        <w:t xml:space="preserve"> </w:t>
      </w:r>
      <w:r w:rsidR="004671B5">
        <w:t xml:space="preserve">although there was an </w:t>
      </w:r>
      <w:r w:rsidR="00E47A4B">
        <w:t xml:space="preserve">increase in </w:t>
      </w:r>
      <w:r w:rsidR="004671B5" w:rsidRPr="004671B5">
        <w:t>calls resolved by telephone advice</w:t>
      </w:r>
      <w:r w:rsidR="00E6125B">
        <w:t>.</w:t>
      </w:r>
    </w:p>
    <w:p w:rsidR="00A575F5" w:rsidRPr="00F51851" w:rsidRDefault="0058750D" w:rsidP="00AF2CDC">
      <w:pPr>
        <w:pStyle w:val="ListBullet"/>
      </w:pPr>
      <w:r w:rsidRPr="00F51851">
        <w:t xml:space="preserve">The latest </w:t>
      </w:r>
      <w:r w:rsidR="00FF749A" w:rsidRPr="00F51851">
        <w:t>C</w:t>
      </w:r>
      <w:r w:rsidR="00966F66" w:rsidRPr="00F51851">
        <w:t xml:space="preserve">linical </w:t>
      </w:r>
      <w:r w:rsidR="00FF749A" w:rsidRPr="00F51851">
        <w:t>O</w:t>
      </w:r>
      <w:r w:rsidR="00966F66" w:rsidRPr="00F51851">
        <w:t xml:space="preserve">utcomes </w:t>
      </w:r>
      <w:r w:rsidRPr="00F51851">
        <w:t xml:space="preserve">data </w:t>
      </w:r>
      <w:r w:rsidR="00966F66" w:rsidRPr="00F51851">
        <w:t>for patients t</w:t>
      </w:r>
      <w:r w:rsidR="00FF749A" w:rsidRPr="00F51851">
        <w:t xml:space="preserve">ransported by Ambulance Services </w:t>
      </w:r>
      <w:r w:rsidR="00604932" w:rsidRPr="00F51851">
        <w:t xml:space="preserve">for </w:t>
      </w:r>
      <w:r w:rsidR="00C64DAF" w:rsidRPr="00F51851">
        <w:t>July</w:t>
      </w:r>
      <w:r w:rsidR="00F31DC0" w:rsidRPr="00F51851">
        <w:t xml:space="preserve"> </w:t>
      </w:r>
      <w:r w:rsidR="00604932" w:rsidRPr="00F51851">
        <w:t>2015</w:t>
      </w:r>
      <w:r w:rsidR="00360AFD" w:rsidRPr="00F51851">
        <w:t xml:space="preserve"> showed</w:t>
      </w:r>
      <w:r w:rsidR="00191EA9" w:rsidRPr="00F51851">
        <w:t>,</w:t>
      </w:r>
      <w:r w:rsidR="00360AFD" w:rsidRPr="00F51851">
        <w:t xml:space="preserve"> </w:t>
      </w:r>
      <w:r w:rsidR="00191EA9" w:rsidRPr="00F51851">
        <w:t xml:space="preserve">for </w:t>
      </w:r>
      <w:r w:rsidR="00AF2CDC" w:rsidRPr="00F51851">
        <w:t>patients who</w:t>
      </w:r>
      <w:r w:rsidR="00F51851" w:rsidRPr="00F51851">
        <w:t xml:space="preserve"> were assessed face to face for suspected stroke</w:t>
      </w:r>
      <w:r w:rsidR="00191EA9" w:rsidRPr="00F51851">
        <w:t>, a significant increase in the proportion</w:t>
      </w:r>
      <w:r w:rsidR="00EF2AAB" w:rsidRPr="00F51851">
        <w:t>,</w:t>
      </w:r>
      <w:r w:rsidR="00AF2CDC" w:rsidRPr="00F51851">
        <w:t xml:space="preserve"> who </w:t>
      </w:r>
      <w:r w:rsidR="00F51851" w:rsidRPr="00F51851">
        <w:t>received an appropriate care bundle.</w:t>
      </w:r>
    </w:p>
    <w:p w:rsidR="002C522F" w:rsidRDefault="002C522F" w:rsidP="00737724">
      <w:pPr>
        <w:pStyle w:val="Heading2"/>
      </w:pPr>
      <w:r>
        <w:t>A.</w:t>
      </w:r>
      <w:r>
        <w:tab/>
      </w:r>
      <w:r w:rsidR="00C3443F" w:rsidRPr="00151AF2">
        <w:t xml:space="preserve">Systems </w:t>
      </w:r>
      <w:r w:rsidR="00465847">
        <w:t>Indicators</w:t>
      </w:r>
    </w:p>
    <w:p w:rsidR="00C3443F" w:rsidRPr="00127FD0" w:rsidRDefault="0044771F" w:rsidP="002C522F">
      <w:pPr>
        <w:pStyle w:val="Heading3"/>
      </w:pPr>
      <w:r>
        <w:t>A1</w:t>
      </w:r>
      <w:r w:rsidR="0066320C">
        <w:tab/>
      </w:r>
      <w:r w:rsidR="00D3262A">
        <w:t xml:space="preserve">Emergency </w:t>
      </w:r>
      <w:r w:rsidR="0089121D" w:rsidRPr="00C21149">
        <w:t>response</w:t>
      </w:r>
      <w:r w:rsidR="00D3262A">
        <w:t xml:space="preserve"> in 8 minutes</w:t>
      </w:r>
      <w:r w:rsidR="00774123">
        <w:t xml:space="preserve"> (Figure 1)</w:t>
      </w:r>
    </w:p>
    <w:p w:rsidR="00C64DAF" w:rsidRDefault="00526112" w:rsidP="00513897">
      <w:r>
        <w:t>In</w:t>
      </w:r>
      <w:r w:rsidR="00AA7926">
        <w:t xml:space="preserve"> </w:t>
      </w:r>
      <w:r w:rsidR="00C64DAF">
        <w:t>October</w:t>
      </w:r>
      <w:r w:rsidR="00AE0B3F">
        <w:t xml:space="preserve"> </w:t>
      </w:r>
      <w:r w:rsidR="00F10AC3" w:rsidRPr="00F10AC3">
        <w:t>2015</w:t>
      </w:r>
      <w:r>
        <w:t xml:space="preserve">, </w:t>
      </w:r>
      <w:r w:rsidR="004C377A" w:rsidRPr="00513897">
        <w:t xml:space="preserve">of </w:t>
      </w:r>
      <w:proofErr w:type="gramStart"/>
      <w:r w:rsidR="004C377A" w:rsidRPr="00513897">
        <w:t>Category</w:t>
      </w:r>
      <w:r w:rsidR="0090527D" w:rsidRPr="00513897">
        <w:rPr>
          <w:rStyle w:val="FootnoteReference"/>
          <w:rFonts w:cs="Arial"/>
        </w:rPr>
        <w:footnoteReference w:id="2"/>
      </w:r>
      <w:r w:rsidR="00A07542">
        <w:t xml:space="preserve"> </w:t>
      </w:r>
      <w:r w:rsidR="008D50FB" w:rsidRPr="00513897">
        <w:t>A</w:t>
      </w:r>
      <w:proofErr w:type="gramEnd"/>
      <w:r w:rsidR="008D50FB" w:rsidRPr="00513897">
        <w:t xml:space="preserve"> Red</w:t>
      </w:r>
      <w:r w:rsidR="008D50FB">
        <w:t xml:space="preserve"> </w:t>
      </w:r>
      <w:r w:rsidR="00513897">
        <w:t>1</w:t>
      </w:r>
      <w:r w:rsidR="004C377A" w:rsidRPr="00513897">
        <w:t xml:space="preserve"> calls </w:t>
      </w:r>
      <w:r w:rsidR="00513897" w:rsidRPr="00513897">
        <w:t xml:space="preserve">in England </w:t>
      </w:r>
      <w:r w:rsidR="004C377A" w:rsidRPr="00513897">
        <w:t>res</w:t>
      </w:r>
      <w:r>
        <w:t>ulting in an emergency response, t</w:t>
      </w:r>
      <w:r w:rsidRPr="00A575B0">
        <w:t xml:space="preserve">he </w:t>
      </w:r>
      <w:r w:rsidRPr="00513897">
        <w:t xml:space="preserve">proportion </w:t>
      </w:r>
      <w:r w:rsidR="004C377A" w:rsidRPr="00513897">
        <w:t xml:space="preserve">arriving within 8 </w:t>
      </w:r>
      <w:r w:rsidR="00191AB9" w:rsidRPr="00513897">
        <w:t xml:space="preserve">minutes was </w:t>
      </w:r>
      <w:r w:rsidR="00C64DAF">
        <w:t>73</w:t>
      </w:r>
      <w:r w:rsidR="00AE0B3F">
        <w:t>.</w:t>
      </w:r>
      <w:r w:rsidR="00C64DAF">
        <w:t>3</w:t>
      </w:r>
      <w:r w:rsidR="00F3075C" w:rsidRPr="00F3075C">
        <w:t>%</w:t>
      </w:r>
      <w:r w:rsidR="00E6125B">
        <w:t>.</w:t>
      </w:r>
    </w:p>
    <w:p w:rsidR="00E924D4" w:rsidRDefault="00526112" w:rsidP="00513897">
      <w:r>
        <w:t xml:space="preserve">In </w:t>
      </w:r>
      <w:r w:rsidR="00C64DAF">
        <w:t>October</w:t>
      </w:r>
      <w:r w:rsidR="00EF5E02">
        <w:t xml:space="preserve"> </w:t>
      </w:r>
      <w:r w:rsidR="00F10AC3" w:rsidRPr="00F10AC3">
        <w:t>2015</w:t>
      </w:r>
      <w:r>
        <w:t xml:space="preserve">, </w:t>
      </w:r>
      <w:r w:rsidR="00513897" w:rsidRPr="00513897">
        <w:t xml:space="preserve">of Category </w:t>
      </w:r>
      <w:proofErr w:type="gramStart"/>
      <w:r w:rsidR="00513897" w:rsidRPr="00513897">
        <w:t>A</w:t>
      </w:r>
      <w:proofErr w:type="gramEnd"/>
      <w:r w:rsidR="00513897" w:rsidRPr="00513897">
        <w:t xml:space="preserve"> </w:t>
      </w:r>
      <w:r w:rsidR="00513897">
        <w:t>Red 2</w:t>
      </w:r>
      <w:r w:rsidR="00513897" w:rsidRPr="00513897">
        <w:t xml:space="preserve"> calls in England res</w:t>
      </w:r>
      <w:r>
        <w:t>ulting in an emergency response, t</w:t>
      </w:r>
      <w:r w:rsidRPr="00513897">
        <w:t xml:space="preserve">he proportion </w:t>
      </w:r>
      <w:r w:rsidR="00513897" w:rsidRPr="00513897">
        <w:t>arriving</w:t>
      </w:r>
      <w:r w:rsidR="00513897" w:rsidRPr="0053124D">
        <w:t xml:space="preserve"> within</w:t>
      </w:r>
      <w:r w:rsidR="00513897" w:rsidRPr="00513897">
        <w:t xml:space="preserve"> 8 minutes was </w:t>
      </w:r>
      <w:r w:rsidR="00BF5DA3">
        <w:t>68</w:t>
      </w:r>
      <w:r w:rsidR="00FE438D">
        <w:t>.</w:t>
      </w:r>
      <w:r w:rsidR="00C64DAF">
        <w:t>8</w:t>
      </w:r>
      <w:r w:rsidR="00F3075C" w:rsidRPr="00F3075C">
        <w:t>%</w:t>
      </w:r>
      <w:r w:rsidR="00E924D4">
        <w:t>.</w:t>
      </w:r>
    </w:p>
    <w:p w:rsidR="005D6413" w:rsidRDefault="00F3075C" w:rsidP="001D4F10">
      <w:r>
        <w:t>Red 2 data from</w:t>
      </w:r>
      <w:r w:rsidR="00E53117">
        <w:t xml:space="preserve"> </w:t>
      </w:r>
      <w:r w:rsidR="00B947D5">
        <w:t xml:space="preserve">February </w:t>
      </w:r>
      <w:r w:rsidR="001D4F10">
        <w:t xml:space="preserve">2015 </w:t>
      </w:r>
      <w:r w:rsidR="00FE438D">
        <w:t xml:space="preserve">onwards </w:t>
      </w:r>
      <w:r w:rsidR="001D4F10">
        <w:t xml:space="preserve">are not completely comparable </w:t>
      </w:r>
      <w:r w:rsidR="00620FE6">
        <w:t xml:space="preserve">across </w:t>
      </w:r>
      <w:r w:rsidR="001D4F10">
        <w:t>England</w:t>
      </w:r>
      <w:r w:rsidR="00620FE6">
        <w:t>; see section A2 on Dispatch on Disposition</w:t>
      </w:r>
      <w:r w:rsidR="00E6125B">
        <w:t>.</w:t>
      </w:r>
    </w:p>
    <w:p w:rsidR="00266D58" w:rsidRDefault="00E8712C" w:rsidP="001D4F10">
      <w:r>
        <w:rPr>
          <w:noProof/>
        </w:rPr>
        <w:drawing>
          <wp:inline distT="0" distB="0" distL="0" distR="0" wp14:anchorId="32CFD48E">
            <wp:extent cx="5633085" cy="2908300"/>
            <wp:effectExtent l="0" t="0" r="5715"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3085" cy="2908300"/>
                    </a:xfrm>
                    <a:prstGeom prst="rect">
                      <a:avLst/>
                    </a:prstGeom>
                    <a:noFill/>
                  </pic:spPr>
                </pic:pic>
              </a:graphicData>
            </a:graphic>
          </wp:inline>
        </w:drawing>
      </w:r>
    </w:p>
    <w:p w:rsidR="005D0BE3" w:rsidRDefault="008076E2" w:rsidP="00065771">
      <w:r>
        <w:lastRenderedPageBreak/>
        <w:t>The standard for A</w:t>
      </w:r>
      <w:r w:rsidRPr="00513897">
        <w:t xml:space="preserve">mbulance </w:t>
      </w:r>
      <w:r>
        <w:t xml:space="preserve">Services is </w:t>
      </w:r>
      <w:r w:rsidRPr="00513897">
        <w:t xml:space="preserve">to </w:t>
      </w:r>
      <w:r>
        <w:t xml:space="preserve">send an emergency response, with a defibrillator, </w:t>
      </w:r>
      <w:r w:rsidRPr="00513897">
        <w:t xml:space="preserve">within </w:t>
      </w:r>
      <w:r>
        <w:t>8</w:t>
      </w:r>
      <w:r w:rsidRPr="00513897">
        <w:t xml:space="preserve"> minutes</w:t>
      </w:r>
      <w:r w:rsidR="00F3075C">
        <w:t xml:space="preserve"> </w:t>
      </w:r>
      <w:r>
        <w:t>to 75%</w:t>
      </w:r>
      <w:r w:rsidRPr="00513897">
        <w:t xml:space="preserve"> of Category </w:t>
      </w:r>
      <w:proofErr w:type="gramStart"/>
      <w:r w:rsidRPr="00513897">
        <w:t>A</w:t>
      </w:r>
      <w:proofErr w:type="gramEnd"/>
      <w:r w:rsidRPr="00E924D4">
        <w:t xml:space="preserve"> </w:t>
      </w:r>
      <w:r w:rsidRPr="00513897">
        <w:t>calls</w:t>
      </w:r>
      <w:r>
        <w:t>. Figure 1 shows that for England,</w:t>
      </w:r>
      <w:r w:rsidR="0096283E">
        <w:t xml:space="preserve"> </w:t>
      </w:r>
      <w:r w:rsidR="002956C9">
        <w:t>Red 1</w:t>
      </w:r>
      <w:r w:rsidR="0096283E">
        <w:t xml:space="preserve"> </w:t>
      </w:r>
      <w:r w:rsidR="002350ED">
        <w:t xml:space="preserve">performance was below </w:t>
      </w:r>
      <w:r w:rsidR="0038780E">
        <w:t xml:space="preserve">75% in </w:t>
      </w:r>
      <w:r w:rsidR="002350ED">
        <w:t xml:space="preserve">the last </w:t>
      </w:r>
      <w:r w:rsidR="00C64DAF">
        <w:t>five</w:t>
      </w:r>
      <w:r w:rsidR="00426EE4">
        <w:t xml:space="preserve"> </w:t>
      </w:r>
      <w:r w:rsidR="002350ED">
        <w:t>months in a row</w:t>
      </w:r>
      <w:r w:rsidR="006C2217">
        <w:t xml:space="preserve">, </w:t>
      </w:r>
      <w:r w:rsidR="00E8712C">
        <w:t>although it</w:t>
      </w:r>
      <w:r w:rsidR="006C2217">
        <w:t xml:space="preserve"> </w:t>
      </w:r>
      <w:r w:rsidR="00C64DAF">
        <w:t>in</w:t>
      </w:r>
      <w:r w:rsidR="007310F1">
        <w:t xml:space="preserve">creased </w:t>
      </w:r>
      <w:r w:rsidR="007310F1" w:rsidRPr="007310F1">
        <w:t xml:space="preserve">to </w:t>
      </w:r>
      <w:r w:rsidR="00C64DAF">
        <w:t>73.3</w:t>
      </w:r>
      <w:r w:rsidR="005B6117">
        <w:t xml:space="preserve">% in </w:t>
      </w:r>
      <w:r w:rsidR="00C64DAF">
        <w:t>October</w:t>
      </w:r>
      <w:r w:rsidR="007310F1">
        <w:t xml:space="preserve"> </w:t>
      </w:r>
      <w:r w:rsidR="006C2217">
        <w:t>2015</w:t>
      </w:r>
      <w:r w:rsidR="00E6125B">
        <w:t>.</w:t>
      </w:r>
    </w:p>
    <w:p w:rsidR="00C54FB2" w:rsidRDefault="00643677" w:rsidP="00065771">
      <w:r>
        <w:t xml:space="preserve">For Red 1, </w:t>
      </w:r>
      <w:r w:rsidR="005B6117">
        <w:t>four</w:t>
      </w:r>
      <w:r w:rsidR="007A7785">
        <w:t xml:space="preserve"> trusts had </w:t>
      </w:r>
      <w:r w:rsidR="00F614AC">
        <w:t xml:space="preserve">proportions </w:t>
      </w:r>
      <w:r w:rsidR="007A7785">
        <w:t xml:space="preserve">exceeding 75%: </w:t>
      </w:r>
      <w:r w:rsidR="00191EA9" w:rsidRPr="00F471D3">
        <w:t>North West</w:t>
      </w:r>
      <w:r w:rsidR="00634000">
        <w:t xml:space="preserve"> (75.9</w:t>
      </w:r>
      <w:r w:rsidR="00191EA9">
        <w:t xml:space="preserve">%), </w:t>
      </w:r>
      <w:r w:rsidR="007A7785" w:rsidRPr="00F471D3">
        <w:t xml:space="preserve">West Midlands </w:t>
      </w:r>
      <w:r w:rsidR="007A7785">
        <w:t>(</w:t>
      </w:r>
      <w:r w:rsidR="00634000">
        <w:t>79.3</w:t>
      </w:r>
      <w:r w:rsidR="005A6A3C">
        <w:t>%</w:t>
      </w:r>
      <w:r w:rsidR="007A7785">
        <w:t>)</w:t>
      </w:r>
      <w:r w:rsidR="005B6117">
        <w:t>,</w:t>
      </w:r>
      <w:r w:rsidR="00191EA9" w:rsidRPr="00191EA9">
        <w:t xml:space="preserve"> </w:t>
      </w:r>
      <w:r w:rsidR="00634000">
        <w:t>South Western (76.7</w:t>
      </w:r>
      <w:r w:rsidR="00191EA9">
        <w:t>%) and</w:t>
      </w:r>
      <w:r w:rsidR="00634000">
        <w:t xml:space="preserve"> Isle of Wight (79.5</w:t>
      </w:r>
      <w:r w:rsidR="005B6117">
        <w:t>%)</w:t>
      </w:r>
      <w:r w:rsidR="00191EA9">
        <w:t>.</w:t>
      </w:r>
      <w:r w:rsidR="00F614AC">
        <w:t xml:space="preserve"> </w:t>
      </w:r>
      <w:r w:rsidR="006C2217">
        <w:t>T</w:t>
      </w:r>
      <w:r w:rsidR="00B719EE">
        <w:t>wo</w:t>
      </w:r>
      <w:r w:rsidR="007A7785">
        <w:t xml:space="preserve"> trusts had proportions of less than 70%: </w:t>
      </w:r>
      <w:r w:rsidR="00634000">
        <w:t>North East</w:t>
      </w:r>
      <w:r w:rsidR="0038780E">
        <w:t xml:space="preserve"> </w:t>
      </w:r>
      <w:r w:rsidR="00634000">
        <w:t>(63.6</w:t>
      </w:r>
      <w:r w:rsidR="007A7785">
        <w:t xml:space="preserve">%) </w:t>
      </w:r>
      <w:r w:rsidR="0038780E">
        <w:t xml:space="preserve">and </w:t>
      </w:r>
      <w:r w:rsidR="00634000">
        <w:t>East Midlands</w:t>
      </w:r>
      <w:r w:rsidR="005B6117">
        <w:t xml:space="preserve"> </w:t>
      </w:r>
      <w:r w:rsidR="00634000">
        <w:t>(66</w:t>
      </w:r>
      <w:r w:rsidR="005B6117">
        <w:t>.7</w:t>
      </w:r>
      <w:r w:rsidR="007A7785">
        <w:t>%)</w:t>
      </w:r>
      <w:r w:rsidR="00F614AC">
        <w:t>.</w:t>
      </w:r>
    </w:p>
    <w:p w:rsidR="00C54B5E" w:rsidRDefault="00620FE6" w:rsidP="00C54B5E">
      <w:pPr>
        <w:pStyle w:val="Heading3"/>
      </w:pPr>
      <w:r>
        <w:t>A</w:t>
      </w:r>
      <w:r w:rsidR="00092A97">
        <w:t>2</w:t>
      </w:r>
      <w:r>
        <w:tab/>
        <w:t xml:space="preserve">Dispatch on Disposition </w:t>
      </w:r>
      <w:r w:rsidR="001171E8">
        <w:t>(</w:t>
      </w:r>
      <w:proofErr w:type="gramStart"/>
      <w:r w:rsidR="001171E8">
        <w:t>DoD</w:t>
      </w:r>
      <w:proofErr w:type="gramEnd"/>
      <w:r w:rsidR="001171E8">
        <w:t>)</w:t>
      </w:r>
    </w:p>
    <w:p w:rsidR="008B512A" w:rsidRDefault="008B512A" w:rsidP="008B512A">
      <w:r>
        <w:t>In January 2015, the Secretary of State for Health announced</w:t>
      </w:r>
      <w:r w:rsidR="00980342">
        <w:rPr>
          <w:rStyle w:val="FootnoteReference"/>
        </w:rPr>
        <w:footnoteReference w:id="3"/>
      </w:r>
      <w:r>
        <w:t xml:space="preserve"> the </w:t>
      </w:r>
      <w:r w:rsidR="001171E8">
        <w:t xml:space="preserve">introduction of </w:t>
      </w:r>
      <w:r>
        <w:t>Dispatch on Disposition (</w:t>
      </w:r>
      <w:proofErr w:type="gramStart"/>
      <w:r>
        <w:t>DoD</w:t>
      </w:r>
      <w:proofErr w:type="gramEnd"/>
      <w:r>
        <w:t xml:space="preserve">), </w:t>
      </w:r>
      <w:r w:rsidR="008879DA">
        <w:t xml:space="preserve">allowing up to two additional minutes for </w:t>
      </w:r>
      <w:r>
        <w:t>triage (to identify the clinical situati</w:t>
      </w:r>
      <w:r w:rsidR="001171E8">
        <w:t>on and take appropriate action). This was</w:t>
      </w:r>
      <w:r>
        <w:t xml:space="preserve"> based upon clinical advice that </w:t>
      </w:r>
      <w:r w:rsidR="001171E8">
        <w:t xml:space="preserve">it </w:t>
      </w:r>
      <w:r>
        <w:t>would be likely to improve the overall outcomes for ambulance patients.</w:t>
      </w:r>
    </w:p>
    <w:p w:rsidR="008B512A" w:rsidRDefault="001171E8" w:rsidP="001171E8">
      <w:r>
        <w:t>For Red 1 calls</w:t>
      </w:r>
      <w:r w:rsidR="00E8712C">
        <w:t>,</w:t>
      </w:r>
      <w:r>
        <w:t xml:space="preserve"> the clock start time is still the instant that the telephone call connects. However, from 10 February 2015, all other </w:t>
      </w:r>
      <w:r w:rsidR="008B512A">
        <w:t>calls received by London Ambulance Service (LAS) and South We</w:t>
      </w:r>
      <w:r>
        <w:t xml:space="preserve">stern Ambulance Service (SWAS) use </w:t>
      </w:r>
      <w:proofErr w:type="gramStart"/>
      <w:r>
        <w:t>DoD</w:t>
      </w:r>
      <w:proofErr w:type="gramEnd"/>
      <w:r w:rsidR="008879DA">
        <w:t>.</w:t>
      </w:r>
    </w:p>
    <w:p w:rsidR="00540689" w:rsidRPr="00540689" w:rsidRDefault="00241092" w:rsidP="00540689">
      <w:r>
        <w:t xml:space="preserve">During October 2015, </w:t>
      </w:r>
      <w:proofErr w:type="gramStart"/>
      <w:r w:rsidR="00E8712C">
        <w:t>DoD</w:t>
      </w:r>
      <w:proofErr w:type="gramEnd"/>
      <w:r>
        <w:t xml:space="preserve"> was introduced </w:t>
      </w:r>
      <w:r w:rsidR="00E8712C">
        <w:t xml:space="preserve">in </w:t>
      </w:r>
      <w:r w:rsidR="008879DA">
        <w:t>the Ambulance Services of North East (NEAS), Yorkshire (YAS), West Midlands (WMAS) and South Central (SCAS), and the potential extra time was increased further for SWAS</w:t>
      </w:r>
      <w:r w:rsidR="0024134C">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44"/>
        <w:gridCol w:w="4536"/>
      </w:tblGrid>
      <w:tr w:rsidR="00540689" w:rsidTr="00E8712C">
        <w:trPr>
          <w:trHeight w:val="230"/>
        </w:trPr>
        <w:tc>
          <w:tcPr>
            <w:tcW w:w="4644" w:type="dxa"/>
          </w:tcPr>
          <w:p w:rsidR="00540689" w:rsidRDefault="00540689" w:rsidP="00540689">
            <w:pPr>
              <w:pStyle w:val="Heading3"/>
            </w:pPr>
            <w:r>
              <w:t>Cohort</w:t>
            </w:r>
          </w:p>
        </w:tc>
        <w:tc>
          <w:tcPr>
            <w:tcW w:w="4536" w:type="dxa"/>
          </w:tcPr>
          <w:p w:rsidR="00540689" w:rsidRDefault="00540689" w:rsidP="00540689">
            <w:pPr>
              <w:pStyle w:val="Heading3"/>
            </w:pPr>
            <w:r>
              <w:t>Clock start time, excluding Red 1</w:t>
            </w:r>
          </w:p>
        </w:tc>
      </w:tr>
      <w:tr w:rsidR="008879DA" w:rsidTr="00E8712C">
        <w:trPr>
          <w:trHeight w:val="1353"/>
        </w:trPr>
        <w:tc>
          <w:tcPr>
            <w:tcW w:w="4644" w:type="dxa"/>
          </w:tcPr>
          <w:p w:rsidR="008879DA" w:rsidRDefault="0024134C" w:rsidP="0024134C">
            <w:pPr>
              <w:pStyle w:val="NoSpacing"/>
            </w:pPr>
            <w:r>
              <w:t xml:space="preserve">LAS and SWAS </w:t>
            </w:r>
            <w:r w:rsidR="008879DA">
              <w:t>up to 10 February 2015;</w:t>
            </w:r>
          </w:p>
          <w:p w:rsidR="008879DA" w:rsidRDefault="008879DA" w:rsidP="0024134C">
            <w:pPr>
              <w:pStyle w:val="NoSpacing"/>
            </w:pPr>
            <w:r>
              <w:t>NEAS, YAS, WMAS and SCAS up to October 2015</w:t>
            </w:r>
            <w:r w:rsidR="0024134C">
              <w:t>;</w:t>
            </w:r>
          </w:p>
          <w:p w:rsidR="0024134C" w:rsidRDefault="00540689" w:rsidP="0024134C">
            <w:pPr>
              <w:pStyle w:val="NoSpacing"/>
            </w:pPr>
            <w:r>
              <w:t xml:space="preserve">continually used for </w:t>
            </w:r>
            <w:r w:rsidR="0024134C">
              <w:t>the rest of England:</w:t>
            </w:r>
          </w:p>
          <w:p w:rsidR="008879DA" w:rsidRDefault="008879DA" w:rsidP="008879DA"/>
        </w:tc>
        <w:tc>
          <w:tcPr>
            <w:tcW w:w="4536" w:type="dxa"/>
          </w:tcPr>
          <w:p w:rsidR="008879DA" w:rsidRPr="00AF2C09" w:rsidRDefault="008879DA" w:rsidP="008879DA">
            <w:pPr>
              <w:pStyle w:val="NoSpacing"/>
            </w:pPr>
            <w:r>
              <w:t>E</w:t>
            </w:r>
            <w:r w:rsidRPr="00AF2C09">
              <w:t>arliest of:</w:t>
            </w:r>
          </w:p>
          <w:p w:rsidR="008879DA" w:rsidRPr="00AF2C09" w:rsidRDefault="008879DA" w:rsidP="00540689">
            <w:pPr>
              <w:pStyle w:val="ListBullet"/>
            </w:pPr>
            <w:r w:rsidRPr="00AF2C09">
              <w:t xml:space="preserve">chief complaint or </w:t>
            </w:r>
            <w:r w:rsidR="00E8712C">
              <w:t xml:space="preserve">NHS </w:t>
            </w:r>
            <w:r w:rsidRPr="00AF2C09">
              <w:t xml:space="preserve">Pathways initial </w:t>
            </w:r>
            <w:r w:rsidR="00E8712C">
              <w:t>disposition (</w:t>
            </w:r>
            <w:proofErr w:type="spellStart"/>
            <w:r w:rsidRPr="00AF2C09">
              <w:t>D</w:t>
            </w:r>
            <w:r>
              <w:t>x</w:t>
            </w:r>
            <w:proofErr w:type="spellEnd"/>
            <w:r w:rsidR="00E8712C">
              <w:t>)</w:t>
            </w:r>
            <w:r w:rsidRPr="00AF2C09">
              <w:t xml:space="preserve"> code</w:t>
            </w:r>
            <w:r w:rsidR="00E8712C">
              <w:t xml:space="preserve"> </w:t>
            </w:r>
            <w:r w:rsidRPr="00AF2C09">
              <w:t>obtained;</w:t>
            </w:r>
          </w:p>
          <w:p w:rsidR="008879DA" w:rsidRDefault="008879DA" w:rsidP="00540689">
            <w:pPr>
              <w:pStyle w:val="ListBullet"/>
            </w:pPr>
            <w:r w:rsidRPr="00AF2C09">
              <w:t>first vehicle assigned;</w:t>
            </w:r>
          </w:p>
          <w:p w:rsidR="008879DA" w:rsidRDefault="008879DA" w:rsidP="00540689">
            <w:pPr>
              <w:pStyle w:val="ListBullet"/>
            </w:pPr>
            <w:r>
              <w:t>60 seconds after c</w:t>
            </w:r>
            <w:r w:rsidRPr="00AF2C09">
              <w:t xml:space="preserve">all </w:t>
            </w:r>
            <w:r>
              <w:t>c</w:t>
            </w:r>
            <w:r w:rsidRPr="00AF2C09">
              <w:t>onnect</w:t>
            </w:r>
            <w:r w:rsidR="0024134C">
              <w:t>.</w:t>
            </w:r>
          </w:p>
        </w:tc>
      </w:tr>
      <w:tr w:rsidR="008879DA" w:rsidTr="00E8712C">
        <w:tc>
          <w:tcPr>
            <w:tcW w:w="4644" w:type="dxa"/>
          </w:tcPr>
          <w:p w:rsidR="0024134C" w:rsidRDefault="008879DA" w:rsidP="0024134C">
            <w:pPr>
              <w:pStyle w:val="NoSpacing"/>
            </w:pPr>
            <w:r>
              <w:t>LAS from 10 February 2015</w:t>
            </w:r>
            <w:r w:rsidR="0024134C">
              <w:t>;</w:t>
            </w:r>
          </w:p>
          <w:p w:rsidR="0024134C" w:rsidRDefault="008879DA" w:rsidP="0024134C">
            <w:pPr>
              <w:pStyle w:val="NoSpacing"/>
            </w:pPr>
            <w:r>
              <w:t>NEAS from 8 October 2015</w:t>
            </w:r>
            <w:r w:rsidR="0024134C">
              <w:t>;</w:t>
            </w:r>
          </w:p>
          <w:p w:rsidR="0024134C" w:rsidRDefault="0024134C" w:rsidP="0024134C">
            <w:pPr>
              <w:pStyle w:val="NoSpacing"/>
            </w:pPr>
            <w:r>
              <w:t>YAS from 21 October 2015;</w:t>
            </w:r>
          </w:p>
          <w:p w:rsidR="0024134C" w:rsidRDefault="0024134C" w:rsidP="0024134C">
            <w:pPr>
              <w:pStyle w:val="NoSpacing"/>
            </w:pPr>
            <w:r>
              <w:t>WMAS and SCAS from 19 October 2015;</w:t>
            </w:r>
          </w:p>
          <w:p w:rsidR="0024134C" w:rsidRPr="0024134C" w:rsidRDefault="0024134C" w:rsidP="00660400">
            <w:pPr>
              <w:pStyle w:val="NoSpacing"/>
            </w:pPr>
            <w:r>
              <w:t>SWAS</w:t>
            </w:r>
            <w:r w:rsidR="00660400">
              <w:t>,</w:t>
            </w:r>
            <w:r>
              <w:t xml:space="preserve"> 10 February to 5 October</w:t>
            </w:r>
            <w:r w:rsidR="00660400">
              <w:t xml:space="preserve"> 2015:</w:t>
            </w:r>
          </w:p>
        </w:tc>
        <w:tc>
          <w:tcPr>
            <w:tcW w:w="4536" w:type="dxa"/>
          </w:tcPr>
          <w:p w:rsidR="008879DA" w:rsidRPr="00AF2C09" w:rsidRDefault="008879DA" w:rsidP="008879DA">
            <w:pPr>
              <w:pStyle w:val="NoSpacing"/>
            </w:pPr>
            <w:r>
              <w:t>E</w:t>
            </w:r>
            <w:r w:rsidRPr="00AF2C09">
              <w:t>arliest of:</w:t>
            </w:r>
          </w:p>
          <w:p w:rsidR="008879DA" w:rsidRPr="00AF2C09" w:rsidRDefault="00E8712C" w:rsidP="00540689">
            <w:pPr>
              <w:pStyle w:val="ListBullet"/>
            </w:pPr>
            <w:r w:rsidRPr="00AF2C09">
              <w:t xml:space="preserve">chief complaint or </w:t>
            </w:r>
            <w:r>
              <w:t xml:space="preserve">NHS </w:t>
            </w:r>
            <w:r w:rsidRPr="00AF2C09">
              <w:t xml:space="preserve">Pathways initial </w:t>
            </w:r>
            <w:proofErr w:type="spellStart"/>
            <w:r w:rsidRPr="00AF2C09">
              <w:t>D</w:t>
            </w:r>
            <w:r>
              <w:t>x</w:t>
            </w:r>
            <w:proofErr w:type="spellEnd"/>
            <w:r w:rsidRPr="00AF2C09">
              <w:t xml:space="preserve"> code</w:t>
            </w:r>
            <w:r>
              <w:t xml:space="preserve"> </w:t>
            </w:r>
            <w:r w:rsidRPr="00AF2C09">
              <w:t>obtained</w:t>
            </w:r>
            <w:r w:rsidR="008879DA" w:rsidRPr="00AF2C09">
              <w:t>;</w:t>
            </w:r>
          </w:p>
          <w:p w:rsidR="008879DA" w:rsidRDefault="008879DA" w:rsidP="00540689">
            <w:pPr>
              <w:pStyle w:val="ListBullet"/>
            </w:pPr>
            <w:r w:rsidRPr="00AF2C09">
              <w:t>first vehicle assigned;</w:t>
            </w:r>
          </w:p>
          <w:p w:rsidR="008879DA" w:rsidRDefault="008879DA" w:rsidP="00540689">
            <w:pPr>
              <w:pStyle w:val="ListBullet"/>
            </w:pPr>
            <w:r>
              <w:t>18</w:t>
            </w:r>
            <w:r w:rsidRPr="00AF2C09">
              <w:t xml:space="preserve">0 seconds after </w:t>
            </w:r>
            <w:r>
              <w:t>c</w:t>
            </w:r>
            <w:r w:rsidRPr="00AF2C09">
              <w:t xml:space="preserve">all </w:t>
            </w:r>
            <w:r>
              <w:t>c</w:t>
            </w:r>
            <w:r w:rsidRPr="00AF2C09">
              <w:t>onnect</w:t>
            </w:r>
            <w:r w:rsidR="0024134C">
              <w:t>.</w:t>
            </w:r>
          </w:p>
        </w:tc>
      </w:tr>
      <w:tr w:rsidR="008879DA" w:rsidTr="00E8712C">
        <w:tc>
          <w:tcPr>
            <w:tcW w:w="4644" w:type="dxa"/>
          </w:tcPr>
          <w:p w:rsidR="008879DA" w:rsidRDefault="008879DA" w:rsidP="0024134C">
            <w:pPr>
              <w:pStyle w:val="NoSpacing"/>
            </w:pPr>
            <w:r>
              <w:t>SWAS from 5 October 2015:</w:t>
            </w:r>
          </w:p>
        </w:tc>
        <w:tc>
          <w:tcPr>
            <w:tcW w:w="4536" w:type="dxa"/>
          </w:tcPr>
          <w:p w:rsidR="008879DA" w:rsidRPr="00AF2C09" w:rsidRDefault="008879DA" w:rsidP="008879DA">
            <w:pPr>
              <w:pStyle w:val="NoSpacing"/>
            </w:pPr>
            <w:r>
              <w:t>E</w:t>
            </w:r>
            <w:r w:rsidRPr="00AF2C09">
              <w:t>arliest of:</w:t>
            </w:r>
          </w:p>
          <w:p w:rsidR="008879DA" w:rsidRPr="00AF2C09" w:rsidRDefault="00E8712C" w:rsidP="00540689">
            <w:pPr>
              <w:pStyle w:val="ListBullet"/>
            </w:pPr>
            <w:r w:rsidRPr="00AF2C09">
              <w:t xml:space="preserve">chief complaint or </w:t>
            </w:r>
            <w:r>
              <w:t xml:space="preserve">NHS </w:t>
            </w:r>
            <w:r w:rsidRPr="00AF2C09">
              <w:t xml:space="preserve">Pathways initial </w:t>
            </w:r>
            <w:proofErr w:type="spellStart"/>
            <w:r w:rsidRPr="00AF2C09">
              <w:t>D</w:t>
            </w:r>
            <w:r>
              <w:t>x</w:t>
            </w:r>
            <w:proofErr w:type="spellEnd"/>
            <w:r w:rsidRPr="00AF2C09">
              <w:t xml:space="preserve"> code</w:t>
            </w:r>
            <w:r>
              <w:t xml:space="preserve"> </w:t>
            </w:r>
            <w:r w:rsidRPr="00AF2C09">
              <w:t>obtained</w:t>
            </w:r>
            <w:r w:rsidR="008879DA" w:rsidRPr="00AF2C09">
              <w:t>;</w:t>
            </w:r>
          </w:p>
          <w:p w:rsidR="008879DA" w:rsidRDefault="008879DA" w:rsidP="00540689">
            <w:pPr>
              <w:pStyle w:val="ListBullet"/>
            </w:pPr>
            <w:r w:rsidRPr="00AF2C09">
              <w:t>first vehicle assigned;</w:t>
            </w:r>
          </w:p>
          <w:p w:rsidR="008879DA" w:rsidRDefault="008879DA" w:rsidP="00540689">
            <w:pPr>
              <w:pStyle w:val="ListBullet"/>
            </w:pPr>
            <w:r>
              <w:t>240</w:t>
            </w:r>
            <w:r w:rsidRPr="00AF2C09">
              <w:t xml:space="preserve"> seconds after </w:t>
            </w:r>
            <w:r>
              <w:t>c</w:t>
            </w:r>
            <w:r w:rsidRPr="00AF2C09">
              <w:t xml:space="preserve">all </w:t>
            </w:r>
            <w:r>
              <w:t>c</w:t>
            </w:r>
            <w:r w:rsidRPr="00AF2C09">
              <w:t>onnect</w:t>
            </w:r>
            <w:r w:rsidR="0024134C">
              <w:t>.</w:t>
            </w:r>
          </w:p>
        </w:tc>
      </w:tr>
    </w:tbl>
    <w:p w:rsidR="0024134C" w:rsidRDefault="0024134C" w:rsidP="0024134C">
      <w:pPr>
        <w:pStyle w:val="NoSpacing"/>
      </w:pPr>
    </w:p>
    <w:p w:rsidR="00660400" w:rsidRDefault="00660400" w:rsidP="00660400">
      <w:r>
        <w:t>The differing clock start times mean that data for the different cohorts are not comparable with each other.</w:t>
      </w:r>
      <w:r w:rsidRPr="00660400">
        <w:t xml:space="preserve"> Red 2 calls comprise the vast majority of Category </w:t>
      </w:r>
      <w:proofErr w:type="gramStart"/>
      <w:r w:rsidRPr="00660400">
        <w:t>A</w:t>
      </w:r>
      <w:proofErr w:type="gramEnd"/>
      <w:r w:rsidRPr="00660400">
        <w:t xml:space="preserve"> calls, so 19 minute Category A </w:t>
      </w:r>
      <w:r w:rsidR="00540689">
        <w:t>data are also not comparable for different cohorts.</w:t>
      </w:r>
    </w:p>
    <w:p w:rsidR="006C3B5D" w:rsidRDefault="000F2BCC" w:rsidP="00C51DF6">
      <w:r w:rsidRPr="00780F7F">
        <w:lastRenderedPageBreak/>
        <w:t>Figure 2</w:t>
      </w:r>
      <w:r w:rsidR="0012724F" w:rsidRPr="00780F7F">
        <w:t xml:space="preserve"> </w:t>
      </w:r>
      <w:r w:rsidR="00581E8E" w:rsidRPr="00780F7F">
        <w:t xml:space="preserve">shows </w:t>
      </w:r>
      <w:r w:rsidR="00533D03" w:rsidRPr="00780F7F">
        <w:t xml:space="preserve">the Red 2 measure </w:t>
      </w:r>
      <w:r w:rsidR="00780F7F" w:rsidRPr="00780F7F">
        <w:t>for each cohort.</w:t>
      </w:r>
    </w:p>
    <w:p w:rsidR="00F924DA" w:rsidRDefault="00E8712C" w:rsidP="00C51DF6">
      <w:r>
        <w:rPr>
          <w:noProof/>
        </w:rPr>
        <w:drawing>
          <wp:inline distT="0" distB="0" distL="0" distR="0" wp14:anchorId="65428906">
            <wp:extent cx="5657850" cy="365188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57850" cy="3651885"/>
                    </a:xfrm>
                    <a:prstGeom prst="rect">
                      <a:avLst/>
                    </a:prstGeom>
                    <a:noFill/>
                  </pic:spPr>
                </pic:pic>
              </a:graphicData>
            </a:graphic>
          </wp:inline>
        </w:drawing>
      </w:r>
    </w:p>
    <w:p w:rsidR="00EC40BA" w:rsidRDefault="00EC40BA" w:rsidP="00C51DF6">
      <w:r>
        <w:t>The numerators and denominators for the above proportio</w:t>
      </w:r>
      <w:r w:rsidR="00A66D79">
        <w:t xml:space="preserve">ns are displayed in the Systems Indicators Time Series spreadsheet at </w:t>
      </w:r>
      <w:hyperlink r:id="rId11" w:history="1">
        <w:r w:rsidR="00A66D79" w:rsidRPr="005C069A">
          <w:rPr>
            <w:rStyle w:val="Hyperlink"/>
          </w:rPr>
          <w:t>http://bit.ly/NHSAQI</w:t>
        </w:r>
      </w:hyperlink>
      <w:r w:rsidR="00A66D79">
        <w:t xml:space="preserve">, on the “DoD </w:t>
      </w:r>
      <w:r w:rsidR="00203093">
        <w:t>R</w:t>
      </w:r>
      <w:r>
        <w:t>2” tab</w:t>
      </w:r>
      <w:r w:rsidR="00A66D79">
        <w:t>,</w:t>
      </w:r>
      <w:r>
        <w:t xml:space="preserve"> </w:t>
      </w:r>
      <w:r w:rsidR="00A66D79">
        <w:t xml:space="preserve">and the “DoD A19” tab shows equivalent </w:t>
      </w:r>
      <w:r>
        <w:t>figures for the 19 minute measure</w:t>
      </w:r>
      <w:r w:rsidR="00540689">
        <w:t xml:space="preserve"> below.</w:t>
      </w:r>
    </w:p>
    <w:p w:rsidR="00780F7F" w:rsidRDefault="00780F7F" w:rsidP="00780F7F">
      <w:r>
        <w:t>During the period 20</w:t>
      </w:r>
      <w:r w:rsidRPr="00A27B2C">
        <w:rPr>
          <w:vertAlign w:val="superscript"/>
        </w:rPr>
        <w:t>th</w:t>
      </w:r>
      <w:r>
        <w:t xml:space="preserve"> December 2014 to the 24</w:t>
      </w:r>
      <w:r w:rsidRPr="00A27B2C">
        <w:rPr>
          <w:vertAlign w:val="superscript"/>
        </w:rPr>
        <w:t>th</w:t>
      </w:r>
      <w:r>
        <w:t xml:space="preserve"> February 2014 South East Coast Ambulance Service NHS Foundation Trust (</w:t>
      </w:r>
      <w:proofErr w:type="spellStart"/>
      <w:r>
        <w:t>SECAmb</w:t>
      </w:r>
      <w:proofErr w:type="spellEnd"/>
      <w:r>
        <w:t xml:space="preserve">) undertook a project to re-triage calls transferred into their 999 service from the NHS 111 service. NHS England investigation reports into this project are available at </w:t>
      </w:r>
      <w:hyperlink r:id="rId12" w:history="1">
        <w:r w:rsidRPr="003D1537">
          <w:rPr>
            <w:rStyle w:val="Hyperlink"/>
          </w:rPr>
          <w:t>www.england.nhs.uk/south/our-work/ind-invest-reports</w:t>
        </w:r>
      </w:hyperlink>
      <w:r>
        <w:t>.</w:t>
      </w:r>
    </w:p>
    <w:p w:rsidR="00780F7F" w:rsidRDefault="00780F7F" w:rsidP="00780F7F">
      <w:r>
        <w:t xml:space="preserve">In summary, Red 2 calls passed from NHS 111 to the 999 service were relabelled to a Red 3 category and were given an additional 10 minutes clinical triage before an ambulance was dispatched. Data initially submitted for this time period by </w:t>
      </w:r>
      <w:proofErr w:type="spellStart"/>
      <w:r>
        <w:t>SECAmb</w:t>
      </w:r>
      <w:proofErr w:type="spellEnd"/>
      <w:r>
        <w:t xml:space="preserve"> was subsequently revised. The clock start for the revised data is consistent with all other trusts: the instant that the ambulance request was received from the 111 service by the Ambulance Service. Given the additional time for triage of these passed calls it was less likely that the Category </w:t>
      </w:r>
      <w:proofErr w:type="gramStart"/>
      <w:r>
        <w:t>A</w:t>
      </w:r>
      <w:proofErr w:type="gramEnd"/>
      <w:r>
        <w:t xml:space="preserve"> Red 2 target of 8 minutes would be met for these calls.</w:t>
      </w:r>
    </w:p>
    <w:p w:rsidR="005B5438" w:rsidRDefault="00780F7F" w:rsidP="00780F7F">
      <w:r>
        <w:t xml:space="preserve">The details of </w:t>
      </w:r>
      <w:proofErr w:type="spellStart"/>
      <w:r>
        <w:t>SECAmb</w:t>
      </w:r>
      <w:proofErr w:type="spellEnd"/>
      <w:r>
        <w:t xml:space="preserve"> performance and the revisions made by this provider are outlined in Section A10 of the </w:t>
      </w:r>
      <w:r w:rsidRPr="00485D63">
        <w:t xml:space="preserve">March 2015 </w:t>
      </w:r>
      <w:proofErr w:type="spellStart"/>
      <w:r w:rsidRPr="00485D63">
        <w:t>AmbSYS</w:t>
      </w:r>
      <w:proofErr w:type="spellEnd"/>
      <w:r w:rsidRPr="00485D63">
        <w:t xml:space="preserve"> and December 2014 </w:t>
      </w:r>
      <w:proofErr w:type="spellStart"/>
      <w:r w:rsidRPr="00485D63">
        <w:t>AmbCO</w:t>
      </w:r>
      <w:proofErr w:type="spellEnd"/>
      <w:r w:rsidRPr="00485D63">
        <w:t xml:space="preserve"> Statist</w:t>
      </w:r>
      <w:r>
        <w:t xml:space="preserve">ical Note published on the </w:t>
      </w:r>
      <w:r w:rsidRPr="00485D63">
        <w:t>Ambulance Quality Indicators Data 2014-15</w:t>
      </w:r>
      <w:r>
        <w:t xml:space="preserve"> Web page, </w:t>
      </w:r>
      <w:hyperlink r:id="rId13" w:history="1">
        <w:r w:rsidRPr="006A4285">
          <w:rPr>
            <w:rStyle w:val="Hyperlink"/>
          </w:rPr>
          <w:t>www.england.nhs.uk/statistics/statistical-wor</w:t>
        </w:r>
        <w:r w:rsidRPr="003D1537">
          <w:rPr>
            <w:rStyle w:val="Hyperlink"/>
          </w:rPr>
          <w:t>k-areas/ambulance-quality-indicators/ambulance-quality-indicators-data-2014-15</w:t>
        </w:r>
      </w:hyperlink>
      <w:r>
        <w:t>.</w:t>
      </w:r>
    </w:p>
    <w:p w:rsidR="00EA23A9" w:rsidRPr="00127FD0" w:rsidRDefault="00EA23A9" w:rsidP="00EA23A9">
      <w:pPr>
        <w:pStyle w:val="Heading3"/>
      </w:pPr>
      <w:r>
        <w:lastRenderedPageBreak/>
        <w:t>A</w:t>
      </w:r>
      <w:r w:rsidR="00092A97">
        <w:t>3</w:t>
      </w:r>
      <w:r>
        <w:tab/>
      </w:r>
      <w:r w:rsidR="00C94BBC">
        <w:t xml:space="preserve">Category </w:t>
      </w:r>
      <w:proofErr w:type="spellStart"/>
      <w:proofErr w:type="gramStart"/>
      <w:r w:rsidR="00C94BBC">
        <w:t>A</w:t>
      </w:r>
      <w:proofErr w:type="spellEnd"/>
      <w:proofErr w:type="gramEnd"/>
      <w:r w:rsidR="00C94BBC">
        <w:t xml:space="preserve"> </w:t>
      </w:r>
      <w:r>
        <w:t>Ambulance response in 19 minutes</w:t>
      </w:r>
      <w:r w:rsidR="000A00D6">
        <w:t xml:space="preserve"> (Figure 3)</w:t>
      </w:r>
    </w:p>
    <w:p w:rsidR="00EA23A9" w:rsidRDefault="00EA23A9" w:rsidP="00EA23A9">
      <w:r>
        <w:t xml:space="preserve">The other </w:t>
      </w:r>
      <w:r w:rsidR="00DD604F">
        <w:t xml:space="preserve">ambulance </w:t>
      </w:r>
      <w:r>
        <w:t xml:space="preserve">standard in the Handbook to the NHS Constitution is for </w:t>
      </w:r>
      <w:r w:rsidR="00F321DD">
        <w:t>t</w:t>
      </w:r>
      <w:r>
        <w:t>rusts to send, within 19 minutes, a fully-equipped ambulance vehicle, able to transport the patient in a clinically safe manner, to 95% of Category A calls.</w:t>
      </w:r>
      <w:r w:rsidR="00F321DD">
        <w:t xml:space="preserve"> </w:t>
      </w:r>
      <w:r w:rsidR="00C84BD0">
        <w:t xml:space="preserve">This measure is </w:t>
      </w:r>
      <w:r w:rsidR="00A66D79">
        <w:t xml:space="preserve">also </w:t>
      </w:r>
      <w:r w:rsidR="00C84BD0">
        <w:t xml:space="preserve">affected by </w:t>
      </w:r>
      <w:proofErr w:type="gramStart"/>
      <w:r w:rsidR="00C84BD0">
        <w:t>DoD</w:t>
      </w:r>
      <w:proofErr w:type="gramEnd"/>
      <w:r w:rsidR="00C84BD0">
        <w:t>. For England as a whole</w:t>
      </w:r>
      <w:r w:rsidR="00A66D79">
        <w:t>,</w:t>
      </w:r>
      <w:r w:rsidR="00C84BD0">
        <w:t xml:space="preserve"> t</w:t>
      </w:r>
      <w:r w:rsidR="00F321DD">
        <w:t xml:space="preserve">his </w:t>
      </w:r>
      <w:r w:rsidR="00AD0D55">
        <w:t>measure</w:t>
      </w:r>
      <w:r w:rsidR="00C84BD0">
        <w:t xml:space="preserve"> decreased to</w:t>
      </w:r>
      <w:r w:rsidR="00FB6A17">
        <w:t xml:space="preserve"> </w:t>
      </w:r>
      <w:r w:rsidR="00C84BD0">
        <w:t>93.0% in October</w:t>
      </w:r>
      <w:r w:rsidR="004041D0">
        <w:t xml:space="preserve"> </w:t>
      </w:r>
      <w:r w:rsidR="002B0A28">
        <w:t>2015 from</w:t>
      </w:r>
      <w:r w:rsidR="00AD0D55">
        <w:t xml:space="preserve"> 9</w:t>
      </w:r>
      <w:r w:rsidR="007978AF">
        <w:t>3</w:t>
      </w:r>
      <w:r w:rsidR="00FB6A17">
        <w:t>.</w:t>
      </w:r>
      <w:r w:rsidR="00F924DA">
        <w:t>2</w:t>
      </w:r>
      <w:r w:rsidR="00AD0D55">
        <w:t xml:space="preserve">% in </w:t>
      </w:r>
      <w:r w:rsidR="008F7386">
        <w:t>September 2015</w:t>
      </w:r>
      <w:r w:rsidR="004041D0">
        <w:t xml:space="preserve">. </w:t>
      </w:r>
      <w:r w:rsidR="002B0A28">
        <w:rPr>
          <w:noProof/>
        </w:rPr>
        <w:t>The performance for providers no</w:t>
      </w:r>
      <w:r w:rsidR="007E28DC">
        <w:rPr>
          <w:noProof/>
        </w:rPr>
        <w:t>t undertaking DoD</w:t>
      </w:r>
      <w:r w:rsidR="002B0A28">
        <w:rPr>
          <w:noProof/>
        </w:rPr>
        <w:t xml:space="preserve"> was 91.6%</w:t>
      </w:r>
      <w:r w:rsidR="00F321DD">
        <w:rPr>
          <w:noProof/>
        </w:rPr>
        <w:t>.</w:t>
      </w:r>
    </w:p>
    <w:p w:rsidR="00F321DD" w:rsidRDefault="00E8712C" w:rsidP="00F321DD">
      <w:r>
        <w:rPr>
          <w:noProof/>
        </w:rPr>
        <w:drawing>
          <wp:inline distT="0" distB="0" distL="0" distR="0" wp14:anchorId="5E6E2B02">
            <wp:extent cx="5706110" cy="3651885"/>
            <wp:effectExtent l="0" t="0" r="889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06110" cy="3651885"/>
                    </a:xfrm>
                    <a:prstGeom prst="rect">
                      <a:avLst/>
                    </a:prstGeom>
                    <a:noFill/>
                  </pic:spPr>
                </pic:pic>
              </a:graphicData>
            </a:graphic>
          </wp:inline>
        </w:drawing>
      </w:r>
    </w:p>
    <w:p w:rsidR="00774123" w:rsidRDefault="00F37244" w:rsidP="00774123">
      <w:proofErr w:type="gramStart"/>
      <w:r>
        <w:t>DoD</w:t>
      </w:r>
      <w:proofErr w:type="gramEnd"/>
      <w:r>
        <w:t xml:space="preserve"> does not affect how other indicators are measured, but it may lead to changes in the levels for other indicators. For example, a longer triage time may mean fewer ambulances dispatched, leading to better ambulance availability, and more timely responses to Red 1 calls. A longer triage time may also mean more calls are closed on the telephone. However, </w:t>
      </w:r>
      <w:r w:rsidR="00241092">
        <w:t xml:space="preserve">any </w:t>
      </w:r>
      <w:r>
        <w:t>such effects will be difficult to detect within the habitual variation of the many Ambulance Quality Indicators.</w:t>
      </w:r>
    </w:p>
    <w:p w:rsidR="003A0D0C" w:rsidRPr="00127FD0" w:rsidRDefault="003A0D0C" w:rsidP="003A0D0C">
      <w:pPr>
        <w:pStyle w:val="Heading3"/>
      </w:pPr>
      <w:r>
        <w:t>A</w:t>
      </w:r>
      <w:r w:rsidR="00B870E5">
        <w:t>4</w:t>
      </w:r>
      <w:r>
        <w:tab/>
      </w:r>
      <w:r w:rsidRPr="00151AF2">
        <w:t xml:space="preserve">Systems </w:t>
      </w:r>
      <w:r>
        <w:t xml:space="preserve">Indicators: Ambulance volumes (Figure </w:t>
      </w:r>
      <w:r w:rsidR="00AC1EF7">
        <w:t>4</w:t>
      </w:r>
      <w:r>
        <w:t>)</w:t>
      </w:r>
    </w:p>
    <w:p w:rsidR="00B21828" w:rsidRDefault="00191AB9" w:rsidP="00191AB9">
      <w:r w:rsidRPr="001B68DB">
        <w:t>The number</w:t>
      </w:r>
      <w:r>
        <w:rPr>
          <w:rStyle w:val="FootnoteReference"/>
        </w:rPr>
        <w:footnoteReference w:id="4"/>
      </w:r>
      <w:r w:rsidRPr="001B68DB">
        <w:t xml:space="preserve"> of emergency</w:t>
      </w:r>
      <w:r>
        <w:t xml:space="preserve"> telephone</w:t>
      </w:r>
      <w:r w:rsidRPr="001B68DB">
        <w:t xml:space="preserve"> calls presented to switchboard</w:t>
      </w:r>
      <w:r w:rsidRPr="004D3B3C">
        <w:t xml:space="preserve"> </w:t>
      </w:r>
      <w:r>
        <w:t xml:space="preserve">in </w:t>
      </w:r>
      <w:r w:rsidR="00F2364E">
        <w:t>Octobe</w:t>
      </w:r>
      <w:r w:rsidR="004855AA">
        <w:t>r</w:t>
      </w:r>
      <w:r w:rsidR="0085317B">
        <w:t xml:space="preserve"> </w:t>
      </w:r>
      <w:r>
        <w:t>2015 was</w:t>
      </w:r>
      <w:r w:rsidR="004855AA">
        <w:t xml:space="preserve"> </w:t>
      </w:r>
      <w:r w:rsidR="00F2364E" w:rsidRPr="00F2364E">
        <w:t>801,122</w:t>
      </w:r>
      <w:r w:rsidR="009141A4">
        <w:t xml:space="preserve">, </w:t>
      </w:r>
      <w:r w:rsidR="00177CDB">
        <w:t>an average of</w:t>
      </w:r>
      <w:r>
        <w:t xml:space="preserve"> </w:t>
      </w:r>
      <w:r w:rsidR="00C2676B" w:rsidRPr="00C2676B">
        <w:t>25</w:t>
      </w:r>
      <w:r w:rsidR="00F2364E">
        <w:t>.8</w:t>
      </w:r>
      <w:r w:rsidR="00AB0008">
        <w:t xml:space="preserve"> thousand</w:t>
      </w:r>
      <w:r w:rsidR="00C2676B" w:rsidRPr="00C2676B">
        <w:t xml:space="preserve"> </w:t>
      </w:r>
      <w:r w:rsidRPr="005B7C87">
        <w:t>per day</w:t>
      </w:r>
      <w:r w:rsidR="00E9274F">
        <w:t>,</w:t>
      </w:r>
      <w:r w:rsidR="007F4039">
        <w:t xml:space="preserve"> </w:t>
      </w:r>
      <w:r w:rsidR="00D643D9">
        <w:t>up from the 24.8 thousand per day for Octo</w:t>
      </w:r>
      <w:r w:rsidR="004855AA">
        <w:t>ber 2014</w:t>
      </w:r>
      <w:r w:rsidR="00D643D9">
        <w:t xml:space="preserve"> and the highest figure reported in 2015</w:t>
      </w:r>
      <w:r w:rsidR="00426EE4">
        <w:t xml:space="preserve">. </w:t>
      </w:r>
      <w:r w:rsidR="007F4016">
        <w:t>Figure</w:t>
      </w:r>
      <w:r w:rsidR="00D643D9">
        <w:t xml:space="preserve"> 4 shows that there is a fair amount variation in call volume.</w:t>
      </w:r>
    </w:p>
    <w:p w:rsidR="003F3CB1" w:rsidRDefault="00AD7C90" w:rsidP="00AD7C90">
      <w:r>
        <w:lastRenderedPageBreak/>
        <w:t xml:space="preserve">There were </w:t>
      </w:r>
      <w:r w:rsidR="001E734D" w:rsidRPr="001E734D">
        <w:t>554,578</w:t>
      </w:r>
      <w:r w:rsidR="001E734D">
        <w:t xml:space="preserve"> </w:t>
      </w:r>
      <w:r w:rsidRPr="00AD7C90">
        <w:t>emergency calls that receive</w:t>
      </w:r>
      <w:r w:rsidR="00037F53">
        <w:t>d</w:t>
      </w:r>
      <w:r w:rsidRPr="00AD7C90">
        <w:t xml:space="preserve"> a face-to-face resp</w:t>
      </w:r>
      <w:r>
        <w:t xml:space="preserve">onse from the ambulance service in </w:t>
      </w:r>
      <w:r w:rsidR="00D643D9">
        <w:t>Octo</w:t>
      </w:r>
      <w:r w:rsidR="004855AA">
        <w:t>ber</w:t>
      </w:r>
      <w:r w:rsidR="00BF4628">
        <w:t xml:space="preserve"> </w:t>
      </w:r>
      <w:r>
        <w:t>2015</w:t>
      </w:r>
      <w:r w:rsidR="002C28AD">
        <w:t>.</w:t>
      </w:r>
      <w:r w:rsidR="00E825BE">
        <w:t xml:space="preserve"> </w:t>
      </w:r>
      <w:r w:rsidR="002C28AD">
        <w:t xml:space="preserve">This was an average of </w:t>
      </w:r>
      <w:r w:rsidR="002C28AD" w:rsidRPr="00C2676B">
        <w:t>17</w:t>
      </w:r>
      <w:r w:rsidR="00D643D9">
        <w:t>.9</w:t>
      </w:r>
      <w:r w:rsidR="00AB0008">
        <w:t xml:space="preserve"> thousand</w:t>
      </w:r>
      <w:r w:rsidR="002C28AD" w:rsidRPr="00C2676B">
        <w:t xml:space="preserve"> </w:t>
      </w:r>
      <w:r w:rsidR="00D643D9">
        <w:t>per day, this compares with</w:t>
      </w:r>
      <w:r w:rsidR="003374D2">
        <w:t xml:space="preserve"> 17.</w:t>
      </w:r>
      <w:r w:rsidR="00D643D9">
        <w:t>7 thousand per day in October</w:t>
      </w:r>
      <w:r w:rsidR="007F4016">
        <w:t xml:space="preserve"> 2014.</w:t>
      </w:r>
    </w:p>
    <w:p w:rsidR="00191AB9" w:rsidRPr="008E5931" w:rsidRDefault="004849F5" w:rsidP="00806A50">
      <w:pPr>
        <w:widowControl w:val="0"/>
        <w:rPr>
          <w:rFonts w:cs="Arial"/>
        </w:rPr>
      </w:pPr>
      <w:r>
        <w:t>T</w:t>
      </w:r>
      <w:r w:rsidR="00A32B3E">
        <w:t xml:space="preserve">here were </w:t>
      </w:r>
      <w:r w:rsidR="00D643D9" w:rsidRPr="00D643D9">
        <w:t>401,682</w:t>
      </w:r>
      <w:r w:rsidR="00C2676B" w:rsidRPr="00C2676B">
        <w:t xml:space="preserve"> </w:t>
      </w:r>
      <w:r w:rsidR="00A32B3E">
        <w:t xml:space="preserve">incidents </w:t>
      </w:r>
      <w:r w:rsidR="00F80743">
        <w:t>with</w:t>
      </w:r>
      <w:r w:rsidR="001E30CD">
        <w:t xml:space="preserve"> a</w:t>
      </w:r>
      <w:r w:rsidR="00A32B3E">
        <w:t xml:space="preserve"> </w:t>
      </w:r>
      <w:r w:rsidR="00191AB9">
        <w:t xml:space="preserve">patient </w:t>
      </w:r>
      <w:r w:rsidR="001E30CD">
        <w:t xml:space="preserve">transported </w:t>
      </w:r>
      <w:r w:rsidR="00191AB9">
        <w:t>to Type 1 or Type 2 A&amp;E</w:t>
      </w:r>
      <w:r w:rsidR="00191AB9">
        <w:rPr>
          <w:rStyle w:val="FootnoteReference"/>
        </w:rPr>
        <w:footnoteReference w:id="5"/>
      </w:r>
      <w:r w:rsidR="00191AB9">
        <w:t xml:space="preserve"> in </w:t>
      </w:r>
      <w:r>
        <w:t>O</w:t>
      </w:r>
      <w:r w:rsidR="00D643D9">
        <w:t>ctobe</w:t>
      </w:r>
      <w:r w:rsidR="003374D2">
        <w:t>r</w:t>
      </w:r>
      <w:r w:rsidR="00C137F2">
        <w:t xml:space="preserve"> </w:t>
      </w:r>
      <w:r w:rsidR="00037F53">
        <w:t>2015</w:t>
      </w:r>
      <w:r w:rsidR="00D52EE6">
        <w:t xml:space="preserve">, an </w:t>
      </w:r>
      <w:r w:rsidR="00037F53">
        <w:t xml:space="preserve">average </w:t>
      </w:r>
      <w:r w:rsidR="00F23C98">
        <w:t xml:space="preserve">of </w:t>
      </w:r>
      <w:r w:rsidR="00D643D9">
        <w:t>13.0</w:t>
      </w:r>
      <w:r w:rsidR="00AB0008">
        <w:t xml:space="preserve"> thousand</w:t>
      </w:r>
      <w:r w:rsidR="00C2676B" w:rsidRPr="00C2676B">
        <w:t xml:space="preserve"> </w:t>
      </w:r>
      <w:r w:rsidR="00191AB9">
        <w:t>per day</w:t>
      </w:r>
      <w:r w:rsidR="00D643D9">
        <w:t>, similar to 12.9</w:t>
      </w:r>
      <w:r w:rsidR="007F4016">
        <w:t xml:space="preserve"> thousand per </w:t>
      </w:r>
      <w:r w:rsidR="00D643D9">
        <w:t>day in Octobe</w:t>
      </w:r>
      <w:r w:rsidR="003374D2">
        <w:t>r</w:t>
      </w:r>
      <w:r w:rsidR="007F4016">
        <w:t xml:space="preserve"> 2014</w:t>
      </w:r>
      <w:r w:rsidR="00E6125B">
        <w:t>.</w:t>
      </w:r>
    </w:p>
    <w:p w:rsidR="00F51851" w:rsidRDefault="003C24D1" w:rsidP="003425A1">
      <w:pPr>
        <w:rPr>
          <w:noProof/>
        </w:rPr>
      </w:pPr>
      <w:r>
        <w:t xml:space="preserve">There were </w:t>
      </w:r>
      <w:r w:rsidR="00FD3C35" w:rsidRPr="00FD3C35">
        <w:t>281,094</w:t>
      </w:r>
      <w:r w:rsidR="00FD3C35">
        <w:t xml:space="preserve"> </w:t>
      </w:r>
      <w:r>
        <w:t xml:space="preserve">Category A </w:t>
      </w:r>
      <w:r w:rsidR="00191AB9">
        <w:t>calls that resulted in a</w:t>
      </w:r>
      <w:r>
        <w:t xml:space="preserve"> full</w:t>
      </w:r>
      <w:r w:rsidR="009207F3">
        <w:t>y</w:t>
      </w:r>
      <w:r>
        <w:t>-equipped</w:t>
      </w:r>
      <w:r w:rsidR="00191AB9">
        <w:t xml:space="preserve"> ambulance </w:t>
      </w:r>
      <w:r>
        <w:t xml:space="preserve">vehicle </w:t>
      </w:r>
      <w:r w:rsidR="00191AB9">
        <w:t xml:space="preserve">arriving at the scene </w:t>
      </w:r>
      <w:r>
        <w:t xml:space="preserve">of the incident in </w:t>
      </w:r>
      <w:r w:rsidR="002A30DE">
        <w:t>Octobe</w:t>
      </w:r>
      <w:r w:rsidR="003374D2">
        <w:t>r</w:t>
      </w:r>
      <w:r w:rsidR="00793175">
        <w:t xml:space="preserve"> </w:t>
      </w:r>
      <w:r w:rsidR="002941E6">
        <w:t>2015,</w:t>
      </w:r>
      <w:r w:rsidR="00FD3C35">
        <w:t xml:space="preserve"> this equates to 9</w:t>
      </w:r>
      <w:r w:rsidR="003374D2">
        <w:t>.</w:t>
      </w:r>
      <w:r w:rsidR="00FD3C35">
        <w:t>1</w:t>
      </w:r>
      <w:r w:rsidR="00AB0008">
        <w:t xml:space="preserve"> thousand</w:t>
      </w:r>
      <w:r w:rsidR="00474314">
        <w:t xml:space="preserve"> </w:t>
      </w:r>
      <w:r w:rsidR="00191AB9">
        <w:t>per day</w:t>
      </w:r>
      <w:r w:rsidR="00793175">
        <w:t xml:space="preserve">. </w:t>
      </w:r>
      <w:r w:rsidR="00FD3C35">
        <w:t>This is higher than the 8.5 thousand per day in Octo</w:t>
      </w:r>
      <w:r w:rsidR="003374D2">
        <w:t>ber</w:t>
      </w:r>
      <w:r w:rsidR="00FD3C35">
        <w:t xml:space="preserve"> 201</w:t>
      </w:r>
      <w:r w:rsidR="00B76F37">
        <w:t>4</w:t>
      </w:r>
      <w:r w:rsidR="007F4016">
        <w:t xml:space="preserve">. </w:t>
      </w:r>
      <w:r w:rsidR="00727CC5">
        <w:t>Fi</w:t>
      </w:r>
      <w:r w:rsidR="00D52EE6">
        <w:t xml:space="preserve">gure </w:t>
      </w:r>
      <w:r w:rsidR="00AC1EF7">
        <w:t>4</w:t>
      </w:r>
      <w:r w:rsidR="00D52EE6">
        <w:t xml:space="preserve"> shows </w:t>
      </w:r>
      <w:r w:rsidR="007F4016">
        <w:t xml:space="preserve">how this has </w:t>
      </w:r>
      <w:r w:rsidR="00CE6F95">
        <w:t xml:space="preserve">increased steadily </w:t>
      </w:r>
      <w:r w:rsidR="007F4016">
        <w:t>between 2011 and</w:t>
      </w:r>
      <w:r w:rsidR="00CE6F95">
        <w:t xml:space="preserve"> 2014, but </w:t>
      </w:r>
      <w:r w:rsidR="00B870E5">
        <w:t>has changed little</w:t>
      </w:r>
      <w:r w:rsidR="00F80743">
        <w:t xml:space="preserve"> </w:t>
      </w:r>
      <w:r w:rsidR="00F0288C">
        <w:t>in 2015.</w:t>
      </w:r>
      <w:r w:rsidR="00F51851" w:rsidRPr="00F51851">
        <w:rPr>
          <w:noProof/>
        </w:rPr>
        <w:t xml:space="preserve"> </w:t>
      </w:r>
    </w:p>
    <w:p w:rsidR="00266D58" w:rsidRDefault="00B27201" w:rsidP="00F51851">
      <w:pPr>
        <w:jc w:val="center"/>
      </w:pPr>
      <w:r>
        <w:rPr>
          <w:noProof/>
        </w:rPr>
        <w:drawing>
          <wp:inline distT="0" distB="0" distL="0" distR="0" wp14:anchorId="5036AE87">
            <wp:extent cx="5164705" cy="5210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69058" cy="5214566"/>
                    </a:xfrm>
                    <a:prstGeom prst="rect">
                      <a:avLst/>
                    </a:prstGeom>
                    <a:noFill/>
                  </pic:spPr>
                </pic:pic>
              </a:graphicData>
            </a:graphic>
          </wp:inline>
        </w:drawing>
      </w:r>
    </w:p>
    <w:p w:rsidR="00F51851" w:rsidRDefault="00F51851" w:rsidP="00F51851">
      <w:pPr>
        <w:jc w:val="center"/>
      </w:pPr>
    </w:p>
    <w:p w:rsidR="003425A1" w:rsidRDefault="003425A1" w:rsidP="003425A1">
      <w:pPr>
        <w:pStyle w:val="NoSpacing"/>
      </w:pPr>
    </w:p>
    <w:p w:rsidR="003A0D0C" w:rsidRDefault="003A0D0C" w:rsidP="003A0D0C">
      <w:pPr>
        <w:pStyle w:val="Heading3"/>
      </w:pPr>
      <w:r>
        <w:t>A</w:t>
      </w:r>
      <w:r w:rsidR="00B870E5">
        <w:t>5</w:t>
      </w:r>
      <w:r>
        <w:tab/>
      </w:r>
      <w:r w:rsidR="003C24D1">
        <w:t xml:space="preserve">Latest monthly data </w:t>
      </w:r>
      <w:r>
        <w:t xml:space="preserve">for </w:t>
      </w:r>
      <w:r w:rsidR="003C24D1">
        <w:t xml:space="preserve">other </w:t>
      </w:r>
      <w:r>
        <w:t>System</w:t>
      </w:r>
      <w:r w:rsidR="003C24D1">
        <w:t>s</w:t>
      </w:r>
      <w:r>
        <w:t xml:space="preserve"> Indicators</w:t>
      </w:r>
      <w:r w:rsidR="000D7762">
        <w:t xml:space="preserve">, </w:t>
      </w:r>
      <w:r w:rsidR="00A66D79">
        <w:t>October</w:t>
      </w:r>
      <w:r w:rsidR="0013777A">
        <w:t xml:space="preserve"> </w:t>
      </w:r>
      <w:r w:rsidR="000D7762">
        <w:t>2015</w:t>
      </w:r>
      <w:r>
        <w:t xml:space="preserve"> </w:t>
      </w:r>
    </w:p>
    <w:tbl>
      <w:tblPr>
        <w:tblW w:w="9271" w:type="dxa"/>
        <w:tblLayout w:type="fixed"/>
        <w:tblCellMar>
          <w:left w:w="57" w:type="dxa"/>
          <w:right w:w="57" w:type="dxa"/>
        </w:tblCellMar>
        <w:tblLook w:val="04A0" w:firstRow="1" w:lastRow="0" w:firstColumn="1" w:lastColumn="0" w:noHBand="0" w:noVBand="1"/>
      </w:tblPr>
      <w:tblGrid>
        <w:gridCol w:w="3600"/>
        <w:gridCol w:w="1134"/>
        <w:gridCol w:w="1417"/>
        <w:gridCol w:w="851"/>
        <w:gridCol w:w="1417"/>
        <w:gridCol w:w="852"/>
      </w:tblGrid>
      <w:tr w:rsidR="003A0D0C" w:rsidTr="006A5F54">
        <w:trPr>
          <w:cantSplit/>
          <w:trHeight w:val="340"/>
          <w:tblHeader/>
        </w:trPr>
        <w:tc>
          <w:tcPr>
            <w:tcW w:w="3601" w:type="dxa"/>
            <w:tcBorders>
              <w:bottom w:val="single" w:sz="4" w:space="0" w:color="auto"/>
              <w:right w:val="single" w:sz="4" w:space="0" w:color="auto"/>
            </w:tcBorders>
            <w:shd w:val="clear" w:color="auto" w:fill="auto"/>
            <w:vAlign w:val="center"/>
            <w:hideMark/>
          </w:tcPr>
          <w:p w:rsidR="003A0D0C" w:rsidRPr="003265C0" w:rsidRDefault="003A0D0C" w:rsidP="008B512A">
            <w:pPr>
              <w:pStyle w:val="Heading4"/>
            </w:pPr>
            <w:r w:rsidRPr="003265C0">
              <w:t>Indicator</w:t>
            </w:r>
          </w:p>
        </w:tc>
        <w:tc>
          <w:tcPr>
            <w:tcW w:w="1134" w:type="dxa"/>
            <w:tcBorders>
              <w:left w:val="single" w:sz="4" w:space="0" w:color="auto"/>
              <w:bottom w:val="single" w:sz="4" w:space="0" w:color="auto"/>
              <w:right w:val="single" w:sz="4" w:space="0" w:color="auto"/>
            </w:tcBorders>
            <w:shd w:val="clear" w:color="auto" w:fill="auto"/>
            <w:vAlign w:val="center"/>
            <w:hideMark/>
          </w:tcPr>
          <w:p w:rsidR="003A0D0C" w:rsidRPr="003265C0" w:rsidRDefault="003A0D0C" w:rsidP="008B512A">
            <w:pPr>
              <w:pStyle w:val="Heading4"/>
            </w:pPr>
            <w:r w:rsidRPr="003265C0">
              <w:t>England</w:t>
            </w:r>
          </w:p>
        </w:tc>
        <w:tc>
          <w:tcPr>
            <w:tcW w:w="2268" w:type="dxa"/>
            <w:gridSpan w:val="2"/>
            <w:tcBorders>
              <w:left w:val="single" w:sz="4" w:space="0" w:color="auto"/>
              <w:bottom w:val="single" w:sz="4" w:space="0" w:color="auto"/>
              <w:right w:val="single" w:sz="4" w:space="0" w:color="auto"/>
            </w:tcBorders>
            <w:shd w:val="clear" w:color="auto" w:fill="auto"/>
            <w:vAlign w:val="center"/>
            <w:hideMark/>
          </w:tcPr>
          <w:p w:rsidR="003A0D0C" w:rsidRPr="003265C0" w:rsidRDefault="003A0D0C" w:rsidP="008B512A">
            <w:pPr>
              <w:pStyle w:val="Heading4"/>
            </w:pPr>
            <w:r w:rsidRPr="003265C0">
              <w:t>Lowest Trust</w:t>
            </w:r>
          </w:p>
        </w:tc>
        <w:tc>
          <w:tcPr>
            <w:tcW w:w="2268" w:type="dxa"/>
            <w:gridSpan w:val="2"/>
            <w:tcBorders>
              <w:left w:val="single" w:sz="4" w:space="0" w:color="auto"/>
              <w:bottom w:val="single" w:sz="4" w:space="0" w:color="auto"/>
            </w:tcBorders>
            <w:shd w:val="clear" w:color="auto" w:fill="auto"/>
            <w:vAlign w:val="center"/>
            <w:hideMark/>
          </w:tcPr>
          <w:p w:rsidR="003A0D0C" w:rsidRPr="003265C0" w:rsidRDefault="003A0D0C" w:rsidP="008B512A">
            <w:pPr>
              <w:pStyle w:val="Heading4"/>
            </w:pPr>
            <w:r w:rsidRPr="003265C0">
              <w:t>Highest Trust</w:t>
            </w:r>
          </w:p>
        </w:tc>
      </w:tr>
      <w:tr w:rsidR="0037489E" w:rsidTr="006A5F54">
        <w:trPr>
          <w:cantSplit/>
          <w:trHeight w:val="624"/>
        </w:trPr>
        <w:tc>
          <w:tcPr>
            <w:tcW w:w="3601" w:type="dxa"/>
            <w:tcBorders>
              <w:top w:val="single" w:sz="4" w:space="0" w:color="auto"/>
              <w:right w:val="single" w:sz="4" w:space="0" w:color="auto"/>
            </w:tcBorders>
            <w:shd w:val="clear" w:color="000000" w:fill="FFFFFF"/>
            <w:vAlign w:val="center"/>
            <w:hideMark/>
          </w:tcPr>
          <w:p w:rsidR="0032599C" w:rsidRPr="00E53110" w:rsidRDefault="0032599C" w:rsidP="009E4593">
            <w:pPr>
              <w:pStyle w:val="NoSpacing"/>
            </w:pPr>
            <w:r w:rsidRPr="00E53110">
              <w:t>Calls abandoned before being answered</w:t>
            </w:r>
          </w:p>
        </w:tc>
        <w:tc>
          <w:tcPr>
            <w:tcW w:w="1134" w:type="dxa"/>
            <w:tcBorders>
              <w:top w:val="single" w:sz="4" w:space="0" w:color="auto"/>
              <w:left w:val="single" w:sz="4" w:space="0" w:color="auto"/>
              <w:right w:val="single" w:sz="4" w:space="0" w:color="auto"/>
            </w:tcBorders>
            <w:shd w:val="clear" w:color="000000" w:fill="FFFFFF"/>
            <w:vAlign w:val="center"/>
            <w:hideMark/>
          </w:tcPr>
          <w:p w:rsidR="0032599C" w:rsidRPr="00E53110" w:rsidRDefault="003E345E" w:rsidP="00081437">
            <w:pPr>
              <w:pStyle w:val="NoSpacing"/>
              <w:jc w:val="right"/>
              <w:rPr>
                <w:sz w:val="22"/>
                <w:szCs w:val="22"/>
              </w:rPr>
            </w:pPr>
            <w:r w:rsidRPr="003E345E">
              <w:rPr>
                <w:szCs w:val="22"/>
              </w:rPr>
              <w:t>0.</w:t>
            </w:r>
            <w:r w:rsidR="003374D2">
              <w:rPr>
                <w:szCs w:val="22"/>
              </w:rPr>
              <w:t>5</w:t>
            </w:r>
            <w:r w:rsidRPr="003E345E">
              <w:rPr>
                <w:szCs w:val="22"/>
              </w:rPr>
              <w:t>%</w:t>
            </w:r>
            <w:r w:rsidR="000D7762">
              <w:rPr>
                <w:szCs w:val="22"/>
              </w:rPr>
              <w:t xml:space="preserve"> </w:t>
            </w:r>
          </w:p>
        </w:tc>
        <w:tc>
          <w:tcPr>
            <w:tcW w:w="1417" w:type="dxa"/>
            <w:tcBorders>
              <w:top w:val="single" w:sz="4" w:space="0" w:color="auto"/>
              <w:left w:val="single" w:sz="4" w:space="0" w:color="auto"/>
            </w:tcBorders>
            <w:shd w:val="clear" w:color="000000" w:fill="FFFFFF"/>
            <w:vAlign w:val="center"/>
            <w:hideMark/>
          </w:tcPr>
          <w:p w:rsidR="0032599C" w:rsidRPr="00E53110" w:rsidRDefault="00081437" w:rsidP="00906E39">
            <w:pPr>
              <w:pStyle w:val="NoSpacing"/>
              <w:jc w:val="center"/>
              <w:rPr>
                <w:sz w:val="22"/>
                <w:szCs w:val="22"/>
              </w:rPr>
            </w:pPr>
            <w:r>
              <w:rPr>
                <w:szCs w:val="22"/>
              </w:rPr>
              <w:t>London</w:t>
            </w:r>
          </w:p>
        </w:tc>
        <w:tc>
          <w:tcPr>
            <w:tcW w:w="850" w:type="dxa"/>
            <w:tcBorders>
              <w:top w:val="single" w:sz="4" w:space="0" w:color="auto"/>
              <w:right w:val="single" w:sz="4" w:space="0" w:color="auto"/>
            </w:tcBorders>
            <w:shd w:val="clear" w:color="000000" w:fill="FFFFFF"/>
            <w:vAlign w:val="center"/>
          </w:tcPr>
          <w:p w:rsidR="0032599C" w:rsidRPr="00E53110" w:rsidRDefault="0032599C" w:rsidP="00222A8A">
            <w:pPr>
              <w:pStyle w:val="NoSpacing"/>
              <w:jc w:val="right"/>
              <w:rPr>
                <w:sz w:val="22"/>
                <w:szCs w:val="22"/>
              </w:rPr>
            </w:pPr>
            <w:r w:rsidRPr="00753EA9">
              <w:rPr>
                <w:szCs w:val="22"/>
              </w:rPr>
              <w:t>0.</w:t>
            </w:r>
            <w:r w:rsidR="004849F5">
              <w:rPr>
                <w:szCs w:val="22"/>
              </w:rPr>
              <w:t>2</w:t>
            </w:r>
            <w:r w:rsidRPr="00753EA9">
              <w:rPr>
                <w:szCs w:val="22"/>
              </w:rPr>
              <w:t>%</w:t>
            </w:r>
          </w:p>
        </w:tc>
        <w:tc>
          <w:tcPr>
            <w:tcW w:w="1417" w:type="dxa"/>
            <w:tcBorders>
              <w:top w:val="single" w:sz="4" w:space="0" w:color="auto"/>
              <w:left w:val="single" w:sz="4" w:space="0" w:color="auto"/>
            </w:tcBorders>
            <w:shd w:val="clear" w:color="000000" w:fill="FFFFFF"/>
            <w:vAlign w:val="center"/>
            <w:hideMark/>
          </w:tcPr>
          <w:p w:rsidR="0032599C" w:rsidRPr="00E53110" w:rsidRDefault="004849F5" w:rsidP="001171E8">
            <w:pPr>
              <w:pStyle w:val="NoSpacing"/>
              <w:jc w:val="center"/>
            </w:pPr>
            <w:r>
              <w:t>Yorkshire</w:t>
            </w:r>
          </w:p>
        </w:tc>
        <w:tc>
          <w:tcPr>
            <w:tcW w:w="852" w:type="dxa"/>
            <w:tcBorders>
              <w:top w:val="single" w:sz="4" w:space="0" w:color="auto"/>
            </w:tcBorders>
            <w:shd w:val="clear" w:color="000000" w:fill="FFFFFF"/>
            <w:vAlign w:val="center"/>
          </w:tcPr>
          <w:p w:rsidR="0032599C" w:rsidRPr="00E53110" w:rsidRDefault="00A733D7" w:rsidP="00081437">
            <w:pPr>
              <w:pStyle w:val="NoSpacing"/>
              <w:jc w:val="right"/>
              <w:rPr>
                <w:sz w:val="22"/>
                <w:szCs w:val="22"/>
              </w:rPr>
            </w:pPr>
            <w:r>
              <w:rPr>
                <w:szCs w:val="22"/>
              </w:rPr>
              <w:t>1.</w:t>
            </w:r>
            <w:r w:rsidR="004849F5">
              <w:rPr>
                <w:szCs w:val="22"/>
              </w:rPr>
              <w:t>0</w:t>
            </w:r>
            <w:r w:rsidR="007D2560" w:rsidRPr="007D2560">
              <w:rPr>
                <w:szCs w:val="22"/>
              </w:rPr>
              <w:t>%</w:t>
            </w:r>
          </w:p>
        </w:tc>
      </w:tr>
      <w:tr w:rsidR="0037489E" w:rsidTr="006A5F54">
        <w:trPr>
          <w:cantSplit/>
          <w:trHeight w:val="624"/>
        </w:trPr>
        <w:tc>
          <w:tcPr>
            <w:tcW w:w="3601" w:type="dxa"/>
            <w:tcBorders>
              <w:right w:val="single" w:sz="4" w:space="0" w:color="auto"/>
            </w:tcBorders>
            <w:shd w:val="clear" w:color="000000" w:fill="FFFFFF"/>
            <w:vAlign w:val="center"/>
            <w:hideMark/>
          </w:tcPr>
          <w:p w:rsidR="0032599C" w:rsidRPr="00E53110" w:rsidRDefault="0032599C" w:rsidP="009E4593">
            <w:pPr>
              <w:pStyle w:val="NoSpacing"/>
            </w:pPr>
            <w:r w:rsidRPr="00E53110">
              <w:t>Calls resolved through telephone assessment</w:t>
            </w:r>
          </w:p>
        </w:tc>
        <w:tc>
          <w:tcPr>
            <w:tcW w:w="1134" w:type="dxa"/>
            <w:tcBorders>
              <w:left w:val="single" w:sz="4" w:space="0" w:color="auto"/>
              <w:right w:val="single" w:sz="4" w:space="0" w:color="auto"/>
            </w:tcBorders>
            <w:shd w:val="clear" w:color="000000" w:fill="FFFFFF"/>
            <w:vAlign w:val="center"/>
            <w:hideMark/>
          </w:tcPr>
          <w:p w:rsidR="0032599C" w:rsidRPr="001F27E7" w:rsidRDefault="004849F5" w:rsidP="001171E8">
            <w:pPr>
              <w:pStyle w:val="NoSpacing"/>
              <w:jc w:val="right"/>
              <w:rPr>
                <w:rFonts w:cs="Arial"/>
              </w:rPr>
            </w:pPr>
            <w:r>
              <w:rPr>
                <w:rFonts w:cs="Arial"/>
              </w:rPr>
              <w:t>10.3</w:t>
            </w:r>
            <w:r w:rsidR="001F27E7">
              <w:rPr>
                <w:rFonts w:cs="Arial"/>
              </w:rPr>
              <w:t>%</w:t>
            </w:r>
          </w:p>
        </w:tc>
        <w:tc>
          <w:tcPr>
            <w:tcW w:w="1417" w:type="dxa"/>
            <w:tcBorders>
              <w:left w:val="single" w:sz="4" w:space="0" w:color="auto"/>
            </w:tcBorders>
            <w:shd w:val="clear" w:color="000000" w:fill="FFFFFF"/>
            <w:vAlign w:val="center"/>
            <w:hideMark/>
          </w:tcPr>
          <w:p w:rsidR="0032599C" w:rsidRPr="00E53110" w:rsidRDefault="0032599C" w:rsidP="002221E6">
            <w:pPr>
              <w:pStyle w:val="NoSpacing"/>
              <w:jc w:val="center"/>
              <w:rPr>
                <w:sz w:val="22"/>
                <w:szCs w:val="22"/>
              </w:rPr>
            </w:pPr>
            <w:r w:rsidRPr="00753EA9">
              <w:rPr>
                <w:szCs w:val="22"/>
              </w:rPr>
              <w:t>West</w:t>
            </w:r>
            <w:r w:rsidR="00E02284">
              <w:rPr>
                <w:szCs w:val="22"/>
              </w:rPr>
              <w:t xml:space="preserve"> Midlands</w:t>
            </w:r>
          </w:p>
        </w:tc>
        <w:tc>
          <w:tcPr>
            <w:tcW w:w="850" w:type="dxa"/>
            <w:tcBorders>
              <w:right w:val="single" w:sz="4" w:space="0" w:color="auto"/>
            </w:tcBorders>
            <w:shd w:val="clear" w:color="000000" w:fill="FFFFFF"/>
            <w:vAlign w:val="center"/>
          </w:tcPr>
          <w:p w:rsidR="0032599C" w:rsidRPr="00E53110" w:rsidRDefault="004849F5" w:rsidP="00D520D5">
            <w:pPr>
              <w:pStyle w:val="NoSpacing"/>
              <w:jc w:val="right"/>
              <w:rPr>
                <w:sz w:val="22"/>
                <w:szCs w:val="22"/>
              </w:rPr>
            </w:pPr>
            <w:r>
              <w:rPr>
                <w:szCs w:val="22"/>
              </w:rPr>
              <w:t>5.3</w:t>
            </w:r>
            <w:r w:rsidR="00E02284" w:rsidRPr="00E02284">
              <w:rPr>
                <w:szCs w:val="22"/>
              </w:rPr>
              <w:t>%</w:t>
            </w:r>
          </w:p>
        </w:tc>
        <w:tc>
          <w:tcPr>
            <w:tcW w:w="1417" w:type="dxa"/>
            <w:tcBorders>
              <w:left w:val="single" w:sz="4" w:space="0" w:color="auto"/>
            </w:tcBorders>
            <w:shd w:val="clear" w:color="000000" w:fill="FFFFFF"/>
            <w:vAlign w:val="center"/>
            <w:hideMark/>
          </w:tcPr>
          <w:p w:rsidR="0032599C" w:rsidRPr="00E53110" w:rsidRDefault="001F27E7" w:rsidP="002221E6">
            <w:pPr>
              <w:pStyle w:val="NoSpacing"/>
              <w:jc w:val="center"/>
              <w:rPr>
                <w:sz w:val="22"/>
                <w:szCs w:val="22"/>
              </w:rPr>
            </w:pPr>
            <w:r>
              <w:rPr>
                <w:szCs w:val="22"/>
              </w:rPr>
              <w:t>East Midlands</w:t>
            </w:r>
          </w:p>
        </w:tc>
        <w:tc>
          <w:tcPr>
            <w:tcW w:w="852" w:type="dxa"/>
            <w:shd w:val="clear" w:color="000000" w:fill="FFFFFF"/>
            <w:vAlign w:val="center"/>
          </w:tcPr>
          <w:p w:rsidR="0032599C" w:rsidRPr="00E53110" w:rsidRDefault="00E434C4" w:rsidP="00D520D5">
            <w:pPr>
              <w:pStyle w:val="NoSpacing"/>
              <w:jc w:val="right"/>
              <w:rPr>
                <w:sz w:val="22"/>
                <w:szCs w:val="22"/>
              </w:rPr>
            </w:pPr>
            <w:r>
              <w:rPr>
                <w:szCs w:val="22"/>
              </w:rPr>
              <w:t>1</w:t>
            </w:r>
            <w:r w:rsidR="004849F5">
              <w:rPr>
                <w:szCs w:val="22"/>
              </w:rPr>
              <w:t>5.7</w:t>
            </w:r>
            <w:r w:rsidR="0037489E" w:rsidRPr="0037489E">
              <w:rPr>
                <w:szCs w:val="22"/>
              </w:rPr>
              <w:t>%</w:t>
            </w:r>
          </w:p>
        </w:tc>
      </w:tr>
      <w:tr w:rsidR="0037489E" w:rsidTr="006A5F54">
        <w:trPr>
          <w:cantSplit/>
          <w:trHeight w:val="624"/>
        </w:trPr>
        <w:tc>
          <w:tcPr>
            <w:tcW w:w="3601" w:type="dxa"/>
            <w:tcBorders>
              <w:right w:val="single" w:sz="4" w:space="0" w:color="auto"/>
            </w:tcBorders>
            <w:shd w:val="clear" w:color="000000" w:fill="FFFFFF"/>
            <w:vAlign w:val="center"/>
            <w:hideMark/>
          </w:tcPr>
          <w:p w:rsidR="0032599C" w:rsidRPr="00E53110" w:rsidRDefault="0032599C" w:rsidP="009E4593">
            <w:pPr>
              <w:pStyle w:val="NoSpacing"/>
            </w:pPr>
            <w:r w:rsidRPr="00E53110">
              <w:t>Calls resolved without transport to Type 1 or Type 2 A&amp;E</w:t>
            </w:r>
          </w:p>
        </w:tc>
        <w:tc>
          <w:tcPr>
            <w:tcW w:w="1134" w:type="dxa"/>
            <w:tcBorders>
              <w:left w:val="single" w:sz="4" w:space="0" w:color="auto"/>
              <w:right w:val="single" w:sz="4" w:space="0" w:color="auto"/>
            </w:tcBorders>
            <w:shd w:val="clear" w:color="000000" w:fill="FFFFFF"/>
            <w:vAlign w:val="center"/>
            <w:hideMark/>
          </w:tcPr>
          <w:p w:rsidR="0032599C" w:rsidRPr="00E53110" w:rsidRDefault="00837B74" w:rsidP="00B870E5">
            <w:pPr>
              <w:pStyle w:val="NoSpacing"/>
              <w:jc w:val="right"/>
              <w:rPr>
                <w:sz w:val="22"/>
                <w:szCs w:val="22"/>
              </w:rPr>
            </w:pPr>
            <w:r>
              <w:rPr>
                <w:szCs w:val="22"/>
              </w:rPr>
              <w:t>37.</w:t>
            </w:r>
            <w:r w:rsidR="00653E5D">
              <w:rPr>
                <w:szCs w:val="22"/>
              </w:rPr>
              <w:t>0</w:t>
            </w:r>
            <w:r w:rsidR="0032599C" w:rsidRPr="00753EA9">
              <w:rPr>
                <w:szCs w:val="22"/>
              </w:rPr>
              <w:t>%</w:t>
            </w:r>
          </w:p>
        </w:tc>
        <w:tc>
          <w:tcPr>
            <w:tcW w:w="1417" w:type="dxa"/>
            <w:tcBorders>
              <w:left w:val="single" w:sz="4" w:space="0" w:color="auto"/>
            </w:tcBorders>
            <w:shd w:val="clear" w:color="000000" w:fill="FFFFFF"/>
            <w:vAlign w:val="center"/>
            <w:hideMark/>
          </w:tcPr>
          <w:p w:rsidR="0032599C" w:rsidRPr="00E53110" w:rsidRDefault="00D52EE6" w:rsidP="002221E6">
            <w:pPr>
              <w:pStyle w:val="NoSpacing"/>
              <w:jc w:val="center"/>
              <w:rPr>
                <w:sz w:val="22"/>
                <w:szCs w:val="22"/>
              </w:rPr>
            </w:pPr>
            <w:r>
              <w:rPr>
                <w:szCs w:val="22"/>
              </w:rPr>
              <w:t>East Midlands</w:t>
            </w:r>
          </w:p>
        </w:tc>
        <w:tc>
          <w:tcPr>
            <w:tcW w:w="850" w:type="dxa"/>
            <w:tcBorders>
              <w:right w:val="single" w:sz="4" w:space="0" w:color="auto"/>
            </w:tcBorders>
            <w:shd w:val="clear" w:color="000000" w:fill="FFFFFF"/>
            <w:vAlign w:val="center"/>
          </w:tcPr>
          <w:p w:rsidR="0032599C" w:rsidRPr="00E53110" w:rsidRDefault="00653E5D" w:rsidP="00D520D5">
            <w:pPr>
              <w:pStyle w:val="NoSpacing"/>
              <w:jc w:val="right"/>
              <w:rPr>
                <w:sz w:val="22"/>
                <w:szCs w:val="22"/>
              </w:rPr>
            </w:pPr>
            <w:r>
              <w:rPr>
                <w:szCs w:val="22"/>
              </w:rPr>
              <w:t>29</w:t>
            </w:r>
            <w:r w:rsidR="00A733D7">
              <w:rPr>
                <w:szCs w:val="22"/>
              </w:rPr>
              <w:t>.</w:t>
            </w:r>
            <w:r w:rsidR="004849F5">
              <w:rPr>
                <w:szCs w:val="22"/>
              </w:rPr>
              <w:t>6</w:t>
            </w:r>
            <w:r w:rsidR="0037489E" w:rsidRPr="0037489E">
              <w:rPr>
                <w:szCs w:val="22"/>
              </w:rPr>
              <w:t>%</w:t>
            </w:r>
          </w:p>
        </w:tc>
        <w:tc>
          <w:tcPr>
            <w:tcW w:w="1417" w:type="dxa"/>
            <w:tcBorders>
              <w:left w:val="single" w:sz="4" w:space="0" w:color="auto"/>
            </w:tcBorders>
            <w:shd w:val="clear" w:color="000000" w:fill="FFFFFF"/>
            <w:vAlign w:val="center"/>
            <w:hideMark/>
          </w:tcPr>
          <w:p w:rsidR="0032599C" w:rsidRPr="00E53110" w:rsidRDefault="0032599C" w:rsidP="00F0288C">
            <w:pPr>
              <w:pStyle w:val="NoSpacing"/>
              <w:jc w:val="center"/>
              <w:rPr>
                <w:sz w:val="22"/>
                <w:szCs w:val="22"/>
              </w:rPr>
            </w:pPr>
            <w:r w:rsidRPr="00753EA9">
              <w:rPr>
                <w:szCs w:val="22"/>
              </w:rPr>
              <w:t>South Western</w:t>
            </w:r>
          </w:p>
        </w:tc>
        <w:tc>
          <w:tcPr>
            <w:tcW w:w="852" w:type="dxa"/>
            <w:shd w:val="clear" w:color="000000" w:fill="FFFFFF"/>
            <w:vAlign w:val="center"/>
          </w:tcPr>
          <w:p w:rsidR="0032599C" w:rsidRPr="00E53110" w:rsidRDefault="00E02284" w:rsidP="00A733D7">
            <w:pPr>
              <w:pStyle w:val="NoSpacing"/>
              <w:jc w:val="right"/>
              <w:rPr>
                <w:sz w:val="22"/>
                <w:szCs w:val="22"/>
              </w:rPr>
            </w:pPr>
            <w:r>
              <w:rPr>
                <w:szCs w:val="22"/>
              </w:rPr>
              <w:t>5</w:t>
            </w:r>
            <w:r w:rsidR="004849F5">
              <w:rPr>
                <w:szCs w:val="22"/>
              </w:rPr>
              <w:t>1.9</w:t>
            </w:r>
            <w:r w:rsidR="0037489E" w:rsidRPr="0037489E">
              <w:rPr>
                <w:szCs w:val="22"/>
              </w:rPr>
              <w:t>%</w:t>
            </w:r>
          </w:p>
        </w:tc>
      </w:tr>
      <w:tr w:rsidR="0037489E" w:rsidTr="006A5F54">
        <w:trPr>
          <w:cantSplit/>
          <w:trHeight w:val="624"/>
        </w:trPr>
        <w:tc>
          <w:tcPr>
            <w:tcW w:w="3601" w:type="dxa"/>
            <w:tcBorders>
              <w:right w:val="single" w:sz="4" w:space="0" w:color="auto"/>
            </w:tcBorders>
            <w:shd w:val="clear" w:color="000000" w:fill="FFFFFF"/>
            <w:vAlign w:val="center"/>
            <w:hideMark/>
          </w:tcPr>
          <w:p w:rsidR="0032599C" w:rsidRPr="00E53110" w:rsidRDefault="0032599C" w:rsidP="009E4593">
            <w:pPr>
              <w:pStyle w:val="NoSpacing"/>
            </w:pPr>
            <w:bookmarkStart w:id="0" w:name="RANGE!A22"/>
            <w:proofErr w:type="spellStart"/>
            <w:r w:rsidRPr="00E53110">
              <w:t>Recontact</w:t>
            </w:r>
            <w:proofErr w:type="spellEnd"/>
            <w:r w:rsidRPr="00E53110">
              <w:t xml:space="preserve"> rate following discharge by telephone advice</w:t>
            </w:r>
            <w:bookmarkEnd w:id="0"/>
          </w:p>
        </w:tc>
        <w:tc>
          <w:tcPr>
            <w:tcW w:w="1134" w:type="dxa"/>
            <w:tcBorders>
              <w:left w:val="single" w:sz="4" w:space="0" w:color="auto"/>
              <w:right w:val="single" w:sz="4" w:space="0" w:color="auto"/>
            </w:tcBorders>
            <w:shd w:val="clear" w:color="000000" w:fill="FFFFFF"/>
            <w:vAlign w:val="center"/>
            <w:hideMark/>
          </w:tcPr>
          <w:p w:rsidR="0032599C" w:rsidRPr="00E53110" w:rsidRDefault="004849F5" w:rsidP="00091724">
            <w:pPr>
              <w:pStyle w:val="NoSpacing"/>
              <w:jc w:val="right"/>
              <w:rPr>
                <w:sz w:val="22"/>
                <w:szCs w:val="22"/>
              </w:rPr>
            </w:pPr>
            <w:r>
              <w:rPr>
                <w:szCs w:val="22"/>
              </w:rPr>
              <w:t>6.1</w:t>
            </w:r>
            <w:r w:rsidR="001F27E7" w:rsidRPr="001F27E7">
              <w:rPr>
                <w:szCs w:val="22"/>
              </w:rPr>
              <w:t>%</w:t>
            </w:r>
          </w:p>
        </w:tc>
        <w:tc>
          <w:tcPr>
            <w:tcW w:w="1417" w:type="dxa"/>
            <w:tcBorders>
              <w:left w:val="single" w:sz="4" w:space="0" w:color="auto"/>
            </w:tcBorders>
            <w:shd w:val="clear" w:color="000000" w:fill="FFFFFF"/>
            <w:vAlign w:val="center"/>
            <w:hideMark/>
          </w:tcPr>
          <w:p w:rsidR="0032599C" w:rsidRPr="00E53110" w:rsidRDefault="000D7762" w:rsidP="00E02284">
            <w:pPr>
              <w:pStyle w:val="NoSpacing"/>
              <w:jc w:val="center"/>
              <w:rPr>
                <w:sz w:val="22"/>
                <w:szCs w:val="22"/>
              </w:rPr>
            </w:pPr>
            <w:r>
              <w:rPr>
                <w:szCs w:val="22"/>
              </w:rPr>
              <w:t>Yorkshire</w:t>
            </w:r>
          </w:p>
        </w:tc>
        <w:tc>
          <w:tcPr>
            <w:tcW w:w="850" w:type="dxa"/>
            <w:tcBorders>
              <w:right w:val="single" w:sz="4" w:space="0" w:color="auto"/>
            </w:tcBorders>
            <w:shd w:val="clear" w:color="000000" w:fill="FFFFFF"/>
            <w:vAlign w:val="center"/>
          </w:tcPr>
          <w:p w:rsidR="0032599C" w:rsidRPr="00E53110" w:rsidRDefault="004849F5" w:rsidP="006F26D8">
            <w:pPr>
              <w:pStyle w:val="NoSpacing"/>
              <w:jc w:val="right"/>
              <w:rPr>
                <w:sz w:val="22"/>
                <w:szCs w:val="22"/>
              </w:rPr>
            </w:pPr>
            <w:r>
              <w:rPr>
                <w:szCs w:val="22"/>
              </w:rPr>
              <w:t>1.1</w:t>
            </w:r>
            <w:r w:rsidR="0037489E" w:rsidRPr="0037489E">
              <w:rPr>
                <w:szCs w:val="22"/>
              </w:rPr>
              <w:t>%</w:t>
            </w:r>
          </w:p>
        </w:tc>
        <w:tc>
          <w:tcPr>
            <w:tcW w:w="1417" w:type="dxa"/>
            <w:tcBorders>
              <w:left w:val="single" w:sz="4" w:space="0" w:color="auto"/>
            </w:tcBorders>
            <w:shd w:val="clear" w:color="000000" w:fill="FFFFFF"/>
            <w:vAlign w:val="center"/>
            <w:hideMark/>
          </w:tcPr>
          <w:p w:rsidR="0032599C" w:rsidRPr="00E53110" w:rsidRDefault="001F27E7" w:rsidP="002221E6">
            <w:pPr>
              <w:pStyle w:val="NoSpacing"/>
              <w:jc w:val="center"/>
              <w:rPr>
                <w:sz w:val="22"/>
                <w:szCs w:val="22"/>
              </w:rPr>
            </w:pPr>
            <w:r>
              <w:rPr>
                <w:szCs w:val="22"/>
              </w:rPr>
              <w:t>West Midlands</w:t>
            </w:r>
          </w:p>
        </w:tc>
        <w:tc>
          <w:tcPr>
            <w:tcW w:w="852" w:type="dxa"/>
            <w:shd w:val="clear" w:color="000000" w:fill="FFFFFF"/>
            <w:vAlign w:val="center"/>
          </w:tcPr>
          <w:p w:rsidR="0032599C" w:rsidRPr="00E53110" w:rsidRDefault="00837B74" w:rsidP="006F26D8">
            <w:pPr>
              <w:pStyle w:val="NoSpacing"/>
              <w:jc w:val="right"/>
              <w:rPr>
                <w:sz w:val="22"/>
                <w:szCs w:val="22"/>
              </w:rPr>
            </w:pPr>
            <w:r>
              <w:rPr>
                <w:szCs w:val="22"/>
              </w:rPr>
              <w:t>1</w:t>
            </w:r>
            <w:r w:rsidR="004849F5">
              <w:rPr>
                <w:szCs w:val="22"/>
              </w:rPr>
              <w:t>3.8</w:t>
            </w:r>
            <w:r w:rsidR="0037489E" w:rsidRPr="0037489E">
              <w:rPr>
                <w:szCs w:val="22"/>
              </w:rPr>
              <w:t>%</w:t>
            </w:r>
          </w:p>
        </w:tc>
      </w:tr>
      <w:tr w:rsidR="0037489E" w:rsidTr="006A5F54">
        <w:trPr>
          <w:cantSplit/>
          <w:trHeight w:val="624"/>
        </w:trPr>
        <w:tc>
          <w:tcPr>
            <w:tcW w:w="3601" w:type="dxa"/>
            <w:tcBorders>
              <w:right w:val="single" w:sz="4" w:space="0" w:color="auto"/>
            </w:tcBorders>
            <w:shd w:val="clear" w:color="000000" w:fill="FFFFFF"/>
            <w:vAlign w:val="center"/>
            <w:hideMark/>
          </w:tcPr>
          <w:p w:rsidR="0032599C" w:rsidRPr="00E53110" w:rsidRDefault="0032599C" w:rsidP="009E4593">
            <w:pPr>
              <w:pStyle w:val="NoSpacing"/>
            </w:pPr>
            <w:proofErr w:type="spellStart"/>
            <w:r w:rsidRPr="00E53110">
              <w:t>Recontact</w:t>
            </w:r>
            <w:proofErr w:type="spellEnd"/>
            <w:r w:rsidRPr="00E53110">
              <w:t xml:space="preserve"> rate following face-to-face treatment at scene</w:t>
            </w:r>
          </w:p>
        </w:tc>
        <w:tc>
          <w:tcPr>
            <w:tcW w:w="1134" w:type="dxa"/>
            <w:tcBorders>
              <w:left w:val="single" w:sz="4" w:space="0" w:color="auto"/>
              <w:right w:val="single" w:sz="4" w:space="0" w:color="auto"/>
            </w:tcBorders>
            <w:shd w:val="clear" w:color="000000" w:fill="FFFFFF"/>
            <w:vAlign w:val="center"/>
            <w:hideMark/>
          </w:tcPr>
          <w:p w:rsidR="0032599C" w:rsidRPr="00E53110" w:rsidRDefault="0032599C" w:rsidP="00AC1EF7">
            <w:pPr>
              <w:pStyle w:val="NoSpacing"/>
              <w:jc w:val="right"/>
              <w:rPr>
                <w:sz w:val="22"/>
                <w:szCs w:val="22"/>
              </w:rPr>
            </w:pPr>
            <w:r w:rsidRPr="00753EA9">
              <w:rPr>
                <w:szCs w:val="22"/>
              </w:rPr>
              <w:t>5.</w:t>
            </w:r>
            <w:r w:rsidR="004849F5">
              <w:rPr>
                <w:szCs w:val="22"/>
              </w:rPr>
              <w:t>2</w:t>
            </w:r>
            <w:r w:rsidRPr="00753EA9">
              <w:rPr>
                <w:szCs w:val="22"/>
              </w:rPr>
              <w:t>%</w:t>
            </w:r>
          </w:p>
        </w:tc>
        <w:tc>
          <w:tcPr>
            <w:tcW w:w="1417" w:type="dxa"/>
            <w:tcBorders>
              <w:left w:val="single" w:sz="4" w:space="0" w:color="auto"/>
            </w:tcBorders>
            <w:shd w:val="clear" w:color="000000" w:fill="FFFFFF"/>
            <w:vAlign w:val="center"/>
            <w:hideMark/>
          </w:tcPr>
          <w:p w:rsidR="0032599C" w:rsidRPr="00E53110" w:rsidRDefault="00A2578D" w:rsidP="001171E8">
            <w:pPr>
              <w:pStyle w:val="NoSpacing"/>
              <w:jc w:val="center"/>
              <w:rPr>
                <w:sz w:val="22"/>
              </w:rPr>
            </w:pPr>
            <w:r>
              <w:t>North West</w:t>
            </w:r>
          </w:p>
        </w:tc>
        <w:tc>
          <w:tcPr>
            <w:tcW w:w="850" w:type="dxa"/>
            <w:tcBorders>
              <w:right w:val="single" w:sz="4" w:space="0" w:color="auto"/>
            </w:tcBorders>
            <w:shd w:val="clear" w:color="000000" w:fill="FFFFFF"/>
            <w:vAlign w:val="center"/>
          </w:tcPr>
          <w:p w:rsidR="0032599C" w:rsidRPr="00E53110" w:rsidRDefault="004849F5" w:rsidP="006F26D8">
            <w:pPr>
              <w:pStyle w:val="NoSpacing"/>
              <w:jc w:val="right"/>
              <w:rPr>
                <w:sz w:val="22"/>
                <w:szCs w:val="22"/>
              </w:rPr>
            </w:pPr>
            <w:r>
              <w:rPr>
                <w:szCs w:val="22"/>
              </w:rPr>
              <w:t>2</w:t>
            </w:r>
            <w:r w:rsidR="0032599C" w:rsidRPr="00753EA9">
              <w:rPr>
                <w:szCs w:val="22"/>
              </w:rPr>
              <w:t>.</w:t>
            </w:r>
            <w:r>
              <w:rPr>
                <w:szCs w:val="22"/>
              </w:rPr>
              <w:t>7</w:t>
            </w:r>
            <w:r w:rsidR="0032599C" w:rsidRPr="00753EA9">
              <w:rPr>
                <w:szCs w:val="22"/>
              </w:rPr>
              <w:t>%</w:t>
            </w:r>
          </w:p>
        </w:tc>
        <w:tc>
          <w:tcPr>
            <w:tcW w:w="1417" w:type="dxa"/>
            <w:tcBorders>
              <w:left w:val="single" w:sz="4" w:space="0" w:color="auto"/>
            </w:tcBorders>
            <w:shd w:val="clear" w:color="000000" w:fill="FFFFFF"/>
            <w:vAlign w:val="center"/>
            <w:hideMark/>
          </w:tcPr>
          <w:p w:rsidR="0032599C" w:rsidRPr="00E53110" w:rsidRDefault="0032599C" w:rsidP="002221E6">
            <w:pPr>
              <w:pStyle w:val="NoSpacing"/>
              <w:jc w:val="center"/>
              <w:rPr>
                <w:sz w:val="22"/>
                <w:szCs w:val="22"/>
              </w:rPr>
            </w:pPr>
            <w:r w:rsidRPr="00753EA9">
              <w:rPr>
                <w:szCs w:val="22"/>
              </w:rPr>
              <w:t>London</w:t>
            </w:r>
          </w:p>
        </w:tc>
        <w:tc>
          <w:tcPr>
            <w:tcW w:w="852" w:type="dxa"/>
            <w:shd w:val="clear" w:color="000000" w:fill="FFFFFF"/>
            <w:vAlign w:val="center"/>
          </w:tcPr>
          <w:p w:rsidR="0032599C" w:rsidRPr="00E53110" w:rsidRDefault="004849F5" w:rsidP="00753EA9">
            <w:pPr>
              <w:pStyle w:val="NoSpacing"/>
              <w:jc w:val="right"/>
              <w:rPr>
                <w:sz w:val="22"/>
                <w:szCs w:val="22"/>
              </w:rPr>
            </w:pPr>
            <w:r>
              <w:rPr>
                <w:szCs w:val="22"/>
              </w:rPr>
              <w:t>8.6</w:t>
            </w:r>
            <w:r w:rsidR="00D6205D" w:rsidRPr="00D6205D">
              <w:rPr>
                <w:szCs w:val="22"/>
              </w:rPr>
              <w:t>%</w:t>
            </w:r>
          </w:p>
        </w:tc>
      </w:tr>
      <w:tr w:rsidR="0037489E" w:rsidTr="006A5F54">
        <w:trPr>
          <w:cantSplit/>
          <w:trHeight w:val="624"/>
        </w:trPr>
        <w:tc>
          <w:tcPr>
            <w:tcW w:w="3601" w:type="dxa"/>
            <w:tcBorders>
              <w:bottom w:val="single" w:sz="4" w:space="0" w:color="auto"/>
              <w:right w:val="single" w:sz="4" w:space="0" w:color="auto"/>
            </w:tcBorders>
            <w:shd w:val="clear" w:color="auto" w:fill="auto"/>
            <w:vAlign w:val="center"/>
            <w:hideMark/>
          </w:tcPr>
          <w:p w:rsidR="0032599C" w:rsidRPr="00E53110" w:rsidRDefault="008006FA" w:rsidP="00F0288C">
            <w:pPr>
              <w:pStyle w:val="NoSpacing"/>
            </w:pPr>
            <w:r>
              <w:t xml:space="preserve">Incidents </w:t>
            </w:r>
            <w:r w:rsidR="00F0288C">
              <w:t>where a</w:t>
            </w:r>
            <w:r>
              <w:t xml:space="preserve"> patient </w:t>
            </w:r>
            <w:r w:rsidR="00F0288C">
              <w:t>was transported</w:t>
            </w:r>
          </w:p>
        </w:tc>
        <w:tc>
          <w:tcPr>
            <w:tcW w:w="1134" w:type="dxa"/>
            <w:tcBorders>
              <w:left w:val="single" w:sz="4" w:space="0" w:color="auto"/>
              <w:bottom w:val="single" w:sz="4" w:space="0" w:color="auto"/>
              <w:right w:val="single" w:sz="4" w:space="0" w:color="auto"/>
            </w:tcBorders>
            <w:shd w:val="clear" w:color="auto" w:fill="auto"/>
            <w:vAlign w:val="center"/>
            <w:hideMark/>
          </w:tcPr>
          <w:p w:rsidR="0032599C" w:rsidRPr="00A2578D" w:rsidRDefault="00A2578D" w:rsidP="00E8712C">
            <w:pPr>
              <w:pStyle w:val="NoSpacing"/>
              <w:jc w:val="right"/>
              <w:rPr>
                <w:rFonts w:cs="Arial"/>
              </w:rPr>
            </w:pPr>
            <w:r>
              <w:rPr>
                <w:rFonts w:cs="Arial"/>
              </w:rPr>
              <w:t>401,682</w:t>
            </w:r>
          </w:p>
        </w:tc>
        <w:tc>
          <w:tcPr>
            <w:tcW w:w="1417" w:type="dxa"/>
            <w:tcBorders>
              <w:left w:val="single" w:sz="4" w:space="0" w:color="auto"/>
              <w:bottom w:val="single" w:sz="4" w:space="0" w:color="auto"/>
            </w:tcBorders>
            <w:shd w:val="clear" w:color="auto" w:fill="auto"/>
            <w:noWrap/>
            <w:vAlign w:val="center"/>
          </w:tcPr>
          <w:p w:rsidR="003507AC" w:rsidRDefault="0032599C" w:rsidP="003507AC">
            <w:pPr>
              <w:pStyle w:val="NoSpacing"/>
              <w:jc w:val="center"/>
            </w:pPr>
            <w:r w:rsidRPr="009E4593">
              <w:t xml:space="preserve"> North</w:t>
            </w:r>
          </w:p>
          <w:p w:rsidR="0032599C" w:rsidRPr="00E53110" w:rsidRDefault="0032599C" w:rsidP="00014432">
            <w:pPr>
              <w:pStyle w:val="NoSpacing"/>
              <w:jc w:val="center"/>
              <w:rPr>
                <w:sz w:val="22"/>
                <w:szCs w:val="22"/>
              </w:rPr>
            </w:pPr>
            <w:r w:rsidRPr="009E4593">
              <w:t>East</w:t>
            </w:r>
            <w:r w:rsidR="001171E8">
              <w:rPr>
                <w:rStyle w:val="FootnoteReference"/>
              </w:rPr>
              <w:footnoteReference w:id="6"/>
            </w:r>
          </w:p>
        </w:tc>
        <w:tc>
          <w:tcPr>
            <w:tcW w:w="850" w:type="dxa"/>
            <w:tcBorders>
              <w:bottom w:val="single" w:sz="4" w:space="0" w:color="auto"/>
              <w:right w:val="single" w:sz="4" w:space="0" w:color="auto"/>
            </w:tcBorders>
            <w:shd w:val="clear" w:color="auto" w:fill="auto"/>
            <w:vAlign w:val="center"/>
          </w:tcPr>
          <w:p w:rsidR="00A75E1A" w:rsidRPr="00A2578D" w:rsidRDefault="00A2578D" w:rsidP="00E8712C">
            <w:pPr>
              <w:pStyle w:val="NoSpacing"/>
              <w:jc w:val="right"/>
              <w:rPr>
                <w:rFonts w:cs="Arial"/>
              </w:rPr>
            </w:pPr>
            <w:r>
              <w:rPr>
                <w:rFonts w:cs="Arial"/>
              </w:rPr>
              <w:t>20,459</w:t>
            </w:r>
          </w:p>
        </w:tc>
        <w:tc>
          <w:tcPr>
            <w:tcW w:w="1417" w:type="dxa"/>
            <w:tcBorders>
              <w:left w:val="single" w:sz="4" w:space="0" w:color="auto"/>
              <w:bottom w:val="single" w:sz="4" w:space="0" w:color="auto"/>
            </w:tcBorders>
            <w:shd w:val="clear" w:color="auto" w:fill="auto"/>
            <w:noWrap/>
            <w:vAlign w:val="center"/>
          </w:tcPr>
          <w:p w:rsidR="0032599C" w:rsidRPr="00E53110" w:rsidRDefault="0032599C" w:rsidP="002221E6">
            <w:pPr>
              <w:pStyle w:val="NoSpacing"/>
              <w:jc w:val="center"/>
              <w:rPr>
                <w:sz w:val="22"/>
                <w:szCs w:val="22"/>
              </w:rPr>
            </w:pPr>
            <w:r w:rsidRPr="00753EA9">
              <w:rPr>
                <w:szCs w:val="22"/>
              </w:rPr>
              <w:t>London</w:t>
            </w:r>
          </w:p>
        </w:tc>
        <w:tc>
          <w:tcPr>
            <w:tcW w:w="852" w:type="dxa"/>
            <w:tcBorders>
              <w:bottom w:val="single" w:sz="4" w:space="0" w:color="auto"/>
            </w:tcBorders>
            <w:shd w:val="clear" w:color="auto" w:fill="auto"/>
            <w:vAlign w:val="center"/>
          </w:tcPr>
          <w:p w:rsidR="0032599C" w:rsidRPr="00A2578D" w:rsidRDefault="00A2578D" w:rsidP="00E8712C">
            <w:pPr>
              <w:pStyle w:val="NoSpacing"/>
              <w:jc w:val="right"/>
              <w:rPr>
                <w:rFonts w:cs="Arial"/>
              </w:rPr>
            </w:pPr>
            <w:r>
              <w:rPr>
                <w:rFonts w:cs="Arial"/>
              </w:rPr>
              <w:t>66,313</w:t>
            </w:r>
          </w:p>
        </w:tc>
      </w:tr>
    </w:tbl>
    <w:p w:rsidR="00043776" w:rsidRDefault="00043776" w:rsidP="00043776">
      <w:pPr>
        <w:pStyle w:val="NoSpacing"/>
      </w:pPr>
    </w:p>
    <w:p w:rsidR="0054610C" w:rsidRDefault="00EB2D25" w:rsidP="00C73251">
      <w:r>
        <w:t>In Octo</w:t>
      </w:r>
      <w:r w:rsidR="001F27E7">
        <w:t>ber 2015</w:t>
      </w:r>
      <w:r w:rsidR="00A95D10">
        <w:t xml:space="preserve">, the </w:t>
      </w:r>
      <w:r w:rsidR="00043776">
        <w:t xml:space="preserve">proportion </w:t>
      </w:r>
      <w:r w:rsidR="00A95D10">
        <w:t>of c</w:t>
      </w:r>
      <w:r w:rsidR="00A95D10" w:rsidRPr="00A95D10">
        <w:t>alls resolved through telephone assessment</w:t>
      </w:r>
      <w:r w:rsidR="00145910">
        <w:t xml:space="preserve"> was</w:t>
      </w:r>
      <w:r>
        <w:t xml:space="preserve"> 10.3</w:t>
      </w:r>
      <w:r w:rsidR="009C268C">
        <w:t>%,</w:t>
      </w:r>
      <w:r w:rsidR="00145910">
        <w:t xml:space="preserve"> a</w:t>
      </w:r>
      <w:r w:rsidR="009C268C">
        <w:t xml:space="preserve"> </w:t>
      </w:r>
      <w:r w:rsidR="00145910">
        <w:t>significant</w:t>
      </w:r>
      <w:r w:rsidR="00145910">
        <w:rPr>
          <w:rStyle w:val="FootnoteReference"/>
        </w:rPr>
        <w:footnoteReference w:id="7"/>
      </w:r>
      <w:r w:rsidR="00145910">
        <w:t xml:space="preserve"> increase on last year, and </w:t>
      </w:r>
      <w:r w:rsidR="009C268C">
        <w:t>the highest proportion</w:t>
      </w:r>
      <w:r w:rsidR="00043776">
        <w:t xml:space="preserve"> </w:t>
      </w:r>
      <w:r w:rsidR="00864BBA">
        <w:t>since monthly data collection began in April 2011</w:t>
      </w:r>
      <w:r w:rsidR="00E6125B">
        <w:t>.</w:t>
      </w:r>
    </w:p>
    <w:p w:rsidR="00145910" w:rsidRDefault="00145910" w:rsidP="00C73251">
      <w:r>
        <w:t>Of emergency calls resolved with telephone advice, the proportion where the patient subsequently re-cont</w:t>
      </w:r>
      <w:r w:rsidR="009E4E86">
        <w:t>acts</w:t>
      </w:r>
      <w:r w:rsidR="005F3E00">
        <w:t xml:space="preserve"> 999 within 24 hours was 6.1</w:t>
      </w:r>
      <w:r w:rsidR="009E4E86">
        <w:t>% in October</w:t>
      </w:r>
      <w:r>
        <w:t xml:space="preserve"> 2015, the lowest since monthly data collection began.</w:t>
      </w:r>
    </w:p>
    <w:p w:rsidR="003A0D0C" w:rsidRDefault="003A0D0C" w:rsidP="003A0D0C">
      <w:pPr>
        <w:pStyle w:val="Heading2"/>
      </w:pPr>
      <w:r>
        <w:t>B.</w:t>
      </w:r>
      <w:r>
        <w:tab/>
      </w:r>
      <w:r w:rsidRPr="00151AF2">
        <w:t>Clinical Outcomes</w:t>
      </w:r>
    </w:p>
    <w:p w:rsidR="003A0D0C" w:rsidRDefault="003A0D0C" w:rsidP="003A0D0C">
      <w:r>
        <w:t>N</w:t>
      </w:r>
      <w:r w:rsidRPr="005538AF">
        <w:t xml:space="preserve">o thresholds to denote “poor” care </w:t>
      </w:r>
      <w:r>
        <w:t xml:space="preserve">are </w:t>
      </w:r>
      <w:r w:rsidRPr="005538AF">
        <w:t>set for</w:t>
      </w:r>
      <w:r>
        <w:t xml:space="preserve"> Clinical Outcomes. </w:t>
      </w:r>
      <w:r w:rsidRPr="00E76C17">
        <w:t xml:space="preserve">Commissioners </w:t>
      </w:r>
      <w:r>
        <w:t xml:space="preserve">are </w:t>
      </w:r>
      <w:r w:rsidRPr="00E76C17">
        <w:t xml:space="preserve">expected to examine trends in these data, and work in collaboration with </w:t>
      </w:r>
      <w:r w:rsidR="00F321DD">
        <w:t>a</w:t>
      </w:r>
      <w:r>
        <w:t>mbu</w:t>
      </w:r>
      <w:r w:rsidRPr="00E76C17">
        <w:t xml:space="preserve">lance </w:t>
      </w:r>
      <w:r w:rsidR="00F321DD">
        <w:t>t</w:t>
      </w:r>
      <w:r>
        <w:t>rus</w:t>
      </w:r>
      <w:r w:rsidRPr="00E76C17">
        <w:t xml:space="preserve">ts to achieve sustained </w:t>
      </w:r>
      <w:r w:rsidRPr="005538AF">
        <w:t>improvement in patient outcomes over time</w:t>
      </w:r>
      <w:r>
        <w:t>; but c</w:t>
      </w:r>
      <w:r w:rsidRPr="00E76C17">
        <w:t xml:space="preserve">ommissioners </w:t>
      </w:r>
      <w:r>
        <w:t xml:space="preserve">are </w:t>
      </w:r>
      <w:r w:rsidRPr="00E76C17">
        <w:t xml:space="preserve">not expected to use Clinical Outcomes to performance manage </w:t>
      </w:r>
      <w:r w:rsidR="00F321DD">
        <w:t>trust</w:t>
      </w:r>
      <w:r w:rsidRPr="00E76C17">
        <w:t xml:space="preserve">s, </w:t>
      </w:r>
      <w:r>
        <w:t xml:space="preserve">because </w:t>
      </w:r>
      <w:r w:rsidRPr="00E76C17">
        <w:t>there will be significant variations in the populations served</w:t>
      </w:r>
      <w:r>
        <w:t>.</w:t>
      </w:r>
    </w:p>
    <w:p w:rsidR="003A0D0C" w:rsidRPr="00151AF2" w:rsidRDefault="003A0D0C" w:rsidP="003A0D0C">
      <w:pPr>
        <w:pStyle w:val="Heading3"/>
      </w:pPr>
      <w:r>
        <w:t>B1</w:t>
      </w:r>
      <w:r>
        <w:tab/>
        <w:t>Cardiac arrest:</w:t>
      </w:r>
      <w:r w:rsidRPr="00992442">
        <w:t xml:space="preserve"> </w:t>
      </w:r>
      <w:r w:rsidRPr="00DA6E95">
        <w:t>return of spontaneous circulation (ROSC</w:t>
      </w:r>
      <w:r w:rsidR="00C814F1">
        <w:t>)</w:t>
      </w:r>
    </w:p>
    <w:p w:rsidR="0054610C" w:rsidRDefault="00044185" w:rsidP="003A0D0C">
      <w:r>
        <w:t xml:space="preserve">Patients in cardiac arrest will typically have no pulse and will not be breathing. </w:t>
      </w:r>
      <w:r w:rsidR="0032599C" w:rsidRPr="00DA6E95">
        <w:t xml:space="preserve">In </w:t>
      </w:r>
      <w:r w:rsidR="00AF1A19">
        <w:t>July</w:t>
      </w:r>
      <w:r w:rsidR="004B406E">
        <w:t xml:space="preserve"> </w:t>
      </w:r>
      <w:r w:rsidR="006E7B5C">
        <w:t>2015</w:t>
      </w:r>
      <w:r w:rsidRPr="00044185">
        <w:t xml:space="preserve"> </w:t>
      </w:r>
      <w:r>
        <w:t>in England</w:t>
      </w:r>
      <w:r w:rsidR="0032599C">
        <w:t>,</w:t>
      </w:r>
      <w:r w:rsidR="0032599C" w:rsidRPr="00DA6E95">
        <w:t xml:space="preserve"> </w:t>
      </w:r>
      <w:r w:rsidRPr="00DA6E95">
        <w:t xml:space="preserve">resuscitation </w:t>
      </w:r>
      <w:r>
        <w:t xml:space="preserve">was </w:t>
      </w:r>
      <w:r w:rsidRPr="00DA6E95">
        <w:t>commenced or continued by ambulance staff out-of-hospital</w:t>
      </w:r>
      <w:r>
        <w:t xml:space="preserve"> for </w:t>
      </w:r>
      <w:r w:rsidR="00AF1A19" w:rsidRPr="00AF1A19">
        <w:t>2,428</w:t>
      </w:r>
      <w:r w:rsidR="00AF1A19">
        <w:t xml:space="preserve"> </w:t>
      </w:r>
      <w:r>
        <w:t xml:space="preserve">such </w:t>
      </w:r>
      <w:r w:rsidR="0032599C" w:rsidRPr="00DA6E95">
        <w:t>patients</w:t>
      </w:r>
      <w:r w:rsidR="0032599C">
        <w:t xml:space="preserve">. Of these, </w:t>
      </w:r>
      <w:r w:rsidR="00AF1A19">
        <w:t>688</w:t>
      </w:r>
      <w:r w:rsidR="00AC1EF7" w:rsidRPr="00AC1EF7">
        <w:t xml:space="preserve"> </w:t>
      </w:r>
      <w:r w:rsidR="0032599C">
        <w:t>(</w:t>
      </w:r>
      <w:r w:rsidR="00AF1A19">
        <w:t>27.5</w:t>
      </w:r>
      <w:r w:rsidR="00F43D58" w:rsidRPr="00F43D58">
        <w:t>%</w:t>
      </w:r>
      <w:r w:rsidR="0032599C">
        <w:t xml:space="preserve">) </w:t>
      </w:r>
      <w:r w:rsidR="0032599C" w:rsidRPr="00DA6E95">
        <w:t xml:space="preserve">had </w:t>
      </w:r>
      <w:r w:rsidR="0032599C">
        <w:t>ROSC</w:t>
      </w:r>
      <w:r>
        <w:t xml:space="preserve">, with a pulse, </w:t>
      </w:r>
      <w:r w:rsidR="0032599C" w:rsidRPr="00DA6E95">
        <w:t xml:space="preserve">on arrival </w:t>
      </w:r>
      <w:r w:rsidR="0032599C">
        <w:t>at hospital</w:t>
      </w:r>
      <w:r w:rsidR="00C814F1">
        <w:t xml:space="preserve"> (Figure 5)</w:t>
      </w:r>
      <w:r w:rsidR="00E41E8F">
        <w:t xml:space="preserve">, </w:t>
      </w:r>
      <w:r w:rsidR="00AF1A19">
        <w:t xml:space="preserve">similar to </w:t>
      </w:r>
      <w:r w:rsidR="00BA610C">
        <w:t xml:space="preserve">the </w:t>
      </w:r>
      <w:r w:rsidR="0032599C">
        <w:t xml:space="preserve">average </w:t>
      </w:r>
      <w:r w:rsidR="0032599C" w:rsidRPr="00296E05">
        <w:t xml:space="preserve">for </w:t>
      </w:r>
      <w:r w:rsidR="00845D8F">
        <w:t>2014-15</w:t>
      </w:r>
      <w:r w:rsidR="0032599C" w:rsidRPr="00C344CA">
        <w:t xml:space="preserve"> </w:t>
      </w:r>
      <w:r w:rsidR="00BA610C">
        <w:t xml:space="preserve">of </w:t>
      </w:r>
      <w:r w:rsidR="00D4605E">
        <w:t>27</w:t>
      </w:r>
      <w:r w:rsidR="0032599C" w:rsidRPr="00D13275">
        <w:t>%</w:t>
      </w:r>
      <w:r w:rsidR="0032599C" w:rsidRPr="00296E05">
        <w:t>.</w:t>
      </w:r>
    </w:p>
    <w:p w:rsidR="001A0F87" w:rsidRDefault="008F7386" w:rsidP="003A0D0C">
      <w:r>
        <w:lastRenderedPageBreak/>
        <w:t>The largest</w:t>
      </w:r>
      <w:r w:rsidR="001A0F87">
        <w:t xml:space="preserve"> proportion in July</w:t>
      </w:r>
      <w:r w:rsidR="00CF061B">
        <w:t xml:space="preserve"> </w:t>
      </w:r>
      <w:r w:rsidR="00CF061B" w:rsidRPr="00CF061B">
        <w:t xml:space="preserve">2015 was </w:t>
      </w:r>
      <w:r w:rsidR="001A0F87">
        <w:t>3</w:t>
      </w:r>
      <w:r w:rsidR="00AF1A19">
        <w:t>2</w:t>
      </w:r>
      <w:r w:rsidR="001A0F87">
        <w:t>.9</w:t>
      </w:r>
      <w:r w:rsidR="005F29B1">
        <w:t>% for</w:t>
      </w:r>
      <w:r w:rsidR="007E28DC">
        <w:t xml:space="preserve"> West Midlands</w:t>
      </w:r>
      <w:bookmarkStart w:id="1" w:name="_GoBack"/>
      <w:bookmarkEnd w:id="1"/>
      <w:r w:rsidR="004D6E3F">
        <w:t>.</w:t>
      </w:r>
      <w:r w:rsidR="00C73251">
        <w:t xml:space="preserve"> </w:t>
      </w:r>
      <w:r w:rsidR="00AF2CDC">
        <w:t>The smallest proportion was</w:t>
      </w:r>
      <w:r w:rsidR="000E4972">
        <w:t xml:space="preserve"> 2</w:t>
      </w:r>
      <w:r w:rsidR="001A0F87">
        <w:t>2.0</w:t>
      </w:r>
      <w:r w:rsidR="00AF2CDC">
        <w:t xml:space="preserve">% for </w:t>
      </w:r>
      <w:r w:rsidR="001A0F87">
        <w:t>South Central</w:t>
      </w:r>
      <w:r w:rsidR="007E28DC">
        <w:rPr>
          <w:rStyle w:val="FootnoteReference"/>
          <w:rFonts w:cs="Arial"/>
        </w:rPr>
        <w:footnoteReference w:id="8"/>
      </w:r>
      <w:r w:rsidR="001A0F87">
        <w:t>.</w:t>
      </w:r>
    </w:p>
    <w:p w:rsidR="00F36218" w:rsidRDefault="003A0D0C" w:rsidP="003A0D0C">
      <w:pPr>
        <w:rPr>
          <w:rFonts w:cs="Arial"/>
        </w:rPr>
      </w:pPr>
      <w:r>
        <w:t xml:space="preserve">The </w:t>
      </w:r>
      <w:proofErr w:type="spellStart"/>
      <w:r>
        <w:t>Utstein</w:t>
      </w:r>
      <w:proofErr w:type="spellEnd"/>
      <w:r>
        <w:t xml:space="preserve"> group</w:t>
      </w:r>
      <w:r w:rsidR="007E28DC">
        <w:rPr>
          <w:rStyle w:val="FootnoteReference"/>
        </w:rPr>
        <w:footnoteReference w:id="9"/>
      </w:r>
      <w:r>
        <w:t xml:space="preserve"> comprises patients who had resuscitation commenced or </w:t>
      </w:r>
      <w:r w:rsidRPr="00DA6E95">
        <w:t xml:space="preserve">continued by </w:t>
      </w:r>
      <w:r>
        <w:t>the A</w:t>
      </w:r>
      <w:r w:rsidRPr="00DA6E95">
        <w:t xml:space="preserve">mbulance </w:t>
      </w:r>
      <w:r>
        <w:t>S</w:t>
      </w:r>
      <w:r w:rsidRPr="00DA6E95">
        <w:t>ervice</w:t>
      </w:r>
      <w:r>
        <w:t>s,</w:t>
      </w:r>
      <w:r w:rsidRPr="00DA6E95">
        <w:t xml:space="preserve"> following an out-of-hospital cardiac arrest of presumed cardiac origin, where the arrest was bystander witnessed</w:t>
      </w:r>
      <w:r>
        <w:t>,</w:t>
      </w:r>
      <w:r w:rsidRPr="00DA6E95">
        <w:t xml:space="preserve"> and the initial rhythm was </w:t>
      </w:r>
      <w:r w:rsidRPr="00444612">
        <w:rPr>
          <w:rFonts w:cs="Arial"/>
        </w:rPr>
        <w:t>Ventricular Fibrillation or Ventricular Tachycardia</w:t>
      </w:r>
      <w:r>
        <w:rPr>
          <w:rFonts w:cs="Arial"/>
        </w:rPr>
        <w:t>.</w:t>
      </w:r>
      <w:r w:rsidR="00CB58C3">
        <w:rPr>
          <w:rFonts w:cs="Arial"/>
        </w:rPr>
        <w:t xml:space="preserve"> </w:t>
      </w:r>
      <w:r w:rsidR="002221E6">
        <w:rPr>
          <w:rFonts w:cs="Arial"/>
        </w:rPr>
        <w:t xml:space="preserve">The </w:t>
      </w:r>
      <w:proofErr w:type="spellStart"/>
      <w:r w:rsidR="002221E6">
        <w:rPr>
          <w:rFonts w:cs="Arial"/>
        </w:rPr>
        <w:t>Utstein</w:t>
      </w:r>
      <w:proofErr w:type="spellEnd"/>
      <w:r w:rsidR="002221E6">
        <w:rPr>
          <w:rFonts w:cs="Arial"/>
        </w:rPr>
        <w:t xml:space="preserve"> group therefore ha</w:t>
      </w:r>
      <w:r w:rsidR="00CB58C3">
        <w:rPr>
          <w:rFonts w:cs="Arial"/>
        </w:rPr>
        <w:t>ve a better chance of survival.</w:t>
      </w:r>
    </w:p>
    <w:p w:rsidR="00BE0BD9" w:rsidRDefault="00F8461F" w:rsidP="0032599C">
      <w:pPr>
        <w:rPr>
          <w:rFonts w:cs="Arial"/>
        </w:rPr>
      </w:pPr>
      <w:r>
        <w:rPr>
          <w:rFonts w:cs="Arial"/>
        </w:rPr>
        <w:t>There were</w:t>
      </w:r>
      <w:r w:rsidR="0032599C">
        <w:rPr>
          <w:rFonts w:cs="Arial"/>
        </w:rPr>
        <w:t xml:space="preserve"> </w:t>
      </w:r>
      <w:r w:rsidR="001A0F87">
        <w:rPr>
          <w:rFonts w:cs="Arial"/>
        </w:rPr>
        <w:t>309</w:t>
      </w:r>
      <w:r w:rsidR="00022C19">
        <w:rPr>
          <w:rFonts w:cs="Arial"/>
        </w:rPr>
        <w:t xml:space="preserve"> </w:t>
      </w:r>
      <w:r w:rsidR="00CB58C3">
        <w:rPr>
          <w:rFonts w:cs="Arial"/>
        </w:rPr>
        <w:t>such</w:t>
      </w:r>
      <w:r w:rsidR="0032599C" w:rsidRPr="00BF249B">
        <w:rPr>
          <w:rFonts w:cs="Arial"/>
        </w:rPr>
        <w:t xml:space="preserve"> patients </w:t>
      </w:r>
      <w:r w:rsidR="0032599C">
        <w:t>in England</w:t>
      </w:r>
      <w:r w:rsidR="0032599C" w:rsidRPr="00BF249B">
        <w:rPr>
          <w:rFonts w:cs="Arial"/>
        </w:rPr>
        <w:t xml:space="preserve"> in</w:t>
      </w:r>
      <w:r w:rsidR="001A0F87">
        <w:rPr>
          <w:rFonts w:cs="Arial"/>
        </w:rPr>
        <w:t xml:space="preserve"> July</w:t>
      </w:r>
      <w:r w:rsidR="0088041C">
        <w:rPr>
          <w:rFonts w:cs="Arial"/>
        </w:rPr>
        <w:t xml:space="preserve"> </w:t>
      </w:r>
      <w:r w:rsidR="00022C19" w:rsidRPr="00022C19">
        <w:rPr>
          <w:rFonts w:cs="Arial"/>
        </w:rPr>
        <w:t>2015</w:t>
      </w:r>
      <w:r w:rsidR="0032599C" w:rsidRPr="00BF249B">
        <w:rPr>
          <w:rFonts w:cs="Arial"/>
        </w:rPr>
        <w:t xml:space="preserve">, </w:t>
      </w:r>
      <w:r>
        <w:rPr>
          <w:rFonts w:cs="Arial"/>
        </w:rPr>
        <w:t xml:space="preserve">of which </w:t>
      </w:r>
      <w:r w:rsidR="00AD0455" w:rsidRPr="00AD0455">
        <w:rPr>
          <w:rFonts w:cs="Arial"/>
        </w:rPr>
        <w:t>1</w:t>
      </w:r>
      <w:r w:rsidR="00B66ED0">
        <w:rPr>
          <w:rFonts w:cs="Arial"/>
        </w:rPr>
        <w:t>56</w:t>
      </w:r>
      <w:r>
        <w:rPr>
          <w:rFonts w:cs="Arial"/>
        </w:rPr>
        <w:t xml:space="preserve"> (</w:t>
      </w:r>
      <w:r w:rsidR="001A0F87">
        <w:rPr>
          <w:rFonts w:cs="Arial"/>
        </w:rPr>
        <w:t>50.5</w:t>
      </w:r>
      <w:r w:rsidR="0032599C" w:rsidRPr="00745962">
        <w:rPr>
          <w:rFonts w:cs="Arial"/>
        </w:rPr>
        <w:t>%</w:t>
      </w:r>
      <w:r>
        <w:rPr>
          <w:rFonts w:cs="Arial"/>
        </w:rPr>
        <w:t>)</w:t>
      </w:r>
      <w:r w:rsidR="0032599C" w:rsidRPr="00745962">
        <w:rPr>
          <w:rFonts w:cs="Arial"/>
        </w:rPr>
        <w:t xml:space="preserve"> </w:t>
      </w:r>
      <w:r w:rsidR="0032599C" w:rsidRPr="00BF249B">
        <w:rPr>
          <w:rFonts w:cs="Arial"/>
        </w:rPr>
        <w:t xml:space="preserve">had </w:t>
      </w:r>
      <w:r w:rsidR="0032599C">
        <w:rPr>
          <w:rFonts w:cs="Arial"/>
        </w:rPr>
        <w:t>ROSC</w:t>
      </w:r>
      <w:r w:rsidR="0032599C" w:rsidRPr="00BF249B">
        <w:rPr>
          <w:rFonts w:cs="Arial"/>
        </w:rPr>
        <w:t xml:space="preserve"> on arrival at hospital</w:t>
      </w:r>
      <w:r w:rsidR="00C814F1">
        <w:rPr>
          <w:rFonts w:cs="Arial"/>
        </w:rPr>
        <w:t xml:space="preserve"> (Figure 5)</w:t>
      </w:r>
      <w:r w:rsidR="00BA610C">
        <w:rPr>
          <w:rFonts w:cs="Arial"/>
        </w:rPr>
        <w:t xml:space="preserve">. This was not significantly different to the England </w:t>
      </w:r>
      <w:r w:rsidR="0032599C" w:rsidRPr="00BF249B">
        <w:rPr>
          <w:rFonts w:cs="Arial"/>
        </w:rPr>
        <w:t xml:space="preserve">average for </w:t>
      </w:r>
      <w:r w:rsidR="00DA4BA4">
        <w:rPr>
          <w:rFonts w:cs="Arial"/>
        </w:rPr>
        <w:t>2014-15 of 49%</w:t>
      </w:r>
      <w:r w:rsidR="0032599C" w:rsidRPr="00BF249B">
        <w:rPr>
          <w:rFonts w:cs="Arial"/>
        </w:rPr>
        <w:t>.</w:t>
      </w:r>
      <w:r w:rsidR="00CF061B">
        <w:rPr>
          <w:rFonts w:cs="Arial"/>
        </w:rPr>
        <w:t xml:space="preserve"> </w:t>
      </w:r>
      <w:r w:rsidR="00BE0BD9" w:rsidRPr="00BE0BD9">
        <w:rPr>
          <w:rFonts w:cs="Arial"/>
        </w:rPr>
        <w:t>The largest</w:t>
      </w:r>
      <w:r w:rsidR="007E28DC" w:rsidRPr="007E28DC">
        <w:rPr>
          <w:rFonts w:cs="Arial"/>
          <w:sz w:val="22"/>
          <w:szCs w:val="22"/>
          <w:vertAlign w:val="superscript"/>
        </w:rPr>
        <w:t>8</w:t>
      </w:r>
      <w:r w:rsidR="00BE0BD9" w:rsidRPr="00BE0BD9">
        <w:rPr>
          <w:rFonts w:cs="Arial"/>
        </w:rPr>
        <w:t xml:space="preserve"> proportion in the month of </w:t>
      </w:r>
      <w:r w:rsidR="008E41D7">
        <w:rPr>
          <w:rFonts w:cs="Arial"/>
        </w:rPr>
        <w:t>Ju</w:t>
      </w:r>
      <w:r w:rsidR="00EF3A00">
        <w:rPr>
          <w:rFonts w:cs="Arial"/>
        </w:rPr>
        <w:t>ly</w:t>
      </w:r>
      <w:r w:rsidR="008E41D7">
        <w:rPr>
          <w:rFonts w:cs="Arial"/>
        </w:rPr>
        <w:t xml:space="preserve"> 2015 was </w:t>
      </w:r>
      <w:r w:rsidR="001A0F87">
        <w:rPr>
          <w:rFonts w:cs="Arial"/>
        </w:rPr>
        <w:t>Yorkshire with 66</w:t>
      </w:r>
      <w:r w:rsidR="00922AD2">
        <w:rPr>
          <w:rFonts w:cs="Arial"/>
        </w:rPr>
        <w:t>%, and t</w:t>
      </w:r>
      <w:r w:rsidR="00522906">
        <w:rPr>
          <w:rFonts w:cs="Arial"/>
        </w:rPr>
        <w:t xml:space="preserve">he </w:t>
      </w:r>
      <w:r w:rsidR="00BE0BD9" w:rsidRPr="00BE0BD9">
        <w:rPr>
          <w:rFonts w:cs="Arial"/>
        </w:rPr>
        <w:t>smal</w:t>
      </w:r>
      <w:r w:rsidR="00BE0BD9">
        <w:rPr>
          <w:rFonts w:cs="Arial"/>
        </w:rPr>
        <w:t xml:space="preserve">lest </w:t>
      </w:r>
      <w:r w:rsidR="00BE0BD9" w:rsidRPr="00BE0BD9">
        <w:rPr>
          <w:rFonts w:cs="Arial"/>
        </w:rPr>
        <w:t xml:space="preserve">was </w:t>
      </w:r>
      <w:r w:rsidR="001A0F87">
        <w:rPr>
          <w:rFonts w:cs="Arial"/>
        </w:rPr>
        <w:t>31</w:t>
      </w:r>
      <w:r w:rsidR="00BE0BD9" w:rsidRPr="00BE0BD9">
        <w:rPr>
          <w:rFonts w:cs="Arial"/>
        </w:rPr>
        <w:t xml:space="preserve">% for </w:t>
      </w:r>
      <w:r w:rsidR="001A0F87">
        <w:rPr>
          <w:rFonts w:cs="Arial"/>
        </w:rPr>
        <w:t>North East.</w:t>
      </w:r>
    </w:p>
    <w:p w:rsidR="00DA4BA4" w:rsidRDefault="00A66D79" w:rsidP="0032599C">
      <w:r>
        <w:rPr>
          <w:noProof/>
        </w:rPr>
        <w:drawing>
          <wp:inline distT="0" distB="0" distL="0" distR="0" wp14:anchorId="2B76F14A" wp14:editId="0D136E5E">
            <wp:extent cx="5675630" cy="3554095"/>
            <wp:effectExtent l="0" t="0" r="127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75630" cy="3554095"/>
                    </a:xfrm>
                    <a:prstGeom prst="rect">
                      <a:avLst/>
                    </a:prstGeom>
                    <a:noFill/>
                  </pic:spPr>
                </pic:pic>
              </a:graphicData>
            </a:graphic>
          </wp:inline>
        </w:drawing>
      </w:r>
    </w:p>
    <w:p w:rsidR="003A0D0C" w:rsidRDefault="003A0D0C" w:rsidP="003A0D0C">
      <w:pPr>
        <w:pStyle w:val="Heading3"/>
        <w:rPr>
          <w:noProof/>
        </w:rPr>
      </w:pPr>
      <w:r>
        <w:t>B2</w:t>
      </w:r>
      <w:r>
        <w:tab/>
        <w:t>Cardiac arrest: survival to discharge</w:t>
      </w:r>
      <w:r w:rsidR="00D4605E" w:rsidRPr="00D4605E">
        <w:rPr>
          <w:noProof/>
        </w:rPr>
        <w:t xml:space="preserve"> </w:t>
      </w:r>
    </w:p>
    <w:p w:rsidR="007A2B8C" w:rsidRDefault="007A2B8C" w:rsidP="007A2B8C">
      <w:r>
        <w:t>The proportion of cardiac arrest patients in England discharged fr</w:t>
      </w:r>
      <w:r w:rsidR="00717328">
        <w:t>om hospital alive was 9% in July</w:t>
      </w:r>
      <w:r>
        <w:t xml:space="preserve"> </w:t>
      </w:r>
      <w:r w:rsidRPr="0079282B">
        <w:t>2015</w:t>
      </w:r>
      <w:r>
        <w:t xml:space="preserve"> (Figure 6), </w:t>
      </w:r>
      <w:r w:rsidR="00717328">
        <w:t>the same as the</w:t>
      </w:r>
      <w:r>
        <w:t xml:space="preserve"> average for 2014-15 of 9%. T</w:t>
      </w:r>
      <w:r w:rsidRPr="003E0534">
        <w:t xml:space="preserve">he largest proportion </w:t>
      </w:r>
      <w:r w:rsidR="00717328">
        <w:t>in July</w:t>
      </w:r>
      <w:r w:rsidR="00C73251">
        <w:t xml:space="preserve"> 2015 </w:t>
      </w:r>
      <w:r w:rsidRPr="003E0534">
        <w:t>was</w:t>
      </w:r>
      <w:r>
        <w:t xml:space="preserve"> </w:t>
      </w:r>
      <w:r w:rsidR="00717328">
        <w:t>18</w:t>
      </w:r>
      <w:r w:rsidR="00C73251">
        <w:t xml:space="preserve">% for </w:t>
      </w:r>
      <w:r w:rsidRPr="003E0534">
        <w:t>S</w:t>
      </w:r>
      <w:r>
        <w:t>outh Central</w:t>
      </w:r>
      <w:r w:rsidR="00C73251">
        <w:t>,</w:t>
      </w:r>
      <w:r>
        <w:t xml:space="preserve"> </w:t>
      </w:r>
      <w:r w:rsidR="00C73251">
        <w:t>and the smallest</w:t>
      </w:r>
      <w:r w:rsidR="007E28DC" w:rsidRPr="007E28DC">
        <w:rPr>
          <w:sz w:val="20"/>
          <w:szCs w:val="20"/>
          <w:vertAlign w:val="superscript"/>
        </w:rPr>
        <w:t>8</w:t>
      </w:r>
      <w:r w:rsidR="00C73251">
        <w:t xml:space="preserve"> was 6% for </w:t>
      </w:r>
      <w:r w:rsidR="00717328">
        <w:t>North West</w:t>
      </w:r>
      <w:r w:rsidR="00C73251">
        <w:t>.</w:t>
      </w:r>
    </w:p>
    <w:p w:rsidR="00C73251" w:rsidRPr="002247A6" w:rsidRDefault="00C73251" w:rsidP="00C73251">
      <w:r>
        <w:t xml:space="preserve">For the </w:t>
      </w:r>
      <w:proofErr w:type="spellStart"/>
      <w:r>
        <w:t>Utstein</w:t>
      </w:r>
      <w:proofErr w:type="spellEnd"/>
      <w:r>
        <w:t xml:space="preserve"> gro</w:t>
      </w:r>
      <w:r w:rsidR="00717328">
        <w:t>up, survival to discharge in July</w:t>
      </w:r>
      <w:r>
        <w:t xml:space="preserve"> </w:t>
      </w:r>
      <w:r w:rsidRPr="0079282B">
        <w:t>2015</w:t>
      </w:r>
      <w:r w:rsidR="00717328">
        <w:t xml:space="preserve"> was 26</w:t>
      </w:r>
      <w:r w:rsidRPr="004C6F83">
        <w:t>%</w:t>
      </w:r>
      <w:r>
        <w:t xml:space="preserve">, which was </w:t>
      </w:r>
      <w:r w:rsidR="00717328">
        <w:t xml:space="preserve">the same as </w:t>
      </w:r>
      <w:r>
        <w:t xml:space="preserve">the </w:t>
      </w:r>
      <w:r w:rsidRPr="002A2463">
        <w:t xml:space="preserve">average </w:t>
      </w:r>
      <w:r>
        <w:t>for 2014-15 (26%</w:t>
      </w:r>
      <w:r w:rsidR="00717328">
        <w:t>). The largest proportion was 47</w:t>
      </w:r>
      <w:r w:rsidRPr="003E0534">
        <w:t>% for</w:t>
      </w:r>
      <w:r w:rsidR="00717328">
        <w:t xml:space="preserve"> South Central</w:t>
      </w:r>
      <w:r>
        <w:t>, and the smallest</w:t>
      </w:r>
      <w:r w:rsidR="007E28DC">
        <w:rPr>
          <w:sz w:val="20"/>
          <w:szCs w:val="20"/>
          <w:vertAlign w:val="superscript"/>
        </w:rPr>
        <w:t>8</w:t>
      </w:r>
      <w:r w:rsidR="00717328">
        <w:t xml:space="preserve"> was 8% for North East</w:t>
      </w:r>
      <w:r w:rsidRPr="003E0534">
        <w:t>.</w:t>
      </w:r>
    </w:p>
    <w:p w:rsidR="001E1B0A" w:rsidRDefault="001E1B0A" w:rsidP="0032599C"/>
    <w:p w:rsidR="00E6125B" w:rsidRDefault="00717328" w:rsidP="0032599C">
      <w:r>
        <w:rPr>
          <w:noProof/>
        </w:rPr>
        <w:lastRenderedPageBreak/>
        <w:drawing>
          <wp:inline distT="0" distB="0" distL="0" distR="0" wp14:anchorId="572AFD7F" wp14:editId="274BE1C1">
            <wp:extent cx="5669915" cy="2871470"/>
            <wp:effectExtent l="0" t="0" r="698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69915" cy="2871470"/>
                    </a:xfrm>
                    <a:prstGeom prst="rect">
                      <a:avLst/>
                    </a:prstGeom>
                    <a:noFill/>
                  </pic:spPr>
                </pic:pic>
              </a:graphicData>
            </a:graphic>
          </wp:inline>
        </w:drawing>
      </w:r>
    </w:p>
    <w:p w:rsidR="003A0D0C" w:rsidRDefault="003A0D0C" w:rsidP="003A0D0C">
      <w:pPr>
        <w:pStyle w:val="Heading3"/>
      </w:pPr>
      <w:r>
        <w:t>B3</w:t>
      </w:r>
      <w:r>
        <w:tab/>
      </w:r>
      <w:r w:rsidRPr="00DA6E95">
        <w:t>ST-Elevation myocardial infarction</w:t>
      </w:r>
    </w:p>
    <w:p w:rsidR="003A0D0C" w:rsidRDefault="003A0D0C" w:rsidP="003A0D0C">
      <w:r>
        <w:rPr>
          <w:rFonts w:cs="Arial"/>
        </w:rPr>
        <w:t>ST-</w:t>
      </w:r>
      <w:r w:rsidRPr="002C522F">
        <w:rPr>
          <w:rFonts w:cs="Arial"/>
        </w:rPr>
        <w:t>segment elevation myocardial infarction</w:t>
      </w:r>
      <w:r>
        <w:rPr>
          <w:rFonts w:cs="Arial"/>
        </w:rPr>
        <w:t xml:space="preserve"> </w:t>
      </w:r>
      <w:r w:rsidR="00CD037E">
        <w:rPr>
          <w:rFonts w:cs="Arial"/>
        </w:rPr>
        <w:t xml:space="preserve">(STEMI) </w:t>
      </w:r>
      <w:r w:rsidRPr="002C522F">
        <w:rPr>
          <w:rFonts w:cs="Arial"/>
        </w:rPr>
        <w:t>is a type of heart</w:t>
      </w:r>
      <w:r>
        <w:rPr>
          <w:rFonts w:cs="Arial"/>
        </w:rPr>
        <w:t xml:space="preserve"> </w:t>
      </w:r>
      <w:r w:rsidRPr="002C522F">
        <w:rPr>
          <w:rFonts w:cs="Arial"/>
        </w:rPr>
        <w:t>attack</w:t>
      </w:r>
      <w:r>
        <w:rPr>
          <w:rFonts w:cs="Arial"/>
        </w:rPr>
        <w:t xml:space="preserve">, </w:t>
      </w:r>
      <w:r w:rsidRPr="002C522F">
        <w:rPr>
          <w:rFonts w:cs="Arial"/>
        </w:rPr>
        <w:t>determined by an electrocardiogram (ECG) test.</w:t>
      </w:r>
      <w:r>
        <w:rPr>
          <w:rFonts w:cs="Arial"/>
        </w:rPr>
        <w:t xml:space="preserve"> Early access to reperfusion,</w:t>
      </w:r>
      <w:r w:rsidRPr="002C522F">
        <w:rPr>
          <w:rFonts w:cs="Arial"/>
        </w:rPr>
        <w:t xml:space="preserve"> where blocked arteries are op</w:t>
      </w:r>
      <w:r>
        <w:rPr>
          <w:rFonts w:cs="Arial"/>
        </w:rPr>
        <w:t xml:space="preserve">ened to re-establish blood flow, </w:t>
      </w:r>
      <w:r w:rsidRPr="002C522F">
        <w:rPr>
          <w:rFonts w:cs="Arial"/>
        </w:rPr>
        <w:t>and other assessment and care interventions</w:t>
      </w:r>
      <w:r>
        <w:rPr>
          <w:rFonts w:cs="Arial"/>
        </w:rPr>
        <w:t>,</w:t>
      </w:r>
      <w:r w:rsidRPr="002C522F">
        <w:rPr>
          <w:rFonts w:cs="Arial"/>
        </w:rPr>
        <w:t xml:space="preserve"> are associated with reductions in STEMI</w:t>
      </w:r>
      <w:r>
        <w:rPr>
          <w:rFonts w:cs="Arial"/>
        </w:rPr>
        <w:t xml:space="preserve"> </w:t>
      </w:r>
      <w:r w:rsidRPr="002C522F">
        <w:rPr>
          <w:rFonts w:cs="Arial"/>
        </w:rPr>
        <w:t>mortality and morbidity.</w:t>
      </w:r>
    </w:p>
    <w:p w:rsidR="00E125FC" w:rsidRDefault="00104812" w:rsidP="00E125FC">
      <w:r>
        <w:t xml:space="preserve">Of </w:t>
      </w:r>
      <w:r w:rsidR="00B855BA">
        <w:t>866</w:t>
      </w:r>
      <w:r>
        <w:t xml:space="preserve"> STEMI patients that </w:t>
      </w:r>
      <w:r w:rsidRPr="00DA6E95">
        <w:t>receiv</w:t>
      </w:r>
      <w:r>
        <w:t xml:space="preserve">ed </w:t>
      </w:r>
      <w:r w:rsidRPr="00DA6E95">
        <w:t>primary angioplasty</w:t>
      </w:r>
      <w:r w:rsidRPr="00940A61">
        <w:t xml:space="preserve"> </w:t>
      </w:r>
      <w:r>
        <w:t xml:space="preserve">in </w:t>
      </w:r>
      <w:r w:rsidR="00717328">
        <w:t>July</w:t>
      </w:r>
      <w:r w:rsidR="005612D9">
        <w:t xml:space="preserve"> </w:t>
      </w:r>
      <w:r w:rsidRPr="00597ACE">
        <w:t>2015</w:t>
      </w:r>
      <w:r>
        <w:t xml:space="preserve"> in England</w:t>
      </w:r>
      <w:r w:rsidRPr="00DA6E95">
        <w:t xml:space="preserve">, </w:t>
      </w:r>
      <w:r w:rsidR="00B855BA">
        <w:t>756</w:t>
      </w:r>
      <w:r w:rsidRPr="00957E91">
        <w:t xml:space="preserve"> </w:t>
      </w:r>
      <w:r>
        <w:t>(8</w:t>
      </w:r>
      <w:r w:rsidR="00B855BA">
        <w:t>7</w:t>
      </w:r>
      <w:r w:rsidRPr="00433A74">
        <w:t>%</w:t>
      </w:r>
      <w:r>
        <w:t xml:space="preserve">) of them </w:t>
      </w:r>
      <w:r w:rsidRPr="00DA6E95">
        <w:t xml:space="preserve">received </w:t>
      </w:r>
      <w:r>
        <w:t xml:space="preserve">it </w:t>
      </w:r>
      <w:r w:rsidRPr="00DA6E95">
        <w:t>within 150 minutes of the call being connected to the ambulance service</w:t>
      </w:r>
      <w:r>
        <w:t xml:space="preserve"> (Figure </w:t>
      </w:r>
      <w:r w:rsidR="005612D9">
        <w:t>7</w:t>
      </w:r>
      <w:r w:rsidR="00ED39A0">
        <w:t xml:space="preserve">), </w:t>
      </w:r>
      <w:r w:rsidR="00B855BA">
        <w:t xml:space="preserve">the same as </w:t>
      </w:r>
      <w:r w:rsidRPr="00D96387">
        <w:t xml:space="preserve">the </w:t>
      </w:r>
      <w:r>
        <w:t>average for 2014-15 of 87%</w:t>
      </w:r>
      <w:r w:rsidR="00ED39A0">
        <w:t>. T</w:t>
      </w:r>
      <w:r w:rsidR="00E125FC" w:rsidRPr="008132F5">
        <w:t>he largest</w:t>
      </w:r>
      <w:r w:rsidR="00780F7F">
        <w:rPr>
          <w:rStyle w:val="FootnoteReference"/>
        </w:rPr>
        <w:footnoteReference w:id="10"/>
      </w:r>
      <w:r w:rsidR="00E125FC" w:rsidRPr="008132F5">
        <w:t xml:space="preserve"> proportion </w:t>
      </w:r>
      <w:r w:rsidR="00B855BA">
        <w:t>for July</w:t>
      </w:r>
      <w:r w:rsidR="00E125FC">
        <w:t xml:space="preserve"> </w:t>
      </w:r>
      <w:r w:rsidR="00E125FC" w:rsidRPr="000F537D">
        <w:t>2015</w:t>
      </w:r>
      <w:r w:rsidR="00E125FC">
        <w:t xml:space="preserve"> </w:t>
      </w:r>
      <w:r w:rsidR="00E125FC" w:rsidRPr="008132F5">
        <w:t xml:space="preserve">was </w:t>
      </w:r>
      <w:r w:rsidR="00B855BA">
        <w:t>98</w:t>
      </w:r>
      <w:r w:rsidR="00E125FC" w:rsidRPr="00432C67">
        <w:t xml:space="preserve">% </w:t>
      </w:r>
      <w:r w:rsidR="00E125FC">
        <w:t>for</w:t>
      </w:r>
      <w:r w:rsidR="00E125FC" w:rsidRPr="008132F5">
        <w:t xml:space="preserve"> </w:t>
      </w:r>
      <w:r w:rsidR="00B855BA">
        <w:t>South Central</w:t>
      </w:r>
      <w:r w:rsidR="00E125FC">
        <w:t xml:space="preserve">, and the </w:t>
      </w:r>
      <w:r w:rsidR="00E125FC" w:rsidRPr="008132F5">
        <w:t>smallest</w:t>
      </w:r>
      <w:r w:rsidR="008C3945">
        <w:t xml:space="preserve"> </w:t>
      </w:r>
      <w:r w:rsidR="00E125FC" w:rsidRPr="008132F5">
        <w:t>was</w:t>
      </w:r>
      <w:r w:rsidR="00B855BA">
        <w:t xml:space="preserve"> 75</w:t>
      </w:r>
      <w:r w:rsidR="00E125FC" w:rsidRPr="00433A74">
        <w:t xml:space="preserve">% </w:t>
      </w:r>
      <w:r w:rsidR="00E125FC">
        <w:t xml:space="preserve">for </w:t>
      </w:r>
      <w:r w:rsidR="00E125FC" w:rsidRPr="00085A95">
        <w:t xml:space="preserve">South </w:t>
      </w:r>
      <w:r w:rsidR="00E125FC">
        <w:t>Western</w:t>
      </w:r>
      <w:r w:rsidR="00E6125B">
        <w:t>.</w:t>
      </w:r>
    </w:p>
    <w:p w:rsidR="00D30055" w:rsidRDefault="00B855BA" w:rsidP="00104812">
      <w:r>
        <w:rPr>
          <w:noProof/>
        </w:rPr>
        <w:drawing>
          <wp:inline distT="0" distB="0" distL="0" distR="0" wp14:anchorId="7EEC3FB2">
            <wp:extent cx="5602605" cy="29387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02605" cy="2938780"/>
                    </a:xfrm>
                    <a:prstGeom prst="rect">
                      <a:avLst/>
                    </a:prstGeom>
                    <a:noFill/>
                  </pic:spPr>
                </pic:pic>
              </a:graphicData>
            </a:graphic>
          </wp:inline>
        </w:drawing>
      </w:r>
    </w:p>
    <w:p w:rsidR="00104812" w:rsidRDefault="00B855BA" w:rsidP="00104812">
      <w:r>
        <w:lastRenderedPageBreak/>
        <w:t>In July</w:t>
      </w:r>
      <w:r w:rsidR="00104812">
        <w:t xml:space="preserve"> </w:t>
      </w:r>
      <w:r w:rsidR="00104812" w:rsidRPr="0079282B">
        <w:t>2015</w:t>
      </w:r>
      <w:r w:rsidR="00104812">
        <w:t xml:space="preserve">, of </w:t>
      </w:r>
      <w:r>
        <w:t>1,427</w:t>
      </w:r>
      <w:r w:rsidR="00B730BB">
        <w:t xml:space="preserve"> </w:t>
      </w:r>
      <w:r w:rsidR="00104812" w:rsidRPr="00DA6E95">
        <w:t>patients with an acute STEMI</w:t>
      </w:r>
      <w:r w:rsidR="00104812" w:rsidRPr="00940A61">
        <w:t xml:space="preserve"> </w:t>
      </w:r>
      <w:r w:rsidR="00104812">
        <w:t xml:space="preserve">in England, </w:t>
      </w:r>
      <w:r w:rsidRPr="00B855BA">
        <w:t xml:space="preserve">1,123 </w:t>
      </w:r>
      <w:r w:rsidR="004A1C61">
        <w:t>(79</w:t>
      </w:r>
      <w:r w:rsidR="00104812" w:rsidRPr="00432C67">
        <w:t>%</w:t>
      </w:r>
      <w:r w:rsidR="00104812">
        <w:t>)</w:t>
      </w:r>
      <w:r w:rsidR="00104812" w:rsidRPr="00432C67">
        <w:t xml:space="preserve"> </w:t>
      </w:r>
      <w:r w:rsidR="00104812" w:rsidRPr="00DA6E95">
        <w:t>received the appropriate care bundle</w:t>
      </w:r>
      <w:r w:rsidR="00104812">
        <w:rPr>
          <w:rStyle w:val="FootnoteReference"/>
        </w:rPr>
        <w:footnoteReference w:id="11"/>
      </w:r>
      <w:r w:rsidR="00104812">
        <w:t xml:space="preserve">. This was </w:t>
      </w:r>
      <w:r w:rsidR="00B730BB">
        <w:t>similar to t</w:t>
      </w:r>
      <w:r w:rsidR="00104812">
        <w:t>he average for 2014-15 of 80%.</w:t>
      </w:r>
      <w:r w:rsidR="0023382F">
        <w:t xml:space="preserve"> </w:t>
      </w:r>
      <w:r w:rsidR="00A32CDF" w:rsidRPr="00A32CDF">
        <w:t xml:space="preserve">North </w:t>
      </w:r>
      <w:r>
        <w:t>East</w:t>
      </w:r>
      <w:r w:rsidR="00504B11">
        <w:rPr>
          <w:rStyle w:val="FootnoteReference"/>
        </w:rPr>
        <w:footnoteReference w:id="12"/>
      </w:r>
      <w:r w:rsidR="00A32CDF" w:rsidRPr="00A32CDF">
        <w:t xml:space="preserve"> h</w:t>
      </w:r>
      <w:r w:rsidR="004A1C61">
        <w:t>ad the largest proportion</w:t>
      </w:r>
      <w:r>
        <w:t xml:space="preserve"> with 93</w:t>
      </w:r>
      <w:r w:rsidR="00A32CDF" w:rsidRPr="00A32CDF">
        <w:t xml:space="preserve">%, and </w:t>
      </w:r>
      <w:r w:rsidR="004A1C61">
        <w:t>the sm</w:t>
      </w:r>
      <w:r w:rsidR="00912200">
        <w:t>allest was So</w:t>
      </w:r>
      <w:r>
        <w:t>uth Central with 60</w:t>
      </w:r>
      <w:r w:rsidR="004A1C61">
        <w:t>%</w:t>
      </w:r>
      <w:r w:rsidR="00A32CDF" w:rsidRPr="00A32CDF">
        <w:t>.</w:t>
      </w:r>
    </w:p>
    <w:p w:rsidR="003A0D0C" w:rsidRDefault="003A0D0C" w:rsidP="003A0D0C">
      <w:pPr>
        <w:pStyle w:val="Heading3"/>
      </w:pPr>
      <w:r>
        <w:t>B4</w:t>
      </w:r>
      <w:r>
        <w:tab/>
        <w:t xml:space="preserve">Stroke </w:t>
      </w:r>
    </w:p>
    <w:p w:rsidR="003A0D0C" w:rsidRDefault="003A0D0C" w:rsidP="003A0D0C">
      <w:pPr>
        <w:pStyle w:val="NoSpacing"/>
      </w:pPr>
      <w:r>
        <w:t>The FAST procedure helps assess whether someone has suffered a stroke:</w:t>
      </w:r>
    </w:p>
    <w:p w:rsidR="003A0D0C" w:rsidRDefault="003A0D0C" w:rsidP="003A0D0C">
      <w:pPr>
        <w:pStyle w:val="ListBullet"/>
      </w:pPr>
      <w:r w:rsidRPr="002E6965">
        <w:rPr>
          <w:b/>
        </w:rPr>
        <w:t>F</w:t>
      </w:r>
      <w:r>
        <w:t>acial weakness: can the person smile? Has their mouth or eye drooped?</w:t>
      </w:r>
    </w:p>
    <w:p w:rsidR="003A0D0C" w:rsidRDefault="003A0D0C" w:rsidP="003A0D0C">
      <w:pPr>
        <w:pStyle w:val="ListBullet"/>
      </w:pPr>
      <w:r w:rsidRPr="002E6965">
        <w:rPr>
          <w:b/>
        </w:rPr>
        <w:t>A</w:t>
      </w:r>
      <w:r>
        <w:t>rm weakness: can the person raise both arms?</w:t>
      </w:r>
    </w:p>
    <w:p w:rsidR="003A0D0C" w:rsidRDefault="003A0D0C" w:rsidP="003A0D0C">
      <w:pPr>
        <w:pStyle w:val="ListBullet"/>
      </w:pPr>
      <w:r w:rsidRPr="002E6965">
        <w:rPr>
          <w:b/>
        </w:rPr>
        <w:t>S</w:t>
      </w:r>
      <w:r>
        <w:t>peech problems: can the person speak clearly and understand what you say?</w:t>
      </w:r>
    </w:p>
    <w:p w:rsidR="003A0D0C" w:rsidRDefault="003A0D0C" w:rsidP="003A0D0C">
      <w:pPr>
        <w:pStyle w:val="ListBullet"/>
      </w:pPr>
      <w:r w:rsidRPr="002E6965">
        <w:rPr>
          <w:b/>
        </w:rPr>
        <w:t>T</w:t>
      </w:r>
      <w:r>
        <w:t>ime to call 999 for an ambulance if you spot any one of these signs.</w:t>
      </w:r>
    </w:p>
    <w:p w:rsidR="00C95B24" w:rsidRDefault="0032599C" w:rsidP="00312B69">
      <w:r>
        <w:t xml:space="preserve">In </w:t>
      </w:r>
      <w:r w:rsidR="00465E3C">
        <w:t>July</w:t>
      </w:r>
      <w:r w:rsidR="00C835FB">
        <w:t xml:space="preserve"> </w:t>
      </w:r>
      <w:r w:rsidR="00240F81">
        <w:t>2</w:t>
      </w:r>
      <w:r w:rsidR="00F81BC9" w:rsidRPr="00F81BC9">
        <w:t>015</w:t>
      </w:r>
      <w:r>
        <w:t xml:space="preserve">, of </w:t>
      </w:r>
      <w:r w:rsidR="00B855BA" w:rsidRPr="00B855BA">
        <w:t>3,255</w:t>
      </w:r>
      <w:r w:rsidR="00B855BA">
        <w:t xml:space="preserve"> </w:t>
      </w:r>
      <w:r>
        <w:t>FAST positive patients</w:t>
      </w:r>
      <w:r w:rsidRPr="00940A61">
        <w:t xml:space="preserve"> </w:t>
      </w:r>
      <w:r>
        <w:t xml:space="preserve">in England, assessed face to face, and potentially eligible for stroke thrombolysis within agreed local guidelines, </w:t>
      </w:r>
      <w:r w:rsidR="00B855BA">
        <w:t>1,906</w:t>
      </w:r>
      <w:r w:rsidR="005F1582" w:rsidRPr="005F1582">
        <w:t xml:space="preserve"> </w:t>
      </w:r>
      <w:r>
        <w:t>(</w:t>
      </w:r>
      <w:r w:rsidR="00B855BA">
        <w:t>59</w:t>
      </w:r>
      <w:r w:rsidRPr="001067D4">
        <w:t>%</w:t>
      </w:r>
      <w:r>
        <w:t>) arrived at hospitals with</w:t>
      </w:r>
      <w:r w:rsidRPr="00DA6E95">
        <w:t xml:space="preserve"> a </w:t>
      </w:r>
      <w:proofErr w:type="spellStart"/>
      <w:r w:rsidRPr="00DA6E95">
        <w:t>hyperacute</w:t>
      </w:r>
      <w:proofErr w:type="spellEnd"/>
      <w:r w:rsidRPr="00DA6E95">
        <w:t xml:space="preserve"> stroke unit within 60 minutes</w:t>
      </w:r>
      <w:r>
        <w:t xml:space="preserve"> of an emergency call connecting to the ambulanc</w:t>
      </w:r>
      <w:r w:rsidR="00881BB4">
        <w:t>e service</w:t>
      </w:r>
      <w:r w:rsidR="006034E1">
        <w:t xml:space="preserve">, </w:t>
      </w:r>
      <w:r w:rsidR="00806A50">
        <w:t xml:space="preserve">the </w:t>
      </w:r>
      <w:r w:rsidR="00B855BA">
        <w:t xml:space="preserve">same as the </w:t>
      </w:r>
      <w:r w:rsidR="00806A50">
        <w:t>average for 2014-15 of 59%</w:t>
      </w:r>
      <w:r w:rsidR="00E6125B">
        <w:t>.</w:t>
      </w:r>
    </w:p>
    <w:p w:rsidR="00312B69" w:rsidRDefault="00312B69" w:rsidP="00312B69">
      <w:r w:rsidRPr="008E44F8">
        <w:t xml:space="preserve">The largest proportion in the month of </w:t>
      </w:r>
      <w:r w:rsidR="00EF3A00">
        <w:t>July</w:t>
      </w:r>
      <w:r>
        <w:t xml:space="preserve"> </w:t>
      </w:r>
      <w:r w:rsidRPr="008E44F8">
        <w:t>2015 was 7</w:t>
      </w:r>
      <w:r w:rsidR="0082415F">
        <w:t>1% for North East</w:t>
      </w:r>
      <w:r w:rsidRPr="008E44F8">
        <w:t xml:space="preserve">, and the smallest was </w:t>
      </w:r>
      <w:r w:rsidR="0082415F">
        <w:t>44</w:t>
      </w:r>
      <w:r w:rsidRPr="008E44F8">
        <w:t xml:space="preserve">% for </w:t>
      </w:r>
      <w:r w:rsidR="0082415F">
        <w:t>South Western</w:t>
      </w:r>
      <w:r w:rsidRPr="008E44F8">
        <w:t>.</w:t>
      </w:r>
    </w:p>
    <w:p w:rsidR="006E6FAF" w:rsidRDefault="006A5F54" w:rsidP="001E75EA">
      <w:bookmarkStart w:id="2" w:name="OLE_LINK3"/>
      <w:r>
        <w:t>T</w:t>
      </w:r>
      <w:r w:rsidR="00033CF1">
        <w:t xml:space="preserve">here were </w:t>
      </w:r>
      <w:r w:rsidR="0082415F">
        <w:t>7,504</w:t>
      </w:r>
      <w:r w:rsidR="00842445" w:rsidRPr="00842445">
        <w:t xml:space="preserve"> </w:t>
      </w:r>
      <w:r w:rsidR="00033CF1">
        <w:t>stroke patients</w:t>
      </w:r>
      <w:r w:rsidR="00033CF1" w:rsidRPr="00940A61">
        <w:t xml:space="preserve"> </w:t>
      </w:r>
      <w:r w:rsidR="00033CF1">
        <w:t>assessed face to face</w:t>
      </w:r>
      <w:r w:rsidR="00033CF1" w:rsidRPr="007920B1">
        <w:t xml:space="preserve"> </w:t>
      </w:r>
      <w:r w:rsidR="00033CF1">
        <w:t xml:space="preserve">in </w:t>
      </w:r>
      <w:r w:rsidR="0082415F">
        <w:t>July</w:t>
      </w:r>
      <w:r w:rsidR="00842445">
        <w:t xml:space="preserve"> </w:t>
      </w:r>
      <w:r w:rsidR="006E6FAF" w:rsidRPr="006E6FAF">
        <w:t>2015</w:t>
      </w:r>
      <w:r w:rsidR="006E6FAF">
        <w:t xml:space="preserve"> </w:t>
      </w:r>
      <w:r w:rsidR="00033CF1">
        <w:t xml:space="preserve">in England, and </w:t>
      </w:r>
      <w:r w:rsidR="0082415F" w:rsidRPr="0082415F">
        <w:t xml:space="preserve">7,347 </w:t>
      </w:r>
      <w:r w:rsidR="00352975">
        <w:t>(98</w:t>
      </w:r>
      <w:r w:rsidR="00033CF1" w:rsidRPr="002502D1">
        <w:t>%</w:t>
      </w:r>
      <w:r w:rsidR="00033CF1">
        <w:t>)</w:t>
      </w:r>
      <w:r w:rsidR="00033CF1" w:rsidRPr="001A6875">
        <w:t xml:space="preserve"> </w:t>
      </w:r>
      <w:r w:rsidR="00033CF1">
        <w:t xml:space="preserve">received </w:t>
      </w:r>
      <w:r w:rsidR="00033CF1" w:rsidRPr="00DA6E95">
        <w:t>the appropriate care bundle</w:t>
      </w:r>
      <w:r w:rsidR="00504B11">
        <w:t>, s</w:t>
      </w:r>
      <w:r w:rsidR="00CE0C83">
        <w:t>imilar to the average for 2014-15 of</w:t>
      </w:r>
      <w:r w:rsidR="006034E1">
        <w:t xml:space="preserve"> </w:t>
      </w:r>
      <w:r w:rsidR="00352975">
        <w:t>97</w:t>
      </w:r>
      <w:bookmarkEnd w:id="2"/>
      <w:r w:rsidR="00E97670">
        <w:t>%</w:t>
      </w:r>
      <w:r w:rsidR="009A4740">
        <w:t>.</w:t>
      </w:r>
      <w:r w:rsidR="00421AE3">
        <w:t xml:space="preserve"> This is the highest recorded proportion since monthly recording began and t</w:t>
      </w:r>
      <w:r w:rsidR="00465E3C">
        <w:t>he proportion for all trusts was 95% or above in July</w:t>
      </w:r>
      <w:r w:rsidR="00504B11">
        <w:t xml:space="preserve"> 2015.</w:t>
      </w:r>
    </w:p>
    <w:p w:rsidR="00881F90" w:rsidRDefault="00A66D79" w:rsidP="0032599C">
      <w:r>
        <w:rPr>
          <w:noProof/>
        </w:rPr>
        <w:drawing>
          <wp:inline distT="0" distB="0" distL="0" distR="0" wp14:anchorId="42AF8775">
            <wp:extent cx="5517515" cy="2877820"/>
            <wp:effectExtent l="0" t="0" r="698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17515" cy="2877820"/>
                    </a:xfrm>
                    <a:prstGeom prst="rect">
                      <a:avLst/>
                    </a:prstGeom>
                    <a:noFill/>
                  </pic:spPr>
                </pic:pic>
              </a:graphicData>
            </a:graphic>
          </wp:inline>
        </w:drawing>
      </w:r>
    </w:p>
    <w:p w:rsidR="003A0D0C" w:rsidRDefault="003A0D0C" w:rsidP="003A0D0C">
      <w:pPr>
        <w:pStyle w:val="Heading2"/>
      </w:pPr>
      <w:r>
        <w:lastRenderedPageBreak/>
        <w:t>C.</w:t>
      </w:r>
      <w:r>
        <w:tab/>
        <w:t>Further information on AQI</w:t>
      </w:r>
    </w:p>
    <w:p w:rsidR="003A0D0C" w:rsidRDefault="003A0D0C" w:rsidP="003A0D0C">
      <w:pPr>
        <w:pStyle w:val="Heading3"/>
      </w:pPr>
      <w:r>
        <w:t>C1</w:t>
      </w:r>
      <w:r>
        <w:tab/>
        <w:t>The AQI landing page and Quality Statement</w:t>
      </w:r>
    </w:p>
    <w:p w:rsidR="003A0D0C" w:rsidRDefault="007E28DC" w:rsidP="003A0D0C">
      <w:pPr>
        <w:rPr>
          <w:rFonts w:cs="Arial"/>
        </w:rPr>
      </w:pPr>
      <w:hyperlink r:id="rId20" w:history="1">
        <w:r w:rsidR="003A0D0C" w:rsidRPr="005D248D">
          <w:rPr>
            <w:rStyle w:val="Hyperlink"/>
            <w:rFonts w:cs="Arial"/>
          </w:rPr>
          <w:t>www.england.nhs.uk/statistics/statistical-work-areas/ambulance-quality-indicators</w:t>
        </w:r>
      </w:hyperlink>
      <w:r w:rsidR="003A0D0C">
        <w:rPr>
          <w:rFonts w:cs="Arial"/>
        </w:rPr>
        <w:t xml:space="preserve">, or </w:t>
      </w:r>
      <w:hyperlink r:id="rId21" w:history="1">
        <w:r w:rsidR="003A0D0C" w:rsidRPr="0088359D">
          <w:rPr>
            <w:rStyle w:val="Hyperlink"/>
            <w:rFonts w:cs="Arial"/>
          </w:rPr>
          <w:t>http://bit.ly/NHSAQI</w:t>
        </w:r>
      </w:hyperlink>
      <w:r w:rsidR="003A0D0C">
        <w:rPr>
          <w:rFonts w:cs="Arial"/>
        </w:rPr>
        <w:t xml:space="preserve">, is the </w:t>
      </w:r>
      <w:r w:rsidR="003A0D0C">
        <w:t xml:space="preserve">AQI </w:t>
      </w:r>
      <w:r w:rsidR="003A0D0C">
        <w:rPr>
          <w:rFonts w:cs="Arial"/>
        </w:rPr>
        <w:t>landing page, and it holds:</w:t>
      </w:r>
    </w:p>
    <w:p w:rsidR="003A0D0C" w:rsidRDefault="003A0D0C" w:rsidP="003A0D0C">
      <w:pPr>
        <w:pStyle w:val="ListBullet"/>
      </w:pPr>
      <w:r>
        <w:t>a</w:t>
      </w:r>
      <w:r w:rsidRPr="00875FD5">
        <w:t xml:space="preserve"> Quality Statement</w:t>
      </w:r>
      <w:r>
        <w:t xml:space="preserve"> for these statistics, which includes information on relevance, accuracy, timeliness, coherence, and user engagement</w:t>
      </w:r>
      <w:r w:rsidR="00145BE4">
        <w:t>;</w:t>
      </w:r>
    </w:p>
    <w:p w:rsidR="003A0D0C" w:rsidRDefault="003A0D0C" w:rsidP="003A0D0C">
      <w:pPr>
        <w:pStyle w:val="ListBullet"/>
      </w:pPr>
      <w:r>
        <w:t xml:space="preserve">the specification guidance </w:t>
      </w:r>
      <w:r w:rsidR="00E446B4">
        <w:t xml:space="preserve">document </w:t>
      </w:r>
      <w:r>
        <w:t>for those who supply the data;</w:t>
      </w:r>
    </w:p>
    <w:p w:rsidR="003A0D0C" w:rsidRDefault="003A0D0C" w:rsidP="003A0D0C">
      <w:pPr>
        <w:pStyle w:val="ListBullet"/>
      </w:pPr>
      <w:r>
        <w:t>timetables for data collection and publication;</w:t>
      </w:r>
    </w:p>
    <w:p w:rsidR="003A0D0C" w:rsidRDefault="003A0D0C" w:rsidP="003A0D0C">
      <w:pPr>
        <w:pStyle w:val="ListBullet"/>
      </w:pPr>
      <w:r>
        <w:t xml:space="preserve">text files and </w:t>
      </w:r>
      <w:r w:rsidRPr="00875FD5">
        <w:t>time series spreadsheets</w:t>
      </w:r>
      <w:r>
        <w:t xml:space="preserve"> containing all </w:t>
      </w:r>
      <w:r w:rsidRPr="00875FD5">
        <w:t xml:space="preserve">data </w:t>
      </w:r>
      <w:r>
        <w:t xml:space="preserve">from </w:t>
      </w:r>
      <w:r w:rsidRPr="00875FD5">
        <w:t>April 2011</w:t>
      </w:r>
      <w:r>
        <w:t xml:space="preserve"> up to the latest month;</w:t>
      </w:r>
    </w:p>
    <w:p w:rsidR="003A0D0C" w:rsidRDefault="003A0D0C" w:rsidP="003A0D0C">
      <w:pPr>
        <w:pStyle w:val="ListBullet"/>
      </w:pPr>
      <w:proofErr w:type="gramStart"/>
      <w:r>
        <w:t>links</w:t>
      </w:r>
      <w:proofErr w:type="gramEnd"/>
      <w:r>
        <w:t xml:space="preserve"> to individual </w:t>
      </w:r>
      <w:r w:rsidR="00145BE4">
        <w:t xml:space="preserve">web </w:t>
      </w:r>
      <w:r>
        <w:t>pages for each financial year.</w:t>
      </w:r>
    </w:p>
    <w:p w:rsidR="003A0D0C" w:rsidRDefault="003A0D0C" w:rsidP="003A0D0C">
      <w:r>
        <w:t xml:space="preserve">The </w:t>
      </w:r>
      <w:r w:rsidR="00145BE4">
        <w:t xml:space="preserve">web </w:t>
      </w:r>
      <w:r>
        <w:t>pages for each financial year hold:</w:t>
      </w:r>
    </w:p>
    <w:p w:rsidR="003A0D0C" w:rsidRDefault="003A0D0C" w:rsidP="003A0D0C">
      <w:pPr>
        <w:pStyle w:val="ListBullet"/>
      </w:pPr>
      <w:r>
        <w:t>separate spreadsheets of each month’s data;</w:t>
      </w:r>
    </w:p>
    <w:p w:rsidR="003A0D0C" w:rsidRDefault="003A0D0C" w:rsidP="003A0D0C">
      <w:pPr>
        <w:pStyle w:val="ListBullet"/>
      </w:pPr>
      <w:r>
        <w:t>this Statistical Note, and equivalent versions from previous months;</w:t>
      </w:r>
    </w:p>
    <w:p w:rsidR="003A0D0C" w:rsidRDefault="003A0D0C" w:rsidP="003A0D0C">
      <w:pPr>
        <w:pStyle w:val="ListBullet"/>
      </w:pPr>
      <w:proofErr w:type="gramStart"/>
      <w:r>
        <w:t>the</w:t>
      </w:r>
      <w:proofErr w:type="gramEnd"/>
      <w:r>
        <w:t xml:space="preserve"> list of people with pre-release access to the data.</w:t>
      </w:r>
    </w:p>
    <w:p w:rsidR="00E6125B" w:rsidRDefault="0036736E" w:rsidP="00A66D79">
      <w:r>
        <w:t xml:space="preserve">Publication dates are also at </w:t>
      </w:r>
      <w:hyperlink r:id="rId22" w:history="1">
        <w:r w:rsidR="001E75EA">
          <w:rPr>
            <w:rStyle w:val="Hyperlink"/>
          </w:rPr>
          <w:t>www.gov.uk/government/statistics/announcements</w:t>
        </w:r>
      </w:hyperlink>
      <w:r>
        <w:t>.</w:t>
      </w:r>
    </w:p>
    <w:p w:rsidR="003A0D0C" w:rsidRDefault="003A0D0C" w:rsidP="003A0D0C">
      <w:pPr>
        <w:pStyle w:val="Heading3"/>
      </w:pPr>
      <w:r>
        <w:t>C2</w:t>
      </w:r>
      <w:r>
        <w:tab/>
        <w:t>Revisions</w:t>
      </w:r>
    </w:p>
    <w:p w:rsidR="003A0D0C" w:rsidRDefault="003A0D0C" w:rsidP="003A0D0C">
      <w:r>
        <w:t>R</w:t>
      </w:r>
      <w:r w:rsidRPr="005538AF">
        <w:t xml:space="preserve">evisions </w:t>
      </w:r>
      <w:r>
        <w:t>usually follow a</w:t>
      </w:r>
      <w:r w:rsidRPr="005538AF">
        <w:t xml:space="preserve"> six-monthly cycle</w:t>
      </w:r>
      <w:r>
        <w:t xml:space="preserve">. The dates for past and future AQI </w:t>
      </w:r>
      <w:r w:rsidR="0016743F">
        <w:t xml:space="preserve">scheduled </w:t>
      </w:r>
      <w:r>
        <w:t xml:space="preserve">revisions are </w:t>
      </w:r>
      <w:r w:rsidR="0032599C">
        <w:t>below</w:t>
      </w:r>
      <w:r>
        <w:t>. The AQI Quality Statement above contains a more detailed revisions policy.</w:t>
      </w:r>
    </w:p>
    <w:tbl>
      <w:tblPr>
        <w:tblStyle w:val="TableGrid"/>
        <w:tblW w:w="8522" w:type="dxa"/>
        <w:tblBorders>
          <w:top w:val="none" w:sz="0" w:space="0" w:color="auto"/>
          <w:left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268"/>
        <w:gridCol w:w="284"/>
        <w:gridCol w:w="2149"/>
        <w:gridCol w:w="236"/>
        <w:gridCol w:w="3585"/>
      </w:tblGrid>
      <w:tr w:rsidR="003A0D0C" w:rsidTr="00E57244">
        <w:trPr>
          <w:cantSplit/>
          <w:tblHeader/>
        </w:trPr>
        <w:tc>
          <w:tcPr>
            <w:tcW w:w="2268" w:type="dxa"/>
            <w:tcBorders>
              <w:bottom w:val="single" w:sz="4" w:space="0" w:color="auto"/>
            </w:tcBorders>
            <w:tcMar>
              <w:left w:w="0" w:type="dxa"/>
              <w:right w:w="0" w:type="dxa"/>
            </w:tcMar>
          </w:tcPr>
          <w:p w:rsidR="003A0D0C" w:rsidRPr="003265C0" w:rsidRDefault="003A0D0C" w:rsidP="001171E8">
            <w:pPr>
              <w:pStyle w:val="Heading4"/>
            </w:pPr>
            <w:r w:rsidRPr="003265C0">
              <w:t>Publication date</w:t>
            </w:r>
          </w:p>
        </w:tc>
        <w:tc>
          <w:tcPr>
            <w:tcW w:w="284" w:type="dxa"/>
            <w:tcMar>
              <w:left w:w="0" w:type="dxa"/>
              <w:right w:w="0" w:type="dxa"/>
            </w:tcMar>
          </w:tcPr>
          <w:p w:rsidR="003A0D0C" w:rsidRDefault="003A0D0C" w:rsidP="002221E6">
            <w:pPr>
              <w:pStyle w:val="NoSpacing"/>
            </w:pPr>
          </w:p>
        </w:tc>
        <w:tc>
          <w:tcPr>
            <w:tcW w:w="2149" w:type="dxa"/>
            <w:tcBorders>
              <w:bottom w:val="single" w:sz="4" w:space="0" w:color="auto"/>
            </w:tcBorders>
            <w:tcMar>
              <w:left w:w="0" w:type="dxa"/>
              <w:right w:w="0" w:type="dxa"/>
            </w:tcMar>
          </w:tcPr>
          <w:p w:rsidR="003A0D0C" w:rsidRPr="003265C0" w:rsidRDefault="003A0D0C" w:rsidP="001171E8">
            <w:pPr>
              <w:pStyle w:val="Heading4"/>
            </w:pPr>
            <w:r w:rsidRPr="003265C0">
              <w:t xml:space="preserve">Series revised </w:t>
            </w:r>
          </w:p>
        </w:tc>
        <w:tc>
          <w:tcPr>
            <w:tcW w:w="236" w:type="dxa"/>
            <w:tcMar>
              <w:left w:w="0" w:type="dxa"/>
              <w:right w:w="0" w:type="dxa"/>
            </w:tcMar>
          </w:tcPr>
          <w:p w:rsidR="003A0D0C" w:rsidRDefault="003A0D0C" w:rsidP="002221E6">
            <w:pPr>
              <w:pStyle w:val="NoSpacing"/>
            </w:pPr>
          </w:p>
        </w:tc>
        <w:tc>
          <w:tcPr>
            <w:tcW w:w="3585" w:type="dxa"/>
            <w:tcBorders>
              <w:bottom w:val="single" w:sz="4" w:space="0" w:color="auto"/>
            </w:tcBorders>
            <w:tcMar>
              <w:left w:w="0" w:type="dxa"/>
              <w:right w:w="0" w:type="dxa"/>
            </w:tcMar>
          </w:tcPr>
          <w:p w:rsidR="003A0D0C" w:rsidRPr="003265C0" w:rsidRDefault="003A0D0C" w:rsidP="001171E8">
            <w:pPr>
              <w:pStyle w:val="Heading4"/>
            </w:pPr>
            <w:r w:rsidRPr="003265C0">
              <w:t>Months affected</w:t>
            </w:r>
          </w:p>
        </w:tc>
      </w:tr>
      <w:tr w:rsidR="00B870E5" w:rsidTr="005B5932">
        <w:tc>
          <w:tcPr>
            <w:tcW w:w="2268" w:type="dxa"/>
            <w:tcBorders>
              <w:top w:val="nil"/>
              <w:bottom w:val="nil"/>
            </w:tcBorders>
            <w:tcMar>
              <w:left w:w="57" w:type="dxa"/>
              <w:right w:w="57" w:type="dxa"/>
            </w:tcMar>
          </w:tcPr>
          <w:p w:rsidR="00B870E5" w:rsidRDefault="00B870E5" w:rsidP="005B5932">
            <w:pPr>
              <w:pStyle w:val="NoSpacing"/>
              <w:jc w:val="right"/>
            </w:pPr>
            <w:r>
              <w:t>12 May 2016</w:t>
            </w:r>
          </w:p>
        </w:tc>
        <w:tc>
          <w:tcPr>
            <w:tcW w:w="284" w:type="dxa"/>
            <w:tcBorders>
              <w:top w:val="nil"/>
              <w:bottom w:val="nil"/>
            </w:tcBorders>
            <w:tcMar>
              <w:left w:w="57" w:type="dxa"/>
              <w:right w:w="57" w:type="dxa"/>
            </w:tcMar>
          </w:tcPr>
          <w:p w:rsidR="00B870E5" w:rsidRPr="00B4687B" w:rsidRDefault="00B870E5" w:rsidP="005B5932">
            <w:pPr>
              <w:pStyle w:val="NoSpacing"/>
            </w:pPr>
          </w:p>
        </w:tc>
        <w:tc>
          <w:tcPr>
            <w:tcW w:w="2149" w:type="dxa"/>
            <w:tcBorders>
              <w:top w:val="nil"/>
              <w:bottom w:val="nil"/>
            </w:tcBorders>
            <w:tcMar>
              <w:left w:w="57" w:type="dxa"/>
              <w:right w:w="57" w:type="dxa"/>
            </w:tcMar>
          </w:tcPr>
          <w:p w:rsidR="00B870E5" w:rsidRPr="00B4687B" w:rsidRDefault="00B870E5" w:rsidP="00CE0C83">
            <w:pPr>
              <w:pStyle w:val="NoSpacing"/>
            </w:pPr>
            <w:r w:rsidRPr="00B4687B">
              <w:t>Systems Indicators</w:t>
            </w:r>
          </w:p>
        </w:tc>
        <w:tc>
          <w:tcPr>
            <w:tcW w:w="236" w:type="dxa"/>
            <w:tcBorders>
              <w:top w:val="nil"/>
              <w:bottom w:val="nil"/>
            </w:tcBorders>
            <w:tcMar>
              <w:left w:w="57" w:type="dxa"/>
              <w:right w:w="57" w:type="dxa"/>
            </w:tcMar>
          </w:tcPr>
          <w:p w:rsidR="00B870E5" w:rsidRDefault="00B870E5" w:rsidP="00CE0C83">
            <w:pPr>
              <w:pStyle w:val="NoSpacing"/>
            </w:pPr>
          </w:p>
        </w:tc>
        <w:tc>
          <w:tcPr>
            <w:tcW w:w="3585" w:type="dxa"/>
            <w:tcBorders>
              <w:top w:val="nil"/>
              <w:bottom w:val="nil"/>
            </w:tcBorders>
            <w:tcMar>
              <w:left w:w="57" w:type="dxa"/>
              <w:right w:w="57" w:type="dxa"/>
            </w:tcMar>
          </w:tcPr>
          <w:p w:rsidR="00B870E5" w:rsidRDefault="00B870E5" w:rsidP="00B870E5">
            <w:pPr>
              <w:pStyle w:val="NoSpacing"/>
            </w:pPr>
            <w:r>
              <w:t>April 2015 to February 2016</w:t>
            </w:r>
          </w:p>
        </w:tc>
      </w:tr>
      <w:tr w:rsidR="00B870E5" w:rsidTr="00C73251">
        <w:trPr>
          <w:trHeight w:val="454"/>
        </w:trPr>
        <w:tc>
          <w:tcPr>
            <w:tcW w:w="2268" w:type="dxa"/>
            <w:tcBorders>
              <w:top w:val="nil"/>
              <w:bottom w:val="nil"/>
            </w:tcBorders>
            <w:tcMar>
              <w:left w:w="57" w:type="dxa"/>
              <w:right w:w="57" w:type="dxa"/>
            </w:tcMar>
          </w:tcPr>
          <w:p w:rsidR="00B870E5" w:rsidRDefault="00B870E5" w:rsidP="005B5932">
            <w:pPr>
              <w:pStyle w:val="NoSpacing"/>
              <w:jc w:val="right"/>
            </w:pPr>
            <w:r>
              <w:t>10 March 2016</w:t>
            </w:r>
          </w:p>
        </w:tc>
        <w:tc>
          <w:tcPr>
            <w:tcW w:w="284" w:type="dxa"/>
            <w:tcBorders>
              <w:top w:val="nil"/>
              <w:bottom w:val="nil"/>
            </w:tcBorders>
            <w:tcMar>
              <w:left w:w="57" w:type="dxa"/>
              <w:right w:w="57" w:type="dxa"/>
            </w:tcMar>
          </w:tcPr>
          <w:p w:rsidR="00B870E5" w:rsidRPr="00B4687B" w:rsidRDefault="00B870E5" w:rsidP="005B5932">
            <w:pPr>
              <w:pStyle w:val="NoSpacing"/>
            </w:pPr>
          </w:p>
        </w:tc>
        <w:tc>
          <w:tcPr>
            <w:tcW w:w="2149" w:type="dxa"/>
            <w:tcBorders>
              <w:top w:val="nil"/>
              <w:bottom w:val="nil"/>
            </w:tcBorders>
            <w:tcMar>
              <w:left w:w="57" w:type="dxa"/>
              <w:right w:w="57" w:type="dxa"/>
            </w:tcMar>
          </w:tcPr>
          <w:p w:rsidR="00B870E5" w:rsidRPr="00B4687B" w:rsidRDefault="00B870E5" w:rsidP="00CE0C83">
            <w:pPr>
              <w:pStyle w:val="NoSpacing"/>
            </w:pPr>
            <w:r w:rsidRPr="00B4687B">
              <w:t xml:space="preserve">Clinical </w:t>
            </w:r>
            <w:r w:rsidRPr="005B5932">
              <w:t>Outcomes</w:t>
            </w:r>
          </w:p>
        </w:tc>
        <w:tc>
          <w:tcPr>
            <w:tcW w:w="236" w:type="dxa"/>
            <w:tcBorders>
              <w:top w:val="nil"/>
              <w:bottom w:val="nil"/>
            </w:tcBorders>
            <w:tcMar>
              <w:left w:w="57" w:type="dxa"/>
              <w:right w:w="57" w:type="dxa"/>
            </w:tcMar>
          </w:tcPr>
          <w:p w:rsidR="00B870E5" w:rsidRPr="005B5932" w:rsidRDefault="00B870E5" w:rsidP="00CE0C83">
            <w:pPr>
              <w:pStyle w:val="NoSpacing"/>
              <w:jc w:val="center"/>
            </w:pPr>
          </w:p>
        </w:tc>
        <w:tc>
          <w:tcPr>
            <w:tcW w:w="3585" w:type="dxa"/>
            <w:tcBorders>
              <w:top w:val="nil"/>
              <w:bottom w:val="nil"/>
            </w:tcBorders>
            <w:tcMar>
              <w:left w:w="57" w:type="dxa"/>
              <w:right w:w="57" w:type="dxa"/>
            </w:tcMar>
          </w:tcPr>
          <w:p w:rsidR="00B870E5" w:rsidRPr="005B5932" w:rsidRDefault="00B870E5" w:rsidP="00CE0C83">
            <w:pPr>
              <w:pStyle w:val="NoSpacing"/>
            </w:pPr>
            <w:r>
              <w:t xml:space="preserve">April 2015 </w:t>
            </w:r>
            <w:r w:rsidRPr="005B5932">
              <w:t xml:space="preserve">to </w:t>
            </w:r>
            <w:r>
              <w:t xml:space="preserve">September </w:t>
            </w:r>
            <w:r w:rsidRPr="005B5932">
              <w:t>2015</w:t>
            </w:r>
          </w:p>
        </w:tc>
      </w:tr>
      <w:tr w:rsidR="00B870E5" w:rsidTr="005B5932">
        <w:trPr>
          <w:trHeight w:val="80"/>
        </w:trPr>
        <w:tc>
          <w:tcPr>
            <w:tcW w:w="2268" w:type="dxa"/>
            <w:tcBorders>
              <w:top w:val="nil"/>
              <w:bottom w:val="nil"/>
            </w:tcBorders>
            <w:tcMar>
              <w:left w:w="57" w:type="dxa"/>
              <w:right w:w="57" w:type="dxa"/>
            </w:tcMar>
          </w:tcPr>
          <w:p w:rsidR="00B870E5" w:rsidRDefault="00B870E5" w:rsidP="005B5932">
            <w:pPr>
              <w:pStyle w:val="NoSpacing"/>
              <w:jc w:val="right"/>
            </w:pPr>
            <w:r>
              <w:t>10 September 2015</w:t>
            </w:r>
          </w:p>
        </w:tc>
        <w:tc>
          <w:tcPr>
            <w:tcW w:w="284" w:type="dxa"/>
            <w:tcBorders>
              <w:top w:val="nil"/>
              <w:bottom w:val="nil"/>
            </w:tcBorders>
            <w:tcMar>
              <w:left w:w="57" w:type="dxa"/>
              <w:right w:w="57" w:type="dxa"/>
            </w:tcMar>
          </w:tcPr>
          <w:p w:rsidR="00B870E5" w:rsidRPr="005B5932" w:rsidRDefault="00B870E5" w:rsidP="005B5932">
            <w:pPr>
              <w:pStyle w:val="NoSpacing"/>
              <w:jc w:val="center"/>
            </w:pPr>
          </w:p>
        </w:tc>
        <w:tc>
          <w:tcPr>
            <w:tcW w:w="2149" w:type="dxa"/>
            <w:tcBorders>
              <w:top w:val="nil"/>
              <w:bottom w:val="nil"/>
            </w:tcBorders>
            <w:tcMar>
              <w:left w:w="57" w:type="dxa"/>
              <w:right w:w="57" w:type="dxa"/>
            </w:tcMar>
          </w:tcPr>
          <w:p w:rsidR="00B870E5" w:rsidRPr="00B4687B" w:rsidRDefault="00B870E5" w:rsidP="005B5932">
            <w:pPr>
              <w:pStyle w:val="NoSpacing"/>
            </w:pPr>
            <w:r w:rsidRPr="00B4687B">
              <w:t xml:space="preserve">Clinical </w:t>
            </w:r>
            <w:r w:rsidRPr="005B5932">
              <w:t>Outcomes</w:t>
            </w:r>
          </w:p>
        </w:tc>
        <w:tc>
          <w:tcPr>
            <w:tcW w:w="236" w:type="dxa"/>
            <w:tcBorders>
              <w:top w:val="nil"/>
              <w:bottom w:val="nil"/>
            </w:tcBorders>
            <w:tcMar>
              <w:left w:w="57" w:type="dxa"/>
              <w:right w:w="57" w:type="dxa"/>
            </w:tcMar>
          </w:tcPr>
          <w:p w:rsidR="00B870E5" w:rsidRPr="005B5932" w:rsidRDefault="00B870E5" w:rsidP="005B5932">
            <w:pPr>
              <w:pStyle w:val="NoSpacing"/>
              <w:jc w:val="center"/>
            </w:pPr>
          </w:p>
        </w:tc>
        <w:tc>
          <w:tcPr>
            <w:tcW w:w="3585" w:type="dxa"/>
            <w:tcBorders>
              <w:top w:val="nil"/>
              <w:bottom w:val="nil"/>
            </w:tcBorders>
            <w:tcMar>
              <w:left w:w="57" w:type="dxa"/>
              <w:right w:w="57" w:type="dxa"/>
            </w:tcMar>
          </w:tcPr>
          <w:p w:rsidR="00B870E5" w:rsidRPr="005B5932" w:rsidRDefault="00B870E5" w:rsidP="005B5932">
            <w:pPr>
              <w:pStyle w:val="NoSpacing"/>
            </w:pPr>
            <w:r w:rsidRPr="005B5932">
              <w:t>April 2014 to March 2015</w:t>
            </w:r>
          </w:p>
        </w:tc>
      </w:tr>
      <w:tr w:rsidR="00B870E5" w:rsidTr="005B5932">
        <w:trPr>
          <w:trHeight w:val="80"/>
        </w:trPr>
        <w:tc>
          <w:tcPr>
            <w:tcW w:w="2268" w:type="dxa"/>
            <w:tcBorders>
              <w:top w:val="nil"/>
            </w:tcBorders>
            <w:tcMar>
              <w:left w:w="57" w:type="dxa"/>
              <w:right w:w="57" w:type="dxa"/>
            </w:tcMar>
          </w:tcPr>
          <w:p w:rsidR="00B870E5" w:rsidRDefault="00B870E5" w:rsidP="005B5932">
            <w:pPr>
              <w:pStyle w:val="NoSpacing"/>
              <w:jc w:val="right"/>
            </w:pPr>
            <w:r>
              <w:t>4 June 2015</w:t>
            </w:r>
          </w:p>
        </w:tc>
        <w:tc>
          <w:tcPr>
            <w:tcW w:w="284" w:type="dxa"/>
            <w:tcBorders>
              <w:top w:val="nil"/>
            </w:tcBorders>
            <w:tcMar>
              <w:left w:w="57" w:type="dxa"/>
              <w:right w:w="57" w:type="dxa"/>
            </w:tcMar>
          </w:tcPr>
          <w:p w:rsidR="00B870E5" w:rsidRPr="00B4687B" w:rsidRDefault="00B870E5" w:rsidP="002221E6">
            <w:pPr>
              <w:pStyle w:val="NoSpacing"/>
            </w:pPr>
          </w:p>
        </w:tc>
        <w:tc>
          <w:tcPr>
            <w:tcW w:w="2149" w:type="dxa"/>
            <w:tcBorders>
              <w:top w:val="nil"/>
            </w:tcBorders>
            <w:tcMar>
              <w:left w:w="57" w:type="dxa"/>
              <w:right w:w="57" w:type="dxa"/>
            </w:tcMar>
          </w:tcPr>
          <w:p w:rsidR="00B870E5" w:rsidRPr="00B4687B" w:rsidRDefault="00B870E5" w:rsidP="002221E6">
            <w:pPr>
              <w:pStyle w:val="NoSpacing"/>
            </w:pPr>
            <w:r w:rsidRPr="00B4687B">
              <w:t>Systems Indicators</w:t>
            </w:r>
          </w:p>
        </w:tc>
        <w:tc>
          <w:tcPr>
            <w:tcW w:w="236" w:type="dxa"/>
            <w:tcBorders>
              <w:top w:val="nil"/>
            </w:tcBorders>
            <w:tcMar>
              <w:left w:w="57" w:type="dxa"/>
              <w:right w:w="57" w:type="dxa"/>
            </w:tcMar>
          </w:tcPr>
          <w:p w:rsidR="00B870E5" w:rsidRDefault="00B870E5" w:rsidP="002221E6">
            <w:pPr>
              <w:pStyle w:val="NoSpacing"/>
            </w:pPr>
          </w:p>
        </w:tc>
        <w:tc>
          <w:tcPr>
            <w:tcW w:w="3585" w:type="dxa"/>
            <w:tcBorders>
              <w:top w:val="nil"/>
            </w:tcBorders>
            <w:tcMar>
              <w:left w:w="57" w:type="dxa"/>
              <w:right w:w="57" w:type="dxa"/>
            </w:tcMar>
          </w:tcPr>
          <w:p w:rsidR="00B870E5" w:rsidRDefault="00B870E5" w:rsidP="002221E6">
            <w:pPr>
              <w:pStyle w:val="NoSpacing"/>
            </w:pPr>
            <w:r>
              <w:t>April 2014 to February 2015</w:t>
            </w:r>
          </w:p>
        </w:tc>
      </w:tr>
      <w:tr w:rsidR="00B870E5" w:rsidTr="00E57244">
        <w:trPr>
          <w:trHeight w:val="80"/>
        </w:trPr>
        <w:tc>
          <w:tcPr>
            <w:tcW w:w="2268" w:type="dxa"/>
            <w:tcMar>
              <w:left w:w="57" w:type="dxa"/>
              <w:right w:w="57" w:type="dxa"/>
            </w:tcMar>
          </w:tcPr>
          <w:p w:rsidR="00B870E5" w:rsidRDefault="00B870E5" w:rsidP="002221E6">
            <w:pPr>
              <w:pStyle w:val="NoSpacing"/>
              <w:jc w:val="right"/>
            </w:pPr>
            <w:r>
              <w:t>30 April 2015</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rsidRPr="00B4687B">
              <w:t>Systems Indicators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2014 to February 2015</w:t>
            </w:r>
          </w:p>
        </w:tc>
      </w:tr>
      <w:tr w:rsidR="00B870E5" w:rsidTr="00E57244">
        <w:trPr>
          <w:trHeight w:val="80"/>
        </w:trPr>
        <w:tc>
          <w:tcPr>
            <w:tcW w:w="2268" w:type="dxa"/>
            <w:tcMar>
              <w:left w:w="57" w:type="dxa"/>
              <w:right w:w="57" w:type="dxa"/>
            </w:tcMar>
          </w:tcPr>
          <w:p w:rsidR="00B870E5" w:rsidRDefault="00B870E5" w:rsidP="002221E6">
            <w:pPr>
              <w:pStyle w:val="NoSpacing"/>
              <w:jc w:val="right"/>
            </w:pPr>
            <w:r>
              <w:t>5 March 2015</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rsidRPr="00B4687B">
              <w:t>Clinical Outcomes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2014 to September 2014</w:t>
            </w:r>
          </w:p>
        </w:tc>
      </w:tr>
      <w:tr w:rsidR="00B870E5" w:rsidTr="00E57244">
        <w:trPr>
          <w:trHeight w:val="137"/>
        </w:trPr>
        <w:tc>
          <w:tcPr>
            <w:tcW w:w="2268" w:type="dxa"/>
            <w:tcMar>
              <w:left w:w="57" w:type="dxa"/>
              <w:right w:w="57" w:type="dxa"/>
            </w:tcMar>
          </w:tcPr>
          <w:p w:rsidR="00B870E5" w:rsidRDefault="00B870E5" w:rsidP="002221E6">
            <w:pPr>
              <w:pStyle w:val="NoSpacing"/>
              <w:jc w:val="right"/>
            </w:pPr>
            <w:r>
              <w:t>6 November 2014</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t>Systems Indicators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2013 to August 2014</w:t>
            </w:r>
          </w:p>
        </w:tc>
      </w:tr>
      <w:tr w:rsidR="00B870E5" w:rsidTr="00E57244">
        <w:trPr>
          <w:trHeight w:val="137"/>
        </w:trPr>
        <w:tc>
          <w:tcPr>
            <w:tcW w:w="2268" w:type="dxa"/>
            <w:tcMar>
              <w:left w:w="57" w:type="dxa"/>
              <w:right w:w="57" w:type="dxa"/>
            </w:tcMar>
          </w:tcPr>
          <w:p w:rsidR="00B870E5" w:rsidRPr="00875FD5" w:rsidRDefault="00B870E5" w:rsidP="002221E6">
            <w:pPr>
              <w:pStyle w:val="NoSpacing"/>
              <w:jc w:val="right"/>
            </w:pPr>
            <w:r>
              <w:t>5 September 2014</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rsidRPr="00B4687B">
              <w:t>Clinical Outcomes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2013 to March 2014</w:t>
            </w:r>
          </w:p>
        </w:tc>
      </w:tr>
      <w:tr w:rsidR="00B870E5" w:rsidTr="00E57244">
        <w:trPr>
          <w:trHeight w:val="271"/>
        </w:trPr>
        <w:tc>
          <w:tcPr>
            <w:tcW w:w="2268" w:type="dxa"/>
            <w:tcMar>
              <w:left w:w="57" w:type="dxa"/>
              <w:right w:w="57" w:type="dxa"/>
            </w:tcMar>
          </w:tcPr>
          <w:p w:rsidR="00B870E5" w:rsidRDefault="00B870E5" w:rsidP="002221E6">
            <w:pPr>
              <w:pStyle w:val="NoSpacing"/>
              <w:jc w:val="right"/>
            </w:pPr>
            <w:r>
              <w:t>2 May 2014</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rsidRPr="00B4687B">
              <w:t>Systems Indicators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2013 to February 2014</w:t>
            </w:r>
          </w:p>
        </w:tc>
      </w:tr>
      <w:tr w:rsidR="00B870E5" w:rsidTr="00E57244">
        <w:trPr>
          <w:trHeight w:val="70"/>
        </w:trPr>
        <w:tc>
          <w:tcPr>
            <w:tcW w:w="2268" w:type="dxa"/>
            <w:tcMar>
              <w:left w:w="57" w:type="dxa"/>
              <w:right w:w="57" w:type="dxa"/>
            </w:tcMar>
          </w:tcPr>
          <w:p w:rsidR="00B870E5" w:rsidRDefault="00B870E5" w:rsidP="002221E6">
            <w:pPr>
              <w:pStyle w:val="NoSpacing"/>
              <w:jc w:val="right"/>
            </w:pPr>
            <w:r>
              <w:t>7 March 2014</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rsidRPr="00B4687B">
              <w:t>Clinical Outcomes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2013 to September 2013</w:t>
            </w:r>
          </w:p>
        </w:tc>
      </w:tr>
      <w:tr w:rsidR="00B870E5" w:rsidTr="00E57244">
        <w:trPr>
          <w:trHeight w:val="123"/>
        </w:trPr>
        <w:tc>
          <w:tcPr>
            <w:tcW w:w="2268" w:type="dxa"/>
            <w:tcMar>
              <w:left w:w="57" w:type="dxa"/>
              <w:right w:w="57" w:type="dxa"/>
            </w:tcMar>
          </w:tcPr>
          <w:p w:rsidR="00B870E5" w:rsidRDefault="00B870E5" w:rsidP="002221E6">
            <w:pPr>
              <w:pStyle w:val="NoSpacing"/>
              <w:jc w:val="right"/>
            </w:pPr>
            <w:r>
              <w:t>1 November 2013</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rsidRPr="00B4687B">
              <w:t>Systems Indicators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2013 to August 2013</w:t>
            </w:r>
          </w:p>
        </w:tc>
      </w:tr>
      <w:tr w:rsidR="00B870E5" w:rsidTr="00E57244">
        <w:trPr>
          <w:trHeight w:val="269"/>
        </w:trPr>
        <w:tc>
          <w:tcPr>
            <w:tcW w:w="2268" w:type="dxa"/>
            <w:tcMar>
              <w:left w:w="57" w:type="dxa"/>
              <w:right w:w="57" w:type="dxa"/>
            </w:tcMar>
          </w:tcPr>
          <w:p w:rsidR="00B870E5" w:rsidRDefault="00B870E5" w:rsidP="002221E6">
            <w:pPr>
              <w:pStyle w:val="NoSpacing"/>
              <w:jc w:val="right"/>
            </w:pPr>
            <w:r>
              <w:t>2 August 2013</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rsidRPr="00B4687B">
              <w:t>Clinical Outcomes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2012 to March 2013</w:t>
            </w:r>
          </w:p>
        </w:tc>
      </w:tr>
      <w:tr w:rsidR="00B870E5" w:rsidTr="00E57244">
        <w:trPr>
          <w:trHeight w:val="118"/>
        </w:trPr>
        <w:tc>
          <w:tcPr>
            <w:tcW w:w="2268" w:type="dxa"/>
            <w:tcMar>
              <w:left w:w="57" w:type="dxa"/>
              <w:right w:w="57" w:type="dxa"/>
            </w:tcMar>
          </w:tcPr>
          <w:p w:rsidR="00B870E5" w:rsidRDefault="00B870E5" w:rsidP="002221E6">
            <w:pPr>
              <w:pStyle w:val="NoSpacing"/>
              <w:jc w:val="right"/>
            </w:pPr>
            <w:r>
              <w:t>3 May 2013</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rsidRPr="00B4687B">
              <w:t>Systems Indicators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2012 to March 2013</w:t>
            </w:r>
          </w:p>
        </w:tc>
      </w:tr>
      <w:tr w:rsidR="00B870E5" w:rsidTr="00E57244">
        <w:trPr>
          <w:trHeight w:val="121"/>
        </w:trPr>
        <w:tc>
          <w:tcPr>
            <w:tcW w:w="2268" w:type="dxa"/>
            <w:tcMar>
              <w:left w:w="57" w:type="dxa"/>
              <w:right w:w="57" w:type="dxa"/>
            </w:tcMar>
          </w:tcPr>
          <w:p w:rsidR="00B870E5" w:rsidRDefault="00B870E5" w:rsidP="002221E6">
            <w:pPr>
              <w:pStyle w:val="NoSpacing"/>
              <w:jc w:val="right"/>
            </w:pPr>
            <w:r>
              <w:t>1 February 2013</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rsidRPr="00B4687B">
              <w:t>Clinical Outcomes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2012 to August 2012</w:t>
            </w:r>
          </w:p>
        </w:tc>
      </w:tr>
      <w:tr w:rsidR="00B870E5" w:rsidTr="00E57244">
        <w:trPr>
          <w:trHeight w:val="267"/>
        </w:trPr>
        <w:tc>
          <w:tcPr>
            <w:tcW w:w="2268" w:type="dxa"/>
            <w:tcMar>
              <w:left w:w="57" w:type="dxa"/>
              <w:right w:w="57" w:type="dxa"/>
            </w:tcMar>
          </w:tcPr>
          <w:p w:rsidR="00B870E5" w:rsidRDefault="00B870E5" w:rsidP="002221E6">
            <w:pPr>
              <w:pStyle w:val="NoSpacing"/>
              <w:jc w:val="right"/>
            </w:pPr>
            <w:r>
              <w:t>11 January 2013</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rsidRPr="00B4687B">
              <w:t>Systems Indicators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2011 to October 2012</w:t>
            </w:r>
          </w:p>
        </w:tc>
      </w:tr>
      <w:tr w:rsidR="00B870E5" w:rsidTr="00E57244">
        <w:trPr>
          <w:trHeight w:val="115"/>
        </w:trPr>
        <w:tc>
          <w:tcPr>
            <w:tcW w:w="2268" w:type="dxa"/>
            <w:tcMar>
              <w:left w:w="57" w:type="dxa"/>
              <w:right w:w="57" w:type="dxa"/>
            </w:tcMar>
          </w:tcPr>
          <w:p w:rsidR="00B870E5" w:rsidRDefault="00B870E5" w:rsidP="002221E6">
            <w:pPr>
              <w:pStyle w:val="NoSpacing"/>
              <w:jc w:val="right"/>
            </w:pPr>
            <w:r>
              <w:t>31 August 2012</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rsidRPr="00B4687B">
              <w:t>Clinical Outcomes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2011 to March 2012</w:t>
            </w:r>
          </w:p>
        </w:tc>
      </w:tr>
    </w:tbl>
    <w:p w:rsidR="003A0D0C" w:rsidRDefault="003A0D0C" w:rsidP="003A0D0C">
      <w:pPr>
        <w:pStyle w:val="Heading3"/>
      </w:pPr>
      <w:r>
        <w:t>C3</w:t>
      </w:r>
      <w:r>
        <w:tab/>
        <w:t>AQI Scope</w:t>
      </w:r>
    </w:p>
    <w:p w:rsidR="003A0D0C" w:rsidRDefault="003A0D0C" w:rsidP="003A0D0C">
      <w:r>
        <w:t xml:space="preserve">The AQI include calls made by dialling either the usual UK-wide number 999 or its </w:t>
      </w:r>
      <w:r w:rsidR="004058D7">
        <w:t xml:space="preserve">international </w:t>
      </w:r>
      <w:r>
        <w:t>equivalent 112.</w:t>
      </w:r>
    </w:p>
    <w:p w:rsidR="003A0D0C" w:rsidRDefault="003A0D0C" w:rsidP="003A0D0C">
      <w:r>
        <w:lastRenderedPageBreak/>
        <w:t xml:space="preserve">As described in the specification guidance </w:t>
      </w:r>
      <w:r w:rsidR="00E446B4">
        <w:t>in section C1</w:t>
      </w:r>
      <w:r>
        <w:t xml:space="preserve">, calls made to NHS 111 are not included in the </w:t>
      </w:r>
      <w:r w:rsidR="00054D5D">
        <w:t xml:space="preserve">AQI </w:t>
      </w:r>
      <w:r w:rsidR="00B870E5">
        <w:t xml:space="preserve">measures for calls abandoned, re-contacts, frequent callers, time to answer calls </w:t>
      </w:r>
      <w:r>
        <w:t>and call</w:t>
      </w:r>
      <w:r w:rsidR="00B870E5">
        <w:t>s resolved by telephone advice.</w:t>
      </w:r>
    </w:p>
    <w:p w:rsidR="003A0D0C" w:rsidRDefault="003A0D0C" w:rsidP="003A0D0C">
      <w:r>
        <w:t>All other Systems Indicators involve the dispatch of an ambulance, and include ambulances dispatched as a result of a call to NHS 111, as well as 999 or 112</w:t>
      </w:r>
      <w:r w:rsidR="00E6125B">
        <w:t>.</w:t>
      </w:r>
    </w:p>
    <w:p w:rsidR="003A0D0C" w:rsidRDefault="003A0D0C" w:rsidP="003A0D0C">
      <w:pPr>
        <w:pStyle w:val="Heading3"/>
      </w:pPr>
      <w:r>
        <w:t>C4</w:t>
      </w:r>
      <w:r>
        <w:tab/>
      </w:r>
      <w:r w:rsidRPr="00335EE6">
        <w:t xml:space="preserve">Related </w:t>
      </w:r>
      <w:r>
        <w:t>statistics in England</w:t>
      </w:r>
    </w:p>
    <w:p w:rsidR="003A0D0C" w:rsidRDefault="003A0D0C" w:rsidP="003A0D0C">
      <w:r>
        <w:t xml:space="preserve">The AQI appear in a Clinical Dashboard, available from the AQI landing page, the websites of the Ambulance Trusts (listed in the AQI Quality Statement), and </w:t>
      </w:r>
      <w:hyperlink r:id="rId23" w:history="1">
        <w:r w:rsidRPr="000772FB">
          <w:rPr>
            <w:rStyle w:val="Hyperlink"/>
            <w:lang w:eastAsia="en-US"/>
          </w:rPr>
          <w:t>http://aace.org.uk/national-performance/national-clinical-dashboards</w:t>
        </w:r>
      </w:hyperlink>
      <w:r>
        <w:t xml:space="preserve">. </w:t>
      </w:r>
      <w:r w:rsidRPr="000D14CB">
        <w:t>One of the aims of the</w:t>
      </w:r>
      <w:r>
        <w:t>se</w:t>
      </w:r>
      <w:r w:rsidRPr="000D14CB">
        <w:t xml:space="preserve"> </w:t>
      </w:r>
      <w:r>
        <w:t>D</w:t>
      </w:r>
      <w:r w:rsidRPr="000D14CB">
        <w:t>ashboard</w:t>
      </w:r>
      <w:r>
        <w:t>s</w:t>
      </w:r>
      <w:r w:rsidRPr="000D14CB">
        <w:t xml:space="preserve"> is to use statistical process control</w:t>
      </w:r>
      <w:r>
        <w:t>,</w:t>
      </w:r>
      <w:r w:rsidRPr="000D14CB">
        <w:t xml:space="preserve"> to indicate whether variation in </w:t>
      </w:r>
      <w:r w:rsidR="000D4CAE">
        <w:t>proportions</w:t>
      </w:r>
      <w:r w:rsidRPr="000D14CB">
        <w:t xml:space="preserve"> reflects underlying change</w:t>
      </w:r>
      <w:r>
        <w:t>,</w:t>
      </w:r>
      <w:r w:rsidRPr="000D14CB">
        <w:t xml:space="preserve"> or merely natural variance, unavoidable even when a health system is performing well.</w:t>
      </w:r>
    </w:p>
    <w:p w:rsidR="003A0D0C" w:rsidRDefault="003A0D0C" w:rsidP="003A0D0C">
      <w:r>
        <w:t xml:space="preserve">The AQI are also used in the </w:t>
      </w:r>
      <w:r w:rsidR="00F32A65">
        <w:t>“</w:t>
      </w:r>
      <w:r>
        <w:t>Ambulance Services</w:t>
      </w:r>
      <w:r w:rsidR="00F32A65">
        <w:t>”</w:t>
      </w:r>
      <w:r>
        <w:t xml:space="preserve"> publication by the Health and Social Care Information Centre (HSCIC), which includes additional </w:t>
      </w:r>
      <w:r w:rsidRPr="00C739C2">
        <w:t>annual analysis and commentary</w:t>
      </w:r>
      <w:r>
        <w:t>.</w:t>
      </w:r>
      <w:r w:rsidR="00F32A65">
        <w:t xml:space="preserve"> Until</w:t>
      </w:r>
      <w:r>
        <w:t xml:space="preserve"> </w:t>
      </w:r>
      <w:r w:rsidR="00F32A65">
        <w:t xml:space="preserve">March 2013, the HSCIC </w:t>
      </w:r>
      <w:r>
        <w:t>publication</w:t>
      </w:r>
      <w:r w:rsidR="00D124B3">
        <w:t xml:space="preserve"> used the KA34 data collection, which </w:t>
      </w:r>
      <w:r>
        <w:t>was similar to the AQI</w:t>
      </w:r>
      <w:r w:rsidRPr="003E4789">
        <w:t xml:space="preserve"> </w:t>
      </w:r>
      <w:r>
        <w:t>Systems Indicators, but annual</w:t>
      </w:r>
      <w:r w:rsidR="00F32A65">
        <w:t xml:space="preserve"> rather than monthly</w:t>
      </w:r>
      <w:r>
        <w:t xml:space="preserve">. </w:t>
      </w:r>
      <w:r w:rsidR="00F32A65">
        <w:t>After that date, t</w:t>
      </w:r>
      <w:r>
        <w:t xml:space="preserve">he HSCIC </w:t>
      </w:r>
      <w:r w:rsidR="00D124B3">
        <w:t xml:space="preserve">publication </w:t>
      </w:r>
      <w:r>
        <w:t>use</w:t>
      </w:r>
      <w:r w:rsidR="00F32A65">
        <w:t>d</w:t>
      </w:r>
      <w:r>
        <w:t xml:space="preserve"> AQI data</w:t>
      </w:r>
      <w:r w:rsidR="00E6125B">
        <w:t xml:space="preserve">. </w:t>
      </w:r>
      <w:hyperlink r:id="rId24" w:history="1">
        <w:r w:rsidR="00F32A65" w:rsidRPr="00F93AE5">
          <w:rPr>
            <w:rStyle w:val="Hyperlink"/>
          </w:rPr>
          <w:t>www.hscic.gov.uk/article/2021/Website-Search?q=ambulance+-accident&amp;sort=Title</w:t>
        </w:r>
      </w:hyperlink>
    </w:p>
    <w:p w:rsidR="00045B64" w:rsidRDefault="00045B64" w:rsidP="003A0D0C">
      <w:r>
        <w:t xml:space="preserve">Ambulance handover delays of over 30 minutes at </w:t>
      </w:r>
      <w:r w:rsidR="0017577C">
        <w:t>each Emergency Department</w:t>
      </w:r>
      <w:r>
        <w:t xml:space="preserve"> </w:t>
      </w:r>
      <w:r w:rsidR="00243B32">
        <w:t>we</w:t>
      </w:r>
      <w:r>
        <w:t>re collected and published by NHS England each winter</w:t>
      </w:r>
      <w:r w:rsidR="00384DC4">
        <w:t xml:space="preserve"> until 2014-15: </w:t>
      </w:r>
      <w:hyperlink r:id="rId25" w:history="1">
        <w:r w:rsidRPr="00F93AE5">
          <w:rPr>
            <w:rStyle w:val="Hyperlink"/>
          </w:rPr>
          <w:t>www.england.nhs.uk/statistics/statistical-work-areas/winter-daily-sitreps</w:t>
        </w:r>
      </w:hyperlink>
    </w:p>
    <w:p w:rsidR="003A0D0C" w:rsidRDefault="003A0D0C" w:rsidP="003A0D0C">
      <w:r>
        <w:t>The AQI Quality Statement described in section C1 contains more information on the HSCIC publication. It also contains details of weekly ambulance situation reports that NHS England collected for six months from November 2010.</w:t>
      </w:r>
    </w:p>
    <w:p w:rsidR="003A0D0C" w:rsidRDefault="003A0D0C" w:rsidP="003A0D0C">
      <w:pPr>
        <w:pStyle w:val="Heading3"/>
      </w:pPr>
      <w:r>
        <w:t>C5</w:t>
      </w:r>
      <w:r>
        <w:tab/>
        <w:t xml:space="preserve">Rest of </w:t>
      </w:r>
      <w:r w:rsidR="00D124B3">
        <w:t>United Kingdom</w:t>
      </w:r>
    </w:p>
    <w:p w:rsidR="003A0D0C" w:rsidRDefault="003A0D0C" w:rsidP="003A0D0C">
      <w:pPr>
        <w:rPr>
          <w:rFonts w:cs="Arial"/>
        </w:rPr>
      </w:pPr>
      <w:r>
        <w:rPr>
          <w:rFonts w:cs="Arial"/>
        </w:rPr>
        <w:t>A</w:t>
      </w:r>
      <w:r w:rsidRPr="005538AF">
        <w:rPr>
          <w:rFonts w:cs="Arial"/>
        </w:rPr>
        <w:t xml:space="preserve">mbulance statistics </w:t>
      </w:r>
      <w:r>
        <w:rPr>
          <w:rFonts w:cs="Arial"/>
        </w:rPr>
        <w:t xml:space="preserve">for other countries of the UK </w:t>
      </w:r>
      <w:r w:rsidRPr="005538AF">
        <w:rPr>
          <w:rFonts w:cs="Arial"/>
        </w:rPr>
        <w:t>can be found at</w:t>
      </w:r>
      <w:r>
        <w:rPr>
          <w:rFonts w:cs="Arial"/>
        </w:rPr>
        <w:t xml:space="preserve"> the following websites. The AQI Quality Statement described in section C1 contains more information about the comparability of these statistics.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7280"/>
      </w:tblGrid>
      <w:tr w:rsidR="003A0D0C" w:rsidTr="002221E6">
        <w:trPr>
          <w:trHeight w:val="669"/>
        </w:trPr>
        <w:tc>
          <w:tcPr>
            <w:tcW w:w="1242" w:type="dxa"/>
          </w:tcPr>
          <w:p w:rsidR="003A0D0C" w:rsidRDefault="003A0D0C" w:rsidP="002221E6">
            <w:pPr>
              <w:pStyle w:val="NoSpacing"/>
            </w:pPr>
            <w:r w:rsidRPr="000F5B3F">
              <w:t>Wales</w:t>
            </w:r>
            <w:r w:rsidRPr="00151AF2">
              <w:t>:</w:t>
            </w:r>
          </w:p>
        </w:tc>
        <w:tc>
          <w:tcPr>
            <w:tcW w:w="7280" w:type="dxa"/>
          </w:tcPr>
          <w:p w:rsidR="003A0D0C" w:rsidRDefault="007E28DC" w:rsidP="002221E6">
            <w:pPr>
              <w:pStyle w:val="NoSpacing"/>
            </w:pPr>
            <w:hyperlink r:id="rId26" w:history="1">
              <w:r w:rsidR="00F32A65" w:rsidRPr="00F93AE5">
                <w:rPr>
                  <w:rStyle w:val="Hyperlink"/>
                </w:rPr>
                <w:t>http://wales.gov.uk/statistics-and-research/ambulance-services/?lang=en</w:t>
              </w:r>
            </w:hyperlink>
          </w:p>
        </w:tc>
      </w:tr>
      <w:tr w:rsidR="003A0D0C" w:rsidTr="002221E6">
        <w:trPr>
          <w:trHeight w:val="693"/>
        </w:trPr>
        <w:tc>
          <w:tcPr>
            <w:tcW w:w="1242" w:type="dxa"/>
          </w:tcPr>
          <w:p w:rsidR="003A0D0C" w:rsidRDefault="003A0D0C" w:rsidP="002221E6">
            <w:pPr>
              <w:pStyle w:val="NoSpacing"/>
            </w:pPr>
            <w:r w:rsidRPr="000F5B3F">
              <w:t>Scotland</w:t>
            </w:r>
            <w:r>
              <w:t>:</w:t>
            </w:r>
          </w:p>
        </w:tc>
        <w:tc>
          <w:tcPr>
            <w:tcW w:w="7280" w:type="dxa"/>
          </w:tcPr>
          <w:p w:rsidR="003A0D0C" w:rsidRDefault="003A0D0C" w:rsidP="002221E6">
            <w:pPr>
              <w:pStyle w:val="NoSpacing"/>
            </w:pPr>
            <w:r>
              <w:t xml:space="preserve">See </w:t>
            </w:r>
            <w:r>
              <w:rPr>
                <w:lang w:eastAsia="en-US"/>
              </w:rPr>
              <w:t>Quality Improvement Indicators (QII) documents at</w:t>
            </w:r>
            <w:r>
              <w:t xml:space="preserve"> </w:t>
            </w:r>
            <w:hyperlink r:id="rId27" w:history="1">
              <w:r w:rsidRPr="0042008D">
                <w:rPr>
                  <w:rStyle w:val="Hyperlink"/>
                  <w:lang w:eastAsia="en-US"/>
                </w:rPr>
                <w:t>www.scottishambulance.com/TheService/BoardPapers.aspx</w:t>
              </w:r>
            </w:hyperlink>
          </w:p>
        </w:tc>
      </w:tr>
      <w:tr w:rsidR="003A0D0C" w:rsidTr="002221E6">
        <w:tc>
          <w:tcPr>
            <w:tcW w:w="1242" w:type="dxa"/>
          </w:tcPr>
          <w:p w:rsidR="003A0D0C" w:rsidRDefault="003A0D0C" w:rsidP="002221E6">
            <w:pPr>
              <w:pStyle w:val="NoSpacing"/>
            </w:pPr>
            <w:r w:rsidRPr="000F5B3F">
              <w:t>Northern Ireland</w:t>
            </w:r>
            <w:r>
              <w:t>:</w:t>
            </w:r>
          </w:p>
        </w:tc>
        <w:tc>
          <w:tcPr>
            <w:tcW w:w="7280" w:type="dxa"/>
          </w:tcPr>
          <w:p w:rsidR="003A0D0C" w:rsidRPr="0039160E" w:rsidRDefault="007E28DC" w:rsidP="002221E6">
            <w:pPr>
              <w:rPr>
                <w:lang w:eastAsia="en-US"/>
              </w:rPr>
            </w:pPr>
            <w:hyperlink r:id="rId28" w:history="1">
              <w:r w:rsidR="003A0D0C" w:rsidRPr="00F76843">
                <w:rPr>
                  <w:rStyle w:val="Hyperlink"/>
                  <w:lang w:eastAsia="en-US"/>
                </w:rPr>
                <w:t>www.dhsspsni.gov.uk/index/statistics/hospital/emergency-care/ambulance-statistics.htm</w:t>
              </w:r>
            </w:hyperlink>
          </w:p>
        </w:tc>
      </w:tr>
    </w:tbl>
    <w:p w:rsidR="00E11703" w:rsidRPr="000D14CB" w:rsidRDefault="00E11703" w:rsidP="00E11703">
      <w:pPr>
        <w:pStyle w:val="Heading3"/>
      </w:pPr>
      <w:r>
        <w:t>C6</w:t>
      </w:r>
      <w:r w:rsidR="00732D3C">
        <w:tab/>
      </w:r>
      <w:r>
        <w:t>Contact information</w:t>
      </w:r>
    </w:p>
    <w:p w:rsidR="00E11703" w:rsidRDefault="00E11703" w:rsidP="00E11703">
      <w:pPr>
        <w:autoSpaceDE w:val="0"/>
        <w:autoSpaceDN w:val="0"/>
        <w:adjustRightInd w:val="0"/>
        <w:rPr>
          <w:rFonts w:cs="Arial"/>
        </w:rPr>
      </w:pPr>
      <w:r w:rsidRPr="000F5B3F">
        <w:rPr>
          <w:rFonts w:cs="Arial"/>
        </w:rPr>
        <w:t xml:space="preserve">For press enquiries, please contact the </w:t>
      </w:r>
      <w:r>
        <w:rPr>
          <w:rFonts w:cs="Arial"/>
        </w:rPr>
        <w:t xml:space="preserve">NHS England </w:t>
      </w:r>
      <w:r w:rsidRPr="000F5B3F">
        <w:rPr>
          <w:rFonts w:cs="Arial"/>
        </w:rPr>
        <w:t>press office</w:t>
      </w:r>
      <w:r>
        <w:rPr>
          <w:rFonts w:cs="Arial"/>
        </w:rPr>
        <w:t xml:space="preserve"> on 0113 825 0958 or </w:t>
      </w:r>
      <w:hyperlink r:id="rId29" w:history="1">
        <w:r w:rsidRPr="008369E4">
          <w:rPr>
            <w:rStyle w:val="Hyperlink"/>
            <w:rFonts w:cs="Arial"/>
          </w:rPr>
          <w:t>nhsengland.media@nhs.net</w:t>
        </w:r>
      </w:hyperlink>
      <w:r>
        <w:rPr>
          <w:rFonts w:cs="Arial"/>
        </w:rPr>
        <w:t>.</w:t>
      </w:r>
    </w:p>
    <w:p w:rsidR="00E11703" w:rsidRPr="000F5B3F" w:rsidRDefault="00E11703" w:rsidP="00E11703">
      <w:pPr>
        <w:autoSpaceDE w:val="0"/>
        <w:autoSpaceDN w:val="0"/>
        <w:adjustRightInd w:val="0"/>
        <w:rPr>
          <w:rFonts w:cs="Arial"/>
        </w:rPr>
      </w:pPr>
      <w:r w:rsidRPr="000F5B3F">
        <w:rPr>
          <w:rFonts w:cs="Arial"/>
        </w:rPr>
        <w:t>The</w:t>
      </w:r>
      <w:r w:rsidR="001E75EA">
        <w:rPr>
          <w:rFonts w:cs="Arial"/>
        </w:rPr>
        <w:t xml:space="preserve"> </w:t>
      </w:r>
      <w:r w:rsidRPr="000F5B3F">
        <w:rPr>
          <w:rFonts w:cs="Arial"/>
        </w:rPr>
        <w:t xml:space="preserve">statistician responsible for producing </w:t>
      </w:r>
      <w:r w:rsidR="001E75EA">
        <w:rPr>
          <w:rFonts w:cs="Arial"/>
        </w:rPr>
        <w:t xml:space="preserve">this publication </w:t>
      </w:r>
      <w:r w:rsidRPr="000F5B3F">
        <w:rPr>
          <w:rFonts w:cs="Arial"/>
        </w:rPr>
        <w:t>is:</w:t>
      </w:r>
    </w:p>
    <w:p w:rsidR="00B26DEC" w:rsidRDefault="00E11703" w:rsidP="00B26DEC">
      <w:pPr>
        <w:pStyle w:val="NoSpacing"/>
      </w:pPr>
      <w:r w:rsidRPr="000F5B3F">
        <w:t>Ian Kay</w:t>
      </w:r>
      <w:r>
        <w:t>,</w:t>
      </w:r>
      <w:r w:rsidRPr="00C21149">
        <w:t xml:space="preserve"> </w:t>
      </w:r>
      <w:r w:rsidR="001E75EA">
        <w:t xml:space="preserve">Operational Information for Commissioning </w:t>
      </w:r>
      <w:r w:rsidRPr="000F5B3F">
        <w:t>(</w:t>
      </w:r>
      <w:r w:rsidR="00B26DEC">
        <w:t>National</w:t>
      </w:r>
      <w:r w:rsidRPr="000F5B3F">
        <w:t>)</w:t>
      </w:r>
      <w:r>
        <w:t xml:space="preserve">, </w:t>
      </w:r>
      <w:r w:rsidRPr="000F5B3F">
        <w:t>NHS England</w:t>
      </w:r>
    </w:p>
    <w:p w:rsidR="00E11703" w:rsidRDefault="00E11703" w:rsidP="00E11703">
      <w:r w:rsidRPr="000F5B3F">
        <w:t xml:space="preserve">Room </w:t>
      </w:r>
      <w:r>
        <w:t>5E24</w:t>
      </w:r>
      <w:r w:rsidRPr="000F5B3F">
        <w:t>, Quarry House, Leeds, LS2 7UE</w:t>
      </w:r>
      <w:r>
        <w:t xml:space="preserve">; 0113 </w:t>
      </w:r>
      <w:r w:rsidR="00FB7D9D">
        <w:t>825 4606</w:t>
      </w:r>
      <w:r>
        <w:t xml:space="preserve">; </w:t>
      </w:r>
      <w:hyperlink r:id="rId30" w:history="1">
        <w:r w:rsidRPr="009A0418">
          <w:rPr>
            <w:rStyle w:val="Hyperlink"/>
          </w:rPr>
          <w:t>i.kay@nhs.net</w:t>
        </w:r>
      </w:hyperlink>
    </w:p>
    <w:p w:rsidR="00E11703" w:rsidRDefault="003A0D0C" w:rsidP="003A0D0C">
      <w:pPr>
        <w:pStyle w:val="Heading3"/>
      </w:pPr>
      <w:r>
        <w:lastRenderedPageBreak/>
        <w:t>C</w:t>
      </w:r>
      <w:r w:rsidR="00E11703">
        <w:t>7</w:t>
      </w:r>
      <w:r>
        <w:tab/>
      </w:r>
      <w:r w:rsidR="00E11703">
        <w:t>National Statistics</w:t>
      </w:r>
    </w:p>
    <w:p w:rsidR="00E11703" w:rsidRDefault="00E204F2" w:rsidP="00E11703">
      <w:r w:rsidRPr="00E204F2">
        <w:t>The UK Statistics Authority has designated these statistics as National Statistics, in accordance with the Statistics and Registration Service Act 2007 and signifying compliance with the Code of Practice for Official Statistics</w:t>
      </w:r>
      <w:r w:rsidR="00E11703">
        <w:t>.</w:t>
      </w:r>
    </w:p>
    <w:p w:rsidR="00E11703" w:rsidRDefault="00E11703" w:rsidP="00E57244">
      <w:pPr>
        <w:pStyle w:val="NoSpacing"/>
      </w:pPr>
      <w:r>
        <w:t>Designation can be broadly interpreted to mean that the statistics:</w:t>
      </w:r>
    </w:p>
    <w:p w:rsidR="00E11703" w:rsidRPr="00E11703" w:rsidRDefault="00E11703" w:rsidP="00E11703">
      <w:pPr>
        <w:pStyle w:val="ListBullet"/>
      </w:pPr>
      <w:r w:rsidRPr="00E11703">
        <w:t>meet identified user needs;</w:t>
      </w:r>
    </w:p>
    <w:p w:rsidR="00E11703" w:rsidRDefault="00E11703" w:rsidP="00E11703">
      <w:pPr>
        <w:pStyle w:val="ListBullet"/>
      </w:pPr>
      <w:r>
        <w:t>are well explained and readily accessible;</w:t>
      </w:r>
    </w:p>
    <w:p w:rsidR="00E11703" w:rsidRDefault="00E11703" w:rsidP="00E11703">
      <w:pPr>
        <w:pStyle w:val="ListBullet"/>
      </w:pPr>
      <w:r>
        <w:t>are produced according to sound methods; and</w:t>
      </w:r>
    </w:p>
    <w:p w:rsidR="00E11703" w:rsidRDefault="00E11703" w:rsidP="00E11703">
      <w:pPr>
        <w:pStyle w:val="ListBullet"/>
      </w:pPr>
      <w:proofErr w:type="gramStart"/>
      <w:r>
        <w:t>are</w:t>
      </w:r>
      <w:proofErr w:type="gramEnd"/>
      <w:r>
        <w:t xml:space="preserve"> managed impartially and objectively in the public interest.</w:t>
      </w:r>
    </w:p>
    <w:p w:rsidR="00E11703" w:rsidRDefault="00E11703" w:rsidP="00E61830">
      <w:r>
        <w:t>Once statistics have been designated as National Statistics it is a statutory requirement that the Code of Practice shall continue to be observed.</w:t>
      </w:r>
    </w:p>
    <w:sectPr w:rsidR="00E11703" w:rsidSect="00EC40BA">
      <w:headerReference w:type="default" r:id="rId31"/>
      <w:footerReference w:type="default" r:id="rId32"/>
      <w:pgSz w:w="11906" w:h="16838" w:code="9"/>
      <w:pgMar w:top="1440" w:right="1440" w:bottom="1440" w:left="1440"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C83" w:rsidRDefault="00CE0C83" w:rsidP="008C63D3">
      <w:r>
        <w:separator/>
      </w:r>
    </w:p>
  </w:endnote>
  <w:endnote w:type="continuationSeparator" w:id="0">
    <w:p w:rsidR="00CE0C83" w:rsidRDefault="00CE0C83" w:rsidP="008C6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C83" w:rsidRDefault="00CE0C83" w:rsidP="00E924D4">
    <w:pPr>
      <w:pStyle w:val="Footer"/>
      <w:tabs>
        <w:tab w:val="clear" w:pos="9026"/>
        <w:tab w:val="left" w:pos="5025"/>
        <w:tab w:val="right" w:pos="8364"/>
      </w:tabs>
    </w:pPr>
    <w:r>
      <w:t xml:space="preserve">NHS </w:t>
    </w:r>
    <w:r w:rsidR="00465E3C">
      <w:t>England AQI Statistical Note, 10 December</w:t>
    </w:r>
    <w:r>
      <w:t xml:space="preserve"> 2015.</w:t>
    </w:r>
    <w:r>
      <w:tab/>
    </w:r>
    <w:r>
      <w:tab/>
      <w:t xml:space="preserve">Page </w:t>
    </w:r>
    <w:r>
      <w:fldChar w:fldCharType="begin"/>
    </w:r>
    <w:r>
      <w:instrText xml:space="preserve"> PAGE   \* MERGEFORMAT </w:instrText>
    </w:r>
    <w:r>
      <w:fldChar w:fldCharType="separate"/>
    </w:r>
    <w:r w:rsidR="007E28DC">
      <w:rPr>
        <w:noProof/>
      </w:rPr>
      <w:t>7</w:t>
    </w:r>
    <w:r>
      <w:rPr>
        <w:noProof/>
      </w:rPr>
      <w:fldChar w:fldCharType="end"/>
    </w:r>
    <w:r>
      <w:rPr>
        <w:noProof/>
      </w:rPr>
      <w:t xml:space="preserve"> of </w:t>
    </w:r>
    <w:fldSimple w:instr=" NUMPAGES   \* MERGEFORMAT ">
      <w:r w:rsidR="007E28DC">
        <w:rPr>
          <w:noProof/>
        </w:rPr>
        <w:t>12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C83" w:rsidRDefault="00CE0C83" w:rsidP="008C63D3">
      <w:r>
        <w:separator/>
      </w:r>
    </w:p>
  </w:footnote>
  <w:footnote w:type="continuationSeparator" w:id="0">
    <w:p w:rsidR="00CE0C83" w:rsidRDefault="00CE0C83" w:rsidP="008C63D3">
      <w:r>
        <w:continuationSeparator/>
      </w:r>
    </w:p>
  </w:footnote>
  <w:footnote w:id="1">
    <w:p w:rsidR="00CE0C83" w:rsidRDefault="00CE0C83" w:rsidP="00FF749A">
      <w:pPr>
        <w:pStyle w:val="Footer"/>
        <w:rPr>
          <w:rStyle w:val="Hyperlink"/>
          <w:lang w:eastAsia="en-US"/>
        </w:rPr>
      </w:pPr>
      <w:r>
        <w:rPr>
          <w:rStyle w:val="FootnoteReference"/>
        </w:rPr>
        <w:footnoteRef/>
      </w:r>
      <w:r>
        <w:t xml:space="preserve"> Page 34 of the July 2015 </w:t>
      </w:r>
      <w:r w:rsidRPr="000F3EC8">
        <w:t>Handbook to the NHS Constitution</w:t>
      </w:r>
      <w:r>
        <w:t xml:space="preserve"> has</w:t>
      </w:r>
      <w:r w:rsidRPr="00774123">
        <w:t xml:space="preserve"> </w:t>
      </w:r>
      <w:r>
        <w:t xml:space="preserve">Ambulance response time standards, </w:t>
      </w:r>
      <w:hyperlink r:id="rId1" w:history="1">
        <w:r w:rsidRPr="007D0908">
          <w:rPr>
            <w:rStyle w:val="Hyperlink"/>
          </w:rPr>
          <w:t>www.gov.uk/government/publications/the-nhs-constitution-for-england</w:t>
        </w:r>
      </w:hyperlink>
      <w:r>
        <w:t>.</w:t>
      </w:r>
    </w:p>
    <w:p w:rsidR="00CE0C83" w:rsidRDefault="00CE0C83" w:rsidP="00FF749A">
      <w:pPr>
        <w:pStyle w:val="Footer"/>
      </w:pPr>
    </w:p>
  </w:footnote>
  <w:footnote w:id="2">
    <w:p w:rsidR="00CE0C83" w:rsidRDefault="00CE0C83" w:rsidP="00526112">
      <w:pPr>
        <w:pStyle w:val="Footer"/>
        <w:rPr>
          <w:rStyle w:val="Hyperlink"/>
          <w:rFonts w:cs="Arial"/>
          <w:szCs w:val="20"/>
        </w:rPr>
      </w:pPr>
      <w:r>
        <w:rPr>
          <w:rStyle w:val="FootnoteReference"/>
        </w:rPr>
        <w:footnoteRef/>
      </w:r>
      <w:r>
        <w:t xml:space="preserve"> On 1 June 2012, </w:t>
      </w:r>
      <w:r w:rsidRPr="00340492">
        <w:t xml:space="preserve">Category </w:t>
      </w:r>
      <w:proofErr w:type="gramStart"/>
      <w:r w:rsidRPr="00340492">
        <w:t>A</w:t>
      </w:r>
      <w:proofErr w:type="gramEnd"/>
      <w:r w:rsidRPr="00340492">
        <w:t xml:space="preserve"> (immediately life-threatening)</w:t>
      </w:r>
      <w:r>
        <w:t xml:space="preserve"> calls were </w:t>
      </w:r>
      <w:r w:rsidRPr="00E043A8">
        <w:t xml:space="preserve">split into </w:t>
      </w:r>
      <w:r>
        <w:t xml:space="preserve">Red 1 and Red 2. </w:t>
      </w:r>
      <w:r w:rsidRPr="00340492">
        <w:t>Red 1 calls are the most time critical, and cover cardiac arrest patients who are not breathing and do not have a pulse, and other severe conditions such as airway obstruction. Red 2 calls are serious, but less immediately time critical, and cover conditions such as stroke and fits</w:t>
      </w:r>
      <w:r>
        <w:t xml:space="preserve">. </w:t>
      </w:r>
      <w:hyperlink r:id="rId2" w:history="1">
        <w:r w:rsidRPr="00340492">
          <w:rPr>
            <w:rStyle w:val="Hyperlink"/>
            <w:rFonts w:cs="Arial"/>
            <w:szCs w:val="20"/>
          </w:rPr>
          <w:t>www.gov.uk/government/news/changes-to-ambulance-response-time-categories</w:t>
        </w:r>
      </w:hyperlink>
    </w:p>
    <w:p w:rsidR="00E8712C" w:rsidRDefault="00E8712C" w:rsidP="00526112">
      <w:pPr>
        <w:pStyle w:val="Footer"/>
        <w:rPr>
          <w:rStyle w:val="Hyperlink"/>
          <w:rFonts w:cs="Arial"/>
          <w:szCs w:val="20"/>
        </w:rPr>
      </w:pPr>
    </w:p>
    <w:p w:rsidR="00CE0C83" w:rsidRPr="00DC4BF3" w:rsidRDefault="00CE0C83" w:rsidP="00526112">
      <w:pPr>
        <w:pStyle w:val="Footer"/>
        <w:rPr>
          <w:rFonts w:cs="Arial"/>
          <w:color w:val="0000FF"/>
          <w:szCs w:val="20"/>
          <w:u w:val="single"/>
        </w:rPr>
      </w:pPr>
      <w:r w:rsidRPr="00151AF2">
        <w:rPr>
          <w:rFonts w:cs="Arial"/>
        </w:rPr>
        <w:t xml:space="preserve">Due to </w:t>
      </w:r>
      <w:r>
        <w:rPr>
          <w:rFonts w:cs="Arial"/>
        </w:rPr>
        <w:t xml:space="preserve">the </w:t>
      </w:r>
      <w:r w:rsidRPr="00151AF2">
        <w:rPr>
          <w:rFonts w:cs="Arial"/>
        </w:rPr>
        <w:t>differences in clock start definitions for</w:t>
      </w:r>
      <w:r>
        <w:rPr>
          <w:rFonts w:cs="Arial"/>
        </w:rPr>
        <w:t xml:space="preserve"> Red 1 and Red 2</w:t>
      </w:r>
      <w:r w:rsidRPr="00151AF2">
        <w:rPr>
          <w:rFonts w:cs="Arial"/>
        </w:rPr>
        <w:t xml:space="preserve"> it is not possible to aggregate </w:t>
      </w:r>
      <w:r>
        <w:rPr>
          <w:rFonts w:cs="Arial"/>
        </w:rPr>
        <w:t xml:space="preserve">them </w:t>
      </w:r>
      <w:r w:rsidRPr="00151AF2">
        <w:rPr>
          <w:rFonts w:cs="Arial"/>
        </w:rPr>
        <w:t xml:space="preserve">into a </w:t>
      </w:r>
      <w:r>
        <w:rPr>
          <w:rFonts w:cs="Arial"/>
        </w:rPr>
        <w:t xml:space="preserve">single proportion for </w:t>
      </w:r>
      <w:r w:rsidRPr="00151AF2">
        <w:rPr>
          <w:rFonts w:cs="Arial"/>
        </w:rPr>
        <w:t xml:space="preserve">Category A </w:t>
      </w:r>
      <w:r>
        <w:rPr>
          <w:rFonts w:cs="Arial"/>
        </w:rPr>
        <w:t>against the 8 minute standard.</w:t>
      </w:r>
    </w:p>
  </w:footnote>
  <w:footnote w:id="3">
    <w:p w:rsidR="00980342" w:rsidRDefault="00980342" w:rsidP="00980342">
      <w:pPr>
        <w:pStyle w:val="Footer"/>
      </w:pPr>
      <w:r>
        <w:rPr>
          <w:rStyle w:val="FootnoteReference"/>
        </w:rPr>
        <w:footnoteRef/>
      </w:r>
      <w:r>
        <w:t xml:space="preserve"> </w:t>
      </w:r>
      <w:r w:rsidRPr="005F6D25">
        <w:t xml:space="preserve">Dispatch on Disposition </w:t>
      </w:r>
      <w:r>
        <w:t xml:space="preserve">announcement: </w:t>
      </w:r>
      <w:hyperlink r:id="rId3" w:history="1">
        <w:r w:rsidRPr="00470B85">
          <w:rPr>
            <w:rStyle w:val="Hyperlink"/>
          </w:rPr>
          <w:t>www.parliament.uk/business/publications/written-questions-answers-statements/written-statement/Commons/2015-01-16/HCWS201</w:t>
        </w:r>
      </w:hyperlink>
    </w:p>
  </w:footnote>
  <w:footnote w:id="4">
    <w:p w:rsidR="00CE0C83" w:rsidRDefault="00CE0C83" w:rsidP="00191AB9">
      <w:pPr>
        <w:pStyle w:val="Footer"/>
      </w:pPr>
      <w:r>
        <w:rPr>
          <w:rStyle w:val="FootnoteReference"/>
        </w:rPr>
        <w:footnoteRef/>
      </w:r>
      <w:r>
        <w:t xml:space="preserve"> </w:t>
      </w:r>
      <w:r w:rsidRPr="00C71776">
        <w:t>The number of</w:t>
      </w:r>
      <w:r>
        <w:t xml:space="preserve"> emergency </w:t>
      </w:r>
      <w:r w:rsidRPr="00C71776">
        <w:t xml:space="preserve">calls presented </w:t>
      </w:r>
      <w:r>
        <w:t>to switchboard</w:t>
      </w:r>
      <w:r w:rsidRPr="00C71776">
        <w:t xml:space="preserve"> </w:t>
      </w:r>
      <w:r>
        <w:t xml:space="preserve">does not usually include </w:t>
      </w:r>
      <w:r w:rsidRPr="00C71776">
        <w:t xml:space="preserve">calls </w:t>
      </w:r>
      <w:r>
        <w:t xml:space="preserve">made </w:t>
      </w:r>
      <w:r w:rsidRPr="00C71776">
        <w:t xml:space="preserve">to </w:t>
      </w:r>
      <w:r>
        <w:t xml:space="preserve">NHS </w:t>
      </w:r>
      <w:r w:rsidRPr="00C71776">
        <w:t xml:space="preserve">111 </w:t>
      </w:r>
      <w:r>
        <w:t>requiring</w:t>
      </w:r>
      <w:r w:rsidRPr="00C71776">
        <w:t xml:space="preserve"> an ambulance</w:t>
      </w:r>
      <w:r>
        <w:t xml:space="preserve">. 111 calls requiring an ambulance are usually </w:t>
      </w:r>
      <w:r w:rsidRPr="00C71776">
        <w:t>tra</w:t>
      </w:r>
      <w:r>
        <w:t xml:space="preserve">nsferred electronically direct to ambulance dispatch, and </w:t>
      </w:r>
      <w:r w:rsidRPr="00C71776">
        <w:t xml:space="preserve">not </w:t>
      </w:r>
      <w:r>
        <w:t xml:space="preserve">routed </w:t>
      </w:r>
      <w:r w:rsidRPr="00C71776">
        <w:t>via 999 call handlers. Occasionally, manual request</w:t>
      </w:r>
      <w:r>
        <w:t xml:space="preserve">s for </w:t>
      </w:r>
      <w:r w:rsidRPr="00C71776">
        <w:t>ambulance</w:t>
      </w:r>
      <w:r>
        <w:t xml:space="preserve"> are made between </w:t>
      </w:r>
      <w:r w:rsidRPr="00C71776">
        <w:t xml:space="preserve">111 </w:t>
      </w:r>
      <w:r>
        <w:t xml:space="preserve">and 999 </w:t>
      </w:r>
      <w:r w:rsidRPr="00C71776">
        <w:t>call handler</w:t>
      </w:r>
      <w:r>
        <w:t>s</w:t>
      </w:r>
      <w:r w:rsidRPr="00C71776">
        <w:t xml:space="preserve">, and </w:t>
      </w:r>
      <w:r>
        <w:t xml:space="preserve">such calls </w:t>
      </w:r>
      <w:r w:rsidRPr="00C71776">
        <w:t xml:space="preserve">are included in </w:t>
      </w:r>
      <w:r>
        <w:t>the number of emergency calls presented to switchboard.</w:t>
      </w:r>
    </w:p>
    <w:p w:rsidR="00A66D79" w:rsidRDefault="00A66D79" w:rsidP="00191AB9">
      <w:pPr>
        <w:pStyle w:val="Footer"/>
      </w:pPr>
    </w:p>
  </w:footnote>
  <w:footnote w:id="5">
    <w:p w:rsidR="00CE0C83" w:rsidRDefault="00CE0C83" w:rsidP="00191AB9">
      <w:pPr>
        <w:pStyle w:val="Footer"/>
      </w:pPr>
      <w:r>
        <w:rPr>
          <w:rStyle w:val="FootnoteReference"/>
        </w:rPr>
        <w:footnoteRef/>
      </w:r>
      <w:r>
        <w:t xml:space="preserve"> </w:t>
      </w:r>
      <w:proofErr w:type="gramStart"/>
      <w:r>
        <w:t>Type 1 are</w:t>
      </w:r>
      <w:proofErr w:type="gramEnd"/>
      <w:r>
        <w:t xml:space="preserve"> consultant-led 24 hour emergency departments with full resuscitation facilities.</w:t>
      </w:r>
    </w:p>
    <w:p w:rsidR="00CE0C83" w:rsidRDefault="00CE0C83" w:rsidP="00191AB9">
      <w:pPr>
        <w:pStyle w:val="Footer"/>
      </w:pPr>
      <w:r>
        <w:t>Type 2 offer a consultant-led speciality A&amp;E service such as ophthalmology or dental.</w:t>
      </w:r>
    </w:p>
    <w:p w:rsidR="00CE0C83" w:rsidRDefault="00CE0C83" w:rsidP="00191AB9">
      <w:pPr>
        <w:pStyle w:val="Footer"/>
      </w:pPr>
      <w:r>
        <w:t xml:space="preserve">Type 3 is </w:t>
      </w:r>
      <w:r w:rsidRPr="005239BD">
        <w:t>A&amp;E</w:t>
      </w:r>
      <w:r>
        <w:t xml:space="preserve"> </w:t>
      </w:r>
      <w:r w:rsidRPr="005239BD">
        <w:t>/</w:t>
      </w:r>
      <w:r>
        <w:t xml:space="preserve"> </w:t>
      </w:r>
      <w:r w:rsidRPr="005239BD">
        <w:t xml:space="preserve">minor injury </w:t>
      </w:r>
      <w:r>
        <w:t>activity that may be doctor-led or nurse-led.</w:t>
      </w:r>
    </w:p>
    <w:p w:rsidR="00CE0C83" w:rsidRDefault="00CE0C83" w:rsidP="00191AB9">
      <w:pPr>
        <w:pStyle w:val="Footer"/>
      </w:pPr>
      <w:proofErr w:type="gramStart"/>
      <w:r>
        <w:t>Type 4 are</w:t>
      </w:r>
      <w:proofErr w:type="gramEnd"/>
      <w:r>
        <w:t xml:space="preserve"> NHS walk-in centres. (</w:t>
      </w:r>
      <w:hyperlink r:id="rId4" w:history="1">
        <w:r w:rsidRPr="005239BD">
          <w:rPr>
            <w:rStyle w:val="Hyperlink"/>
          </w:rPr>
          <w:t>www.datadictionary.nhs.uk/data_dictionary/attributes/a/acc/</w:t>
        </w:r>
      </w:hyperlink>
      <w:r>
        <w:br/>
      </w:r>
      <w:hyperlink r:id="rId5" w:history="1">
        <w:r w:rsidRPr="005239BD">
          <w:rPr>
            <w:rStyle w:val="Hyperlink"/>
          </w:rPr>
          <w:t>accident_and_emergency_department_type_de.asp</w:t>
        </w:r>
      </w:hyperlink>
      <w:r>
        <w:rPr>
          <w:rStyle w:val="Hyperlink"/>
        </w:rPr>
        <w:t>)</w:t>
      </w:r>
    </w:p>
  </w:footnote>
  <w:footnote w:id="6">
    <w:p w:rsidR="001171E8" w:rsidRDefault="001171E8" w:rsidP="001171E8">
      <w:pPr>
        <w:pStyle w:val="Footer"/>
      </w:pPr>
      <w:r>
        <w:rPr>
          <w:rStyle w:val="FootnoteReference"/>
        </w:rPr>
        <w:footnoteRef/>
      </w:r>
      <w:r>
        <w:t xml:space="preserve"> </w:t>
      </w:r>
      <w:r w:rsidRPr="00A44168">
        <w:t>Due to its small size, performance on Isle of Wight tends to vary more than other trusts. If it has the largest or smallest value, the Table in A</w:t>
      </w:r>
      <w:r>
        <w:t>5</w:t>
      </w:r>
      <w:r w:rsidRPr="00A44168">
        <w:t xml:space="preserve"> shows the second largest or smallest value</w:t>
      </w:r>
      <w:r>
        <w:t xml:space="preserve">, but </w:t>
      </w:r>
      <w:r w:rsidRPr="00A44168">
        <w:t xml:space="preserve">has a footnote marker to show that </w:t>
      </w:r>
      <w:r>
        <w:t xml:space="preserve">Isle of Wight </w:t>
      </w:r>
      <w:r w:rsidRPr="00A44168">
        <w:t xml:space="preserve">is </w:t>
      </w:r>
      <w:r>
        <w:t xml:space="preserve">more </w:t>
      </w:r>
      <w:r w:rsidRPr="00A44168">
        <w:t>extreme. The Clinical Outcomes in section B a</w:t>
      </w:r>
      <w:r>
        <w:t>lso use this system.</w:t>
      </w:r>
    </w:p>
    <w:p w:rsidR="001171E8" w:rsidRDefault="001171E8" w:rsidP="001171E8">
      <w:pPr>
        <w:pStyle w:val="Footer"/>
      </w:pPr>
    </w:p>
  </w:footnote>
  <w:footnote w:id="7">
    <w:p w:rsidR="00145910" w:rsidRDefault="00145910" w:rsidP="00145910">
      <w:pPr>
        <w:pStyle w:val="FootnoteText"/>
      </w:pPr>
      <w:r>
        <w:rPr>
          <w:rStyle w:val="FootnoteReference"/>
        </w:rPr>
        <w:footnoteRef/>
      </w:r>
      <w:r>
        <w:t xml:space="preserve"> Significance calculations throughout this document use t-tests with 95% confidence.</w:t>
      </w:r>
    </w:p>
  </w:footnote>
  <w:footnote w:id="8">
    <w:p w:rsidR="007E28DC" w:rsidRDefault="007E28DC" w:rsidP="007E28DC">
      <w:pPr>
        <w:pStyle w:val="Footer"/>
      </w:pPr>
      <w:r>
        <w:rPr>
          <w:rStyle w:val="FootnoteReference"/>
        </w:rPr>
        <w:footnoteRef/>
      </w:r>
      <w:r>
        <w:t xml:space="preserve"> </w:t>
      </w:r>
      <w:proofErr w:type="gramStart"/>
      <w:r>
        <w:t>Excluding Isle of Wight.</w:t>
      </w:r>
      <w:proofErr w:type="gramEnd"/>
      <w:r>
        <w:t xml:space="preserve"> See footnote 6 on page 7. </w:t>
      </w:r>
    </w:p>
  </w:footnote>
  <w:footnote w:id="9">
    <w:p w:rsidR="007E28DC" w:rsidRDefault="007E28DC" w:rsidP="007E28DC">
      <w:pPr>
        <w:pStyle w:val="FootnoteText"/>
      </w:pPr>
      <w:r>
        <w:rPr>
          <w:rStyle w:val="FootnoteReference"/>
        </w:rPr>
        <w:footnoteRef/>
      </w:r>
      <w:r>
        <w:t xml:space="preserve"> </w:t>
      </w:r>
      <w:r w:rsidRPr="007920B1">
        <w:t xml:space="preserve">This definition was proposed at </w:t>
      </w:r>
      <w:proofErr w:type="spellStart"/>
      <w:r w:rsidRPr="007920B1">
        <w:t>Utstein</w:t>
      </w:r>
      <w:proofErr w:type="spellEnd"/>
      <w:r w:rsidRPr="007920B1">
        <w:t xml:space="preserve"> Abbey in Norway by an international group of cardiologists and </w:t>
      </w:r>
      <w:r>
        <w:t xml:space="preserve">other </w:t>
      </w:r>
      <w:r w:rsidRPr="007920B1">
        <w:t>health professionals</w:t>
      </w:r>
      <w:r w:rsidRPr="00864978">
        <w:t xml:space="preserve"> </w:t>
      </w:r>
      <w:r w:rsidRPr="007920B1">
        <w:t>in 1990</w:t>
      </w:r>
      <w:r>
        <w:t xml:space="preserve">. </w:t>
      </w:r>
      <w:hyperlink r:id="rId6" w:history="1">
        <w:r w:rsidRPr="00416EE1">
          <w:rPr>
            <w:rStyle w:val="Hyperlink"/>
          </w:rPr>
          <w:t>http://circ.ahajournals.org/content/84/2/960.citation</w:t>
        </w:r>
      </w:hyperlink>
    </w:p>
  </w:footnote>
  <w:footnote w:id="10">
    <w:p w:rsidR="00780F7F" w:rsidRDefault="00780F7F">
      <w:pPr>
        <w:pStyle w:val="FootnoteText"/>
      </w:pPr>
      <w:r>
        <w:rPr>
          <w:rStyle w:val="FootnoteReference"/>
        </w:rPr>
        <w:footnoteRef/>
      </w:r>
      <w:r>
        <w:t xml:space="preserve"> </w:t>
      </w:r>
      <w:proofErr w:type="gramStart"/>
      <w:r>
        <w:t>Excluding Isle of Wight.</w:t>
      </w:r>
      <w:proofErr w:type="gramEnd"/>
      <w:r>
        <w:t xml:space="preserve"> See footnote 6 on page 7.</w:t>
      </w:r>
    </w:p>
  </w:footnote>
  <w:footnote w:id="11">
    <w:p w:rsidR="00CE0C83" w:rsidRDefault="00CE0C83" w:rsidP="00104812">
      <w:pPr>
        <w:pStyle w:val="Footer"/>
      </w:pPr>
      <w:r>
        <w:rPr>
          <w:rStyle w:val="FootnoteReference"/>
        </w:rPr>
        <w:footnoteRef/>
      </w:r>
      <w:r>
        <w:t xml:space="preserve"> Pages 27 to 30 of the specification guidance for data suppliers on the AQI landing page at </w:t>
      </w:r>
      <w:hyperlink r:id="rId7" w:history="1">
        <w:r w:rsidRPr="00BF4F52">
          <w:rPr>
            <w:rStyle w:val="Hyperlink"/>
          </w:rPr>
          <w:t>www.england.nhs.uk/statistics/statistical-work-areas/ambulance-quality-indicators</w:t>
        </w:r>
      </w:hyperlink>
      <w:r>
        <w:t xml:space="preserve"> describe</w:t>
      </w:r>
      <w:r w:rsidRPr="00BE72B7">
        <w:t xml:space="preserve"> </w:t>
      </w:r>
      <w:r>
        <w:t>the care bundles, and certain exclusions, for the STEMI and stroke indicators.</w:t>
      </w:r>
    </w:p>
    <w:p w:rsidR="00504B11" w:rsidRDefault="00504B11" w:rsidP="00104812">
      <w:pPr>
        <w:pStyle w:val="Footer"/>
      </w:pPr>
    </w:p>
  </w:footnote>
  <w:footnote w:id="12">
    <w:p w:rsidR="00504B11" w:rsidRDefault="00504B11" w:rsidP="00504B11">
      <w:pPr>
        <w:pStyle w:val="Footer"/>
      </w:pPr>
      <w:r>
        <w:rPr>
          <w:rStyle w:val="FootnoteReference"/>
        </w:rPr>
        <w:footnoteRef/>
      </w:r>
      <w:r>
        <w:t xml:space="preserve"> </w:t>
      </w:r>
      <w:proofErr w:type="gramStart"/>
      <w:r>
        <w:t>Excluding Isle of</w:t>
      </w:r>
      <w:r w:rsidR="00780F7F">
        <w:t xml:space="preserve"> Wight.</w:t>
      </w:r>
      <w:proofErr w:type="gramEnd"/>
      <w:r w:rsidR="00780F7F">
        <w:t xml:space="preserve"> See footnote 6 on page 7</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C83" w:rsidRDefault="00CE0C83" w:rsidP="00EC40BA">
    <w:pPr>
      <w:pStyle w:val="Header"/>
      <w:tabs>
        <w:tab w:val="clear" w:pos="9026"/>
        <w:tab w:val="left" w:pos="3255"/>
        <w:tab w:val="right" w:pos="9923"/>
      </w:tabs>
      <w:ind w:right="-238" w:hanging="851"/>
    </w:pPr>
    <w:r>
      <w:rPr>
        <w:noProof/>
      </w:rPr>
      <w:drawing>
        <wp:inline distT="0" distB="0" distL="0" distR="0" wp14:anchorId="4E46FFB9" wp14:editId="14CD3C7E">
          <wp:extent cx="800100" cy="800100"/>
          <wp:effectExtent l="0" t="0" r="0" b="0"/>
          <wp:docPr id="13" name="Picture 13" descr="National stat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statisti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r>
      <w:tab/>
    </w:r>
    <w:r>
      <w:tab/>
    </w:r>
    <w:r>
      <w:tab/>
    </w:r>
    <w:r>
      <w:rPr>
        <w:noProof/>
      </w:rPr>
      <w:drawing>
        <wp:inline distT="0" distB="0" distL="0" distR="0" wp14:anchorId="209670E9" wp14:editId="46766AE5">
          <wp:extent cx="1155194" cy="719329"/>
          <wp:effectExtent l="0" t="0" r="6985" b="5080"/>
          <wp:docPr id="14" name="Picture 14" title="NHS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20England%20logo%20A4.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55194" cy="719329"/>
                  </a:xfrm>
                  <a:prstGeom prst="rect">
                    <a:avLst/>
                  </a:prstGeom>
                </pic:spPr>
              </pic:pic>
            </a:graphicData>
          </a:graphic>
        </wp:inline>
      </w:drawing>
    </w:r>
  </w:p>
  <w:p w:rsidR="00CE0C83" w:rsidRDefault="00CE0C83" w:rsidP="00E11703">
    <w:pPr>
      <w:pStyle w:val="Header"/>
      <w:tabs>
        <w:tab w:val="clear" w:pos="9026"/>
        <w:tab w:val="left" w:pos="3255"/>
        <w:tab w:val="right" w:pos="9923"/>
      </w:tabs>
      <w:ind w:right="-23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EFA9A72"/>
    <w:lvl w:ilvl="0">
      <w:start w:val="1"/>
      <w:numFmt w:val="decimal"/>
      <w:lvlText w:val="%1."/>
      <w:lvlJc w:val="left"/>
      <w:pPr>
        <w:tabs>
          <w:tab w:val="num" w:pos="643"/>
        </w:tabs>
        <w:ind w:left="643" w:hanging="360"/>
      </w:pPr>
    </w:lvl>
  </w:abstractNum>
  <w:abstractNum w:abstractNumId="1">
    <w:nsid w:val="FFFFFF83"/>
    <w:multiLevelType w:val="singleLevel"/>
    <w:tmpl w:val="53648052"/>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8"/>
    <w:multiLevelType w:val="singleLevel"/>
    <w:tmpl w:val="C0FC153C"/>
    <w:lvl w:ilvl="0">
      <w:start w:val="1"/>
      <w:numFmt w:val="decimal"/>
      <w:lvlText w:val="%1."/>
      <w:lvlJc w:val="left"/>
      <w:pPr>
        <w:tabs>
          <w:tab w:val="num" w:pos="360"/>
        </w:tabs>
        <w:ind w:left="360" w:hanging="360"/>
      </w:pPr>
    </w:lvl>
  </w:abstractNum>
  <w:abstractNum w:abstractNumId="3">
    <w:nsid w:val="FFFFFF89"/>
    <w:multiLevelType w:val="singleLevel"/>
    <w:tmpl w:val="1178AD2A"/>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12225D14"/>
    <w:multiLevelType w:val="hybridMultilevel"/>
    <w:tmpl w:val="86EA467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A7520A6"/>
    <w:multiLevelType w:val="hybridMultilevel"/>
    <w:tmpl w:val="807ECE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nsid w:val="1BED15B9"/>
    <w:multiLevelType w:val="hybridMultilevel"/>
    <w:tmpl w:val="161CA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CBC2248"/>
    <w:multiLevelType w:val="hybridMultilevel"/>
    <w:tmpl w:val="D2CEE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704040"/>
    <w:multiLevelType w:val="hybridMultilevel"/>
    <w:tmpl w:val="F5601D12"/>
    <w:lvl w:ilvl="0" w:tplc="B9568BA0">
      <w:start w:val="1"/>
      <w:numFmt w:val="decimal"/>
      <w:lvlText w:val="%1."/>
      <w:lvlJc w:val="left"/>
      <w:pPr>
        <w:tabs>
          <w:tab w:val="num" w:pos="360"/>
        </w:tabs>
        <w:ind w:left="360" w:hanging="360"/>
      </w:pPr>
      <w:rPr>
        <w:rFonts w:hint="default"/>
        <w:b/>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nsid w:val="27C6173C"/>
    <w:multiLevelType w:val="hybridMultilevel"/>
    <w:tmpl w:val="3E78DB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96F419A"/>
    <w:multiLevelType w:val="hybridMultilevel"/>
    <w:tmpl w:val="96AE18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52096E4D"/>
    <w:multiLevelType w:val="hybridMultilevel"/>
    <w:tmpl w:val="756AFB28"/>
    <w:lvl w:ilvl="0" w:tplc="C4A2FD8E">
      <w:start w:val="1"/>
      <w:numFmt w:val="bullet"/>
      <w:lvlText w:val=""/>
      <w:lvlJc w:val="left"/>
      <w:pPr>
        <w:tabs>
          <w:tab w:val="num" w:pos="227"/>
        </w:tabs>
        <w:ind w:left="227" w:hanging="227"/>
      </w:pPr>
      <w:rPr>
        <w:rFonts w:ascii="Symbol" w:hAnsi="Symbol" w:hint="default"/>
        <w:color w:val="auto"/>
      </w:rPr>
    </w:lvl>
    <w:lvl w:ilvl="1" w:tplc="F5E6FB4E">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58562792"/>
    <w:multiLevelType w:val="hybridMultilevel"/>
    <w:tmpl w:val="8F203C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59CF346F"/>
    <w:multiLevelType w:val="hybridMultilevel"/>
    <w:tmpl w:val="9FB6B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34C0C4D"/>
    <w:multiLevelType w:val="hybridMultilevel"/>
    <w:tmpl w:val="3EE097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7EDF7D1F"/>
    <w:multiLevelType w:val="hybridMultilevel"/>
    <w:tmpl w:val="E034CC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5"/>
  </w:num>
  <w:num w:numId="3">
    <w:abstractNumId w:val="9"/>
  </w:num>
  <w:num w:numId="4">
    <w:abstractNumId w:val="10"/>
  </w:num>
  <w:num w:numId="5">
    <w:abstractNumId w:val="8"/>
  </w:num>
  <w:num w:numId="6">
    <w:abstractNumId w:val="11"/>
  </w:num>
  <w:num w:numId="7">
    <w:abstractNumId w:val="14"/>
  </w:num>
  <w:num w:numId="8">
    <w:abstractNumId w:val="4"/>
  </w:num>
  <w:num w:numId="9">
    <w:abstractNumId w:val="3"/>
  </w:num>
  <w:num w:numId="10">
    <w:abstractNumId w:val="1"/>
  </w:num>
  <w:num w:numId="11">
    <w:abstractNumId w:val="0"/>
  </w:num>
  <w:num w:numId="12">
    <w:abstractNumId w:val="2"/>
  </w:num>
  <w:num w:numId="13">
    <w:abstractNumId w:val="13"/>
  </w:num>
  <w:num w:numId="14">
    <w:abstractNumId w:val="5"/>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339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2F1"/>
    <w:rsid w:val="000007F1"/>
    <w:rsid w:val="00002502"/>
    <w:rsid w:val="0000477A"/>
    <w:rsid w:val="00004858"/>
    <w:rsid w:val="00007EAE"/>
    <w:rsid w:val="00012199"/>
    <w:rsid w:val="00014432"/>
    <w:rsid w:val="00017E64"/>
    <w:rsid w:val="00017EE8"/>
    <w:rsid w:val="00022061"/>
    <w:rsid w:val="00022C19"/>
    <w:rsid w:val="00022C9A"/>
    <w:rsid w:val="00024821"/>
    <w:rsid w:val="000274BA"/>
    <w:rsid w:val="00032244"/>
    <w:rsid w:val="00033CF1"/>
    <w:rsid w:val="00035B25"/>
    <w:rsid w:val="00036949"/>
    <w:rsid w:val="00037F53"/>
    <w:rsid w:val="00040905"/>
    <w:rsid w:val="00040A6E"/>
    <w:rsid w:val="00042A5D"/>
    <w:rsid w:val="00043776"/>
    <w:rsid w:val="00044185"/>
    <w:rsid w:val="000442D5"/>
    <w:rsid w:val="00044C0E"/>
    <w:rsid w:val="000452BC"/>
    <w:rsid w:val="00045B64"/>
    <w:rsid w:val="000468C4"/>
    <w:rsid w:val="00051663"/>
    <w:rsid w:val="000517B6"/>
    <w:rsid w:val="000534B8"/>
    <w:rsid w:val="0005385F"/>
    <w:rsid w:val="0005401E"/>
    <w:rsid w:val="000543A2"/>
    <w:rsid w:val="00054879"/>
    <w:rsid w:val="0005497C"/>
    <w:rsid w:val="000549C2"/>
    <w:rsid w:val="00054D5D"/>
    <w:rsid w:val="0005599E"/>
    <w:rsid w:val="00055BFC"/>
    <w:rsid w:val="000609DB"/>
    <w:rsid w:val="000610E8"/>
    <w:rsid w:val="00064B43"/>
    <w:rsid w:val="00064EA6"/>
    <w:rsid w:val="00065110"/>
    <w:rsid w:val="00065771"/>
    <w:rsid w:val="000670B6"/>
    <w:rsid w:val="00070143"/>
    <w:rsid w:val="0007019A"/>
    <w:rsid w:val="00072DE5"/>
    <w:rsid w:val="000768E8"/>
    <w:rsid w:val="000776AF"/>
    <w:rsid w:val="0007786F"/>
    <w:rsid w:val="00077876"/>
    <w:rsid w:val="000801E2"/>
    <w:rsid w:val="00081437"/>
    <w:rsid w:val="00082855"/>
    <w:rsid w:val="00085A95"/>
    <w:rsid w:val="00085AC3"/>
    <w:rsid w:val="00085B01"/>
    <w:rsid w:val="000871A7"/>
    <w:rsid w:val="00087A96"/>
    <w:rsid w:val="000908B7"/>
    <w:rsid w:val="00091724"/>
    <w:rsid w:val="00092393"/>
    <w:rsid w:val="00092A97"/>
    <w:rsid w:val="00095266"/>
    <w:rsid w:val="00096317"/>
    <w:rsid w:val="000965D6"/>
    <w:rsid w:val="00096A9C"/>
    <w:rsid w:val="00097684"/>
    <w:rsid w:val="00097741"/>
    <w:rsid w:val="00097833"/>
    <w:rsid w:val="000A00D6"/>
    <w:rsid w:val="000A0425"/>
    <w:rsid w:val="000A0CF7"/>
    <w:rsid w:val="000A3161"/>
    <w:rsid w:val="000A42E3"/>
    <w:rsid w:val="000A4DF4"/>
    <w:rsid w:val="000B17F3"/>
    <w:rsid w:val="000B1B66"/>
    <w:rsid w:val="000B2219"/>
    <w:rsid w:val="000B2586"/>
    <w:rsid w:val="000B6AA0"/>
    <w:rsid w:val="000C13BF"/>
    <w:rsid w:val="000C2092"/>
    <w:rsid w:val="000C3202"/>
    <w:rsid w:val="000C7FCE"/>
    <w:rsid w:val="000D14CB"/>
    <w:rsid w:val="000D3E6B"/>
    <w:rsid w:val="000D3FB5"/>
    <w:rsid w:val="000D4CAE"/>
    <w:rsid w:val="000D52EC"/>
    <w:rsid w:val="000D6BA7"/>
    <w:rsid w:val="000D71FF"/>
    <w:rsid w:val="000D7762"/>
    <w:rsid w:val="000E0E23"/>
    <w:rsid w:val="000E166D"/>
    <w:rsid w:val="000E3B6E"/>
    <w:rsid w:val="000E4972"/>
    <w:rsid w:val="000E519E"/>
    <w:rsid w:val="000F027D"/>
    <w:rsid w:val="000F0D83"/>
    <w:rsid w:val="000F2BCC"/>
    <w:rsid w:val="000F3EC8"/>
    <w:rsid w:val="000F4631"/>
    <w:rsid w:val="000F537D"/>
    <w:rsid w:val="000F5B3F"/>
    <w:rsid w:val="000F5FB4"/>
    <w:rsid w:val="000F6221"/>
    <w:rsid w:val="001000B2"/>
    <w:rsid w:val="00104812"/>
    <w:rsid w:val="0010506D"/>
    <w:rsid w:val="00110E64"/>
    <w:rsid w:val="00111B6E"/>
    <w:rsid w:val="00113395"/>
    <w:rsid w:val="0011384E"/>
    <w:rsid w:val="00115FF0"/>
    <w:rsid w:val="001171E8"/>
    <w:rsid w:val="00120401"/>
    <w:rsid w:val="00120424"/>
    <w:rsid w:val="0012242C"/>
    <w:rsid w:val="001251FA"/>
    <w:rsid w:val="0012724F"/>
    <w:rsid w:val="001275F2"/>
    <w:rsid w:val="00127A5B"/>
    <w:rsid w:val="00127E1D"/>
    <w:rsid w:val="00127FD0"/>
    <w:rsid w:val="00133520"/>
    <w:rsid w:val="001359EC"/>
    <w:rsid w:val="00136E8B"/>
    <w:rsid w:val="0013777A"/>
    <w:rsid w:val="001405FE"/>
    <w:rsid w:val="001407C4"/>
    <w:rsid w:val="00140B7B"/>
    <w:rsid w:val="0014147C"/>
    <w:rsid w:val="001417C4"/>
    <w:rsid w:val="00144A92"/>
    <w:rsid w:val="00145910"/>
    <w:rsid w:val="00145BE4"/>
    <w:rsid w:val="00146D12"/>
    <w:rsid w:val="001476C3"/>
    <w:rsid w:val="00151236"/>
    <w:rsid w:val="0015128C"/>
    <w:rsid w:val="00151567"/>
    <w:rsid w:val="00151AF2"/>
    <w:rsid w:val="0015216C"/>
    <w:rsid w:val="00155E50"/>
    <w:rsid w:val="00156A47"/>
    <w:rsid w:val="00160F31"/>
    <w:rsid w:val="00163FFB"/>
    <w:rsid w:val="0016646E"/>
    <w:rsid w:val="0016743F"/>
    <w:rsid w:val="00170786"/>
    <w:rsid w:val="001712AD"/>
    <w:rsid w:val="0017232F"/>
    <w:rsid w:val="0017281D"/>
    <w:rsid w:val="001747C9"/>
    <w:rsid w:val="00174FF6"/>
    <w:rsid w:val="00175513"/>
    <w:rsid w:val="0017577C"/>
    <w:rsid w:val="00175B12"/>
    <w:rsid w:val="00175F86"/>
    <w:rsid w:val="00177CDB"/>
    <w:rsid w:val="00181692"/>
    <w:rsid w:val="00182E71"/>
    <w:rsid w:val="001847B2"/>
    <w:rsid w:val="00184E60"/>
    <w:rsid w:val="001857AC"/>
    <w:rsid w:val="00186446"/>
    <w:rsid w:val="001876F0"/>
    <w:rsid w:val="0019011B"/>
    <w:rsid w:val="00190332"/>
    <w:rsid w:val="00190BCC"/>
    <w:rsid w:val="00191AB9"/>
    <w:rsid w:val="00191EA9"/>
    <w:rsid w:val="00193CB9"/>
    <w:rsid w:val="0019534B"/>
    <w:rsid w:val="00196595"/>
    <w:rsid w:val="00197242"/>
    <w:rsid w:val="00197CEC"/>
    <w:rsid w:val="001A0F87"/>
    <w:rsid w:val="001A2A3F"/>
    <w:rsid w:val="001A37E4"/>
    <w:rsid w:val="001A3A2C"/>
    <w:rsid w:val="001A3F6B"/>
    <w:rsid w:val="001A471D"/>
    <w:rsid w:val="001A6875"/>
    <w:rsid w:val="001A7F8A"/>
    <w:rsid w:val="001B6001"/>
    <w:rsid w:val="001B68DB"/>
    <w:rsid w:val="001B6963"/>
    <w:rsid w:val="001C2BC2"/>
    <w:rsid w:val="001C2FF8"/>
    <w:rsid w:val="001C3052"/>
    <w:rsid w:val="001C3165"/>
    <w:rsid w:val="001C473C"/>
    <w:rsid w:val="001C5911"/>
    <w:rsid w:val="001C688D"/>
    <w:rsid w:val="001C6E6A"/>
    <w:rsid w:val="001D06FD"/>
    <w:rsid w:val="001D2162"/>
    <w:rsid w:val="001D3157"/>
    <w:rsid w:val="001D341A"/>
    <w:rsid w:val="001D4F10"/>
    <w:rsid w:val="001D5DCC"/>
    <w:rsid w:val="001D60BD"/>
    <w:rsid w:val="001D731A"/>
    <w:rsid w:val="001E0C96"/>
    <w:rsid w:val="001E1B0A"/>
    <w:rsid w:val="001E2906"/>
    <w:rsid w:val="001E30CD"/>
    <w:rsid w:val="001E3296"/>
    <w:rsid w:val="001E5191"/>
    <w:rsid w:val="001E734D"/>
    <w:rsid w:val="001E75EA"/>
    <w:rsid w:val="001F1181"/>
    <w:rsid w:val="001F1305"/>
    <w:rsid w:val="001F27E7"/>
    <w:rsid w:val="001F48A8"/>
    <w:rsid w:val="001F634A"/>
    <w:rsid w:val="001F7230"/>
    <w:rsid w:val="002029B2"/>
    <w:rsid w:val="00203093"/>
    <w:rsid w:val="002055F7"/>
    <w:rsid w:val="002067E2"/>
    <w:rsid w:val="00210E7E"/>
    <w:rsid w:val="00214510"/>
    <w:rsid w:val="00214A55"/>
    <w:rsid w:val="002221E6"/>
    <w:rsid w:val="00222A8A"/>
    <w:rsid w:val="00222B38"/>
    <w:rsid w:val="002247A6"/>
    <w:rsid w:val="00225C13"/>
    <w:rsid w:val="00230B2D"/>
    <w:rsid w:val="0023382F"/>
    <w:rsid w:val="002346FC"/>
    <w:rsid w:val="002350ED"/>
    <w:rsid w:val="00240F81"/>
    <w:rsid w:val="00241092"/>
    <w:rsid w:val="0024134C"/>
    <w:rsid w:val="002415BE"/>
    <w:rsid w:val="00241F79"/>
    <w:rsid w:val="00243B32"/>
    <w:rsid w:val="00244F63"/>
    <w:rsid w:val="00247D97"/>
    <w:rsid w:val="0025006E"/>
    <w:rsid w:val="00250AB3"/>
    <w:rsid w:val="00251383"/>
    <w:rsid w:val="00251854"/>
    <w:rsid w:val="002529A4"/>
    <w:rsid w:val="00252C62"/>
    <w:rsid w:val="00253E22"/>
    <w:rsid w:val="00254237"/>
    <w:rsid w:val="0025490C"/>
    <w:rsid w:val="00254B9C"/>
    <w:rsid w:val="00260C5F"/>
    <w:rsid w:val="00261C03"/>
    <w:rsid w:val="00261FC5"/>
    <w:rsid w:val="0026240F"/>
    <w:rsid w:val="0026352B"/>
    <w:rsid w:val="00263BD6"/>
    <w:rsid w:val="00265EFB"/>
    <w:rsid w:val="00266D58"/>
    <w:rsid w:val="00266E0D"/>
    <w:rsid w:val="00267437"/>
    <w:rsid w:val="002674B1"/>
    <w:rsid w:val="00270C17"/>
    <w:rsid w:val="002719AC"/>
    <w:rsid w:val="00275C0B"/>
    <w:rsid w:val="002760F7"/>
    <w:rsid w:val="00276BB6"/>
    <w:rsid w:val="00277342"/>
    <w:rsid w:val="0028035E"/>
    <w:rsid w:val="00280386"/>
    <w:rsid w:val="00291664"/>
    <w:rsid w:val="0029257D"/>
    <w:rsid w:val="002941E6"/>
    <w:rsid w:val="002956C9"/>
    <w:rsid w:val="00296E05"/>
    <w:rsid w:val="00297264"/>
    <w:rsid w:val="002A0F67"/>
    <w:rsid w:val="002A2463"/>
    <w:rsid w:val="002A2AFC"/>
    <w:rsid w:val="002A2C06"/>
    <w:rsid w:val="002A30DE"/>
    <w:rsid w:val="002A3DFB"/>
    <w:rsid w:val="002A4955"/>
    <w:rsid w:val="002A4C7B"/>
    <w:rsid w:val="002A5C8A"/>
    <w:rsid w:val="002A7621"/>
    <w:rsid w:val="002A79F0"/>
    <w:rsid w:val="002B0A28"/>
    <w:rsid w:val="002B1C61"/>
    <w:rsid w:val="002B4DD9"/>
    <w:rsid w:val="002B4F9D"/>
    <w:rsid w:val="002B55AA"/>
    <w:rsid w:val="002B6786"/>
    <w:rsid w:val="002B72F1"/>
    <w:rsid w:val="002C04A5"/>
    <w:rsid w:val="002C1974"/>
    <w:rsid w:val="002C1DD5"/>
    <w:rsid w:val="002C28AD"/>
    <w:rsid w:val="002C37DD"/>
    <w:rsid w:val="002C3A8E"/>
    <w:rsid w:val="002C3ECB"/>
    <w:rsid w:val="002C4E14"/>
    <w:rsid w:val="002C522F"/>
    <w:rsid w:val="002D10A5"/>
    <w:rsid w:val="002D2035"/>
    <w:rsid w:val="002D4D8D"/>
    <w:rsid w:val="002D58CE"/>
    <w:rsid w:val="002D5C5D"/>
    <w:rsid w:val="002D6186"/>
    <w:rsid w:val="002D7845"/>
    <w:rsid w:val="002E3DEA"/>
    <w:rsid w:val="002E4181"/>
    <w:rsid w:val="002E6965"/>
    <w:rsid w:val="002F09FA"/>
    <w:rsid w:val="002F1115"/>
    <w:rsid w:val="002F23C6"/>
    <w:rsid w:val="002F3C5E"/>
    <w:rsid w:val="002F5002"/>
    <w:rsid w:val="002F5385"/>
    <w:rsid w:val="002F7555"/>
    <w:rsid w:val="00300176"/>
    <w:rsid w:val="00300551"/>
    <w:rsid w:val="00305EA9"/>
    <w:rsid w:val="003076B8"/>
    <w:rsid w:val="00310203"/>
    <w:rsid w:val="0031043B"/>
    <w:rsid w:val="0031060B"/>
    <w:rsid w:val="0031228A"/>
    <w:rsid w:val="00312B69"/>
    <w:rsid w:val="0031323B"/>
    <w:rsid w:val="00317C23"/>
    <w:rsid w:val="00320970"/>
    <w:rsid w:val="00322346"/>
    <w:rsid w:val="003224D0"/>
    <w:rsid w:val="0032556F"/>
    <w:rsid w:val="00325786"/>
    <w:rsid w:val="0032599C"/>
    <w:rsid w:val="003265C0"/>
    <w:rsid w:val="00326A6F"/>
    <w:rsid w:val="00326C83"/>
    <w:rsid w:val="003336E9"/>
    <w:rsid w:val="00335EE6"/>
    <w:rsid w:val="00336020"/>
    <w:rsid w:val="0033606F"/>
    <w:rsid w:val="003374D2"/>
    <w:rsid w:val="0034037C"/>
    <w:rsid w:val="00340492"/>
    <w:rsid w:val="003404AA"/>
    <w:rsid w:val="00340769"/>
    <w:rsid w:val="00341729"/>
    <w:rsid w:val="003425A1"/>
    <w:rsid w:val="00346087"/>
    <w:rsid w:val="00346103"/>
    <w:rsid w:val="00347494"/>
    <w:rsid w:val="003479E2"/>
    <w:rsid w:val="003507AC"/>
    <w:rsid w:val="003518B6"/>
    <w:rsid w:val="00352975"/>
    <w:rsid w:val="00356BD0"/>
    <w:rsid w:val="00360AFD"/>
    <w:rsid w:val="003635DF"/>
    <w:rsid w:val="00363C6A"/>
    <w:rsid w:val="0036445B"/>
    <w:rsid w:val="003663E1"/>
    <w:rsid w:val="0036736E"/>
    <w:rsid w:val="003674CA"/>
    <w:rsid w:val="003708E7"/>
    <w:rsid w:val="003723D5"/>
    <w:rsid w:val="0037489E"/>
    <w:rsid w:val="00377786"/>
    <w:rsid w:val="00377FF6"/>
    <w:rsid w:val="00381D71"/>
    <w:rsid w:val="00384DC4"/>
    <w:rsid w:val="0038780E"/>
    <w:rsid w:val="00387879"/>
    <w:rsid w:val="0039160E"/>
    <w:rsid w:val="00391832"/>
    <w:rsid w:val="0039219A"/>
    <w:rsid w:val="00393F68"/>
    <w:rsid w:val="00394711"/>
    <w:rsid w:val="00395D9D"/>
    <w:rsid w:val="00396552"/>
    <w:rsid w:val="00396DD4"/>
    <w:rsid w:val="00396E0E"/>
    <w:rsid w:val="003A0D0C"/>
    <w:rsid w:val="003A0F4C"/>
    <w:rsid w:val="003A2736"/>
    <w:rsid w:val="003A398E"/>
    <w:rsid w:val="003A3994"/>
    <w:rsid w:val="003A63FB"/>
    <w:rsid w:val="003A67C6"/>
    <w:rsid w:val="003A7386"/>
    <w:rsid w:val="003B164C"/>
    <w:rsid w:val="003B4AEC"/>
    <w:rsid w:val="003B628A"/>
    <w:rsid w:val="003C007F"/>
    <w:rsid w:val="003C11F6"/>
    <w:rsid w:val="003C183D"/>
    <w:rsid w:val="003C1F17"/>
    <w:rsid w:val="003C24D1"/>
    <w:rsid w:val="003C3939"/>
    <w:rsid w:val="003C39F0"/>
    <w:rsid w:val="003D5086"/>
    <w:rsid w:val="003E0534"/>
    <w:rsid w:val="003E1019"/>
    <w:rsid w:val="003E185C"/>
    <w:rsid w:val="003E3082"/>
    <w:rsid w:val="003E3360"/>
    <w:rsid w:val="003E345E"/>
    <w:rsid w:val="003E38D7"/>
    <w:rsid w:val="003E411B"/>
    <w:rsid w:val="003E4789"/>
    <w:rsid w:val="003E540C"/>
    <w:rsid w:val="003E5931"/>
    <w:rsid w:val="003E59EE"/>
    <w:rsid w:val="003E6081"/>
    <w:rsid w:val="003E62E5"/>
    <w:rsid w:val="003F17A5"/>
    <w:rsid w:val="003F33D6"/>
    <w:rsid w:val="003F3CB1"/>
    <w:rsid w:val="003F3F9B"/>
    <w:rsid w:val="003F43AB"/>
    <w:rsid w:val="004041D0"/>
    <w:rsid w:val="00405587"/>
    <w:rsid w:val="004058D7"/>
    <w:rsid w:val="00406FCF"/>
    <w:rsid w:val="004079F3"/>
    <w:rsid w:val="00407A2A"/>
    <w:rsid w:val="0041065C"/>
    <w:rsid w:val="00410783"/>
    <w:rsid w:val="00413F2F"/>
    <w:rsid w:val="004140F7"/>
    <w:rsid w:val="0041753D"/>
    <w:rsid w:val="00417AB4"/>
    <w:rsid w:val="004200FF"/>
    <w:rsid w:val="00421AE3"/>
    <w:rsid w:val="00421E46"/>
    <w:rsid w:val="0042297F"/>
    <w:rsid w:val="0042340C"/>
    <w:rsid w:val="0042443A"/>
    <w:rsid w:val="004255DC"/>
    <w:rsid w:val="00426208"/>
    <w:rsid w:val="00426EE4"/>
    <w:rsid w:val="00427B32"/>
    <w:rsid w:val="00430226"/>
    <w:rsid w:val="00433F86"/>
    <w:rsid w:val="00435354"/>
    <w:rsid w:val="00435A7B"/>
    <w:rsid w:val="00436A36"/>
    <w:rsid w:val="004370AB"/>
    <w:rsid w:val="004379E9"/>
    <w:rsid w:val="00440EF3"/>
    <w:rsid w:val="00444612"/>
    <w:rsid w:val="004446CF"/>
    <w:rsid w:val="004461C8"/>
    <w:rsid w:val="0044623C"/>
    <w:rsid w:val="0044771F"/>
    <w:rsid w:val="00453F16"/>
    <w:rsid w:val="004550F1"/>
    <w:rsid w:val="00455AE3"/>
    <w:rsid w:val="00456108"/>
    <w:rsid w:val="00460B37"/>
    <w:rsid w:val="00463DA1"/>
    <w:rsid w:val="00465847"/>
    <w:rsid w:val="00465E3C"/>
    <w:rsid w:val="00465EBD"/>
    <w:rsid w:val="004671B5"/>
    <w:rsid w:val="00473BFA"/>
    <w:rsid w:val="00474314"/>
    <w:rsid w:val="00474435"/>
    <w:rsid w:val="0047575F"/>
    <w:rsid w:val="004769D3"/>
    <w:rsid w:val="00480623"/>
    <w:rsid w:val="00480A45"/>
    <w:rsid w:val="00483782"/>
    <w:rsid w:val="00483F77"/>
    <w:rsid w:val="004849F5"/>
    <w:rsid w:val="00484CF7"/>
    <w:rsid w:val="004855AA"/>
    <w:rsid w:val="00486866"/>
    <w:rsid w:val="0048733F"/>
    <w:rsid w:val="00493002"/>
    <w:rsid w:val="004953E1"/>
    <w:rsid w:val="004958EE"/>
    <w:rsid w:val="00496F34"/>
    <w:rsid w:val="004A06B6"/>
    <w:rsid w:val="004A070C"/>
    <w:rsid w:val="004A1C61"/>
    <w:rsid w:val="004A2A45"/>
    <w:rsid w:val="004A463E"/>
    <w:rsid w:val="004A6F8B"/>
    <w:rsid w:val="004A75D3"/>
    <w:rsid w:val="004B32DC"/>
    <w:rsid w:val="004B34E7"/>
    <w:rsid w:val="004B406E"/>
    <w:rsid w:val="004B46D5"/>
    <w:rsid w:val="004B489E"/>
    <w:rsid w:val="004B592C"/>
    <w:rsid w:val="004B7035"/>
    <w:rsid w:val="004B77EC"/>
    <w:rsid w:val="004C0D17"/>
    <w:rsid w:val="004C1AAB"/>
    <w:rsid w:val="004C2DB8"/>
    <w:rsid w:val="004C377A"/>
    <w:rsid w:val="004C500F"/>
    <w:rsid w:val="004C5144"/>
    <w:rsid w:val="004C7F43"/>
    <w:rsid w:val="004D05E1"/>
    <w:rsid w:val="004D083F"/>
    <w:rsid w:val="004D1017"/>
    <w:rsid w:val="004D10AF"/>
    <w:rsid w:val="004D2EE5"/>
    <w:rsid w:val="004D3B3C"/>
    <w:rsid w:val="004D6E3F"/>
    <w:rsid w:val="004F2D5D"/>
    <w:rsid w:val="004F34AD"/>
    <w:rsid w:val="004F37AE"/>
    <w:rsid w:val="004F3810"/>
    <w:rsid w:val="004F3ED3"/>
    <w:rsid w:val="004F6290"/>
    <w:rsid w:val="004F6A66"/>
    <w:rsid w:val="005005D8"/>
    <w:rsid w:val="005012E3"/>
    <w:rsid w:val="00503D8A"/>
    <w:rsid w:val="00504B11"/>
    <w:rsid w:val="00505BBA"/>
    <w:rsid w:val="00511984"/>
    <w:rsid w:val="00511E6D"/>
    <w:rsid w:val="00513897"/>
    <w:rsid w:val="005168CD"/>
    <w:rsid w:val="00517BD3"/>
    <w:rsid w:val="0052029E"/>
    <w:rsid w:val="005211EE"/>
    <w:rsid w:val="0052145B"/>
    <w:rsid w:val="00522906"/>
    <w:rsid w:val="00522954"/>
    <w:rsid w:val="005239BD"/>
    <w:rsid w:val="00523BFF"/>
    <w:rsid w:val="00525B3E"/>
    <w:rsid w:val="00526112"/>
    <w:rsid w:val="005261D8"/>
    <w:rsid w:val="005273FA"/>
    <w:rsid w:val="0053124D"/>
    <w:rsid w:val="00531825"/>
    <w:rsid w:val="00531A75"/>
    <w:rsid w:val="0053266B"/>
    <w:rsid w:val="00533D03"/>
    <w:rsid w:val="005347A4"/>
    <w:rsid w:val="00536139"/>
    <w:rsid w:val="00536610"/>
    <w:rsid w:val="00536B5E"/>
    <w:rsid w:val="00536EBE"/>
    <w:rsid w:val="00537299"/>
    <w:rsid w:val="005374F6"/>
    <w:rsid w:val="00540689"/>
    <w:rsid w:val="00541DE2"/>
    <w:rsid w:val="0054261F"/>
    <w:rsid w:val="0054481A"/>
    <w:rsid w:val="0054610C"/>
    <w:rsid w:val="0054766B"/>
    <w:rsid w:val="005507A2"/>
    <w:rsid w:val="00550D56"/>
    <w:rsid w:val="00551D2D"/>
    <w:rsid w:val="00551DDC"/>
    <w:rsid w:val="00552E5E"/>
    <w:rsid w:val="005538AF"/>
    <w:rsid w:val="00553B53"/>
    <w:rsid w:val="00554203"/>
    <w:rsid w:val="00555D91"/>
    <w:rsid w:val="005612D9"/>
    <w:rsid w:val="005639DF"/>
    <w:rsid w:val="005719BB"/>
    <w:rsid w:val="00572500"/>
    <w:rsid w:val="00574C4A"/>
    <w:rsid w:val="0057661C"/>
    <w:rsid w:val="005772D5"/>
    <w:rsid w:val="00581B52"/>
    <w:rsid w:val="00581E8E"/>
    <w:rsid w:val="0058243A"/>
    <w:rsid w:val="0058367E"/>
    <w:rsid w:val="00584D90"/>
    <w:rsid w:val="0058750D"/>
    <w:rsid w:val="00587D4D"/>
    <w:rsid w:val="005945B8"/>
    <w:rsid w:val="005946BA"/>
    <w:rsid w:val="005950EE"/>
    <w:rsid w:val="005954D8"/>
    <w:rsid w:val="0059638C"/>
    <w:rsid w:val="00597ACE"/>
    <w:rsid w:val="005A3AC4"/>
    <w:rsid w:val="005A3FF9"/>
    <w:rsid w:val="005A6A3C"/>
    <w:rsid w:val="005A79AD"/>
    <w:rsid w:val="005B0A25"/>
    <w:rsid w:val="005B2160"/>
    <w:rsid w:val="005B4A17"/>
    <w:rsid w:val="005B5438"/>
    <w:rsid w:val="005B5932"/>
    <w:rsid w:val="005B6117"/>
    <w:rsid w:val="005B6A5B"/>
    <w:rsid w:val="005B7945"/>
    <w:rsid w:val="005B7C87"/>
    <w:rsid w:val="005C1025"/>
    <w:rsid w:val="005C1BA6"/>
    <w:rsid w:val="005C1D5F"/>
    <w:rsid w:val="005C42AC"/>
    <w:rsid w:val="005C59BC"/>
    <w:rsid w:val="005C6B63"/>
    <w:rsid w:val="005C7115"/>
    <w:rsid w:val="005C7B11"/>
    <w:rsid w:val="005D0BE3"/>
    <w:rsid w:val="005D2E52"/>
    <w:rsid w:val="005D348F"/>
    <w:rsid w:val="005D383B"/>
    <w:rsid w:val="005D6413"/>
    <w:rsid w:val="005D6BEB"/>
    <w:rsid w:val="005E5EB2"/>
    <w:rsid w:val="005F1398"/>
    <w:rsid w:val="005F1582"/>
    <w:rsid w:val="005F1E0D"/>
    <w:rsid w:val="005F2095"/>
    <w:rsid w:val="005F272A"/>
    <w:rsid w:val="005F29B1"/>
    <w:rsid w:val="005F3B29"/>
    <w:rsid w:val="005F3E00"/>
    <w:rsid w:val="005F53BA"/>
    <w:rsid w:val="005F60A6"/>
    <w:rsid w:val="005F6D25"/>
    <w:rsid w:val="006034E1"/>
    <w:rsid w:val="00603940"/>
    <w:rsid w:val="00603FEB"/>
    <w:rsid w:val="0060479B"/>
    <w:rsid w:val="00604932"/>
    <w:rsid w:val="006059ED"/>
    <w:rsid w:val="00605F7E"/>
    <w:rsid w:val="006157C7"/>
    <w:rsid w:val="006161DE"/>
    <w:rsid w:val="006201BE"/>
    <w:rsid w:val="00620FE6"/>
    <w:rsid w:val="006211E3"/>
    <w:rsid w:val="00621A41"/>
    <w:rsid w:val="00624EB5"/>
    <w:rsid w:val="00624FF8"/>
    <w:rsid w:val="006272D8"/>
    <w:rsid w:val="006303F7"/>
    <w:rsid w:val="006306D8"/>
    <w:rsid w:val="00631E87"/>
    <w:rsid w:val="00632CBA"/>
    <w:rsid w:val="00634000"/>
    <w:rsid w:val="00634165"/>
    <w:rsid w:val="00637766"/>
    <w:rsid w:val="006417C1"/>
    <w:rsid w:val="00642E05"/>
    <w:rsid w:val="00642E76"/>
    <w:rsid w:val="00643677"/>
    <w:rsid w:val="00644C87"/>
    <w:rsid w:val="006463FF"/>
    <w:rsid w:val="00652737"/>
    <w:rsid w:val="00652DC1"/>
    <w:rsid w:val="00653E5D"/>
    <w:rsid w:val="006541BF"/>
    <w:rsid w:val="0065426A"/>
    <w:rsid w:val="00655F0D"/>
    <w:rsid w:val="006561AF"/>
    <w:rsid w:val="00656C83"/>
    <w:rsid w:val="00657C57"/>
    <w:rsid w:val="00660400"/>
    <w:rsid w:val="006606D4"/>
    <w:rsid w:val="0066320C"/>
    <w:rsid w:val="006653DB"/>
    <w:rsid w:val="00667CEB"/>
    <w:rsid w:val="0067269D"/>
    <w:rsid w:val="00675D24"/>
    <w:rsid w:val="00676BD5"/>
    <w:rsid w:val="006817AD"/>
    <w:rsid w:val="00691D18"/>
    <w:rsid w:val="00694D98"/>
    <w:rsid w:val="00694FB2"/>
    <w:rsid w:val="00695304"/>
    <w:rsid w:val="006959C7"/>
    <w:rsid w:val="006A341E"/>
    <w:rsid w:val="006A4A06"/>
    <w:rsid w:val="006A5F54"/>
    <w:rsid w:val="006A61BC"/>
    <w:rsid w:val="006A6856"/>
    <w:rsid w:val="006B2BEA"/>
    <w:rsid w:val="006B3E8A"/>
    <w:rsid w:val="006B6BD1"/>
    <w:rsid w:val="006B7501"/>
    <w:rsid w:val="006C2217"/>
    <w:rsid w:val="006C336E"/>
    <w:rsid w:val="006C3B5D"/>
    <w:rsid w:val="006C5E47"/>
    <w:rsid w:val="006D0E12"/>
    <w:rsid w:val="006D1E78"/>
    <w:rsid w:val="006D3922"/>
    <w:rsid w:val="006D5EDF"/>
    <w:rsid w:val="006E0078"/>
    <w:rsid w:val="006E0760"/>
    <w:rsid w:val="006E2C05"/>
    <w:rsid w:val="006E58F5"/>
    <w:rsid w:val="006E6FAF"/>
    <w:rsid w:val="006E7B5C"/>
    <w:rsid w:val="006F0DF6"/>
    <w:rsid w:val="006F200A"/>
    <w:rsid w:val="006F2263"/>
    <w:rsid w:val="006F2389"/>
    <w:rsid w:val="006F26D8"/>
    <w:rsid w:val="006F4168"/>
    <w:rsid w:val="006F6411"/>
    <w:rsid w:val="00700863"/>
    <w:rsid w:val="007012EC"/>
    <w:rsid w:val="007017DC"/>
    <w:rsid w:val="00701D5C"/>
    <w:rsid w:val="0070276C"/>
    <w:rsid w:val="007027B5"/>
    <w:rsid w:val="00702DCC"/>
    <w:rsid w:val="00705EA9"/>
    <w:rsid w:val="00706C80"/>
    <w:rsid w:val="00706F94"/>
    <w:rsid w:val="00707E84"/>
    <w:rsid w:val="00712AAC"/>
    <w:rsid w:val="007154E1"/>
    <w:rsid w:val="007155C3"/>
    <w:rsid w:val="0071673C"/>
    <w:rsid w:val="00717328"/>
    <w:rsid w:val="007177B5"/>
    <w:rsid w:val="007177FD"/>
    <w:rsid w:val="00720B11"/>
    <w:rsid w:val="00723160"/>
    <w:rsid w:val="00724971"/>
    <w:rsid w:val="00725439"/>
    <w:rsid w:val="00727CC5"/>
    <w:rsid w:val="0073041B"/>
    <w:rsid w:val="007310F1"/>
    <w:rsid w:val="00732D3C"/>
    <w:rsid w:val="00732ECD"/>
    <w:rsid w:val="00735077"/>
    <w:rsid w:val="007369DA"/>
    <w:rsid w:val="00737724"/>
    <w:rsid w:val="00740D50"/>
    <w:rsid w:val="00741E8A"/>
    <w:rsid w:val="00742B0B"/>
    <w:rsid w:val="007463B2"/>
    <w:rsid w:val="007469AC"/>
    <w:rsid w:val="00747269"/>
    <w:rsid w:val="00753EA9"/>
    <w:rsid w:val="00761FF8"/>
    <w:rsid w:val="007639D5"/>
    <w:rsid w:val="0076596A"/>
    <w:rsid w:val="00767475"/>
    <w:rsid w:val="007700CE"/>
    <w:rsid w:val="00771043"/>
    <w:rsid w:val="00774123"/>
    <w:rsid w:val="00775632"/>
    <w:rsid w:val="007804B7"/>
    <w:rsid w:val="00780F7F"/>
    <w:rsid w:val="007920B1"/>
    <w:rsid w:val="0079282B"/>
    <w:rsid w:val="00793175"/>
    <w:rsid w:val="00793660"/>
    <w:rsid w:val="0079446A"/>
    <w:rsid w:val="007978AF"/>
    <w:rsid w:val="007A07DD"/>
    <w:rsid w:val="007A0911"/>
    <w:rsid w:val="007A138E"/>
    <w:rsid w:val="007A2AF5"/>
    <w:rsid w:val="007A2B8C"/>
    <w:rsid w:val="007A37B3"/>
    <w:rsid w:val="007A3B5C"/>
    <w:rsid w:val="007A7785"/>
    <w:rsid w:val="007B0011"/>
    <w:rsid w:val="007B0D9A"/>
    <w:rsid w:val="007B22A7"/>
    <w:rsid w:val="007B2807"/>
    <w:rsid w:val="007B2D4E"/>
    <w:rsid w:val="007B3406"/>
    <w:rsid w:val="007B5B41"/>
    <w:rsid w:val="007B5C09"/>
    <w:rsid w:val="007B5C1B"/>
    <w:rsid w:val="007B7EAE"/>
    <w:rsid w:val="007C0F9B"/>
    <w:rsid w:val="007C0FC7"/>
    <w:rsid w:val="007C393E"/>
    <w:rsid w:val="007C3B46"/>
    <w:rsid w:val="007C6125"/>
    <w:rsid w:val="007C6985"/>
    <w:rsid w:val="007C7FEC"/>
    <w:rsid w:val="007D1A84"/>
    <w:rsid w:val="007D2560"/>
    <w:rsid w:val="007D2957"/>
    <w:rsid w:val="007E152B"/>
    <w:rsid w:val="007E1D16"/>
    <w:rsid w:val="007E28DC"/>
    <w:rsid w:val="007E3671"/>
    <w:rsid w:val="007E3EBE"/>
    <w:rsid w:val="007E6EF0"/>
    <w:rsid w:val="007E7FAA"/>
    <w:rsid w:val="007F02F1"/>
    <w:rsid w:val="007F18D2"/>
    <w:rsid w:val="007F1EB3"/>
    <w:rsid w:val="007F2531"/>
    <w:rsid w:val="007F277B"/>
    <w:rsid w:val="007F291B"/>
    <w:rsid w:val="007F366E"/>
    <w:rsid w:val="007F39C7"/>
    <w:rsid w:val="007F4016"/>
    <w:rsid w:val="007F4039"/>
    <w:rsid w:val="007F463B"/>
    <w:rsid w:val="007F4718"/>
    <w:rsid w:val="007F561F"/>
    <w:rsid w:val="007F5A7E"/>
    <w:rsid w:val="007F6B19"/>
    <w:rsid w:val="008006FA"/>
    <w:rsid w:val="00801E3F"/>
    <w:rsid w:val="00806A50"/>
    <w:rsid w:val="00806B8A"/>
    <w:rsid w:val="008076E2"/>
    <w:rsid w:val="0081046A"/>
    <w:rsid w:val="008113A4"/>
    <w:rsid w:val="008132F5"/>
    <w:rsid w:val="00814AF3"/>
    <w:rsid w:val="008150FA"/>
    <w:rsid w:val="00815169"/>
    <w:rsid w:val="00816D25"/>
    <w:rsid w:val="00821EA9"/>
    <w:rsid w:val="008227CE"/>
    <w:rsid w:val="00822C2F"/>
    <w:rsid w:val="008231E3"/>
    <w:rsid w:val="0082415F"/>
    <w:rsid w:val="0082452F"/>
    <w:rsid w:val="00826D43"/>
    <w:rsid w:val="008301F3"/>
    <w:rsid w:val="008340D3"/>
    <w:rsid w:val="00837B74"/>
    <w:rsid w:val="008404D1"/>
    <w:rsid w:val="00841DFF"/>
    <w:rsid w:val="00842445"/>
    <w:rsid w:val="00843ABC"/>
    <w:rsid w:val="00844712"/>
    <w:rsid w:val="00845B66"/>
    <w:rsid w:val="00845D8F"/>
    <w:rsid w:val="00850F3E"/>
    <w:rsid w:val="0085317B"/>
    <w:rsid w:val="00853643"/>
    <w:rsid w:val="0085446E"/>
    <w:rsid w:val="00861B67"/>
    <w:rsid w:val="00862969"/>
    <w:rsid w:val="00864978"/>
    <w:rsid w:val="00864BBA"/>
    <w:rsid w:val="00865E6C"/>
    <w:rsid w:val="00867D59"/>
    <w:rsid w:val="0087012E"/>
    <w:rsid w:val="008715F2"/>
    <w:rsid w:val="00871ADB"/>
    <w:rsid w:val="008755AA"/>
    <w:rsid w:val="00875FD5"/>
    <w:rsid w:val="00876654"/>
    <w:rsid w:val="0087702E"/>
    <w:rsid w:val="00880163"/>
    <w:rsid w:val="0088041C"/>
    <w:rsid w:val="008805A7"/>
    <w:rsid w:val="0088067A"/>
    <w:rsid w:val="00881BB4"/>
    <w:rsid w:val="00881F90"/>
    <w:rsid w:val="0088370E"/>
    <w:rsid w:val="00883B6B"/>
    <w:rsid w:val="00884B4D"/>
    <w:rsid w:val="0088528E"/>
    <w:rsid w:val="008879DA"/>
    <w:rsid w:val="00887DBB"/>
    <w:rsid w:val="0089121D"/>
    <w:rsid w:val="00891640"/>
    <w:rsid w:val="008919A4"/>
    <w:rsid w:val="00892F48"/>
    <w:rsid w:val="008932A0"/>
    <w:rsid w:val="00893655"/>
    <w:rsid w:val="008969B0"/>
    <w:rsid w:val="008A503B"/>
    <w:rsid w:val="008A5185"/>
    <w:rsid w:val="008A5626"/>
    <w:rsid w:val="008A58CE"/>
    <w:rsid w:val="008A6950"/>
    <w:rsid w:val="008A7838"/>
    <w:rsid w:val="008B512A"/>
    <w:rsid w:val="008B579C"/>
    <w:rsid w:val="008C3945"/>
    <w:rsid w:val="008C4B8B"/>
    <w:rsid w:val="008C5A76"/>
    <w:rsid w:val="008C63D3"/>
    <w:rsid w:val="008D1CF1"/>
    <w:rsid w:val="008D2F54"/>
    <w:rsid w:val="008D50FB"/>
    <w:rsid w:val="008D61DF"/>
    <w:rsid w:val="008D69BA"/>
    <w:rsid w:val="008D71A9"/>
    <w:rsid w:val="008E2FEE"/>
    <w:rsid w:val="008E3542"/>
    <w:rsid w:val="008E41D7"/>
    <w:rsid w:val="008E44F8"/>
    <w:rsid w:val="008E4F65"/>
    <w:rsid w:val="008E5931"/>
    <w:rsid w:val="008E5DE6"/>
    <w:rsid w:val="008E63CD"/>
    <w:rsid w:val="008E6B23"/>
    <w:rsid w:val="008F1385"/>
    <w:rsid w:val="008F22AB"/>
    <w:rsid w:val="008F3CD2"/>
    <w:rsid w:val="008F3E74"/>
    <w:rsid w:val="008F5EE8"/>
    <w:rsid w:val="008F7386"/>
    <w:rsid w:val="008F7441"/>
    <w:rsid w:val="008F78EA"/>
    <w:rsid w:val="0090071E"/>
    <w:rsid w:val="00900AD0"/>
    <w:rsid w:val="009038ED"/>
    <w:rsid w:val="0090527D"/>
    <w:rsid w:val="00906084"/>
    <w:rsid w:val="009062EF"/>
    <w:rsid w:val="0090652B"/>
    <w:rsid w:val="00906E39"/>
    <w:rsid w:val="00910BE4"/>
    <w:rsid w:val="00911958"/>
    <w:rsid w:val="00912200"/>
    <w:rsid w:val="009132F3"/>
    <w:rsid w:val="009141A4"/>
    <w:rsid w:val="0091495D"/>
    <w:rsid w:val="00914D7A"/>
    <w:rsid w:val="00915F3E"/>
    <w:rsid w:val="00917404"/>
    <w:rsid w:val="009207F3"/>
    <w:rsid w:val="00921ACE"/>
    <w:rsid w:val="00921DB1"/>
    <w:rsid w:val="00922AD2"/>
    <w:rsid w:val="00924E3D"/>
    <w:rsid w:val="00927612"/>
    <w:rsid w:val="0092770A"/>
    <w:rsid w:val="00940957"/>
    <w:rsid w:val="00940A61"/>
    <w:rsid w:val="00940ADF"/>
    <w:rsid w:val="009455B2"/>
    <w:rsid w:val="00947505"/>
    <w:rsid w:val="009506D7"/>
    <w:rsid w:val="00950A7E"/>
    <w:rsid w:val="0095326B"/>
    <w:rsid w:val="0095462C"/>
    <w:rsid w:val="00954E2E"/>
    <w:rsid w:val="00954EA7"/>
    <w:rsid w:val="00955D7C"/>
    <w:rsid w:val="00957E91"/>
    <w:rsid w:val="00962052"/>
    <w:rsid w:val="0096283E"/>
    <w:rsid w:val="009638D7"/>
    <w:rsid w:val="00965572"/>
    <w:rsid w:val="00966F66"/>
    <w:rsid w:val="00971C38"/>
    <w:rsid w:val="0097213E"/>
    <w:rsid w:val="0097321C"/>
    <w:rsid w:val="00974797"/>
    <w:rsid w:val="00975403"/>
    <w:rsid w:val="00975BA9"/>
    <w:rsid w:val="0097746A"/>
    <w:rsid w:val="00980342"/>
    <w:rsid w:val="00981224"/>
    <w:rsid w:val="00983F79"/>
    <w:rsid w:val="00984A60"/>
    <w:rsid w:val="00985A23"/>
    <w:rsid w:val="0098668C"/>
    <w:rsid w:val="00987E8E"/>
    <w:rsid w:val="0099142B"/>
    <w:rsid w:val="009915A2"/>
    <w:rsid w:val="0099205E"/>
    <w:rsid w:val="00992442"/>
    <w:rsid w:val="009939D6"/>
    <w:rsid w:val="00995CC1"/>
    <w:rsid w:val="009969BD"/>
    <w:rsid w:val="009977B3"/>
    <w:rsid w:val="00997E2F"/>
    <w:rsid w:val="009A4740"/>
    <w:rsid w:val="009A4919"/>
    <w:rsid w:val="009B166A"/>
    <w:rsid w:val="009B36B1"/>
    <w:rsid w:val="009B5925"/>
    <w:rsid w:val="009B5D9A"/>
    <w:rsid w:val="009B72C4"/>
    <w:rsid w:val="009C1A30"/>
    <w:rsid w:val="009C268C"/>
    <w:rsid w:val="009C74A5"/>
    <w:rsid w:val="009D0C4D"/>
    <w:rsid w:val="009D0DA1"/>
    <w:rsid w:val="009D34C0"/>
    <w:rsid w:val="009E0AC6"/>
    <w:rsid w:val="009E0B41"/>
    <w:rsid w:val="009E1EA4"/>
    <w:rsid w:val="009E31EF"/>
    <w:rsid w:val="009E4593"/>
    <w:rsid w:val="009E4E86"/>
    <w:rsid w:val="009E5CA6"/>
    <w:rsid w:val="009E6DA1"/>
    <w:rsid w:val="009F060C"/>
    <w:rsid w:val="009F0F7A"/>
    <w:rsid w:val="009F1FA7"/>
    <w:rsid w:val="009F215E"/>
    <w:rsid w:val="009F3BDF"/>
    <w:rsid w:val="009F620F"/>
    <w:rsid w:val="00A039C6"/>
    <w:rsid w:val="00A0462D"/>
    <w:rsid w:val="00A064FC"/>
    <w:rsid w:val="00A06FBD"/>
    <w:rsid w:val="00A07542"/>
    <w:rsid w:val="00A107A5"/>
    <w:rsid w:val="00A10CA9"/>
    <w:rsid w:val="00A10CE7"/>
    <w:rsid w:val="00A12A11"/>
    <w:rsid w:val="00A13D6C"/>
    <w:rsid w:val="00A1696C"/>
    <w:rsid w:val="00A16F11"/>
    <w:rsid w:val="00A17A58"/>
    <w:rsid w:val="00A22978"/>
    <w:rsid w:val="00A244B1"/>
    <w:rsid w:val="00A249AF"/>
    <w:rsid w:val="00A2578D"/>
    <w:rsid w:val="00A26CA7"/>
    <w:rsid w:val="00A3104B"/>
    <w:rsid w:val="00A31BC8"/>
    <w:rsid w:val="00A32B3E"/>
    <w:rsid w:val="00A32CDF"/>
    <w:rsid w:val="00A33BDB"/>
    <w:rsid w:val="00A35491"/>
    <w:rsid w:val="00A4253D"/>
    <w:rsid w:val="00A42A6B"/>
    <w:rsid w:val="00A44168"/>
    <w:rsid w:val="00A458E0"/>
    <w:rsid w:val="00A4673D"/>
    <w:rsid w:val="00A46C32"/>
    <w:rsid w:val="00A54078"/>
    <w:rsid w:val="00A56831"/>
    <w:rsid w:val="00A575B0"/>
    <w:rsid w:val="00A575F5"/>
    <w:rsid w:val="00A61D98"/>
    <w:rsid w:val="00A621ED"/>
    <w:rsid w:val="00A64EB2"/>
    <w:rsid w:val="00A65D0F"/>
    <w:rsid w:val="00A65D7A"/>
    <w:rsid w:val="00A66836"/>
    <w:rsid w:val="00A66D79"/>
    <w:rsid w:val="00A718FA"/>
    <w:rsid w:val="00A7265B"/>
    <w:rsid w:val="00A72E13"/>
    <w:rsid w:val="00A733D7"/>
    <w:rsid w:val="00A755DE"/>
    <w:rsid w:val="00A75E1A"/>
    <w:rsid w:val="00A76C6D"/>
    <w:rsid w:val="00A778EA"/>
    <w:rsid w:val="00A831DC"/>
    <w:rsid w:val="00A855BD"/>
    <w:rsid w:val="00A86E59"/>
    <w:rsid w:val="00A90C28"/>
    <w:rsid w:val="00A914E9"/>
    <w:rsid w:val="00A91618"/>
    <w:rsid w:val="00A92F4D"/>
    <w:rsid w:val="00A9585B"/>
    <w:rsid w:val="00A95D10"/>
    <w:rsid w:val="00A967D3"/>
    <w:rsid w:val="00A9686B"/>
    <w:rsid w:val="00A979C6"/>
    <w:rsid w:val="00AA3CDD"/>
    <w:rsid w:val="00AA6B6B"/>
    <w:rsid w:val="00AA708E"/>
    <w:rsid w:val="00AA7926"/>
    <w:rsid w:val="00AB0008"/>
    <w:rsid w:val="00AC071F"/>
    <w:rsid w:val="00AC1EF7"/>
    <w:rsid w:val="00AC23EC"/>
    <w:rsid w:val="00AC2B2D"/>
    <w:rsid w:val="00AC2C68"/>
    <w:rsid w:val="00AC3DAD"/>
    <w:rsid w:val="00AC53E1"/>
    <w:rsid w:val="00AC597D"/>
    <w:rsid w:val="00AC617A"/>
    <w:rsid w:val="00AD0455"/>
    <w:rsid w:val="00AD051D"/>
    <w:rsid w:val="00AD0D55"/>
    <w:rsid w:val="00AD6F90"/>
    <w:rsid w:val="00AD7C90"/>
    <w:rsid w:val="00AE0B3F"/>
    <w:rsid w:val="00AE110A"/>
    <w:rsid w:val="00AE15EE"/>
    <w:rsid w:val="00AE2AEE"/>
    <w:rsid w:val="00AE33C1"/>
    <w:rsid w:val="00AE3D64"/>
    <w:rsid w:val="00AE4993"/>
    <w:rsid w:val="00AE5C17"/>
    <w:rsid w:val="00AE71D4"/>
    <w:rsid w:val="00AE7530"/>
    <w:rsid w:val="00AF0B61"/>
    <w:rsid w:val="00AF1519"/>
    <w:rsid w:val="00AF1A19"/>
    <w:rsid w:val="00AF1AD9"/>
    <w:rsid w:val="00AF24DB"/>
    <w:rsid w:val="00AF2574"/>
    <w:rsid w:val="00AF2C09"/>
    <w:rsid w:val="00AF2CDC"/>
    <w:rsid w:val="00B0176E"/>
    <w:rsid w:val="00B02804"/>
    <w:rsid w:val="00B03698"/>
    <w:rsid w:val="00B05CB0"/>
    <w:rsid w:val="00B0776C"/>
    <w:rsid w:val="00B105F7"/>
    <w:rsid w:val="00B10ECF"/>
    <w:rsid w:val="00B117F9"/>
    <w:rsid w:val="00B143DF"/>
    <w:rsid w:val="00B176FE"/>
    <w:rsid w:val="00B21828"/>
    <w:rsid w:val="00B21E1C"/>
    <w:rsid w:val="00B2640B"/>
    <w:rsid w:val="00B267AF"/>
    <w:rsid w:val="00B26DEC"/>
    <w:rsid w:val="00B27201"/>
    <w:rsid w:val="00B274C6"/>
    <w:rsid w:val="00B316A5"/>
    <w:rsid w:val="00B33BAE"/>
    <w:rsid w:val="00B40C2F"/>
    <w:rsid w:val="00B412D1"/>
    <w:rsid w:val="00B41F06"/>
    <w:rsid w:val="00B430AD"/>
    <w:rsid w:val="00B43524"/>
    <w:rsid w:val="00B441CC"/>
    <w:rsid w:val="00B45B8D"/>
    <w:rsid w:val="00B4687B"/>
    <w:rsid w:val="00B477EF"/>
    <w:rsid w:val="00B5303C"/>
    <w:rsid w:val="00B558BA"/>
    <w:rsid w:val="00B63CE9"/>
    <w:rsid w:val="00B66383"/>
    <w:rsid w:val="00B66678"/>
    <w:rsid w:val="00B66ED0"/>
    <w:rsid w:val="00B71432"/>
    <w:rsid w:val="00B719EE"/>
    <w:rsid w:val="00B72C29"/>
    <w:rsid w:val="00B730BB"/>
    <w:rsid w:val="00B76F37"/>
    <w:rsid w:val="00B82858"/>
    <w:rsid w:val="00B828B6"/>
    <w:rsid w:val="00B855BA"/>
    <w:rsid w:val="00B85756"/>
    <w:rsid w:val="00B86E93"/>
    <w:rsid w:val="00B870E5"/>
    <w:rsid w:val="00B91476"/>
    <w:rsid w:val="00B9347E"/>
    <w:rsid w:val="00B93837"/>
    <w:rsid w:val="00B947D5"/>
    <w:rsid w:val="00B96C65"/>
    <w:rsid w:val="00BA07B3"/>
    <w:rsid w:val="00BA610C"/>
    <w:rsid w:val="00BB35BC"/>
    <w:rsid w:val="00BC03EF"/>
    <w:rsid w:val="00BC05C3"/>
    <w:rsid w:val="00BC10E3"/>
    <w:rsid w:val="00BC435A"/>
    <w:rsid w:val="00BC6A0B"/>
    <w:rsid w:val="00BD02AE"/>
    <w:rsid w:val="00BD1057"/>
    <w:rsid w:val="00BD1E82"/>
    <w:rsid w:val="00BD1EA6"/>
    <w:rsid w:val="00BD33CF"/>
    <w:rsid w:val="00BD48E2"/>
    <w:rsid w:val="00BD4D0C"/>
    <w:rsid w:val="00BD563F"/>
    <w:rsid w:val="00BE0BD9"/>
    <w:rsid w:val="00BE1CE7"/>
    <w:rsid w:val="00BE2594"/>
    <w:rsid w:val="00BE26F1"/>
    <w:rsid w:val="00BE72B7"/>
    <w:rsid w:val="00BE741D"/>
    <w:rsid w:val="00BE7849"/>
    <w:rsid w:val="00BE79C9"/>
    <w:rsid w:val="00BF249B"/>
    <w:rsid w:val="00BF2C50"/>
    <w:rsid w:val="00BF4628"/>
    <w:rsid w:val="00BF5DA3"/>
    <w:rsid w:val="00BF7A8A"/>
    <w:rsid w:val="00C00BBA"/>
    <w:rsid w:val="00C0131F"/>
    <w:rsid w:val="00C03C2F"/>
    <w:rsid w:val="00C03D2B"/>
    <w:rsid w:val="00C061B2"/>
    <w:rsid w:val="00C06A62"/>
    <w:rsid w:val="00C10486"/>
    <w:rsid w:val="00C137F2"/>
    <w:rsid w:val="00C14E1D"/>
    <w:rsid w:val="00C16133"/>
    <w:rsid w:val="00C21149"/>
    <w:rsid w:val="00C221BD"/>
    <w:rsid w:val="00C23C9C"/>
    <w:rsid w:val="00C259E7"/>
    <w:rsid w:val="00C25A42"/>
    <w:rsid w:val="00C26738"/>
    <w:rsid w:val="00C2676B"/>
    <w:rsid w:val="00C26810"/>
    <w:rsid w:val="00C307CE"/>
    <w:rsid w:val="00C3190D"/>
    <w:rsid w:val="00C3404F"/>
    <w:rsid w:val="00C3443F"/>
    <w:rsid w:val="00C344CA"/>
    <w:rsid w:val="00C34B3D"/>
    <w:rsid w:val="00C34DCF"/>
    <w:rsid w:val="00C354F1"/>
    <w:rsid w:val="00C3748B"/>
    <w:rsid w:val="00C40D56"/>
    <w:rsid w:val="00C418B2"/>
    <w:rsid w:val="00C445E6"/>
    <w:rsid w:val="00C471DF"/>
    <w:rsid w:val="00C5192F"/>
    <w:rsid w:val="00C51DF6"/>
    <w:rsid w:val="00C521D4"/>
    <w:rsid w:val="00C52FEA"/>
    <w:rsid w:val="00C532C8"/>
    <w:rsid w:val="00C54B5E"/>
    <w:rsid w:val="00C54FB2"/>
    <w:rsid w:val="00C57812"/>
    <w:rsid w:val="00C57FBC"/>
    <w:rsid w:val="00C611A3"/>
    <w:rsid w:val="00C61A40"/>
    <w:rsid w:val="00C61AF0"/>
    <w:rsid w:val="00C64019"/>
    <w:rsid w:val="00C64DAF"/>
    <w:rsid w:val="00C667EE"/>
    <w:rsid w:val="00C66ACE"/>
    <w:rsid w:val="00C70840"/>
    <w:rsid w:val="00C70AC7"/>
    <w:rsid w:val="00C70C05"/>
    <w:rsid w:val="00C71776"/>
    <w:rsid w:val="00C7319F"/>
    <w:rsid w:val="00C73251"/>
    <w:rsid w:val="00C739C2"/>
    <w:rsid w:val="00C73A40"/>
    <w:rsid w:val="00C757AB"/>
    <w:rsid w:val="00C75B8F"/>
    <w:rsid w:val="00C75DDB"/>
    <w:rsid w:val="00C7779C"/>
    <w:rsid w:val="00C814F1"/>
    <w:rsid w:val="00C835FB"/>
    <w:rsid w:val="00C846B1"/>
    <w:rsid w:val="00C84BD0"/>
    <w:rsid w:val="00C8550E"/>
    <w:rsid w:val="00C85A38"/>
    <w:rsid w:val="00C90FB6"/>
    <w:rsid w:val="00C93A2D"/>
    <w:rsid w:val="00C94BBC"/>
    <w:rsid w:val="00C957A6"/>
    <w:rsid w:val="00C95B24"/>
    <w:rsid w:val="00C96A98"/>
    <w:rsid w:val="00C973AE"/>
    <w:rsid w:val="00C9746F"/>
    <w:rsid w:val="00CA1AE1"/>
    <w:rsid w:val="00CA53CE"/>
    <w:rsid w:val="00CA5B86"/>
    <w:rsid w:val="00CB2E00"/>
    <w:rsid w:val="00CB58C3"/>
    <w:rsid w:val="00CB758D"/>
    <w:rsid w:val="00CB7A0D"/>
    <w:rsid w:val="00CC4553"/>
    <w:rsid w:val="00CD037E"/>
    <w:rsid w:val="00CD14DF"/>
    <w:rsid w:val="00CD22C6"/>
    <w:rsid w:val="00CD369E"/>
    <w:rsid w:val="00CD5263"/>
    <w:rsid w:val="00CE0C83"/>
    <w:rsid w:val="00CE2AB5"/>
    <w:rsid w:val="00CE6F95"/>
    <w:rsid w:val="00CF061B"/>
    <w:rsid w:val="00CF0D21"/>
    <w:rsid w:val="00CF0FEA"/>
    <w:rsid w:val="00CF1DB8"/>
    <w:rsid w:val="00CF22D9"/>
    <w:rsid w:val="00CF2301"/>
    <w:rsid w:val="00D01436"/>
    <w:rsid w:val="00D028C8"/>
    <w:rsid w:val="00D02FA8"/>
    <w:rsid w:val="00D03A3C"/>
    <w:rsid w:val="00D04686"/>
    <w:rsid w:val="00D05B8F"/>
    <w:rsid w:val="00D064D4"/>
    <w:rsid w:val="00D1102E"/>
    <w:rsid w:val="00D11CB6"/>
    <w:rsid w:val="00D124B3"/>
    <w:rsid w:val="00D13275"/>
    <w:rsid w:val="00D1660D"/>
    <w:rsid w:val="00D166D9"/>
    <w:rsid w:val="00D16AE3"/>
    <w:rsid w:val="00D2535D"/>
    <w:rsid w:val="00D25CD8"/>
    <w:rsid w:val="00D26C0F"/>
    <w:rsid w:val="00D30055"/>
    <w:rsid w:val="00D30DAF"/>
    <w:rsid w:val="00D3262A"/>
    <w:rsid w:val="00D348E4"/>
    <w:rsid w:val="00D35203"/>
    <w:rsid w:val="00D379EC"/>
    <w:rsid w:val="00D37FEA"/>
    <w:rsid w:val="00D40138"/>
    <w:rsid w:val="00D4130A"/>
    <w:rsid w:val="00D427DF"/>
    <w:rsid w:val="00D43749"/>
    <w:rsid w:val="00D44AE7"/>
    <w:rsid w:val="00D4605E"/>
    <w:rsid w:val="00D5006E"/>
    <w:rsid w:val="00D50962"/>
    <w:rsid w:val="00D51401"/>
    <w:rsid w:val="00D51658"/>
    <w:rsid w:val="00D51A2F"/>
    <w:rsid w:val="00D520D5"/>
    <w:rsid w:val="00D52EE6"/>
    <w:rsid w:val="00D536BB"/>
    <w:rsid w:val="00D547A7"/>
    <w:rsid w:val="00D56563"/>
    <w:rsid w:val="00D57887"/>
    <w:rsid w:val="00D57D81"/>
    <w:rsid w:val="00D612EA"/>
    <w:rsid w:val="00D6205D"/>
    <w:rsid w:val="00D63395"/>
    <w:rsid w:val="00D63B78"/>
    <w:rsid w:val="00D643C0"/>
    <w:rsid w:val="00D643D9"/>
    <w:rsid w:val="00D6503D"/>
    <w:rsid w:val="00D67C11"/>
    <w:rsid w:val="00D706BD"/>
    <w:rsid w:val="00D71457"/>
    <w:rsid w:val="00D7215A"/>
    <w:rsid w:val="00D721ED"/>
    <w:rsid w:val="00D727BC"/>
    <w:rsid w:val="00D72F12"/>
    <w:rsid w:val="00D74651"/>
    <w:rsid w:val="00D75F20"/>
    <w:rsid w:val="00D8289C"/>
    <w:rsid w:val="00D82D27"/>
    <w:rsid w:val="00D847FB"/>
    <w:rsid w:val="00D868A7"/>
    <w:rsid w:val="00D87887"/>
    <w:rsid w:val="00D8793C"/>
    <w:rsid w:val="00D90B9A"/>
    <w:rsid w:val="00D915B6"/>
    <w:rsid w:val="00D945AB"/>
    <w:rsid w:val="00D96387"/>
    <w:rsid w:val="00DA1C65"/>
    <w:rsid w:val="00DA4BA4"/>
    <w:rsid w:val="00DA4CE4"/>
    <w:rsid w:val="00DA6E95"/>
    <w:rsid w:val="00DB11F1"/>
    <w:rsid w:val="00DB3336"/>
    <w:rsid w:val="00DB41B0"/>
    <w:rsid w:val="00DB5372"/>
    <w:rsid w:val="00DB6904"/>
    <w:rsid w:val="00DC0B1E"/>
    <w:rsid w:val="00DC1E50"/>
    <w:rsid w:val="00DC41F9"/>
    <w:rsid w:val="00DC48A5"/>
    <w:rsid w:val="00DC4B4A"/>
    <w:rsid w:val="00DC4BF3"/>
    <w:rsid w:val="00DC5551"/>
    <w:rsid w:val="00DC72B2"/>
    <w:rsid w:val="00DD0661"/>
    <w:rsid w:val="00DD0F78"/>
    <w:rsid w:val="00DD21E6"/>
    <w:rsid w:val="00DD280D"/>
    <w:rsid w:val="00DD3BB7"/>
    <w:rsid w:val="00DD473B"/>
    <w:rsid w:val="00DD604F"/>
    <w:rsid w:val="00DD791D"/>
    <w:rsid w:val="00DE194D"/>
    <w:rsid w:val="00DE2DBC"/>
    <w:rsid w:val="00DE353D"/>
    <w:rsid w:val="00DE3F6E"/>
    <w:rsid w:val="00DE4AEF"/>
    <w:rsid w:val="00DE5B0A"/>
    <w:rsid w:val="00DE5DC5"/>
    <w:rsid w:val="00DF0479"/>
    <w:rsid w:val="00DF0993"/>
    <w:rsid w:val="00DF0ADA"/>
    <w:rsid w:val="00DF1F6C"/>
    <w:rsid w:val="00DF3C09"/>
    <w:rsid w:val="00DF69D1"/>
    <w:rsid w:val="00DF7309"/>
    <w:rsid w:val="00E02284"/>
    <w:rsid w:val="00E0266B"/>
    <w:rsid w:val="00E043A8"/>
    <w:rsid w:val="00E055D4"/>
    <w:rsid w:val="00E0653D"/>
    <w:rsid w:val="00E11703"/>
    <w:rsid w:val="00E125FC"/>
    <w:rsid w:val="00E132B5"/>
    <w:rsid w:val="00E135D5"/>
    <w:rsid w:val="00E13867"/>
    <w:rsid w:val="00E14C48"/>
    <w:rsid w:val="00E203FF"/>
    <w:rsid w:val="00E204F2"/>
    <w:rsid w:val="00E21DD4"/>
    <w:rsid w:val="00E24229"/>
    <w:rsid w:val="00E24A7F"/>
    <w:rsid w:val="00E25C7B"/>
    <w:rsid w:val="00E25E8A"/>
    <w:rsid w:val="00E26E89"/>
    <w:rsid w:val="00E274DD"/>
    <w:rsid w:val="00E3113C"/>
    <w:rsid w:val="00E31197"/>
    <w:rsid w:val="00E318EF"/>
    <w:rsid w:val="00E324F3"/>
    <w:rsid w:val="00E34FE9"/>
    <w:rsid w:val="00E35902"/>
    <w:rsid w:val="00E41296"/>
    <w:rsid w:val="00E41E8F"/>
    <w:rsid w:val="00E42D55"/>
    <w:rsid w:val="00E42D6F"/>
    <w:rsid w:val="00E434C4"/>
    <w:rsid w:val="00E446B4"/>
    <w:rsid w:val="00E44882"/>
    <w:rsid w:val="00E4574E"/>
    <w:rsid w:val="00E47A4B"/>
    <w:rsid w:val="00E47C1E"/>
    <w:rsid w:val="00E51A9F"/>
    <w:rsid w:val="00E52050"/>
    <w:rsid w:val="00E52476"/>
    <w:rsid w:val="00E53110"/>
    <w:rsid w:val="00E53117"/>
    <w:rsid w:val="00E55FAB"/>
    <w:rsid w:val="00E56682"/>
    <w:rsid w:val="00E57244"/>
    <w:rsid w:val="00E575C0"/>
    <w:rsid w:val="00E6125B"/>
    <w:rsid w:val="00E61830"/>
    <w:rsid w:val="00E639AA"/>
    <w:rsid w:val="00E74035"/>
    <w:rsid w:val="00E74070"/>
    <w:rsid w:val="00E759ED"/>
    <w:rsid w:val="00E76C17"/>
    <w:rsid w:val="00E77913"/>
    <w:rsid w:val="00E8050D"/>
    <w:rsid w:val="00E80B0C"/>
    <w:rsid w:val="00E825BE"/>
    <w:rsid w:val="00E853D7"/>
    <w:rsid w:val="00E853DC"/>
    <w:rsid w:val="00E8712C"/>
    <w:rsid w:val="00E91079"/>
    <w:rsid w:val="00E924D4"/>
    <w:rsid w:val="00E9274F"/>
    <w:rsid w:val="00E940EF"/>
    <w:rsid w:val="00E94351"/>
    <w:rsid w:val="00E97670"/>
    <w:rsid w:val="00E977EB"/>
    <w:rsid w:val="00EA10A9"/>
    <w:rsid w:val="00EA1F50"/>
    <w:rsid w:val="00EA23A9"/>
    <w:rsid w:val="00EA2A84"/>
    <w:rsid w:val="00EA5D90"/>
    <w:rsid w:val="00EA655B"/>
    <w:rsid w:val="00EA7839"/>
    <w:rsid w:val="00EB18A7"/>
    <w:rsid w:val="00EB27D0"/>
    <w:rsid w:val="00EB2D25"/>
    <w:rsid w:val="00EB33EF"/>
    <w:rsid w:val="00EB4830"/>
    <w:rsid w:val="00EB4C29"/>
    <w:rsid w:val="00EB4DFD"/>
    <w:rsid w:val="00EB5410"/>
    <w:rsid w:val="00EB5DF3"/>
    <w:rsid w:val="00EB7483"/>
    <w:rsid w:val="00EC40B1"/>
    <w:rsid w:val="00EC40BA"/>
    <w:rsid w:val="00EC60F1"/>
    <w:rsid w:val="00EC65C3"/>
    <w:rsid w:val="00ED237F"/>
    <w:rsid w:val="00ED2DED"/>
    <w:rsid w:val="00ED3292"/>
    <w:rsid w:val="00ED39A0"/>
    <w:rsid w:val="00ED3F78"/>
    <w:rsid w:val="00ED4AE1"/>
    <w:rsid w:val="00ED7532"/>
    <w:rsid w:val="00EE0F1A"/>
    <w:rsid w:val="00EE3FA0"/>
    <w:rsid w:val="00EE6BE8"/>
    <w:rsid w:val="00EE7507"/>
    <w:rsid w:val="00EF2AAB"/>
    <w:rsid w:val="00EF2D87"/>
    <w:rsid w:val="00EF3A00"/>
    <w:rsid w:val="00EF3B4A"/>
    <w:rsid w:val="00EF3C6E"/>
    <w:rsid w:val="00EF5ADA"/>
    <w:rsid w:val="00EF5E02"/>
    <w:rsid w:val="00EF6133"/>
    <w:rsid w:val="00F01361"/>
    <w:rsid w:val="00F01682"/>
    <w:rsid w:val="00F0288C"/>
    <w:rsid w:val="00F031F0"/>
    <w:rsid w:val="00F0321B"/>
    <w:rsid w:val="00F04282"/>
    <w:rsid w:val="00F051FD"/>
    <w:rsid w:val="00F05F18"/>
    <w:rsid w:val="00F06D35"/>
    <w:rsid w:val="00F10AC3"/>
    <w:rsid w:val="00F11CDA"/>
    <w:rsid w:val="00F14A46"/>
    <w:rsid w:val="00F16D7A"/>
    <w:rsid w:val="00F16EE8"/>
    <w:rsid w:val="00F232CC"/>
    <w:rsid w:val="00F2364E"/>
    <w:rsid w:val="00F23C98"/>
    <w:rsid w:val="00F23D7E"/>
    <w:rsid w:val="00F23E6F"/>
    <w:rsid w:val="00F2562E"/>
    <w:rsid w:val="00F266D4"/>
    <w:rsid w:val="00F26900"/>
    <w:rsid w:val="00F27645"/>
    <w:rsid w:val="00F30584"/>
    <w:rsid w:val="00F3075C"/>
    <w:rsid w:val="00F30D81"/>
    <w:rsid w:val="00F31DC0"/>
    <w:rsid w:val="00F321DD"/>
    <w:rsid w:val="00F32A65"/>
    <w:rsid w:val="00F33E46"/>
    <w:rsid w:val="00F35268"/>
    <w:rsid w:val="00F36218"/>
    <w:rsid w:val="00F37244"/>
    <w:rsid w:val="00F40B3B"/>
    <w:rsid w:val="00F42D71"/>
    <w:rsid w:val="00F43D58"/>
    <w:rsid w:val="00F471D3"/>
    <w:rsid w:val="00F51851"/>
    <w:rsid w:val="00F55DB5"/>
    <w:rsid w:val="00F55F4C"/>
    <w:rsid w:val="00F56F7A"/>
    <w:rsid w:val="00F57C7B"/>
    <w:rsid w:val="00F57F10"/>
    <w:rsid w:val="00F608D1"/>
    <w:rsid w:val="00F614AC"/>
    <w:rsid w:val="00F62D81"/>
    <w:rsid w:val="00F63574"/>
    <w:rsid w:val="00F63C46"/>
    <w:rsid w:val="00F64A2E"/>
    <w:rsid w:val="00F65B38"/>
    <w:rsid w:val="00F661D9"/>
    <w:rsid w:val="00F703B0"/>
    <w:rsid w:val="00F7048D"/>
    <w:rsid w:val="00F735BC"/>
    <w:rsid w:val="00F80743"/>
    <w:rsid w:val="00F81BC9"/>
    <w:rsid w:val="00F83563"/>
    <w:rsid w:val="00F8461F"/>
    <w:rsid w:val="00F84799"/>
    <w:rsid w:val="00F912AC"/>
    <w:rsid w:val="00F92432"/>
    <w:rsid w:val="00F924DA"/>
    <w:rsid w:val="00F92A10"/>
    <w:rsid w:val="00F93974"/>
    <w:rsid w:val="00F93A98"/>
    <w:rsid w:val="00F94C99"/>
    <w:rsid w:val="00F96341"/>
    <w:rsid w:val="00FA13CC"/>
    <w:rsid w:val="00FA2CEC"/>
    <w:rsid w:val="00FA68E8"/>
    <w:rsid w:val="00FB225C"/>
    <w:rsid w:val="00FB353C"/>
    <w:rsid w:val="00FB42A2"/>
    <w:rsid w:val="00FB5A5C"/>
    <w:rsid w:val="00FB6979"/>
    <w:rsid w:val="00FB6A17"/>
    <w:rsid w:val="00FB7D9D"/>
    <w:rsid w:val="00FC33FF"/>
    <w:rsid w:val="00FC44C3"/>
    <w:rsid w:val="00FC53E3"/>
    <w:rsid w:val="00FC6239"/>
    <w:rsid w:val="00FD06F7"/>
    <w:rsid w:val="00FD3C35"/>
    <w:rsid w:val="00FD4A85"/>
    <w:rsid w:val="00FD58E1"/>
    <w:rsid w:val="00FE0936"/>
    <w:rsid w:val="00FE12CD"/>
    <w:rsid w:val="00FE438D"/>
    <w:rsid w:val="00FE502E"/>
    <w:rsid w:val="00FE5BB0"/>
    <w:rsid w:val="00FE6896"/>
    <w:rsid w:val="00FF1418"/>
    <w:rsid w:val="00FF237D"/>
    <w:rsid w:val="00FF385A"/>
    <w:rsid w:val="00FF38FD"/>
    <w:rsid w:val="00FF4218"/>
    <w:rsid w:val="00FF4219"/>
    <w:rsid w:val="00FF4366"/>
    <w:rsid w:val="00FF528E"/>
    <w:rsid w:val="00FF5DC5"/>
    <w:rsid w:val="00FF74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9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caption" w:uiPriority="35" w:qFormat="1"/>
    <w:lsdException w:name="footnote reference" w:uiPriority="0"/>
    <w:lsdException w:name="List Bullet" w:semiHidden="0" w:unhideWhenUsed="0"/>
    <w:lsdException w:name="List Number" w:semiHidden="0" w:unhideWhenUsed="0"/>
    <w:lsdException w:name="List Bullet 2" w:semiHidden="0" w:unhideWhenUsed="0"/>
    <w:lsdException w:name="List Number 2" w:semiHidden="0" w:unhideWhenUsed="0"/>
    <w:lsdException w:name="Title" w:uiPriority="10" w:unhideWhenUsed="0" w:qFormat="1"/>
    <w:lsdException w:name="Default Paragraph Font" w:uiPriority="1"/>
    <w:lsdException w:name="Body Text" w:semiHidden="0" w:unhideWhenUsed="0"/>
    <w:lsdException w:name="Subtitle" w:uiPriority="11" w:unhideWhenUsed="0" w:qFormat="1"/>
    <w:lsdException w:name="Strong" w:uiPriority="22"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E11703"/>
    <w:pPr>
      <w:spacing w:after="120"/>
    </w:pPr>
    <w:rPr>
      <w:rFonts w:ascii="Arial" w:hAnsi="Arial"/>
      <w:sz w:val="24"/>
      <w:szCs w:val="24"/>
    </w:rPr>
  </w:style>
  <w:style w:type="paragraph" w:styleId="Heading1">
    <w:name w:val="heading 1"/>
    <w:basedOn w:val="Normal"/>
    <w:next w:val="Normal"/>
    <w:link w:val="Heading1Char"/>
    <w:uiPriority w:val="9"/>
    <w:qFormat/>
    <w:rsid w:val="00950A7E"/>
    <w:pPr>
      <w:keepNext/>
      <w:keepLines/>
      <w:outlineLvl w:val="0"/>
    </w:pPr>
    <w:rPr>
      <w:rFonts w:eastAsiaTheme="majorEastAsia" w:cstheme="majorBidi"/>
      <w:b/>
      <w:bCs/>
      <w:color w:val="0072C6"/>
      <w:sz w:val="32"/>
      <w:szCs w:val="28"/>
    </w:rPr>
  </w:style>
  <w:style w:type="paragraph" w:styleId="Heading2">
    <w:name w:val="heading 2"/>
    <w:basedOn w:val="Normal"/>
    <w:next w:val="Normal"/>
    <w:link w:val="Heading2Char"/>
    <w:uiPriority w:val="9"/>
    <w:qFormat/>
    <w:rsid w:val="00E203FF"/>
    <w:pPr>
      <w:keepNext/>
      <w:keepLines/>
      <w:outlineLvl w:val="1"/>
    </w:pPr>
    <w:rPr>
      <w:rFonts w:eastAsiaTheme="majorEastAsia" w:cstheme="majorBidi"/>
      <w:b/>
      <w:bCs/>
      <w:sz w:val="28"/>
      <w:szCs w:val="26"/>
    </w:rPr>
  </w:style>
  <w:style w:type="paragraph" w:styleId="Heading3">
    <w:name w:val="heading 3"/>
    <w:basedOn w:val="Normal"/>
    <w:next w:val="Normal"/>
    <w:link w:val="Heading3Char"/>
    <w:uiPriority w:val="9"/>
    <w:qFormat/>
    <w:rsid w:val="00FF4366"/>
    <w:pPr>
      <w:keepNext/>
      <w:keepLines/>
      <w:spacing w:before="240" w:after="60"/>
      <w:outlineLvl w:val="2"/>
    </w:pPr>
    <w:rPr>
      <w:rFonts w:eastAsiaTheme="majorEastAsia" w:cstheme="majorBidi"/>
      <w:b/>
      <w:bCs/>
      <w:color w:val="0072C6"/>
    </w:rPr>
  </w:style>
  <w:style w:type="paragraph" w:styleId="Heading4">
    <w:name w:val="heading 4"/>
    <w:basedOn w:val="Normal"/>
    <w:next w:val="Normal"/>
    <w:link w:val="Heading4Char"/>
    <w:uiPriority w:val="9"/>
    <w:qFormat/>
    <w:rsid w:val="008B512A"/>
    <w:pPr>
      <w:keepNext/>
      <w:keepLines/>
      <w:spacing w:before="60" w:after="60"/>
      <w:jc w:val="center"/>
      <w:outlineLvl w:val="3"/>
    </w:pPr>
    <w:rPr>
      <w:rFonts w:eastAsiaTheme="majorEastAsia" w:cstheme="majorBidi"/>
      <w:b/>
      <w:bCs/>
      <w:iCs/>
    </w:rPr>
  </w:style>
  <w:style w:type="paragraph" w:styleId="Heading5">
    <w:name w:val="heading 5"/>
    <w:basedOn w:val="Normal"/>
    <w:next w:val="Normal"/>
    <w:link w:val="Heading5Char"/>
    <w:uiPriority w:val="9"/>
    <w:qFormat/>
    <w:rsid w:val="00E35902"/>
    <w:pPr>
      <w:keepNext/>
      <w:keepLines/>
      <w:spacing w:after="60"/>
      <w:outlineLvl w:val="4"/>
    </w:pPr>
    <w:rPr>
      <w:rFonts w:eastAsiaTheme="majorEastAsia" w:cstheme="majorBidi"/>
      <w:color w:val="0072C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99142B"/>
    <w:pPr>
      <w:spacing w:after="0"/>
    </w:pPr>
    <w:rPr>
      <w:sz w:val="20"/>
      <w:szCs w:val="20"/>
    </w:rPr>
  </w:style>
  <w:style w:type="character" w:styleId="FootnoteReference">
    <w:name w:val="footnote reference"/>
    <w:semiHidden/>
    <w:rsid w:val="00190332"/>
    <w:rPr>
      <w:vertAlign w:val="superscript"/>
    </w:rPr>
  </w:style>
  <w:style w:type="character" w:styleId="Hyperlink">
    <w:name w:val="Hyperlink"/>
    <w:uiPriority w:val="99"/>
    <w:rsid w:val="00F16EE8"/>
    <w:rPr>
      <w:b w:val="0"/>
      <w:color w:val="0000FF"/>
      <w:u w:val="single"/>
    </w:rPr>
  </w:style>
  <w:style w:type="character" w:styleId="FollowedHyperlink">
    <w:name w:val="FollowedHyperlink"/>
    <w:uiPriority w:val="99"/>
    <w:semiHidden/>
    <w:unhideWhenUsed/>
    <w:rsid w:val="00AF24DB"/>
    <w:rPr>
      <w:color w:val="800080"/>
      <w:u w:val="single"/>
    </w:rPr>
  </w:style>
  <w:style w:type="table" w:styleId="TableGrid">
    <w:name w:val="Table Grid"/>
    <w:basedOn w:val="TableNormal"/>
    <w:uiPriority w:val="59"/>
    <w:rsid w:val="00BD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2393"/>
    <w:rPr>
      <w:sz w:val="24"/>
      <w:szCs w:val="24"/>
    </w:rPr>
  </w:style>
  <w:style w:type="paragraph" w:styleId="BalloonText">
    <w:name w:val="Balloon Text"/>
    <w:basedOn w:val="Normal"/>
    <w:link w:val="BalloonTextChar"/>
    <w:uiPriority w:val="99"/>
    <w:semiHidden/>
    <w:unhideWhenUsed/>
    <w:rsid w:val="00092393"/>
    <w:rPr>
      <w:rFonts w:ascii="Tahoma" w:hAnsi="Tahoma" w:cs="Tahoma"/>
      <w:sz w:val="16"/>
      <w:szCs w:val="16"/>
    </w:rPr>
  </w:style>
  <w:style w:type="character" w:customStyle="1" w:styleId="BalloonTextChar">
    <w:name w:val="Balloon Text Char"/>
    <w:link w:val="BalloonText"/>
    <w:uiPriority w:val="99"/>
    <w:semiHidden/>
    <w:rsid w:val="00092393"/>
    <w:rPr>
      <w:rFonts w:ascii="Tahoma" w:hAnsi="Tahoma" w:cs="Tahoma"/>
      <w:sz w:val="16"/>
      <w:szCs w:val="16"/>
      <w:lang w:eastAsia="en-GB"/>
    </w:rPr>
  </w:style>
  <w:style w:type="paragraph" w:styleId="Footer">
    <w:name w:val="footer"/>
    <w:basedOn w:val="Normal"/>
    <w:link w:val="FooterChar"/>
    <w:uiPriority w:val="99"/>
    <w:qFormat/>
    <w:rsid w:val="00F36218"/>
    <w:pPr>
      <w:tabs>
        <w:tab w:val="center" w:pos="4513"/>
        <w:tab w:val="right" w:pos="9026"/>
      </w:tabs>
      <w:spacing w:after="0"/>
    </w:pPr>
    <w:rPr>
      <w:sz w:val="20"/>
    </w:rPr>
  </w:style>
  <w:style w:type="character" w:customStyle="1" w:styleId="FooterChar">
    <w:name w:val="Footer Char"/>
    <w:link w:val="Footer"/>
    <w:uiPriority w:val="99"/>
    <w:rsid w:val="00F36218"/>
    <w:rPr>
      <w:rFonts w:ascii="Arial" w:hAnsi="Arial"/>
      <w:szCs w:val="24"/>
    </w:rPr>
  </w:style>
  <w:style w:type="character" w:styleId="CommentReference">
    <w:name w:val="annotation reference"/>
    <w:basedOn w:val="DefaultParagraphFont"/>
    <w:uiPriority w:val="99"/>
    <w:semiHidden/>
    <w:unhideWhenUsed/>
    <w:rsid w:val="0053124D"/>
    <w:rPr>
      <w:sz w:val="16"/>
      <w:szCs w:val="16"/>
    </w:rPr>
  </w:style>
  <w:style w:type="paragraph" w:styleId="CommentText">
    <w:name w:val="annotation text"/>
    <w:basedOn w:val="Normal"/>
    <w:link w:val="CommentTextChar"/>
    <w:uiPriority w:val="99"/>
    <w:semiHidden/>
    <w:unhideWhenUsed/>
    <w:rsid w:val="0053124D"/>
    <w:rPr>
      <w:sz w:val="20"/>
      <w:szCs w:val="20"/>
    </w:rPr>
  </w:style>
  <w:style w:type="character" w:customStyle="1" w:styleId="CommentTextChar">
    <w:name w:val="Comment Text Char"/>
    <w:basedOn w:val="DefaultParagraphFont"/>
    <w:link w:val="CommentText"/>
    <w:uiPriority w:val="99"/>
    <w:semiHidden/>
    <w:rsid w:val="0053124D"/>
  </w:style>
  <w:style w:type="paragraph" w:styleId="CommentSubject">
    <w:name w:val="annotation subject"/>
    <w:basedOn w:val="CommentText"/>
    <w:next w:val="CommentText"/>
    <w:link w:val="CommentSubjectChar"/>
    <w:uiPriority w:val="99"/>
    <w:semiHidden/>
    <w:unhideWhenUsed/>
    <w:rsid w:val="0053124D"/>
    <w:rPr>
      <w:b/>
      <w:bCs/>
    </w:rPr>
  </w:style>
  <w:style w:type="character" w:customStyle="1" w:styleId="CommentSubjectChar">
    <w:name w:val="Comment Subject Char"/>
    <w:basedOn w:val="CommentTextChar"/>
    <w:link w:val="CommentSubject"/>
    <w:uiPriority w:val="99"/>
    <w:semiHidden/>
    <w:rsid w:val="0053124D"/>
    <w:rPr>
      <w:b/>
      <w:bCs/>
    </w:rPr>
  </w:style>
  <w:style w:type="paragraph" w:styleId="EndnoteText">
    <w:name w:val="endnote text"/>
    <w:basedOn w:val="Normal"/>
    <w:link w:val="EndnoteTextChar"/>
    <w:uiPriority w:val="99"/>
    <w:semiHidden/>
    <w:unhideWhenUsed/>
    <w:rsid w:val="00A13D6C"/>
    <w:rPr>
      <w:sz w:val="20"/>
      <w:szCs w:val="20"/>
    </w:rPr>
  </w:style>
  <w:style w:type="character" w:customStyle="1" w:styleId="EndnoteTextChar">
    <w:name w:val="Endnote Text Char"/>
    <w:basedOn w:val="DefaultParagraphFont"/>
    <w:link w:val="EndnoteText"/>
    <w:uiPriority w:val="99"/>
    <w:semiHidden/>
    <w:rsid w:val="00A13D6C"/>
  </w:style>
  <w:style w:type="character" w:styleId="EndnoteReference">
    <w:name w:val="endnote reference"/>
    <w:basedOn w:val="DefaultParagraphFont"/>
    <w:uiPriority w:val="99"/>
    <w:semiHidden/>
    <w:unhideWhenUsed/>
    <w:rsid w:val="00A13D6C"/>
    <w:rPr>
      <w:vertAlign w:val="superscript"/>
    </w:rPr>
  </w:style>
  <w:style w:type="character" w:customStyle="1" w:styleId="Heading1Char">
    <w:name w:val="Heading 1 Char"/>
    <w:basedOn w:val="DefaultParagraphFont"/>
    <w:link w:val="Heading1"/>
    <w:uiPriority w:val="9"/>
    <w:rsid w:val="00950A7E"/>
    <w:rPr>
      <w:rFonts w:ascii="Arial" w:eastAsiaTheme="majorEastAsia" w:hAnsi="Arial" w:cstheme="majorBidi"/>
      <w:b/>
      <w:bCs/>
      <w:color w:val="0072C6"/>
      <w:sz w:val="32"/>
      <w:szCs w:val="28"/>
    </w:rPr>
  </w:style>
  <w:style w:type="paragraph" w:styleId="NoSpacing">
    <w:name w:val="No Spacing"/>
    <w:uiPriority w:val="1"/>
    <w:qFormat/>
    <w:rsid w:val="0033606F"/>
    <w:rPr>
      <w:rFonts w:ascii="Arial" w:hAnsi="Arial"/>
      <w:sz w:val="24"/>
      <w:szCs w:val="24"/>
    </w:rPr>
  </w:style>
  <w:style w:type="character" w:customStyle="1" w:styleId="Heading2Char">
    <w:name w:val="Heading 2 Char"/>
    <w:basedOn w:val="DefaultParagraphFont"/>
    <w:link w:val="Heading2"/>
    <w:uiPriority w:val="9"/>
    <w:rsid w:val="00E203FF"/>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FF4366"/>
    <w:rPr>
      <w:rFonts w:ascii="Arial" w:eastAsiaTheme="majorEastAsia" w:hAnsi="Arial" w:cstheme="majorBidi"/>
      <w:b/>
      <w:bCs/>
      <w:color w:val="0072C6"/>
      <w:sz w:val="24"/>
      <w:szCs w:val="24"/>
    </w:rPr>
  </w:style>
  <w:style w:type="character" w:customStyle="1" w:styleId="Heading4Char">
    <w:name w:val="Heading 4 Char"/>
    <w:basedOn w:val="DefaultParagraphFont"/>
    <w:link w:val="Heading4"/>
    <w:uiPriority w:val="9"/>
    <w:rsid w:val="008B512A"/>
    <w:rPr>
      <w:rFonts w:ascii="Arial" w:eastAsiaTheme="majorEastAsia" w:hAnsi="Arial" w:cstheme="majorBidi"/>
      <w:b/>
      <w:bCs/>
      <w:iCs/>
      <w:sz w:val="24"/>
      <w:szCs w:val="24"/>
    </w:rPr>
  </w:style>
  <w:style w:type="paragraph" w:styleId="ListBullet">
    <w:name w:val="List Bullet"/>
    <w:basedOn w:val="Normal"/>
    <w:uiPriority w:val="99"/>
    <w:rsid w:val="009D34C0"/>
    <w:pPr>
      <w:numPr>
        <w:numId w:val="9"/>
      </w:numPr>
      <w:contextualSpacing/>
    </w:pPr>
  </w:style>
  <w:style w:type="paragraph" w:styleId="TOCHeading">
    <w:name w:val="TOC Heading"/>
    <w:basedOn w:val="Heading1"/>
    <w:next w:val="Normal"/>
    <w:uiPriority w:val="39"/>
    <w:semiHidden/>
    <w:unhideWhenUsed/>
    <w:qFormat/>
    <w:rsid w:val="0039160E"/>
    <w:pPr>
      <w:spacing w:before="480" w:after="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semiHidden/>
    <w:rsid w:val="0039160E"/>
    <w:pPr>
      <w:spacing w:after="100"/>
    </w:pPr>
  </w:style>
  <w:style w:type="paragraph" w:styleId="TOC3">
    <w:name w:val="toc 3"/>
    <w:basedOn w:val="Normal"/>
    <w:next w:val="Normal"/>
    <w:autoRedefine/>
    <w:uiPriority w:val="39"/>
    <w:semiHidden/>
    <w:rsid w:val="0039160E"/>
    <w:pPr>
      <w:spacing w:after="100"/>
      <w:ind w:left="480"/>
    </w:pPr>
  </w:style>
  <w:style w:type="paragraph" w:styleId="Header">
    <w:name w:val="header"/>
    <w:basedOn w:val="Normal"/>
    <w:link w:val="HeaderChar"/>
    <w:uiPriority w:val="99"/>
    <w:unhideWhenUsed/>
    <w:rsid w:val="00F35268"/>
    <w:pPr>
      <w:tabs>
        <w:tab w:val="center" w:pos="4513"/>
        <w:tab w:val="right" w:pos="9026"/>
      </w:tabs>
      <w:spacing w:after="0"/>
    </w:pPr>
  </w:style>
  <w:style w:type="character" w:customStyle="1" w:styleId="HeaderChar">
    <w:name w:val="Header Char"/>
    <w:basedOn w:val="DefaultParagraphFont"/>
    <w:link w:val="Header"/>
    <w:uiPriority w:val="99"/>
    <w:rsid w:val="00F35268"/>
    <w:rPr>
      <w:rFonts w:ascii="Arial" w:hAnsi="Arial"/>
      <w:sz w:val="24"/>
      <w:szCs w:val="24"/>
    </w:rPr>
  </w:style>
  <w:style w:type="paragraph" w:styleId="ListParagraph">
    <w:name w:val="List Paragraph"/>
    <w:basedOn w:val="Normal"/>
    <w:uiPriority w:val="34"/>
    <w:qFormat/>
    <w:rsid w:val="0058750D"/>
    <w:pPr>
      <w:ind w:left="720"/>
      <w:contextualSpacing/>
    </w:pPr>
  </w:style>
  <w:style w:type="character" w:customStyle="1" w:styleId="FootnoteTextChar">
    <w:name w:val="Footnote Text Char"/>
    <w:basedOn w:val="DefaultParagraphFont"/>
    <w:link w:val="FootnoteText"/>
    <w:semiHidden/>
    <w:rsid w:val="0099142B"/>
    <w:rPr>
      <w:rFonts w:ascii="Arial" w:hAnsi="Arial"/>
    </w:rPr>
  </w:style>
  <w:style w:type="paragraph" w:styleId="ListBullet2">
    <w:name w:val="List Bullet 2"/>
    <w:basedOn w:val="Normal"/>
    <w:uiPriority w:val="99"/>
    <w:rsid w:val="00241092"/>
    <w:pPr>
      <w:numPr>
        <w:numId w:val="10"/>
      </w:numPr>
      <w:ind w:left="641" w:hanging="357"/>
      <w:contextualSpacing/>
    </w:pPr>
  </w:style>
  <w:style w:type="paragraph" w:styleId="BodyText">
    <w:name w:val="Body Text"/>
    <w:basedOn w:val="Normal"/>
    <w:link w:val="BodyTextChar"/>
    <w:uiPriority w:val="99"/>
    <w:rsid w:val="008C5A76"/>
    <w:rPr>
      <w:rFonts w:asciiTheme="minorHAnsi" w:hAnsiTheme="minorHAnsi"/>
      <w:color w:val="0072C6"/>
    </w:rPr>
  </w:style>
  <w:style w:type="character" w:customStyle="1" w:styleId="BodyTextChar">
    <w:name w:val="Body Text Char"/>
    <w:basedOn w:val="DefaultParagraphFont"/>
    <w:link w:val="BodyText"/>
    <w:uiPriority w:val="99"/>
    <w:rsid w:val="008C5A76"/>
    <w:rPr>
      <w:rFonts w:asciiTheme="minorHAnsi" w:hAnsiTheme="minorHAnsi"/>
      <w:color w:val="0072C6"/>
      <w:sz w:val="24"/>
      <w:szCs w:val="24"/>
    </w:rPr>
  </w:style>
  <w:style w:type="paragraph" w:customStyle="1" w:styleId="Default">
    <w:name w:val="Default"/>
    <w:rsid w:val="00AF2C09"/>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uiPriority w:val="9"/>
    <w:rsid w:val="00E35902"/>
    <w:rPr>
      <w:rFonts w:ascii="Arial" w:eastAsiaTheme="majorEastAsia" w:hAnsi="Arial" w:cstheme="majorBidi"/>
      <w:color w:val="0072C6"/>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caption" w:uiPriority="35" w:qFormat="1"/>
    <w:lsdException w:name="footnote reference" w:uiPriority="0"/>
    <w:lsdException w:name="List Bullet" w:semiHidden="0" w:unhideWhenUsed="0"/>
    <w:lsdException w:name="List Number" w:semiHidden="0" w:unhideWhenUsed="0"/>
    <w:lsdException w:name="List Bullet 2" w:semiHidden="0" w:unhideWhenUsed="0"/>
    <w:lsdException w:name="List Number 2" w:semiHidden="0" w:unhideWhenUsed="0"/>
    <w:lsdException w:name="Title" w:uiPriority="10" w:unhideWhenUsed="0" w:qFormat="1"/>
    <w:lsdException w:name="Default Paragraph Font" w:uiPriority="1"/>
    <w:lsdException w:name="Body Text" w:semiHidden="0" w:unhideWhenUsed="0"/>
    <w:lsdException w:name="Subtitle" w:uiPriority="11" w:unhideWhenUsed="0" w:qFormat="1"/>
    <w:lsdException w:name="Strong" w:uiPriority="22"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E11703"/>
    <w:pPr>
      <w:spacing w:after="120"/>
    </w:pPr>
    <w:rPr>
      <w:rFonts w:ascii="Arial" w:hAnsi="Arial"/>
      <w:sz w:val="24"/>
      <w:szCs w:val="24"/>
    </w:rPr>
  </w:style>
  <w:style w:type="paragraph" w:styleId="Heading1">
    <w:name w:val="heading 1"/>
    <w:basedOn w:val="Normal"/>
    <w:next w:val="Normal"/>
    <w:link w:val="Heading1Char"/>
    <w:uiPriority w:val="9"/>
    <w:qFormat/>
    <w:rsid w:val="00950A7E"/>
    <w:pPr>
      <w:keepNext/>
      <w:keepLines/>
      <w:outlineLvl w:val="0"/>
    </w:pPr>
    <w:rPr>
      <w:rFonts w:eastAsiaTheme="majorEastAsia" w:cstheme="majorBidi"/>
      <w:b/>
      <w:bCs/>
      <w:color w:val="0072C6"/>
      <w:sz w:val="32"/>
      <w:szCs w:val="28"/>
    </w:rPr>
  </w:style>
  <w:style w:type="paragraph" w:styleId="Heading2">
    <w:name w:val="heading 2"/>
    <w:basedOn w:val="Normal"/>
    <w:next w:val="Normal"/>
    <w:link w:val="Heading2Char"/>
    <w:uiPriority w:val="9"/>
    <w:qFormat/>
    <w:rsid w:val="00E203FF"/>
    <w:pPr>
      <w:keepNext/>
      <w:keepLines/>
      <w:outlineLvl w:val="1"/>
    </w:pPr>
    <w:rPr>
      <w:rFonts w:eastAsiaTheme="majorEastAsia" w:cstheme="majorBidi"/>
      <w:b/>
      <w:bCs/>
      <w:sz w:val="28"/>
      <w:szCs w:val="26"/>
    </w:rPr>
  </w:style>
  <w:style w:type="paragraph" w:styleId="Heading3">
    <w:name w:val="heading 3"/>
    <w:basedOn w:val="Normal"/>
    <w:next w:val="Normal"/>
    <w:link w:val="Heading3Char"/>
    <w:uiPriority w:val="9"/>
    <w:qFormat/>
    <w:rsid w:val="00FF4366"/>
    <w:pPr>
      <w:keepNext/>
      <w:keepLines/>
      <w:spacing w:before="240" w:after="60"/>
      <w:outlineLvl w:val="2"/>
    </w:pPr>
    <w:rPr>
      <w:rFonts w:eastAsiaTheme="majorEastAsia" w:cstheme="majorBidi"/>
      <w:b/>
      <w:bCs/>
      <w:color w:val="0072C6"/>
    </w:rPr>
  </w:style>
  <w:style w:type="paragraph" w:styleId="Heading4">
    <w:name w:val="heading 4"/>
    <w:basedOn w:val="Normal"/>
    <w:next w:val="Normal"/>
    <w:link w:val="Heading4Char"/>
    <w:uiPriority w:val="9"/>
    <w:qFormat/>
    <w:rsid w:val="008B512A"/>
    <w:pPr>
      <w:keepNext/>
      <w:keepLines/>
      <w:spacing w:before="60" w:after="60"/>
      <w:jc w:val="center"/>
      <w:outlineLvl w:val="3"/>
    </w:pPr>
    <w:rPr>
      <w:rFonts w:eastAsiaTheme="majorEastAsia" w:cstheme="majorBidi"/>
      <w:b/>
      <w:bCs/>
      <w:iCs/>
    </w:rPr>
  </w:style>
  <w:style w:type="paragraph" w:styleId="Heading5">
    <w:name w:val="heading 5"/>
    <w:basedOn w:val="Normal"/>
    <w:next w:val="Normal"/>
    <w:link w:val="Heading5Char"/>
    <w:uiPriority w:val="9"/>
    <w:qFormat/>
    <w:rsid w:val="00E35902"/>
    <w:pPr>
      <w:keepNext/>
      <w:keepLines/>
      <w:spacing w:after="60"/>
      <w:outlineLvl w:val="4"/>
    </w:pPr>
    <w:rPr>
      <w:rFonts w:eastAsiaTheme="majorEastAsia" w:cstheme="majorBidi"/>
      <w:color w:val="0072C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99142B"/>
    <w:pPr>
      <w:spacing w:after="0"/>
    </w:pPr>
    <w:rPr>
      <w:sz w:val="20"/>
      <w:szCs w:val="20"/>
    </w:rPr>
  </w:style>
  <w:style w:type="character" w:styleId="FootnoteReference">
    <w:name w:val="footnote reference"/>
    <w:semiHidden/>
    <w:rsid w:val="00190332"/>
    <w:rPr>
      <w:vertAlign w:val="superscript"/>
    </w:rPr>
  </w:style>
  <w:style w:type="character" w:styleId="Hyperlink">
    <w:name w:val="Hyperlink"/>
    <w:uiPriority w:val="99"/>
    <w:rsid w:val="00F16EE8"/>
    <w:rPr>
      <w:b w:val="0"/>
      <w:color w:val="0000FF"/>
      <w:u w:val="single"/>
    </w:rPr>
  </w:style>
  <w:style w:type="character" w:styleId="FollowedHyperlink">
    <w:name w:val="FollowedHyperlink"/>
    <w:uiPriority w:val="99"/>
    <w:semiHidden/>
    <w:unhideWhenUsed/>
    <w:rsid w:val="00AF24DB"/>
    <w:rPr>
      <w:color w:val="800080"/>
      <w:u w:val="single"/>
    </w:rPr>
  </w:style>
  <w:style w:type="table" w:styleId="TableGrid">
    <w:name w:val="Table Grid"/>
    <w:basedOn w:val="TableNormal"/>
    <w:uiPriority w:val="59"/>
    <w:rsid w:val="00BD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2393"/>
    <w:rPr>
      <w:sz w:val="24"/>
      <w:szCs w:val="24"/>
    </w:rPr>
  </w:style>
  <w:style w:type="paragraph" w:styleId="BalloonText">
    <w:name w:val="Balloon Text"/>
    <w:basedOn w:val="Normal"/>
    <w:link w:val="BalloonTextChar"/>
    <w:uiPriority w:val="99"/>
    <w:semiHidden/>
    <w:unhideWhenUsed/>
    <w:rsid w:val="00092393"/>
    <w:rPr>
      <w:rFonts w:ascii="Tahoma" w:hAnsi="Tahoma" w:cs="Tahoma"/>
      <w:sz w:val="16"/>
      <w:szCs w:val="16"/>
    </w:rPr>
  </w:style>
  <w:style w:type="character" w:customStyle="1" w:styleId="BalloonTextChar">
    <w:name w:val="Balloon Text Char"/>
    <w:link w:val="BalloonText"/>
    <w:uiPriority w:val="99"/>
    <w:semiHidden/>
    <w:rsid w:val="00092393"/>
    <w:rPr>
      <w:rFonts w:ascii="Tahoma" w:hAnsi="Tahoma" w:cs="Tahoma"/>
      <w:sz w:val="16"/>
      <w:szCs w:val="16"/>
      <w:lang w:eastAsia="en-GB"/>
    </w:rPr>
  </w:style>
  <w:style w:type="paragraph" w:styleId="Footer">
    <w:name w:val="footer"/>
    <w:basedOn w:val="Normal"/>
    <w:link w:val="FooterChar"/>
    <w:uiPriority w:val="99"/>
    <w:qFormat/>
    <w:rsid w:val="00F36218"/>
    <w:pPr>
      <w:tabs>
        <w:tab w:val="center" w:pos="4513"/>
        <w:tab w:val="right" w:pos="9026"/>
      </w:tabs>
      <w:spacing w:after="0"/>
    </w:pPr>
    <w:rPr>
      <w:sz w:val="20"/>
    </w:rPr>
  </w:style>
  <w:style w:type="character" w:customStyle="1" w:styleId="FooterChar">
    <w:name w:val="Footer Char"/>
    <w:link w:val="Footer"/>
    <w:uiPriority w:val="99"/>
    <w:rsid w:val="00F36218"/>
    <w:rPr>
      <w:rFonts w:ascii="Arial" w:hAnsi="Arial"/>
      <w:szCs w:val="24"/>
    </w:rPr>
  </w:style>
  <w:style w:type="character" w:styleId="CommentReference">
    <w:name w:val="annotation reference"/>
    <w:basedOn w:val="DefaultParagraphFont"/>
    <w:uiPriority w:val="99"/>
    <w:semiHidden/>
    <w:unhideWhenUsed/>
    <w:rsid w:val="0053124D"/>
    <w:rPr>
      <w:sz w:val="16"/>
      <w:szCs w:val="16"/>
    </w:rPr>
  </w:style>
  <w:style w:type="paragraph" w:styleId="CommentText">
    <w:name w:val="annotation text"/>
    <w:basedOn w:val="Normal"/>
    <w:link w:val="CommentTextChar"/>
    <w:uiPriority w:val="99"/>
    <w:semiHidden/>
    <w:unhideWhenUsed/>
    <w:rsid w:val="0053124D"/>
    <w:rPr>
      <w:sz w:val="20"/>
      <w:szCs w:val="20"/>
    </w:rPr>
  </w:style>
  <w:style w:type="character" w:customStyle="1" w:styleId="CommentTextChar">
    <w:name w:val="Comment Text Char"/>
    <w:basedOn w:val="DefaultParagraphFont"/>
    <w:link w:val="CommentText"/>
    <w:uiPriority w:val="99"/>
    <w:semiHidden/>
    <w:rsid w:val="0053124D"/>
  </w:style>
  <w:style w:type="paragraph" w:styleId="CommentSubject">
    <w:name w:val="annotation subject"/>
    <w:basedOn w:val="CommentText"/>
    <w:next w:val="CommentText"/>
    <w:link w:val="CommentSubjectChar"/>
    <w:uiPriority w:val="99"/>
    <w:semiHidden/>
    <w:unhideWhenUsed/>
    <w:rsid w:val="0053124D"/>
    <w:rPr>
      <w:b/>
      <w:bCs/>
    </w:rPr>
  </w:style>
  <w:style w:type="character" w:customStyle="1" w:styleId="CommentSubjectChar">
    <w:name w:val="Comment Subject Char"/>
    <w:basedOn w:val="CommentTextChar"/>
    <w:link w:val="CommentSubject"/>
    <w:uiPriority w:val="99"/>
    <w:semiHidden/>
    <w:rsid w:val="0053124D"/>
    <w:rPr>
      <w:b/>
      <w:bCs/>
    </w:rPr>
  </w:style>
  <w:style w:type="paragraph" w:styleId="EndnoteText">
    <w:name w:val="endnote text"/>
    <w:basedOn w:val="Normal"/>
    <w:link w:val="EndnoteTextChar"/>
    <w:uiPriority w:val="99"/>
    <w:semiHidden/>
    <w:unhideWhenUsed/>
    <w:rsid w:val="00A13D6C"/>
    <w:rPr>
      <w:sz w:val="20"/>
      <w:szCs w:val="20"/>
    </w:rPr>
  </w:style>
  <w:style w:type="character" w:customStyle="1" w:styleId="EndnoteTextChar">
    <w:name w:val="Endnote Text Char"/>
    <w:basedOn w:val="DefaultParagraphFont"/>
    <w:link w:val="EndnoteText"/>
    <w:uiPriority w:val="99"/>
    <w:semiHidden/>
    <w:rsid w:val="00A13D6C"/>
  </w:style>
  <w:style w:type="character" w:styleId="EndnoteReference">
    <w:name w:val="endnote reference"/>
    <w:basedOn w:val="DefaultParagraphFont"/>
    <w:uiPriority w:val="99"/>
    <w:semiHidden/>
    <w:unhideWhenUsed/>
    <w:rsid w:val="00A13D6C"/>
    <w:rPr>
      <w:vertAlign w:val="superscript"/>
    </w:rPr>
  </w:style>
  <w:style w:type="character" w:customStyle="1" w:styleId="Heading1Char">
    <w:name w:val="Heading 1 Char"/>
    <w:basedOn w:val="DefaultParagraphFont"/>
    <w:link w:val="Heading1"/>
    <w:uiPriority w:val="9"/>
    <w:rsid w:val="00950A7E"/>
    <w:rPr>
      <w:rFonts w:ascii="Arial" w:eastAsiaTheme="majorEastAsia" w:hAnsi="Arial" w:cstheme="majorBidi"/>
      <w:b/>
      <w:bCs/>
      <w:color w:val="0072C6"/>
      <w:sz w:val="32"/>
      <w:szCs w:val="28"/>
    </w:rPr>
  </w:style>
  <w:style w:type="paragraph" w:styleId="NoSpacing">
    <w:name w:val="No Spacing"/>
    <w:uiPriority w:val="1"/>
    <w:qFormat/>
    <w:rsid w:val="0033606F"/>
    <w:rPr>
      <w:rFonts w:ascii="Arial" w:hAnsi="Arial"/>
      <w:sz w:val="24"/>
      <w:szCs w:val="24"/>
    </w:rPr>
  </w:style>
  <w:style w:type="character" w:customStyle="1" w:styleId="Heading2Char">
    <w:name w:val="Heading 2 Char"/>
    <w:basedOn w:val="DefaultParagraphFont"/>
    <w:link w:val="Heading2"/>
    <w:uiPriority w:val="9"/>
    <w:rsid w:val="00E203FF"/>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FF4366"/>
    <w:rPr>
      <w:rFonts w:ascii="Arial" w:eastAsiaTheme="majorEastAsia" w:hAnsi="Arial" w:cstheme="majorBidi"/>
      <w:b/>
      <w:bCs/>
      <w:color w:val="0072C6"/>
      <w:sz w:val="24"/>
      <w:szCs w:val="24"/>
    </w:rPr>
  </w:style>
  <w:style w:type="character" w:customStyle="1" w:styleId="Heading4Char">
    <w:name w:val="Heading 4 Char"/>
    <w:basedOn w:val="DefaultParagraphFont"/>
    <w:link w:val="Heading4"/>
    <w:uiPriority w:val="9"/>
    <w:rsid w:val="008B512A"/>
    <w:rPr>
      <w:rFonts w:ascii="Arial" w:eastAsiaTheme="majorEastAsia" w:hAnsi="Arial" w:cstheme="majorBidi"/>
      <w:b/>
      <w:bCs/>
      <w:iCs/>
      <w:sz w:val="24"/>
      <w:szCs w:val="24"/>
    </w:rPr>
  </w:style>
  <w:style w:type="paragraph" w:styleId="ListBullet">
    <w:name w:val="List Bullet"/>
    <w:basedOn w:val="Normal"/>
    <w:uiPriority w:val="99"/>
    <w:rsid w:val="009D34C0"/>
    <w:pPr>
      <w:numPr>
        <w:numId w:val="9"/>
      </w:numPr>
      <w:contextualSpacing/>
    </w:pPr>
  </w:style>
  <w:style w:type="paragraph" w:styleId="TOCHeading">
    <w:name w:val="TOC Heading"/>
    <w:basedOn w:val="Heading1"/>
    <w:next w:val="Normal"/>
    <w:uiPriority w:val="39"/>
    <w:semiHidden/>
    <w:unhideWhenUsed/>
    <w:qFormat/>
    <w:rsid w:val="0039160E"/>
    <w:pPr>
      <w:spacing w:before="480" w:after="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semiHidden/>
    <w:rsid w:val="0039160E"/>
    <w:pPr>
      <w:spacing w:after="100"/>
    </w:pPr>
  </w:style>
  <w:style w:type="paragraph" w:styleId="TOC3">
    <w:name w:val="toc 3"/>
    <w:basedOn w:val="Normal"/>
    <w:next w:val="Normal"/>
    <w:autoRedefine/>
    <w:uiPriority w:val="39"/>
    <w:semiHidden/>
    <w:rsid w:val="0039160E"/>
    <w:pPr>
      <w:spacing w:after="100"/>
      <w:ind w:left="480"/>
    </w:pPr>
  </w:style>
  <w:style w:type="paragraph" w:styleId="Header">
    <w:name w:val="header"/>
    <w:basedOn w:val="Normal"/>
    <w:link w:val="HeaderChar"/>
    <w:uiPriority w:val="99"/>
    <w:unhideWhenUsed/>
    <w:rsid w:val="00F35268"/>
    <w:pPr>
      <w:tabs>
        <w:tab w:val="center" w:pos="4513"/>
        <w:tab w:val="right" w:pos="9026"/>
      </w:tabs>
      <w:spacing w:after="0"/>
    </w:pPr>
  </w:style>
  <w:style w:type="character" w:customStyle="1" w:styleId="HeaderChar">
    <w:name w:val="Header Char"/>
    <w:basedOn w:val="DefaultParagraphFont"/>
    <w:link w:val="Header"/>
    <w:uiPriority w:val="99"/>
    <w:rsid w:val="00F35268"/>
    <w:rPr>
      <w:rFonts w:ascii="Arial" w:hAnsi="Arial"/>
      <w:sz w:val="24"/>
      <w:szCs w:val="24"/>
    </w:rPr>
  </w:style>
  <w:style w:type="paragraph" w:styleId="ListParagraph">
    <w:name w:val="List Paragraph"/>
    <w:basedOn w:val="Normal"/>
    <w:uiPriority w:val="34"/>
    <w:qFormat/>
    <w:rsid w:val="0058750D"/>
    <w:pPr>
      <w:ind w:left="720"/>
      <w:contextualSpacing/>
    </w:pPr>
  </w:style>
  <w:style w:type="character" w:customStyle="1" w:styleId="FootnoteTextChar">
    <w:name w:val="Footnote Text Char"/>
    <w:basedOn w:val="DefaultParagraphFont"/>
    <w:link w:val="FootnoteText"/>
    <w:semiHidden/>
    <w:rsid w:val="0099142B"/>
    <w:rPr>
      <w:rFonts w:ascii="Arial" w:hAnsi="Arial"/>
    </w:rPr>
  </w:style>
  <w:style w:type="paragraph" w:styleId="ListBullet2">
    <w:name w:val="List Bullet 2"/>
    <w:basedOn w:val="Normal"/>
    <w:uiPriority w:val="99"/>
    <w:rsid w:val="00241092"/>
    <w:pPr>
      <w:numPr>
        <w:numId w:val="10"/>
      </w:numPr>
      <w:ind w:left="641" w:hanging="357"/>
      <w:contextualSpacing/>
    </w:pPr>
  </w:style>
  <w:style w:type="paragraph" w:styleId="BodyText">
    <w:name w:val="Body Text"/>
    <w:basedOn w:val="Normal"/>
    <w:link w:val="BodyTextChar"/>
    <w:uiPriority w:val="99"/>
    <w:rsid w:val="008C5A76"/>
    <w:rPr>
      <w:rFonts w:asciiTheme="minorHAnsi" w:hAnsiTheme="minorHAnsi"/>
      <w:color w:val="0072C6"/>
    </w:rPr>
  </w:style>
  <w:style w:type="character" w:customStyle="1" w:styleId="BodyTextChar">
    <w:name w:val="Body Text Char"/>
    <w:basedOn w:val="DefaultParagraphFont"/>
    <w:link w:val="BodyText"/>
    <w:uiPriority w:val="99"/>
    <w:rsid w:val="008C5A76"/>
    <w:rPr>
      <w:rFonts w:asciiTheme="minorHAnsi" w:hAnsiTheme="minorHAnsi"/>
      <w:color w:val="0072C6"/>
      <w:sz w:val="24"/>
      <w:szCs w:val="24"/>
    </w:rPr>
  </w:style>
  <w:style w:type="paragraph" w:customStyle="1" w:styleId="Default">
    <w:name w:val="Default"/>
    <w:rsid w:val="00AF2C09"/>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uiPriority w:val="9"/>
    <w:rsid w:val="00E35902"/>
    <w:rPr>
      <w:rFonts w:ascii="Arial" w:eastAsiaTheme="majorEastAsia" w:hAnsi="Arial" w:cstheme="majorBidi"/>
      <w:color w:val="0072C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99">
      <w:bodyDiv w:val="1"/>
      <w:marLeft w:val="0"/>
      <w:marRight w:val="0"/>
      <w:marTop w:val="0"/>
      <w:marBottom w:val="0"/>
      <w:divBdr>
        <w:top w:val="none" w:sz="0" w:space="0" w:color="auto"/>
        <w:left w:val="none" w:sz="0" w:space="0" w:color="auto"/>
        <w:bottom w:val="none" w:sz="0" w:space="0" w:color="auto"/>
        <w:right w:val="none" w:sz="0" w:space="0" w:color="auto"/>
      </w:divBdr>
    </w:div>
    <w:div w:id="28116387">
      <w:bodyDiv w:val="1"/>
      <w:marLeft w:val="0"/>
      <w:marRight w:val="0"/>
      <w:marTop w:val="0"/>
      <w:marBottom w:val="0"/>
      <w:divBdr>
        <w:top w:val="none" w:sz="0" w:space="0" w:color="auto"/>
        <w:left w:val="none" w:sz="0" w:space="0" w:color="auto"/>
        <w:bottom w:val="none" w:sz="0" w:space="0" w:color="auto"/>
        <w:right w:val="none" w:sz="0" w:space="0" w:color="auto"/>
      </w:divBdr>
    </w:div>
    <w:div w:id="34232584">
      <w:bodyDiv w:val="1"/>
      <w:marLeft w:val="0"/>
      <w:marRight w:val="0"/>
      <w:marTop w:val="0"/>
      <w:marBottom w:val="0"/>
      <w:divBdr>
        <w:top w:val="none" w:sz="0" w:space="0" w:color="auto"/>
        <w:left w:val="none" w:sz="0" w:space="0" w:color="auto"/>
        <w:bottom w:val="none" w:sz="0" w:space="0" w:color="auto"/>
        <w:right w:val="none" w:sz="0" w:space="0" w:color="auto"/>
      </w:divBdr>
    </w:div>
    <w:div w:id="158230403">
      <w:bodyDiv w:val="1"/>
      <w:marLeft w:val="0"/>
      <w:marRight w:val="0"/>
      <w:marTop w:val="0"/>
      <w:marBottom w:val="0"/>
      <w:divBdr>
        <w:top w:val="none" w:sz="0" w:space="0" w:color="auto"/>
        <w:left w:val="none" w:sz="0" w:space="0" w:color="auto"/>
        <w:bottom w:val="none" w:sz="0" w:space="0" w:color="auto"/>
        <w:right w:val="none" w:sz="0" w:space="0" w:color="auto"/>
      </w:divBdr>
    </w:div>
    <w:div w:id="166404619">
      <w:bodyDiv w:val="1"/>
      <w:marLeft w:val="0"/>
      <w:marRight w:val="0"/>
      <w:marTop w:val="0"/>
      <w:marBottom w:val="0"/>
      <w:divBdr>
        <w:top w:val="none" w:sz="0" w:space="0" w:color="auto"/>
        <w:left w:val="none" w:sz="0" w:space="0" w:color="auto"/>
        <w:bottom w:val="none" w:sz="0" w:space="0" w:color="auto"/>
        <w:right w:val="none" w:sz="0" w:space="0" w:color="auto"/>
      </w:divBdr>
    </w:div>
    <w:div w:id="274139118">
      <w:bodyDiv w:val="1"/>
      <w:marLeft w:val="0"/>
      <w:marRight w:val="0"/>
      <w:marTop w:val="0"/>
      <w:marBottom w:val="0"/>
      <w:divBdr>
        <w:top w:val="none" w:sz="0" w:space="0" w:color="auto"/>
        <w:left w:val="none" w:sz="0" w:space="0" w:color="auto"/>
        <w:bottom w:val="none" w:sz="0" w:space="0" w:color="auto"/>
        <w:right w:val="none" w:sz="0" w:space="0" w:color="auto"/>
      </w:divBdr>
    </w:div>
    <w:div w:id="359403251">
      <w:bodyDiv w:val="1"/>
      <w:marLeft w:val="0"/>
      <w:marRight w:val="0"/>
      <w:marTop w:val="0"/>
      <w:marBottom w:val="0"/>
      <w:divBdr>
        <w:top w:val="none" w:sz="0" w:space="0" w:color="auto"/>
        <w:left w:val="none" w:sz="0" w:space="0" w:color="auto"/>
        <w:bottom w:val="none" w:sz="0" w:space="0" w:color="auto"/>
        <w:right w:val="none" w:sz="0" w:space="0" w:color="auto"/>
      </w:divBdr>
    </w:div>
    <w:div w:id="459569593">
      <w:bodyDiv w:val="1"/>
      <w:marLeft w:val="0"/>
      <w:marRight w:val="0"/>
      <w:marTop w:val="0"/>
      <w:marBottom w:val="0"/>
      <w:divBdr>
        <w:top w:val="none" w:sz="0" w:space="0" w:color="auto"/>
        <w:left w:val="none" w:sz="0" w:space="0" w:color="auto"/>
        <w:bottom w:val="none" w:sz="0" w:space="0" w:color="auto"/>
        <w:right w:val="none" w:sz="0" w:space="0" w:color="auto"/>
      </w:divBdr>
    </w:div>
    <w:div w:id="540361179">
      <w:bodyDiv w:val="1"/>
      <w:marLeft w:val="0"/>
      <w:marRight w:val="0"/>
      <w:marTop w:val="0"/>
      <w:marBottom w:val="0"/>
      <w:divBdr>
        <w:top w:val="none" w:sz="0" w:space="0" w:color="auto"/>
        <w:left w:val="none" w:sz="0" w:space="0" w:color="auto"/>
        <w:bottom w:val="none" w:sz="0" w:space="0" w:color="auto"/>
        <w:right w:val="none" w:sz="0" w:space="0" w:color="auto"/>
      </w:divBdr>
    </w:div>
    <w:div w:id="548342403">
      <w:bodyDiv w:val="1"/>
      <w:marLeft w:val="0"/>
      <w:marRight w:val="0"/>
      <w:marTop w:val="0"/>
      <w:marBottom w:val="0"/>
      <w:divBdr>
        <w:top w:val="none" w:sz="0" w:space="0" w:color="auto"/>
        <w:left w:val="none" w:sz="0" w:space="0" w:color="auto"/>
        <w:bottom w:val="none" w:sz="0" w:space="0" w:color="auto"/>
        <w:right w:val="none" w:sz="0" w:space="0" w:color="auto"/>
      </w:divBdr>
    </w:div>
    <w:div w:id="555432489">
      <w:bodyDiv w:val="1"/>
      <w:marLeft w:val="0"/>
      <w:marRight w:val="0"/>
      <w:marTop w:val="0"/>
      <w:marBottom w:val="0"/>
      <w:divBdr>
        <w:top w:val="none" w:sz="0" w:space="0" w:color="auto"/>
        <w:left w:val="none" w:sz="0" w:space="0" w:color="auto"/>
        <w:bottom w:val="none" w:sz="0" w:space="0" w:color="auto"/>
        <w:right w:val="none" w:sz="0" w:space="0" w:color="auto"/>
      </w:divBdr>
    </w:div>
    <w:div w:id="585306898">
      <w:bodyDiv w:val="1"/>
      <w:marLeft w:val="0"/>
      <w:marRight w:val="0"/>
      <w:marTop w:val="0"/>
      <w:marBottom w:val="0"/>
      <w:divBdr>
        <w:top w:val="none" w:sz="0" w:space="0" w:color="auto"/>
        <w:left w:val="none" w:sz="0" w:space="0" w:color="auto"/>
        <w:bottom w:val="none" w:sz="0" w:space="0" w:color="auto"/>
        <w:right w:val="none" w:sz="0" w:space="0" w:color="auto"/>
      </w:divBdr>
    </w:div>
    <w:div w:id="705565530">
      <w:bodyDiv w:val="1"/>
      <w:marLeft w:val="0"/>
      <w:marRight w:val="0"/>
      <w:marTop w:val="0"/>
      <w:marBottom w:val="0"/>
      <w:divBdr>
        <w:top w:val="none" w:sz="0" w:space="0" w:color="auto"/>
        <w:left w:val="none" w:sz="0" w:space="0" w:color="auto"/>
        <w:bottom w:val="none" w:sz="0" w:space="0" w:color="auto"/>
        <w:right w:val="none" w:sz="0" w:space="0" w:color="auto"/>
      </w:divBdr>
    </w:div>
    <w:div w:id="709721236">
      <w:bodyDiv w:val="1"/>
      <w:marLeft w:val="0"/>
      <w:marRight w:val="0"/>
      <w:marTop w:val="0"/>
      <w:marBottom w:val="0"/>
      <w:divBdr>
        <w:top w:val="none" w:sz="0" w:space="0" w:color="auto"/>
        <w:left w:val="none" w:sz="0" w:space="0" w:color="auto"/>
        <w:bottom w:val="none" w:sz="0" w:space="0" w:color="auto"/>
        <w:right w:val="none" w:sz="0" w:space="0" w:color="auto"/>
      </w:divBdr>
      <w:divsChild>
        <w:div w:id="1542012813">
          <w:marLeft w:val="0"/>
          <w:marRight w:val="0"/>
          <w:marTop w:val="0"/>
          <w:marBottom w:val="0"/>
          <w:divBdr>
            <w:top w:val="none" w:sz="0" w:space="0" w:color="auto"/>
            <w:left w:val="none" w:sz="0" w:space="0" w:color="auto"/>
            <w:bottom w:val="none" w:sz="0" w:space="0" w:color="auto"/>
            <w:right w:val="none" w:sz="0" w:space="0" w:color="auto"/>
          </w:divBdr>
          <w:divsChild>
            <w:div w:id="1306198776">
              <w:marLeft w:val="0"/>
              <w:marRight w:val="0"/>
              <w:marTop w:val="0"/>
              <w:marBottom w:val="0"/>
              <w:divBdr>
                <w:top w:val="none" w:sz="0" w:space="0" w:color="auto"/>
                <w:left w:val="none" w:sz="0" w:space="0" w:color="auto"/>
                <w:bottom w:val="none" w:sz="0" w:space="0" w:color="auto"/>
                <w:right w:val="none" w:sz="0" w:space="0" w:color="auto"/>
              </w:divBdr>
              <w:divsChild>
                <w:div w:id="159740764">
                  <w:marLeft w:val="165"/>
                  <w:marRight w:val="165"/>
                  <w:marTop w:val="0"/>
                  <w:marBottom w:val="0"/>
                  <w:divBdr>
                    <w:top w:val="none" w:sz="0" w:space="0" w:color="auto"/>
                    <w:left w:val="none" w:sz="0" w:space="0" w:color="auto"/>
                    <w:bottom w:val="none" w:sz="0" w:space="0" w:color="auto"/>
                    <w:right w:val="none" w:sz="0" w:space="0" w:color="auto"/>
                  </w:divBdr>
                  <w:divsChild>
                    <w:div w:id="591620077">
                      <w:marLeft w:val="0"/>
                      <w:marRight w:val="0"/>
                      <w:marTop w:val="0"/>
                      <w:marBottom w:val="0"/>
                      <w:divBdr>
                        <w:top w:val="none" w:sz="0" w:space="0" w:color="auto"/>
                        <w:left w:val="none" w:sz="0" w:space="0" w:color="auto"/>
                        <w:bottom w:val="none" w:sz="0" w:space="0" w:color="auto"/>
                        <w:right w:val="none" w:sz="0" w:space="0" w:color="auto"/>
                      </w:divBdr>
                      <w:divsChild>
                        <w:div w:id="611594701">
                          <w:marLeft w:val="165"/>
                          <w:marRight w:val="165"/>
                          <w:marTop w:val="0"/>
                          <w:marBottom w:val="0"/>
                          <w:divBdr>
                            <w:top w:val="none" w:sz="0" w:space="0" w:color="auto"/>
                            <w:left w:val="none" w:sz="0" w:space="0" w:color="auto"/>
                            <w:bottom w:val="none" w:sz="0" w:space="0" w:color="auto"/>
                            <w:right w:val="none" w:sz="0" w:space="0" w:color="auto"/>
                          </w:divBdr>
                          <w:divsChild>
                            <w:div w:id="709034342">
                              <w:marLeft w:val="0"/>
                              <w:marRight w:val="0"/>
                              <w:marTop w:val="0"/>
                              <w:marBottom w:val="0"/>
                              <w:divBdr>
                                <w:top w:val="none" w:sz="0" w:space="0" w:color="auto"/>
                                <w:left w:val="none" w:sz="0" w:space="0" w:color="auto"/>
                                <w:bottom w:val="none" w:sz="0" w:space="0" w:color="auto"/>
                                <w:right w:val="none" w:sz="0" w:space="0" w:color="auto"/>
                              </w:divBdr>
                              <w:divsChild>
                                <w:div w:id="928581920">
                                  <w:marLeft w:val="0"/>
                                  <w:marRight w:val="0"/>
                                  <w:marTop w:val="0"/>
                                  <w:marBottom w:val="0"/>
                                  <w:divBdr>
                                    <w:top w:val="none" w:sz="0" w:space="0" w:color="auto"/>
                                    <w:left w:val="none" w:sz="0" w:space="0" w:color="auto"/>
                                    <w:bottom w:val="none" w:sz="0" w:space="0" w:color="auto"/>
                                    <w:right w:val="none" w:sz="0" w:space="0" w:color="auto"/>
                                  </w:divBdr>
                                  <w:divsChild>
                                    <w:div w:id="752625144">
                                      <w:marLeft w:val="0"/>
                                      <w:marRight w:val="0"/>
                                      <w:marTop w:val="0"/>
                                      <w:marBottom w:val="0"/>
                                      <w:divBdr>
                                        <w:top w:val="none" w:sz="0" w:space="0" w:color="auto"/>
                                        <w:left w:val="none" w:sz="0" w:space="0" w:color="auto"/>
                                        <w:bottom w:val="none" w:sz="0" w:space="0" w:color="auto"/>
                                        <w:right w:val="none" w:sz="0" w:space="0" w:color="auto"/>
                                      </w:divBdr>
                                      <w:divsChild>
                                        <w:div w:id="730276480">
                                          <w:marLeft w:val="0"/>
                                          <w:marRight w:val="0"/>
                                          <w:marTop w:val="0"/>
                                          <w:marBottom w:val="0"/>
                                          <w:divBdr>
                                            <w:top w:val="none" w:sz="0" w:space="0" w:color="auto"/>
                                            <w:left w:val="none" w:sz="0" w:space="0" w:color="auto"/>
                                            <w:bottom w:val="none" w:sz="0" w:space="0" w:color="auto"/>
                                            <w:right w:val="none" w:sz="0" w:space="0" w:color="auto"/>
                                          </w:divBdr>
                                          <w:divsChild>
                                            <w:div w:id="349332531">
                                              <w:marLeft w:val="0"/>
                                              <w:marRight w:val="0"/>
                                              <w:marTop w:val="0"/>
                                              <w:marBottom w:val="0"/>
                                              <w:divBdr>
                                                <w:top w:val="none" w:sz="0" w:space="0" w:color="auto"/>
                                                <w:left w:val="none" w:sz="0" w:space="0" w:color="auto"/>
                                                <w:bottom w:val="none" w:sz="0" w:space="0" w:color="auto"/>
                                                <w:right w:val="none" w:sz="0" w:space="0" w:color="auto"/>
                                              </w:divBdr>
                                              <w:divsChild>
                                                <w:div w:id="111254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1100049">
      <w:bodyDiv w:val="1"/>
      <w:marLeft w:val="0"/>
      <w:marRight w:val="0"/>
      <w:marTop w:val="0"/>
      <w:marBottom w:val="0"/>
      <w:divBdr>
        <w:top w:val="none" w:sz="0" w:space="0" w:color="auto"/>
        <w:left w:val="none" w:sz="0" w:space="0" w:color="auto"/>
        <w:bottom w:val="none" w:sz="0" w:space="0" w:color="auto"/>
        <w:right w:val="none" w:sz="0" w:space="0" w:color="auto"/>
      </w:divBdr>
    </w:div>
    <w:div w:id="733969056">
      <w:bodyDiv w:val="1"/>
      <w:marLeft w:val="0"/>
      <w:marRight w:val="0"/>
      <w:marTop w:val="0"/>
      <w:marBottom w:val="0"/>
      <w:divBdr>
        <w:top w:val="none" w:sz="0" w:space="0" w:color="auto"/>
        <w:left w:val="none" w:sz="0" w:space="0" w:color="auto"/>
        <w:bottom w:val="none" w:sz="0" w:space="0" w:color="auto"/>
        <w:right w:val="none" w:sz="0" w:space="0" w:color="auto"/>
      </w:divBdr>
    </w:div>
    <w:div w:id="778254480">
      <w:bodyDiv w:val="1"/>
      <w:marLeft w:val="0"/>
      <w:marRight w:val="0"/>
      <w:marTop w:val="0"/>
      <w:marBottom w:val="0"/>
      <w:divBdr>
        <w:top w:val="none" w:sz="0" w:space="0" w:color="auto"/>
        <w:left w:val="none" w:sz="0" w:space="0" w:color="auto"/>
        <w:bottom w:val="none" w:sz="0" w:space="0" w:color="auto"/>
        <w:right w:val="none" w:sz="0" w:space="0" w:color="auto"/>
      </w:divBdr>
    </w:div>
    <w:div w:id="792792232">
      <w:bodyDiv w:val="1"/>
      <w:marLeft w:val="0"/>
      <w:marRight w:val="0"/>
      <w:marTop w:val="0"/>
      <w:marBottom w:val="0"/>
      <w:divBdr>
        <w:top w:val="none" w:sz="0" w:space="0" w:color="auto"/>
        <w:left w:val="none" w:sz="0" w:space="0" w:color="auto"/>
        <w:bottom w:val="none" w:sz="0" w:space="0" w:color="auto"/>
        <w:right w:val="none" w:sz="0" w:space="0" w:color="auto"/>
      </w:divBdr>
    </w:div>
    <w:div w:id="816727013">
      <w:bodyDiv w:val="1"/>
      <w:marLeft w:val="0"/>
      <w:marRight w:val="0"/>
      <w:marTop w:val="0"/>
      <w:marBottom w:val="0"/>
      <w:divBdr>
        <w:top w:val="none" w:sz="0" w:space="0" w:color="auto"/>
        <w:left w:val="none" w:sz="0" w:space="0" w:color="auto"/>
        <w:bottom w:val="none" w:sz="0" w:space="0" w:color="auto"/>
        <w:right w:val="none" w:sz="0" w:space="0" w:color="auto"/>
      </w:divBdr>
    </w:div>
    <w:div w:id="834342871">
      <w:bodyDiv w:val="1"/>
      <w:marLeft w:val="0"/>
      <w:marRight w:val="0"/>
      <w:marTop w:val="0"/>
      <w:marBottom w:val="0"/>
      <w:divBdr>
        <w:top w:val="none" w:sz="0" w:space="0" w:color="auto"/>
        <w:left w:val="none" w:sz="0" w:space="0" w:color="auto"/>
        <w:bottom w:val="none" w:sz="0" w:space="0" w:color="auto"/>
        <w:right w:val="none" w:sz="0" w:space="0" w:color="auto"/>
      </w:divBdr>
    </w:div>
    <w:div w:id="865102832">
      <w:bodyDiv w:val="1"/>
      <w:marLeft w:val="0"/>
      <w:marRight w:val="0"/>
      <w:marTop w:val="0"/>
      <w:marBottom w:val="0"/>
      <w:divBdr>
        <w:top w:val="none" w:sz="0" w:space="0" w:color="auto"/>
        <w:left w:val="none" w:sz="0" w:space="0" w:color="auto"/>
        <w:bottom w:val="none" w:sz="0" w:space="0" w:color="auto"/>
        <w:right w:val="none" w:sz="0" w:space="0" w:color="auto"/>
      </w:divBdr>
    </w:div>
    <w:div w:id="877356325">
      <w:bodyDiv w:val="1"/>
      <w:marLeft w:val="0"/>
      <w:marRight w:val="0"/>
      <w:marTop w:val="0"/>
      <w:marBottom w:val="0"/>
      <w:divBdr>
        <w:top w:val="none" w:sz="0" w:space="0" w:color="auto"/>
        <w:left w:val="none" w:sz="0" w:space="0" w:color="auto"/>
        <w:bottom w:val="none" w:sz="0" w:space="0" w:color="auto"/>
        <w:right w:val="none" w:sz="0" w:space="0" w:color="auto"/>
      </w:divBdr>
    </w:div>
    <w:div w:id="911812936">
      <w:bodyDiv w:val="1"/>
      <w:marLeft w:val="0"/>
      <w:marRight w:val="0"/>
      <w:marTop w:val="0"/>
      <w:marBottom w:val="0"/>
      <w:divBdr>
        <w:top w:val="none" w:sz="0" w:space="0" w:color="auto"/>
        <w:left w:val="none" w:sz="0" w:space="0" w:color="auto"/>
        <w:bottom w:val="none" w:sz="0" w:space="0" w:color="auto"/>
        <w:right w:val="none" w:sz="0" w:space="0" w:color="auto"/>
      </w:divBdr>
    </w:div>
    <w:div w:id="1008408877">
      <w:bodyDiv w:val="1"/>
      <w:marLeft w:val="0"/>
      <w:marRight w:val="0"/>
      <w:marTop w:val="0"/>
      <w:marBottom w:val="0"/>
      <w:divBdr>
        <w:top w:val="none" w:sz="0" w:space="0" w:color="auto"/>
        <w:left w:val="none" w:sz="0" w:space="0" w:color="auto"/>
        <w:bottom w:val="none" w:sz="0" w:space="0" w:color="auto"/>
        <w:right w:val="none" w:sz="0" w:space="0" w:color="auto"/>
      </w:divBdr>
    </w:div>
    <w:div w:id="1012756734">
      <w:bodyDiv w:val="1"/>
      <w:marLeft w:val="0"/>
      <w:marRight w:val="0"/>
      <w:marTop w:val="0"/>
      <w:marBottom w:val="0"/>
      <w:divBdr>
        <w:top w:val="none" w:sz="0" w:space="0" w:color="auto"/>
        <w:left w:val="none" w:sz="0" w:space="0" w:color="auto"/>
        <w:bottom w:val="none" w:sz="0" w:space="0" w:color="auto"/>
        <w:right w:val="none" w:sz="0" w:space="0" w:color="auto"/>
      </w:divBdr>
    </w:div>
    <w:div w:id="1012875913">
      <w:bodyDiv w:val="1"/>
      <w:marLeft w:val="0"/>
      <w:marRight w:val="0"/>
      <w:marTop w:val="0"/>
      <w:marBottom w:val="0"/>
      <w:divBdr>
        <w:top w:val="none" w:sz="0" w:space="0" w:color="auto"/>
        <w:left w:val="none" w:sz="0" w:space="0" w:color="auto"/>
        <w:bottom w:val="none" w:sz="0" w:space="0" w:color="auto"/>
        <w:right w:val="none" w:sz="0" w:space="0" w:color="auto"/>
      </w:divBdr>
    </w:div>
    <w:div w:id="1029065366">
      <w:bodyDiv w:val="1"/>
      <w:marLeft w:val="0"/>
      <w:marRight w:val="0"/>
      <w:marTop w:val="0"/>
      <w:marBottom w:val="0"/>
      <w:divBdr>
        <w:top w:val="none" w:sz="0" w:space="0" w:color="auto"/>
        <w:left w:val="none" w:sz="0" w:space="0" w:color="auto"/>
        <w:bottom w:val="none" w:sz="0" w:space="0" w:color="auto"/>
        <w:right w:val="none" w:sz="0" w:space="0" w:color="auto"/>
      </w:divBdr>
    </w:div>
    <w:div w:id="1063912955">
      <w:bodyDiv w:val="1"/>
      <w:marLeft w:val="0"/>
      <w:marRight w:val="0"/>
      <w:marTop w:val="0"/>
      <w:marBottom w:val="0"/>
      <w:divBdr>
        <w:top w:val="none" w:sz="0" w:space="0" w:color="auto"/>
        <w:left w:val="none" w:sz="0" w:space="0" w:color="auto"/>
        <w:bottom w:val="none" w:sz="0" w:space="0" w:color="auto"/>
        <w:right w:val="none" w:sz="0" w:space="0" w:color="auto"/>
      </w:divBdr>
    </w:div>
    <w:div w:id="1067849411">
      <w:bodyDiv w:val="1"/>
      <w:marLeft w:val="0"/>
      <w:marRight w:val="0"/>
      <w:marTop w:val="0"/>
      <w:marBottom w:val="0"/>
      <w:divBdr>
        <w:top w:val="none" w:sz="0" w:space="0" w:color="auto"/>
        <w:left w:val="none" w:sz="0" w:space="0" w:color="auto"/>
        <w:bottom w:val="none" w:sz="0" w:space="0" w:color="auto"/>
        <w:right w:val="none" w:sz="0" w:space="0" w:color="auto"/>
      </w:divBdr>
    </w:div>
    <w:div w:id="1088422950">
      <w:bodyDiv w:val="1"/>
      <w:marLeft w:val="0"/>
      <w:marRight w:val="0"/>
      <w:marTop w:val="0"/>
      <w:marBottom w:val="0"/>
      <w:divBdr>
        <w:top w:val="none" w:sz="0" w:space="0" w:color="auto"/>
        <w:left w:val="none" w:sz="0" w:space="0" w:color="auto"/>
        <w:bottom w:val="none" w:sz="0" w:space="0" w:color="auto"/>
        <w:right w:val="none" w:sz="0" w:space="0" w:color="auto"/>
      </w:divBdr>
    </w:div>
    <w:div w:id="1196506670">
      <w:bodyDiv w:val="1"/>
      <w:marLeft w:val="0"/>
      <w:marRight w:val="0"/>
      <w:marTop w:val="0"/>
      <w:marBottom w:val="0"/>
      <w:divBdr>
        <w:top w:val="none" w:sz="0" w:space="0" w:color="auto"/>
        <w:left w:val="none" w:sz="0" w:space="0" w:color="auto"/>
        <w:bottom w:val="none" w:sz="0" w:space="0" w:color="auto"/>
        <w:right w:val="none" w:sz="0" w:space="0" w:color="auto"/>
      </w:divBdr>
    </w:div>
    <w:div w:id="1214124836">
      <w:bodyDiv w:val="1"/>
      <w:marLeft w:val="0"/>
      <w:marRight w:val="0"/>
      <w:marTop w:val="0"/>
      <w:marBottom w:val="0"/>
      <w:divBdr>
        <w:top w:val="none" w:sz="0" w:space="0" w:color="auto"/>
        <w:left w:val="none" w:sz="0" w:space="0" w:color="auto"/>
        <w:bottom w:val="none" w:sz="0" w:space="0" w:color="auto"/>
        <w:right w:val="none" w:sz="0" w:space="0" w:color="auto"/>
      </w:divBdr>
    </w:div>
    <w:div w:id="1257595825">
      <w:bodyDiv w:val="1"/>
      <w:marLeft w:val="0"/>
      <w:marRight w:val="0"/>
      <w:marTop w:val="0"/>
      <w:marBottom w:val="0"/>
      <w:divBdr>
        <w:top w:val="none" w:sz="0" w:space="0" w:color="auto"/>
        <w:left w:val="none" w:sz="0" w:space="0" w:color="auto"/>
        <w:bottom w:val="none" w:sz="0" w:space="0" w:color="auto"/>
        <w:right w:val="none" w:sz="0" w:space="0" w:color="auto"/>
      </w:divBdr>
    </w:div>
    <w:div w:id="1306085273">
      <w:bodyDiv w:val="1"/>
      <w:marLeft w:val="0"/>
      <w:marRight w:val="0"/>
      <w:marTop w:val="0"/>
      <w:marBottom w:val="0"/>
      <w:divBdr>
        <w:top w:val="none" w:sz="0" w:space="0" w:color="auto"/>
        <w:left w:val="none" w:sz="0" w:space="0" w:color="auto"/>
        <w:bottom w:val="none" w:sz="0" w:space="0" w:color="auto"/>
        <w:right w:val="none" w:sz="0" w:space="0" w:color="auto"/>
      </w:divBdr>
    </w:div>
    <w:div w:id="1316028681">
      <w:bodyDiv w:val="1"/>
      <w:marLeft w:val="0"/>
      <w:marRight w:val="0"/>
      <w:marTop w:val="0"/>
      <w:marBottom w:val="0"/>
      <w:divBdr>
        <w:top w:val="none" w:sz="0" w:space="0" w:color="auto"/>
        <w:left w:val="none" w:sz="0" w:space="0" w:color="auto"/>
        <w:bottom w:val="none" w:sz="0" w:space="0" w:color="auto"/>
        <w:right w:val="none" w:sz="0" w:space="0" w:color="auto"/>
      </w:divBdr>
    </w:div>
    <w:div w:id="1346786078">
      <w:bodyDiv w:val="1"/>
      <w:marLeft w:val="0"/>
      <w:marRight w:val="0"/>
      <w:marTop w:val="0"/>
      <w:marBottom w:val="0"/>
      <w:divBdr>
        <w:top w:val="none" w:sz="0" w:space="0" w:color="auto"/>
        <w:left w:val="none" w:sz="0" w:space="0" w:color="auto"/>
        <w:bottom w:val="none" w:sz="0" w:space="0" w:color="auto"/>
        <w:right w:val="none" w:sz="0" w:space="0" w:color="auto"/>
      </w:divBdr>
    </w:div>
    <w:div w:id="1386561434">
      <w:bodyDiv w:val="1"/>
      <w:marLeft w:val="0"/>
      <w:marRight w:val="0"/>
      <w:marTop w:val="0"/>
      <w:marBottom w:val="0"/>
      <w:divBdr>
        <w:top w:val="none" w:sz="0" w:space="0" w:color="auto"/>
        <w:left w:val="none" w:sz="0" w:space="0" w:color="auto"/>
        <w:bottom w:val="none" w:sz="0" w:space="0" w:color="auto"/>
        <w:right w:val="none" w:sz="0" w:space="0" w:color="auto"/>
      </w:divBdr>
    </w:div>
    <w:div w:id="1391807514">
      <w:bodyDiv w:val="1"/>
      <w:marLeft w:val="0"/>
      <w:marRight w:val="0"/>
      <w:marTop w:val="0"/>
      <w:marBottom w:val="0"/>
      <w:divBdr>
        <w:top w:val="none" w:sz="0" w:space="0" w:color="auto"/>
        <w:left w:val="none" w:sz="0" w:space="0" w:color="auto"/>
        <w:bottom w:val="none" w:sz="0" w:space="0" w:color="auto"/>
        <w:right w:val="none" w:sz="0" w:space="0" w:color="auto"/>
      </w:divBdr>
    </w:div>
    <w:div w:id="1468620025">
      <w:bodyDiv w:val="1"/>
      <w:marLeft w:val="0"/>
      <w:marRight w:val="0"/>
      <w:marTop w:val="0"/>
      <w:marBottom w:val="0"/>
      <w:divBdr>
        <w:top w:val="none" w:sz="0" w:space="0" w:color="auto"/>
        <w:left w:val="none" w:sz="0" w:space="0" w:color="auto"/>
        <w:bottom w:val="none" w:sz="0" w:space="0" w:color="auto"/>
        <w:right w:val="none" w:sz="0" w:space="0" w:color="auto"/>
      </w:divBdr>
    </w:div>
    <w:div w:id="1488548013">
      <w:bodyDiv w:val="1"/>
      <w:marLeft w:val="0"/>
      <w:marRight w:val="0"/>
      <w:marTop w:val="0"/>
      <w:marBottom w:val="0"/>
      <w:divBdr>
        <w:top w:val="none" w:sz="0" w:space="0" w:color="auto"/>
        <w:left w:val="none" w:sz="0" w:space="0" w:color="auto"/>
        <w:bottom w:val="none" w:sz="0" w:space="0" w:color="auto"/>
        <w:right w:val="none" w:sz="0" w:space="0" w:color="auto"/>
      </w:divBdr>
    </w:div>
    <w:div w:id="1604650545">
      <w:bodyDiv w:val="1"/>
      <w:marLeft w:val="0"/>
      <w:marRight w:val="0"/>
      <w:marTop w:val="0"/>
      <w:marBottom w:val="0"/>
      <w:divBdr>
        <w:top w:val="none" w:sz="0" w:space="0" w:color="auto"/>
        <w:left w:val="none" w:sz="0" w:space="0" w:color="auto"/>
        <w:bottom w:val="none" w:sz="0" w:space="0" w:color="auto"/>
        <w:right w:val="none" w:sz="0" w:space="0" w:color="auto"/>
      </w:divBdr>
    </w:div>
    <w:div w:id="1615674850">
      <w:bodyDiv w:val="1"/>
      <w:marLeft w:val="0"/>
      <w:marRight w:val="0"/>
      <w:marTop w:val="0"/>
      <w:marBottom w:val="0"/>
      <w:divBdr>
        <w:top w:val="none" w:sz="0" w:space="0" w:color="auto"/>
        <w:left w:val="none" w:sz="0" w:space="0" w:color="auto"/>
        <w:bottom w:val="none" w:sz="0" w:space="0" w:color="auto"/>
        <w:right w:val="none" w:sz="0" w:space="0" w:color="auto"/>
      </w:divBdr>
    </w:div>
    <w:div w:id="1656764006">
      <w:bodyDiv w:val="1"/>
      <w:marLeft w:val="0"/>
      <w:marRight w:val="0"/>
      <w:marTop w:val="0"/>
      <w:marBottom w:val="0"/>
      <w:divBdr>
        <w:top w:val="none" w:sz="0" w:space="0" w:color="auto"/>
        <w:left w:val="none" w:sz="0" w:space="0" w:color="auto"/>
        <w:bottom w:val="none" w:sz="0" w:space="0" w:color="auto"/>
        <w:right w:val="none" w:sz="0" w:space="0" w:color="auto"/>
      </w:divBdr>
    </w:div>
    <w:div w:id="1685285310">
      <w:bodyDiv w:val="1"/>
      <w:marLeft w:val="0"/>
      <w:marRight w:val="0"/>
      <w:marTop w:val="0"/>
      <w:marBottom w:val="0"/>
      <w:divBdr>
        <w:top w:val="none" w:sz="0" w:space="0" w:color="auto"/>
        <w:left w:val="none" w:sz="0" w:space="0" w:color="auto"/>
        <w:bottom w:val="none" w:sz="0" w:space="0" w:color="auto"/>
        <w:right w:val="none" w:sz="0" w:space="0" w:color="auto"/>
      </w:divBdr>
    </w:div>
    <w:div w:id="1702823442">
      <w:bodyDiv w:val="1"/>
      <w:marLeft w:val="0"/>
      <w:marRight w:val="0"/>
      <w:marTop w:val="0"/>
      <w:marBottom w:val="0"/>
      <w:divBdr>
        <w:top w:val="none" w:sz="0" w:space="0" w:color="auto"/>
        <w:left w:val="none" w:sz="0" w:space="0" w:color="auto"/>
        <w:bottom w:val="none" w:sz="0" w:space="0" w:color="auto"/>
        <w:right w:val="none" w:sz="0" w:space="0" w:color="auto"/>
      </w:divBdr>
    </w:div>
    <w:div w:id="1840778457">
      <w:bodyDiv w:val="1"/>
      <w:marLeft w:val="0"/>
      <w:marRight w:val="0"/>
      <w:marTop w:val="0"/>
      <w:marBottom w:val="0"/>
      <w:divBdr>
        <w:top w:val="none" w:sz="0" w:space="0" w:color="auto"/>
        <w:left w:val="none" w:sz="0" w:space="0" w:color="auto"/>
        <w:bottom w:val="none" w:sz="0" w:space="0" w:color="auto"/>
        <w:right w:val="none" w:sz="0" w:space="0" w:color="auto"/>
      </w:divBdr>
    </w:div>
    <w:div w:id="1856923881">
      <w:bodyDiv w:val="1"/>
      <w:marLeft w:val="0"/>
      <w:marRight w:val="0"/>
      <w:marTop w:val="0"/>
      <w:marBottom w:val="0"/>
      <w:divBdr>
        <w:top w:val="none" w:sz="0" w:space="0" w:color="auto"/>
        <w:left w:val="none" w:sz="0" w:space="0" w:color="auto"/>
        <w:bottom w:val="none" w:sz="0" w:space="0" w:color="auto"/>
        <w:right w:val="none" w:sz="0" w:space="0" w:color="auto"/>
      </w:divBdr>
    </w:div>
    <w:div w:id="1860587277">
      <w:bodyDiv w:val="1"/>
      <w:marLeft w:val="0"/>
      <w:marRight w:val="0"/>
      <w:marTop w:val="0"/>
      <w:marBottom w:val="0"/>
      <w:divBdr>
        <w:top w:val="none" w:sz="0" w:space="0" w:color="auto"/>
        <w:left w:val="none" w:sz="0" w:space="0" w:color="auto"/>
        <w:bottom w:val="none" w:sz="0" w:space="0" w:color="auto"/>
        <w:right w:val="none" w:sz="0" w:space="0" w:color="auto"/>
      </w:divBdr>
    </w:div>
    <w:div w:id="1861166717">
      <w:bodyDiv w:val="1"/>
      <w:marLeft w:val="0"/>
      <w:marRight w:val="0"/>
      <w:marTop w:val="0"/>
      <w:marBottom w:val="0"/>
      <w:divBdr>
        <w:top w:val="none" w:sz="0" w:space="0" w:color="auto"/>
        <w:left w:val="none" w:sz="0" w:space="0" w:color="auto"/>
        <w:bottom w:val="none" w:sz="0" w:space="0" w:color="auto"/>
        <w:right w:val="none" w:sz="0" w:space="0" w:color="auto"/>
      </w:divBdr>
    </w:div>
    <w:div w:id="1922517165">
      <w:bodyDiv w:val="1"/>
      <w:marLeft w:val="0"/>
      <w:marRight w:val="0"/>
      <w:marTop w:val="0"/>
      <w:marBottom w:val="0"/>
      <w:divBdr>
        <w:top w:val="none" w:sz="0" w:space="0" w:color="auto"/>
        <w:left w:val="none" w:sz="0" w:space="0" w:color="auto"/>
        <w:bottom w:val="none" w:sz="0" w:space="0" w:color="auto"/>
        <w:right w:val="none" w:sz="0" w:space="0" w:color="auto"/>
      </w:divBdr>
    </w:div>
    <w:div w:id="1958024652">
      <w:bodyDiv w:val="1"/>
      <w:marLeft w:val="0"/>
      <w:marRight w:val="0"/>
      <w:marTop w:val="0"/>
      <w:marBottom w:val="0"/>
      <w:divBdr>
        <w:top w:val="none" w:sz="0" w:space="0" w:color="auto"/>
        <w:left w:val="none" w:sz="0" w:space="0" w:color="auto"/>
        <w:bottom w:val="none" w:sz="0" w:space="0" w:color="auto"/>
        <w:right w:val="none" w:sz="0" w:space="0" w:color="auto"/>
      </w:divBdr>
    </w:div>
    <w:div w:id="1972009346">
      <w:bodyDiv w:val="1"/>
      <w:marLeft w:val="0"/>
      <w:marRight w:val="0"/>
      <w:marTop w:val="0"/>
      <w:marBottom w:val="0"/>
      <w:divBdr>
        <w:top w:val="none" w:sz="0" w:space="0" w:color="auto"/>
        <w:left w:val="none" w:sz="0" w:space="0" w:color="auto"/>
        <w:bottom w:val="none" w:sz="0" w:space="0" w:color="auto"/>
        <w:right w:val="none" w:sz="0" w:space="0" w:color="auto"/>
      </w:divBdr>
    </w:div>
    <w:div w:id="1975326732">
      <w:bodyDiv w:val="1"/>
      <w:marLeft w:val="0"/>
      <w:marRight w:val="0"/>
      <w:marTop w:val="0"/>
      <w:marBottom w:val="0"/>
      <w:divBdr>
        <w:top w:val="none" w:sz="0" w:space="0" w:color="auto"/>
        <w:left w:val="none" w:sz="0" w:space="0" w:color="auto"/>
        <w:bottom w:val="none" w:sz="0" w:space="0" w:color="auto"/>
        <w:right w:val="none" w:sz="0" w:space="0" w:color="auto"/>
      </w:divBdr>
    </w:div>
    <w:div w:id="2056848210">
      <w:bodyDiv w:val="1"/>
      <w:marLeft w:val="0"/>
      <w:marRight w:val="0"/>
      <w:marTop w:val="0"/>
      <w:marBottom w:val="0"/>
      <w:divBdr>
        <w:top w:val="none" w:sz="0" w:space="0" w:color="auto"/>
        <w:left w:val="none" w:sz="0" w:space="0" w:color="auto"/>
        <w:bottom w:val="none" w:sz="0" w:space="0" w:color="auto"/>
        <w:right w:val="none" w:sz="0" w:space="0" w:color="auto"/>
      </w:divBdr>
    </w:div>
    <w:div w:id="2088113395">
      <w:bodyDiv w:val="1"/>
      <w:marLeft w:val="0"/>
      <w:marRight w:val="0"/>
      <w:marTop w:val="0"/>
      <w:marBottom w:val="0"/>
      <w:divBdr>
        <w:top w:val="none" w:sz="0" w:space="0" w:color="auto"/>
        <w:left w:val="none" w:sz="0" w:space="0" w:color="auto"/>
        <w:bottom w:val="none" w:sz="0" w:space="0" w:color="auto"/>
        <w:right w:val="none" w:sz="0" w:space="0" w:color="auto"/>
      </w:divBdr>
    </w:div>
    <w:div w:id="2138403877">
      <w:bodyDiv w:val="1"/>
      <w:marLeft w:val="0"/>
      <w:marRight w:val="0"/>
      <w:marTop w:val="0"/>
      <w:marBottom w:val="0"/>
      <w:divBdr>
        <w:top w:val="none" w:sz="0" w:space="0" w:color="auto"/>
        <w:left w:val="none" w:sz="0" w:space="0" w:color="auto"/>
        <w:bottom w:val="none" w:sz="0" w:space="0" w:color="auto"/>
        <w:right w:val="none" w:sz="0" w:space="0" w:color="auto"/>
      </w:divBdr>
      <w:divsChild>
        <w:div w:id="227350890">
          <w:marLeft w:val="0"/>
          <w:marRight w:val="0"/>
          <w:marTop w:val="0"/>
          <w:marBottom w:val="0"/>
          <w:divBdr>
            <w:top w:val="none" w:sz="0" w:space="0" w:color="auto"/>
            <w:left w:val="none" w:sz="0" w:space="0" w:color="auto"/>
            <w:bottom w:val="none" w:sz="0" w:space="0" w:color="auto"/>
            <w:right w:val="none" w:sz="0" w:space="0" w:color="auto"/>
          </w:divBdr>
          <w:divsChild>
            <w:div w:id="1070734642">
              <w:marLeft w:val="0"/>
              <w:marRight w:val="0"/>
              <w:marTop w:val="0"/>
              <w:marBottom w:val="0"/>
              <w:divBdr>
                <w:top w:val="none" w:sz="0" w:space="0" w:color="auto"/>
                <w:left w:val="none" w:sz="0" w:space="0" w:color="auto"/>
                <w:bottom w:val="none" w:sz="0" w:space="0" w:color="auto"/>
                <w:right w:val="none" w:sz="0" w:space="0" w:color="auto"/>
              </w:divBdr>
              <w:divsChild>
                <w:div w:id="1138954249">
                  <w:marLeft w:val="0"/>
                  <w:marRight w:val="0"/>
                  <w:marTop w:val="0"/>
                  <w:marBottom w:val="0"/>
                  <w:divBdr>
                    <w:top w:val="none" w:sz="0" w:space="0" w:color="auto"/>
                    <w:left w:val="none" w:sz="0" w:space="0" w:color="auto"/>
                    <w:bottom w:val="none" w:sz="0" w:space="0" w:color="auto"/>
                    <w:right w:val="none" w:sz="0" w:space="0" w:color="auto"/>
                  </w:divBdr>
                  <w:divsChild>
                    <w:div w:id="1918511832">
                      <w:marLeft w:val="0"/>
                      <w:marRight w:val="0"/>
                      <w:marTop w:val="0"/>
                      <w:marBottom w:val="0"/>
                      <w:divBdr>
                        <w:top w:val="none" w:sz="0" w:space="0" w:color="auto"/>
                        <w:left w:val="none" w:sz="0" w:space="0" w:color="auto"/>
                        <w:bottom w:val="none" w:sz="0" w:space="0" w:color="auto"/>
                        <w:right w:val="none" w:sz="0" w:space="0" w:color="auto"/>
                      </w:divBdr>
                      <w:divsChild>
                        <w:div w:id="837816978">
                          <w:marLeft w:val="0"/>
                          <w:marRight w:val="0"/>
                          <w:marTop w:val="0"/>
                          <w:marBottom w:val="0"/>
                          <w:divBdr>
                            <w:top w:val="none" w:sz="0" w:space="0" w:color="auto"/>
                            <w:left w:val="none" w:sz="0" w:space="0" w:color="auto"/>
                            <w:bottom w:val="none" w:sz="0" w:space="0" w:color="auto"/>
                            <w:right w:val="none" w:sz="0" w:space="0" w:color="auto"/>
                          </w:divBdr>
                          <w:divsChild>
                            <w:div w:id="1388920180">
                              <w:marLeft w:val="0"/>
                              <w:marRight w:val="0"/>
                              <w:marTop w:val="0"/>
                              <w:marBottom w:val="0"/>
                              <w:divBdr>
                                <w:top w:val="none" w:sz="0" w:space="0" w:color="auto"/>
                                <w:left w:val="none" w:sz="0" w:space="0" w:color="auto"/>
                                <w:bottom w:val="none" w:sz="0" w:space="0" w:color="auto"/>
                                <w:right w:val="none" w:sz="0" w:space="0" w:color="auto"/>
                              </w:divBdr>
                              <w:divsChild>
                                <w:div w:id="211636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ims.gov.uk\data\DH\Leeds\QHO\NW027\PPRT\DCVA\Ambulance%20return\Publication\2015-16%20Data\G%20Dec%2010%20pub\Working%20Files\www.england.nhs.uk\statistics\statistical-work-areas\ambulance-quality-indicators\ambulance-quality-indicators-data-2014-15" TargetMode="External"/><Relationship Id="rId18" Type="http://schemas.openxmlformats.org/officeDocument/2006/relationships/image" Target="media/image7.png"/><Relationship Id="rId26" Type="http://schemas.openxmlformats.org/officeDocument/2006/relationships/hyperlink" Target="http://wales.gov.uk/statistics-and-research/ambulance-services/?lang=en" TargetMode="External"/><Relationship Id="rId3" Type="http://schemas.openxmlformats.org/officeDocument/2006/relationships/styles" Target="styles.xml"/><Relationship Id="rId21" Type="http://schemas.openxmlformats.org/officeDocument/2006/relationships/hyperlink" Target="http://bit.ly/NHSAQI"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england.nhs.uk/south/our-work/ind-invest-reports" TargetMode="External"/><Relationship Id="rId17" Type="http://schemas.openxmlformats.org/officeDocument/2006/relationships/image" Target="media/image6.png"/><Relationship Id="rId25" Type="http://schemas.openxmlformats.org/officeDocument/2006/relationships/hyperlink" Target="http://www.england.nhs.uk/statistics/statistical-work-areas/winter-daily-sitrep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www.england.nhs.uk/statistics/statistical-work-areas/ambulance-quality-indicators" TargetMode="External"/><Relationship Id="rId29" Type="http://schemas.openxmlformats.org/officeDocument/2006/relationships/hyperlink" Target="mailto:nhsengland.media@nhs.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t.ly/NHSAQI" TargetMode="External"/><Relationship Id="rId24" Type="http://schemas.openxmlformats.org/officeDocument/2006/relationships/hyperlink" Target="http://www.hscic.gov.uk/article/2021/Website-Search?q=ambulance+-accident&amp;sort=Title"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yperlink" Target="http://aace.org.uk/national-performance/national-clinical-dashboards" TargetMode="External"/><Relationship Id="rId28" Type="http://schemas.openxmlformats.org/officeDocument/2006/relationships/hyperlink" Target="http://www.dhsspsni.gov.uk/index/statistics/hospital/emergency-care/ambulance-statistics.htm" TargetMode="External"/><Relationship Id="rId10" Type="http://schemas.openxmlformats.org/officeDocument/2006/relationships/image" Target="media/image2.png"/><Relationship Id="rId19" Type="http://schemas.openxmlformats.org/officeDocument/2006/relationships/image" Target="media/image8.png"/><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yperlink" Target="http://www.gov.uk/government/statistics/announcements" TargetMode="External"/><Relationship Id="rId27" Type="http://schemas.openxmlformats.org/officeDocument/2006/relationships/hyperlink" Target="http://www.scottishambulance.com/TheService/BoardPapers.aspx" TargetMode="External"/><Relationship Id="rId30" Type="http://schemas.openxmlformats.org/officeDocument/2006/relationships/hyperlink" Target="mailto:i.kay@nhs.ne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parliament.uk/business/publications/written-questions-answers-statements/written-statement/Commons/2015-01-16/HCWS201" TargetMode="External"/><Relationship Id="rId7" Type="http://schemas.openxmlformats.org/officeDocument/2006/relationships/hyperlink" Target="http://www.england.nhs.uk/statistics/statistical-work-areas/ambulance-quality-indicators" TargetMode="External"/><Relationship Id="rId2" Type="http://schemas.openxmlformats.org/officeDocument/2006/relationships/hyperlink" Target="http://www.gov.uk/government/news/changes-to-ambulance-response-time-categories" TargetMode="External"/><Relationship Id="rId1" Type="http://schemas.openxmlformats.org/officeDocument/2006/relationships/hyperlink" Target="http://www.gov.uk/government/publications/the-nhs-constitution-for-england" TargetMode="External"/><Relationship Id="rId6" Type="http://schemas.openxmlformats.org/officeDocument/2006/relationships/hyperlink" Target="http://circ.ahajournals.org/content/84/2/960.citation" TargetMode="External"/><Relationship Id="rId5" Type="http://schemas.openxmlformats.org/officeDocument/2006/relationships/hyperlink" Target="http://www.datadictionary.nhs.uk/data_dictionary/attributes/a/acc/accident_and_emergency_department_type_de.asp" TargetMode="External"/><Relationship Id="rId4" Type="http://schemas.openxmlformats.org/officeDocument/2006/relationships/hyperlink" Target="http://www.datadictionary.nhs.uk/data_dictionary/attributes/a/acc/accident_and_emergency_department_type_de.as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5F5D2-8F44-4DB1-8CE0-4E381733C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2755</Words>
  <Characters>16451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RESTRICTED – STATISTICS</vt:lpstr>
    </vt:vector>
  </TitlesOfParts>
  <Company>Department of Health</Company>
  <LinksUpToDate>false</LinksUpToDate>
  <CharactersWithSpaces>19168</CharactersWithSpaces>
  <SharedDoc>false</SharedDoc>
  <HLinks>
    <vt:vector size="54" baseType="variant">
      <vt:variant>
        <vt:i4>1769557</vt:i4>
      </vt:variant>
      <vt:variant>
        <vt:i4>24</vt:i4>
      </vt:variant>
      <vt:variant>
        <vt:i4>0</vt:i4>
      </vt:variant>
      <vt:variant>
        <vt:i4>5</vt:i4>
      </vt:variant>
      <vt:variant>
        <vt:lpwstr>http://www.england.nhs.uk/statistics/statistical-work-areas/ambulance-quality-indicators/</vt:lpwstr>
      </vt:variant>
      <vt:variant>
        <vt:lpwstr/>
      </vt:variant>
      <vt:variant>
        <vt:i4>655484</vt:i4>
      </vt:variant>
      <vt:variant>
        <vt:i4>21</vt:i4>
      </vt:variant>
      <vt:variant>
        <vt:i4>0</vt:i4>
      </vt:variant>
      <vt:variant>
        <vt:i4>5</vt:i4>
      </vt:variant>
      <vt:variant>
        <vt:lpwstr>http://www.niamb.co.uk/docs/corporate_info.html</vt:lpwstr>
      </vt:variant>
      <vt:variant>
        <vt:lpwstr/>
      </vt:variant>
      <vt:variant>
        <vt:i4>4391003</vt:i4>
      </vt:variant>
      <vt:variant>
        <vt:i4>18</vt:i4>
      </vt:variant>
      <vt:variant>
        <vt:i4>0</vt:i4>
      </vt:variant>
      <vt:variant>
        <vt:i4>5</vt:i4>
      </vt:variant>
      <vt:variant>
        <vt:lpwstr>http://www.scottishambulance.com/Performance/Default.aspx</vt:lpwstr>
      </vt:variant>
      <vt:variant>
        <vt:lpwstr/>
      </vt:variant>
      <vt:variant>
        <vt:i4>3145835</vt:i4>
      </vt:variant>
      <vt:variant>
        <vt:i4>15</vt:i4>
      </vt:variant>
      <vt:variant>
        <vt:i4>0</vt:i4>
      </vt:variant>
      <vt:variant>
        <vt:i4>5</vt:i4>
      </vt:variant>
      <vt:variant>
        <vt:lpwstr>http://wales.gov.uk/topics/statistics/headlines/health2012/120307/?lang=en</vt:lpwstr>
      </vt:variant>
      <vt:variant>
        <vt:lpwstr/>
      </vt:variant>
      <vt:variant>
        <vt:i4>8061018</vt:i4>
      </vt:variant>
      <vt:variant>
        <vt:i4>12</vt:i4>
      </vt:variant>
      <vt:variant>
        <vt:i4>0</vt:i4>
      </vt:variant>
      <vt:variant>
        <vt:i4>5</vt:i4>
      </vt:variant>
      <vt:variant>
        <vt:lpwstr>http://www.dh.gov.uk/en/Publicationsandstatistics/Statistics/Performanced ataandstatistics/WeeklySituationReports/DH_128506</vt:lpwstr>
      </vt:variant>
      <vt:variant>
        <vt:lpwstr/>
      </vt:variant>
      <vt:variant>
        <vt:i4>5570582</vt:i4>
      </vt:variant>
      <vt:variant>
        <vt:i4>9</vt:i4>
      </vt:variant>
      <vt:variant>
        <vt:i4>0</vt:i4>
      </vt:variant>
      <vt:variant>
        <vt:i4>5</vt:i4>
      </vt:variant>
      <vt:variant>
        <vt:lpwstr>http://www.england.nhs.uk/statistics/code-compliance/</vt:lpwstr>
      </vt:variant>
      <vt:variant>
        <vt:lpwstr/>
      </vt:variant>
      <vt:variant>
        <vt:i4>2162801</vt:i4>
      </vt:variant>
      <vt:variant>
        <vt:i4>6</vt:i4>
      </vt:variant>
      <vt:variant>
        <vt:i4>0</vt:i4>
      </vt:variant>
      <vt:variant>
        <vt:i4>5</vt:i4>
      </vt:variant>
      <vt:variant>
        <vt:lpwstr>http://www.england.nhs.uk/statistics/ambulance-quality-indicators/</vt:lpwstr>
      </vt:variant>
      <vt:variant>
        <vt:lpwstr/>
      </vt:variant>
      <vt:variant>
        <vt:i4>2097272</vt:i4>
      </vt:variant>
      <vt:variant>
        <vt:i4>3</vt:i4>
      </vt:variant>
      <vt:variant>
        <vt:i4>0</vt:i4>
      </vt:variant>
      <vt:variant>
        <vt:i4>5</vt:i4>
      </vt:variant>
      <vt:variant>
        <vt:lpwstr>http://www.england.nhs.uk/statistics/statistical-work-areas/ambulance-quality-indicators/ambulance-quality-indicators-data-2013-14/</vt:lpwstr>
      </vt:variant>
      <vt:variant>
        <vt:lpwstr/>
      </vt:variant>
      <vt:variant>
        <vt:i4>2097272</vt:i4>
      </vt:variant>
      <vt:variant>
        <vt:i4>0</vt:i4>
      </vt:variant>
      <vt:variant>
        <vt:i4>0</vt:i4>
      </vt:variant>
      <vt:variant>
        <vt:i4>5</vt:i4>
      </vt:variant>
      <vt:variant>
        <vt:lpwstr>http://www.england.nhs.uk/statistics/statistical-work-areas/ambulance-quality-indicators/ambulance-quality-indicators-data-2013-14/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RESTRICTED – STATISTICS</dc:title>
  <dc:creator>Ian Kay</dc:creator>
  <cp:lastModifiedBy>James Thomas</cp:lastModifiedBy>
  <cp:revision>3</cp:revision>
  <cp:lastPrinted>2015-12-07T12:17:00Z</cp:lastPrinted>
  <dcterms:created xsi:type="dcterms:W3CDTF">2015-12-09T08:21:00Z</dcterms:created>
  <dcterms:modified xsi:type="dcterms:W3CDTF">2015-12-09T08:51:00Z</dcterms:modified>
</cp:coreProperties>
</file>