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r>
        <w:t xml:space="preserve">Statistical Note: </w:t>
      </w:r>
      <w:r w:rsidR="00340492" w:rsidRPr="007A138E">
        <w:t>Ambulance Quality Indicators</w:t>
      </w:r>
      <w:r w:rsidR="002C522F">
        <w:t xml:space="preserve"> (AQI</w:t>
      </w:r>
      <w:r w:rsidR="00DC4BF3">
        <w:t>)</w:t>
      </w:r>
    </w:p>
    <w:p w:rsidR="004653C9" w:rsidRDefault="0058750D" w:rsidP="00CD624A">
      <w:pPr>
        <w:pStyle w:val="ListParagraph"/>
        <w:numPr>
          <w:ilvl w:val="0"/>
          <w:numId w:val="18"/>
        </w:numPr>
      </w:pPr>
      <w:r>
        <w:t xml:space="preserve">The latest </w:t>
      </w:r>
      <w:r w:rsidR="000F5FB4">
        <w:t xml:space="preserve">Systems Indicators </w:t>
      </w:r>
      <w:r w:rsidR="00BE2594">
        <w:t xml:space="preserve">for </w:t>
      </w:r>
      <w:r w:rsidR="00A520B5">
        <w:t>December</w:t>
      </w:r>
      <w:r w:rsidR="00F31DC0">
        <w:t xml:space="preserve"> </w:t>
      </w:r>
      <w:r w:rsidR="005A6A3C">
        <w:t xml:space="preserve">2015 for </w:t>
      </w:r>
      <w:r w:rsidR="00BE2594">
        <w:t>Ambulance Services in England</w:t>
      </w:r>
      <w:r w:rsidR="008A7838">
        <w:t xml:space="preserve"> </w:t>
      </w:r>
      <w:r w:rsidR="00B947D5">
        <w:t xml:space="preserve">showed </w:t>
      </w:r>
      <w:r w:rsidR="00360AFD">
        <w:t xml:space="preserve">the </w:t>
      </w:r>
      <w:r w:rsidR="00FA13CC">
        <w:t>standards</w:t>
      </w:r>
      <w:r w:rsidR="00892F48" w:rsidRPr="00892F48">
        <w:t xml:space="preserve"> </w:t>
      </w:r>
      <w:r w:rsidR="00FF749A">
        <w:t>in the Handbook</w:t>
      </w:r>
      <w:r w:rsidR="00FF749A" w:rsidRPr="00A15B5A">
        <w:rPr>
          <w:vertAlign w:val="superscript"/>
        </w:rPr>
        <w:footnoteReference w:id="1"/>
      </w:r>
      <w:r w:rsidR="00892F48">
        <w:t xml:space="preserve"> to the NHS constitution</w:t>
      </w:r>
      <w:r w:rsidR="00B274C6" w:rsidRPr="00B274C6">
        <w:t xml:space="preserve"> </w:t>
      </w:r>
      <w:r w:rsidR="00E47A4B">
        <w:t>we</w:t>
      </w:r>
      <w:r w:rsidR="00FA13CC">
        <w:t>re not met</w:t>
      </w:r>
      <w:r w:rsidR="003F040F">
        <w:t xml:space="preserve">. </w:t>
      </w:r>
      <w:r w:rsidR="00CD624A">
        <w:t>T</w:t>
      </w:r>
      <w:r w:rsidR="003F040F">
        <w:t>he proportion</w:t>
      </w:r>
      <w:r w:rsidR="003F040F" w:rsidRPr="003C63FF">
        <w:t xml:space="preserve"> of incidents managed without need for transport to Accident and Emergency department</w:t>
      </w:r>
      <w:r w:rsidR="003F040F">
        <w:t xml:space="preserve"> was also the highest since April 2011.</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C64DAF" w:rsidRDefault="00526112" w:rsidP="00513897">
      <w:r>
        <w:t>In</w:t>
      </w:r>
      <w:r w:rsidR="00AA7926">
        <w:t xml:space="preserve"> </w:t>
      </w:r>
      <w:r w:rsidR="003C63FF">
        <w:t>December</w:t>
      </w:r>
      <w:r w:rsidR="00AE0B3F">
        <w:t xml:space="preserve"> </w:t>
      </w:r>
      <w:r w:rsidR="00F10AC3" w:rsidRPr="00F10AC3">
        <w:t>2015</w:t>
      </w:r>
      <w:r>
        <w:t xml:space="preserve">, </w:t>
      </w:r>
      <w:r w:rsidR="004C377A" w:rsidRPr="00513897">
        <w:t>of Category</w:t>
      </w:r>
      <w:r w:rsidR="0090527D" w:rsidRPr="00513897">
        <w:rPr>
          <w:rStyle w:val="FootnoteReference"/>
          <w:rFonts w:cs="Arial"/>
        </w:rPr>
        <w:footnoteReference w:id="2"/>
      </w:r>
      <w:r w:rsidR="00A07542">
        <w:t xml:space="preserve"> </w:t>
      </w:r>
      <w:r w:rsidR="008D50FB" w:rsidRPr="00513897">
        <w:t>A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was </w:t>
      </w:r>
      <w:r w:rsidR="003C63FF">
        <w:t>72</w:t>
      </w:r>
      <w:r w:rsidR="00AE0B3F">
        <w:t>.</w:t>
      </w:r>
      <w:r w:rsidR="003C63FF">
        <w:t>6</w:t>
      </w:r>
      <w:r w:rsidR="00F3075C" w:rsidRPr="00F3075C">
        <w:t>%</w:t>
      </w:r>
      <w:r w:rsidR="00E6125B">
        <w:t>.</w:t>
      </w:r>
    </w:p>
    <w:p w:rsidR="00E924D4" w:rsidRDefault="00526112" w:rsidP="00513897">
      <w:r>
        <w:t xml:space="preserve">In </w:t>
      </w:r>
      <w:r w:rsidR="003C63FF">
        <w:t>December</w:t>
      </w:r>
      <w:r w:rsidR="00EF5E02">
        <w:t xml:space="preserve"> </w:t>
      </w:r>
      <w:r w:rsidR="00F10AC3" w:rsidRPr="00F10AC3">
        <w:t>2015</w:t>
      </w:r>
      <w:r>
        <w:t xml:space="preserve">, </w:t>
      </w:r>
      <w:r w:rsidR="00513897" w:rsidRPr="00513897">
        <w:t>of Category</w:t>
      </w:r>
      <w:r w:rsidR="00A15B5A" w:rsidRPr="00A15B5A">
        <w:rPr>
          <w:vertAlign w:val="superscript"/>
        </w:rPr>
        <w:t>2</w:t>
      </w:r>
      <w:r w:rsidR="00513897" w:rsidRPr="00513897">
        <w:t xml:space="preserve">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3C63FF">
        <w:t>67.2</w:t>
      </w:r>
      <w:r w:rsidR="001A399C">
        <w:t>%</w:t>
      </w:r>
      <w:r w:rsidR="00E924D4">
        <w:t>.</w:t>
      </w:r>
    </w:p>
    <w:p w:rsidR="005D6413" w:rsidRDefault="00F3075C" w:rsidP="001D4F10">
      <w:r>
        <w:t>Red 2 data from</w:t>
      </w:r>
      <w:r w:rsidR="00E53117">
        <w:t xml:space="preserve"> </w:t>
      </w:r>
      <w:r w:rsidR="00B947D5">
        <w:t xml:space="preserve">February </w:t>
      </w:r>
      <w:r w:rsidR="001D4F10">
        <w:t xml:space="preserve">2015 </w:t>
      </w:r>
      <w:r w:rsidR="00FE438D">
        <w:t xml:space="preserve">onwards </w:t>
      </w:r>
      <w:r w:rsidR="001D4F10">
        <w:t xml:space="preserve">are not completely comparable </w:t>
      </w:r>
      <w:r w:rsidR="00620FE6">
        <w:t xml:space="preserve">across </w:t>
      </w:r>
      <w:r w:rsidR="001D4F10">
        <w:t>England</w:t>
      </w:r>
      <w:r w:rsidR="00620FE6">
        <w:t>; see section A2 on Dispatch on Disposition</w:t>
      </w:r>
      <w:r w:rsidR="00E6125B">
        <w:t>.</w:t>
      </w:r>
    </w:p>
    <w:p w:rsidR="00266D58" w:rsidRDefault="00586B8E" w:rsidP="001D4F10">
      <w:r>
        <w:rPr>
          <w:noProof/>
        </w:rPr>
        <w:drawing>
          <wp:inline distT="0" distB="0" distL="0" distR="0" wp14:anchorId="732E4C63">
            <wp:extent cx="5639435" cy="3286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9435" cy="3286125"/>
                    </a:xfrm>
                    <a:prstGeom prst="rect">
                      <a:avLst/>
                    </a:prstGeom>
                    <a:noFill/>
                  </pic:spPr>
                </pic:pic>
              </a:graphicData>
            </a:graphic>
          </wp:inline>
        </w:drawing>
      </w:r>
    </w:p>
    <w:p w:rsidR="005D0BE3" w:rsidRDefault="008076E2" w:rsidP="00065771">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A</w:t>
      </w:r>
      <w:r w:rsidRPr="00E924D4">
        <w:t xml:space="preserve"> </w:t>
      </w:r>
      <w:r w:rsidRPr="00513897">
        <w:t>calls</w:t>
      </w:r>
      <w:r>
        <w:t>. Figure 1 shows that for England,</w:t>
      </w:r>
      <w:r w:rsidR="0096283E">
        <w:t xml:space="preserve"> </w:t>
      </w:r>
      <w:r w:rsidR="002956C9">
        <w:t>Red 1</w:t>
      </w:r>
      <w:r w:rsidR="0096283E">
        <w:t xml:space="preserve"> </w:t>
      </w:r>
      <w:r w:rsidR="002350ED">
        <w:t xml:space="preserve">performance </w:t>
      </w:r>
      <w:r w:rsidR="008961C1">
        <w:t>increase</w:t>
      </w:r>
      <w:r w:rsidR="0046460A">
        <w:t xml:space="preserve">d </w:t>
      </w:r>
      <w:r w:rsidR="0046460A" w:rsidRPr="007310F1">
        <w:t xml:space="preserve">to </w:t>
      </w:r>
      <w:r w:rsidR="008961C1">
        <w:t>72.6% in December 2015 although it has</w:t>
      </w:r>
      <w:r w:rsidR="00B370F1">
        <w:t xml:space="preserve"> been</w:t>
      </w:r>
      <w:r w:rsidR="002350ED">
        <w:t xml:space="preserve"> below </w:t>
      </w:r>
      <w:r w:rsidR="0038780E">
        <w:t xml:space="preserve">75% </w:t>
      </w:r>
      <w:r w:rsidR="008961C1">
        <w:t>for the past seven</w:t>
      </w:r>
      <w:r w:rsidR="00426EE4">
        <w:t xml:space="preserve"> </w:t>
      </w:r>
      <w:r w:rsidR="002350ED">
        <w:t>months</w:t>
      </w:r>
      <w:r w:rsidR="0046460A">
        <w:t>.</w:t>
      </w:r>
    </w:p>
    <w:p w:rsidR="00C54FB2" w:rsidRDefault="00643677" w:rsidP="00065771">
      <w:r>
        <w:t xml:space="preserve">For Red 1, </w:t>
      </w:r>
      <w:r w:rsidR="001A399C">
        <w:t>two</w:t>
      </w:r>
      <w:r w:rsidR="007A7785">
        <w:t xml:space="preserve"> trusts had </w:t>
      </w:r>
      <w:r w:rsidR="00F614AC">
        <w:t xml:space="preserve">proportions </w:t>
      </w:r>
      <w:r w:rsidR="001A399C">
        <w:t>exceeding 75%:</w:t>
      </w:r>
      <w:r w:rsidR="00191EA9">
        <w:t xml:space="preserve"> </w:t>
      </w:r>
      <w:r w:rsidR="007A7785" w:rsidRPr="00F471D3">
        <w:t xml:space="preserve">West Midlands </w:t>
      </w:r>
      <w:r w:rsidR="007A7785">
        <w:t>(</w:t>
      </w:r>
      <w:r w:rsidR="008961C1">
        <w:t>79.0</w:t>
      </w:r>
      <w:r w:rsidR="005A6A3C">
        <w:t>%</w:t>
      </w:r>
      <w:r w:rsidR="007A7785">
        <w:t>)</w:t>
      </w:r>
      <w:r w:rsidR="00191EA9">
        <w:t xml:space="preserve"> and</w:t>
      </w:r>
      <w:r w:rsidR="001A399C">
        <w:t xml:space="preserve"> </w:t>
      </w:r>
      <w:r w:rsidR="008961C1">
        <w:t>South Western (75.3</w:t>
      </w:r>
      <w:r w:rsidR="005B6117">
        <w:t>%)</w:t>
      </w:r>
      <w:r w:rsidR="00191EA9">
        <w:t>.</w:t>
      </w:r>
      <w:r w:rsidR="00F614AC">
        <w:t xml:space="preserve"> </w:t>
      </w:r>
      <w:r w:rsidR="008961C1">
        <w:t>Four</w:t>
      </w:r>
      <w:r w:rsidR="007A7785">
        <w:t xml:space="preserve"> trusts had proportions of less than 70%: </w:t>
      </w:r>
      <w:r w:rsidR="00634000">
        <w:t>North East</w:t>
      </w:r>
      <w:r w:rsidR="0038780E">
        <w:t xml:space="preserve"> </w:t>
      </w:r>
      <w:r w:rsidR="00634000">
        <w:t>(6</w:t>
      </w:r>
      <w:r w:rsidR="00586B8E">
        <w:t>1.5</w:t>
      </w:r>
      <w:r w:rsidR="00E00B0B">
        <w:t>%),</w:t>
      </w:r>
      <w:r w:rsidR="00586B8E">
        <w:t xml:space="preserve"> Yorkshire (69.0%),</w:t>
      </w:r>
      <w:r w:rsidR="0038780E">
        <w:t xml:space="preserve"> </w:t>
      </w:r>
      <w:r w:rsidR="00586B8E">
        <w:t>East Midlands (67.7%) and East of England (69.6%).</w:t>
      </w:r>
    </w:p>
    <w:p w:rsidR="00C54B5E" w:rsidRDefault="00620FE6" w:rsidP="00C54B5E">
      <w:pPr>
        <w:pStyle w:val="Heading3"/>
      </w:pPr>
      <w:r>
        <w:t>A</w:t>
      </w:r>
      <w:r w:rsidR="00092A97">
        <w:t>2</w:t>
      </w:r>
      <w:r>
        <w:tab/>
        <w:t xml:space="preserve">Dispatch on Disposition </w:t>
      </w:r>
      <w:r w:rsidR="001171E8">
        <w:t>(DoD)</w:t>
      </w:r>
    </w:p>
    <w:p w:rsidR="008B512A" w:rsidRDefault="008B512A" w:rsidP="008B512A">
      <w:r>
        <w:t>In January 2015, the Secretary of State for Health announced</w:t>
      </w:r>
      <w:r w:rsidR="00980342">
        <w:rPr>
          <w:rStyle w:val="FootnoteReference"/>
        </w:rPr>
        <w:footnoteReference w:id="3"/>
      </w:r>
      <w:r>
        <w:t xml:space="preserve"> the </w:t>
      </w:r>
      <w:r w:rsidR="001171E8">
        <w:t xml:space="preserve">introduction of </w:t>
      </w:r>
      <w:r>
        <w:t xml:space="preserve">Dispatch on Disposition (DoD), </w:t>
      </w:r>
      <w:r w:rsidR="008879DA">
        <w:t xml:space="preserve">allowing up to two additional minutes for </w:t>
      </w:r>
      <w:r>
        <w:t>triage (to identify the clinical situati</w:t>
      </w:r>
      <w:r w:rsidR="001171E8">
        <w:t>on and take appropriate action). This was</w:t>
      </w:r>
      <w:r>
        <w:t xml:space="preserve"> based upon clinical advice that </w:t>
      </w:r>
      <w:r w:rsidR="001171E8">
        <w:t xml:space="preserve">it </w:t>
      </w:r>
      <w:r>
        <w:t>would be likely to improve the overall outcomes for ambulance patients.</w:t>
      </w:r>
    </w:p>
    <w:p w:rsidR="008B512A" w:rsidRDefault="001171E8" w:rsidP="001171E8">
      <w:r>
        <w:t>For Red 1 calls</w:t>
      </w:r>
      <w:r w:rsidR="00E8712C">
        <w:t>,</w:t>
      </w:r>
      <w:r>
        <w:t xml:space="preserve"> the clock start time is still the instant that the telephone call connects. However, from 10 February 2015, all other </w:t>
      </w:r>
      <w:r w:rsidR="008B512A">
        <w:t>calls received by London Ambulance Service (LAS) and South We</w:t>
      </w:r>
      <w:r>
        <w:t>stern Ambulance Service (SWAS) use DoD</w:t>
      </w:r>
      <w:r w:rsidR="008879DA">
        <w:t>.</w:t>
      </w:r>
    </w:p>
    <w:p w:rsidR="00540689" w:rsidRPr="00540689" w:rsidRDefault="00241092" w:rsidP="00540689">
      <w:r>
        <w:t xml:space="preserve">During October 2015, </w:t>
      </w:r>
      <w:r w:rsidR="00E8712C">
        <w:t>DoD</w:t>
      </w:r>
      <w:r>
        <w:t xml:space="preserve"> was introduced </w:t>
      </w:r>
      <w:r w:rsidR="00E8712C">
        <w:t xml:space="preserve">in </w:t>
      </w:r>
      <w:r w:rsidR="008879DA">
        <w:t>the Ambulance Services of North East (NEAS), Yorkshire (YAS), West Midlands (WMAS) and South Central (SCAS), and the potential extra time was increased further for SWAS</w:t>
      </w:r>
      <w:r w:rsidR="0024134C">
        <w:t>.</w:t>
      </w:r>
      <w:r w:rsidR="002B0575">
        <w:t xml:space="preserve"> Details of the clock start time for the various cohorts are shown in the table below</w:t>
      </w:r>
      <w:r w:rsidR="00E174B5">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536"/>
      </w:tblGrid>
      <w:tr w:rsidR="00540689" w:rsidTr="00E8712C">
        <w:trPr>
          <w:trHeight w:val="230"/>
        </w:trPr>
        <w:tc>
          <w:tcPr>
            <w:tcW w:w="4644" w:type="dxa"/>
          </w:tcPr>
          <w:p w:rsidR="00540689" w:rsidRDefault="00540689" w:rsidP="00540689">
            <w:pPr>
              <w:pStyle w:val="Heading3"/>
            </w:pPr>
            <w:r>
              <w:t>Cohort</w:t>
            </w:r>
          </w:p>
        </w:tc>
        <w:tc>
          <w:tcPr>
            <w:tcW w:w="4536" w:type="dxa"/>
          </w:tcPr>
          <w:p w:rsidR="00540689" w:rsidRDefault="00540689" w:rsidP="00540689">
            <w:pPr>
              <w:pStyle w:val="Heading3"/>
            </w:pPr>
            <w:r>
              <w:t>Clock start time, excluding Red 1</w:t>
            </w:r>
          </w:p>
        </w:tc>
      </w:tr>
      <w:tr w:rsidR="008879DA" w:rsidTr="00E8712C">
        <w:trPr>
          <w:trHeight w:val="1353"/>
        </w:trPr>
        <w:tc>
          <w:tcPr>
            <w:tcW w:w="4644" w:type="dxa"/>
          </w:tcPr>
          <w:p w:rsidR="008879DA" w:rsidRDefault="0024134C" w:rsidP="0024134C">
            <w:pPr>
              <w:pStyle w:val="NoSpacing"/>
            </w:pPr>
            <w:r>
              <w:t xml:space="preserve">LAS and SWAS </w:t>
            </w:r>
            <w:r w:rsidR="008879DA">
              <w:t>up to 10 February 2015;</w:t>
            </w:r>
          </w:p>
          <w:p w:rsidR="008879DA" w:rsidRDefault="008879DA" w:rsidP="0024134C">
            <w:pPr>
              <w:pStyle w:val="NoSpacing"/>
            </w:pPr>
            <w:r>
              <w:t>NEAS, YAS, WMAS and SCAS up to October 2015</w:t>
            </w:r>
            <w:r w:rsidR="0024134C">
              <w:t>;</w:t>
            </w:r>
          </w:p>
          <w:p w:rsidR="0024134C" w:rsidRDefault="00540689" w:rsidP="0024134C">
            <w:pPr>
              <w:pStyle w:val="NoSpacing"/>
            </w:pPr>
            <w:r>
              <w:t xml:space="preserve">continually used for </w:t>
            </w:r>
            <w:r w:rsidR="0024134C">
              <w:t>the rest of England:</w:t>
            </w:r>
          </w:p>
          <w:p w:rsidR="008879DA" w:rsidRDefault="008879DA" w:rsidP="008879DA"/>
        </w:tc>
        <w:tc>
          <w:tcPr>
            <w:tcW w:w="4536" w:type="dxa"/>
          </w:tcPr>
          <w:p w:rsidR="008879DA" w:rsidRPr="00AF2C09" w:rsidRDefault="008879DA" w:rsidP="008879DA">
            <w:pPr>
              <w:pStyle w:val="NoSpacing"/>
            </w:pPr>
            <w:r>
              <w:t>E</w:t>
            </w:r>
            <w:r w:rsidRPr="00AF2C09">
              <w:t>arliest of:</w:t>
            </w:r>
          </w:p>
          <w:p w:rsidR="008879DA" w:rsidRPr="00AF2C09" w:rsidRDefault="008879DA" w:rsidP="00540689">
            <w:pPr>
              <w:pStyle w:val="ListBullet"/>
            </w:pPr>
            <w:r w:rsidRPr="00AF2C09">
              <w:t xml:space="preserve">chief complaint or </w:t>
            </w:r>
            <w:r w:rsidR="00E8712C">
              <w:t xml:space="preserve">NHS </w:t>
            </w:r>
            <w:r w:rsidRPr="00AF2C09">
              <w:t xml:space="preserve">Pathways initial </w:t>
            </w:r>
            <w:r w:rsidR="00E8712C">
              <w:t>disposition (</w:t>
            </w:r>
            <w:r w:rsidRPr="00AF2C09">
              <w:t>D</w:t>
            </w:r>
            <w:r>
              <w:t>x</w:t>
            </w:r>
            <w:r w:rsidR="00E8712C">
              <w:t>)</w:t>
            </w:r>
            <w:r w:rsidRPr="00AF2C09">
              <w:t xml:space="preserve"> code</w:t>
            </w:r>
            <w:r w:rsidR="00E8712C">
              <w:t xml:space="preserve"> </w:t>
            </w:r>
            <w:r w:rsidRPr="00AF2C09">
              <w:t>obtained;</w:t>
            </w:r>
          </w:p>
          <w:p w:rsidR="008879DA" w:rsidRDefault="008879DA" w:rsidP="00540689">
            <w:pPr>
              <w:pStyle w:val="ListBullet"/>
            </w:pPr>
            <w:r w:rsidRPr="00AF2C09">
              <w:t>first vehicle assigned;</w:t>
            </w:r>
          </w:p>
          <w:p w:rsidR="008879DA" w:rsidRDefault="008879DA" w:rsidP="00540689">
            <w:pPr>
              <w:pStyle w:val="ListBullet"/>
            </w:pPr>
            <w:r>
              <w:t>60 seconds after c</w:t>
            </w:r>
            <w:r w:rsidRPr="00AF2C09">
              <w:t xml:space="preserve">all </w:t>
            </w:r>
            <w:r>
              <w:t>c</w:t>
            </w:r>
            <w:r w:rsidRPr="00AF2C09">
              <w:t>onnect</w:t>
            </w:r>
            <w:r w:rsidR="0024134C">
              <w:t>.</w:t>
            </w:r>
          </w:p>
        </w:tc>
      </w:tr>
      <w:tr w:rsidR="008879DA" w:rsidTr="00E8712C">
        <w:tc>
          <w:tcPr>
            <w:tcW w:w="4644" w:type="dxa"/>
          </w:tcPr>
          <w:p w:rsidR="0024134C" w:rsidRDefault="008879DA" w:rsidP="0024134C">
            <w:pPr>
              <w:pStyle w:val="NoSpacing"/>
            </w:pPr>
            <w:r>
              <w:t>LAS from 10 February 2015</w:t>
            </w:r>
            <w:r w:rsidR="0024134C">
              <w:t>;</w:t>
            </w:r>
          </w:p>
          <w:p w:rsidR="0024134C" w:rsidRDefault="008879DA" w:rsidP="0024134C">
            <w:pPr>
              <w:pStyle w:val="NoSpacing"/>
            </w:pPr>
            <w:r>
              <w:t>NEAS from 8 October 2015</w:t>
            </w:r>
            <w:r w:rsidR="0024134C">
              <w:t>;</w:t>
            </w:r>
          </w:p>
          <w:p w:rsidR="0024134C" w:rsidRDefault="0024134C" w:rsidP="0024134C">
            <w:pPr>
              <w:pStyle w:val="NoSpacing"/>
            </w:pPr>
            <w:r>
              <w:t>YAS from 21 October 2015;</w:t>
            </w:r>
          </w:p>
          <w:p w:rsidR="0024134C" w:rsidRDefault="0024134C" w:rsidP="0024134C">
            <w:pPr>
              <w:pStyle w:val="NoSpacing"/>
            </w:pPr>
            <w:r>
              <w:t>WMAS and SCAS from 19 October 2015;</w:t>
            </w:r>
          </w:p>
          <w:p w:rsidR="0024134C" w:rsidRPr="0024134C" w:rsidRDefault="0024134C" w:rsidP="00660400">
            <w:pPr>
              <w:pStyle w:val="NoSpacing"/>
            </w:pPr>
            <w:r>
              <w:t>SWAS</w:t>
            </w:r>
            <w:r w:rsidR="00660400">
              <w:t>,</w:t>
            </w:r>
            <w:r>
              <w:t xml:space="preserve"> 10 February to 5 October</w:t>
            </w:r>
            <w:r w:rsidR="00660400">
              <w:t xml:space="preserve"> 2015:</w:t>
            </w:r>
          </w:p>
        </w:tc>
        <w:tc>
          <w:tcPr>
            <w:tcW w:w="4536" w:type="dxa"/>
          </w:tcPr>
          <w:p w:rsidR="008879DA" w:rsidRPr="00AF2C09" w:rsidRDefault="008879DA" w:rsidP="008879DA">
            <w:pPr>
              <w:pStyle w:val="NoSpacing"/>
            </w:pPr>
            <w:r>
              <w:t>E</w:t>
            </w:r>
            <w:r w:rsidRPr="00AF2C09">
              <w:t>arliest of:</w:t>
            </w:r>
          </w:p>
          <w:p w:rsidR="008879DA" w:rsidRPr="00AF2C09" w:rsidRDefault="00E8712C" w:rsidP="00540689">
            <w:pPr>
              <w:pStyle w:val="ListBullet"/>
            </w:pPr>
            <w:r w:rsidRPr="00AF2C09">
              <w:t xml:space="preserve">chief complaint or </w:t>
            </w:r>
            <w:r>
              <w:t xml:space="preserve">NHS </w:t>
            </w:r>
            <w:r w:rsidRPr="00AF2C09">
              <w:t>Pathways initial D</w:t>
            </w:r>
            <w:r>
              <w:t>x</w:t>
            </w:r>
            <w:r w:rsidRPr="00AF2C09">
              <w:t xml:space="preserve"> code</w:t>
            </w:r>
            <w:r>
              <w:t xml:space="preserve"> </w:t>
            </w:r>
            <w:r w:rsidRPr="00AF2C09">
              <w:t>obtained</w:t>
            </w:r>
            <w:r w:rsidR="008879DA" w:rsidRPr="00AF2C09">
              <w:t>;</w:t>
            </w:r>
          </w:p>
          <w:p w:rsidR="008879DA" w:rsidRDefault="008879DA" w:rsidP="00540689">
            <w:pPr>
              <w:pStyle w:val="ListBullet"/>
            </w:pPr>
            <w:r w:rsidRPr="00AF2C09">
              <w:t>first vehicle assigned;</w:t>
            </w:r>
          </w:p>
          <w:p w:rsidR="008879DA" w:rsidRDefault="008879DA" w:rsidP="00540689">
            <w:pPr>
              <w:pStyle w:val="ListBullet"/>
            </w:pPr>
            <w:r>
              <w:t>18</w:t>
            </w:r>
            <w:r w:rsidRPr="00AF2C09">
              <w:t xml:space="preserve">0 seconds after </w:t>
            </w:r>
            <w:r>
              <w:t>c</w:t>
            </w:r>
            <w:r w:rsidRPr="00AF2C09">
              <w:t xml:space="preserve">all </w:t>
            </w:r>
            <w:r>
              <w:t>c</w:t>
            </w:r>
            <w:r w:rsidRPr="00AF2C09">
              <w:t>onnect</w:t>
            </w:r>
            <w:r w:rsidR="0024134C">
              <w:t>.</w:t>
            </w:r>
          </w:p>
        </w:tc>
      </w:tr>
      <w:tr w:rsidR="008879DA" w:rsidTr="00E8712C">
        <w:tc>
          <w:tcPr>
            <w:tcW w:w="4644" w:type="dxa"/>
          </w:tcPr>
          <w:p w:rsidR="008879DA" w:rsidRDefault="008879DA" w:rsidP="0024134C">
            <w:pPr>
              <w:pStyle w:val="NoSpacing"/>
            </w:pPr>
            <w:r>
              <w:t>SWAS from 5 October 2015:</w:t>
            </w:r>
          </w:p>
        </w:tc>
        <w:tc>
          <w:tcPr>
            <w:tcW w:w="4536" w:type="dxa"/>
          </w:tcPr>
          <w:p w:rsidR="008879DA" w:rsidRPr="00AF2C09" w:rsidRDefault="008879DA" w:rsidP="008879DA">
            <w:pPr>
              <w:pStyle w:val="NoSpacing"/>
            </w:pPr>
            <w:r>
              <w:t>E</w:t>
            </w:r>
            <w:r w:rsidRPr="00AF2C09">
              <w:t>arliest of:</w:t>
            </w:r>
          </w:p>
          <w:p w:rsidR="008879DA" w:rsidRPr="00AF2C09" w:rsidRDefault="00E8712C" w:rsidP="00540689">
            <w:pPr>
              <w:pStyle w:val="ListBullet"/>
            </w:pPr>
            <w:r w:rsidRPr="00AF2C09">
              <w:t xml:space="preserve">chief complaint or </w:t>
            </w:r>
            <w:r>
              <w:t xml:space="preserve">NHS </w:t>
            </w:r>
            <w:r w:rsidRPr="00AF2C09">
              <w:t>Pathways initial D</w:t>
            </w:r>
            <w:r>
              <w:t>x</w:t>
            </w:r>
            <w:r w:rsidRPr="00AF2C09">
              <w:t xml:space="preserve"> code</w:t>
            </w:r>
            <w:r>
              <w:t xml:space="preserve"> </w:t>
            </w:r>
            <w:r w:rsidRPr="00AF2C09">
              <w:t>obtained</w:t>
            </w:r>
            <w:r w:rsidR="008879DA" w:rsidRPr="00AF2C09">
              <w:t>;</w:t>
            </w:r>
          </w:p>
          <w:p w:rsidR="008879DA" w:rsidRDefault="008879DA" w:rsidP="00540689">
            <w:pPr>
              <w:pStyle w:val="ListBullet"/>
            </w:pPr>
            <w:r w:rsidRPr="00AF2C09">
              <w:t>first vehicle assigned;</w:t>
            </w:r>
          </w:p>
          <w:p w:rsidR="008879DA" w:rsidRDefault="008879DA" w:rsidP="00540689">
            <w:pPr>
              <w:pStyle w:val="ListBullet"/>
            </w:pPr>
            <w:r>
              <w:t>240</w:t>
            </w:r>
            <w:r w:rsidRPr="00AF2C09">
              <w:t xml:space="preserve"> seconds after </w:t>
            </w:r>
            <w:r>
              <w:t>c</w:t>
            </w:r>
            <w:r w:rsidRPr="00AF2C09">
              <w:t xml:space="preserve">all </w:t>
            </w:r>
            <w:r>
              <w:t>c</w:t>
            </w:r>
            <w:r w:rsidRPr="00AF2C09">
              <w:t>onnect</w:t>
            </w:r>
            <w:r w:rsidR="0024134C">
              <w:t>.</w:t>
            </w:r>
          </w:p>
        </w:tc>
      </w:tr>
    </w:tbl>
    <w:p w:rsidR="0024134C" w:rsidRDefault="0024134C" w:rsidP="0024134C">
      <w:pPr>
        <w:pStyle w:val="NoSpacing"/>
      </w:pPr>
    </w:p>
    <w:p w:rsidR="00660400" w:rsidRDefault="00660400" w:rsidP="00660400">
      <w:r>
        <w:lastRenderedPageBreak/>
        <w:t>The differing clock start times mean that data for the different cohorts are not comparable with each other.</w:t>
      </w:r>
      <w:r w:rsidRPr="00660400">
        <w:t xml:space="preserve"> Red 2 calls comprise the vast majority of Category A calls, so 19 minute Category A </w:t>
      </w:r>
      <w:r w:rsidR="00540689">
        <w:t>data are also not comparable for different cohorts.</w:t>
      </w:r>
    </w:p>
    <w:p w:rsidR="006C3B5D" w:rsidRDefault="000F2BCC" w:rsidP="00C51DF6">
      <w:r w:rsidRPr="00780F7F">
        <w:t>Figure 2</w:t>
      </w:r>
      <w:r w:rsidR="0012724F" w:rsidRPr="00780F7F">
        <w:t xml:space="preserve"> </w:t>
      </w:r>
      <w:r w:rsidR="00581E8E" w:rsidRPr="00780F7F">
        <w:t xml:space="preserve">shows </w:t>
      </w:r>
      <w:r w:rsidR="00533D03" w:rsidRPr="00780F7F">
        <w:t xml:space="preserve">the Red 2 measure </w:t>
      </w:r>
      <w:r w:rsidR="00780F7F" w:rsidRPr="00780F7F">
        <w:t>for each cohort.</w:t>
      </w:r>
    </w:p>
    <w:p w:rsidR="00F924DA" w:rsidRDefault="00AB16C3" w:rsidP="00C51DF6">
      <w:r>
        <w:rPr>
          <w:noProof/>
        </w:rPr>
        <w:drawing>
          <wp:inline distT="0" distB="0" distL="0" distR="0" wp14:anchorId="25681A55">
            <wp:extent cx="5663565" cy="36518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3565" cy="3651885"/>
                    </a:xfrm>
                    <a:prstGeom prst="rect">
                      <a:avLst/>
                    </a:prstGeom>
                    <a:noFill/>
                  </pic:spPr>
                </pic:pic>
              </a:graphicData>
            </a:graphic>
          </wp:inline>
        </w:drawing>
      </w:r>
    </w:p>
    <w:p w:rsidR="00EC40BA" w:rsidRDefault="00EC40BA" w:rsidP="00C51DF6">
      <w:r>
        <w:t>The numerators and denominators for the above proportio</w:t>
      </w:r>
      <w:r w:rsidR="00A66D79">
        <w:t xml:space="preserve">ns are displayed in the Systems Indicators Time Series spreadsheet at </w:t>
      </w:r>
      <w:hyperlink r:id="rId11" w:history="1">
        <w:r w:rsidR="00A66D79" w:rsidRPr="005C069A">
          <w:rPr>
            <w:rStyle w:val="Hyperlink"/>
          </w:rPr>
          <w:t>http://bit.ly/NHSAQI</w:t>
        </w:r>
      </w:hyperlink>
      <w:r w:rsidR="00A66D79">
        <w:t xml:space="preserve">, on the “DoD </w:t>
      </w:r>
      <w:r w:rsidR="00203093">
        <w:t>R</w:t>
      </w:r>
      <w:r>
        <w:t>2” tab</w:t>
      </w:r>
      <w:r w:rsidR="00A66D79">
        <w:t>,</w:t>
      </w:r>
      <w:r>
        <w:t xml:space="preserve"> </w:t>
      </w:r>
      <w:r w:rsidR="00A66D79">
        <w:t xml:space="preserve">and the “DoD A19” tab shows equivalent </w:t>
      </w:r>
      <w:r>
        <w:t>figures for the 19 minute measure</w:t>
      </w:r>
      <w:r w:rsidR="00540689">
        <w:t xml:space="preserve"> below.</w:t>
      </w:r>
    </w:p>
    <w:p w:rsidR="005B5438" w:rsidRDefault="00780F7F" w:rsidP="00780F7F">
      <w:r>
        <w:t>During the period 20</w:t>
      </w:r>
      <w:r w:rsidRPr="00A27B2C">
        <w:rPr>
          <w:vertAlign w:val="superscript"/>
        </w:rPr>
        <w:t>th</w:t>
      </w:r>
      <w:r>
        <w:t xml:space="preserve"> December 2014 to the 24</w:t>
      </w:r>
      <w:r w:rsidRPr="00A27B2C">
        <w:rPr>
          <w:vertAlign w:val="superscript"/>
        </w:rPr>
        <w:t>th</w:t>
      </w:r>
      <w:r>
        <w:t xml:space="preserve"> February 2014 South East Coast Ambulance Service NHS Foundation Trust (SECAmb) undertook a project to re-triage calls transferred into their 999 service from the NHS 111 service.</w:t>
      </w:r>
      <w:r w:rsidR="00E00B0B">
        <w:t xml:space="preserve"> A detailed description of this project can be found in the Ambulance Quality Indicators Statistical Note for October 2015, available at </w:t>
      </w:r>
      <w:hyperlink r:id="rId12" w:history="1">
        <w:r w:rsidR="00E00B0B" w:rsidRPr="005C069A">
          <w:rPr>
            <w:rStyle w:val="Hyperlink"/>
          </w:rPr>
          <w:t>http://bit.ly/NHSAQI</w:t>
        </w:r>
      </w:hyperlink>
      <w:r w:rsidR="00E00B0B">
        <w:rPr>
          <w:rStyle w:val="Hyperlink"/>
        </w:rPr>
        <w:t>.</w:t>
      </w:r>
    </w:p>
    <w:p w:rsidR="00EA23A9" w:rsidRPr="00127FD0" w:rsidRDefault="00EA23A9" w:rsidP="00EA23A9">
      <w:pPr>
        <w:pStyle w:val="Heading3"/>
      </w:pPr>
      <w:r>
        <w:t>A</w:t>
      </w:r>
      <w:r w:rsidR="00092A97">
        <w:t>3</w:t>
      </w:r>
      <w:r>
        <w:tab/>
      </w:r>
      <w:r w:rsidR="00C94BBC">
        <w:t xml:space="preserve">Category A </w:t>
      </w:r>
      <w:r>
        <w:t>Ambulance response in 19 minutes</w:t>
      </w:r>
      <w:r w:rsidR="000A00D6">
        <w:t xml:space="preserve"> (Figure 3)</w:t>
      </w:r>
    </w:p>
    <w:p w:rsidR="00EA23A9" w:rsidRDefault="00EA23A9" w:rsidP="00EA23A9">
      <w:r>
        <w:t xml:space="preserve">The other </w:t>
      </w:r>
      <w:r w:rsidR="00DD604F">
        <w:t xml:space="preserve">ambulance </w:t>
      </w:r>
      <w:r>
        <w:t xml:space="preserve">standard in the Handbook to the NHS Constitution is for </w:t>
      </w:r>
      <w:r w:rsidR="00F321DD">
        <w:t>t</w:t>
      </w:r>
      <w:r>
        <w:t>rusts to send, within 19 minutes, a fully-equipped ambulance vehicle, able to transport the patient in a clinically safe manner, to 95% of Category A calls.</w:t>
      </w:r>
      <w:r w:rsidR="00F321DD">
        <w:t xml:space="preserve"> </w:t>
      </w:r>
      <w:r w:rsidR="00C84BD0">
        <w:t xml:space="preserve">This measure is </w:t>
      </w:r>
      <w:r w:rsidR="00A66D79">
        <w:t xml:space="preserve">also </w:t>
      </w:r>
      <w:r w:rsidR="00C84BD0">
        <w:t>affected by DoD. For England as a whole</w:t>
      </w:r>
      <w:r w:rsidR="00A66D79">
        <w:t>,</w:t>
      </w:r>
      <w:r w:rsidR="00C84BD0">
        <w:t xml:space="preserve"> t</w:t>
      </w:r>
      <w:r w:rsidR="00F321DD">
        <w:t xml:space="preserve">his </w:t>
      </w:r>
      <w:r w:rsidR="00AD0D55">
        <w:t>measure</w:t>
      </w:r>
      <w:r w:rsidR="00C84BD0">
        <w:t xml:space="preserve"> decreased to</w:t>
      </w:r>
      <w:r w:rsidR="00FB6A17">
        <w:t xml:space="preserve"> </w:t>
      </w:r>
      <w:r w:rsidR="00AB16C3">
        <w:t>92.5% in December</w:t>
      </w:r>
      <w:r w:rsidR="004041D0">
        <w:t xml:space="preserve"> </w:t>
      </w:r>
      <w:r w:rsidR="002B0A28">
        <w:t>2015 from</w:t>
      </w:r>
      <w:r w:rsidR="00AD0D55">
        <w:t xml:space="preserve"> 9</w:t>
      </w:r>
      <w:r w:rsidR="00AB16C3">
        <w:t>2</w:t>
      </w:r>
      <w:r w:rsidR="00FB6A17">
        <w:t>.</w:t>
      </w:r>
      <w:r w:rsidR="00AB16C3">
        <w:t>6</w:t>
      </w:r>
      <w:r w:rsidR="00AD0D55">
        <w:t xml:space="preserve">% in </w:t>
      </w:r>
      <w:r w:rsidR="00AB16C3">
        <w:t>November</w:t>
      </w:r>
      <w:r w:rsidR="008F7386">
        <w:t xml:space="preserve"> 2015</w:t>
      </w:r>
      <w:r w:rsidR="004041D0">
        <w:t xml:space="preserve">. </w:t>
      </w:r>
      <w:r w:rsidR="002B0A28">
        <w:rPr>
          <w:noProof/>
        </w:rPr>
        <w:t>The performance for providers no</w:t>
      </w:r>
      <w:r w:rsidR="007E28DC">
        <w:rPr>
          <w:noProof/>
        </w:rPr>
        <w:t>t undertaking DoD</w:t>
      </w:r>
      <w:r w:rsidR="002B0A28">
        <w:rPr>
          <w:noProof/>
        </w:rPr>
        <w:t xml:space="preserve"> was 9</w:t>
      </w:r>
      <w:r w:rsidR="00AB16C3">
        <w:rPr>
          <w:noProof/>
        </w:rPr>
        <w:t>1.3</w:t>
      </w:r>
      <w:r w:rsidR="002B0A28">
        <w:rPr>
          <w:noProof/>
        </w:rPr>
        <w:t>%</w:t>
      </w:r>
      <w:r w:rsidR="00F321DD">
        <w:rPr>
          <w:noProof/>
        </w:rPr>
        <w:t>.</w:t>
      </w:r>
    </w:p>
    <w:p w:rsidR="00F321DD" w:rsidRDefault="00AB16C3" w:rsidP="00F321DD">
      <w:r>
        <w:rPr>
          <w:noProof/>
        </w:rPr>
        <w:lastRenderedPageBreak/>
        <w:drawing>
          <wp:inline distT="0" distB="0" distL="0" distR="0" wp14:anchorId="3DA5A908">
            <wp:extent cx="5706110" cy="3651885"/>
            <wp:effectExtent l="0" t="0" r="889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110" cy="3651885"/>
                    </a:xfrm>
                    <a:prstGeom prst="rect">
                      <a:avLst/>
                    </a:prstGeom>
                    <a:noFill/>
                  </pic:spPr>
                </pic:pic>
              </a:graphicData>
            </a:graphic>
          </wp:inline>
        </w:drawing>
      </w:r>
    </w:p>
    <w:p w:rsidR="00774123" w:rsidRDefault="00F37244" w:rsidP="00774123">
      <w:r>
        <w:t xml:space="preserve">DoD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t xml:space="preserve">any </w:t>
      </w:r>
      <w:r>
        <w:t>such effects will be difficult to detect within the habitual variation of the many Ambulance Quality Indicators.</w:t>
      </w:r>
      <w:r w:rsidR="00AB16C3">
        <w:t xml:space="preserve"> </w:t>
      </w:r>
    </w:p>
    <w:p w:rsidR="003A0D0C" w:rsidRPr="00127FD0" w:rsidRDefault="003A0D0C" w:rsidP="003A0D0C">
      <w:pPr>
        <w:pStyle w:val="Heading3"/>
      </w:pPr>
      <w:r>
        <w:t>A</w:t>
      </w:r>
      <w:r w:rsidR="00B870E5">
        <w:t>4</w:t>
      </w:r>
      <w:r>
        <w:tab/>
      </w:r>
      <w:r w:rsidRPr="00151AF2">
        <w:t xml:space="preserve">Systems </w:t>
      </w:r>
      <w:r>
        <w:t xml:space="preserve">Indicators: Ambulance volumes (Figure </w:t>
      </w:r>
      <w:r w:rsidR="00AC1EF7">
        <w:t>4</w:t>
      </w:r>
      <w:r>
        <w:t>)</w:t>
      </w:r>
    </w:p>
    <w:p w:rsidR="00B21828" w:rsidRDefault="00191AB9" w:rsidP="00191AB9">
      <w:r w:rsidRPr="001B68DB">
        <w:t>The number</w:t>
      </w:r>
      <w:r>
        <w:rPr>
          <w:rStyle w:val="FootnoteReference"/>
        </w:rPr>
        <w:footnoteReference w:id="4"/>
      </w:r>
      <w:r w:rsidRPr="001B68DB">
        <w:t xml:space="preserve"> of emergency</w:t>
      </w:r>
      <w:r>
        <w:t xml:space="preserve"> telephone</w:t>
      </w:r>
      <w:r w:rsidRPr="001B68DB">
        <w:t xml:space="preserve"> calls presented to switchboard</w:t>
      </w:r>
      <w:r w:rsidRPr="004D3B3C">
        <w:t xml:space="preserve"> </w:t>
      </w:r>
      <w:r>
        <w:t xml:space="preserve">in </w:t>
      </w:r>
      <w:r w:rsidR="0077674C">
        <w:t>Dec</w:t>
      </w:r>
      <w:r w:rsidR="00215414">
        <w:t>ember</w:t>
      </w:r>
      <w:r w:rsidR="0085317B">
        <w:t xml:space="preserve"> </w:t>
      </w:r>
      <w:r>
        <w:t>2015 was</w:t>
      </w:r>
      <w:r w:rsidR="004855AA">
        <w:t xml:space="preserve"> </w:t>
      </w:r>
      <w:r w:rsidR="0077674C" w:rsidRPr="0077674C">
        <w:t>819,183</w:t>
      </w:r>
      <w:r w:rsidR="009141A4">
        <w:t xml:space="preserve">, </w:t>
      </w:r>
      <w:r w:rsidR="00177CDB">
        <w:t>an average of</w:t>
      </w:r>
      <w:r>
        <w:t xml:space="preserve"> </w:t>
      </w:r>
      <w:r w:rsidR="0077674C">
        <w:t>26.4</w:t>
      </w:r>
      <w:r w:rsidR="00AB0008">
        <w:t xml:space="preserve"> thousand</w:t>
      </w:r>
      <w:r w:rsidR="00C2676B" w:rsidRPr="00C2676B">
        <w:t xml:space="preserve"> </w:t>
      </w:r>
      <w:r w:rsidRPr="005B7C87">
        <w:t>per day</w:t>
      </w:r>
      <w:r w:rsidR="00E9274F">
        <w:t>,</w:t>
      </w:r>
      <w:r w:rsidR="007F4039">
        <w:t xml:space="preserve"> </w:t>
      </w:r>
      <w:r w:rsidR="0077674C">
        <w:t>lower than the 28.1 thousand per day for December</w:t>
      </w:r>
      <w:r w:rsidR="004855AA">
        <w:t xml:space="preserve"> 2014</w:t>
      </w:r>
      <w:r w:rsidR="00AB70A4">
        <w:t xml:space="preserve">. December had the </w:t>
      </w:r>
      <w:r w:rsidR="00D643D9">
        <w:t xml:space="preserve">highest </w:t>
      </w:r>
      <w:r w:rsidR="00E174B5">
        <w:t>daily average</w:t>
      </w:r>
      <w:r w:rsidR="00D643D9">
        <w:t xml:space="preserve"> reported in 2015</w:t>
      </w:r>
      <w:r w:rsidR="00426EE4">
        <w:t xml:space="preserve">. </w:t>
      </w:r>
      <w:r w:rsidR="007F4016">
        <w:t>Figure</w:t>
      </w:r>
      <w:r w:rsidR="00D643D9">
        <w:t xml:space="preserve"> 4 shows that there is a fair amount variation in call volume.</w:t>
      </w:r>
      <w:r w:rsidR="0077674C" w:rsidRPr="0077674C">
        <w:t xml:space="preserve"> </w:t>
      </w:r>
    </w:p>
    <w:p w:rsidR="003F3CB1" w:rsidRDefault="00AD7C90" w:rsidP="00AD7C90">
      <w:r>
        <w:t xml:space="preserve">There were </w:t>
      </w:r>
      <w:r w:rsidR="0077674C">
        <w:t>597,322</w:t>
      </w:r>
      <w:r w:rsidR="00215414">
        <w:t xml:space="preserve"> </w:t>
      </w:r>
      <w:r w:rsidRPr="00AD7C90">
        <w:t>emergency calls that receive</w:t>
      </w:r>
      <w:r w:rsidR="00037F53">
        <w:t>d</w:t>
      </w:r>
      <w:r w:rsidRPr="00AD7C90">
        <w:t xml:space="preserve"> a face-to-face resp</w:t>
      </w:r>
      <w:r>
        <w:t xml:space="preserve">onse from the ambulance service in </w:t>
      </w:r>
      <w:r w:rsidR="0077674C">
        <w:t>December</w:t>
      </w:r>
      <w:r w:rsidR="00BF4628">
        <w:t xml:space="preserve"> </w:t>
      </w:r>
      <w:r>
        <w:t>2015</w:t>
      </w:r>
      <w:r w:rsidR="002C28AD">
        <w:t>.</w:t>
      </w:r>
      <w:r w:rsidR="00E825BE">
        <w:t xml:space="preserve"> </w:t>
      </w:r>
      <w:r w:rsidR="002C28AD">
        <w:t xml:space="preserve">This was an average of </w:t>
      </w:r>
      <w:r w:rsidR="0077674C">
        <w:t>19.3</w:t>
      </w:r>
      <w:r w:rsidR="00AB0008">
        <w:t xml:space="preserve"> thousand</w:t>
      </w:r>
      <w:r w:rsidR="002C28AD" w:rsidRPr="00C2676B">
        <w:t xml:space="preserve"> </w:t>
      </w:r>
      <w:r w:rsidR="004C6932">
        <w:t xml:space="preserve">per day, </w:t>
      </w:r>
      <w:r w:rsidR="0077674C">
        <w:t>the highest figure recorded since these records began</w:t>
      </w:r>
      <w:r w:rsidR="00F05A44">
        <w:t xml:space="preserve"> in April 2011</w:t>
      </w:r>
      <w:r w:rsidR="007F4016">
        <w:t>.</w:t>
      </w:r>
    </w:p>
    <w:p w:rsidR="00191AB9" w:rsidRPr="008E5931" w:rsidRDefault="004849F5" w:rsidP="00806A50">
      <w:pPr>
        <w:widowControl w:val="0"/>
        <w:rPr>
          <w:rFonts w:cs="Arial"/>
        </w:rPr>
      </w:pPr>
      <w:r>
        <w:t>T</w:t>
      </w:r>
      <w:r w:rsidR="00A32B3E">
        <w:t xml:space="preserve">here were </w:t>
      </w:r>
      <w:r w:rsidR="00F05A44">
        <w:t>417,064</w:t>
      </w:r>
      <w:r w:rsidR="004C6932">
        <w:t xml:space="preserve"> </w:t>
      </w:r>
      <w:r w:rsidR="00A32B3E">
        <w:t xml:space="preserve">incidents </w:t>
      </w:r>
      <w:r w:rsidR="00F80743">
        <w:t>with</w:t>
      </w:r>
      <w:r w:rsidR="001E30CD">
        <w:t xml:space="preserve"> a</w:t>
      </w:r>
      <w:r w:rsidR="00A32B3E">
        <w:t xml:space="preserve"> </w:t>
      </w:r>
      <w:r w:rsidR="00191AB9">
        <w:t xml:space="preserve">patient </w:t>
      </w:r>
      <w:r w:rsidR="001E30CD">
        <w:t xml:space="preserve">transported </w:t>
      </w:r>
      <w:r w:rsidR="00191AB9">
        <w:t>to Type 1 or Type 2 A&amp;E</w:t>
      </w:r>
      <w:r w:rsidR="00191AB9">
        <w:rPr>
          <w:rStyle w:val="FootnoteReference"/>
        </w:rPr>
        <w:footnoteReference w:id="5"/>
      </w:r>
      <w:r w:rsidR="00191AB9">
        <w:t xml:space="preserve"> in </w:t>
      </w:r>
      <w:r w:rsidR="00F05A44">
        <w:lastRenderedPageBreak/>
        <w:t>December</w:t>
      </w:r>
      <w:r w:rsidR="00C137F2">
        <w:t xml:space="preserve"> </w:t>
      </w:r>
      <w:r w:rsidR="00037F53">
        <w:t>2015</w:t>
      </w:r>
      <w:r w:rsidR="00D52EE6">
        <w:t xml:space="preserve">, an </w:t>
      </w:r>
      <w:r w:rsidR="00037F53">
        <w:t xml:space="preserve">average </w:t>
      </w:r>
      <w:r w:rsidR="00F23C98">
        <w:t xml:space="preserve">of </w:t>
      </w:r>
      <w:r w:rsidR="004C6932">
        <w:t>13.</w:t>
      </w:r>
      <w:r w:rsidR="00F05A44">
        <w:t>5</w:t>
      </w:r>
      <w:r w:rsidR="00AB0008">
        <w:t xml:space="preserve"> thousand</w:t>
      </w:r>
      <w:r w:rsidR="00C2676B" w:rsidRPr="00C2676B">
        <w:t xml:space="preserve"> </w:t>
      </w:r>
      <w:r w:rsidR="00191AB9">
        <w:t>per day</w:t>
      </w:r>
      <w:r w:rsidR="00D643D9">
        <w:t>, similar to 1</w:t>
      </w:r>
      <w:r w:rsidR="00F05A44">
        <w:t>3.7</w:t>
      </w:r>
      <w:r w:rsidR="007F4016">
        <w:t xml:space="preserve"> thousand per </w:t>
      </w:r>
      <w:r w:rsidR="00F05A44">
        <w:t>day in Decembe</w:t>
      </w:r>
      <w:r w:rsidR="004C6932">
        <w:t>r</w:t>
      </w:r>
      <w:r w:rsidR="007F4016">
        <w:t xml:space="preserve"> 2014</w:t>
      </w:r>
      <w:r w:rsidR="00E6125B">
        <w:t>.</w:t>
      </w:r>
    </w:p>
    <w:p w:rsidR="00F51851" w:rsidRDefault="003C24D1" w:rsidP="003425A1">
      <w:pPr>
        <w:rPr>
          <w:noProof/>
        </w:rPr>
      </w:pPr>
      <w:r>
        <w:t xml:space="preserve">There were </w:t>
      </w:r>
      <w:r w:rsidR="00F05A44">
        <w:t>304</w:t>
      </w:r>
      <w:r w:rsidR="00ED1702" w:rsidRPr="00ED1702">
        <w:t>,</w:t>
      </w:r>
      <w:r w:rsidR="00F05A44">
        <w:t>756</w:t>
      </w:r>
      <w:r w:rsidR="00ED1702">
        <w:t xml:space="preserve">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F05A44">
        <w:t>December</w:t>
      </w:r>
      <w:r w:rsidR="00793175">
        <w:t xml:space="preserve"> </w:t>
      </w:r>
      <w:r w:rsidR="002941E6">
        <w:t>2015,</w:t>
      </w:r>
      <w:r w:rsidR="00FD3C35">
        <w:t xml:space="preserve"> this equates to 9</w:t>
      </w:r>
      <w:r w:rsidR="003374D2">
        <w:t>.</w:t>
      </w:r>
      <w:r w:rsidR="00DA0061">
        <w:t>8</w:t>
      </w:r>
      <w:r w:rsidR="00AB0008">
        <w:t xml:space="preserve"> thousand</w:t>
      </w:r>
      <w:r w:rsidR="00474314">
        <w:t xml:space="preserve"> </w:t>
      </w:r>
      <w:r w:rsidR="00191AB9">
        <w:t>per day</w:t>
      </w:r>
      <w:r w:rsidR="00DA0061">
        <w:t>. This is the highest figure since records began</w:t>
      </w:r>
      <w:r w:rsidR="007F4016">
        <w:t xml:space="preserve">. </w:t>
      </w:r>
      <w:r w:rsidR="00727CC5">
        <w:t>Fi</w:t>
      </w:r>
      <w:r w:rsidR="00D52EE6">
        <w:t xml:space="preserve">gure </w:t>
      </w:r>
      <w:r w:rsidR="00AC1EF7">
        <w:t>4</w:t>
      </w:r>
      <w:r w:rsidR="00D52EE6">
        <w:t xml:space="preserve"> shows </w:t>
      </w:r>
      <w:r w:rsidR="007F4016">
        <w:t xml:space="preserve">how this has </w:t>
      </w:r>
      <w:r w:rsidR="00CE6F95">
        <w:t xml:space="preserve">increased steadily </w:t>
      </w:r>
      <w:r w:rsidR="007F4016">
        <w:t>between 2011 and</w:t>
      </w:r>
      <w:r w:rsidR="00F5150D">
        <w:t xml:space="preserve"> 2015</w:t>
      </w:r>
      <w:r w:rsidR="005376AA">
        <w:t>.</w:t>
      </w:r>
    </w:p>
    <w:p w:rsidR="00266D58" w:rsidRDefault="009D5946" w:rsidP="00F51851">
      <w:pPr>
        <w:jc w:val="center"/>
      </w:pPr>
      <w:r>
        <w:rPr>
          <w:noProof/>
        </w:rPr>
        <w:drawing>
          <wp:inline distT="0" distB="0" distL="0" distR="0" wp14:anchorId="3B77CEC5">
            <wp:extent cx="5553710" cy="560260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3710" cy="5602605"/>
                    </a:xfrm>
                    <a:prstGeom prst="rect">
                      <a:avLst/>
                    </a:prstGeom>
                    <a:noFill/>
                  </pic:spPr>
                </pic:pic>
              </a:graphicData>
            </a:graphic>
          </wp:inline>
        </w:drawing>
      </w:r>
    </w:p>
    <w:p w:rsidR="00F51851" w:rsidRDefault="00F51851" w:rsidP="00F51851">
      <w:pPr>
        <w:jc w:val="center"/>
      </w:pPr>
    </w:p>
    <w:p w:rsidR="003425A1" w:rsidRDefault="003425A1" w:rsidP="003425A1">
      <w:pPr>
        <w:pStyle w:val="NoSpacing"/>
      </w:pPr>
    </w:p>
    <w:p w:rsidR="003A0D0C" w:rsidRDefault="003A0D0C" w:rsidP="003A0D0C">
      <w:pPr>
        <w:pStyle w:val="Heading3"/>
      </w:pPr>
      <w:r>
        <w:lastRenderedPageBreak/>
        <w:t>A</w:t>
      </w:r>
      <w:r w:rsidR="00B870E5">
        <w:t>5</w:t>
      </w:r>
      <w:r>
        <w:tab/>
      </w:r>
      <w:r w:rsidR="003C24D1">
        <w:t xml:space="preserve">Latest monthly data </w:t>
      </w:r>
      <w:r>
        <w:t xml:space="preserve">for </w:t>
      </w:r>
      <w:r w:rsidR="003C24D1">
        <w:t xml:space="preserve">other </w:t>
      </w:r>
      <w:r>
        <w:t>System</w:t>
      </w:r>
      <w:r w:rsidR="003C24D1">
        <w:t>s</w:t>
      </w:r>
      <w:r>
        <w:t xml:space="preserve"> Indicators</w:t>
      </w:r>
      <w:r w:rsidR="000D7762">
        <w:t xml:space="preserve">, </w:t>
      </w:r>
      <w:r w:rsidR="00330CA6">
        <w:t>Novem</w:t>
      </w:r>
      <w:r w:rsidR="00A66D79">
        <w:t>ber</w:t>
      </w:r>
      <w:r w:rsidR="0013777A">
        <w:t xml:space="preserve"> </w:t>
      </w:r>
      <w:r w:rsidR="000D7762">
        <w:t>2015</w:t>
      </w:r>
      <w:r>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Tr="006A5F54">
        <w:trPr>
          <w:cantSplit/>
          <w:trHeight w:val="340"/>
          <w:tblHeader/>
        </w:trPr>
        <w:tc>
          <w:tcPr>
            <w:tcW w:w="3601" w:type="dxa"/>
            <w:tcBorders>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3265C0" w:rsidRDefault="003A0D0C" w:rsidP="008B512A">
            <w:pPr>
              <w:pStyle w:val="Heading4"/>
            </w:pPr>
            <w:r w:rsidRPr="003265C0">
              <w:t>Highest Trust</w:t>
            </w:r>
          </w:p>
        </w:tc>
      </w:tr>
      <w:tr w:rsidR="0037489E" w:rsidTr="006154B4">
        <w:trPr>
          <w:cantSplit/>
          <w:trHeight w:val="567"/>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3E345E" w:rsidP="00081437">
            <w:pPr>
              <w:pStyle w:val="NoSpacing"/>
              <w:jc w:val="right"/>
              <w:rPr>
                <w:sz w:val="22"/>
                <w:szCs w:val="22"/>
              </w:rPr>
            </w:pPr>
            <w:r w:rsidRPr="003E345E">
              <w:rPr>
                <w:szCs w:val="22"/>
              </w:rPr>
              <w:t>0.</w:t>
            </w:r>
            <w:r w:rsidR="009D5946">
              <w:rPr>
                <w:szCs w:val="22"/>
              </w:rPr>
              <w:t>5</w:t>
            </w:r>
            <w:r w:rsidRPr="003E345E">
              <w:rPr>
                <w:szCs w:val="22"/>
              </w:rPr>
              <w:t>%</w:t>
            </w:r>
            <w:r w:rsidR="000D7762">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E53110" w:rsidRDefault="00081437" w:rsidP="00906E39">
            <w:pPr>
              <w:pStyle w:val="NoSpacing"/>
              <w:jc w:val="center"/>
              <w:rPr>
                <w:sz w:val="22"/>
                <w:szCs w:val="22"/>
              </w:rPr>
            </w:pPr>
            <w:r>
              <w:rPr>
                <w:szCs w:val="22"/>
              </w:rPr>
              <w:t>London</w:t>
            </w:r>
          </w:p>
        </w:tc>
        <w:tc>
          <w:tcPr>
            <w:tcW w:w="850" w:type="dxa"/>
            <w:tcBorders>
              <w:top w:val="single" w:sz="4" w:space="0" w:color="auto"/>
              <w:right w:val="single" w:sz="4" w:space="0" w:color="auto"/>
            </w:tcBorders>
            <w:shd w:val="clear" w:color="000000" w:fill="FFFFFF"/>
            <w:vAlign w:val="center"/>
          </w:tcPr>
          <w:p w:rsidR="0032599C" w:rsidRPr="00E53110" w:rsidRDefault="0032599C" w:rsidP="00222A8A">
            <w:pPr>
              <w:pStyle w:val="NoSpacing"/>
              <w:jc w:val="right"/>
              <w:rPr>
                <w:sz w:val="22"/>
                <w:szCs w:val="22"/>
              </w:rPr>
            </w:pPr>
            <w:r w:rsidRPr="00753EA9">
              <w:rPr>
                <w:szCs w:val="22"/>
              </w:rPr>
              <w:t>0.</w:t>
            </w:r>
            <w:r w:rsidR="00ED1702">
              <w:rPr>
                <w:szCs w:val="22"/>
              </w:rPr>
              <w:t>1</w:t>
            </w:r>
            <w:r w:rsidRPr="00753EA9">
              <w:rPr>
                <w:szCs w:val="22"/>
              </w:rPr>
              <w:t>%</w:t>
            </w:r>
          </w:p>
        </w:tc>
        <w:tc>
          <w:tcPr>
            <w:tcW w:w="1417" w:type="dxa"/>
            <w:tcBorders>
              <w:top w:val="single" w:sz="4" w:space="0" w:color="auto"/>
              <w:left w:val="single" w:sz="4" w:space="0" w:color="auto"/>
            </w:tcBorders>
            <w:shd w:val="clear" w:color="000000" w:fill="FFFFFF"/>
            <w:vAlign w:val="center"/>
            <w:hideMark/>
          </w:tcPr>
          <w:p w:rsidR="0032599C" w:rsidRPr="00E53110" w:rsidRDefault="009D5946" w:rsidP="00AB70A4">
            <w:pPr>
              <w:pStyle w:val="NoSpacing"/>
              <w:jc w:val="center"/>
            </w:pPr>
            <w:r>
              <w:t>South Western</w:t>
            </w:r>
            <w:r w:rsidR="00AB70A4">
              <w:rPr>
                <w:vertAlign w:val="superscript"/>
              </w:rPr>
              <w:t>6</w:t>
            </w:r>
          </w:p>
        </w:tc>
        <w:tc>
          <w:tcPr>
            <w:tcW w:w="852" w:type="dxa"/>
            <w:tcBorders>
              <w:top w:val="single" w:sz="4" w:space="0" w:color="auto"/>
            </w:tcBorders>
            <w:shd w:val="clear" w:color="000000" w:fill="FFFFFF"/>
            <w:vAlign w:val="center"/>
          </w:tcPr>
          <w:p w:rsidR="0032599C" w:rsidRPr="00E53110" w:rsidRDefault="00A733D7" w:rsidP="00081437">
            <w:pPr>
              <w:pStyle w:val="NoSpacing"/>
              <w:jc w:val="right"/>
              <w:rPr>
                <w:sz w:val="22"/>
                <w:szCs w:val="22"/>
              </w:rPr>
            </w:pPr>
            <w:r>
              <w:rPr>
                <w:szCs w:val="22"/>
              </w:rPr>
              <w:t>1.</w:t>
            </w:r>
            <w:r w:rsidR="00AB70A4">
              <w:rPr>
                <w:szCs w:val="22"/>
              </w:rPr>
              <w:t>0</w:t>
            </w:r>
            <w:r w:rsidR="007D2560" w:rsidRPr="007D2560">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1F27E7" w:rsidRDefault="00807A7C" w:rsidP="001171E8">
            <w:pPr>
              <w:pStyle w:val="NoSpacing"/>
              <w:jc w:val="right"/>
              <w:rPr>
                <w:rFonts w:cs="Arial"/>
              </w:rPr>
            </w:pPr>
            <w:r>
              <w:rPr>
                <w:rFonts w:cs="Arial"/>
              </w:rPr>
              <w:t>10.5</w:t>
            </w:r>
            <w:bookmarkStart w:id="0" w:name="_GoBack"/>
            <w:bookmarkEnd w:id="0"/>
            <w:r w:rsidR="001F27E7">
              <w:rPr>
                <w:rFonts w:cs="Arial"/>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ED1702" w:rsidP="00D520D5">
            <w:pPr>
              <w:pStyle w:val="NoSpacing"/>
              <w:jc w:val="right"/>
              <w:rPr>
                <w:sz w:val="22"/>
                <w:szCs w:val="22"/>
              </w:rPr>
            </w:pPr>
            <w:r>
              <w:rPr>
                <w:szCs w:val="22"/>
              </w:rPr>
              <w:t>5.2</w:t>
            </w:r>
            <w:r w:rsidR="00E02284" w:rsidRPr="00E02284">
              <w:rPr>
                <w:szCs w:val="22"/>
              </w:rPr>
              <w:t>%</w:t>
            </w:r>
          </w:p>
        </w:tc>
        <w:tc>
          <w:tcPr>
            <w:tcW w:w="1417" w:type="dxa"/>
            <w:tcBorders>
              <w:left w:val="single" w:sz="4" w:space="0" w:color="auto"/>
            </w:tcBorders>
            <w:shd w:val="clear" w:color="000000" w:fill="FFFFFF"/>
            <w:vAlign w:val="center"/>
            <w:hideMark/>
          </w:tcPr>
          <w:p w:rsidR="0032599C" w:rsidRPr="00E53110" w:rsidRDefault="00AB70A4" w:rsidP="00AB70A4">
            <w:pPr>
              <w:pStyle w:val="NoSpacing"/>
              <w:jc w:val="center"/>
              <w:rPr>
                <w:sz w:val="22"/>
                <w:szCs w:val="22"/>
              </w:rPr>
            </w:pPr>
            <w:r>
              <w:rPr>
                <w:szCs w:val="22"/>
              </w:rPr>
              <w:t>South Western</w:t>
            </w:r>
          </w:p>
        </w:tc>
        <w:tc>
          <w:tcPr>
            <w:tcW w:w="852" w:type="dxa"/>
            <w:shd w:val="clear" w:color="000000" w:fill="FFFFFF"/>
            <w:vAlign w:val="center"/>
          </w:tcPr>
          <w:p w:rsidR="0032599C" w:rsidRPr="00E53110" w:rsidRDefault="00E434C4" w:rsidP="00D520D5">
            <w:pPr>
              <w:pStyle w:val="NoSpacing"/>
              <w:jc w:val="right"/>
              <w:rPr>
                <w:sz w:val="22"/>
                <w:szCs w:val="22"/>
              </w:rPr>
            </w:pPr>
            <w:r>
              <w:rPr>
                <w:szCs w:val="22"/>
              </w:rPr>
              <w:t>1</w:t>
            </w:r>
            <w:r w:rsidR="009D5946">
              <w:rPr>
                <w:szCs w:val="22"/>
              </w:rPr>
              <w:t>2.6</w:t>
            </w:r>
            <w:r w:rsidR="0037489E" w:rsidRPr="0037489E">
              <w:rPr>
                <w:szCs w:val="22"/>
              </w:rPr>
              <w:t>%</w:t>
            </w:r>
          </w:p>
        </w:tc>
      </w:tr>
      <w:tr w:rsidR="0037489E" w:rsidRPr="006875C7" w:rsidTr="006154B4">
        <w:trPr>
          <w:cantSplit/>
          <w:trHeight w:val="567"/>
        </w:trPr>
        <w:tc>
          <w:tcPr>
            <w:tcW w:w="3601" w:type="dxa"/>
            <w:tcBorders>
              <w:right w:val="single" w:sz="4" w:space="0" w:color="auto"/>
            </w:tcBorders>
            <w:shd w:val="clear" w:color="000000" w:fill="FFFFFF"/>
            <w:vAlign w:val="center"/>
            <w:hideMark/>
          </w:tcPr>
          <w:p w:rsidR="0032599C" w:rsidRPr="00F5150D" w:rsidRDefault="0032599C" w:rsidP="00AB70A4">
            <w:pPr>
              <w:pStyle w:val="NoSpacing"/>
              <w:rPr>
                <w:vertAlign w:val="superscript"/>
              </w:rPr>
            </w:pPr>
            <w:r w:rsidRPr="00330CA6">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330CA6" w:rsidRDefault="009D5946" w:rsidP="00B870E5">
            <w:pPr>
              <w:pStyle w:val="NoSpacing"/>
              <w:jc w:val="right"/>
              <w:rPr>
                <w:sz w:val="22"/>
                <w:szCs w:val="22"/>
              </w:rPr>
            </w:pPr>
            <w:r>
              <w:rPr>
                <w:szCs w:val="22"/>
              </w:rPr>
              <w:t>37</w:t>
            </w:r>
            <w:r w:rsidR="00837B74" w:rsidRPr="00330CA6">
              <w:rPr>
                <w:szCs w:val="22"/>
              </w:rPr>
              <w:t>.</w:t>
            </w:r>
            <w:r>
              <w:rPr>
                <w:szCs w:val="22"/>
              </w:rPr>
              <w:t>9</w:t>
            </w:r>
            <w:r w:rsidR="0032599C" w:rsidRPr="00330CA6">
              <w:rPr>
                <w:szCs w:val="22"/>
              </w:rPr>
              <w:t>%</w:t>
            </w:r>
          </w:p>
        </w:tc>
        <w:tc>
          <w:tcPr>
            <w:tcW w:w="1417" w:type="dxa"/>
            <w:tcBorders>
              <w:left w:val="single" w:sz="4" w:space="0" w:color="auto"/>
            </w:tcBorders>
            <w:shd w:val="clear" w:color="000000" w:fill="FFFFFF"/>
            <w:vAlign w:val="center"/>
            <w:hideMark/>
          </w:tcPr>
          <w:p w:rsidR="0032599C" w:rsidRPr="00330CA6" w:rsidRDefault="00D52EE6" w:rsidP="002221E6">
            <w:pPr>
              <w:pStyle w:val="NoSpacing"/>
              <w:jc w:val="center"/>
              <w:rPr>
                <w:sz w:val="22"/>
                <w:szCs w:val="22"/>
              </w:rPr>
            </w:pPr>
            <w:r w:rsidRPr="00330CA6">
              <w:rPr>
                <w:szCs w:val="22"/>
              </w:rPr>
              <w:t>East Midlands</w:t>
            </w:r>
          </w:p>
        </w:tc>
        <w:tc>
          <w:tcPr>
            <w:tcW w:w="850" w:type="dxa"/>
            <w:tcBorders>
              <w:right w:val="single" w:sz="4" w:space="0" w:color="auto"/>
            </w:tcBorders>
            <w:shd w:val="clear" w:color="000000" w:fill="FFFFFF"/>
            <w:vAlign w:val="center"/>
          </w:tcPr>
          <w:p w:rsidR="0032599C" w:rsidRPr="00330CA6" w:rsidRDefault="00653E5D" w:rsidP="00D520D5">
            <w:pPr>
              <w:pStyle w:val="NoSpacing"/>
              <w:jc w:val="right"/>
              <w:rPr>
                <w:sz w:val="22"/>
                <w:szCs w:val="22"/>
              </w:rPr>
            </w:pPr>
            <w:r w:rsidRPr="00330CA6">
              <w:rPr>
                <w:szCs w:val="22"/>
              </w:rPr>
              <w:t>29</w:t>
            </w:r>
            <w:r w:rsidR="00A733D7" w:rsidRPr="00330CA6">
              <w:rPr>
                <w:szCs w:val="22"/>
              </w:rPr>
              <w:t>.</w:t>
            </w:r>
            <w:r w:rsidR="009D5946">
              <w:rPr>
                <w:szCs w:val="22"/>
              </w:rPr>
              <w:t>9</w:t>
            </w:r>
            <w:r w:rsidR="0037489E" w:rsidRPr="00330CA6">
              <w:rPr>
                <w:szCs w:val="22"/>
              </w:rPr>
              <w:t>%</w:t>
            </w:r>
          </w:p>
        </w:tc>
        <w:tc>
          <w:tcPr>
            <w:tcW w:w="1417" w:type="dxa"/>
            <w:tcBorders>
              <w:left w:val="single" w:sz="4" w:space="0" w:color="auto"/>
            </w:tcBorders>
            <w:shd w:val="clear" w:color="000000" w:fill="FFFFFF"/>
            <w:vAlign w:val="center"/>
            <w:hideMark/>
          </w:tcPr>
          <w:p w:rsidR="00330CA6" w:rsidRPr="00330CA6" w:rsidRDefault="0032599C" w:rsidP="00AB70A4">
            <w:pPr>
              <w:pStyle w:val="NoSpacing"/>
              <w:jc w:val="center"/>
              <w:rPr>
                <w:szCs w:val="22"/>
              </w:rPr>
            </w:pPr>
            <w:r w:rsidRPr="00330CA6">
              <w:rPr>
                <w:szCs w:val="22"/>
              </w:rPr>
              <w:t xml:space="preserve">South </w:t>
            </w:r>
            <w:r w:rsidR="00AB70A4">
              <w:rPr>
                <w:szCs w:val="22"/>
              </w:rPr>
              <w:t>Western</w:t>
            </w:r>
            <w:r w:rsidR="00AB70A4">
              <w:rPr>
                <w:vertAlign w:val="superscript"/>
              </w:rPr>
              <w:t>6</w:t>
            </w:r>
          </w:p>
        </w:tc>
        <w:tc>
          <w:tcPr>
            <w:tcW w:w="852" w:type="dxa"/>
            <w:shd w:val="clear" w:color="000000" w:fill="FFFFFF"/>
            <w:vAlign w:val="center"/>
          </w:tcPr>
          <w:p w:rsidR="0032599C" w:rsidRPr="00330CA6" w:rsidRDefault="009D5946" w:rsidP="00A733D7">
            <w:pPr>
              <w:pStyle w:val="NoSpacing"/>
              <w:jc w:val="right"/>
              <w:rPr>
                <w:sz w:val="22"/>
                <w:szCs w:val="22"/>
              </w:rPr>
            </w:pPr>
            <w:r>
              <w:rPr>
                <w:szCs w:val="22"/>
              </w:rPr>
              <w:t>53.6</w:t>
            </w:r>
            <w:r w:rsidR="0037489E" w:rsidRPr="00330CA6">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1" w:name="RANGE!A22"/>
            <w:r w:rsidRPr="00E53110">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E53110" w:rsidRDefault="00882BC2" w:rsidP="00091724">
            <w:pPr>
              <w:pStyle w:val="NoSpacing"/>
              <w:jc w:val="right"/>
              <w:rPr>
                <w:sz w:val="22"/>
                <w:szCs w:val="22"/>
              </w:rPr>
            </w:pPr>
            <w:r>
              <w:rPr>
                <w:szCs w:val="22"/>
              </w:rPr>
              <w:t>6.7</w:t>
            </w:r>
            <w:r w:rsidR="001F27E7" w:rsidRPr="001F27E7">
              <w:rPr>
                <w:szCs w:val="22"/>
              </w:rPr>
              <w:t>%</w:t>
            </w:r>
          </w:p>
        </w:tc>
        <w:tc>
          <w:tcPr>
            <w:tcW w:w="1417" w:type="dxa"/>
            <w:tcBorders>
              <w:left w:val="single" w:sz="4" w:space="0" w:color="auto"/>
            </w:tcBorders>
            <w:shd w:val="clear" w:color="000000" w:fill="FFFFFF"/>
            <w:vAlign w:val="center"/>
            <w:hideMark/>
          </w:tcPr>
          <w:p w:rsidR="0032599C" w:rsidRPr="00E53110" w:rsidRDefault="000D7762" w:rsidP="00E02284">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E53110" w:rsidRDefault="00882BC2" w:rsidP="006F26D8">
            <w:pPr>
              <w:pStyle w:val="NoSpacing"/>
              <w:jc w:val="right"/>
              <w:rPr>
                <w:sz w:val="22"/>
                <w:szCs w:val="22"/>
              </w:rPr>
            </w:pPr>
            <w:r>
              <w:rPr>
                <w:szCs w:val="22"/>
              </w:rPr>
              <w:t>1.9</w:t>
            </w:r>
            <w:r w:rsidR="0037489E" w:rsidRPr="0037489E">
              <w:rPr>
                <w:szCs w:val="22"/>
              </w:rPr>
              <w:t>%</w:t>
            </w:r>
          </w:p>
        </w:tc>
        <w:tc>
          <w:tcPr>
            <w:tcW w:w="1417" w:type="dxa"/>
            <w:tcBorders>
              <w:left w:val="single" w:sz="4" w:space="0" w:color="auto"/>
            </w:tcBorders>
            <w:shd w:val="clear" w:color="000000" w:fill="FFFFFF"/>
            <w:vAlign w:val="center"/>
            <w:hideMark/>
          </w:tcPr>
          <w:p w:rsidR="0032599C" w:rsidRPr="00E53110" w:rsidRDefault="00882BC2" w:rsidP="002221E6">
            <w:pPr>
              <w:pStyle w:val="NoSpacing"/>
              <w:jc w:val="center"/>
              <w:rPr>
                <w:sz w:val="22"/>
                <w:szCs w:val="22"/>
              </w:rPr>
            </w:pPr>
            <w:r>
              <w:rPr>
                <w:szCs w:val="22"/>
              </w:rPr>
              <w:t>West Midlands</w:t>
            </w:r>
          </w:p>
        </w:tc>
        <w:tc>
          <w:tcPr>
            <w:tcW w:w="852" w:type="dxa"/>
            <w:shd w:val="clear" w:color="000000" w:fill="FFFFFF"/>
            <w:vAlign w:val="center"/>
          </w:tcPr>
          <w:p w:rsidR="0032599C" w:rsidRPr="00E53110" w:rsidRDefault="00837B74" w:rsidP="006F26D8">
            <w:pPr>
              <w:pStyle w:val="NoSpacing"/>
              <w:jc w:val="right"/>
              <w:rPr>
                <w:sz w:val="22"/>
                <w:szCs w:val="22"/>
              </w:rPr>
            </w:pPr>
            <w:r>
              <w:rPr>
                <w:szCs w:val="22"/>
              </w:rPr>
              <w:t>1</w:t>
            </w:r>
            <w:r w:rsidR="00882BC2">
              <w:rPr>
                <w:szCs w:val="22"/>
              </w:rPr>
              <w:t>4.8</w:t>
            </w:r>
            <w:r w:rsidR="0037489E" w:rsidRPr="0037489E">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AB70A4">
            <w:pPr>
              <w:pStyle w:val="NoSpacing"/>
            </w:pPr>
            <w:r w:rsidRPr="00E53110">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AC1EF7">
            <w:pPr>
              <w:pStyle w:val="NoSpacing"/>
              <w:jc w:val="right"/>
              <w:rPr>
                <w:sz w:val="22"/>
                <w:szCs w:val="22"/>
              </w:rPr>
            </w:pPr>
            <w:r w:rsidRPr="00753EA9">
              <w:rPr>
                <w:szCs w:val="22"/>
              </w:rPr>
              <w:t>5.</w:t>
            </w:r>
            <w:r w:rsidR="004849F5">
              <w:rPr>
                <w:szCs w:val="22"/>
              </w:rPr>
              <w:t>2</w:t>
            </w:r>
            <w:r w:rsidRPr="00753EA9">
              <w:rPr>
                <w:szCs w:val="22"/>
              </w:rPr>
              <w:t>%</w:t>
            </w:r>
          </w:p>
        </w:tc>
        <w:tc>
          <w:tcPr>
            <w:tcW w:w="1417" w:type="dxa"/>
            <w:tcBorders>
              <w:left w:val="single" w:sz="4" w:space="0" w:color="auto"/>
            </w:tcBorders>
            <w:shd w:val="clear" w:color="000000" w:fill="FFFFFF"/>
            <w:vAlign w:val="center"/>
            <w:hideMark/>
          </w:tcPr>
          <w:p w:rsidR="0032599C" w:rsidRPr="00E53110" w:rsidRDefault="00A26372" w:rsidP="00882BC2">
            <w:pPr>
              <w:pStyle w:val="NoSpacing"/>
              <w:jc w:val="center"/>
              <w:rPr>
                <w:sz w:val="22"/>
              </w:rPr>
            </w:pPr>
            <w:r>
              <w:t>Yorkshire</w:t>
            </w:r>
          </w:p>
        </w:tc>
        <w:tc>
          <w:tcPr>
            <w:tcW w:w="850" w:type="dxa"/>
            <w:tcBorders>
              <w:right w:val="single" w:sz="4" w:space="0" w:color="auto"/>
            </w:tcBorders>
            <w:shd w:val="clear" w:color="000000" w:fill="FFFFFF"/>
            <w:vAlign w:val="center"/>
          </w:tcPr>
          <w:p w:rsidR="0032599C" w:rsidRPr="00E53110" w:rsidRDefault="004849F5" w:rsidP="006F26D8">
            <w:pPr>
              <w:pStyle w:val="NoSpacing"/>
              <w:jc w:val="right"/>
              <w:rPr>
                <w:sz w:val="22"/>
                <w:szCs w:val="22"/>
              </w:rPr>
            </w:pPr>
            <w:r>
              <w:rPr>
                <w:szCs w:val="22"/>
              </w:rPr>
              <w:t>2</w:t>
            </w:r>
            <w:r w:rsidR="0032599C" w:rsidRPr="00753EA9">
              <w:rPr>
                <w:szCs w:val="22"/>
              </w:rPr>
              <w:t>.</w:t>
            </w:r>
            <w:r w:rsidR="00882BC2">
              <w:rPr>
                <w:szCs w:val="22"/>
              </w:rPr>
              <w:t>2</w:t>
            </w:r>
            <w:r w:rsidR="0032599C" w:rsidRPr="00753EA9">
              <w:rPr>
                <w:szCs w:val="22"/>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2" w:type="dxa"/>
            <w:shd w:val="clear" w:color="000000" w:fill="FFFFFF"/>
            <w:vAlign w:val="center"/>
          </w:tcPr>
          <w:p w:rsidR="0032599C" w:rsidRPr="00E53110" w:rsidRDefault="00882BC2" w:rsidP="00753EA9">
            <w:pPr>
              <w:pStyle w:val="NoSpacing"/>
              <w:jc w:val="right"/>
              <w:rPr>
                <w:sz w:val="22"/>
                <w:szCs w:val="22"/>
              </w:rPr>
            </w:pPr>
            <w:r>
              <w:rPr>
                <w:szCs w:val="22"/>
              </w:rPr>
              <w:t>9.0</w:t>
            </w:r>
            <w:r w:rsidR="00D6205D" w:rsidRPr="00D6205D">
              <w:rPr>
                <w:szCs w:val="22"/>
              </w:rPr>
              <w:t>%</w:t>
            </w:r>
          </w:p>
        </w:tc>
      </w:tr>
      <w:tr w:rsidR="0037489E" w:rsidTr="006154B4">
        <w:trPr>
          <w:cantSplit/>
          <w:trHeight w:val="567"/>
        </w:trPr>
        <w:tc>
          <w:tcPr>
            <w:tcW w:w="3601" w:type="dxa"/>
            <w:tcBorders>
              <w:bottom w:val="single" w:sz="4" w:space="0" w:color="auto"/>
              <w:right w:val="single" w:sz="4" w:space="0" w:color="auto"/>
            </w:tcBorders>
            <w:shd w:val="clear" w:color="auto" w:fill="auto"/>
            <w:vAlign w:val="center"/>
            <w:hideMark/>
          </w:tcPr>
          <w:p w:rsidR="0032599C" w:rsidRPr="00E53110" w:rsidRDefault="008006FA" w:rsidP="00F0288C">
            <w:pPr>
              <w:pStyle w:val="NoSpacing"/>
            </w:pPr>
            <w:r>
              <w:t xml:space="preserve">Incidents </w:t>
            </w:r>
            <w:r w:rsidR="00F0288C">
              <w:t>where a</w:t>
            </w:r>
            <w:r>
              <w:t xml:space="preserve"> patient </w:t>
            </w:r>
            <w:r w:rsidR="00F0288C">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2578D" w:rsidRDefault="00882BC2" w:rsidP="00882BC2">
            <w:pPr>
              <w:jc w:val="right"/>
              <w:rPr>
                <w:rFonts w:cs="Arial"/>
              </w:rPr>
            </w:pPr>
            <w:r>
              <w:rPr>
                <w:rFonts w:cs="Arial"/>
              </w:rPr>
              <w:t>417,064</w:t>
            </w:r>
          </w:p>
        </w:tc>
        <w:tc>
          <w:tcPr>
            <w:tcW w:w="1417"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 xml:space="preserve"> North</w:t>
            </w:r>
          </w:p>
          <w:p w:rsidR="0032599C" w:rsidRPr="00E53110" w:rsidRDefault="0032599C" w:rsidP="00014432">
            <w:pPr>
              <w:pStyle w:val="NoSpacing"/>
              <w:jc w:val="center"/>
              <w:rPr>
                <w:sz w:val="22"/>
                <w:szCs w:val="22"/>
              </w:rPr>
            </w:pPr>
            <w:r w:rsidRPr="009E4593">
              <w:t>East</w:t>
            </w:r>
            <w:r w:rsidR="001171E8">
              <w:rPr>
                <w:rStyle w:val="FootnoteReference"/>
              </w:rPr>
              <w:footnoteReference w:id="6"/>
            </w:r>
          </w:p>
        </w:tc>
        <w:tc>
          <w:tcPr>
            <w:tcW w:w="850" w:type="dxa"/>
            <w:tcBorders>
              <w:bottom w:val="single" w:sz="4" w:space="0" w:color="auto"/>
              <w:right w:val="single" w:sz="4" w:space="0" w:color="auto"/>
            </w:tcBorders>
            <w:shd w:val="clear" w:color="auto" w:fill="auto"/>
            <w:vAlign w:val="center"/>
          </w:tcPr>
          <w:p w:rsidR="00A75E1A" w:rsidRPr="00A2578D" w:rsidRDefault="00882BC2" w:rsidP="00882BC2">
            <w:pPr>
              <w:jc w:val="right"/>
              <w:rPr>
                <w:rFonts w:cs="Arial"/>
              </w:rPr>
            </w:pPr>
            <w:r>
              <w:rPr>
                <w:rFonts w:cs="Arial"/>
              </w:rPr>
              <w:t>20,797</w:t>
            </w:r>
          </w:p>
        </w:tc>
        <w:tc>
          <w:tcPr>
            <w:tcW w:w="1417"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2" w:type="dxa"/>
            <w:tcBorders>
              <w:bottom w:val="single" w:sz="4" w:space="0" w:color="auto"/>
            </w:tcBorders>
            <w:shd w:val="clear" w:color="auto" w:fill="auto"/>
            <w:vAlign w:val="center"/>
          </w:tcPr>
          <w:p w:rsidR="0032599C" w:rsidRPr="00A2578D" w:rsidRDefault="00882BC2" w:rsidP="00882BC2">
            <w:pPr>
              <w:jc w:val="right"/>
              <w:rPr>
                <w:rFonts w:cs="Arial"/>
              </w:rPr>
            </w:pPr>
            <w:r>
              <w:rPr>
                <w:rFonts w:cs="Arial"/>
              </w:rPr>
              <w:t>68,419</w:t>
            </w:r>
          </w:p>
        </w:tc>
      </w:tr>
    </w:tbl>
    <w:p w:rsidR="00043776" w:rsidRDefault="00043776" w:rsidP="00043776">
      <w:pPr>
        <w:pStyle w:val="NoSpacing"/>
      </w:pPr>
    </w:p>
    <w:p w:rsidR="0054610C" w:rsidRDefault="00DA0061" w:rsidP="00C73251">
      <w:r>
        <w:t>In Decem</w:t>
      </w:r>
      <w:r w:rsidR="000B3CED">
        <w:t>ber</w:t>
      </w:r>
      <w:r w:rsidR="001F27E7">
        <w:t xml:space="preserve"> 2015</w:t>
      </w:r>
      <w:r w:rsidR="00A95D10">
        <w:t xml:space="preserve">, the </w:t>
      </w:r>
      <w:r w:rsidR="00043776">
        <w:t xml:space="preserve">proportion </w:t>
      </w:r>
      <w:r w:rsidR="00A95D10">
        <w:t>of c</w:t>
      </w:r>
      <w:r w:rsidR="00A95D10" w:rsidRPr="00A95D10">
        <w:t>alls resolved through telephone assessment</w:t>
      </w:r>
      <w:r w:rsidR="00145910">
        <w:t xml:space="preserve"> was</w:t>
      </w:r>
      <w:r w:rsidR="00EB2D25">
        <w:t xml:space="preserve"> 10.</w:t>
      </w:r>
      <w:r>
        <w:t>5</w:t>
      </w:r>
      <w:r w:rsidR="009C268C">
        <w:t>%,</w:t>
      </w:r>
      <w:r w:rsidR="00145910">
        <w:t xml:space="preserve"> </w:t>
      </w:r>
      <w:r>
        <w:t>similar to the 10.6% recorded in November 2015</w:t>
      </w:r>
      <w:r w:rsidR="00E6125B">
        <w:t>.</w:t>
      </w:r>
    </w:p>
    <w:p w:rsidR="00145910" w:rsidRDefault="00145910" w:rsidP="00C73251">
      <w:r>
        <w:t>Of emergency calls resolved with telephone advice, the proportion where the patient subsequently re-cont</w:t>
      </w:r>
      <w:r w:rsidR="009E4E86">
        <w:t>acts</w:t>
      </w:r>
      <w:r w:rsidR="00882BC2">
        <w:t xml:space="preserve"> 999 within 24 hours was 6.2% in December.</w:t>
      </w:r>
    </w:p>
    <w:p w:rsidR="00882BC2" w:rsidRDefault="00882BC2" w:rsidP="00C73251">
      <w:r>
        <w:t>The proportion</w:t>
      </w:r>
      <w:r w:rsidRPr="003C63FF">
        <w:t xml:space="preserve"> of incidents managed without need for transport to Accident and Emergency department</w:t>
      </w:r>
      <w:r>
        <w:t xml:space="preserve"> was</w:t>
      </w:r>
      <w:r w:rsidR="00126146">
        <w:t xml:space="preserve"> </w:t>
      </w:r>
      <w:r w:rsidR="00126146" w:rsidRPr="00126146">
        <w:t>37.9%</w:t>
      </w:r>
      <w:r w:rsidR="00126146">
        <w:t>,</w:t>
      </w:r>
      <w:r>
        <w:t xml:space="preserve"> the highest since April 2011</w:t>
      </w:r>
      <w:r w:rsidR="00126146">
        <w:t>.</w:t>
      </w:r>
    </w:p>
    <w:p w:rsidR="00882BC2" w:rsidRDefault="00882BC2" w:rsidP="00C73251"/>
    <w:p w:rsidR="003A0D0C" w:rsidRDefault="003A0D0C" w:rsidP="003A0D0C">
      <w:pPr>
        <w:pStyle w:val="Heading2"/>
      </w:pPr>
      <w:r>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 xml:space="preserve">ts to achieve sustained </w:t>
      </w:r>
      <w:r w:rsidRPr="005538AF">
        <w:t>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C814F1">
        <w:t>)</w:t>
      </w:r>
    </w:p>
    <w:p w:rsidR="001A0F87" w:rsidRDefault="00044185" w:rsidP="003A0D0C">
      <w:pPr>
        <w:rPr>
          <w:rFonts w:cs="Arial"/>
        </w:rPr>
      </w:pPr>
      <w:r>
        <w:t xml:space="preserve">Patients in cardiac arrest will typically have no pulse and will not be breathing. </w:t>
      </w:r>
      <w:r w:rsidR="0032599C" w:rsidRPr="00DA6E95">
        <w:t xml:space="preserve">In </w:t>
      </w:r>
      <w:r w:rsidR="00C570ED">
        <w:t>September</w:t>
      </w:r>
      <w:r w:rsidR="004B406E">
        <w:t xml:space="preserve"> </w:t>
      </w:r>
      <w:r w:rsidR="006E7B5C">
        <w:t>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C570ED">
        <w:t>2,36</w:t>
      </w:r>
      <w:r w:rsidR="000B3CED">
        <w:t>3</w:t>
      </w:r>
      <w:r w:rsidR="00AF1A19">
        <w:t xml:space="preserve"> </w:t>
      </w:r>
      <w:r>
        <w:t xml:space="preserve">such </w:t>
      </w:r>
      <w:r w:rsidR="0032599C" w:rsidRPr="00DA6E95">
        <w:t>patients</w:t>
      </w:r>
      <w:r w:rsidR="0032599C">
        <w:t xml:space="preserve">. Of these, </w:t>
      </w:r>
      <w:r w:rsidR="00C570ED">
        <w:t>64</w:t>
      </w:r>
      <w:r w:rsidR="000B3CED">
        <w:t>6</w:t>
      </w:r>
      <w:r w:rsidR="00AC1EF7" w:rsidRPr="00AC1EF7">
        <w:t xml:space="preserve"> </w:t>
      </w:r>
      <w:r w:rsidR="0032599C">
        <w:t>(</w:t>
      </w:r>
      <w:r w:rsidR="00C570ED">
        <w:t>27.3</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rsidR="00C814F1">
        <w:t xml:space="preserve"> (Figure 5)</w:t>
      </w:r>
      <w:r w:rsidR="00E41E8F">
        <w:t xml:space="preserve">, </w:t>
      </w:r>
      <w:r w:rsidR="0083071A">
        <w:t>same as the</w:t>
      </w:r>
      <w:r w:rsidR="00BA610C">
        <w:t xml:space="preserve"> </w:t>
      </w:r>
      <w:r w:rsidR="0032599C">
        <w:t xml:space="preserve">average </w:t>
      </w:r>
      <w:r w:rsidR="0032599C" w:rsidRPr="00296E05">
        <w:t xml:space="preserve">for </w:t>
      </w:r>
      <w:r w:rsidR="00845D8F">
        <w:t>2014-15</w:t>
      </w:r>
      <w:r w:rsidR="0032599C" w:rsidRPr="00C344CA">
        <w:t xml:space="preserve"> </w:t>
      </w:r>
      <w:r w:rsidR="00BA610C">
        <w:t xml:space="preserve">of </w:t>
      </w:r>
      <w:r w:rsidR="00D4605E">
        <w:t>27</w:t>
      </w:r>
      <w:r w:rsidR="0083071A">
        <w:t>.3</w:t>
      </w:r>
      <w:r w:rsidR="0032599C" w:rsidRPr="00D13275">
        <w:t>%</w:t>
      </w:r>
      <w:r w:rsidR="0032599C" w:rsidRPr="00296E05">
        <w:t>.</w:t>
      </w:r>
      <w:r w:rsidR="006154B4">
        <w:t xml:space="preserve">  </w:t>
      </w:r>
      <w:r w:rsidR="008F7386">
        <w:t>The largest</w:t>
      </w:r>
      <w:r w:rsidR="00C570ED">
        <w:t xml:space="preserve"> proportion in September</w:t>
      </w:r>
      <w:r w:rsidR="00CF061B">
        <w:t xml:space="preserve"> </w:t>
      </w:r>
      <w:r w:rsidR="00CF061B" w:rsidRPr="00CF061B">
        <w:t xml:space="preserve">2015 was </w:t>
      </w:r>
      <w:r w:rsidR="001A0F87">
        <w:t>3</w:t>
      </w:r>
      <w:r w:rsidR="00C52730">
        <w:t>5</w:t>
      </w:r>
      <w:r w:rsidR="001A0F87">
        <w:t>.9</w:t>
      </w:r>
      <w:r w:rsidR="005F29B1">
        <w:t>% for</w:t>
      </w:r>
      <w:r w:rsidR="00C52730">
        <w:t xml:space="preserve"> North West</w:t>
      </w:r>
      <w:r w:rsidR="004D6E3F">
        <w:t>.</w:t>
      </w:r>
      <w:r w:rsidR="00C73251">
        <w:t xml:space="preserve"> </w:t>
      </w:r>
      <w:r w:rsidR="00AF2CDC">
        <w:t>The smallest proportion was</w:t>
      </w:r>
      <w:r w:rsidR="00C570ED">
        <w:t xml:space="preserve"> 14.0</w:t>
      </w:r>
      <w:r w:rsidR="00AF2CDC">
        <w:t xml:space="preserve">% for </w:t>
      </w:r>
      <w:r w:rsidR="001A0F87">
        <w:t xml:space="preserve">South </w:t>
      </w:r>
      <w:r w:rsidR="00BE6415">
        <w:t>Central</w:t>
      </w:r>
      <w:r w:rsidR="006154B4" w:rsidRPr="006154B4">
        <w:rPr>
          <w:rFonts w:cs="Arial"/>
        </w:rPr>
        <w:t>.</w:t>
      </w:r>
    </w:p>
    <w:p w:rsidR="0031580B" w:rsidRDefault="0031580B" w:rsidP="003A0D0C">
      <w:pPr>
        <w:rPr>
          <w:rFonts w:cs="Arial"/>
          <w:vertAlign w:val="superscript"/>
        </w:rPr>
      </w:pPr>
    </w:p>
    <w:p w:rsidR="00F36218" w:rsidRDefault="003A0D0C" w:rsidP="003A0D0C">
      <w:pPr>
        <w:rPr>
          <w:rFonts w:cs="Arial"/>
        </w:rPr>
      </w:pPr>
      <w:r>
        <w:lastRenderedPageBreak/>
        <w:t>The Utstein group</w:t>
      </w:r>
      <w:r w:rsidR="007E28DC">
        <w:rPr>
          <w:rStyle w:val="FootnoteReference"/>
        </w:rPr>
        <w:footnoteReference w:id="7"/>
      </w:r>
      <w:r>
        <w:t xml:space="preserve">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sidR="00CB58C3">
        <w:rPr>
          <w:rFonts w:cs="Arial"/>
        </w:rPr>
        <w:t xml:space="preserve"> </w:t>
      </w:r>
      <w:r w:rsidR="002221E6">
        <w:rPr>
          <w:rFonts w:cs="Arial"/>
        </w:rPr>
        <w:t>The Utstein group therefore ha</w:t>
      </w:r>
      <w:r w:rsidR="00CB58C3">
        <w:rPr>
          <w:rFonts w:cs="Arial"/>
        </w:rPr>
        <w:t>ve a better chance of survival.</w:t>
      </w:r>
    </w:p>
    <w:p w:rsidR="00BE0BD9" w:rsidRDefault="00F8461F" w:rsidP="0032599C">
      <w:pPr>
        <w:rPr>
          <w:rFonts w:cs="Arial"/>
        </w:rPr>
      </w:pPr>
      <w:r>
        <w:rPr>
          <w:rFonts w:cs="Arial"/>
        </w:rPr>
        <w:t>There were</w:t>
      </w:r>
      <w:r w:rsidR="0032599C">
        <w:rPr>
          <w:rFonts w:cs="Arial"/>
        </w:rPr>
        <w:t xml:space="preserve"> </w:t>
      </w:r>
      <w:r w:rsidR="00C570ED">
        <w:rPr>
          <w:rFonts w:cs="Arial"/>
        </w:rPr>
        <w:t>306</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w:t>
      </w:r>
      <w:r w:rsidR="00C570ED">
        <w:rPr>
          <w:rFonts w:cs="Arial"/>
        </w:rPr>
        <w:t xml:space="preserve"> September</w:t>
      </w:r>
      <w:r w:rsidR="0088041C">
        <w:rPr>
          <w:rFonts w:cs="Arial"/>
        </w:rPr>
        <w:t xml:space="preserve"> </w:t>
      </w:r>
      <w:r w:rsidR="00022C19" w:rsidRPr="00022C19">
        <w:rPr>
          <w:rFonts w:cs="Arial"/>
        </w:rPr>
        <w:t>2015</w:t>
      </w:r>
      <w:r w:rsidR="0032599C" w:rsidRPr="00BF249B">
        <w:rPr>
          <w:rFonts w:cs="Arial"/>
        </w:rPr>
        <w:t xml:space="preserve">, </w:t>
      </w:r>
      <w:r>
        <w:rPr>
          <w:rFonts w:cs="Arial"/>
        </w:rPr>
        <w:t xml:space="preserve">of which </w:t>
      </w:r>
      <w:r w:rsidR="00AD0455" w:rsidRPr="00AD0455">
        <w:rPr>
          <w:rFonts w:cs="Arial"/>
        </w:rPr>
        <w:t>1</w:t>
      </w:r>
      <w:r w:rsidR="00C570ED">
        <w:rPr>
          <w:rFonts w:cs="Arial"/>
        </w:rPr>
        <w:t>5</w:t>
      </w:r>
      <w:r w:rsidR="00C52730">
        <w:rPr>
          <w:rFonts w:cs="Arial"/>
        </w:rPr>
        <w:t>2</w:t>
      </w:r>
      <w:r>
        <w:rPr>
          <w:rFonts w:cs="Arial"/>
        </w:rPr>
        <w:t xml:space="preserve"> (</w:t>
      </w:r>
      <w:r w:rsidR="00C570ED">
        <w:rPr>
          <w:rFonts w:cs="Arial"/>
        </w:rPr>
        <w:t>49.7</w:t>
      </w:r>
      <w:r w:rsidR="0032599C" w:rsidRPr="00745962">
        <w:rPr>
          <w:rFonts w:cs="Arial"/>
        </w:rPr>
        <w:t>%</w:t>
      </w:r>
      <w:r>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C814F1">
        <w:rPr>
          <w:rFonts w:cs="Arial"/>
        </w:rPr>
        <w:t xml:space="preserve"> (Figure 5)</w:t>
      </w:r>
      <w:r w:rsidR="00BA610C">
        <w:rPr>
          <w:rFonts w:cs="Arial"/>
        </w:rPr>
        <w:t xml:space="preserve">. This was </w:t>
      </w:r>
      <w:r w:rsidR="0031580B">
        <w:rPr>
          <w:rFonts w:cs="Arial"/>
        </w:rPr>
        <w:t>similar</w:t>
      </w:r>
      <w:r w:rsidR="00BA610C">
        <w:rPr>
          <w:rFonts w:cs="Arial"/>
        </w:rPr>
        <w:t xml:space="preserve"> to the England </w:t>
      </w:r>
      <w:r w:rsidR="0032599C" w:rsidRPr="00BF249B">
        <w:rPr>
          <w:rFonts w:cs="Arial"/>
        </w:rPr>
        <w:t xml:space="preserve">average for </w:t>
      </w:r>
      <w:r w:rsidR="00DA4BA4">
        <w:rPr>
          <w:rFonts w:cs="Arial"/>
        </w:rPr>
        <w:t>2014-15 of 49%</w:t>
      </w:r>
      <w:r w:rsidR="0032599C" w:rsidRPr="00BF249B">
        <w:rPr>
          <w:rFonts w:cs="Arial"/>
        </w:rPr>
        <w:t>.</w:t>
      </w:r>
      <w:r w:rsidR="00CF061B">
        <w:rPr>
          <w:rFonts w:cs="Arial"/>
        </w:rPr>
        <w:t xml:space="preserve"> </w:t>
      </w:r>
      <w:r w:rsidR="00BE0BD9" w:rsidRPr="00BE0BD9">
        <w:rPr>
          <w:rFonts w:cs="Arial"/>
        </w:rPr>
        <w:t xml:space="preserve">The largest proportion in the month of </w:t>
      </w:r>
      <w:r w:rsidR="00C570ED">
        <w:rPr>
          <w:rFonts w:cs="Arial"/>
        </w:rPr>
        <w:t>September</w:t>
      </w:r>
      <w:r w:rsidR="008E41D7">
        <w:rPr>
          <w:rFonts w:cs="Arial"/>
        </w:rPr>
        <w:t xml:space="preserve"> 2015 was </w:t>
      </w:r>
      <w:r w:rsidR="00C570ED">
        <w:rPr>
          <w:rFonts w:cs="Arial"/>
        </w:rPr>
        <w:t>North West</w:t>
      </w:r>
      <w:r w:rsidR="0083071A">
        <w:rPr>
          <w:rStyle w:val="FootnoteReference"/>
          <w:rFonts w:cs="Arial"/>
        </w:rPr>
        <w:footnoteReference w:id="8"/>
      </w:r>
      <w:r w:rsidR="00C570ED">
        <w:rPr>
          <w:rFonts w:cs="Arial"/>
        </w:rPr>
        <w:t xml:space="preserve"> with 62.2</w:t>
      </w:r>
      <w:r w:rsidR="00922AD2">
        <w:rPr>
          <w:rFonts w:cs="Arial"/>
        </w:rPr>
        <w:t>%, and t</w:t>
      </w:r>
      <w:r w:rsidR="00522906">
        <w:rPr>
          <w:rFonts w:cs="Arial"/>
        </w:rPr>
        <w:t xml:space="preserve">he </w:t>
      </w:r>
      <w:r w:rsidR="00BE0BD9" w:rsidRPr="00BE0BD9">
        <w:rPr>
          <w:rFonts w:cs="Arial"/>
        </w:rPr>
        <w:t>smal</w:t>
      </w:r>
      <w:r w:rsidR="00BE0BD9">
        <w:rPr>
          <w:rFonts w:cs="Arial"/>
        </w:rPr>
        <w:t xml:space="preserve">lest </w:t>
      </w:r>
      <w:r w:rsidR="00BE0BD9" w:rsidRPr="00BE0BD9">
        <w:rPr>
          <w:rFonts w:cs="Arial"/>
        </w:rPr>
        <w:t xml:space="preserve">was </w:t>
      </w:r>
      <w:r w:rsidR="00C570ED">
        <w:rPr>
          <w:rFonts w:cs="Arial"/>
        </w:rPr>
        <w:t>18.9</w:t>
      </w:r>
      <w:r w:rsidR="00BE0BD9" w:rsidRPr="00BE0BD9">
        <w:rPr>
          <w:rFonts w:cs="Arial"/>
        </w:rPr>
        <w:t xml:space="preserve">% for </w:t>
      </w:r>
      <w:r w:rsidR="00C52730">
        <w:rPr>
          <w:rFonts w:cs="Arial"/>
        </w:rPr>
        <w:t>South Central</w:t>
      </w:r>
      <w:r w:rsidR="001A0F87">
        <w:rPr>
          <w:rFonts w:cs="Arial"/>
        </w:rPr>
        <w:t>.</w:t>
      </w:r>
    </w:p>
    <w:p w:rsidR="00DA4BA4" w:rsidRDefault="00C570ED" w:rsidP="0032599C">
      <w:r>
        <w:rPr>
          <w:noProof/>
        </w:rPr>
        <w:drawing>
          <wp:inline distT="0" distB="0" distL="0" distR="0" wp14:anchorId="1BE4F10E">
            <wp:extent cx="5675630" cy="3554095"/>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5630" cy="3554095"/>
                    </a:xfrm>
                    <a:prstGeom prst="rect">
                      <a:avLst/>
                    </a:prstGeom>
                    <a:noFill/>
                  </pic:spPr>
                </pic:pic>
              </a:graphicData>
            </a:graphic>
          </wp:inline>
        </w:drawing>
      </w:r>
    </w:p>
    <w:p w:rsidR="003A0D0C" w:rsidRDefault="003A0D0C" w:rsidP="003A0D0C">
      <w:pPr>
        <w:pStyle w:val="Heading3"/>
        <w:rPr>
          <w:noProof/>
        </w:rPr>
      </w:pPr>
      <w:r>
        <w:t>B2</w:t>
      </w:r>
      <w:r>
        <w:tab/>
        <w:t>Cardiac arrest: survival to discharge</w:t>
      </w:r>
      <w:r w:rsidR="00D4605E" w:rsidRPr="00D4605E">
        <w:rPr>
          <w:noProof/>
        </w:rPr>
        <w:t xml:space="preserve"> </w:t>
      </w:r>
    </w:p>
    <w:p w:rsidR="007A2B8C" w:rsidRDefault="007A2B8C" w:rsidP="007A2B8C">
      <w:r>
        <w:t>The proportion of cardiac arrest patients in England discharged fr</w:t>
      </w:r>
      <w:r w:rsidR="00C52730">
        <w:t>om hospital alive was 8</w:t>
      </w:r>
      <w:r w:rsidR="002929F3">
        <w:t>.2% in September</w:t>
      </w:r>
      <w:r>
        <w:t xml:space="preserve"> </w:t>
      </w:r>
      <w:r w:rsidRPr="0079282B">
        <w:t>2015</w:t>
      </w:r>
      <w:r>
        <w:t xml:space="preserve"> (Figure 6), </w:t>
      </w:r>
      <w:r w:rsidR="0031580B">
        <w:t>similar</w:t>
      </w:r>
      <w:r w:rsidR="00C52730">
        <w:t xml:space="preserve"> to the </w:t>
      </w:r>
      <w:r>
        <w:t xml:space="preserve">average for 2014-15 of </w:t>
      </w:r>
      <w:r w:rsidR="00107C32">
        <w:t>8.6</w:t>
      </w:r>
      <w:r>
        <w:t>%. T</w:t>
      </w:r>
      <w:r w:rsidRPr="003E0534">
        <w:t xml:space="preserve">he largest proportion </w:t>
      </w:r>
      <w:r w:rsidR="00C52730">
        <w:t xml:space="preserve">in </w:t>
      </w:r>
      <w:r w:rsidR="001A013F" w:rsidRPr="001A013F">
        <w:t xml:space="preserve">September </w:t>
      </w:r>
      <w:r w:rsidR="00C73251">
        <w:t xml:space="preserve">2015 </w:t>
      </w:r>
      <w:r w:rsidRPr="003E0534">
        <w:t>was</w:t>
      </w:r>
      <w:r>
        <w:t xml:space="preserve"> </w:t>
      </w:r>
      <w:r w:rsidR="002929F3">
        <w:t>13.4</w:t>
      </w:r>
      <w:r w:rsidR="00C73251">
        <w:t xml:space="preserve">% for </w:t>
      </w:r>
      <w:r w:rsidRPr="003E0534">
        <w:t>S</w:t>
      </w:r>
      <w:r>
        <w:t>outh Central</w:t>
      </w:r>
      <w:r w:rsidR="00C73251">
        <w:t>,</w:t>
      </w:r>
      <w:r>
        <w:t xml:space="preserve"> </w:t>
      </w:r>
      <w:r w:rsidR="00C73251">
        <w:t>and the smallest</w:t>
      </w:r>
      <w:r w:rsidR="002929F3">
        <w:t xml:space="preserve"> was 3.5</w:t>
      </w:r>
      <w:r w:rsidR="00C73251">
        <w:t xml:space="preserve">% for </w:t>
      </w:r>
      <w:r w:rsidR="001A013F" w:rsidRPr="001A013F">
        <w:t>London</w:t>
      </w:r>
      <w:r w:rsidR="001A013F">
        <w:rPr>
          <w:vertAlign w:val="superscript"/>
        </w:rPr>
        <w:t>8</w:t>
      </w:r>
      <w:r w:rsidR="00C73251">
        <w:t>.</w:t>
      </w:r>
    </w:p>
    <w:p w:rsidR="00C73251" w:rsidRPr="002247A6" w:rsidRDefault="00C73251" w:rsidP="00C73251">
      <w:r>
        <w:t>For the Utstein gro</w:t>
      </w:r>
      <w:r w:rsidR="00717328">
        <w:t>u</w:t>
      </w:r>
      <w:r w:rsidR="00873A1E">
        <w:t>p,</w:t>
      </w:r>
      <w:r w:rsidR="0031580B">
        <w:t xml:space="preserve"> survival to discharge in September </w:t>
      </w:r>
      <w:r w:rsidRPr="0079282B">
        <w:t>2015</w:t>
      </w:r>
      <w:r w:rsidR="002929F3">
        <w:t xml:space="preserve"> was 26.3</w:t>
      </w:r>
      <w:r w:rsidRPr="004C6F83">
        <w:t>%</w:t>
      </w:r>
      <w:r w:rsidR="0083071A">
        <w:t xml:space="preserve">, same as </w:t>
      </w:r>
      <w:r w:rsidR="002929F3">
        <w:t xml:space="preserve">the </w:t>
      </w:r>
      <w:r w:rsidRPr="002A2463">
        <w:t xml:space="preserve">average </w:t>
      </w:r>
      <w:r w:rsidR="006154B4">
        <w:t xml:space="preserve">for 2014-15 of </w:t>
      </w:r>
      <w:r>
        <w:t>26</w:t>
      </w:r>
      <w:r w:rsidR="0083071A">
        <w:t>.3</w:t>
      </w:r>
      <w:r>
        <w:t>%</w:t>
      </w:r>
      <w:r w:rsidR="00717328">
        <w:t xml:space="preserve">. The </w:t>
      </w:r>
      <w:r w:rsidR="002929F3">
        <w:t>largest proportion was 39.1</w:t>
      </w:r>
      <w:r w:rsidRPr="003E0534">
        <w:t>% for</w:t>
      </w:r>
      <w:r w:rsidR="002929F3">
        <w:t xml:space="preserve"> East of England</w:t>
      </w:r>
      <w:r>
        <w:t>, the smallest</w:t>
      </w:r>
      <w:r w:rsidR="002929F3">
        <w:t xml:space="preserve"> was 12.5</w:t>
      </w:r>
      <w:r w:rsidR="00873A1E">
        <w:t>% for</w:t>
      </w:r>
      <w:r w:rsidR="0040350E">
        <w:t xml:space="preserve"> London</w:t>
      </w:r>
      <w:r w:rsidR="001A013F">
        <w:rPr>
          <w:vertAlign w:val="superscript"/>
        </w:rPr>
        <w:t>8</w:t>
      </w:r>
      <w:r w:rsidRPr="003E0534">
        <w:t>.</w:t>
      </w:r>
    </w:p>
    <w:p w:rsidR="001E1B0A" w:rsidRDefault="001E1B0A" w:rsidP="0032599C"/>
    <w:p w:rsidR="00E6125B" w:rsidRDefault="002929F3" w:rsidP="0032599C">
      <w:r>
        <w:rPr>
          <w:noProof/>
        </w:rPr>
        <w:lastRenderedPageBreak/>
        <w:drawing>
          <wp:inline distT="0" distB="0" distL="0" distR="0" wp14:anchorId="09E500DF">
            <wp:extent cx="5669915" cy="2871470"/>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3A0D0C" w:rsidRDefault="003A0D0C" w:rsidP="003A0D0C">
      <w:pPr>
        <w:pStyle w:val="Heading3"/>
      </w:pPr>
      <w:r>
        <w:t>B3</w:t>
      </w:r>
      <w:r>
        <w:tab/>
      </w:r>
      <w:r w:rsidRPr="00DA6E95">
        <w:t>ST-Elevation myocardial infarction</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097D78" w:rsidRDefault="002929F3" w:rsidP="00104812">
      <w:r>
        <w:t>846</w:t>
      </w:r>
      <w:r w:rsidR="00097D78">
        <w:t xml:space="preserve"> STEMI patients</w:t>
      </w:r>
      <w:r w:rsidR="00104812">
        <w:t xml:space="preserve"> </w:t>
      </w:r>
      <w:r w:rsidR="00104812" w:rsidRPr="00DA6E95">
        <w:t>receiv</w:t>
      </w:r>
      <w:r w:rsidR="00104812">
        <w:t xml:space="preserve">ed </w:t>
      </w:r>
      <w:r w:rsidR="00104812" w:rsidRPr="00DA6E95">
        <w:t>primary angioplasty</w:t>
      </w:r>
      <w:r w:rsidR="00104812" w:rsidRPr="00940A61">
        <w:t xml:space="preserve"> </w:t>
      </w:r>
      <w:r w:rsidR="00104812">
        <w:t xml:space="preserve">in </w:t>
      </w:r>
      <w:r>
        <w:t>September</w:t>
      </w:r>
      <w:r w:rsidR="005612D9">
        <w:t xml:space="preserve"> </w:t>
      </w:r>
      <w:r w:rsidR="00104812" w:rsidRPr="00597ACE">
        <w:t>2015</w:t>
      </w:r>
      <w:r w:rsidR="00104812">
        <w:t xml:space="preserve"> in England</w:t>
      </w:r>
      <w:r w:rsidR="00097D78">
        <w:t>, this is the lowest figure since data collection be</w:t>
      </w:r>
      <w:r>
        <w:t xml:space="preserve">gan in April 2011. Of these 846 </w:t>
      </w:r>
      <w:r w:rsidR="00097D78">
        <w:t>patients</w:t>
      </w:r>
      <w:r w:rsidR="00104812" w:rsidRPr="00DA6E95">
        <w:t xml:space="preserve">, </w:t>
      </w:r>
      <w:r>
        <w:t>736</w:t>
      </w:r>
      <w:r w:rsidR="00104812" w:rsidRPr="00957E91">
        <w:t xml:space="preserve"> </w:t>
      </w:r>
      <w:r w:rsidR="00104812">
        <w:t>(8</w:t>
      </w:r>
      <w:r>
        <w:t>7</w:t>
      </w:r>
      <w:r w:rsidR="00E568E2">
        <w:t>.0</w:t>
      </w:r>
      <w:r w:rsidR="00104812" w:rsidRPr="00433A74">
        <w:t>%</w:t>
      </w:r>
      <w:r w:rsidR="00104812">
        <w:t xml:space="preserve">) of them </w:t>
      </w:r>
      <w:r w:rsidR="00104812" w:rsidRPr="00DA6E95">
        <w:t xml:space="preserve">received </w:t>
      </w:r>
      <w:r w:rsidR="00104812">
        <w:t xml:space="preserve">it </w:t>
      </w:r>
      <w:r w:rsidR="00104812" w:rsidRPr="00DA6E95">
        <w:t>within 150 minutes of the call being connected to the ambulance service</w:t>
      </w:r>
      <w:r w:rsidR="00104812">
        <w:t xml:space="preserve"> (Figure </w:t>
      </w:r>
      <w:r w:rsidR="005612D9">
        <w:t>7</w:t>
      </w:r>
      <w:r w:rsidR="00ED39A0">
        <w:t xml:space="preserve">), </w:t>
      </w:r>
      <w:r w:rsidR="0083071A">
        <w:t>similar to</w:t>
      </w:r>
      <w:r w:rsidR="00B855BA">
        <w:t xml:space="preserve"> </w:t>
      </w:r>
      <w:r w:rsidR="00104812" w:rsidRPr="00D96387">
        <w:t xml:space="preserve">the </w:t>
      </w:r>
      <w:r>
        <w:t>average for 2014-15</w:t>
      </w:r>
      <w:r w:rsidR="00ED39A0">
        <w:t>. T</w:t>
      </w:r>
      <w:r w:rsidR="00E125FC" w:rsidRPr="008132F5">
        <w:t xml:space="preserve">he largest proportion </w:t>
      </w:r>
      <w:r>
        <w:t>for September</w:t>
      </w:r>
      <w:r w:rsidR="00E125FC">
        <w:t xml:space="preserve"> </w:t>
      </w:r>
      <w:r w:rsidR="00E125FC" w:rsidRPr="000F537D">
        <w:t>2015</w:t>
      </w:r>
      <w:r w:rsidR="00E125FC">
        <w:t xml:space="preserve"> </w:t>
      </w:r>
      <w:r w:rsidR="00E125FC" w:rsidRPr="008132F5">
        <w:t xml:space="preserve">was </w:t>
      </w:r>
      <w:r>
        <w:t>92.7</w:t>
      </w:r>
      <w:r w:rsidR="00E125FC" w:rsidRPr="00432C67">
        <w:t xml:space="preserve">% </w:t>
      </w:r>
      <w:r w:rsidR="00E125FC">
        <w:t>for</w:t>
      </w:r>
      <w:r w:rsidR="00E125FC" w:rsidRPr="008132F5">
        <w:t xml:space="preserve"> </w:t>
      </w:r>
      <w:r>
        <w:t>London</w:t>
      </w:r>
      <w:r w:rsidR="00E125FC">
        <w:t xml:space="preserve">, and the </w:t>
      </w:r>
      <w:r w:rsidR="00E125FC" w:rsidRPr="008132F5">
        <w:t>smallest</w:t>
      </w:r>
      <w:r w:rsidR="008C3945">
        <w:t xml:space="preserve"> </w:t>
      </w:r>
      <w:r w:rsidR="00E125FC" w:rsidRPr="008132F5">
        <w:t>was</w:t>
      </w:r>
      <w:r>
        <w:t xml:space="preserve"> 80</w:t>
      </w:r>
      <w:r w:rsidR="00E125FC" w:rsidRPr="00433A74">
        <w:t xml:space="preserve">% </w:t>
      </w:r>
      <w:r w:rsidR="00E125FC">
        <w:t xml:space="preserve">for </w:t>
      </w:r>
      <w:r>
        <w:t>Yorkshire</w:t>
      </w:r>
      <w:r w:rsidR="00097D78">
        <w:rPr>
          <w:rStyle w:val="FootnoteReference"/>
        </w:rPr>
        <w:footnoteReference w:id="9"/>
      </w:r>
      <w:r w:rsidR="00E6125B">
        <w:t>.</w:t>
      </w:r>
    </w:p>
    <w:p w:rsidR="00D30055" w:rsidRDefault="002929F3" w:rsidP="00104812">
      <w:r>
        <w:rPr>
          <w:noProof/>
        </w:rPr>
        <w:drawing>
          <wp:inline distT="0" distB="0" distL="0" distR="0" wp14:anchorId="6D013683">
            <wp:extent cx="5600700" cy="2847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2605" cy="2848944"/>
                    </a:xfrm>
                    <a:prstGeom prst="rect">
                      <a:avLst/>
                    </a:prstGeom>
                    <a:noFill/>
                  </pic:spPr>
                </pic:pic>
              </a:graphicData>
            </a:graphic>
          </wp:inline>
        </w:drawing>
      </w:r>
    </w:p>
    <w:p w:rsidR="00104812" w:rsidRDefault="002929F3" w:rsidP="00104812">
      <w:r>
        <w:lastRenderedPageBreak/>
        <w:t>In September</w:t>
      </w:r>
      <w:r w:rsidR="00104812">
        <w:t xml:space="preserve"> </w:t>
      </w:r>
      <w:r w:rsidR="00104812" w:rsidRPr="0079282B">
        <w:t>2015</w:t>
      </w:r>
      <w:r w:rsidR="00104812">
        <w:t xml:space="preserve">, of </w:t>
      </w:r>
      <w:r w:rsidR="00097D78">
        <w:t>1,</w:t>
      </w:r>
      <w:r>
        <w:t>192</w:t>
      </w:r>
      <w:r w:rsidR="00B730BB">
        <w:t xml:space="preserve"> </w:t>
      </w:r>
      <w:r w:rsidR="00104812" w:rsidRPr="00DA6E95">
        <w:t>patients with an acute STEMI</w:t>
      </w:r>
      <w:r w:rsidR="00104812" w:rsidRPr="00940A61">
        <w:t xml:space="preserve"> </w:t>
      </w:r>
      <w:r w:rsidR="00104812">
        <w:t xml:space="preserve">in England, </w:t>
      </w:r>
      <w:r>
        <w:t>946</w:t>
      </w:r>
      <w:r w:rsidR="00B855BA" w:rsidRPr="00B855BA">
        <w:t xml:space="preserve"> </w:t>
      </w:r>
      <w:r w:rsidR="004A1C61">
        <w:t>(7</w:t>
      </w:r>
      <w:r w:rsidR="00E40720">
        <w:t>9.4</w:t>
      </w:r>
      <w:r w:rsidR="00104812" w:rsidRPr="00432C67">
        <w:t>%</w:t>
      </w:r>
      <w:r w:rsidR="00104812">
        <w:t>)</w:t>
      </w:r>
      <w:r w:rsidR="00104812" w:rsidRPr="00432C67">
        <w:t xml:space="preserve"> </w:t>
      </w:r>
      <w:r w:rsidR="00104812" w:rsidRPr="00DA6E95">
        <w:t>received the appropriate care bundle</w:t>
      </w:r>
      <w:r w:rsidR="00104812">
        <w:rPr>
          <w:rStyle w:val="FootnoteReference"/>
        </w:rPr>
        <w:footnoteReference w:id="10"/>
      </w:r>
      <w:r w:rsidR="00104812">
        <w:t xml:space="preserve">. This was </w:t>
      </w:r>
      <w:r w:rsidR="00B730BB">
        <w:t>similar to t</w:t>
      </w:r>
      <w:r w:rsidR="00104812">
        <w:t>he average for 2014-15 of 80</w:t>
      </w:r>
      <w:r w:rsidR="00775DE6">
        <w:t>.0</w:t>
      </w:r>
      <w:r w:rsidR="00104812">
        <w:t>%.</w:t>
      </w:r>
      <w:r w:rsidR="0023382F">
        <w:t xml:space="preserve"> </w:t>
      </w:r>
      <w:r w:rsidR="00E40720">
        <w:t>North West</w:t>
      </w:r>
      <w:r w:rsidR="00A32CDF" w:rsidRPr="00A32CDF">
        <w:t xml:space="preserve"> h</w:t>
      </w:r>
      <w:r w:rsidR="004A1C61">
        <w:t>ad the largest proportion</w:t>
      </w:r>
      <w:r w:rsidR="00E40720">
        <w:t xml:space="preserve"> with 97.3</w:t>
      </w:r>
      <w:r w:rsidR="00A32CDF" w:rsidRPr="00A32CDF">
        <w:t xml:space="preserve">%, and </w:t>
      </w:r>
      <w:r w:rsidR="004A1C61">
        <w:t>the sm</w:t>
      </w:r>
      <w:r w:rsidR="00912200">
        <w:t>allest was So</w:t>
      </w:r>
      <w:r w:rsidR="005376AA">
        <w:t>uth East Coast with 6</w:t>
      </w:r>
      <w:r w:rsidR="00775DE6">
        <w:t>6.</w:t>
      </w:r>
      <w:r w:rsidR="005376AA">
        <w:t>7</w:t>
      </w:r>
      <w:r w:rsidR="004A1C61">
        <w:t>%</w:t>
      </w:r>
      <w:r w:rsidR="00A32CDF" w:rsidRPr="00A32CDF">
        <w:t>.</w:t>
      </w:r>
      <w:r w:rsidR="008A271E">
        <w:rPr>
          <w:noProof/>
        </w:rPr>
        <w:t xml:space="preserve"> </w:t>
      </w:r>
      <w:r w:rsidR="004F47C7">
        <w:rPr>
          <w:noProof/>
        </w:rPr>
        <w:t>In September 2015, t</w:t>
      </w:r>
      <w:r w:rsidR="008A271E">
        <w:rPr>
          <w:noProof/>
        </w:rPr>
        <w:t>he</w:t>
      </w:r>
      <w:r w:rsidR="004F47C7">
        <w:rPr>
          <w:noProof/>
        </w:rPr>
        <w:t xml:space="preserve"> total number and the daily average for</w:t>
      </w:r>
      <w:r w:rsidR="008A271E">
        <w:rPr>
          <w:noProof/>
        </w:rPr>
        <w:t xml:space="preserve"> patients</w:t>
      </w:r>
      <w:r w:rsidR="004F47C7">
        <w:rPr>
          <w:noProof/>
        </w:rPr>
        <w:t xml:space="preserve"> with an acute STEMI was the lowest since this recording began in April 2011. </w:t>
      </w:r>
    </w:p>
    <w:p w:rsidR="003A0D0C" w:rsidRDefault="003A0D0C" w:rsidP="003A0D0C">
      <w:pPr>
        <w:pStyle w:val="Heading3"/>
      </w:pPr>
      <w:r>
        <w:t>B4</w:t>
      </w:r>
      <w:r>
        <w:tab/>
        <w:t xml:space="preserve">Stroke </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95B24" w:rsidRDefault="0032599C" w:rsidP="00312B69">
      <w:r>
        <w:t xml:space="preserve">In </w:t>
      </w:r>
      <w:r w:rsidR="00670741">
        <w:t>September</w:t>
      </w:r>
      <w:r w:rsidR="00C835FB">
        <w:t xml:space="preserve"> </w:t>
      </w:r>
      <w:r w:rsidR="00240F81">
        <w:t>2</w:t>
      </w:r>
      <w:r w:rsidR="00F81BC9" w:rsidRPr="00F81BC9">
        <w:t>015</w:t>
      </w:r>
      <w:r>
        <w:t xml:space="preserve">, of </w:t>
      </w:r>
      <w:r w:rsidR="00670741">
        <w:t>3,289</w:t>
      </w:r>
      <w:r w:rsidR="00B855BA">
        <w:t xml:space="preserve"> </w:t>
      </w:r>
      <w:r>
        <w:t>FAST positive patients</w:t>
      </w:r>
      <w:r w:rsidRPr="00940A61">
        <w:t xml:space="preserve"> </w:t>
      </w:r>
      <w:r>
        <w:t xml:space="preserve">in England, assessed face to face, and potentially eligible for stroke thrombolysis within agreed local guidelines, </w:t>
      </w:r>
      <w:r w:rsidR="00670741">
        <w:t>1,854</w:t>
      </w:r>
      <w:r w:rsidR="005F1582" w:rsidRPr="005F1582">
        <w:t xml:space="preserve"> </w:t>
      </w:r>
      <w:r>
        <w:t>(</w:t>
      </w:r>
      <w:r w:rsidR="00670741">
        <w:t>56</w:t>
      </w:r>
      <w:r w:rsidR="00775DE6">
        <w:t>.4</w:t>
      </w:r>
      <w:r w:rsidRPr="001067D4">
        <w:t>%</w:t>
      </w:r>
      <w:r>
        <w:t>) arrived at hospitals with</w:t>
      </w:r>
      <w:r w:rsidRPr="00DA6E95">
        <w:t xml:space="preserve"> a hyperacute stroke unit within 60 minutes</w:t>
      </w:r>
      <w:r>
        <w:t xml:space="preserve"> of an emergency call connecting to the ambulanc</w:t>
      </w:r>
      <w:r w:rsidR="00881BB4">
        <w:t>e service</w:t>
      </w:r>
      <w:r w:rsidR="006034E1">
        <w:t xml:space="preserve">, </w:t>
      </w:r>
      <w:r w:rsidR="00670741">
        <w:t xml:space="preserve">slightly below </w:t>
      </w:r>
      <w:r w:rsidR="00B855BA">
        <w:t xml:space="preserve">the </w:t>
      </w:r>
      <w:r w:rsidR="00806A50">
        <w:t>average for 2014-15 of 59</w:t>
      </w:r>
      <w:r w:rsidR="00775DE6">
        <w:t>.0</w:t>
      </w:r>
      <w:r w:rsidR="00806A50">
        <w:t>%</w:t>
      </w:r>
      <w:r w:rsidR="00E6125B">
        <w:t>.</w:t>
      </w:r>
      <w:r w:rsidR="00A56A04" w:rsidRPr="00A56A04">
        <w:rPr>
          <w:highlight w:val="yellow"/>
        </w:rPr>
        <w:t xml:space="preserve"> </w:t>
      </w:r>
    </w:p>
    <w:p w:rsidR="00312B69" w:rsidRDefault="00312B69" w:rsidP="00312B69">
      <w:r w:rsidRPr="008E44F8">
        <w:t xml:space="preserve">The largest proportion in the month of </w:t>
      </w:r>
      <w:r w:rsidR="008A271E">
        <w:t>September</w:t>
      </w:r>
      <w:r>
        <w:t xml:space="preserve"> </w:t>
      </w:r>
      <w:r w:rsidR="008A271E">
        <w:t>2015 was 64.5</w:t>
      </w:r>
      <w:r w:rsidR="00A56A04">
        <w:t xml:space="preserve">% for </w:t>
      </w:r>
      <w:r w:rsidR="008A271E">
        <w:t>South East Coast</w:t>
      </w:r>
      <w:r w:rsidRPr="008E44F8">
        <w:t xml:space="preserve">, and the smallest was </w:t>
      </w:r>
      <w:r w:rsidR="008A271E">
        <w:t>40.2</w:t>
      </w:r>
      <w:r w:rsidRPr="008E44F8">
        <w:t xml:space="preserve">% for </w:t>
      </w:r>
      <w:r w:rsidR="0082415F">
        <w:t>South Western</w:t>
      </w:r>
      <w:r w:rsidRPr="008E44F8">
        <w:t>.</w:t>
      </w:r>
    </w:p>
    <w:p w:rsidR="006E6FAF" w:rsidRDefault="006A5F54" w:rsidP="001E75EA">
      <w:bookmarkStart w:id="2" w:name="OLE_LINK3"/>
      <w:r>
        <w:t>T</w:t>
      </w:r>
      <w:r w:rsidR="00033CF1">
        <w:t xml:space="preserve">here were </w:t>
      </w:r>
      <w:r w:rsidR="008A271E">
        <w:t>7,5</w:t>
      </w:r>
      <w:r w:rsidR="0082415F">
        <w:t>4</w:t>
      </w:r>
      <w:r w:rsidR="008A271E">
        <w:t>1</w:t>
      </w:r>
      <w:r w:rsidR="00842445" w:rsidRPr="00842445">
        <w:t xml:space="preserve"> </w:t>
      </w:r>
      <w:r w:rsidR="00033CF1">
        <w:t>stroke patients</w:t>
      </w:r>
      <w:r w:rsidR="00033CF1" w:rsidRPr="00940A61">
        <w:t xml:space="preserve"> </w:t>
      </w:r>
      <w:r w:rsidR="00033CF1">
        <w:t>assessed face to face</w:t>
      </w:r>
      <w:r w:rsidR="00033CF1" w:rsidRPr="007920B1">
        <w:t xml:space="preserve"> </w:t>
      </w:r>
      <w:r w:rsidR="00033CF1">
        <w:t xml:space="preserve">in </w:t>
      </w:r>
      <w:r w:rsidR="008A271E">
        <w:t>September</w:t>
      </w:r>
      <w:r w:rsidR="00842445">
        <w:t xml:space="preserve"> </w:t>
      </w:r>
      <w:r w:rsidR="006E6FAF" w:rsidRPr="006E6FAF">
        <w:t>2015</w:t>
      </w:r>
      <w:r w:rsidR="006E6FAF">
        <w:t xml:space="preserve"> </w:t>
      </w:r>
      <w:r w:rsidR="00033CF1">
        <w:t xml:space="preserve">in England, and </w:t>
      </w:r>
      <w:r w:rsidR="008A271E">
        <w:t>7,351</w:t>
      </w:r>
      <w:r w:rsidR="00A56A04" w:rsidRPr="00A56A04">
        <w:t xml:space="preserve"> </w:t>
      </w:r>
      <w:r w:rsidR="00A56A04">
        <w:t>(97</w:t>
      </w:r>
      <w:r w:rsidR="00003216">
        <w:t>.5</w:t>
      </w:r>
      <w:r w:rsidR="00033CF1" w:rsidRPr="002502D1">
        <w:t>%</w:t>
      </w:r>
      <w:r w:rsidR="00033CF1">
        <w:t>)</w:t>
      </w:r>
      <w:r w:rsidR="00033CF1" w:rsidRPr="001A6875">
        <w:t xml:space="preserve"> </w:t>
      </w:r>
      <w:r w:rsidR="00033CF1">
        <w:t xml:space="preserve">received </w:t>
      </w:r>
      <w:r w:rsidR="00033CF1" w:rsidRPr="00DA6E95">
        <w:t>the appropriate care bundle</w:t>
      </w:r>
      <w:r w:rsidR="00775DE6">
        <w:t xml:space="preserve">, similar to </w:t>
      </w:r>
      <w:r w:rsidR="00CE0C83">
        <w:t>the average for 2014-15 of</w:t>
      </w:r>
      <w:r w:rsidR="006034E1">
        <w:t xml:space="preserve"> </w:t>
      </w:r>
      <w:r w:rsidR="00352975">
        <w:t>97</w:t>
      </w:r>
      <w:bookmarkEnd w:id="2"/>
      <w:r w:rsidR="00775DE6">
        <w:t>.1</w:t>
      </w:r>
      <w:r w:rsidR="00E97670">
        <w:t>%</w:t>
      </w:r>
      <w:r w:rsidR="009A4740">
        <w:t>.</w:t>
      </w:r>
      <w:r w:rsidR="00421AE3">
        <w:t xml:space="preserve"> </w:t>
      </w:r>
    </w:p>
    <w:p w:rsidR="00881F90" w:rsidRDefault="008A271E" w:rsidP="0032599C">
      <w:r>
        <w:rPr>
          <w:noProof/>
        </w:rPr>
        <w:drawing>
          <wp:inline distT="0" distB="0" distL="0" distR="0" wp14:anchorId="66B8CFC0">
            <wp:extent cx="5517515" cy="28778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7515" cy="2877820"/>
                    </a:xfrm>
                    <a:prstGeom prst="rect">
                      <a:avLst/>
                    </a:prstGeom>
                    <a:noFill/>
                  </pic:spPr>
                </pic:pic>
              </a:graphicData>
            </a:graphic>
          </wp:inline>
        </w:drawing>
      </w:r>
    </w:p>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807A7C" w:rsidP="003A0D0C">
      <w:pPr>
        <w:rPr>
          <w:rFonts w:cs="Arial"/>
        </w:rPr>
      </w:pPr>
      <w:hyperlink r:id="rId19" w:history="1">
        <w:r w:rsidR="003A0D0C" w:rsidRPr="005D248D">
          <w:rPr>
            <w:rStyle w:val="Hyperlink"/>
            <w:rFonts w:cs="Arial"/>
          </w:rPr>
          <w:t>www.england.nhs.uk/statistics/statistical-work-areas/ambulance-quality-indicators</w:t>
        </w:r>
      </w:hyperlink>
      <w:r w:rsidR="003A0D0C">
        <w:rPr>
          <w:rFonts w:cs="Arial"/>
        </w:rPr>
        <w:t xml:space="preserve">, or </w:t>
      </w:r>
      <w:hyperlink r:id="rId20"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1" w:history="1">
        <w:r w:rsidR="001E75EA">
          <w:rPr>
            <w:rStyle w:val="Hyperlink"/>
          </w:rPr>
          <w:t>www.gov.uk/government/statistics/announcements</w:t>
        </w:r>
      </w:hyperlink>
      <w:r>
        <w:t>.</w:t>
      </w: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12 May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Systems Indicators</w:t>
            </w:r>
          </w:p>
        </w:tc>
        <w:tc>
          <w:tcPr>
            <w:tcW w:w="236" w:type="dxa"/>
            <w:tcBorders>
              <w:top w:val="nil"/>
              <w:bottom w:val="nil"/>
            </w:tcBorders>
            <w:tcMar>
              <w:left w:w="57" w:type="dxa"/>
              <w:right w:w="57" w:type="dxa"/>
            </w:tcMar>
          </w:tcPr>
          <w:p w:rsidR="00B870E5" w:rsidRDefault="00B870E5" w:rsidP="00CE0C83">
            <w:pPr>
              <w:pStyle w:val="NoSpacing"/>
            </w:pPr>
          </w:p>
        </w:tc>
        <w:tc>
          <w:tcPr>
            <w:tcW w:w="3585" w:type="dxa"/>
            <w:tcBorders>
              <w:top w:val="nil"/>
              <w:bottom w:val="nil"/>
            </w:tcBorders>
            <w:tcMar>
              <w:left w:w="57" w:type="dxa"/>
              <w:right w:w="57" w:type="dxa"/>
            </w:tcMar>
          </w:tcPr>
          <w:p w:rsidR="00B870E5" w:rsidRDefault="00B870E5" w:rsidP="00B870E5">
            <w:pPr>
              <w:pStyle w:val="NoSpacing"/>
            </w:pPr>
            <w:r>
              <w:t>April 2015 to February 2016</w:t>
            </w:r>
          </w:p>
        </w:tc>
      </w:tr>
      <w:tr w:rsidR="00B870E5" w:rsidTr="00C73251">
        <w:trPr>
          <w:trHeight w:val="454"/>
        </w:trPr>
        <w:tc>
          <w:tcPr>
            <w:tcW w:w="2268" w:type="dxa"/>
            <w:tcBorders>
              <w:top w:val="nil"/>
              <w:bottom w:val="nil"/>
            </w:tcBorders>
            <w:tcMar>
              <w:left w:w="57" w:type="dxa"/>
              <w:right w:w="57" w:type="dxa"/>
            </w:tcMar>
          </w:tcPr>
          <w:p w:rsidR="00B870E5" w:rsidRDefault="00B870E5" w:rsidP="005B5932">
            <w:pPr>
              <w:pStyle w:val="NoSpacing"/>
              <w:jc w:val="right"/>
            </w:pPr>
            <w:r>
              <w:t>10 March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CE0C83">
            <w:pPr>
              <w:pStyle w:val="NoSpacing"/>
              <w:jc w:val="center"/>
            </w:pPr>
          </w:p>
        </w:tc>
        <w:tc>
          <w:tcPr>
            <w:tcW w:w="3585" w:type="dxa"/>
            <w:tcBorders>
              <w:top w:val="nil"/>
              <w:bottom w:val="nil"/>
            </w:tcBorders>
            <w:tcMar>
              <w:left w:w="57" w:type="dxa"/>
              <w:right w:w="57" w:type="dxa"/>
            </w:tcMar>
          </w:tcPr>
          <w:p w:rsidR="00B870E5" w:rsidRPr="005B5932" w:rsidRDefault="00B870E5" w:rsidP="00CE0C83">
            <w:pPr>
              <w:pStyle w:val="NoSpacing"/>
            </w:pPr>
            <w:r>
              <w:t xml:space="preserve">April 2015 </w:t>
            </w:r>
            <w:r w:rsidRPr="005B5932">
              <w:t xml:space="preserve">to </w:t>
            </w:r>
            <w:r>
              <w:t xml:space="preserve">September </w:t>
            </w:r>
            <w:r w:rsidRPr="005B5932">
              <w:t>2015</w:t>
            </w:r>
          </w:p>
        </w:tc>
      </w:tr>
      <w:tr w:rsidR="00B870E5" w:rsidTr="005B5932">
        <w:trPr>
          <w:trHeight w:val="80"/>
        </w:trPr>
        <w:tc>
          <w:tcPr>
            <w:tcW w:w="2268" w:type="dxa"/>
            <w:tcBorders>
              <w:top w:val="nil"/>
              <w:bottom w:val="nil"/>
            </w:tcBorders>
            <w:tcMar>
              <w:left w:w="57" w:type="dxa"/>
              <w:right w:w="57" w:type="dxa"/>
            </w:tcMar>
          </w:tcPr>
          <w:p w:rsidR="00B870E5" w:rsidRDefault="00B870E5" w:rsidP="005B5932">
            <w:pPr>
              <w:pStyle w:val="NoSpacing"/>
              <w:jc w:val="right"/>
            </w:pPr>
            <w:r>
              <w:t>10 September 2015</w:t>
            </w:r>
          </w:p>
        </w:tc>
        <w:tc>
          <w:tcPr>
            <w:tcW w:w="284" w:type="dxa"/>
            <w:tcBorders>
              <w:top w:val="nil"/>
              <w:bottom w:val="nil"/>
            </w:tcBorders>
            <w:tcMar>
              <w:left w:w="57" w:type="dxa"/>
              <w:right w:w="57" w:type="dxa"/>
            </w:tcMar>
          </w:tcPr>
          <w:p w:rsidR="00B870E5" w:rsidRPr="005B5932" w:rsidRDefault="00B870E5" w:rsidP="005B5932">
            <w:pPr>
              <w:pStyle w:val="NoSpacing"/>
              <w:jc w:val="center"/>
            </w:pPr>
          </w:p>
        </w:tc>
        <w:tc>
          <w:tcPr>
            <w:tcW w:w="2149" w:type="dxa"/>
            <w:tcBorders>
              <w:top w:val="nil"/>
              <w:bottom w:val="nil"/>
            </w:tcBorders>
            <w:tcMar>
              <w:left w:w="57" w:type="dxa"/>
              <w:right w:w="57" w:type="dxa"/>
            </w:tcMar>
          </w:tcPr>
          <w:p w:rsidR="00B870E5" w:rsidRPr="00B4687B" w:rsidRDefault="00B870E5" w:rsidP="005B5932">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5B5932">
            <w:pPr>
              <w:pStyle w:val="NoSpacing"/>
              <w:jc w:val="center"/>
            </w:pPr>
          </w:p>
        </w:tc>
        <w:tc>
          <w:tcPr>
            <w:tcW w:w="3585" w:type="dxa"/>
            <w:tcBorders>
              <w:top w:val="nil"/>
              <w:bottom w:val="nil"/>
            </w:tcBorders>
            <w:tcMar>
              <w:left w:w="57" w:type="dxa"/>
              <w:right w:w="57" w:type="dxa"/>
            </w:tcMar>
          </w:tcPr>
          <w:p w:rsidR="00B870E5" w:rsidRPr="005B5932" w:rsidRDefault="00B870E5" w:rsidP="005B5932">
            <w:pPr>
              <w:pStyle w:val="NoSpacing"/>
            </w:pPr>
            <w:r w:rsidRPr="005B5932">
              <w:t>April 2014 to March 2015</w:t>
            </w:r>
          </w:p>
        </w:tc>
      </w:tr>
      <w:tr w:rsidR="00B870E5" w:rsidTr="005B5932">
        <w:trPr>
          <w:trHeight w:val="80"/>
        </w:trPr>
        <w:tc>
          <w:tcPr>
            <w:tcW w:w="2268" w:type="dxa"/>
            <w:tcBorders>
              <w:top w:val="nil"/>
            </w:tcBorders>
            <w:tcMar>
              <w:left w:w="57" w:type="dxa"/>
              <w:right w:w="57" w:type="dxa"/>
            </w:tcMar>
          </w:tcPr>
          <w:p w:rsidR="00B870E5" w:rsidRDefault="00B870E5" w:rsidP="005B5932">
            <w:pPr>
              <w:pStyle w:val="NoSpacing"/>
              <w:jc w:val="right"/>
            </w:pPr>
            <w:r>
              <w:t>4 June 2015</w:t>
            </w:r>
          </w:p>
        </w:tc>
        <w:tc>
          <w:tcPr>
            <w:tcW w:w="284" w:type="dxa"/>
            <w:tcBorders>
              <w:top w:val="nil"/>
            </w:tcBorders>
            <w:tcMar>
              <w:left w:w="57" w:type="dxa"/>
              <w:right w:w="57" w:type="dxa"/>
            </w:tcMar>
          </w:tcPr>
          <w:p w:rsidR="00B870E5" w:rsidRPr="00B4687B" w:rsidRDefault="00B870E5" w:rsidP="002221E6">
            <w:pPr>
              <w:pStyle w:val="NoSpacing"/>
            </w:pPr>
          </w:p>
        </w:tc>
        <w:tc>
          <w:tcPr>
            <w:tcW w:w="2149" w:type="dxa"/>
            <w:tcBorders>
              <w:top w:val="nil"/>
            </w:tcBorders>
            <w:tcMar>
              <w:left w:w="57" w:type="dxa"/>
              <w:right w:w="57" w:type="dxa"/>
            </w:tcMar>
          </w:tcPr>
          <w:p w:rsidR="00B870E5" w:rsidRPr="00B4687B" w:rsidRDefault="00B870E5" w:rsidP="002221E6">
            <w:pPr>
              <w:pStyle w:val="NoSpacing"/>
            </w:pPr>
            <w:r w:rsidRPr="00B4687B">
              <w:t>Systems Indicators</w:t>
            </w:r>
          </w:p>
        </w:tc>
        <w:tc>
          <w:tcPr>
            <w:tcW w:w="236" w:type="dxa"/>
            <w:tcBorders>
              <w:top w:val="nil"/>
            </w:tcBorders>
            <w:tcMar>
              <w:left w:w="57" w:type="dxa"/>
              <w:right w:w="57" w:type="dxa"/>
            </w:tcMar>
          </w:tcPr>
          <w:p w:rsidR="00B870E5" w:rsidRDefault="00B870E5" w:rsidP="002221E6">
            <w:pPr>
              <w:pStyle w:val="NoSpacing"/>
            </w:pPr>
          </w:p>
        </w:tc>
        <w:tc>
          <w:tcPr>
            <w:tcW w:w="3585" w:type="dxa"/>
            <w:tcBorders>
              <w:top w:val="nil"/>
            </w:tcBorders>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30 April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5 March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September 2014</w:t>
            </w:r>
          </w:p>
        </w:tc>
      </w:tr>
      <w:tr w:rsidR="00B870E5" w:rsidTr="00E57244">
        <w:trPr>
          <w:trHeight w:val="137"/>
        </w:trPr>
        <w:tc>
          <w:tcPr>
            <w:tcW w:w="2268" w:type="dxa"/>
            <w:tcMar>
              <w:left w:w="57" w:type="dxa"/>
              <w:right w:w="57" w:type="dxa"/>
            </w:tcMar>
          </w:tcPr>
          <w:p w:rsidR="00B870E5" w:rsidRDefault="00B870E5" w:rsidP="002221E6">
            <w:pPr>
              <w:pStyle w:val="NoSpacing"/>
              <w:jc w:val="right"/>
            </w:pPr>
            <w:r>
              <w:t>6 November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2014</w:t>
            </w:r>
          </w:p>
        </w:tc>
      </w:tr>
      <w:tr w:rsidR="00B870E5" w:rsidTr="00E57244">
        <w:trPr>
          <w:trHeight w:val="137"/>
        </w:trPr>
        <w:tc>
          <w:tcPr>
            <w:tcW w:w="2268" w:type="dxa"/>
            <w:tcMar>
              <w:left w:w="57" w:type="dxa"/>
              <w:right w:w="57" w:type="dxa"/>
            </w:tcMar>
          </w:tcPr>
          <w:p w:rsidR="00B870E5" w:rsidRPr="00875FD5" w:rsidRDefault="00B870E5" w:rsidP="002221E6">
            <w:pPr>
              <w:pStyle w:val="NoSpacing"/>
              <w:jc w:val="right"/>
            </w:pPr>
            <w:r>
              <w:t>5 September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March 2014</w:t>
            </w:r>
          </w:p>
        </w:tc>
      </w:tr>
      <w:tr w:rsidR="00B870E5" w:rsidTr="00E57244">
        <w:trPr>
          <w:trHeight w:val="271"/>
        </w:trPr>
        <w:tc>
          <w:tcPr>
            <w:tcW w:w="2268" w:type="dxa"/>
            <w:tcMar>
              <w:left w:w="57" w:type="dxa"/>
              <w:right w:w="57" w:type="dxa"/>
            </w:tcMar>
          </w:tcPr>
          <w:p w:rsidR="00B870E5" w:rsidRDefault="00B870E5" w:rsidP="002221E6">
            <w:pPr>
              <w:pStyle w:val="NoSpacing"/>
              <w:jc w:val="right"/>
            </w:pPr>
            <w:r>
              <w:t>2 May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February 2014</w:t>
            </w:r>
          </w:p>
        </w:tc>
      </w:tr>
      <w:tr w:rsidR="00B870E5" w:rsidTr="00E57244">
        <w:trPr>
          <w:trHeight w:val="70"/>
        </w:trPr>
        <w:tc>
          <w:tcPr>
            <w:tcW w:w="2268" w:type="dxa"/>
            <w:tcMar>
              <w:left w:w="57" w:type="dxa"/>
              <w:right w:w="57" w:type="dxa"/>
            </w:tcMar>
          </w:tcPr>
          <w:p w:rsidR="00B870E5" w:rsidRDefault="00B870E5" w:rsidP="002221E6">
            <w:pPr>
              <w:pStyle w:val="NoSpacing"/>
              <w:jc w:val="right"/>
            </w:pPr>
            <w:r>
              <w:t>7 March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September 2013</w:t>
            </w:r>
          </w:p>
        </w:tc>
      </w:tr>
      <w:tr w:rsidR="00B870E5" w:rsidTr="00E57244">
        <w:trPr>
          <w:trHeight w:val="123"/>
        </w:trPr>
        <w:tc>
          <w:tcPr>
            <w:tcW w:w="2268" w:type="dxa"/>
            <w:tcMar>
              <w:left w:w="57" w:type="dxa"/>
              <w:right w:w="57" w:type="dxa"/>
            </w:tcMar>
          </w:tcPr>
          <w:p w:rsidR="00B870E5" w:rsidRDefault="00B870E5" w:rsidP="002221E6">
            <w:pPr>
              <w:pStyle w:val="NoSpacing"/>
              <w:jc w:val="right"/>
            </w:pPr>
            <w:r>
              <w:t>1 November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2013</w:t>
            </w:r>
          </w:p>
        </w:tc>
      </w:tr>
      <w:tr w:rsidR="00B870E5" w:rsidTr="00E57244">
        <w:trPr>
          <w:trHeight w:val="269"/>
        </w:trPr>
        <w:tc>
          <w:tcPr>
            <w:tcW w:w="2268" w:type="dxa"/>
            <w:tcMar>
              <w:left w:w="57" w:type="dxa"/>
              <w:right w:w="57" w:type="dxa"/>
            </w:tcMar>
          </w:tcPr>
          <w:p w:rsidR="00B870E5" w:rsidRDefault="00B870E5" w:rsidP="002221E6">
            <w:pPr>
              <w:pStyle w:val="NoSpacing"/>
              <w:jc w:val="right"/>
            </w:pPr>
            <w:r>
              <w:t>2 August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18"/>
        </w:trPr>
        <w:tc>
          <w:tcPr>
            <w:tcW w:w="2268" w:type="dxa"/>
            <w:tcMar>
              <w:left w:w="57" w:type="dxa"/>
              <w:right w:w="57" w:type="dxa"/>
            </w:tcMar>
          </w:tcPr>
          <w:p w:rsidR="00B870E5" w:rsidRDefault="00B870E5" w:rsidP="002221E6">
            <w:pPr>
              <w:pStyle w:val="NoSpacing"/>
              <w:jc w:val="right"/>
            </w:pPr>
            <w:r>
              <w:t>3 May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21"/>
        </w:trPr>
        <w:tc>
          <w:tcPr>
            <w:tcW w:w="2268" w:type="dxa"/>
            <w:tcMar>
              <w:left w:w="57" w:type="dxa"/>
              <w:right w:w="57" w:type="dxa"/>
            </w:tcMar>
          </w:tcPr>
          <w:p w:rsidR="00B870E5" w:rsidRDefault="00B870E5" w:rsidP="002221E6">
            <w:pPr>
              <w:pStyle w:val="NoSpacing"/>
              <w:jc w:val="right"/>
            </w:pPr>
            <w:r>
              <w:t>1 February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August 2012</w:t>
            </w:r>
          </w:p>
        </w:tc>
      </w:tr>
      <w:tr w:rsidR="00B870E5" w:rsidTr="00E57244">
        <w:trPr>
          <w:trHeight w:val="267"/>
        </w:trPr>
        <w:tc>
          <w:tcPr>
            <w:tcW w:w="2268" w:type="dxa"/>
            <w:tcMar>
              <w:left w:w="57" w:type="dxa"/>
              <w:right w:w="57" w:type="dxa"/>
            </w:tcMar>
          </w:tcPr>
          <w:p w:rsidR="00B870E5" w:rsidRDefault="00B870E5" w:rsidP="002221E6">
            <w:pPr>
              <w:pStyle w:val="NoSpacing"/>
              <w:jc w:val="right"/>
            </w:pPr>
            <w:r>
              <w:t>11 January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October 2012</w:t>
            </w:r>
          </w:p>
        </w:tc>
      </w:tr>
      <w:tr w:rsidR="00B870E5" w:rsidTr="00E57244">
        <w:trPr>
          <w:trHeight w:val="115"/>
        </w:trPr>
        <w:tc>
          <w:tcPr>
            <w:tcW w:w="2268" w:type="dxa"/>
            <w:tcMar>
              <w:left w:w="57" w:type="dxa"/>
              <w:right w:w="57" w:type="dxa"/>
            </w:tcMar>
          </w:tcPr>
          <w:p w:rsidR="00B870E5" w:rsidRDefault="00B870E5" w:rsidP="002221E6">
            <w:pPr>
              <w:pStyle w:val="NoSpacing"/>
              <w:jc w:val="right"/>
            </w:pPr>
            <w:r>
              <w:t>31 August 2012</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lastRenderedPageBreak/>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2"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23"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24"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807A7C" w:rsidP="002221E6">
            <w:pPr>
              <w:pStyle w:val="NoSpacing"/>
            </w:pPr>
            <w:hyperlink r:id="rId25"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6"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807A7C" w:rsidP="002221E6">
            <w:pPr>
              <w:rPr>
                <w:lang w:eastAsia="en-US"/>
              </w:rPr>
            </w:pPr>
            <w:hyperlink r:id="rId27"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8"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29" w:history="1">
        <w:r w:rsidRPr="009A0418">
          <w:rPr>
            <w:rStyle w:val="Hyperlink"/>
          </w:rPr>
          <w:t>i.kay@nhs.net</w:t>
        </w:r>
      </w:hyperlink>
    </w:p>
    <w:p w:rsidR="00E11703" w:rsidRDefault="003A0D0C" w:rsidP="003A0D0C">
      <w:pPr>
        <w:pStyle w:val="Heading3"/>
      </w:pPr>
      <w:r>
        <w:lastRenderedPageBreak/>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EC40BA">
      <w:headerReference w:type="default" r:id="rId30"/>
      <w:footerReference w:type="default" r:id="rId31"/>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83" w:rsidRDefault="00CE0C83" w:rsidP="008C63D3">
      <w:r>
        <w:separator/>
      </w:r>
    </w:p>
  </w:endnote>
  <w:endnote w:type="continuationSeparator" w:id="0">
    <w:p w:rsidR="00CE0C83" w:rsidRDefault="00CE0C83"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83" w:rsidRDefault="00CE0C83" w:rsidP="00E924D4">
    <w:pPr>
      <w:pStyle w:val="Footer"/>
      <w:tabs>
        <w:tab w:val="clear" w:pos="9026"/>
        <w:tab w:val="left" w:pos="5025"/>
        <w:tab w:val="right" w:pos="8364"/>
      </w:tabs>
    </w:pPr>
    <w:r>
      <w:t xml:space="preserve">NHS </w:t>
    </w:r>
    <w:r w:rsidR="008A271E">
      <w:t>England AQI Statistical Note, 11 February</w:t>
    </w:r>
    <w:r w:rsidR="001A399C">
      <w:t xml:space="preserve"> 2016</w:t>
    </w:r>
    <w:r>
      <w:t>.</w:t>
    </w:r>
    <w:r>
      <w:tab/>
    </w:r>
    <w:r>
      <w:tab/>
      <w:t xml:space="preserve">Page </w:t>
    </w:r>
    <w:r>
      <w:fldChar w:fldCharType="begin"/>
    </w:r>
    <w:r>
      <w:instrText xml:space="preserve"> PAGE   \* MERGEFORMAT </w:instrText>
    </w:r>
    <w:r>
      <w:fldChar w:fldCharType="separate"/>
    </w:r>
    <w:r w:rsidR="00807A7C">
      <w:rPr>
        <w:noProof/>
      </w:rPr>
      <w:t>6</w:t>
    </w:r>
    <w:r>
      <w:rPr>
        <w:noProof/>
      </w:rPr>
      <w:fldChar w:fldCharType="end"/>
    </w:r>
    <w:r>
      <w:rPr>
        <w:noProof/>
      </w:rPr>
      <w:t xml:space="preserve"> of </w:t>
    </w:r>
    <w:r w:rsidR="00807A7C">
      <w:fldChar w:fldCharType="begin"/>
    </w:r>
    <w:r w:rsidR="00807A7C">
      <w:instrText xml:space="preserve"> NUMPAGES   \* MERGEFORMAT </w:instrText>
    </w:r>
    <w:r w:rsidR="00807A7C">
      <w:fldChar w:fldCharType="separate"/>
    </w:r>
    <w:r w:rsidR="00807A7C">
      <w:rPr>
        <w:noProof/>
      </w:rPr>
      <w:t>12</w:t>
    </w:r>
    <w:r w:rsidR="00807A7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83" w:rsidRDefault="00CE0C83" w:rsidP="008C63D3">
      <w:r>
        <w:separator/>
      </w:r>
    </w:p>
  </w:footnote>
  <w:footnote w:type="continuationSeparator" w:id="0">
    <w:p w:rsidR="00CE0C83" w:rsidRDefault="00CE0C83" w:rsidP="008C63D3">
      <w:r>
        <w:continuationSeparator/>
      </w:r>
    </w:p>
  </w:footnote>
  <w:footnote w:id="1">
    <w:p w:rsidR="00CE0C83" w:rsidRDefault="00CE0C83" w:rsidP="00FF749A">
      <w:pPr>
        <w:pStyle w:val="Footer"/>
        <w:rPr>
          <w:rStyle w:val="Hyperlink"/>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p w:rsidR="00CE0C83" w:rsidRDefault="00CE0C83" w:rsidP="00FF749A">
      <w:pPr>
        <w:pStyle w:val="Footer"/>
      </w:pPr>
    </w:p>
  </w:footnote>
  <w:footnote w:id="2">
    <w:p w:rsidR="00CE0C83" w:rsidRDefault="00CE0C83" w:rsidP="00526112">
      <w:pPr>
        <w:pStyle w:val="Footer"/>
        <w:rPr>
          <w:rStyle w:val="Hyperlink"/>
          <w:rFonts w:cs="Arial"/>
          <w:szCs w:val="20"/>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E8712C" w:rsidRDefault="00E8712C" w:rsidP="00526112">
      <w:pPr>
        <w:pStyle w:val="Footer"/>
        <w:rPr>
          <w:rStyle w:val="Hyperlink"/>
          <w:rFonts w:cs="Arial"/>
          <w:szCs w:val="20"/>
        </w:rPr>
      </w:pPr>
    </w:p>
    <w:p w:rsidR="00CE0C83" w:rsidRPr="00DC4BF3" w:rsidRDefault="00CE0C83"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980342" w:rsidRDefault="00980342"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4">
    <w:p w:rsidR="00CE0C83" w:rsidRDefault="00CE0C83"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A66D79" w:rsidRDefault="00A66D79" w:rsidP="00191AB9">
      <w:pPr>
        <w:pStyle w:val="Footer"/>
      </w:pPr>
    </w:p>
  </w:footnote>
  <w:footnote w:id="5">
    <w:p w:rsidR="00CE0C83" w:rsidRDefault="00CE0C83" w:rsidP="00191AB9">
      <w:pPr>
        <w:pStyle w:val="Footer"/>
      </w:pPr>
      <w:r>
        <w:rPr>
          <w:rStyle w:val="FootnoteReference"/>
        </w:rPr>
        <w:footnoteRef/>
      </w:r>
      <w:r>
        <w:t xml:space="preserve"> Type 1 are consultant-led 24 hour emergency departments with full resuscitation facilities.</w:t>
      </w:r>
    </w:p>
    <w:p w:rsidR="00CE0C83" w:rsidRDefault="00CE0C83" w:rsidP="00191AB9">
      <w:pPr>
        <w:pStyle w:val="Footer"/>
      </w:pPr>
      <w:r>
        <w:t>Type 2 offer a consultant-led speciality A&amp;E service such as ophthalmology or dental.</w:t>
      </w:r>
    </w:p>
    <w:p w:rsidR="00CE0C83" w:rsidRDefault="00CE0C83"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CE0C83" w:rsidRDefault="00CE0C83" w:rsidP="00191AB9">
      <w:pPr>
        <w:pStyle w:val="Footer"/>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6">
    <w:p w:rsidR="001171E8" w:rsidRDefault="001171E8" w:rsidP="001171E8">
      <w:pPr>
        <w:pStyle w:val="Footer"/>
      </w:pPr>
      <w:r>
        <w:rPr>
          <w:rStyle w:val="FootnoteReference"/>
        </w:rPr>
        <w:footnoteRef/>
      </w:r>
      <w:r>
        <w:t xml:space="preserve"> </w:t>
      </w:r>
      <w:r w:rsidRPr="00A44168">
        <w:t>Due to its small size, performance on Isle of Wight tends to vary more than other trusts. If it has the largest or smallest value, the Table in A</w:t>
      </w:r>
      <w:r>
        <w:t>5</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 this system.</w:t>
      </w:r>
    </w:p>
    <w:p w:rsidR="001171E8" w:rsidRDefault="001171E8" w:rsidP="001171E8">
      <w:pPr>
        <w:pStyle w:val="Footer"/>
      </w:pPr>
    </w:p>
  </w:footnote>
  <w:footnote w:id="7">
    <w:p w:rsidR="007E28DC" w:rsidRDefault="007E28DC"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footnote>
  <w:footnote w:id="8">
    <w:p w:rsidR="0083071A" w:rsidRDefault="0083071A">
      <w:pPr>
        <w:pStyle w:val="FootnoteText"/>
      </w:pPr>
      <w:r>
        <w:rPr>
          <w:rStyle w:val="FootnoteReference"/>
        </w:rPr>
        <w:footnoteRef/>
      </w:r>
      <w:r>
        <w:t xml:space="preserve"> Please see footnote 6 on page 6</w:t>
      </w:r>
    </w:p>
  </w:footnote>
  <w:footnote w:id="9">
    <w:p w:rsidR="00097D78" w:rsidRDefault="00097D78" w:rsidP="00097D78">
      <w:pPr>
        <w:pStyle w:val="FootnoteText"/>
      </w:pPr>
      <w:r>
        <w:rPr>
          <w:rStyle w:val="FootnoteReference"/>
        </w:rPr>
        <w:footnoteRef/>
      </w:r>
      <w:r>
        <w:t xml:space="preserve"> Excluding Isle of Wight. See footnote 6 on page</w:t>
      </w:r>
      <w:r w:rsidR="00E568E2">
        <w:t xml:space="preserve"> 6</w:t>
      </w:r>
      <w:r>
        <w:t>.</w:t>
      </w:r>
    </w:p>
  </w:footnote>
  <w:footnote w:id="10">
    <w:p w:rsidR="00CE0C83" w:rsidRDefault="00CE0C83" w:rsidP="00104812">
      <w:pPr>
        <w:pStyle w:val="Footer"/>
      </w:pPr>
      <w:r>
        <w:rPr>
          <w:rStyle w:val="FootnoteReference"/>
        </w:rPr>
        <w:footnoteRef/>
      </w:r>
      <w:r>
        <w:t xml:space="preserve"> Pages 27 to 30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504B11" w:rsidRDefault="00504B11" w:rsidP="0010481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83" w:rsidRDefault="00CE0C83" w:rsidP="00EC40BA">
    <w:pPr>
      <w:pStyle w:val="Header"/>
      <w:tabs>
        <w:tab w:val="clear" w:pos="9026"/>
        <w:tab w:val="left" w:pos="3255"/>
        <w:tab w:val="right" w:pos="9923"/>
      </w:tabs>
      <w:ind w:right="-238" w:hanging="851"/>
    </w:pPr>
    <w:r>
      <w:rPr>
        <w:noProof/>
      </w:rPr>
      <w:drawing>
        <wp:inline distT="0" distB="0" distL="0" distR="0" wp14:anchorId="4E46FFB9" wp14:editId="14CD3C7E">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209670E9" wp14:editId="46766AE5">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CE0C83" w:rsidRDefault="00CE0C83"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24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3216"/>
    <w:rsid w:val="0000477A"/>
    <w:rsid w:val="00004858"/>
    <w:rsid w:val="00007EAE"/>
    <w:rsid w:val="00012199"/>
    <w:rsid w:val="00014432"/>
    <w:rsid w:val="00017E64"/>
    <w:rsid w:val="00017EE8"/>
    <w:rsid w:val="00022061"/>
    <w:rsid w:val="00022C19"/>
    <w:rsid w:val="00022C9A"/>
    <w:rsid w:val="00024821"/>
    <w:rsid w:val="000274BA"/>
    <w:rsid w:val="00032244"/>
    <w:rsid w:val="00033CF1"/>
    <w:rsid w:val="00035B25"/>
    <w:rsid w:val="00036949"/>
    <w:rsid w:val="00037F53"/>
    <w:rsid w:val="00040905"/>
    <w:rsid w:val="00040A6E"/>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99E"/>
    <w:rsid w:val="00055BFC"/>
    <w:rsid w:val="000609DB"/>
    <w:rsid w:val="00060FA5"/>
    <w:rsid w:val="000610E8"/>
    <w:rsid w:val="00064B43"/>
    <w:rsid w:val="00064EA6"/>
    <w:rsid w:val="00065110"/>
    <w:rsid w:val="00065771"/>
    <w:rsid w:val="000670B6"/>
    <w:rsid w:val="00070143"/>
    <w:rsid w:val="0007019A"/>
    <w:rsid w:val="00072DE5"/>
    <w:rsid w:val="000768E8"/>
    <w:rsid w:val="000776AF"/>
    <w:rsid w:val="0007786F"/>
    <w:rsid w:val="00077876"/>
    <w:rsid w:val="000801E2"/>
    <w:rsid w:val="00081437"/>
    <w:rsid w:val="00082855"/>
    <w:rsid w:val="00085A95"/>
    <w:rsid w:val="00085AC3"/>
    <w:rsid w:val="00085B01"/>
    <w:rsid w:val="000871A7"/>
    <w:rsid w:val="00087A96"/>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3161"/>
    <w:rsid w:val="000A42E3"/>
    <w:rsid w:val="000A4DF4"/>
    <w:rsid w:val="000B17F3"/>
    <w:rsid w:val="000B1B66"/>
    <w:rsid w:val="000B2219"/>
    <w:rsid w:val="000B2586"/>
    <w:rsid w:val="000B3CED"/>
    <w:rsid w:val="000B6AA0"/>
    <w:rsid w:val="000C13BF"/>
    <w:rsid w:val="000C2092"/>
    <w:rsid w:val="000C3202"/>
    <w:rsid w:val="000C7FCE"/>
    <w:rsid w:val="000D0AE3"/>
    <w:rsid w:val="000D14CB"/>
    <w:rsid w:val="000D3E6B"/>
    <w:rsid w:val="000D3FB5"/>
    <w:rsid w:val="000D4CAE"/>
    <w:rsid w:val="000D52EC"/>
    <w:rsid w:val="000D6BA7"/>
    <w:rsid w:val="000D71FF"/>
    <w:rsid w:val="000D7762"/>
    <w:rsid w:val="000E0E23"/>
    <w:rsid w:val="000E166D"/>
    <w:rsid w:val="000E3B6E"/>
    <w:rsid w:val="000E4972"/>
    <w:rsid w:val="000E519E"/>
    <w:rsid w:val="000F027D"/>
    <w:rsid w:val="000F0D83"/>
    <w:rsid w:val="000F2BCC"/>
    <w:rsid w:val="000F3EC8"/>
    <w:rsid w:val="000F4631"/>
    <w:rsid w:val="000F537D"/>
    <w:rsid w:val="000F5B3F"/>
    <w:rsid w:val="000F5FB4"/>
    <w:rsid w:val="000F6221"/>
    <w:rsid w:val="001000B2"/>
    <w:rsid w:val="00104812"/>
    <w:rsid w:val="0010506D"/>
    <w:rsid w:val="00107C32"/>
    <w:rsid w:val="00110E64"/>
    <w:rsid w:val="00111B6E"/>
    <w:rsid w:val="00113395"/>
    <w:rsid w:val="0011384E"/>
    <w:rsid w:val="00115FF0"/>
    <w:rsid w:val="001171E8"/>
    <w:rsid w:val="00120401"/>
    <w:rsid w:val="00120424"/>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F31"/>
    <w:rsid w:val="00163FFB"/>
    <w:rsid w:val="0016646E"/>
    <w:rsid w:val="0016743F"/>
    <w:rsid w:val="00170786"/>
    <w:rsid w:val="001712AD"/>
    <w:rsid w:val="0017232F"/>
    <w:rsid w:val="0017281D"/>
    <w:rsid w:val="001747C9"/>
    <w:rsid w:val="00174FF6"/>
    <w:rsid w:val="00175513"/>
    <w:rsid w:val="0017577C"/>
    <w:rsid w:val="00175B12"/>
    <w:rsid w:val="00175F86"/>
    <w:rsid w:val="00177CDB"/>
    <w:rsid w:val="00181692"/>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7E4"/>
    <w:rsid w:val="001A399C"/>
    <w:rsid w:val="001A3A2C"/>
    <w:rsid w:val="001A3F6B"/>
    <w:rsid w:val="001A471D"/>
    <w:rsid w:val="001A6875"/>
    <w:rsid w:val="001A7F8A"/>
    <w:rsid w:val="001B6001"/>
    <w:rsid w:val="001B68DB"/>
    <w:rsid w:val="001B6963"/>
    <w:rsid w:val="001C2BC2"/>
    <w:rsid w:val="001C2FF8"/>
    <w:rsid w:val="001C3052"/>
    <w:rsid w:val="001C3165"/>
    <w:rsid w:val="001C473C"/>
    <w:rsid w:val="001C5911"/>
    <w:rsid w:val="001C688D"/>
    <w:rsid w:val="001C6E6A"/>
    <w:rsid w:val="001D06FD"/>
    <w:rsid w:val="001D2162"/>
    <w:rsid w:val="001D3157"/>
    <w:rsid w:val="001D341A"/>
    <w:rsid w:val="001D4F10"/>
    <w:rsid w:val="001D5DCC"/>
    <w:rsid w:val="001D60BD"/>
    <w:rsid w:val="001D731A"/>
    <w:rsid w:val="001E0C96"/>
    <w:rsid w:val="001E1B0A"/>
    <w:rsid w:val="001E2906"/>
    <w:rsid w:val="001E30CD"/>
    <w:rsid w:val="001E3296"/>
    <w:rsid w:val="001E5191"/>
    <w:rsid w:val="001E734D"/>
    <w:rsid w:val="001E75EA"/>
    <w:rsid w:val="001F1181"/>
    <w:rsid w:val="001F1305"/>
    <w:rsid w:val="001F27E7"/>
    <w:rsid w:val="001F48A8"/>
    <w:rsid w:val="001F634A"/>
    <w:rsid w:val="001F7230"/>
    <w:rsid w:val="002029B2"/>
    <w:rsid w:val="00203093"/>
    <w:rsid w:val="002055F7"/>
    <w:rsid w:val="002067E2"/>
    <w:rsid w:val="00210E7E"/>
    <w:rsid w:val="00214510"/>
    <w:rsid w:val="00214A55"/>
    <w:rsid w:val="00215414"/>
    <w:rsid w:val="002221E6"/>
    <w:rsid w:val="00222A8A"/>
    <w:rsid w:val="00222B38"/>
    <w:rsid w:val="002247A6"/>
    <w:rsid w:val="00225C13"/>
    <w:rsid w:val="00230B2D"/>
    <w:rsid w:val="0023382F"/>
    <w:rsid w:val="002346FC"/>
    <w:rsid w:val="002350ED"/>
    <w:rsid w:val="00240F81"/>
    <w:rsid w:val="00241092"/>
    <w:rsid w:val="0024134C"/>
    <w:rsid w:val="002415BE"/>
    <w:rsid w:val="00241F79"/>
    <w:rsid w:val="00243B32"/>
    <w:rsid w:val="00244F63"/>
    <w:rsid w:val="00247D97"/>
    <w:rsid w:val="0025006E"/>
    <w:rsid w:val="00250AB3"/>
    <w:rsid w:val="00251383"/>
    <w:rsid w:val="00251854"/>
    <w:rsid w:val="002529A4"/>
    <w:rsid w:val="00252C62"/>
    <w:rsid w:val="00253E22"/>
    <w:rsid w:val="00254237"/>
    <w:rsid w:val="0025490C"/>
    <w:rsid w:val="00254B9C"/>
    <w:rsid w:val="00257281"/>
    <w:rsid w:val="00260C5F"/>
    <w:rsid w:val="00261C03"/>
    <w:rsid w:val="00261FC5"/>
    <w:rsid w:val="0026240F"/>
    <w:rsid w:val="0026352B"/>
    <w:rsid w:val="00263BD6"/>
    <w:rsid w:val="00265EFB"/>
    <w:rsid w:val="00266D58"/>
    <w:rsid w:val="00266E0D"/>
    <w:rsid w:val="00267437"/>
    <w:rsid w:val="002674B1"/>
    <w:rsid w:val="00270C17"/>
    <w:rsid w:val="002719AC"/>
    <w:rsid w:val="00275C0B"/>
    <w:rsid w:val="002760F7"/>
    <w:rsid w:val="00276BB6"/>
    <w:rsid w:val="00277342"/>
    <w:rsid w:val="0028035E"/>
    <w:rsid w:val="00280386"/>
    <w:rsid w:val="002862A9"/>
    <w:rsid w:val="00291664"/>
    <w:rsid w:val="0029257D"/>
    <w:rsid w:val="002929F3"/>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9F0"/>
    <w:rsid w:val="002B0575"/>
    <w:rsid w:val="002B0A28"/>
    <w:rsid w:val="002B1C61"/>
    <w:rsid w:val="002B4DD9"/>
    <w:rsid w:val="002B4F9D"/>
    <w:rsid w:val="002B55AA"/>
    <w:rsid w:val="002B6786"/>
    <w:rsid w:val="002B72F1"/>
    <w:rsid w:val="002C04A5"/>
    <w:rsid w:val="002C1974"/>
    <w:rsid w:val="002C1DD5"/>
    <w:rsid w:val="002C28AD"/>
    <w:rsid w:val="002C37DD"/>
    <w:rsid w:val="002C3A8E"/>
    <w:rsid w:val="002C3ECB"/>
    <w:rsid w:val="002C4E14"/>
    <w:rsid w:val="002C522F"/>
    <w:rsid w:val="002D10A5"/>
    <w:rsid w:val="002D2035"/>
    <w:rsid w:val="002D4D8D"/>
    <w:rsid w:val="002D58CE"/>
    <w:rsid w:val="002D5C5D"/>
    <w:rsid w:val="002D6186"/>
    <w:rsid w:val="002D7845"/>
    <w:rsid w:val="002E3DEA"/>
    <w:rsid w:val="002E4181"/>
    <w:rsid w:val="002E6965"/>
    <w:rsid w:val="002F09FA"/>
    <w:rsid w:val="002F1115"/>
    <w:rsid w:val="002F23C6"/>
    <w:rsid w:val="002F3C5E"/>
    <w:rsid w:val="002F5002"/>
    <w:rsid w:val="002F5385"/>
    <w:rsid w:val="002F7555"/>
    <w:rsid w:val="00300176"/>
    <w:rsid w:val="00300551"/>
    <w:rsid w:val="00305EA9"/>
    <w:rsid w:val="003076B8"/>
    <w:rsid w:val="00310203"/>
    <w:rsid w:val="0031043B"/>
    <w:rsid w:val="0031060B"/>
    <w:rsid w:val="0031228A"/>
    <w:rsid w:val="00312B69"/>
    <w:rsid w:val="0031323B"/>
    <w:rsid w:val="00314C64"/>
    <w:rsid w:val="0031580B"/>
    <w:rsid w:val="00317C23"/>
    <w:rsid w:val="00320970"/>
    <w:rsid w:val="00321DF8"/>
    <w:rsid w:val="00322346"/>
    <w:rsid w:val="003224D0"/>
    <w:rsid w:val="0032556F"/>
    <w:rsid w:val="00325786"/>
    <w:rsid w:val="0032599C"/>
    <w:rsid w:val="003265C0"/>
    <w:rsid w:val="00326A6F"/>
    <w:rsid w:val="00326C83"/>
    <w:rsid w:val="00330CA6"/>
    <w:rsid w:val="003336E9"/>
    <w:rsid w:val="00335EE6"/>
    <w:rsid w:val="00336020"/>
    <w:rsid w:val="0033606F"/>
    <w:rsid w:val="003374D2"/>
    <w:rsid w:val="0034037C"/>
    <w:rsid w:val="00340492"/>
    <w:rsid w:val="003404AA"/>
    <w:rsid w:val="00340769"/>
    <w:rsid w:val="00341729"/>
    <w:rsid w:val="003425A1"/>
    <w:rsid w:val="00346087"/>
    <w:rsid w:val="00346103"/>
    <w:rsid w:val="00347494"/>
    <w:rsid w:val="003479E2"/>
    <w:rsid w:val="003507AC"/>
    <w:rsid w:val="003518B6"/>
    <w:rsid w:val="00352975"/>
    <w:rsid w:val="00356BD0"/>
    <w:rsid w:val="00360AFD"/>
    <w:rsid w:val="003635DF"/>
    <w:rsid w:val="00363C6A"/>
    <w:rsid w:val="0036445B"/>
    <w:rsid w:val="003663E1"/>
    <w:rsid w:val="0036736E"/>
    <w:rsid w:val="003674CA"/>
    <w:rsid w:val="003708E7"/>
    <w:rsid w:val="003723D5"/>
    <w:rsid w:val="0037489E"/>
    <w:rsid w:val="00377786"/>
    <w:rsid w:val="00377FF6"/>
    <w:rsid w:val="00381D71"/>
    <w:rsid w:val="00384DC4"/>
    <w:rsid w:val="0038780E"/>
    <w:rsid w:val="00387879"/>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B164C"/>
    <w:rsid w:val="003B4AEC"/>
    <w:rsid w:val="003B628A"/>
    <w:rsid w:val="003C007F"/>
    <w:rsid w:val="003C11F6"/>
    <w:rsid w:val="003C183D"/>
    <w:rsid w:val="003C1F17"/>
    <w:rsid w:val="003C24D1"/>
    <w:rsid w:val="003C3939"/>
    <w:rsid w:val="003C39F0"/>
    <w:rsid w:val="003C63FF"/>
    <w:rsid w:val="003D508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7A5"/>
    <w:rsid w:val="003F33D6"/>
    <w:rsid w:val="003F3CB1"/>
    <w:rsid w:val="003F3F9B"/>
    <w:rsid w:val="003F43AB"/>
    <w:rsid w:val="0040350E"/>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8EE"/>
    <w:rsid w:val="00496F34"/>
    <w:rsid w:val="004A06B6"/>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D17"/>
    <w:rsid w:val="004C1AAB"/>
    <w:rsid w:val="004C2DB8"/>
    <w:rsid w:val="004C377A"/>
    <w:rsid w:val="004C500F"/>
    <w:rsid w:val="004C5144"/>
    <w:rsid w:val="004C6932"/>
    <w:rsid w:val="004C7F43"/>
    <w:rsid w:val="004D05E1"/>
    <w:rsid w:val="004D083F"/>
    <w:rsid w:val="004D1017"/>
    <w:rsid w:val="004D10AF"/>
    <w:rsid w:val="004D2EE5"/>
    <w:rsid w:val="004D3B3C"/>
    <w:rsid w:val="004D6E3F"/>
    <w:rsid w:val="004F2D5D"/>
    <w:rsid w:val="004F34AD"/>
    <w:rsid w:val="004F37AE"/>
    <w:rsid w:val="004F3810"/>
    <w:rsid w:val="004F3ED3"/>
    <w:rsid w:val="004F47C7"/>
    <w:rsid w:val="004F6290"/>
    <w:rsid w:val="004F6A66"/>
    <w:rsid w:val="005005D8"/>
    <w:rsid w:val="005012E3"/>
    <w:rsid w:val="00503D8A"/>
    <w:rsid w:val="00504B11"/>
    <w:rsid w:val="00505BBA"/>
    <w:rsid w:val="00511984"/>
    <w:rsid w:val="00511E6D"/>
    <w:rsid w:val="00513897"/>
    <w:rsid w:val="005168CD"/>
    <w:rsid w:val="00517BD3"/>
    <w:rsid w:val="0052029E"/>
    <w:rsid w:val="005211EE"/>
    <w:rsid w:val="0052145B"/>
    <w:rsid w:val="00522906"/>
    <w:rsid w:val="00522954"/>
    <w:rsid w:val="005239BD"/>
    <w:rsid w:val="00523BFF"/>
    <w:rsid w:val="00525B3E"/>
    <w:rsid w:val="00526112"/>
    <w:rsid w:val="005261D8"/>
    <w:rsid w:val="005273FA"/>
    <w:rsid w:val="0053086E"/>
    <w:rsid w:val="0053124D"/>
    <w:rsid w:val="00531825"/>
    <w:rsid w:val="00531A75"/>
    <w:rsid w:val="0053266B"/>
    <w:rsid w:val="00533D03"/>
    <w:rsid w:val="005347A4"/>
    <w:rsid w:val="00536139"/>
    <w:rsid w:val="00536610"/>
    <w:rsid w:val="00536B5E"/>
    <w:rsid w:val="00536EBE"/>
    <w:rsid w:val="00537299"/>
    <w:rsid w:val="005374F6"/>
    <w:rsid w:val="005376AA"/>
    <w:rsid w:val="00540689"/>
    <w:rsid w:val="00541DE2"/>
    <w:rsid w:val="0054261F"/>
    <w:rsid w:val="0054481A"/>
    <w:rsid w:val="0054610C"/>
    <w:rsid w:val="0054766B"/>
    <w:rsid w:val="005507A2"/>
    <w:rsid w:val="00550D56"/>
    <w:rsid w:val="00551D2D"/>
    <w:rsid w:val="00551DDC"/>
    <w:rsid w:val="00552E5E"/>
    <w:rsid w:val="005538AF"/>
    <w:rsid w:val="00553B53"/>
    <w:rsid w:val="00554203"/>
    <w:rsid w:val="00555D91"/>
    <w:rsid w:val="005612D9"/>
    <w:rsid w:val="005639DF"/>
    <w:rsid w:val="005718F6"/>
    <w:rsid w:val="005719BB"/>
    <w:rsid w:val="00572500"/>
    <w:rsid w:val="00574C4A"/>
    <w:rsid w:val="0057661C"/>
    <w:rsid w:val="005772D5"/>
    <w:rsid w:val="00581B52"/>
    <w:rsid w:val="00581E8E"/>
    <w:rsid w:val="0058243A"/>
    <w:rsid w:val="0058367E"/>
    <w:rsid w:val="00584D90"/>
    <w:rsid w:val="00586B8E"/>
    <w:rsid w:val="0058750D"/>
    <w:rsid w:val="00587D4D"/>
    <w:rsid w:val="005945B8"/>
    <w:rsid w:val="005946BA"/>
    <w:rsid w:val="005950EE"/>
    <w:rsid w:val="005954D8"/>
    <w:rsid w:val="0059638C"/>
    <w:rsid w:val="00597ACE"/>
    <w:rsid w:val="005A314A"/>
    <w:rsid w:val="005A3AC4"/>
    <w:rsid w:val="005A3FF9"/>
    <w:rsid w:val="005A6A3C"/>
    <w:rsid w:val="005A79AD"/>
    <w:rsid w:val="005B0A25"/>
    <w:rsid w:val="005B2160"/>
    <w:rsid w:val="005B4A17"/>
    <w:rsid w:val="005B5438"/>
    <w:rsid w:val="005B5932"/>
    <w:rsid w:val="005B6117"/>
    <w:rsid w:val="005B6A5B"/>
    <w:rsid w:val="005B7945"/>
    <w:rsid w:val="005B7C87"/>
    <w:rsid w:val="005C1025"/>
    <w:rsid w:val="005C1BA6"/>
    <w:rsid w:val="005C1D5F"/>
    <w:rsid w:val="005C42AC"/>
    <w:rsid w:val="005C59BC"/>
    <w:rsid w:val="005C6B63"/>
    <w:rsid w:val="005C7115"/>
    <w:rsid w:val="005C7B11"/>
    <w:rsid w:val="005D0BE3"/>
    <w:rsid w:val="005D2E52"/>
    <w:rsid w:val="005D348F"/>
    <w:rsid w:val="005D383B"/>
    <w:rsid w:val="005D6413"/>
    <w:rsid w:val="005D6BEB"/>
    <w:rsid w:val="005E4E95"/>
    <w:rsid w:val="005E5EB2"/>
    <w:rsid w:val="005F1398"/>
    <w:rsid w:val="005F1582"/>
    <w:rsid w:val="005F1E0D"/>
    <w:rsid w:val="005F2095"/>
    <w:rsid w:val="005F272A"/>
    <w:rsid w:val="005F29B1"/>
    <w:rsid w:val="005F3B29"/>
    <w:rsid w:val="005F3E00"/>
    <w:rsid w:val="005F53BA"/>
    <w:rsid w:val="005F60A6"/>
    <w:rsid w:val="005F6D25"/>
    <w:rsid w:val="006034E1"/>
    <w:rsid w:val="00603940"/>
    <w:rsid w:val="00603FEB"/>
    <w:rsid w:val="0060479B"/>
    <w:rsid w:val="00604932"/>
    <w:rsid w:val="006059ED"/>
    <w:rsid w:val="00605F7E"/>
    <w:rsid w:val="006154B4"/>
    <w:rsid w:val="006157C7"/>
    <w:rsid w:val="006161DE"/>
    <w:rsid w:val="006201BE"/>
    <w:rsid w:val="00620FE6"/>
    <w:rsid w:val="006211E3"/>
    <w:rsid w:val="00621A41"/>
    <w:rsid w:val="00624EB5"/>
    <w:rsid w:val="00624FF8"/>
    <w:rsid w:val="006272D8"/>
    <w:rsid w:val="006303F7"/>
    <w:rsid w:val="006306D8"/>
    <w:rsid w:val="00631E87"/>
    <w:rsid w:val="00632CBA"/>
    <w:rsid w:val="00634000"/>
    <w:rsid w:val="00634088"/>
    <w:rsid w:val="00634165"/>
    <w:rsid w:val="00637766"/>
    <w:rsid w:val="006417C1"/>
    <w:rsid w:val="00642E05"/>
    <w:rsid w:val="00642E76"/>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69D"/>
    <w:rsid w:val="00675D24"/>
    <w:rsid w:val="00676BD5"/>
    <w:rsid w:val="006817AD"/>
    <w:rsid w:val="00684097"/>
    <w:rsid w:val="006875C7"/>
    <w:rsid w:val="00691D18"/>
    <w:rsid w:val="00694D98"/>
    <w:rsid w:val="00694FB2"/>
    <w:rsid w:val="00695304"/>
    <w:rsid w:val="006959C7"/>
    <w:rsid w:val="006A341E"/>
    <w:rsid w:val="006A4A06"/>
    <w:rsid w:val="006A5F54"/>
    <w:rsid w:val="006A61BC"/>
    <w:rsid w:val="006A6856"/>
    <w:rsid w:val="006B0792"/>
    <w:rsid w:val="006B2BEA"/>
    <w:rsid w:val="006B3E8A"/>
    <w:rsid w:val="006B6721"/>
    <w:rsid w:val="006B6BD1"/>
    <w:rsid w:val="006B7501"/>
    <w:rsid w:val="006C2217"/>
    <w:rsid w:val="006C336E"/>
    <w:rsid w:val="006C3B5D"/>
    <w:rsid w:val="006C5E47"/>
    <w:rsid w:val="006D0E12"/>
    <w:rsid w:val="006D1E78"/>
    <w:rsid w:val="006D3922"/>
    <w:rsid w:val="006D5EDF"/>
    <w:rsid w:val="006E0078"/>
    <w:rsid w:val="006E0760"/>
    <w:rsid w:val="006E2C05"/>
    <w:rsid w:val="006E58F5"/>
    <w:rsid w:val="006E6FAF"/>
    <w:rsid w:val="006E7B5C"/>
    <w:rsid w:val="006F0DF6"/>
    <w:rsid w:val="006F200A"/>
    <w:rsid w:val="006F2263"/>
    <w:rsid w:val="006F2389"/>
    <w:rsid w:val="006F26D8"/>
    <w:rsid w:val="006F4168"/>
    <w:rsid w:val="006F4E6D"/>
    <w:rsid w:val="006F6411"/>
    <w:rsid w:val="00700863"/>
    <w:rsid w:val="007012EC"/>
    <w:rsid w:val="007017DC"/>
    <w:rsid w:val="00701D5C"/>
    <w:rsid w:val="0070276C"/>
    <w:rsid w:val="007027B5"/>
    <w:rsid w:val="00702DCC"/>
    <w:rsid w:val="00705EA9"/>
    <w:rsid w:val="00706C80"/>
    <w:rsid w:val="00706F94"/>
    <w:rsid w:val="00707E84"/>
    <w:rsid w:val="00712AAC"/>
    <w:rsid w:val="007154E1"/>
    <w:rsid w:val="007155C3"/>
    <w:rsid w:val="0071673C"/>
    <w:rsid w:val="00717328"/>
    <w:rsid w:val="007177B5"/>
    <w:rsid w:val="007177FD"/>
    <w:rsid w:val="00720B11"/>
    <w:rsid w:val="00723160"/>
    <w:rsid w:val="00724971"/>
    <w:rsid w:val="00725439"/>
    <w:rsid w:val="00727CC5"/>
    <w:rsid w:val="0073041B"/>
    <w:rsid w:val="007310F1"/>
    <w:rsid w:val="00732D3C"/>
    <w:rsid w:val="00732ECD"/>
    <w:rsid w:val="00735077"/>
    <w:rsid w:val="007369DA"/>
    <w:rsid w:val="00737724"/>
    <w:rsid w:val="00740D50"/>
    <w:rsid w:val="00741E8A"/>
    <w:rsid w:val="00742B0B"/>
    <w:rsid w:val="007463B2"/>
    <w:rsid w:val="007469AC"/>
    <w:rsid w:val="00747269"/>
    <w:rsid w:val="00753EA9"/>
    <w:rsid w:val="00761FF8"/>
    <w:rsid w:val="007639D5"/>
    <w:rsid w:val="0076596A"/>
    <w:rsid w:val="00767475"/>
    <w:rsid w:val="00767CFF"/>
    <w:rsid w:val="007700CE"/>
    <w:rsid w:val="00771043"/>
    <w:rsid w:val="00774123"/>
    <w:rsid w:val="00775632"/>
    <w:rsid w:val="00775DE6"/>
    <w:rsid w:val="0077674C"/>
    <w:rsid w:val="007804B7"/>
    <w:rsid w:val="00780F7F"/>
    <w:rsid w:val="007920B1"/>
    <w:rsid w:val="0079282B"/>
    <w:rsid w:val="00793175"/>
    <w:rsid w:val="00793660"/>
    <w:rsid w:val="0079446A"/>
    <w:rsid w:val="007978AF"/>
    <w:rsid w:val="007A07DD"/>
    <w:rsid w:val="007A0911"/>
    <w:rsid w:val="007A138E"/>
    <w:rsid w:val="007A2AF5"/>
    <w:rsid w:val="007A2B8C"/>
    <w:rsid w:val="007A37B3"/>
    <w:rsid w:val="007A3B5C"/>
    <w:rsid w:val="007A7785"/>
    <w:rsid w:val="007B0011"/>
    <w:rsid w:val="007B0D9A"/>
    <w:rsid w:val="007B22A7"/>
    <w:rsid w:val="007B2807"/>
    <w:rsid w:val="007B2D4E"/>
    <w:rsid w:val="007B3406"/>
    <w:rsid w:val="007B5B41"/>
    <w:rsid w:val="007B5C09"/>
    <w:rsid w:val="007B5C1B"/>
    <w:rsid w:val="007B7EAE"/>
    <w:rsid w:val="007C0F9B"/>
    <w:rsid w:val="007C0FC7"/>
    <w:rsid w:val="007C393E"/>
    <w:rsid w:val="007C3B46"/>
    <w:rsid w:val="007C6125"/>
    <w:rsid w:val="007C6985"/>
    <w:rsid w:val="007C7FEC"/>
    <w:rsid w:val="007D1A84"/>
    <w:rsid w:val="007D2560"/>
    <w:rsid w:val="007D2957"/>
    <w:rsid w:val="007E152B"/>
    <w:rsid w:val="007E1D16"/>
    <w:rsid w:val="007E28DC"/>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1E3F"/>
    <w:rsid w:val="00806A50"/>
    <w:rsid w:val="00806B8A"/>
    <w:rsid w:val="008076E2"/>
    <w:rsid w:val="00807A7C"/>
    <w:rsid w:val="0081046A"/>
    <w:rsid w:val="008113A4"/>
    <w:rsid w:val="008132F5"/>
    <w:rsid w:val="00814AF3"/>
    <w:rsid w:val="00814C01"/>
    <w:rsid w:val="008150FA"/>
    <w:rsid w:val="00815169"/>
    <w:rsid w:val="00816D25"/>
    <w:rsid w:val="00821EA9"/>
    <w:rsid w:val="008227CE"/>
    <w:rsid w:val="00822C2F"/>
    <w:rsid w:val="008231E3"/>
    <w:rsid w:val="0082415F"/>
    <w:rsid w:val="0082452F"/>
    <w:rsid w:val="00826D43"/>
    <w:rsid w:val="008301F3"/>
    <w:rsid w:val="0083071A"/>
    <w:rsid w:val="008340D3"/>
    <w:rsid w:val="00837B74"/>
    <w:rsid w:val="008404D1"/>
    <w:rsid w:val="00841DFF"/>
    <w:rsid w:val="00842445"/>
    <w:rsid w:val="00843ABC"/>
    <w:rsid w:val="00844712"/>
    <w:rsid w:val="00845B66"/>
    <w:rsid w:val="00845D8F"/>
    <w:rsid w:val="00850F3E"/>
    <w:rsid w:val="0085317B"/>
    <w:rsid w:val="00853643"/>
    <w:rsid w:val="0085446E"/>
    <w:rsid w:val="00861B67"/>
    <w:rsid w:val="00862969"/>
    <w:rsid w:val="00864978"/>
    <w:rsid w:val="00864BBA"/>
    <w:rsid w:val="00865E6C"/>
    <w:rsid w:val="00867D59"/>
    <w:rsid w:val="0087012E"/>
    <w:rsid w:val="008715F2"/>
    <w:rsid w:val="00871ADB"/>
    <w:rsid w:val="00873A1E"/>
    <w:rsid w:val="008755AA"/>
    <w:rsid w:val="00875FD5"/>
    <w:rsid w:val="00876654"/>
    <w:rsid w:val="00876A27"/>
    <w:rsid w:val="0087702E"/>
    <w:rsid w:val="00880163"/>
    <w:rsid w:val="0088041C"/>
    <w:rsid w:val="008805A7"/>
    <w:rsid w:val="0088067A"/>
    <w:rsid w:val="00881BB4"/>
    <w:rsid w:val="00881F90"/>
    <w:rsid w:val="00882BC2"/>
    <w:rsid w:val="0088370E"/>
    <w:rsid w:val="00883B6B"/>
    <w:rsid w:val="00884B4D"/>
    <w:rsid w:val="0088528E"/>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C3945"/>
    <w:rsid w:val="008C4B8B"/>
    <w:rsid w:val="008C5A76"/>
    <w:rsid w:val="008C63D3"/>
    <w:rsid w:val="008D1CF1"/>
    <w:rsid w:val="008D2F54"/>
    <w:rsid w:val="008D50FB"/>
    <w:rsid w:val="008D61DF"/>
    <w:rsid w:val="008D69BA"/>
    <w:rsid w:val="008D71A9"/>
    <w:rsid w:val="008E2FEE"/>
    <w:rsid w:val="008E3542"/>
    <w:rsid w:val="008E41D7"/>
    <w:rsid w:val="008E44F8"/>
    <w:rsid w:val="008E4F65"/>
    <w:rsid w:val="008E5931"/>
    <w:rsid w:val="008E5DE6"/>
    <w:rsid w:val="008E63CD"/>
    <w:rsid w:val="008E6B23"/>
    <w:rsid w:val="008F1385"/>
    <w:rsid w:val="008F22AB"/>
    <w:rsid w:val="008F3CD2"/>
    <w:rsid w:val="008F3E74"/>
    <w:rsid w:val="008F5EE8"/>
    <w:rsid w:val="008F7386"/>
    <w:rsid w:val="008F7441"/>
    <w:rsid w:val="008F78EA"/>
    <w:rsid w:val="0090071E"/>
    <w:rsid w:val="00900AD0"/>
    <w:rsid w:val="009038ED"/>
    <w:rsid w:val="0090527D"/>
    <w:rsid w:val="00906084"/>
    <w:rsid w:val="009062EF"/>
    <w:rsid w:val="0090652B"/>
    <w:rsid w:val="00906E39"/>
    <w:rsid w:val="00910BE4"/>
    <w:rsid w:val="00911958"/>
    <w:rsid w:val="00912200"/>
    <w:rsid w:val="009132F3"/>
    <w:rsid w:val="009141A4"/>
    <w:rsid w:val="0091495D"/>
    <w:rsid w:val="00914D7A"/>
    <w:rsid w:val="00915F3E"/>
    <w:rsid w:val="00917404"/>
    <w:rsid w:val="009207F3"/>
    <w:rsid w:val="00921ACE"/>
    <w:rsid w:val="00921DB1"/>
    <w:rsid w:val="00922AD2"/>
    <w:rsid w:val="00924E3D"/>
    <w:rsid w:val="00927612"/>
    <w:rsid w:val="0092770A"/>
    <w:rsid w:val="00936DF8"/>
    <w:rsid w:val="00940957"/>
    <w:rsid w:val="00940A61"/>
    <w:rsid w:val="00940ADF"/>
    <w:rsid w:val="009455B2"/>
    <w:rsid w:val="00947505"/>
    <w:rsid w:val="009506D7"/>
    <w:rsid w:val="00950A7E"/>
    <w:rsid w:val="0095326B"/>
    <w:rsid w:val="0095462C"/>
    <w:rsid w:val="00954E2E"/>
    <w:rsid w:val="00954EA7"/>
    <w:rsid w:val="00955D7C"/>
    <w:rsid w:val="00957E91"/>
    <w:rsid w:val="00962052"/>
    <w:rsid w:val="0096283E"/>
    <w:rsid w:val="009638D7"/>
    <w:rsid w:val="00963FDF"/>
    <w:rsid w:val="00965572"/>
    <w:rsid w:val="00966F66"/>
    <w:rsid w:val="00966FBA"/>
    <w:rsid w:val="00971C38"/>
    <w:rsid w:val="0097213E"/>
    <w:rsid w:val="0097321C"/>
    <w:rsid w:val="00974797"/>
    <w:rsid w:val="00975403"/>
    <w:rsid w:val="00975BA9"/>
    <w:rsid w:val="0097746A"/>
    <w:rsid w:val="00980342"/>
    <w:rsid w:val="00981224"/>
    <w:rsid w:val="00983F79"/>
    <w:rsid w:val="00984A60"/>
    <w:rsid w:val="00985A23"/>
    <w:rsid w:val="0098668C"/>
    <w:rsid w:val="00987E8E"/>
    <w:rsid w:val="0099142B"/>
    <w:rsid w:val="009915A2"/>
    <w:rsid w:val="0099205E"/>
    <w:rsid w:val="00992442"/>
    <w:rsid w:val="009939D6"/>
    <w:rsid w:val="00995CC1"/>
    <w:rsid w:val="009969BD"/>
    <w:rsid w:val="009977B3"/>
    <w:rsid w:val="00997E2F"/>
    <w:rsid w:val="009A4740"/>
    <w:rsid w:val="009A4919"/>
    <w:rsid w:val="009B166A"/>
    <w:rsid w:val="009B36B1"/>
    <w:rsid w:val="009B5925"/>
    <w:rsid w:val="009B5D9A"/>
    <w:rsid w:val="009B72C4"/>
    <w:rsid w:val="009C1A30"/>
    <w:rsid w:val="009C268C"/>
    <w:rsid w:val="009C74A5"/>
    <w:rsid w:val="009D0C4D"/>
    <w:rsid w:val="009D0DA1"/>
    <w:rsid w:val="009D34C0"/>
    <w:rsid w:val="009D5946"/>
    <w:rsid w:val="009E0AC6"/>
    <w:rsid w:val="009E0B41"/>
    <w:rsid w:val="009E1EA4"/>
    <w:rsid w:val="009E31EF"/>
    <w:rsid w:val="009E4593"/>
    <w:rsid w:val="009E4E86"/>
    <w:rsid w:val="009E5CA6"/>
    <w:rsid w:val="009E6DA1"/>
    <w:rsid w:val="009F060C"/>
    <w:rsid w:val="009F0F7A"/>
    <w:rsid w:val="009F1FA7"/>
    <w:rsid w:val="009F215E"/>
    <w:rsid w:val="009F3BDF"/>
    <w:rsid w:val="009F4CA7"/>
    <w:rsid w:val="009F620F"/>
    <w:rsid w:val="00A039C6"/>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104B"/>
    <w:rsid w:val="00A31BC8"/>
    <w:rsid w:val="00A32B3E"/>
    <w:rsid w:val="00A32CDF"/>
    <w:rsid w:val="00A33BDB"/>
    <w:rsid w:val="00A35491"/>
    <w:rsid w:val="00A4253D"/>
    <w:rsid w:val="00A42A6B"/>
    <w:rsid w:val="00A44168"/>
    <w:rsid w:val="00A458E0"/>
    <w:rsid w:val="00A4673D"/>
    <w:rsid w:val="00A46C32"/>
    <w:rsid w:val="00A520B5"/>
    <w:rsid w:val="00A54078"/>
    <w:rsid w:val="00A56831"/>
    <w:rsid w:val="00A56A04"/>
    <w:rsid w:val="00A575B0"/>
    <w:rsid w:val="00A575F5"/>
    <w:rsid w:val="00A61D98"/>
    <w:rsid w:val="00A621ED"/>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E59"/>
    <w:rsid w:val="00A90C28"/>
    <w:rsid w:val="00A914E9"/>
    <w:rsid w:val="00A91618"/>
    <w:rsid w:val="00A92F4D"/>
    <w:rsid w:val="00A9585B"/>
    <w:rsid w:val="00A95D10"/>
    <w:rsid w:val="00A967D3"/>
    <w:rsid w:val="00A9686B"/>
    <w:rsid w:val="00A979C6"/>
    <w:rsid w:val="00AA3CDD"/>
    <w:rsid w:val="00AA6661"/>
    <w:rsid w:val="00AA6B6B"/>
    <w:rsid w:val="00AA708E"/>
    <w:rsid w:val="00AA7926"/>
    <w:rsid w:val="00AB0008"/>
    <w:rsid w:val="00AB16C3"/>
    <w:rsid w:val="00AB70A4"/>
    <w:rsid w:val="00AC071F"/>
    <w:rsid w:val="00AC1EF7"/>
    <w:rsid w:val="00AC23EC"/>
    <w:rsid w:val="00AC2B2D"/>
    <w:rsid w:val="00AC2C68"/>
    <w:rsid w:val="00AC3DAD"/>
    <w:rsid w:val="00AC53E1"/>
    <w:rsid w:val="00AC597D"/>
    <w:rsid w:val="00AC617A"/>
    <w:rsid w:val="00AD0455"/>
    <w:rsid w:val="00AD051D"/>
    <w:rsid w:val="00AD0D55"/>
    <w:rsid w:val="00AD6F90"/>
    <w:rsid w:val="00AD7C90"/>
    <w:rsid w:val="00AE0B3F"/>
    <w:rsid w:val="00AE110A"/>
    <w:rsid w:val="00AE15EE"/>
    <w:rsid w:val="00AE2AEE"/>
    <w:rsid w:val="00AE33C1"/>
    <w:rsid w:val="00AE3D64"/>
    <w:rsid w:val="00AE4993"/>
    <w:rsid w:val="00AE5C17"/>
    <w:rsid w:val="00AE71D4"/>
    <w:rsid w:val="00AE7530"/>
    <w:rsid w:val="00AF0B61"/>
    <w:rsid w:val="00AF1519"/>
    <w:rsid w:val="00AF1A19"/>
    <w:rsid w:val="00AF1AD9"/>
    <w:rsid w:val="00AF24DB"/>
    <w:rsid w:val="00AF2574"/>
    <w:rsid w:val="00AF2C09"/>
    <w:rsid w:val="00AF2CDC"/>
    <w:rsid w:val="00B0176E"/>
    <w:rsid w:val="00B02804"/>
    <w:rsid w:val="00B03698"/>
    <w:rsid w:val="00B05CB0"/>
    <w:rsid w:val="00B0776C"/>
    <w:rsid w:val="00B105F7"/>
    <w:rsid w:val="00B10ECF"/>
    <w:rsid w:val="00B117F9"/>
    <w:rsid w:val="00B143DF"/>
    <w:rsid w:val="00B176FE"/>
    <w:rsid w:val="00B21828"/>
    <w:rsid w:val="00B21E1C"/>
    <w:rsid w:val="00B2640B"/>
    <w:rsid w:val="00B267AF"/>
    <w:rsid w:val="00B26DEC"/>
    <w:rsid w:val="00B27201"/>
    <w:rsid w:val="00B274C6"/>
    <w:rsid w:val="00B316A5"/>
    <w:rsid w:val="00B33B28"/>
    <w:rsid w:val="00B33BAE"/>
    <w:rsid w:val="00B370F1"/>
    <w:rsid w:val="00B40C2F"/>
    <w:rsid w:val="00B412D1"/>
    <w:rsid w:val="00B41F06"/>
    <w:rsid w:val="00B430AD"/>
    <w:rsid w:val="00B43524"/>
    <w:rsid w:val="00B441CC"/>
    <w:rsid w:val="00B45B8D"/>
    <w:rsid w:val="00B4687B"/>
    <w:rsid w:val="00B477EF"/>
    <w:rsid w:val="00B5303C"/>
    <w:rsid w:val="00B558BA"/>
    <w:rsid w:val="00B63CE9"/>
    <w:rsid w:val="00B66383"/>
    <w:rsid w:val="00B66678"/>
    <w:rsid w:val="00B66ED0"/>
    <w:rsid w:val="00B71432"/>
    <w:rsid w:val="00B719EE"/>
    <w:rsid w:val="00B72900"/>
    <w:rsid w:val="00B72C29"/>
    <w:rsid w:val="00B730BB"/>
    <w:rsid w:val="00B76F37"/>
    <w:rsid w:val="00B82858"/>
    <w:rsid w:val="00B828B6"/>
    <w:rsid w:val="00B855BA"/>
    <w:rsid w:val="00B85756"/>
    <w:rsid w:val="00B86E93"/>
    <w:rsid w:val="00B870E5"/>
    <w:rsid w:val="00B91476"/>
    <w:rsid w:val="00B9347E"/>
    <w:rsid w:val="00B93837"/>
    <w:rsid w:val="00B947D5"/>
    <w:rsid w:val="00B96C65"/>
    <w:rsid w:val="00BA07B3"/>
    <w:rsid w:val="00BA610C"/>
    <w:rsid w:val="00BB35BC"/>
    <w:rsid w:val="00BC03EF"/>
    <w:rsid w:val="00BC05C3"/>
    <w:rsid w:val="00BC10E3"/>
    <w:rsid w:val="00BC435A"/>
    <w:rsid w:val="00BC6A0B"/>
    <w:rsid w:val="00BD02AE"/>
    <w:rsid w:val="00BD1057"/>
    <w:rsid w:val="00BD1E82"/>
    <w:rsid w:val="00BD1EA6"/>
    <w:rsid w:val="00BD33CF"/>
    <w:rsid w:val="00BD48E2"/>
    <w:rsid w:val="00BD4D0C"/>
    <w:rsid w:val="00BD563F"/>
    <w:rsid w:val="00BD6116"/>
    <w:rsid w:val="00BE0BD9"/>
    <w:rsid w:val="00BE1CE7"/>
    <w:rsid w:val="00BE2594"/>
    <w:rsid w:val="00BE26F1"/>
    <w:rsid w:val="00BE6415"/>
    <w:rsid w:val="00BE72B7"/>
    <w:rsid w:val="00BE741D"/>
    <w:rsid w:val="00BE7849"/>
    <w:rsid w:val="00BE79C9"/>
    <w:rsid w:val="00BF249B"/>
    <w:rsid w:val="00BF2C50"/>
    <w:rsid w:val="00BF4628"/>
    <w:rsid w:val="00BF5DA3"/>
    <w:rsid w:val="00BF7A8A"/>
    <w:rsid w:val="00C00BBA"/>
    <w:rsid w:val="00C0131F"/>
    <w:rsid w:val="00C03C2F"/>
    <w:rsid w:val="00C03D2B"/>
    <w:rsid w:val="00C061B2"/>
    <w:rsid w:val="00C06A62"/>
    <w:rsid w:val="00C10486"/>
    <w:rsid w:val="00C137F2"/>
    <w:rsid w:val="00C14E1D"/>
    <w:rsid w:val="00C16133"/>
    <w:rsid w:val="00C21149"/>
    <w:rsid w:val="00C221BD"/>
    <w:rsid w:val="00C23C9C"/>
    <w:rsid w:val="00C259E7"/>
    <w:rsid w:val="00C25A42"/>
    <w:rsid w:val="00C26738"/>
    <w:rsid w:val="00C2676B"/>
    <w:rsid w:val="00C26810"/>
    <w:rsid w:val="00C307CE"/>
    <w:rsid w:val="00C3190D"/>
    <w:rsid w:val="00C3404F"/>
    <w:rsid w:val="00C3443F"/>
    <w:rsid w:val="00C344CA"/>
    <w:rsid w:val="00C34B3D"/>
    <w:rsid w:val="00C34DCF"/>
    <w:rsid w:val="00C354F1"/>
    <w:rsid w:val="00C3748B"/>
    <w:rsid w:val="00C40D56"/>
    <w:rsid w:val="00C418B2"/>
    <w:rsid w:val="00C445E6"/>
    <w:rsid w:val="00C471DF"/>
    <w:rsid w:val="00C5192F"/>
    <w:rsid w:val="00C51DF6"/>
    <w:rsid w:val="00C521D4"/>
    <w:rsid w:val="00C52730"/>
    <w:rsid w:val="00C52FEA"/>
    <w:rsid w:val="00C532C8"/>
    <w:rsid w:val="00C54B5E"/>
    <w:rsid w:val="00C54FB2"/>
    <w:rsid w:val="00C570ED"/>
    <w:rsid w:val="00C57812"/>
    <w:rsid w:val="00C57FBC"/>
    <w:rsid w:val="00C611A3"/>
    <w:rsid w:val="00C61A40"/>
    <w:rsid w:val="00C61AF0"/>
    <w:rsid w:val="00C64019"/>
    <w:rsid w:val="00C64DAF"/>
    <w:rsid w:val="00C667EE"/>
    <w:rsid w:val="00C66ACE"/>
    <w:rsid w:val="00C70840"/>
    <w:rsid w:val="00C70AC7"/>
    <w:rsid w:val="00C70C05"/>
    <w:rsid w:val="00C71776"/>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90FB6"/>
    <w:rsid w:val="00C93A2D"/>
    <w:rsid w:val="00C94BBC"/>
    <w:rsid w:val="00C957A6"/>
    <w:rsid w:val="00C95B24"/>
    <w:rsid w:val="00C96A98"/>
    <w:rsid w:val="00C973AE"/>
    <w:rsid w:val="00C9746F"/>
    <w:rsid w:val="00CA1AE1"/>
    <w:rsid w:val="00CA53CE"/>
    <w:rsid w:val="00CA5B86"/>
    <w:rsid w:val="00CB2E00"/>
    <w:rsid w:val="00CB58C3"/>
    <w:rsid w:val="00CB758D"/>
    <w:rsid w:val="00CB7A0D"/>
    <w:rsid w:val="00CC4553"/>
    <w:rsid w:val="00CD037E"/>
    <w:rsid w:val="00CD14DF"/>
    <w:rsid w:val="00CD22C6"/>
    <w:rsid w:val="00CD369E"/>
    <w:rsid w:val="00CD5263"/>
    <w:rsid w:val="00CD58BB"/>
    <w:rsid w:val="00CD624A"/>
    <w:rsid w:val="00CE0C83"/>
    <w:rsid w:val="00CE2AB5"/>
    <w:rsid w:val="00CE6F95"/>
    <w:rsid w:val="00CF061B"/>
    <w:rsid w:val="00CF0D21"/>
    <w:rsid w:val="00CF0FEA"/>
    <w:rsid w:val="00CF1DB8"/>
    <w:rsid w:val="00CF22D9"/>
    <w:rsid w:val="00CF2301"/>
    <w:rsid w:val="00D01436"/>
    <w:rsid w:val="00D028C8"/>
    <w:rsid w:val="00D02FA8"/>
    <w:rsid w:val="00D03A3C"/>
    <w:rsid w:val="00D04686"/>
    <w:rsid w:val="00D05B8F"/>
    <w:rsid w:val="00D064D4"/>
    <w:rsid w:val="00D1102E"/>
    <w:rsid w:val="00D11CB6"/>
    <w:rsid w:val="00D124B3"/>
    <w:rsid w:val="00D13275"/>
    <w:rsid w:val="00D1660D"/>
    <w:rsid w:val="00D166D9"/>
    <w:rsid w:val="00D16AE3"/>
    <w:rsid w:val="00D2535D"/>
    <w:rsid w:val="00D25CD8"/>
    <w:rsid w:val="00D26C0F"/>
    <w:rsid w:val="00D30055"/>
    <w:rsid w:val="00D30DAF"/>
    <w:rsid w:val="00D3262A"/>
    <w:rsid w:val="00D33852"/>
    <w:rsid w:val="00D348E4"/>
    <w:rsid w:val="00D35203"/>
    <w:rsid w:val="00D379EC"/>
    <w:rsid w:val="00D37FEA"/>
    <w:rsid w:val="00D40138"/>
    <w:rsid w:val="00D4130A"/>
    <w:rsid w:val="00D427DF"/>
    <w:rsid w:val="00D43749"/>
    <w:rsid w:val="00D44AE7"/>
    <w:rsid w:val="00D4605E"/>
    <w:rsid w:val="00D5006E"/>
    <w:rsid w:val="00D50962"/>
    <w:rsid w:val="00D51401"/>
    <w:rsid w:val="00D51658"/>
    <w:rsid w:val="00D51A2F"/>
    <w:rsid w:val="00D520D5"/>
    <w:rsid w:val="00D52EE6"/>
    <w:rsid w:val="00D536BB"/>
    <w:rsid w:val="00D547A7"/>
    <w:rsid w:val="00D56563"/>
    <w:rsid w:val="00D57887"/>
    <w:rsid w:val="00D57D81"/>
    <w:rsid w:val="00D612EA"/>
    <w:rsid w:val="00D6205D"/>
    <w:rsid w:val="00D63395"/>
    <w:rsid w:val="00D63B78"/>
    <w:rsid w:val="00D643C0"/>
    <w:rsid w:val="00D643D9"/>
    <w:rsid w:val="00D6503D"/>
    <w:rsid w:val="00D66BC0"/>
    <w:rsid w:val="00D67C11"/>
    <w:rsid w:val="00D706BD"/>
    <w:rsid w:val="00D71457"/>
    <w:rsid w:val="00D7215A"/>
    <w:rsid w:val="00D721ED"/>
    <w:rsid w:val="00D727BC"/>
    <w:rsid w:val="00D72F12"/>
    <w:rsid w:val="00D74651"/>
    <w:rsid w:val="00D75F20"/>
    <w:rsid w:val="00D8289C"/>
    <w:rsid w:val="00D82D27"/>
    <w:rsid w:val="00D847FB"/>
    <w:rsid w:val="00D868A7"/>
    <w:rsid w:val="00D87887"/>
    <w:rsid w:val="00D8793C"/>
    <w:rsid w:val="00D90B9A"/>
    <w:rsid w:val="00D915B6"/>
    <w:rsid w:val="00D945AB"/>
    <w:rsid w:val="00D96387"/>
    <w:rsid w:val="00D97F61"/>
    <w:rsid w:val="00DA0061"/>
    <w:rsid w:val="00DA1C65"/>
    <w:rsid w:val="00DA4BA4"/>
    <w:rsid w:val="00DA4CE4"/>
    <w:rsid w:val="00DA6E95"/>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0F78"/>
    <w:rsid w:val="00DD21E6"/>
    <w:rsid w:val="00DD280D"/>
    <w:rsid w:val="00DD3BB7"/>
    <w:rsid w:val="00DD473B"/>
    <w:rsid w:val="00DD604F"/>
    <w:rsid w:val="00DD791D"/>
    <w:rsid w:val="00DE194D"/>
    <w:rsid w:val="00DE2DBC"/>
    <w:rsid w:val="00DE353D"/>
    <w:rsid w:val="00DE3F6E"/>
    <w:rsid w:val="00DE4AEF"/>
    <w:rsid w:val="00DE5B0A"/>
    <w:rsid w:val="00DE5DC5"/>
    <w:rsid w:val="00DF0479"/>
    <w:rsid w:val="00DF0993"/>
    <w:rsid w:val="00DF0ADA"/>
    <w:rsid w:val="00DF1F6C"/>
    <w:rsid w:val="00DF3C09"/>
    <w:rsid w:val="00DF5D18"/>
    <w:rsid w:val="00DF69D1"/>
    <w:rsid w:val="00DF7309"/>
    <w:rsid w:val="00E00B0B"/>
    <w:rsid w:val="00E02284"/>
    <w:rsid w:val="00E0266B"/>
    <w:rsid w:val="00E043A8"/>
    <w:rsid w:val="00E055D4"/>
    <w:rsid w:val="00E0653D"/>
    <w:rsid w:val="00E11703"/>
    <w:rsid w:val="00E125FC"/>
    <w:rsid w:val="00E132B5"/>
    <w:rsid w:val="00E135D5"/>
    <w:rsid w:val="00E13867"/>
    <w:rsid w:val="00E14C48"/>
    <w:rsid w:val="00E174B5"/>
    <w:rsid w:val="00E203FF"/>
    <w:rsid w:val="00E204F2"/>
    <w:rsid w:val="00E21DD4"/>
    <w:rsid w:val="00E24229"/>
    <w:rsid w:val="00E24A7F"/>
    <w:rsid w:val="00E25C7B"/>
    <w:rsid w:val="00E25E8A"/>
    <w:rsid w:val="00E26E89"/>
    <w:rsid w:val="00E274DD"/>
    <w:rsid w:val="00E3113C"/>
    <w:rsid w:val="00E31197"/>
    <w:rsid w:val="00E318EF"/>
    <w:rsid w:val="00E324F3"/>
    <w:rsid w:val="00E34FE9"/>
    <w:rsid w:val="00E35902"/>
    <w:rsid w:val="00E40720"/>
    <w:rsid w:val="00E41296"/>
    <w:rsid w:val="00E41E8F"/>
    <w:rsid w:val="00E42D55"/>
    <w:rsid w:val="00E42D6F"/>
    <w:rsid w:val="00E434C4"/>
    <w:rsid w:val="00E446B4"/>
    <w:rsid w:val="00E44882"/>
    <w:rsid w:val="00E4574E"/>
    <w:rsid w:val="00E47A4B"/>
    <w:rsid w:val="00E47C1E"/>
    <w:rsid w:val="00E51A9F"/>
    <w:rsid w:val="00E51EC4"/>
    <w:rsid w:val="00E52050"/>
    <w:rsid w:val="00E52476"/>
    <w:rsid w:val="00E53110"/>
    <w:rsid w:val="00E53117"/>
    <w:rsid w:val="00E55FAB"/>
    <w:rsid w:val="00E56682"/>
    <w:rsid w:val="00E568E2"/>
    <w:rsid w:val="00E57244"/>
    <w:rsid w:val="00E575C0"/>
    <w:rsid w:val="00E6125B"/>
    <w:rsid w:val="00E61830"/>
    <w:rsid w:val="00E639AA"/>
    <w:rsid w:val="00E74035"/>
    <w:rsid w:val="00E74070"/>
    <w:rsid w:val="00E759ED"/>
    <w:rsid w:val="00E76C17"/>
    <w:rsid w:val="00E77913"/>
    <w:rsid w:val="00E8050D"/>
    <w:rsid w:val="00E80B0C"/>
    <w:rsid w:val="00E825BE"/>
    <w:rsid w:val="00E853D7"/>
    <w:rsid w:val="00E853DC"/>
    <w:rsid w:val="00E8712C"/>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B18A7"/>
    <w:rsid w:val="00EB25CE"/>
    <w:rsid w:val="00EB27D0"/>
    <w:rsid w:val="00EB2D25"/>
    <w:rsid w:val="00EB33EF"/>
    <w:rsid w:val="00EB4830"/>
    <w:rsid w:val="00EB4C29"/>
    <w:rsid w:val="00EB4DFD"/>
    <w:rsid w:val="00EB5410"/>
    <w:rsid w:val="00EB5DF3"/>
    <w:rsid w:val="00EB7483"/>
    <w:rsid w:val="00EC40B1"/>
    <w:rsid w:val="00EC40BA"/>
    <w:rsid w:val="00EC60F1"/>
    <w:rsid w:val="00EC65C3"/>
    <w:rsid w:val="00ED1702"/>
    <w:rsid w:val="00ED237F"/>
    <w:rsid w:val="00ED2DED"/>
    <w:rsid w:val="00ED3292"/>
    <w:rsid w:val="00ED39A0"/>
    <w:rsid w:val="00ED3F78"/>
    <w:rsid w:val="00ED4AE1"/>
    <w:rsid w:val="00ED7532"/>
    <w:rsid w:val="00EE0F1A"/>
    <w:rsid w:val="00EE3FA0"/>
    <w:rsid w:val="00EE6BE8"/>
    <w:rsid w:val="00EE7507"/>
    <w:rsid w:val="00EF2AAB"/>
    <w:rsid w:val="00EF2D87"/>
    <w:rsid w:val="00EF3A00"/>
    <w:rsid w:val="00EF3B4A"/>
    <w:rsid w:val="00EF3C6E"/>
    <w:rsid w:val="00EF5ADA"/>
    <w:rsid w:val="00EF5E02"/>
    <w:rsid w:val="00EF6133"/>
    <w:rsid w:val="00F01361"/>
    <w:rsid w:val="00F01682"/>
    <w:rsid w:val="00F0288C"/>
    <w:rsid w:val="00F031F0"/>
    <w:rsid w:val="00F0321B"/>
    <w:rsid w:val="00F04282"/>
    <w:rsid w:val="00F051FD"/>
    <w:rsid w:val="00F05A44"/>
    <w:rsid w:val="00F05F18"/>
    <w:rsid w:val="00F06D35"/>
    <w:rsid w:val="00F10AC3"/>
    <w:rsid w:val="00F11CDA"/>
    <w:rsid w:val="00F14A46"/>
    <w:rsid w:val="00F16D7A"/>
    <w:rsid w:val="00F16EE8"/>
    <w:rsid w:val="00F232CC"/>
    <w:rsid w:val="00F2364E"/>
    <w:rsid w:val="00F23C98"/>
    <w:rsid w:val="00F23D7E"/>
    <w:rsid w:val="00F23E6F"/>
    <w:rsid w:val="00F2516A"/>
    <w:rsid w:val="00F2562E"/>
    <w:rsid w:val="00F266D4"/>
    <w:rsid w:val="00F26900"/>
    <w:rsid w:val="00F27645"/>
    <w:rsid w:val="00F30584"/>
    <w:rsid w:val="00F3075C"/>
    <w:rsid w:val="00F30D81"/>
    <w:rsid w:val="00F31DC0"/>
    <w:rsid w:val="00F321DD"/>
    <w:rsid w:val="00F32A65"/>
    <w:rsid w:val="00F33E46"/>
    <w:rsid w:val="00F347F8"/>
    <w:rsid w:val="00F35268"/>
    <w:rsid w:val="00F36218"/>
    <w:rsid w:val="00F371F1"/>
    <w:rsid w:val="00F37244"/>
    <w:rsid w:val="00F40B3B"/>
    <w:rsid w:val="00F42D71"/>
    <w:rsid w:val="00F43D58"/>
    <w:rsid w:val="00F471D3"/>
    <w:rsid w:val="00F5150D"/>
    <w:rsid w:val="00F51851"/>
    <w:rsid w:val="00F55DB5"/>
    <w:rsid w:val="00F55F4C"/>
    <w:rsid w:val="00F56F7A"/>
    <w:rsid w:val="00F57C7B"/>
    <w:rsid w:val="00F57F10"/>
    <w:rsid w:val="00F608D1"/>
    <w:rsid w:val="00F614AC"/>
    <w:rsid w:val="00F62D81"/>
    <w:rsid w:val="00F63574"/>
    <w:rsid w:val="00F63C46"/>
    <w:rsid w:val="00F64A2E"/>
    <w:rsid w:val="00F65B38"/>
    <w:rsid w:val="00F661D9"/>
    <w:rsid w:val="00F703B0"/>
    <w:rsid w:val="00F7048D"/>
    <w:rsid w:val="00F735BC"/>
    <w:rsid w:val="00F74799"/>
    <w:rsid w:val="00F80743"/>
    <w:rsid w:val="00F81BC9"/>
    <w:rsid w:val="00F83563"/>
    <w:rsid w:val="00F8461F"/>
    <w:rsid w:val="00F84799"/>
    <w:rsid w:val="00F912AC"/>
    <w:rsid w:val="00F92432"/>
    <w:rsid w:val="00F924DA"/>
    <w:rsid w:val="00F92A10"/>
    <w:rsid w:val="00F93974"/>
    <w:rsid w:val="00F93A98"/>
    <w:rsid w:val="00F94C99"/>
    <w:rsid w:val="00F96341"/>
    <w:rsid w:val="00FA13CC"/>
    <w:rsid w:val="00FA2CEC"/>
    <w:rsid w:val="00FA68E8"/>
    <w:rsid w:val="00FB225C"/>
    <w:rsid w:val="00FB353C"/>
    <w:rsid w:val="00FB42A2"/>
    <w:rsid w:val="00FB5A5C"/>
    <w:rsid w:val="00FB6979"/>
    <w:rsid w:val="00FB6A17"/>
    <w:rsid w:val="00FB7D9D"/>
    <w:rsid w:val="00FC33FF"/>
    <w:rsid w:val="00FC44C3"/>
    <w:rsid w:val="00FC53E3"/>
    <w:rsid w:val="00FC6239"/>
    <w:rsid w:val="00FD06F7"/>
    <w:rsid w:val="00FD1B03"/>
    <w:rsid w:val="00FD3C35"/>
    <w:rsid w:val="00FD4A85"/>
    <w:rsid w:val="00FD58E1"/>
    <w:rsid w:val="00FE0936"/>
    <w:rsid w:val="00FE12CD"/>
    <w:rsid w:val="00FE438D"/>
    <w:rsid w:val="00FE502E"/>
    <w:rsid w:val="00FE5BB0"/>
    <w:rsid w:val="00FE6896"/>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0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scottishambulance.com/TheService/BoardPapers.aspx" TargetMode="External"/><Relationship Id="rId3" Type="http://schemas.openxmlformats.org/officeDocument/2006/relationships/styles" Target="styles.xml"/><Relationship Id="rId21" Type="http://schemas.openxmlformats.org/officeDocument/2006/relationships/hyperlink" Target="http://www.gov.uk/government/statistics/announcements" TargetMode="External"/><Relationship Id="rId7" Type="http://schemas.openxmlformats.org/officeDocument/2006/relationships/footnotes" Target="footnotes.xml"/><Relationship Id="rId12" Type="http://schemas.openxmlformats.org/officeDocument/2006/relationships/hyperlink" Target="http://bit.ly/NHSAQI" TargetMode="External"/><Relationship Id="rId17" Type="http://schemas.openxmlformats.org/officeDocument/2006/relationships/image" Target="media/image7.png"/><Relationship Id="rId25" Type="http://schemas.openxmlformats.org/officeDocument/2006/relationships/hyperlink" Target="http://wales.gov.uk/statistics-and-research/ambulance-services/?lang=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bit.ly/NHSAQI" TargetMode="External"/><Relationship Id="rId29" Type="http://schemas.openxmlformats.org/officeDocument/2006/relationships/hyperlink" Target="mailto:i.kay@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ww.england.nhs.uk/statistics/statistical-work-areas/winter-daily-sitrep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hscic.gov.uk/article/2021/Website-Search?q=ambulance+-accident&amp;sort=Title" TargetMode="External"/><Relationship Id="rId28" Type="http://schemas.openxmlformats.org/officeDocument/2006/relationships/hyperlink" Target="mailto:nhsengland.media@nhs.net" TargetMode="External"/><Relationship Id="rId10" Type="http://schemas.openxmlformats.org/officeDocument/2006/relationships/image" Target="media/image2.png"/><Relationship Id="rId19" Type="http://schemas.openxmlformats.org/officeDocument/2006/relationships/hyperlink" Target="http://www.england.nhs.uk/statistics/statistical-work-areas/ambulance-quality-indicators"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aace.org.uk/national-performance/national-clinical-dashboards" TargetMode="External"/><Relationship Id="rId27" Type="http://schemas.openxmlformats.org/officeDocument/2006/relationships/hyperlink" Target="http://www.dhsspsni.gov.uk/index/statistics/hospital/emergency-care/ambulance-statistics.htm"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3CF1-E2E1-49AD-9549-102A58E8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17994</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James Thomas</cp:lastModifiedBy>
  <cp:revision>2</cp:revision>
  <cp:lastPrinted>2016-02-09T10:55:00Z</cp:lastPrinted>
  <dcterms:created xsi:type="dcterms:W3CDTF">2016-02-11T13:45:00Z</dcterms:created>
  <dcterms:modified xsi:type="dcterms:W3CDTF">2016-02-11T13:45:00Z</dcterms:modified>
</cp:coreProperties>
</file>