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2B72F1" w:rsidP="00C96A98">
      <w:pPr>
        <w:pStyle w:val="Heading2"/>
      </w:pPr>
      <w:r>
        <w:rPr>
          <w:noProof/>
        </w:rPr>
        <w:drawing>
          <wp:anchor distT="0" distB="0" distL="114300" distR="114300" simplePos="0" relativeHeight="251660288" behindDoc="0" locked="0" layoutInCell="1" allowOverlap="1">
            <wp:simplePos x="0" y="0"/>
            <wp:positionH relativeFrom="column">
              <wp:posOffset>-1066800</wp:posOffset>
            </wp:positionH>
            <wp:positionV relativeFrom="paragraph">
              <wp:posOffset>-1411605</wp:posOffset>
            </wp:positionV>
            <wp:extent cx="1496060" cy="1496060"/>
            <wp:effectExtent l="0" t="0" r="8890" b="8890"/>
            <wp:wrapSquare wrapText="bothSides"/>
            <wp:docPr id="8" name="Picture 8" title="Nation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060" cy="1496060"/>
                    </a:xfrm>
                    <a:prstGeom prst="rect">
                      <a:avLst/>
                    </a:prstGeom>
                    <a:effectLst/>
                  </pic:spPr>
                </pic:pic>
              </a:graphicData>
            </a:graphic>
            <wp14:sizeRelH relativeFrom="page">
              <wp14:pctWidth>0</wp14:pctWidth>
            </wp14:sizeRelH>
            <wp14:sizeRelV relativeFrom="page">
              <wp14:pctHeight>0</wp14:pctHeight>
            </wp14:sizeRelV>
          </wp:anchor>
        </w:drawing>
      </w:r>
      <w:r w:rsidR="00C21149">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w:t>
      </w:r>
      <w:r w:rsidR="000F5FB4">
        <w:t xml:space="preserve">Systems Indicators </w:t>
      </w:r>
      <w:r w:rsidR="00BE2594">
        <w:t>for Ambulance Services in England</w:t>
      </w:r>
      <w:r w:rsidR="008A7838">
        <w:t xml:space="preserve"> </w:t>
      </w:r>
      <w:r w:rsidR="00B947D5">
        <w:t xml:space="preserve">showed </w:t>
      </w:r>
      <w:r w:rsidR="00FF749A">
        <w:t xml:space="preserve">that in April 2015, two </w:t>
      </w:r>
      <w:r w:rsidR="00F8461F">
        <w:t xml:space="preserve">of the </w:t>
      </w:r>
      <w:r w:rsidR="00FF749A">
        <w:t>standards in the Handbook</w:t>
      </w:r>
      <w:r w:rsidR="00FF749A">
        <w:rPr>
          <w:rStyle w:val="FootnoteReference"/>
        </w:rPr>
        <w:footnoteReference w:id="1"/>
      </w:r>
      <w:r w:rsidR="00FF749A">
        <w:t xml:space="preserve"> to the NHS constitution were met for the first time in 2015.</w:t>
      </w:r>
    </w:p>
    <w:p w:rsidR="002956C9" w:rsidRPr="002956C9" w:rsidRDefault="0058750D" w:rsidP="002956C9">
      <w:pPr>
        <w:pStyle w:val="ListBullet"/>
      </w:pPr>
      <w:r>
        <w:t xml:space="preserve">The latest </w:t>
      </w:r>
      <w:r w:rsidR="00FF749A">
        <w:t>C</w:t>
      </w:r>
      <w:r w:rsidR="00966F66">
        <w:t xml:space="preserve">linical </w:t>
      </w:r>
      <w:r w:rsidR="00FF749A">
        <w:t>O</w:t>
      </w:r>
      <w:r w:rsidR="00966F66">
        <w:t xml:space="preserve">utcomes </w:t>
      </w:r>
      <w:r>
        <w:t xml:space="preserve">data </w:t>
      </w:r>
      <w:r w:rsidR="00966F66">
        <w:t>for patients t</w:t>
      </w:r>
      <w:r w:rsidR="00FF749A">
        <w:t xml:space="preserve">ransported by Ambulance Services in January 2015 </w:t>
      </w:r>
      <w:r w:rsidR="00E61830">
        <w:t xml:space="preserve">show </w:t>
      </w:r>
      <w:r w:rsidR="00F8461F">
        <w:t>increasing proportions of stroke patients receiving the appropriate care bundle, but lower survival from cardiac arrest.</w:t>
      </w:r>
      <w:r w:rsidR="00E61830">
        <w:t xml:space="preserve"> </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191AB9" w:rsidRDefault="00526112" w:rsidP="00191AB9">
      <w:r>
        <w:t>In</w:t>
      </w:r>
      <w:r w:rsidR="00AA7926">
        <w:t xml:space="preserve"> </w:t>
      </w:r>
      <w:r w:rsidR="00F3075C">
        <w:t>April</w:t>
      </w:r>
      <w:r w:rsidR="00E53117">
        <w:t xml:space="preserve"> </w:t>
      </w:r>
      <w:r w:rsidR="00F10AC3" w:rsidRPr="00F10AC3">
        <w:t>2015</w:t>
      </w:r>
      <w:r>
        <w:t xml:space="preserve">, </w:t>
      </w:r>
      <w:r w:rsidR="004C377A" w:rsidRPr="00513897">
        <w:t>of Category</w:t>
      </w:r>
      <w:r w:rsidR="0090527D" w:rsidRPr="00513897">
        <w:rPr>
          <w:rStyle w:val="FootnoteReference"/>
          <w:rFonts w:cs="Arial"/>
        </w:rPr>
        <w:footnoteReference w:id="2"/>
      </w:r>
      <w:r w:rsidR="00513897">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F3075C" w:rsidRPr="00F3075C">
        <w:t>75.6%</w:t>
      </w:r>
      <w:r w:rsidR="00191AB9">
        <w:t xml:space="preserve">. </w:t>
      </w:r>
    </w:p>
    <w:p w:rsidR="00E924D4" w:rsidRDefault="00526112" w:rsidP="00513897">
      <w:r>
        <w:t xml:space="preserve">In </w:t>
      </w:r>
      <w:r w:rsidR="00F3075C">
        <w:t>April</w:t>
      </w:r>
      <w:r w:rsidR="00E53117">
        <w:t xml:space="preserve"> </w:t>
      </w:r>
      <w:r w:rsidR="00F10AC3" w:rsidRPr="00F10AC3">
        <w:t>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F3075C" w:rsidRPr="00F3075C">
        <w:t>72.4%</w:t>
      </w:r>
      <w:r w:rsidR="00E924D4">
        <w:t>.</w:t>
      </w:r>
    </w:p>
    <w:p w:rsidR="001D4F10" w:rsidRDefault="00F3075C" w:rsidP="001D4F10">
      <w:r>
        <w:t>Red 2 data from</w:t>
      </w:r>
      <w:r w:rsidR="00E53117">
        <w:t xml:space="preserve"> </w:t>
      </w:r>
      <w:r w:rsidR="00B947D5">
        <w:t xml:space="preserve">February </w:t>
      </w:r>
      <w:r>
        <w:t xml:space="preserve">to April </w:t>
      </w:r>
      <w:r w:rsidR="001D4F10">
        <w:t xml:space="preserve">2015 are not completely comparable </w:t>
      </w:r>
      <w:r w:rsidR="00620FE6">
        <w:t xml:space="preserve">across </w:t>
      </w:r>
      <w:r w:rsidR="001D4F10">
        <w:t>England</w:t>
      </w:r>
      <w:r w:rsidR="00620FE6">
        <w:t xml:space="preserve">; see section A2 on the Dispatch on Disposition </w:t>
      </w:r>
      <w:r w:rsidR="001D4F10">
        <w:t>pilot</w:t>
      </w:r>
      <w:r w:rsidR="00620FE6">
        <w:t>.</w:t>
      </w:r>
      <w:r w:rsidR="001D4F10">
        <w:t xml:space="preserve"> </w:t>
      </w:r>
    </w:p>
    <w:p w:rsidR="00C96A98" w:rsidRDefault="0025006E" w:rsidP="00E53110">
      <w:r>
        <w:rPr>
          <w:noProof/>
        </w:rPr>
        <w:drawing>
          <wp:inline distT="0" distB="0" distL="0" distR="0" wp14:anchorId="09146948">
            <wp:extent cx="5627370" cy="2938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2938780"/>
                    </a:xfrm>
                    <a:prstGeom prst="rect">
                      <a:avLst/>
                    </a:prstGeom>
                    <a:noFill/>
                  </pic:spPr>
                </pic:pic>
              </a:graphicData>
            </a:graphic>
          </wp:inline>
        </w:drawing>
      </w:r>
    </w:p>
    <w:p w:rsidR="008076E2" w:rsidRDefault="008076E2" w:rsidP="00A90C28">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A</w:t>
      </w:r>
      <w:r w:rsidRPr="00E924D4">
        <w:t xml:space="preserve"> </w:t>
      </w:r>
      <w:r w:rsidRPr="00513897">
        <w:t>calls</w:t>
      </w:r>
      <w:r>
        <w:t>. Figure 1 shows that for England,</w:t>
      </w:r>
      <w:r w:rsidR="0096283E">
        <w:t xml:space="preserve"> </w:t>
      </w:r>
      <w:r w:rsidR="00B91476">
        <w:t xml:space="preserve">the </w:t>
      </w:r>
      <w:r w:rsidR="002956C9">
        <w:t>Red 1</w:t>
      </w:r>
      <w:r w:rsidR="0096283E">
        <w:t xml:space="preserve"> </w:t>
      </w:r>
      <w:r w:rsidR="0065426A">
        <w:t xml:space="preserve">standard was </w:t>
      </w:r>
      <w:r>
        <w:t xml:space="preserve">met </w:t>
      </w:r>
      <w:r w:rsidR="0065426A">
        <w:t xml:space="preserve">in April 2015 for </w:t>
      </w:r>
      <w:r w:rsidR="002956C9">
        <w:t>the</w:t>
      </w:r>
      <w:r>
        <w:t xml:space="preserve"> </w:t>
      </w:r>
      <w:r w:rsidR="002956C9">
        <w:t>first</w:t>
      </w:r>
      <w:r w:rsidR="00F3075C">
        <w:t xml:space="preserve"> time since </w:t>
      </w:r>
      <w:r>
        <w:t>April 2014.</w:t>
      </w:r>
    </w:p>
    <w:p w:rsidR="00C54FB2" w:rsidRDefault="008076E2" w:rsidP="00065771">
      <w:r>
        <w:t xml:space="preserve">The </w:t>
      </w:r>
      <w:r w:rsidR="002956C9">
        <w:t xml:space="preserve">April </w:t>
      </w:r>
      <w:r w:rsidR="00774123">
        <w:t xml:space="preserve">2015 </w:t>
      </w:r>
      <w:r>
        <w:t xml:space="preserve">Red 1 proportion was above the standard for </w:t>
      </w:r>
      <w:r w:rsidR="002956C9">
        <w:t>s</w:t>
      </w:r>
      <w:r w:rsidR="002956C9" w:rsidRPr="002956C9">
        <w:t xml:space="preserve">even </w:t>
      </w:r>
      <w:r>
        <w:t xml:space="preserve">of the eleven Ambulance Services in England: </w:t>
      </w:r>
      <w:r w:rsidR="002956C9">
        <w:t xml:space="preserve">East Midlands, </w:t>
      </w:r>
      <w:r>
        <w:t>West Midlands</w:t>
      </w:r>
      <w:r w:rsidR="0065426A">
        <w:t xml:space="preserve"> (largest with 81.2%)</w:t>
      </w:r>
      <w:r>
        <w:t xml:space="preserve">, </w:t>
      </w:r>
      <w:r w:rsidR="002956C9" w:rsidRPr="002956C9">
        <w:t>East of England</w:t>
      </w:r>
      <w:r w:rsidR="0065426A">
        <w:t>,</w:t>
      </w:r>
      <w:r w:rsidR="002956C9" w:rsidRPr="002956C9">
        <w:t xml:space="preserve"> </w:t>
      </w:r>
      <w:r w:rsidR="002956C9" w:rsidRPr="00C54FB2">
        <w:t>South Central</w:t>
      </w:r>
      <w:r w:rsidR="002956C9">
        <w:t xml:space="preserve">, </w:t>
      </w:r>
      <w:r w:rsidR="004A463E">
        <w:t xml:space="preserve">South East Coast, South Western </w:t>
      </w:r>
      <w:r w:rsidR="0065426A">
        <w:t>and Isle of Wight.</w:t>
      </w:r>
    </w:p>
    <w:p w:rsidR="002956C9" w:rsidRDefault="002956C9" w:rsidP="00065771">
      <w:r w:rsidRPr="002956C9">
        <w:t>Four trusts were bel</w:t>
      </w:r>
      <w:r w:rsidR="00EF3C6E">
        <w:t>ow the 75% standard: North East</w:t>
      </w:r>
      <w:r w:rsidRPr="002956C9">
        <w:t xml:space="preserve">, North West, Yorkshire </w:t>
      </w:r>
      <w:r w:rsidR="00EF3C6E">
        <w:t>and London</w:t>
      </w:r>
      <w:r w:rsidR="0065426A">
        <w:t xml:space="preserve"> (smallest with 69.5%)</w:t>
      </w:r>
      <w:r w:rsidRPr="002956C9">
        <w:t>.</w:t>
      </w:r>
      <w:r>
        <w:t xml:space="preserve"> </w:t>
      </w:r>
    </w:p>
    <w:p w:rsidR="00C54B5E" w:rsidRDefault="00620FE6" w:rsidP="00C54B5E">
      <w:pPr>
        <w:pStyle w:val="Heading3"/>
      </w:pPr>
      <w:r>
        <w:t>A</w:t>
      </w:r>
      <w:r w:rsidR="00092A97">
        <w:t>2</w:t>
      </w:r>
      <w:r>
        <w:tab/>
        <w:t xml:space="preserve">Dispatch on Disposition </w:t>
      </w:r>
      <w:r w:rsidR="00533D03">
        <w:t xml:space="preserve">(DoD) </w:t>
      </w:r>
      <w:r w:rsidR="00C54B5E">
        <w:t>pilot</w:t>
      </w:r>
    </w:p>
    <w:p w:rsidR="00D67C11" w:rsidRDefault="0065426A" w:rsidP="00D67C11">
      <w:r>
        <w:t>T</w:t>
      </w:r>
      <w:r w:rsidR="008A7838">
        <w:t>he</w:t>
      </w:r>
      <w:r w:rsidR="008A7838" w:rsidRPr="008A7838">
        <w:t xml:space="preserve"> </w:t>
      </w:r>
      <w:r w:rsidR="008A7838">
        <w:t>Dispatch on Disposition (</w:t>
      </w:r>
      <w:proofErr w:type="gramStart"/>
      <w:r w:rsidR="008A7838">
        <w:t>DoD</w:t>
      </w:r>
      <w:proofErr w:type="gramEnd"/>
      <w:r w:rsidR="008A7838">
        <w:t>) pilot</w:t>
      </w:r>
      <w:r w:rsidR="008C5A76">
        <w:rPr>
          <w:rStyle w:val="FootnoteReference"/>
        </w:rPr>
        <w:footnoteReference w:id="3"/>
      </w:r>
      <w:r w:rsidR="00AF2C09">
        <w:t xml:space="preserve"> </w:t>
      </w:r>
      <w:r w:rsidR="008A7838">
        <w:t>allows</w:t>
      </w:r>
      <w:r w:rsidR="00AF2C09">
        <w:t xml:space="preserve"> more time </w:t>
      </w:r>
      <w:r w:rsidR="008A7838">
        <w:t xml:space="preserve">for </w:t>
      </w:r>
      <w:r w:rsidR="0096283E" w:rsidRPr="0096283E">
        <w:t>triage</w:t>
      </w:r>
      <w:r w:rsidR="00620FE6">
        <w:t xml:space="preserve"> (to </w:t>
      </w:r>
      <w:r w:rsidR="0096283E" w:rsidRPr="0096283E">
        <w:t>identify the clinical situation and take appropriate action</w:t>
      </w:r>
      <w:r w:rsidR="00620FE6">
        <w:t>)</w:t>
      </w:r>
      <w:r w:rsidR="0096283E">
        <w:t xml:space="preserve">, </w:t>
      </w:r>
      <w:r w:rsidR="008D50FB" w:rsidRPr="008D50FB">
        <w:t>based upon clinical advice that this would be likely to improve the overall outcomes for ambulance patients</w:t>
      </w:r>
      <w:r w:rsidR="0096283E">
        <w:t>.</w:t>
      </w:r>
    </w:p>
    <w:p w:rsidR="001D4F10" w:rsidRDefault="00B91476" w:rsidP="008A7838">
      <w:r>
        <w:t xml:space="preserve">The </w:t>
      </w:r>
      <w:r w:rsidR="00533D03">
        <w:t xml:space="preserve">pilot </w:t>
      </w:r>
      <w:r w:rsidR="008A7838">
        <w:t>covers</w:t>
      </w:r>
      <w:r w:rsidR="00AF2C09">
        <w:t xml:space="preserve"> all calls received by London Ambulance Service (LAS) and South West</w:t>
      </w:r>
      <w:r w:rsidR="00AC23EC">
        <w:t>ern</w:t>
      </w:r>
      <w:r w:rsidR="00305EA9">
        <w:t xml:space="preserve"> Ambulance Service (SWAS)</w:t>
      </w:r>
      <w:r w:rsidR="008A7838">
        <w:t xml:space="preserve"> from 10 February 2015. Therefore, </w:t>
      </w:r>
      <w:r w:rsidR="0012724F">
        <w:t xml:space="preserve">after that date, for those services, data for the </w:t>
      </w:r>
      <w:r w:rsidR="008A7838">
        <w:t xml:space="preserve">8 minute Red 2 </w:t>
      </w:r>
      <w:r w:rsidR="0012724F">
        <w:t>or</w:t>
      </w:r>
      <w:r w:rsidR="008A7838">
        <w:t xml:space="preserve"> 19 minute Category A </w:t>
      </w:r>
      <w:r w:rsidR="0012724F">
        <w:t xml:space="preserve">measures </w:t>
      </w:r>
      <w:r w:rsidR="008A7838">
        <w:t>are not comparable with other services or earlier dates.</w:t>
      </w:r>
    </w:p>
    <w:p w:rsidR="00533D03" w:rsidRDefault="0012724F" w:rsidP="00533D03">
      <w:r>
        <w:t xml:space="preserve">The </w:t>
      </w:r>
      <w:r w:rsidR="00533D03">
        <w:t xml:space="preserve">Systems Indicators Time Series spreadsheet on the AQI landing page </w:t>
      </w:r>
      <w:hyperlink r:id="rId11" w:history="1">
        <w:r w:rsidR="00533D03" w:rsidRPr="007C454C">
          <w:rPr>
            <w:rStyle w:val="Hyperlink"/>
          </w:rPr>
          <w:t>http://bit.ly/NHSAQI</w:t>
        </w:r>
      </w:hyperlink>
      <w:r w:rsidR="00774123">
        <w:t xml:space="preserve"> </w:t>
      </w:r>
      <w:r>
        <w:t xml:space="preserve">has an extra tab of </w:t>
      </w:r>
      <w:r w:rsidR="00C94BBC">
        <w:t xml:space="preserve">numerators, denominators, and percentages, </w:t>
      </w:r>
      <w:r>
        <w:t xml:space="preserve">for those two measures, </w:t>
      </w:r>
      <w:r w:rsidR="00533D03">
        <w:t>for all England</w:t>
      </w:r>
      <w:r w:rsidR="008A7838">
        <w:t>,</w:t>
      </w:r>
      <w:r w:rsidR="00533D03">
        <w:t xml:space="preserve"> and for England excluding LAS and SWAS.</w:t>
      </w:r>
    </w:p>
    <w:p w:rsidR="00D8793C" w:rsidRDefault="0012724F" w:rsidP="001D4F10">
      <w:r>
        <w:t xml:space="preserve">That tab, and </w:t>
      </w:r>
      <w:r w:rsidR="000F2BCC">
        <w:t>Figure 2</w:t>
      </w:r>
      <w:r>
        <w:t>, show</w:t>
      </w:r>
      <w:r w:rsidR="009B36B1">
        <w:t>s</w:t>
      </w:r>
      <w:r w:rsidR="000F2BCC">
        <w:t xml:space="preserve"> </w:t>
      </w:r>
      <w:r w:rsidR="00533D03">
        <w:t>that for all England,</w:t>
      </w:r>
      <w:r w:rsidR="00533D03" w:rsidRPr="00533D03">
        <w:t xml:space="preserve"> </w:t>
      </w:r>
      <w:r w:rsidR="00533D03">
        <w:t>the Red 2</w:t>
      </w:r>
      <w:r w:rsidR="00533D03" w:rsidRPr="00533D03">
        <w:t xml:space="preserve"> </w:t>
      </w:r>
      <w:r w:rsidR="00533D03">
        <w:t xml:space="preserve">measure </w:t>
      </w:r>
      <w:r w:rsidR="00C06A62">
        <w:t xml:space="preserve">increased </w:t>
      </w:r>
      <w:r w:rsidR="00533D03">
        <w:t xml:space="preserve">from </w:t>
      </w:r>
      <w:r w:rsidR="00F93974" w:rsidRPr="00F93974">
        <w:t>69.6% in March 2015</w:t>
      </w:r>
      <w:r w:rsidR="00F93974">
        <w:t xml:space="preserve"> </w:t>
      </w:r>
      <w:r w:rsidR="00D8793C">
        <w:t xml:space="preserve">to </w:t>
      </w:r>
      <w:r w:rsidR="00F93974" w:rsidRPr="00F93974">
        <w:t>72.4%</w:t>
      </w:r>
      <w:r w:rsidR="00F93974">
        <w:t xml:space="preserve"> </w:t>
      </w:r>
      <w:r w:rsidR="001F1305">
        <w:t xml:space="preserve">in </w:t>
      </w:r>
      <w:r w:rsidR="00F93974">
        <w:t xml:space="preserve">April </w:t>
      </w:r>
      <w:r w:rsidR="001F1305">
        <w:t>2015</w:t>
      </w:r>
      <w:r w:rsidR="00D8793C">
        <w:t>. W</w:t>
      </w:r>
      <w:r w:rsidR="00533D03">
        <w:t>ith LAS and SWAS</w:t>
      </w:r>
      <w:r w:rsidR="00533D03" w:rsidRPr="00533D03">
        <w:t xml:space="preserve"> </w:t>
      </w:r>
      <w:r w:rsidR="00533D03">
        <w:t>excluded</w:t>
      </w:r>
      <w:r w:rsidR="00D8793C">
        <w:t>, the me</w:t>
      </w:r>
      <w:r w:rsidR="001F1305">
        <w:t xml:space="preserve">asure </w:t>
      </w:r>
      <w:r w:rsidR="00D8289C">
        <w:t xml:space="preserve">had a similar increase, </w:t>
      </w:r>
      <w:r w:rsidR="001F1305">
        <w:t xml:space="preserve">from </w:t>
      </w:r>
      <w:r w:rsidR="00632CBA" w:rsidRPr="00632CBA">
        <w:t xml:space="preserve">71.6% </w:t>
      </w:r>
      <w:r w:rsidR="001F1305">
        <w:t xml:space="preserve">to </w:t>
      </w:r>
      <w:r w:rsidR="00F93974" w:rsidRPr="00F93974">
        <w:t>74.5%</w:t>
      </w:r>
      <w:r w:rsidR="00D8793C">
        <w:t>.</w:t>
      </w:r>
    </w:p>
    <w:p w:rsidR="00D8793C" w:rsidRDefault="000908B7" w:rsidP="001D4F10">
      <w:r>
        <w:rPr>
          <w:noProof/>
        </w:rPr>
        <w:drawing>
          <wp:inline distT="0" distB="0" distL="0" distR="0" wp14:anchorId="7C5BA547" wp14:editId="62E0972B">
            <wp:extent cx="5657850" cy="2773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2773680"/>
                    </a:xfrm>
                    <a:prstGeom prst="rect">
                      <a:avLst/>
                    </a:prstGeom>
                    <a:noFill/>
                  </pic:spPr>
                </pic:pic>
              </a:graphicData>
            </a:graphic>
          </wp:inline>
        </w:drawing>
      </w:r>
    </w:p>
    <w:p w:rsidR="00C51DF6" w:rsidRDefault="00C51DF6" w:rsidP="00C51DF6">
      <w:r>
        <w:rPr>
          <w:noProof/>
        </w:rPr>
        <w:t xml:space="preserve">In April 2015, </w:t>
      </w:r>
      <w:r w:rsidR="0065426A">
        <w:rPr>
          <w:noProof/>
        </w:rPr>
        <w:t xml:space="preserve">North East, West Midlands, South East Coast and South Central </w:t>
      </w:r>
      <w:r>
        <w:rPr>
          <w:noProof/>
        </w:rPr>
        <w:t xml:space="preserve">had </w:t>
      </w:r>
      <w:r w:rsidR="0065426A">
        <w:rPr>
          <w:noProof/>
        </w:rPr>
        <w:t>more than 75</w:t>
      </w:r>
      <w:r>
        <w:rPr>
          <w:noProof/>
        </w:rPr>
        <w:t>% of Red 2 responses within 8 minutes</w:t>
      </w:r>
      <w:r w:rsidR="0065426A">
        <w:rPr>
          <w:noProof/>
        </w:rPr>
        <w:t xml:space="preserve">. London and </w:t>
      </w:r>
      <w:r>
        <w:rPr>
          <w:noProof/>
        </w:rPr>
        <w:t xml:space="preserve">South Western had </w:t>
      </w:r>
      <w:r w:rsidR="0065426A">
        <w:rPr>
          <w:noProof/>
        </w:rPr>
        <w:t xml:space="preserve">fewer than </w:t>
      </w:r>
      <w:r w:rsidRPr="00FE0936">
        <w:rPr>
          <w:noProof/>
        </w:rPr>
        <w:t>7</w:t>
      </w:r>
      <w:r w:rsidR="0065426A">
        <w:rPr>
          <w:noProof/>
        </w:rPr>
        <w:t>0</w:t>
      </w:r>
      <w:r w:rsidRPr="00FE0936">
        <w:rPr>
          <w:noProof/>
        </w:rPr>
        <w:t>%</w:t>
      </w:r>
      <w:r w:rsidR="0065426A">
        <w:rPr>
          <w:noProof/>
        </w:rPr>
        <w:t>.</w:t>
      </w:r>
    </w:p>
    <w:p w:rsidR="00C51DF6" w:rsidRDefault="00C51DF6" w:rsidP="00C51DF6">
      <w:r>
        <w:lastRenderedPageBreak/>
        <w:t xml:space="preserve">The vast majority of Category A calls </w:t>
      </w:r>
      <w:proofErr w:type="gramStart"/>
      <w:r>
        <w:t>are</w:t>
      </w:r>
      <w:proofErr w:type="gramEnd"/>
      <w:r>
        <w:t xml:space="preserve"> Red 2 calls, so the pilot affect</w:t>
      </w:r>
      <w:r w:rsidR="00F321DD">
        <w:t>s</w:t>
      </w:r>
      <w:r>
        <w:t xml:space="preserve"> not only the 8 minute Red 2 measure, but also the 19 minute Category A measure.</w:t>
      </w:r>
    </w:p>
    <w:p w:rsidR="00EA23A9" w:rsidRPr="00127FD0" w:rsidRDefault="00EA23A9" w:rsidP="00EA23A9">
      <w:pPr>
        <w:pStyle w:val="Heading3"/>
      </w:pPr>
      <w:r>
        <w:t>A</w:t>
      </w:r>
      <w:r w:rsidR="00092A97">
        <w:t>3</w:t>
      </w:r>
      <w:r>
        <w:tab/>
      </w:r>
      <w:r w:rsidR="00C94BBC">
        <w:t xml:space="preserve">Category A </w:t>
      </w:r>
      <w:r>
        <w:t>Ambulance response in 19 minutes</w:t>
      </w:r>
    </w:p>
    <w:p w:rsidR="00EA23A9" w:rsidRDefault="00EA23A9" w:rsidP="00EA23A9">
      <w:r>
        <w:t xml:space="preserve">The other standard for Ambulance Services in the Handbook to the NHS Constitution is for </w:t>
      </w:r>
      <w:r w:rsidR="00F321DD">
        <w:t>t</w:t>
      </w:r>
      <w:r>
        <w:t>rusts to send, within 19 minutes, a fully-equipped ambulance vehicle, able to transport the patient in a clinically safe manner, to 95% of Category A calls.</w:t>
      </w:r>
      <w:r w:rsidR="00F321DD">
        <w:t xml:space="preserve"> Figure 3 shows that for England as a whole, this standard was just met in April 2015, after increasing from 94.1% to 95.03%.</w:t>
      </w:r>
      <w:r w:rsidR="00F321DD" w:rsidRPr="00F321DD">
        <w:rPr>
          <w:noProof/>
        </w:rPr>
        <w:t xml:space="preserve"> </w:t>
      </w:r>
      <w:r w:rsidR="00F321DD">
        <w:rPr>
          <w:noProof/>
        </w:rPr>
        <w:t xml:space="preserve">Excluding LAS and SWAS, the increase was similar, from </w:t>
      </w:r>
      <w:r w:rsidR="00F321DD" w:rsidRPr="003F33D6">
        <w:rPr>
          <w:noProof/>
        </w:rPr>
        <w:t>94.6%</w:t>
      </w:r>
      <w:r w:rsidR="00F321DD">
        <w:rPr>
          <w:noProof/>
        </w:rPr>
        <w:t xml:space="preserve"> to </w:t>
      </w:r>
      <w:r w:rsidR="00F321DD" w:rsidRPr="003F33D6">
        <w:rPr>
          <w:noProof/>
        </w:rPr>
        <w:t>95.5%</w:t>
      </w:r>
      <w:r w:rsidR="00F321DD">
        <w:rPr>
          <w:noProof/>
        </w:rPr>
        <w:t>.</w:t>
      </w:r>
    </w:p>
    <w:p w:rsidR="001D4F10" w:rsidRDefault="003F33D6" w:rsidP="00146D12">
      <w:r>
        <w:rPr>
          <w:noProof/>
        </w:rPr>
        <w:drawing>
          <wp:inline distT="0" distB="0" distL="0" distR="0" wp14:anchorId="437B9F94" wp14:editId="78A5C176">
            <wp:extent cx="5669915" cy="24447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915" cy="2444750"/>
                    </a:xfrm>
                    <a:prstGeom prst="rect">
                      <a:avLst/>
                    </a:prstGeom>
                    <a:noFill/>
                  </pic:spPr>
                </pic:pic>
              </a:graphicData>
            </a:graphic>
          </wp:inline>
        </w:drawing>
      </w:r>
    </w:p>
    <w:p w:rsidR="00F321DD" w:rsidRDefault="00F321DD" w:rsidP="00F321DD">
      <w:pPr>
        <w:rPr>
          <w:noProof/>
        </w:rPr>
      </w:pPr>
      <w:r>
        <w:rPr>
          <w:noProof/>
        </w:rPr>
        <w:t>North West (</w:t>
      </w:r>
      <w:r w:rsidRPr="0005385F">
        <w:rPr>
          <w:noProof/>
        </w:rPr>
        <w:t>93.3%</w:t>
      </w:r>
      <w:r>
        <w:rPr>
          <w:noProof/>
        </w:rPr>
        <w:t>), East Midlands (</w:t>
      </w:r>
      <w:r w:rsidRPr="0005385F">
        <w:rPr>
          <w:noProof/>
        </w:rPr>
        <w:t>94.0%</w:t>
      </w:r>
      <w:r>
        <w:rPr>
          <w:noProof/>
        </w:rPr>
        <w:t>), London (</w:t>
      </w:r>
      <w:r w:rsidRPr="0005385F">
        <w:rPr>
          <w:noProof/>
        </w:rPr>
        <w:t>94.2%</w:t>
      </w:r>
      <w:r>
        <w:rPr>
          <w:noProof/>
        </w:rPr>
        <w:t>) and South Western (</w:t>
      </w:r>
      <w:r w:rsidRPr="0005385F">
        <w:rPr>
          <w:noProof/>
        </w:rPr>
        <w:t>92.7%</w:t>
      </w:r>
      <w:r>
        <w:rPr>
          <w:noProof/>
        </w:rPr>
        <w:t>)</w:t>
      </w:r>
      <w:r w:rsidRPr="00FD4A85">
        <w:rPr>
          <w:noProof/>
        </w:rPr>
        <w:t xml:space="preserve"> </w:t>
      </w:r>
      <w:r>
        <w:rPr>
          <w:noProof/>
        </w:rPr>
        <w:t>did not achieve this standard</w:t>
      </w:r>
      <w:r w:rsidRPr="00774123">
        <w:rPr>
          <w:noProof/>
        </w:rPr>
        <w:t xml:space="preserve"> </w:t>
      </w:r>
      <w:r>
        <w:rPr>
          <w:noProof/>
        </w:rPr>
        <w:t>in April 2015. The largest proportion was 97.6% in West Midlands.</w:t>
      </w:r>
    </w:p>
    <w:p w:rsidR="00F321DD" w:rsidRDefault="00F321DD" w:rsidP="00F321DD">
      <w:r>
        <w:t xml:space="preserve">There will always be uncertainty over what the Red 2 measure for all England would have been without the DoD pilot. </w:t>
      </w:r>
      <w:r>
        <w:rPr>
          <w:noProof/>
        </w:rPr>
        <w:t>However, Figures 2 and 3 suggest that the difference between LAS &amp; SWAS, and the rest of England, is similar in the few months before and after the start of the pilot</w:t>
      </w:r>
      <w:r>
        <w:t>.</w:t>
      </w:r>
    </w:p>
    <w:p w:rsidR="00774123" w:rsidRDefault="00774123" w:rsidP="00774123">
      <w:r>
        <w:t xml:space="preserve">Other Systems Indicators are still measured consistently. The extra triage time </w:t>
      </w:r>
      <w:r w:rsidR="00087A96">
        <w:t xml:space="preserve">in the pilot </w:t>
      </w:r>
      <w:r>
        <w:t xml:space="preserve">may have increased the proportion of calls closed with telephone advice. </w:t>
      </w:r>
      <w:r w:rsidR="00FF237D">
        <w:t>In February, March and April 2015, SWAS exceeded 11% for this, having never previously reached 11%; and London had larger proportions of calls closed with telephone advice than all other trusts. However, London also had the largest proportions in all months from June 2014, well before the pilot started</w:t>
      </w:r>
      <w:r w:rsidR="000D4CAE">
        <w:t xml:space="preserve">. </w:t>
      </w:r>
    </w:p>
    <w:p w:rsidR="00092A97" w:rsidRDefault="00092A97" w:rsidP="00092A97">
      <w:pPr>
        <w:pStyle w:val="Heading3"/>
      </w:pPr>
      <w:r>
        <w:t>A4</w:t>
      </w:r>
      <w:r>
        <w:tab/>
        <w:t>Revisions</w:t>
      </w:r>
    </w:p>
    <w:p w:rsidR="00092A97" w:rsidRDefault="00092A97" w:rsidP="00092A97">
      <w:r>
        <w:t>This month includes exceptional revisions</w:t>
      </w:r>
      <w:r w:rsidR="00FB42A2" w:rsidRPr="00FB42A2">
        <w:t xml:space="preserve"> </w:t>
      </w:r>
      <w:r w:rsidR="00FB42A2">
        <w:t>for South Central Ambulance Service,</w:t>
      </w:r>
      <w:r>
        <w:t xml:space="preserve"> received since the previous publication on 30 April 2015. Red 1, Red 2 and Category A emergency responses are affected</w:t>
      </w:r>
      <w:r w:rsidR="00FB42A2">
        <w:t>,</w:t>
      </w:r>
      <w:r>
        <w:t xml:space="preserve"> for all months of 2014-15 except March. </w:t>
      </w:r>
      <w:r w:rsidR="00FF237D">
        <w:t>For SCAS, t</w:t>
      </w:r>
      <w:r>
        <w:t xml:space="preserve">he changes are all less than one percentage point, and only </w:t>
      </w:r>
      <w:r w:rsidR="00FF237D">
        <w:t xml:space="preserve">Red 1 in November and January changed by more </w:t>
      </w:r>
      <w:r>
        <w:t>than 0.5 perce</w:t>
      </w:r>
      <w:r w:rsidR="00FF237D">
        <w:t xml:space="preserve">ntage points, see </w:t>
      </w:r>
      <w:r w:rsidR="0016743F">
        <w:t>Figure 4</w:t>
      </w:r>
      <w:r>
        <w:t xml:space="preserve">. </w:t>
      </w:r>
      <w:r w:rsidR="006E0078">
        <w:t xml:space="preserve">For </w:t>
      </w:r>
      <w:r>
        <w:t xml:space="preserve">England </w:t>
      </w:r>
      <w:r w:rsidR="006E0078">
        <w:t xml:space="preserve">as a whole, all changes </w:t>
      </w:r>
      <w:r w:rsidR="0016743F">
        <w:t xml:space="preserve">were </w:t>
      </w:r>
      <w:r>
        <w:t>less than 0.05 percentage points.</w:t>
      </w:r>
    </w:p>
    <w:p w:rsidR="0016743F" w:rsidRDefault="0016743F" w:rsidP="00774123">
      <w:r>
        <w:rPr>
          <w:noProof/>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3176270" cy="187134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6270" cy="1871345"/>
                    </a:xfrm>
                    <a:prstGeom prst="rect">
                      <a:avLst/>
                    </a:prstGeom>
                    <a:noFill/>
                  </pic:spPr>
                </pic:pic>
              </a:graphicData>
            </a:graphic>
            <wp14:sizeRelH relativeFrom="page">
              <wp14:pctWidth>0</wp14:pctWidth>
            </wp14:sizeRelH>
            <wp14:sizeRelV relativeFrom="page">
              <wp14:pctHeight>0</wp14:pctHeight>
            </wp14:sizeRelV>
          </wp:anchor>
        </w:drawing>
      </w:r>
      <w:r>
        <w:t>The</w:t>
      </w:r>
      <w:r w:rsidR="00092A97">
        <w:t xml:space="preserve"> revisions mean that </w:t>
      </w:r>
      <w:r w:rsidR="006E0078">
        <w:t xml:space="preserve">for South Central, for all </w:t>
      </w:r>
      <w:r w:rsidR="00092A97">
        <w:t>2014-15</w:t>
      </w:r>
      <w:r>
        <w:t>:</w:t>
      </w:r>
    </w:p>
    <w:p w:rsidR="0016743F" w:rsidRDefault="0016743F" w:rsidP="00774123">
      <w:r>
        <w:t xml:space="preserve">The </w:t>
      </w:r>
      <w:r w:rsidR="00092A97">
        <w:t xml:space="preserve">Red 1 </w:t>
      </w:r>
      <w:r>
        <w:t>measure was revised from 74.8% to 75.0</w:t>
      </w:r>
      <w:r w:rsidR="006E0078">
        <w:t>3</w:t>
      </w:r>
      <w:r>
        <w:t xml:space="preserve">%, so this standard was met; </w:t>
      </w:r>
    </w:p>
    <w:p w:rsidR="0016743F" w:rsidRDefault="0016743F" w:rsidP="00774123">
      <w:r>
        <w:t xml:space="preserve">The Red 2 measure was unchanged at </w:t>
      </w:r>
      <w:r w:rsidR="00092A97">
        <w:t xml:space="preserve">74.5%, </w:t>
      </w:r>
      <w:r>
        <w:t>not met;</w:t>
      </w:r>
    </w:p>
    <w:p w:rsidR="00092A97" w:rsidRDefault="0016743F" w:rsidP="0016743F">
      <w:r>
        <w:t xml:space="preserve">The </w:t>
      </w:r>
      <w:r w:rsidR="00092A97">
        <w:t xml:space="preserve">19 minute </w:t>
      </w:r>
      <w:r>
        <w:t>measure was unchanged at 95.5%, met.</w:t>
      </w:r>
    </w:p>
    <w:p w:rsidR="0016743F" w:rsidRDefault="0016743F" w:rsidP="0016743F">
      <w:pPr>
        <w:pStyle w:val="NoSpacing"/>
      </w:pPr>
    </w:p>
    <w:p w:rsidR="0016743F" w:rsidRDefault="0016743F" w:rsidP="00774123">
      <w:r>
        <w:t>The only other revision this month was for calls presented to the switch</w:t>
      </w:r>
      <w:r w:rsidR="00C57FBC">
        <w:t xml:space="preserve">board in East </w:t>
      </w:r>
      <w:r w:rsidR="00FB42A2">
        <w:t xml:space="preserve">Midlands in </w:t>
      </w:r>
      <w:r w:rsidR="00975403">
        <w:t>April 2014</w:t>
      </w:r>
      <w:bookmarkStart w:id="0" w:name="_GoBack"/>
      <w:bookmarkEnd w:id="0"/>
      <w:r w:rsidR="00FB42A2">
        <w:t>,</w:t>
      </w:r>
      <w:r>
        <w:t xml:space="preserve"> from </w:t>
      </w:r>
      <w:r w:rsidRPr="0016743F">
        <w:t>61,963</w:t>
      </w:r>
      <w:r>
        <w:t xml:space="preserve"> to </w:t>
      </w:r>
      <w:r w:rsidRPr="0016743F">
        <w:t>64,706</w:t>
      </w:r>
      <w:r>
        <w:t xml:space="preserve">. The proportion of calls abandoned for East Midlands </w:t>
      </w:r>
      <w:r w:rsidR="006E0078">
        <w:t>and all England were unaffected at 0.3% and 0.9% respectively.</w:t>
      </w:r>
    </w:p>
    <w:p w:rsidR="003A0D0C" w:rsidRPr="00127FD0" w:rsidRDefault="003A0D0C" w:rsidP="003A0D0C">
      <w:pPr>
        <w:pStyle w:val="Heading3"/>
      </w:pPr>
      <w:r>
        <w:t>A</w:t>
      </w:r>
      <w:r w:rsidR="00D4605E">
        <w:t>5</w:t>
      </w:r>
      <w:r>
        <w:tab/>
      </w:r>
      <w:r w:rsidRPr="00151AF2">
        <w:t xml:space="preserve">Systems </w:t>
      </w:r>
      <w:r>
        <w:t xml:space="preserve">Indicators: Ambulance volumes (Figure </w:t>
      </w:r>
      <w:r w:rsidR="006B6BD1">
        <w:t>5</w:t>
      </w:r>
      <w:r>
        <w:t>)</w:t>
      </w:r>
    </w:p>
    <w:p w:rsidR="00191AB9"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AD7C90">
        <w:t xml:space="preserve">April </w:t>
      </w:r>
      <w:r>
        <w:t xml:space="preserve">2015 was </w:t>
      </w:r>
      <w:r w:rsidR="00AD7C90" w:rsidRPr="00AD7C90">
        <w:t>653,006</w:t>
      </w:r>
      <w:r w:rsidR="009141A4">
        <w:t xml:space="preserve">, </w:t>
      </w:r>
      <w:r w:rsidR="00177CDB">
        <w:t>an average of</w:t>
      </w:r>
      <w:r>
        <w:t xml:space="preserve"> 22</w:t>
      </w:r>
      <w:r w:rsidRPr="005B7C87">
        <w:t xml:space="preserve"> thousand per day</w:t>
      </w:r>
      <w:r w:rsidR="00A32B3E">
        <w:t xml:space="preserve">. However, </w:t>
      </w:r>
      <w:r w:rsidR="002F09FA">
        <w:t xml:space="preserve">that excludes </w:t>
      </w:r>
      <w:r w:rsidR="00A32B3E">
        <w:t>East of England</w:t>
      </w:r>
      <w:r w:rsidR="009141A4">
        <w:t xml:space="preserve"> </w:t>
      </w:r>
      <w:r w:rsidR="00A32B3E">
        <w:t>(</w:t>
      </w:r>
      <w:r w:rsidR="009141A4">
        <w:t>normally about 10% of calls in England</w:t>
      </w:r>
      <w:r w:rsidR="00A32B3E">
        <w:t>)</w:t>
      </w:r>
      <w:r w:rsidR="009141A4">
        <w:t xml:space="preserve"> </w:t>
      </w:r>
      <w:r w:rsidR="002F09FA">
        <w:t xml:space="preserve">which </w:t>
      </w:r>
      <w:r w:rsidR="009141A4">
        <w:t>did not provide</w:t>
      </w:r>
      <w:r w:rsidR="002F09FA">
        <w:t xml:space="preserve"> data</w:t>
      </w:r>
      <w:r w:rsidR="009141A4">
        <w:t xml:space="preserve">, so the average would probably have been </w:t>
      </w:r>
      <w:r w:rsidR="00305EA9">
        <w:t>close to</w:t>
      </w:r>
      <w:r w:rsidR="009141A4">
        <w:t xml:space="preserve"> </w:t>
      </w:r>
      <w:r>
        <w:t xml:space="preserve">the </w:t>
      </w:r>
      <w:r w:rsidR="00305EA9">
        <w:t xml:space="preserve">2014 </w:t>
      </w:r>
      <w:r>
        <w:t xml:space="preserve">average </w:t>
      </w:r>
      <w:r w:rsidR="00177CDB">
        <w:t>of 2</w:t>
      </w:r>
      <w:r w:rsidR="006E0078">
        <w:t>5</w:t>
      </w:r>
      <w:r w:rsidR="00177CDB">
        <w:t xml:space="preserve"> thousand per day.</w:t>
      </w:r>
    </w:p>
    <w:p w:rsidR="003F3CB1" w:rsidRDefault="00AD7C90" w:rsidP="00AD7C90">
      <w:r>
        <w:t xml:space="preserve">There were </w:t>
      </w:r>
      <w:r w:rsidRPr="00AD7C90">
        <w:t>517,964 emergency calls that receive</w:t>
      </w:r>
      <w:r w:rsidR="00037F53">
        <w:t>d</w:t>
      </w:r>
      <w:r w:rsidRPr="00AD7C90">
        <w:t xml:space="preserve"> a face-to-face resp</w:t>
      </w:r>
      <w:r>
        <w:t>onse from the ambulance service in April 2015</w:t>
      </w:r>
      <w:r w:rsidR="00037F53">
        <w:t xml:space="preserve">. The </w:t>
      </w:r>
      <w:r>
        <w:t xml:space="preserve">average of </w:t>
      </w:r>
      <w:r w:rsidRPr="00AD7C90">
        <w:t>17</w:t>
      </w:r>
      <w:r>
        <w:t xml:space="preserve"> thousand</w:t>
      </w:r>
      <w:r w:rsidRPr="00474435">
        <w:t xml:space="preserve"> </w:t>
      </w:r>
      <w:r w:rsidR="00037F53">
        <w:t xml:space="preserve">per day was </w:t>
      </w:r>
      <w:r>
        <w:t>the same as in</w:t>
      </w:r>
      <w:r w:rsidR="00740D50">
        <w:t xml:space="preserve"> </w:t>
      </w:r>
      <w:r w:rsidR="00037F53">
        <w:t xml:space="preserve">all previous </w:t>
      </w:r>
      <w:r>
        <w:t>months</w:t>
      </w:r>
      <w:r w:rsidR="003F3CB1">
        <w:t xml:space="preserve"> </w:t>
      </w:r>
      <w:r w:rsidR="00037F53">
        <w:t xml:space="preserve">in </w:t>
      </w:r>
      <w:r w:rsidR="00740D50">
        <w:t>20</w:t>
      </w:r>
      <w:r>
        <w:t>15</w:t>
      </w:r>
      <w:r w:rsidR="00037F53">
        <w:t>.</w:t>
      </w:r>
    </w:p>
    <w:p w:rsidR="00191AB9" w:rsidRPr="008E5931" w:rsidRDefault="00A32B3E" w:rsidP="00191AB9">
      <w:pPr>
        <w:rPr>
          <w:rFonts w:cs="Arial"/>
        </w:rPr>
      </w:pPr>
      <w:r>
        <w:t xml:space="preserve">There were </w:t>
      </w:r>
      <w:r w:rsidR="003F3CB1" w:rsidRPr="003F3CB1">
        <w:t>377,812</w:t>
      </w:r>
      <w:r w:rsidR="003F3CB1">
        <w:t xml:space="preserve"> </w:t>
      </w:r>
      <w:r>
        <w:t xml:space="preserve">incidents requiring </w:t>
      </w:r>
      <w:r w:rsidR="00191AB9">
        <w:t>emergency patient journeys to Type 1 or Type 2 A&amp;E</w:t>
      </w:r>
      <w:r w:rsidR="00191AB9">
        <w:rPr>
          <w:rStyle w:val="FootnoteReference"/>
        </w:rPr>
        <w:footnoteReference w:id="5"/>
      </w:r>
      <w:r w:rsidR="00191AB9">
        <w:t xml:space="preserve"> in </w:t>
      </w:r>
      <w:r w:rsidR="003F3CB1">
        <w:t xml:space="preserve">April </w:t>
      </w:r>
      <w:r w:rsidR="00037F53">
        <w:t xml:space="preserve">2015. The average </w:t>
      </w:r>
      <w:r w:rsidR="00F23C98">
        <w:t xml:space="preserve">of </w:t>
      </w:r>
      <w:r w:rsidR="00191AB9" w:rsidRPr="00474435">
        <w:t>1</w:t>
      </w:r>
      <w:r w:rsidR="00191AB9">
        <w:t>3 thousand</w:t>
      </w:r>
      <w:r w:rsidR="00191AB9" w:rsidRPr="00474435">
        <w:t xml:space="preserve"> </w:t>
      </w:r>
      <w:r w:rsidR="00191AB9">
        <w:t>per day</w:t>
      </w:r>
      <w:r w:rsidR="00037F53">
        <w:t xml:space="preserve"> was also </w:t>
      </w:r>
      <w:r w:rsidR="00177CDB">
        <w:t xml:space="preserve">the same as </w:t>
      </w:r>
      <w:r w:rsidR="00393F68">
        <w:t xml:space="preserve">in </w:t>
      </w:r>
      <w:r w:rsidR="00037F53">
        <w:t>all previous months in 20</w:t>
      </w:r>
      <w:r w:rsidR="002F09FA">
        <w:t>15</w:t>
      </w:r>
      <w:r w:rsidR="00191AB9">
        <w:t>.</w:t>
      </w:r>
    </w:p>
    <w:p w:rsidR="00191AB9" w:rsidRDefault="003C24D1" w:rsidP="00191AB9">
      <w:r>
        <w:t xml:space="preserve">There were </w:t>
      </w:r>
      <w:r w:rsidR="00BD1E82" w:rsidRPr="00BD1E82">
        <w:t>250,917</w:t>
      </w:r>
      <w:r w:rsidR="00BD1E82">
        <w:t xml:space="preserve">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BD1E82">
        <w:t xml:space="preserve">April </w:t>
      </w:r>
      <w:r w:rsidR="002941E6">
        <w:t xml:space="preserve">2015, or </w:t>
      </w:r>
      <w:r w:rsidR="00BD1E82" w:rsidRPr="00BD1E82">
        <w:t>8,364</w:t>
      </w:r>
      <w:r w:rsidR="00BD1E82">
        <w:t xml:space="preserve"> </w:t>
      </w:r>
      <w:r w:rsidR="00191AB9">
        <w:t xml:space="preserve">per day, </w:t>
      </w:r>
      <w:r w:rsidR="002941E6">
        <w:t xml:space="preserve">which was </w:t>
      </w:r>
      <w:r w:rsidR="00191AB9">
        <w:t>fewer than</w:t>
      </w:r>
      <w:r w:rsidR="002F09FA">
        <w:t xml:space="preserve"> in</w:t>
      </w:r>
      <w:r w:rsidR="00191AB9">
        <w:t xml:space="preserve"> </w:t>
      </w:r>
      <w:r>
        <w:t xml:space="preserve">each of </w:t>
      </w:r>
      <w:r w:rsidR="00177CDB">
        <w:t>the previous</w:t>
      </w:r>
      <w:r w:rsidR="00767475">
        <w:t xml:space="preserve"> </w:t>
      </w:r>
      <w:r w:rsidR="002941E6">
        <w:t xml:space="preserve">six </w:t>
      </w:r>
      <w:r w:rsidR="00177CDB">
        <w:t xml:space="preserve">months, but more </w:t>
      </w:r>
      <w:r>
        <w:t xml:space="preserve">than in </w:t>
      </w:r>
      <w:r w:rsidR="002941E6">
        <w:t>each of the 32 months before December 2013.</w:t>
      </w:r>
    </w:p>
    <w:p w:rsidR="00177CDB" w:rsidRDefault="00B26DEC" w:rsidP="00191AB9">
      <w:r>
        <w:rPr>
          <w:noProof/>
        </w:rPr>
        <w:lastRenderedPageBreak/>
        <w:drawing>
          <wp:inline distT="0" distB="0" distL="0" distR="0" wp14:anchorId="6944E778">
            <wp:extent cx="5578475" cy="426783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8475" cy="4267835"/>
                    </a:xfrm>
                    <a:prstGeom prst="rect">
                      <a:avLst/>
                    </a:prstGeom>
                    <a:noFill/>
                  </pic:spPr>
                </pic:pic>
              </a:graphicData>
            </a:graphic>
          </wp:inline>
        </w:drawing>
      </w:r>
    </w:p>
    <w:p w:rsidR="003A0D0C" w:rsidRDefault="003A0D0C" w:rsidP="003A0D0C">
      <w:pPr>
        <w:pStyle w:val="Heading3"/>
      </w:pPr>
      <w:r>
        <w:t>A</w:t>
      </w:r>
      <w:r w:rsidR="00D4605E">
        <w:t>6</w:t>
      </w:r>
      <w:r>
        <w:tab/>
      </w:r>
      <w:r w:rsidR="003C24D1">
        <w:t xml:space="preserve">Latest monthly data </w:t>
      </w:r>
      <w:r>
        <w:t xml:space="preserve">for </w:t>
      </w:r>
      <w:r w:rsidR="003C24D1">
        <w:t xml:space="preserve">other </w:t>
      </w:r>
      <w:r>
        <w:t>System</w:t>
      </w:r>
      <w:r w:rsidR="003C24D1">
        <w:t>s</w:t>
      </w:r>
      <w:r>
        <w:t xml:space="preserve"> Indicators</w:t>
      </w:r>
      <w:r w:rsidR="000D7762">
        <w:t>, April 2015</w:t>
      </w:r>
      <w:r>
        <w:t xml:space="preserve"> </w:t>
      </w:r>
    </w:p>
    <w:tbl>
      <w:tblPr>
        <w:tblW w:w="9271" w:type="dxa"/>
        <w:tblLayout w:type="fixed"/>
        <w:tblCellMar>
          <w:left w:w="57" w:type="dxa"/>
          <w:right w:w="57" w:type="dxa"/>
        </w:tblCellMar>
        <w:tblLook w:val="04A0" w:firstRow="1" w:lastRow="0" w:firstColumn="1" w:lastColumn="0" w:noHBand="0" w:noVBand="1"/>
      </w:tblPr>
      <w:tblGrid>
        <w:gridCol w:w="3601"/>
        <w:gridCol w:w="1134"/>
        <w:gridCol w:w="1418"/>
        <w:gridCol w:w="850"/>
        <w:gridCol w:w="1418"/>
        <w:gridCol w:w="850"/>
      </w:tblGrid>
      <w:tr w:rsidR="003A0D0C" w:rsidTr="003507AC">
        <w:trPr>
          <w:trHeight w:val="279"/>
        </w:trPr>
        <w:tc>
          <w:tcPr>
            <w:tcW w:w="3601" w:type="dxa"/>
            <w:tcBorders>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E53110" w:rsidRDefault="003A0D0C" w:rsidP="00F23C98">
            <w:pPr>
              <w:pStyle w:val="Heading4"/>
            </w:pPr>
            <w:r w:rsidRPr="00E53110">
              <w:t>Highest Trust</w:t>
            </w:r>
          </w:p>
        </w:tc>
      </w:tr>
      <w:tr w:rsidR="0037489E" w:rsidTr="003507AC">
        <w:trPr>
          <w:trHeight w:val="624"/>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753EA9">
            <w:pPr>
              <w:pStyle w:val="NoSpacing"/>
              <w:jc w:val="right"/>
              <w:rPr>
                <w:sz w:val="22"/>
                <w:szCs w:val="22"/>
              </w:rPr>
            </w:pPr>
            <w:r w:rsidRPr="003E345E">
              <w:rPr>
                <w:szCs w:val="22"/>
              </w:rPr>
              <w:t>0.5%</w:t>
            </w:r>
            <w:r w:rsidR="000D7762">
              <w:rPr>
                <w:szCs w:val="22"/>
              </w:rPr>
              <w:t xml:space="preserve"> </w:t>
            </w:r>
            <w:r w:rsidR="0099142B">
              <w:rPr>
                <w:rStyle w:val="FootnoteReference"/>
                <w:szCs w:val="22"/>
              </w:rPr>
              <w:footnoteReference w:id="6"/>
            </w:r>
          </w:p>
        </w:tc>
        <w:tc>
          <w:tcPr>
            <w:tcW w:w="1418" w:type="dxa"/>
            <w:tcBorders>
              <w:top w:val="single" w:sz="4" w:space="0" w:color="auto"/>
              <w:left w:val="single" w:sz="4" w:space="0" w:color="auto"/>
            </w:tcBorders>
            <w:shd w:val="clear" w:color="000000" w:fill="FFFFFF"/>
            <w:vAlign w:val="center"/>
            <w:hideMark/>
          </w:tcPr>
          <w:p w:rsidR="0032599C" w:rsidRPr="00E53110" w:rsidRDefault="003E345E" w:rsidP="002221E6">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753EA9">
            <w:pPr>
              <w:pStyle w:val="NoSpacing"/>
              <w:jc w:val="right"/>
              <w:rPr>
                <w:sz w:val="22"/>
                <w:szCs w:val="22"/>
              </w:rPr>
            </w:pPr>
            <w:r w:rsidRPr="00753EA9">
              <w:rPr>
                <w:szCs w:val="22"/>
              </w:rPr>
              <w:t>0.1%</w:t>
            </w:r>
          </w:p>
        </w:tc>
        <w:tc>
          <w:tcPr>
            <w:tcW w:w="1418" w:type="dxa"/>
            <w:tcBorders>
              <w:top w:val="single" w:sz="4" w:space="0" w:color="auto"/>
              <w:left w:val="single" w:sz="4" w:space="0" w:color="auto"/>
            </w:tcBorders>
            <w:shd w:val="clear" w:color="000000" w:fill="FFFFFF"/>
            <w:vAlign w:val="center"/>
            <w:hideMark/>
          </w:tcPr>
          <w:p w:rsidR="0032599C" w:rsidRPr="00E53110" w:rsidRDefault="0037489E" w:rsidP="002221E6">
            <w:pPr>
              <w:pStyle w:val="NoSpacing"/>
              <w:jc w:val="center"/>
              <w:rPr>
                <w:sz w:val="22"/>
                <w:szCs w:val="22"/>
              </w:rPr>
            </w:pPr>
            <w:r w:rsidRPr="0037489E">
              <w:rPr>
                <w:szCs w:val="22"/>
              </w:rPr>
              <w:t>Yorkshire</w:t>
            </w:r>
            <w:r w:rsidR="000D7762">
              <w:rPr>
                <w:szCs w:val="22"/>
              </w:rPr>
              <w:t xml:space="preserve"> </w:t>
            </w:r>
            <w:r w:rsidR="00E02284">
              <w:rPr>
                <w:rStyle w:val="FootnoteReference"/>
                <w:rFonts w:cs="Arial"/>
              </w:rPr>
              <w:footnoteReference w:id="7"/>
            </w:r>
          </w:p>
        </w:tc>
        <w:tc>
          <w:tcPr>
            <w:tcW w:w="850" w:type="dxa"/>
            <w:tcBorders>
              <w:top w:val="single" w:sz="4" w:space="0" w:color="auto"/>
            </w:tcBorders>
            <w:shd w:val="clear" w:color="000000" w:fill="FFFFFF"/>
            <w:vAlign w:val="center"/>
          </w:tcPr>
          <w:p w:rsidR="0032599C" w:rsidRPr="00E53110" w:rsidRDefault="003E345E" w:rsidP="003E345E">
            <w:pPr>
              <w:pStyle w:val="NoSpacing"/>
              <w:jc w:val="right"/>
              <w:rPr>
                <w:sz w:val="22"/>
                <w:szCs w:val="22"/>
              </w:rPr>
            </w:pPr>
            <w:r>
              <w:rPr>
                <w:szCs w:val="22"/>
              </w:rPr>
              <w:t>0.9</w:t>
            </w:r>
            <w:r w:rsidR="007D2560" w:rsidRPr="007D2560">
              <w:rPr>
                <w:szCs w:val="22"/>
              </w:rPr>
              <w:t>%</w:t>
            </w:r>
          </w:p>
        </w:tc>
      </w:tr>
      <w:tr w:rsidR="0037489E" w:rsidTr="003507AC">
        <w:trPr>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E53110" w:rsidRDefault="00E02284" w:rsidP="00753EA9">
            <w:pPr>
              <w:pStyle w:val="NoSpacing"/>
              <w:jc w:val="right"/>
              <w:rPr>
                <w:sz w:val="22"/>
                <w:szCs w:val="22"/>
              </w:rPr>
            </w:pPr>
            <w:r w:rsidRPr="00E02284">
              <w:rPr>
                <w:szCs w:val="22"/>
              </w:rPr>
              <w:t>9.4%</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E02284" w:rsidP="00F23C98">
            <w:pPr>
              <w:pStyle w:val="NoSpacing"/>
              <w:jc w:val="right"/>
              <w:rPr>
                <w:sz w:val="22"/>
                <w:szCs w:val="22"/>
              </w:rPr>
            </w:pPr>
            <w:r w:rsidRPr="00E02284">
              <w:rPr>
                <w:szCs w:val="22"/>
              </w:rPr>
              <w:t>5.0%</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E02284" w:rsidP="00753EA9">
            <w:pPr>
              <w:pStyle w:val="NoSpacing"/>
              <w:jc w:val="right"/>
              <w:rPr>
                <w:sz w:val="22"/>
                <w:szCs w:val="22"/>
              </w:rPr>
            </w:pPr>
            <w:r>
              <w:rPr>
                <w:szCs w:val="22"/>
              </w:rPr>
              <w:t>13.9</w:t>
            </w:r>
            <w:r w:rsidR="0037489E" w:rsidRPr="0037489E">
              <w:rPr>
                <w:szCs w:val="22"/>
              </w:rPr>
              <w:t>%</w:t>
            </w:r>
          </w:p>
        </w:tc>
      </w:tr>
      <w:tr w:rsidR="0037489E" w:rsidTr="003507AC">
        <w:trPr>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E53110" w:rsidRDefault="00E02284" w:rsidP="00753EA9">
            <w:pPr>
              <w:pStyle w:val="NoSpacing"/>
              <w:jc w:val="right"/>
              <w:rPr>
                <w:sz w:val="22"/>
                <w:szCs w:val="22"/>
              </w:rPr>
            </w:pPr>
            <w:r>
              <w:rPr>
                <w:szCs w:val="22"/>
              </w:rPr>
              <w:t>36.6</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North West</w:t>
            </w:r>
          </w:p>
        </w:tc>
        <w:tc>
          <w:tcPr>
            <w:tcW w:w="850" w:type="dxa"/>
            <w:tcBorders>
              <w:right w:val="single" w:sz="4" w:space="0" w:color="auto"/>
            </w:tcBorders>
            <w:shd w:val="clear" w:color="000000" w:fill="FFFFFF"/>
            <w:vAlign w:val="center"/>
          </w:tcPr>
          <w:p w:rsidR="0032599C" w:rsidRPr="00E53110" w:rsidRDefault="00E02284" w:rsidP="00753EA9">
            <w:pPr>
              <w:pStyle w:val="NoSpacing"/>
              <w:jc w:val="right"/>
              <w:rPr>
                <w:sz w:val="22"/>
                <w:szCs w:val="22"/>
              </w:rPr>
            </w:pPr>
            <w:r>
              <w:rPr>
                <w:szCs w:val="22"/>
              </w:rPr>
              <w:t>28.2</w:t>
            </w:r>
            <w:r w:rsidR="0037489E" w:rsidRPr="0037489E">
              <w:rPr>
                <w:szCs w:val="22"/>
              </w:rPr>
              <w:t>%</w:t>
            </w:r>
          </w:p>
        </w:tc>
        <w:tc>
          <w:tcPr>
            <w:tcW w:w="1418" w:type="dxa"/>
            <w:tcBorders>
              <w:left w:val="single" w:sz="4" w:space="0" w:color="auto"/>
            </w:tcBorders>
            <w:shd w:val="clear" w:color="000000" w:fill="FFFFFF"/>
            <w:vAlign w:val="center"/>
            <w:hideMark/>
          </w:tcPr>
          <w:p w:rsidR="0032599C" w:rsidRPr="00E53110" w:rsidRDefault="0032599C" w:rsidP="00191AB9">
            <w:pPr>
              <w:pStyle w:val="NoSpacing"/>
              <w:jc w:val="center"/>
              <w:rPr>
                <w:sz w:val="22"/>
                <w:szCs w:val="22"/>
              </w:rPr>
            </w:pPr>
            <w:r w:rsidRPr="00753EA9">
              <w:rPr>
                <w:szCs w:val="22"/>
              </w:rPr>
              <w:t>South Western</w:t>
            </w:r>
          </w:p>
        </w:tc>
        <w:tc>
          <w:tcPr>
            <w:tcW w:w="850" w:type="dxa"/>
            <w:shd w:val="clear" w:color="000000" w:fill="FFFFFF"/>
            <w:vAlign w:val="center"/>
          </w:tcPr>
          <w:p w:rsidR="0032599C" w:rsidRPr="00E53110" w:rsidRDefault="00E02284" w:rsidP="00E02284">
            <w:pPr>
              <w:pStyle w:val="NoSpacing"/>
              <w:jc w:val="right"/>
              <w:rPr>
                <w:sz w:val="22"/>
                <w:szCs w:val="22"/>
              </w:rPr>
            </w:pPr>
            <w:r>
              <w:rPr>
                <w:szCs w:val="22"/>
              </w:rPr>
              <w:t>52</w:t>
            </w:r>
            <w:r w:rsidR="0037489E" w:rsidRPr="0037489E">
              <w:rPr>
                <w:szCs w:val="22"/>
              </w:rPr>
              <w:t>.</w:t>
            </w:r>
            <w:r>
              <w:rPr>
                <w:szCs w:val="22"/>
              </w:rPr>
              <w:t>1</w:t>
            </w:r>
            <w:r w:rsidR="0037489E" w:rsidRPr="0037489E">
              <w:rPr>
                <w:szCs w:val="22"/>
              </w:rPr>
              <w:t>%</w:t>
            </w:r>
          </w:p>
        </w:tc>
      </w:tr>
      <w:tr w:rsidR="0037489E" w:rsidTr="003507AC">
        <w:trPr>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1" w:name="RANGE!A22"/>
            <w:r w:rsidRPr="00E53110">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E53110" w:rsidRDefault="00E02284" w:rsidP="00E02284">
            <w:pPr>
              <w:pStyle w:val="NoSpacing"/>
              <w:jc w:val="right"/>
              <w:rPr>
                <w:sz w:val="22"/>
                <w:szCs w:val="22"/>
              </w:rPr>
            </w:pPr>
            <w:r>
              <w:rPr>
                <w:szCs w:val="22"/>
              </w:rPr>
              <w:t>6.9</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E02284" w:rsidP="00E02284">
            <w:pPr>
              <w:pStyle w:val="NoSpacing"/>
              <w:jc w:val="right"/>
              <w:rPr>
                <w:sz w:val="22"/>
                <w:szCs w:val="22"/>
              </w:rPr>
            </w:pPr>
            <w:r>
              <w:rPr>
                <w:szCs w:val="22"/>
              </w:rPr>
              <w:t>1.7</w:t>
            </w:r>
            <w:r w:rsidR="0037489E" w:rsidRPr="0037489E">
              <w:rPr>
                <w:szCs w:val="22"/>
              </w:rPr>
              <w:t>%</w:t>
            </w:r>
          </w:p>
        </w:tc>
        <w:tc>
          <w:tcPr>
            <w:tcW w:w="1418" w:type="dxa"/>
            <w:tcBorders>
              <w:left w:val="single" w:sz="4" w:space="0" w:color="auto"/>
            </w:tcBorders>
            <w:shd w:val="clear" w:color="000000" w:fill="FFFFFF"/>
            <w:vAlign w:val="center"/>
            <w:hideMark/>
          </w:tcPr>
          <w:p w:rsidR="0032599C" w:rsidRPr="00E53110" w:rsidRDefault="00E02284" w:rsidP="002221E6">
            <w:pPr>
              <w:pStyle w:val="NoSpacing"/>
              <w:jc w:val="center"/>
              <w:rPr>
                <w:sz w:val="22"/>
                <w:szCs w:val="22"/>
              </w:rPr>
            </w:pPr>
            <w:r w:rsidRPr="00E02284">
              <w:rPr>
                <w:szCs w:val="22"/>
              </w:rPr>
              <w:t>South Western</w:t>
            </w:r>
          </w:p>
        </w:tc>
        <w:tc>
          <w:tcPr>
            <w:tcW w:w="850" w:type="dxa"/>
            <w:shd w:val="clear" w:color="000000" w:fill="FFFFFF"/>
            <w:vAlign w:val="center"/>
          </w:tcPr>
          <w:p w:rsidR="0032599C" w:rsidRPr="00E53110" w:rsidRDefault="00E02284" w:rsidP="00E02284">
            <w:pPr>
              <w:pStyle w:val="NoSpacing"/>
              <w:jc w:val="right"/>
              <w:rPr>
                <w:sz w:val="22"/>
                <w:szCs w:val="22"/>
              </w:rPr>
            </w:pPr>
            <w:r>
              <w:rPr>
                <w:szCs w:val="22"/>
              </w:rPr>
              <w:t>14</w:t>
            </w:r>
            <w:r w:rsidR="0037489E" w:rsidRPr="0037489E">
              <w:rPr>
                <w:szCs w:val="22"/>
              </w:rPr>
              <w:t>.</w:t>
            </w:r>
            <w:r>
              <w:rPr>
                <w:szCs w:val="22"/>
              </w:rPr>
              <w:t>0</w:t>
            </w:r>
            <w:r w:rsidR="0037489E" w:rsidRPr="0037489E">
              <w:rPr>
                <w:szCs w:val="22"/>
              </w:rPr>
              <w:t>%</w:t>
            </w:r>
          </w:p>
        </w:tc>
      </w:tr>
      <w:tr w:rsidR="0037489E" w:rsidTr="003507AC">
        <w:trPr>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37489E">
            <w:pPr>
              <w:pStyle w:val="NoSpacing"/>
              <w:jc w:val="right"/>
              <w:rPr>
                <w:sz w:val="22"/>
                <w:szCs w:val="22"/>
              </w:rPr>
            </w:pPr>
            <w:r w:rsidRPr="00753EA9">
              <w:rPr>
                <w:szCs w:val="22"/>
              </w:rPr>
              <w:t>5.</w:t>
            </w:r>
            <w:r w:rsidR="00E02284">
              <w:rPr>
                <w:szCs w:val="22"/>
              </w:rPr>
              <w:t>3</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sidRPr="00753EA9">
              <w:rPr>
                <w:szCs w:val="22"/>
              </w:rPr>
              <w:t>North West</w:t>
            </w:r>
          </w:p>
        </w:tc>
        <w:tc>
          <w:tcPr>
            <w:tcW w:w="850" w:type="dxa"/>
            <w:tcBorders>
              <w:right w:val="single" w:sz="4" w:space="0" w:color="auto"/>
            </w:tcBorders>
            <w:shd w:val="clear" w:color="000000" w:fill="FFFFFF"/>
            <w:vAlign w:val="center"/>
          </w:tcPr>
          <w:p w:rsidR="0032599C" w:rsidRPr="00E53110" w:rsidRDefault="0032599C" w:rsidP="00E02284">
            <w:pPr>
              <w:pStyle w:val="NoSpacing"/>
              <w:jc w:val="right"/>
              <w:rPr>
                <w:sz w:val="22"/>
                <w:szCs w:val="22"/>
              </w:rPr>
            </w:pPr>
            <w:r w:rsidRPr="00753EA9">
              <w:rPr>
                <w:szCs w:val="22"/>
              </w:rPr>
              <w:t>3.</w:t>
            </w:r>
            <w:r w:rsidR="00E02284">
              <w:rPr>
                <w:szCs w:val="22"/>
              </w:rPr>
              <w:t>2</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E02284" w:rsidP="00753EA9">
            <w:pPr>
              <w:pStyle w:val="NoSpacing"/>
              <w:jc w:val="right"/>
              <w:rPr>
                <w:sz w:val="22"/>
                <w:szCs w:val="22"/>
              </w:rPr>
            </w:pPr>
            <w:r>
              <w:rPr>
                <w:szCs w:val="22"/>
              </w:rPr>
              <w:t>8.4</w:t>
            </w:r>
            <w:r w:rsidR="00D6205D" w:rsidRPr="00D6205D">
              <w:rPr>
                <w:szCs w:val="22"/>
              </w:rPr>
              <w:t>%</w:t>
            </w:r>
          </w:p>
        </w:tc>
      </w:tr>
      <w:tr w:rsidR="0037489E" w:rsidTr="003507AC">
        <w:trPr>
          <w:trHeight w:val="624"/>
        </w:trPr>
        <w:tc>
          <w:tcPr>
            <w:tcW w:w="3601" w:type="dxa"/>
            <w:tcBorders>
              <w:bottom w:val="single" w:sz="4" w:space="0" w:color="auto"/>
              <w:right w:val="single" w:sz="4" w:space="0" w:color="auto"/>
            </w:tcBorders>
            <w:shd w:val="clear" w:color="auto" w:fill="auto"/>
            <w:vAlign w:val="center"/>
            <w:hideMark/>
          </w:tcPr>
          <w:p w:rsidR="0032599C" w:rsidRPr="00E53110" w:rsidRDefault="0032599C" w:rsidP="009E4593">
            <w:pPr>
              <w:pStyle w:val="NoSpacing"/>
            </w:pPr>
            <w:r w:rsidRPr="00E53110">
              <w:t>Number of emergency journeys</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E53110" w:rsidRDefault="00E02284" w:rsidP="00753EA9">
            <w:pPr>
              <w:pStyle w:val="NoSpacing"/>
              <w:jc w:val="right"/>
              <w:rPr>
                <w:sz w:val="22"/>
                <w:szCs w:val="22"/>
              </w:rPr>
            </w:pPr>
            <w:r w:rsidRPr="00E02284">
              <w:rPr>
                <w:szCs w:val="22"/>
              </w:rPr>
              <w:t>377,812</w:t>
            </w:r>
          </w:p>
        </w:tc>
        <w:tc>
          <w:tcPr>
            <w:tcW w:w="1418"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0D7762">
            <w:pPr>
              <w:pStyle w:val="NoSpacing"/>
              <w:jc w:val="center"/>
              <w:rPr>
                <w:sz w:val="22"/>
                <w:szCs w:val="22"/>
              </w:rPr>
            </w:pPr>
            <w:r w:rsidRPr="009E4593">
              <w:t>East</w:t>
            </w:r>
            <w:r w:rsidR="0099142B">
              <w:t xml:space="preserve"> </w:t>
            </w:r>
            <w:r w:rsidR="000D7762">
              <w:rPr>
                <w:vertAlign w:val="superscript"/>
              </w:rPr>
              <w:t>7</w:t>
            </w:r>
          </w:p>
        </w:tc>
        <w:tc>
          <w:tcPr>
            <w:tcW w:w="850" w:type="dxa"/>
            <w:tcBorders>
              <w:bottom w:val="single" w:sz="4" w:space="0" w:color="auto"/>
              <w:right w:val="single" w:sz="4" w:space="0" w:color="auto"/>
            </w:tcBorders>
            <w:shd w:val="clear" w:color="auto" w:fill="auto"/>
            <w:vAlign w:val="center"/>
          </w:tcPr>
          <w:p w:rsidR="0032599C" w:rsidRPr="00E53110" w:rsidRDefault="00E02284" w:rsidP="00753EA9">
            <w:pPr>
              <w:pStyle w:val="NoSpacing"/>
              <w:jc w:val="right"/>
              <w:rPr>
                <w:sz w:val="22"/>
                <w:szCs w:val="22"/>
              </w:rPr>
            </w:pPr>
            <w:r w:rsidRPr="00E02284">
              <w:rPr>
                <w:szCs w:val="22"/>
              </w:rPr>
              <w:t>20,633</w:t>
            </w:r>
          </w:p>
        </w:tc>
        <w:tc>
          <w:tcPr>
            <w:tcW w:w="1418"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0" w:type="dxa"/>
            <w:tcBorders>
              <w:bottom w:val="single" w:sz="4" w:space="0" w:color="auto"/>
            </w:tcBorders>
            <w:shd w:val="clear" w:color="auto" w:fill="auto"/>
            <w:vAlign w:val="center"/>
          </w:tcPr>
          <w:p w:rsidR="0032599C" w:rsidRPr="00E53110" w:rsidRDefault="00E02284" w:rsidP="00753EA9">
            <w:pPr>
              <w:pStyle w:val="NoSpacing"/>
              <w:jc w:val="right"/>
              <w:rPr>
                <w:sz w:val="22"/>
                <w:szCs w:val="22"/>
              </w:rPr>
            </w:pPr>
            <w:r w:rsidRPr="00E02284">
              <w:rPr>
                <w:szCs w:val="22"/>
              </w:rPr>
              <w:t>61,535</w:t>
            </w:r>
          </w:p>
        </w:tc>
      </w:tr>
    </w:tbl>
    <w:p w:rsidR="00CB58C3" w:rsidRPr="00C061B2" w:rsidRDefault="00CB58C3" w:rsidP="00CB58C3">
      <w:pPr>
        <w:pStyle w:val="NoSpacing"/>
      </w:pPr>
    </w:p>
    <w:p w:rsidR="003A0D0C" w:rsidRDefault="003A0D0C" w:rsidP="003A0D0C">
      <w:pPr>
        <w:pStyle w:val="Heading2"/>
      </w:pPr>
      <w:r>
        <w:lastRenderedPageBreak/>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ts to achieve sustained improvements over time</w:t>
      </w:r>
      <w:r w:rsidRPr="005538AF">
        <w:t xml:space="preserve"> 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177CDB" w:rsidRPr="005C1BA6" w:rsidRDefault="00CB58C3" w:rsidP="003A0D0C">
      <w:r>
        <w:t>T</w:t>
      </w:r>
      <w:r w:rsidR="00177CDB">
        <w:t>he DoD pilot</w:t>
      </w:r>
      <w:r>
        <w:t xml:space="preserve"> described in section A2</w:t>
      </w:r>
      <w:r w:rsidR="00177CDB">
        <w:t xml:space="preserve"> will not affect </w:t>
      </w:r>
      <w:r>
        <w:t>these measures</w:t>
      </w:r>
      <w:r w:rsidR="00177CDB">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6B6BD1">
        <w:t>) (Figure 6</w:t>
      </w:r>
      <w:r>
        <w:t>)</w:t>
      </w:r>
    </w:p>
    <w:p w:rsidR="00044185" w:rsidRDefault="00044185" w:rsidP="0032599C">
      <w:r>
        <w:t xml:space="preserve">Patients in cardiac arrest will typically have no pulse and will not be breathing. </w:t>
      </w:r>
      <w:r w:rsidR="0032599C" w:rsidRPr="00DA6E95">
        <w:t xml:space="preserve">In </w:t>
      </w:r>
      <w:r w:rsidR="006E7B5C">
        <w:t>January 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6E7B5C" w:rsidRPr="006E7B5C">
        <w:t>3,293</w:t>
      </w:r>
      <w:r w:rsidR="006E7B5C">
        <w:t xml:space="preserve"> </w:t>
      </w:r>
      <w:r>
        <w:t xml:space="preserve">such </w:t>
      </w:r>
      <w:r w:rsidR="0032599C" w:rsidRPr="00DA6E95">
        <w:t>patients</w:t>
      </w:r>
      <w:r w:rsidR="0032599C">
        <w:t xml:space="preserve">. Of these, </w:t>
      </w:r>
      <w:r w:rsidR="006E7B5C" w:rsidRPr="006E7B5C">
        <w:t>869</w:t>
      </w:r>
      <w:r w:rsidR="0032599C">
        <w:t xml:space="preserve"> (</w:t>
      </w:r>
      <w:r w:rsidR="00F43D58">
        <w:t>2</w:t>
      </w:r>
      <w:r w:rsidR="00CB58C3">
        <w:t>6</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t>.</w:t>
      </w:r>
    </w:p>
    <w:p w:rsidR="0032599C" w:rsidRDefault="00044185" w:rsidP="0032599C">
      <w:r>
        <w:t xml:space="preserve">This proportion </w:t>
      </w:r>
      <w:r w:rsidR="0032599C">
        <w:t xml:space="preserve">was similar to the average </w:t>
      </w:r>
      <w:r w:rsidR="0032599C" w:rsidRPr="00296E05">
        <w:t xml:space="preserve">for </w:t>
      </w:r>
      <w:r w:rsidR="0032599C">
        <w:t xml:space="preserve">the </w:t>
      </w:r>
      <w:r w:rsidR="0032599C" w:rsidRPr="00296E05">
        <w:t>year ending September 2014</w:t>
      </w:r>
      <w:r w:rsidR="0032599C" w:rsidRPr="00C344CA">
        <w:t xml:space="preserve"> </w:t>
      </w:r>
      <w:r w:rsidR="0032599C">
        <w:t xml:space="preserve">of </w:t>
      </w:r>
      <w:r w:rsidR="00D4605E">
        <w:t>27</w:t>
      </w:r>
      <w:r w:rsidR="0032599C" w:rsidRPr="00D13275">
        <w:t>%</w:t>
      </w:r>
      <w:r w:rsidR="0032599C" w:rsidRPr="00296E05">
        <w:t>.</w:t>
      </w:r>
      <w:r w:rsidR="003C24D1">
        <w:t xml:space="preserve"> </w:t>
      </w:r>
      <w:r w:rsidR="0032599C">
        <w:t>The largest</w:t>
      </w:r>
      <w:r w:rsidR="00F43D58">
        <w:rPr>
          <w:rStyle w:val="FootnoteReference"/>
          <w:rFonts w:cs="Arial"/>
        </w:rPr>
        <w:footnoteReference w:id="8"/>
      </w:r>
      <w:r w:rsidR="0032599C" w:rsidRPr="00992442">
        <w:t xml:space="preserve"> </w:t>
      </w:r>
      <w:r w:rsidR="0032599C">
        <w:t xml:space="preserve">proportion </w:t>
      </w:r>
      <w:r w:rsidR="00D124B3">
        <w:t>i</w:t>
      </w:r>
      <w:r w:rsidR="00D124B3" w:rsidRPr="00DA6E95">
        <w:t xml:space="preserve">n </w:t>
      </w:r>
      <w:r w:rsidR="005C42AC">
        <w:t>January 2015</w:t>
      </w:r>
      <w:r w:rsidR="00D124B3">
        <w:t xml:space="preserve"> </w:t>
      </w:r>
      <w:r w:rsidR="0032599C">
        <w:t xml:space="preserve">was </w:t>
      </w:r>
      <w:r w:rsidR="005C42AC">
        <w:t>4</w:t>
      </w:r>
      <w:r w:rsidR="00F43D58">
        <w:t>3</w:t>
      </w:r>
      <w:r w:rsidR="0032599C" w:rsidRPr="00C21811">
        <w:t xml:space="preserve">% </w:t>
      </w:r>
      <w:r w:rsidR="0032599C">
        <w:t xml:space="preserve">for </w:t>
      </w:r>
      <w:r w:rsidR="005C42AC" w:rsidRPr="005C42AC">
        <w:t>South Central</w:t>
      </w:r>
      <w:r w:rsidR="0032599C">
        <w:t xml:space="preserve">, and the smallest was </w:t>
      </w:r>
      <w:r w:rsidR="00CB58C3">
        <w:t>1</w:t>
      </w:r>
      <w:r w:rsidR="00FF749A">
        <w:t>7</w:t>
      </w:r>
      <w:r w:rsidR="0032599C" w:rsidRPr="00C21811">
        <w:t xml:space="preserve">% </w:t>
      </w:r>
      <w:r w:rsidR="0032599C">
        <w:t xml:space="preserve">for </w:t>
      </w:r>
      <w:r w:rsidR="005C42AC" w:rsidRPr="005C42AC">
        <w:t>East Midlands</w:t>
      </w:r>
      <w:r w:rsidR="0032599C" w:rsidRPr="001C688D">
        <w:t>.</w:t>
      </w:r>
      <w:r w:rsidR="0032599C">
        <w:t xml:space="preserve"> </w:t>
      </w:r>
    </w:p>
    <w:p w:rsidR="00D124B3" w:rsidRDefault="00B26DEC" w:rsidP="003A0D0C">
      <w:r>
        <w:rPr>
          <w:noProof/>
        </w:rPr>
        <w:drawing>
          <wp:inline distT="0" distB="0" distL="0" distR="0" wp14:anchorId="6D13033E">
            <wp:extent cx="5675630" cy="3347085"/>
            <wp:effectExtent l="0" t="0" r="127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5630" cy="3347085"/>
                    </a:xfrm>
                    <a:prstGeom prst="rect">
                      <a:avLst/>
                    </a:prstGeom>
                    <a:noFill/>
                  </pic:spPr>
                </pic:pic>
              </a:graphicData>
            </a:graphic>
          </wp:inline>
        </w:drawing>
      </w:r>
    </w:p>
    <w:p w:rsidR="00F36218" w:rsidRDefault="003A0D0C" w:rsidP="003A0D0C">
      <w:pPr>
        <w:rPr>
          <w:rFonts w:cs="Arial"/>
        </w:rPr>
      </w:pPr>
      <w:r>
        <w:t xml:space="preserve">The Utstein group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Pr>
          <w:rStyle w:val="FootnoteReference"/>
          <w:rFonts w:cs="Arial"/>
        </w:rPr>
        <w:footnoteReference w:id="9"/>
      </w:r>
      <w:r w:rsidR="00CB58C3">
        <w:rPr>
          <w:rFonts w:cs="Arial"/>
        </w:rPr>
        <w:t xml:space="preserve"> </w:t>
      </w:r>
      <w:r w:rsidR="002221E6">
        <w:rPr>
          <w:rFonts w:cs="Arial"/>
        </w:rPr>
        <w:t>The Utstein group therefore ha</w:t>
      </w:r>
      <w:r w:rsidR="00CB58C3">
        <w:rPr>
          <w:rFonts w:cs="Arial"/>
        </w:rPr>
        <w:t>ve a better chance of survival.</w:t>
      </w:r>
    </w:p>
    <w:p w:rsidR="003A0D0C" w:rsidRDefault="002221E6" w:rsidP="003A0D0C">
      <w:pPr>
        <w:rPr>
          <w:rFonts w:cs="Arial"/>
        </w:rPr>
      </w:pPr>
      <w:r>
        <w:rPr>
          <w:rFonts w:cs="Arial"/>
        </w:rPr>
        <w:lastRenderedPageBreak/>
        <w:t xml:space="preserve">There are </w:t>
      </w:r>
      <w:r w:rsidR="00FF749A">
        <w:rPr>
          <w:rFonts w:cs="Arial"/>
        </w:rPr>
        <w:t xml:space="preserve">usually </w:t>
      </w:r>
      <w:r>
        <w:rPr>
          <w:rFonts w:cs="Arial"/>
        </w:rPr>
        <w:t xml:space="preserve">fewer than 50 patients in </w:t>
      </w:r>
      <w:r w:rsidR="00CB58C3">
        <w:rPr>
          <w:rFonts w:cs="Arial"/>
        </w:rPr>
        <w:t xml:space="preserve">the Utstein group in </w:t>
      </w:r>
      <w:r w:rsidR="00FF749A">
        <w:rPr>
          <w:rFonts w:cs="Arial"/>
        </w:rPr>
        <w:t>most</w:t>
      </w:r>
      <w:r>
        <w:rPr>
          <w:rFonts w:cs="Arial"/>
        </w:rPr>
        <w:t xml:space="preserve"> trust</w:t>
      </w:r>
      <w:r w:rsidR="00FF749A">
        <w:rPr>
          <w:rFonts w:cs="Arial"/>
        </w:rPr>
        <w:t>s</w:t>
      </w:r>
      <w:r>
        <w:rPr>
          <w:rFonts w:cs="Arial"/>
        </w:rPr>
        <w:t xml:space="preserve"> each month, so percentages calculated</w:t>
      </w:r>
      <w:r w:rsidR="00D124B3">
        <w:rPr>
          <w:rFonts w:cs="Arial"/>
        </w:rPr>
        <w:t xml:space="preserve"> for them can vary considerably, and changes are often not statistically significant.</w:t>
      </w:r>
    </w:p>
    <w:p w:rsidR="0032599C" w:rsidRDefault="00F8461F" w:rsidP="0032599C">
      <w:r>
        <w:rPr>
          <w:rFonts w:cs="Arial"/>
        </w:rPr>
        <w:t>There were</w:t>
      </w:r>
      <w:r w:rsidR="0032599C">
        <w:rPr>
          <w:rFonts w:cs="Arial"/>
        </w:rPr>
        <w:t xml:space="preserve"> </w:t>
      </w:r>
      <w:r w:rsidR="00022C19" w:rsidRPr="00022C19">
        <w:rPr>
          <w:rFonts w:cs="Arial"/>
        </w:rPr>
        <w:t>401</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 </w:t>
      </w:r>
      <w:r w:rsidR="00022C19" w:rsidRPr="00022C19">
        <w:rPr>
          <w:rFonts w:cs="Arial"/>
        </w:rPr>
        <w:t>January 2015</w:t>
      </w:r>
      <w:r w:rsidR="0032599C" w:rsidRPr="00BF249B">
        <w:rPr>
          <w:rFonts w:cs="Arial"/>
        </w:rPr>
        <w:t xml:space="preserve">, </w:t>
      </w:r>
      <w:r>
        <w:rPr>
          <w:rFonts w:cs="Arial"/>
        </w:rPr>
        <w:t>of which 196 (</w:t>
      </w:r>
      <w:r w:rsidR="003E5931">
        <w:rPr>
          <w:rFonts w:cs="Arial"/>
        </w:rPr>
        <w:t>4</w:t>
      </w:r>
      <w:r w:rsidR="00022C19">
        <w:rPr>
          <w:rFonts w:cs="Arial"/>
        </w:rPr>
        <w:t>9</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32599C">
        <w:rPr>
          <w:rFonts w:cs="Arial"/>
        </w:rPr>
        <w:t xml:space="preserve">, </w:t>
      </w:r>
      <w:r w:rsidR="00FB7D9D">
        <w:rPr>
          <w:rFonts w:cs="Arial"/>
        </w:rPr>
        <w:t>similar to</w:t>
      </w:r>
      <w:r w:rsidR="0032599C">
        <w:rPr>
          <w:rFonts w:cs="Arial"/>
        </w:rPr>
        <w:t xml:space="preserve"> the </w:t>
      </w:r>
      <w:r w:rsidR="0032599C" w:rsidRPr="00BF249B">
        <w:rPr>
          <w:rFonts w:cs="Arial"/>
        </w:rPr>
        <w:t>average for the year ending September 2014</w:t>
      </w:r>
      <w:r w:rsidR="0032599C">
        <w:rPr>
          <w:rFonts w:cs="Arial"/>
        </w:rPr>
        <w:t xml:space="preserve"> of </w:t>
      </w:r>
      <w:r w:rsidR="002221E6">
        <w:rPr>
          <w:rFonts w:cs="Arial"/>
        </w:rPr>
        <w:t>48</w:t>
      </w:r>
      <w:r w:rsidR="0032599C" w:rsidRPr="00BF249B">
        <w:rPr>
          <w:rFonts w:cs="Arial"/>
        </w:rPr>
        <w:t>%.</w:t>
      </w:r>
      <w:r w:rsidR="0032599C">
        <w:rPr>
          <w:rFonts w:cs="Arial"/>
        </w:rPr>
        <w:t xml:space="preserve"> </w:t>
      </w:r>
      <w:r w:rsidR="0032599C">
        <w:t>The largest</w:t>
      </w:r>
      <w:r w:rsidR="0032599C">
        <w:rPr>
          <w:vertAlign w:val="superscript"/>
        </w:rPr>
        <w:t xml:space="preserve"> </w:t>
      </w:r>
      <w:r w:rsidR="0032599C">
        <w:t xml:space="preserve">proportion in </w:t>
      </w:r>
      <w:r w:rsidR="0032599C" w:rsidRPr="00BF249B">
        <w:rPr>
          <w:rFonts w:cs="Arial"/>
        </w:rPr>
        <w:t xml:space="preserve">the month of </w:t>
      </w:r>
      <w:r w:rsidR="00022C19" w:rsidRPr="00022C19">
        <w:rPr>
          <w:rFonts w:cs="Arial"/>
        </w:rPr>
        <w:t>January 2015</w:t>
      </w:r>
      <w:r w:rsidR="00022C19">
        <w:rPr>
          <w:rFonts w:cs="Arial"/>
        </w:rPr>
        <w:t xml:space="preserve"> </w:t>
      </w:r>
      <w:r w:rsidR="0032599C">
        <w:t xml:space="preserve">was </w:t>
      </w:r>
      <w:r w:rsidR="003E5931">
        <w:t>5</w:t>
      </w:r>
      <w:r w:rsidR="00022C19">
        <w:t>7</w:t>
      </w:r>
      <w:r w:rsidR="0032599C" w:rsidRPr="00745962">
        <w:t xml:space="preserve">% </w:t>
      </w:r>
      <w:r w:rsidR="0032599C">
        <w:t xml:space="preserve">for </w:t>
      </w:r>
      <w:r w:rsidR="00022C19" w:rsidRPr="00022C19">
        <w:t xml:space="preserve">East of England </w:t>
      </w:r>
      <w:r w:rsidR="003E5931">
        <w:t xml:space="preserve">and </w:t>
      </w:r>
      <w:r w:rsidR="002221E6">
        <w:t xml:space="preserve">South </w:t>
      </w:r>
      <w:r w:rsidR="003E5931">
        <w:t>East Coast</w:t>
      </w:r>
      <w:r w:rsidR="0032599C">
        <w:t>, and the smallest</w:t>
      </w:r>
      <w:r w:rsidR="00022C19">
        <w:rPr>
          <w:rStyle w:val="FootnoteReference"/>
          <w:rFonts w:cs="Arial"/>
        </w:rPr>
        <w:footnoteReference w:id="10"/>
      </w:r>
      <w:r w:rsidR="00022C19" w:rsidRPr="00992442">
        <w:t xml:space="preserve"> </w:t>
      </w:r>
      <w:r w:rsidR="0032599C">
        <w:t xml:space="preserve">was </w:t>
      </w:r>
      <w:r w:rsidR="00022C19">
        <w:t>29</w:t>
      </w:r>
      <w:r w:rsidR="0032599C" w:rsidRPr="00745962">
        <w:t>%</w:t>
      </w:r>
      <w:r w:rsidR="0032599C" w:rsidRPr="00EF3B4A">
        <w:t xml:space="preserve"> </w:t>
      </w:r>
      <w:r w:rsidR="0032599C">
        <w:t xml:space="preserve">for </w:t>
      </w:r>
      <w:r w:rsidR="00022C19" w:rsidRPr="00022C19">
        <w:t>East Midlands</w:t>
      </w:r>
      <w:r w:rsidR="0032599C">
        <w:t>.</w:t>
      </w:r>
    </w:p>
    <w:p w:rsidR="003A0D0C" w:rsidRDefault="003A0D0C" w:rsidP="003A0D0C">
      <w:pPr>
        <w:pStyle w:val="Heading3"/>
      </w:pPr>
      <w:r>
        <w:t>B2</w:t>
      </w:r>
      <w:r>
        <w:tab/>
        <w:t xml:space="preserve">Cardiac arrest: survival to discharge (Figure </w:t>
      </w:r>
      <w:r w:rsidR="0079282B">
        <w:t>6</w:t>
      </w:r>
      <w:r>
        <w:t>)</w:t>
      </w:r>
      <w:r w:rsidR="00D4605E" w:rsidRPr="00D4605E">
        <w:rPr>
          <w:noProof/>
        </w:rPr>
        <w:t xml:space="preserve"> </w:t>
      </w:r>
    </w:p>
    <w:p w:rsidR="001E1B0A" w:rsidRDefault="0032599C" w:rsidP="0032599C">
      <w:r>
        <w:t xml:space="preserve">The proportion of cardiac arrest patients in England discharged from hospital alive was </w:t>
      </w:r>
      <w:r w:rsidR="0067269D">
        <w:t>7</w:t>
      </w:r>
      <w:r>
        <w:t xml:space="preserve">% in </w:t>
      </w:r>
      <w:r w:rsidR="0079282B" w:rsidRPr="0079282B">
        <w:t>January 2015</w:t>
      </w:r>
      <w:r>
        <w:t xml:space="preserve">, </w:t>
      </w:r>
      <w:r w:rsidR="001E1B0A">
        <w:t xml:space="preserve">lower than in all months in 2013 and 2014, and significantly </w:t>
      </w:r>
      <w:r w:rsidR="00E61830">
        <w:t xml:space="preserve">less than </w:t>
      </w:r>
      <w:r>
        <w:t>the average</w:t>
      </w:r>
      <w:r w:rsidR="0067269D">
        <w:t xml:space="preserve"> </w:t>
      </w:r>
      <w:r w:rsidR="00CB58C3">
        <w:t xml:space="preserve">of </w:t>
      </w:r>
      <w:r w:rsidR="0067269D">
        <w:t>9%</w:t>
      </w:r>
      <w:r>
        <w:t xml:space="preserve"> for the year ending September 2014</w:t>
      </w:r>
      <w:r w:rsidR="001E1B0A">
        <w:t>.</w:t>
      </w:r>
    </w:p>
    <w:p w:rsidR="0032599C" w:rsidRDefault="0032599C" w:rsidP="0032599C">
      <w:r>
        <w:t>The largest</w:t>
      </w:r>
      <w:r>
        <w:rPr>
          <w:vertAlign w:val="superscript"/>
        </w:rPr>
        <w:t xml:space="preserve"> </w:t>
      </w:r>
      <w:r>
        <w:t>proportion for survival to discharge</w:t>
      </w:r>
      <w:r w:rsidRPr="0066320C">
        <w:rPr>
          <w:rFonts w:cs="Arial"/>
        </w:rPr>
        <w:t xml:space="preserve"> </w:t>
      </w:r>
      <w:r>
        <w:rPr>
          <w:rFonts w:cs="Arial"/>
        </w:rPr>
        <w:t xml:space="preserve">in </w:t>
      </w:r>
      <w:r w:rsidRPr="00BF249B">
        <w:rPr>
          <w:rFonts w:cs="Arial"/>
        </w:rPr>
        <w:t xml:space="preserve">the month of </w:t>
      </w:r>
      <w:r w:rsidR="0079282B" w:rsidRPr="0079282B">
        <w:t>January 2015</w:t>
      </w:r>
      <w:r w:rsidR="0079282B">
        <w:t xml:space="preserve"> </w:t>
      </w:r>
      <w:r>
        <w:t xml:space="preserve">was </w:t>
      </w:r>
      <w:r w:rsidR="0079282B">
        <w:t>16</w:t>
      </w:r>
      <w:r w:rsidR="0067269D" w:rsidRPr="0067269D">
        <w:t>%</w:t>
      </w:r>
      <w:r w:rsidRPr="005A5CE2">
        <w:t xml:space="preserve"> </w:t>
      </w:r>
      <w:r>
        <w:t>for South Central, and the smallest</w:t>
      </w:r>
      <w:r w:rsidR="0079282B" w:rsidRPr="0079282B">
        <w:rPr>
          <w:vertAlign w:val="superscript"/>
        </w:rPr>
        <w:t>1</w:t>
      </w:r>
      <w:r w:rsidR="000D7762">
        <w:rPr>
          <w:vertAlign w:val="superscript"/>
        </w:rPr>
        <w:t>0</w:t>
      </w:r>
      <w:r w:rsidR="0079282B">
        <w:t xml:space="preserve"> </w:t>
      </w:r>
      <w:r>
        <w:t xml:space="preserve">was </w:t>
      </w:r>
      <w:r w:rsidR="0079282B">
        <w:t>2</w:t>
      </w:r>
      <w:r w:rsidRPr="005A5CE2">
        <w:t>%</w:t>
      </w:r>
      <w:r>
        <w:t xml:space="preserve"> for </w:t>
      </w:r>
      <w:r w:rsidR="0079282B" w:rsidRPr="0079282B">
        <w:t>East Midlands</w:t>
      </w:r>
      <w:r>
        <w:t>.</w:t>
      </w:r>
    </w:p>
    <w:p w:rsidR="00F8461F" w:rsidRDefault="0032599C" w:rsidP="0032599C">
      <w:r>
        <w:t xml:space="preserve">For the Utstein group in </w:t>
      </w:r>
      <w:r w:rsidR="0079282B" w:rsidRPr="0079282B">
        <w:t>January 2015</w:t>
      </w:r>
      <w:r>
        <w:t xml:space="preserve">, survival to discharge was </w:t>
      </w:r>
      <w:r w:rsidR="002221E6">
        <w:t>2</w:t>
      </w:r>
      <w:r w:rsidR="0079282B">
        <w:t>5</w:t>
      </w:r>
      <w:r w:rsidRPr="004C6F83">
        <w:t>%</w:t>
      </w:r>
      <w:r>
        <w:t xml:space="preserve"> in England</w:t>
      </w:r>
      <w:r w:rsidR="00FB7D9D">
        <w:t>, similar</w:t>
      </w:r>
      <w:r w:rsidR="002221E6">
        <w:t xml:space="preserve"> </w:t>
      </w:r>
      <w:r>
        <w:t xml:space="preserve">to the </w:t>
      </w:r>
      <w:r w:rsidRPr="002A2463">
        <w:t xml:space="preserve">average of </w:t>
      </w:r>
      <w:r w:rsidRPr="00F42D71">
        <w:t>26%</w:t>
      </w:r>
      <w:r>
        <w:t xml:space="preserve"> for the year ending September 2014</w:t>
      </w:r>
      <w:r w:rsidR="00F8461F">
        <w:t>, so the low proportion for all cardiac patients was not apparent in the Utstein subgroup</w:t>
      </w:r>
      <w:r>
        <w:t>.</w:t>
      </w:r>
    </w:p>
    <w:p w:rsidR="00D124B3" w:rsidRDefault="0032599C" w:rsidP="0032599C">
      <w:r>
        <w:t xml:space="preserve">The largest proportion in </w:t>
      </w:r>
      <w:r w:rsidRPr="00BF249B">
        <w:rPr>
          <w:rFonts w:cs="Arial"/>
        </w:rPr>
        <w:t xml:space="preserve">the month of </w:t>
      </w:r>
      <w:r w:rsidR="0079282B" w:rsidRPr="0079282B">
        <w:rPr>
          <w:rFonts w:cs="Arial"/>
        </w:rPr>
        <w:t>January 2015</w:t>
      </w:r>
      <w:r w:rsidR="0079282B">
        <w:rPr>
          <w:rFonts w:cs="Arial"/>
        </w:rPr>
        <w:t xml:space="preserve"> </w:t>
      </w:r>
      <w:r w:rsidR="00F8461F">
        <w:rPr>
          <w:rFonts w:cs="Arial"/>
        </w:rPr>
        <w:t xml:space="preserve">for the Utstein subgroup </w:t>
      </w:r>
      <w:r>
        <w:t xml:space="preserve">was </w:t>
      </w:r>
      <w:r w:rsidR="0079282B">
        <w:t>40</w:t>
      </w:r>
      <w:r w:rsidR="003F3F9B" w:rsidRPr="003F3F9B">
        <w:t>%</w:t>
      </w:r>
      <w:r w:rsidRPr="004C6F83">
        <w:t xml:space="preserve"> </w:t>
      </w:r>
      <w:r>
        <w:t xml:space="preserve">for </w:t>
      </w:r>
      <w:r w:rsidR="003F3F9B">
        <w:t>Yorkshire</w:t>
      </w:r>
      <w:r>
        <w:t>, and the smallest</w:t>
      </w:r>
      <w:r w:rsidR="0079282B" w:rsidRPr="0079282B">
        <w:rPr>
          <w:vertAlign w:val="superscript"/>
        </w:rPr>
        <w:t>1</w:t>
      </w:r>
      <w:r w:rsidR="000D7762">
        <w:rPr>
          <w:vertAlign w:val="superscript"/>
        </w:rPr>
        <w:t>0</w:t>
      </w:r>
      <w:r>
        <w:t xml:space="preserve"> was </w:t>
      </w:r>
      <w:r w:rsidR="0079282B">
        <w:t>9</w:t>
      </w:r>
      <w:r w:rsidRPr="004C6F83">
        <w:t xml:space="preserve">% </w:t>
      </w:r>
      <w:r>
        <w:t>for</w:t>
      </w:r>
      <w:r w:rsidR="003F3F9B">
        <w:t xml:space="preserve"> </w:t>
      </w:r>
      <w:r w:rsidR="0079282B" w:rsidRPr="0079282B">
        <w:t>East Midlands.</w:t>
      </w:r>
    </w:p>
    <w:p w:rsidR="00E203FF" w:rsidRDefault="00054D5D" w:rsidP="0032599C">
      <w:r>
        <w:rPr>
          <w:noProof/>
        </w:rPr>
        <w:drawing>
          <wp:inline distT="0" distB="0" distL="0" distR="0" wp14:anchorId="0A1470EE">
            <wp:extent cx="5669915" cy="3999230"/>
            <wp:effectExtent l="0" t="0" r="698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3999230"/>
                    </a:xfrm>
                    <a:prstGeom prst="rect">
                      <a:avLst/>
                    </a:prstGeom>
                    <a:noFill/>
                  </pic:spPr>
                </pic:pic>
              </a:graphicData>
            </a:graphic>
          </wp:inline>
        </w:drawing>
      </w:r>
    </w:p>
    <w:p w:rsidR="003A0D0C" w:rsidRDefault="003A0D0C" w:rsidP="003A0D0C">
      <w:pPr>
        <w:pStyle w:val="Heading3"/>
      </w:pPr>
      <w:r>
        <w:lastRenderedPageBreak/>
        <w:t>B3</w:t>
      </w:r>
      <w:r>
        <w:tab/>
      </w:r>
      <w:r w:rsidRPr="00DA6E95">
        <w:t>ST-Elevation myocardial infarction</w:t>
      </w:r>
      <w:r w:rsidR="00CD037E">
        <w:t xml:space="preserve"> </w:t>
      </w:r>
      <w:r>
        <w:t xml:space="preserve">(Figure </w:t>
      </w:r>
      <w:r w:rsidR="00FC44C3">
        <w:t>7</w:t>
      </w:r>
      <w:r>
        <w:t>)</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32599C" w:rsidRDefault="0032599C" w:rsidP="0032599C">
      <w:r>
        <w:t xml:space="preserve">In </w:t>
      </w:r>
      <w:r w:rsidR="00FC44C3" w:rsidRPr="0079282B">
        <w:t>January 2015</w:t>
      </w:r>
      <w:r>
        <w:t xml:space="preserve">, of </w:t>
      </w:r>
      <w:r w:rsidR="00FC44C3" w:rsidRPr="00FC44C3">
        <w:t>1,513</w:t>
      </w:r>
      <w:r w:rsidR="00FC44C3">
        <w:t xml:space="preserve"> </w:t>
      </w:r>
      <w:r w:rsidRPr="00DA6E95">
        <w:t>patients with an acute STEMI</w:t>
      </w:r>
      <w:r w:rsidRPr="00940A61">
        <w:t xml:space="preserve"> </w:t>
      </w:r>
      <w:r>
        <w:t xml:space="preserve">in England, </w:t>
      </w:r>
      <w:r w:rsidR="00FC44C3" w:rsidRPr="00FC44C3">
        <w:t xml:space="preserve">1,212 </w:t>
      </w:r>
      <w:r>
        <w:t>(</w:t>
      </w:r>
      <w:r w:rsidR="00FC44C3">
        <w:t>80</w:t>
      </w:r>
      <w:r w:rsidRPr="00432C67">
        <w:t>%</w:t>
      </w:r>
      <w:r>
        <w:t>)</w:t>
      </w:r>
      <w:r w:rsidRPr="00432C67">
        <w:t xml:space="preserve"> </w:t>
      </w:r>
      <w:r w:rsidRPr="00DA6E95">
        <w:t>received the appropriate care bundle</w:t>
      </w:r>
      <w:r>
        <w:rPr>
          <w:rStyle w:val="FootnoteReference"/>
        </w:rPr>
        <w:footnoteReference w:id="11"/>
      </w:r>
      <w:r w:rsidR="0095326B">
        <w:t xml:space="preserve">, </w:t>
      </w:r>
      <w:r w:rsidR="00FC44C3">
        <w:t xml:space="preserve">the same </w:t>
      </w:r>
      <w:r w:rsidR="00FF5DC5">
        <w:t xml:space="preserve">proportion </w:t>
      </w:r>
      <w:r w:rsidR="00FC44C3">
        <w:t>as</w:t>
      </w:r>
      <w:r w:rsidR="0095326B">
        <w:t xml:space="preserve"> </w:t>
      </w:r>
      <w:r>
        <w:t>for</w:t>
      </w:r>
      <w:r w:rsidRPr="004F37AE">
        <w:t xml:space="preserve"> the year ending September 2014</w:t>
      </w:r>
      <w:r>
        <w:t xml:space="preserve">. </w:t>
      </w:r>
      <w:r w:rsidRPr="008132F5">
        <w:t xml:space="preserve">The largest proportion </w:t>
      </w:r>
      <w:r>
        <w:t xml:space="preserve">for the month of </w:t>
      </w:r>
      <w:r w:rsidR="000F537D" w:rsidRPr="000F537D">
        <w:t>January 2015</w:t>
      </w:r>
      <w:r>
        <w:t xml:space="preserve"> </w:t>
      </w:r>
      <w:r w:rsidRPr="008132F5">
        <w:t xml:space="preserve">was </w:t>
      </w:r>
      <w:r w:rsidR="00F36218">
        <w:t>9</w:t>
      </w:r>
      <w:r w:rsidR="000F537D">
        <w:t>3</w:t>
      </w:r>
      <w:r w:rsidRPr="00432C67">
        <w:t xml:space="preserve">% </w:t>
      </w:r>
      <w:r>
        <w:t>for</w:t>
      </w:r>
      <w:r w:rsidRPr="008132F5">
        <w:t xml:space="preserve"> </w:t>
      </w:r>
      <w:r w:rsidR="00F36218">
        <w:t xml:space="preserve">North </w:t>
      </w:r>
      <w:r w:rsidR="000F537D">
        <w:t>East</w:t>
      </w:r>
      <w:r>
        <w:t xml:space="preserve">, and the </w:t>
      </w:r>
      <w:r w:rsidRPr="008132F5">
        <w:t>smallest</w:t>
      </w:r>
      <w:r>
        <w:rPr>
          <w:vertAlign w:val="superscript"/>
        </w:rPr>
        <w:t xml:space="preserve"> </w:t>
      </w:r>
      <w:r w:rsidRPr="008132F5">
        <w:t xml:space="preserve">was </w:t>
      </w:r>
      <w:r w:rsidR="000F537D">
        <w:t>59</w:t>
      </w:r>
      <w:r w:rsidR="00F36218" w:rsidRPr="00433A74">
        <w:t xml:space="preserve">% </w:t>
      </w:r>
      <w:r w:rsidR="00F36218">
        <w:t xml:space="preserve">for </w:t>
      </w:r>
      <w:r w:rsidR="00F36218" w:rsidRPr="00085A95">
        <w:t>South Central</w:t>
      </w:r>
      <w:r w:rsidRPr="008132F5">
        <w:t>.</w:t>
      </w:r>
    </w:p>
    <w:p w:rsidR="0032599C" w:rsidRDefault="0032599C" w:rsidP="0032599C">
      <w:r>
        <w:t xml:space="preserve">Of </w:t>
      </w:r>
      <w:r w:rsidR="00597ACE" w:rsidRPr="00597ACE">
        <w:t>942</w:t>
      </w:r>
      <w:r w:rsidR="00597ACE">
        <w:t xml:space="preserve"> </w:t>
      </w:r>
      <w:r>
        <w:t xml:space="preserve">STEMI patients </w:t>
      </w:r>
      <w:r w:rsidRPr="00DA6E95">
        <w:t>receiv</w:t>
      </w:r>
      <w:r>
        <w:t xml:space="preserve">ing </w:t>
      </w:r>
      <w:r w:rsidRPr="00DA6E95">
        <w:t>primary angioplasty</w:t>
      </w:r>
      <w:r w:rsidRPr="00940A61">
        <w:t xml:space="preserve"> </w:t>
      </w:r>
      <w:r>
        <w:t xml:space="preserve">in </w:t>
      </w:r>
      <w:r w:rsidR="00597ACE" w:rsidRPr="00597ACE">
        <w:t>January 2015</w:t>
      </w:r>
      <w:r w:rsidR="00597ACE">
        <w:t xml:space="preserve"> </w:t>
      </w:r>
      <w:r>
        <w:t>in England</w:t>
      </w:r>
      <w:r w:rsidRPr="00DA6E95">
        <w:t xml:space="preserve">, </w:t>
      </w:r>
      <w:r w:rsidR="00597ACE" w:rsidRPr="00597ACE">
        <w:t>823</w:t>
      </w:r>
      <w:r w:rsidRPr="00210E7E">
        <w:t xml:space="preserve"> </w:t>
      </w:r>
      <w:r>
        <w:t>(</w:t>
      </w:r>
      <w:r w:rsidR="00CD037E">
        <w:t>8</w:t>
      </w:r>
      <w:r w:rsidR="00597ACE">
        <w:t>7</w:t>
      </w:r>
      <w:r w:rsidRPr="00433A74">
        <w:t>%</w:t>
      </w:r>
      <w:r>
        <w:t xml:space="preserve">) of them </w:t>
      </w:r>
      <w:r w:rsidRPr="00DA6E95">
        <w:t xml:space="preserve">received </w:t>
      </w:r>
      <w:r>
        <w:t xml:space="preserve">it </w:t>
      </w:r>
      <w:r w:rsidRPr="00DA6E95">
        <w:t>within 150 minutes of the call being connected to the ambulance service</w:t>
      </w:r>
      <w:r>
        <w:t xml:space="preserve">, </w:t>
      </w:r>
      <w:r w:rsidR="00FF5DC5">
        <w:t xml:space="preserve">also </w:t>
      </w:r>
      <w:r w:rsidR="00D96387" w:rsidRPr="00D96387">
        <w:t xml:space="preserve">the same </w:t>
      </w:r>
      <w:r w:rsidR="00FF5DC5" w:rsidRPr="00D96387">
        <w:t xml:space="preserve">proportion </w:t>
      </w:r>
      <w:r w:rsidR="00D96387" w:rsidRPr="00D96387">
        <w:t xml:space="preserve">as for the year ending </w:t>
      </w:r>
      <w:r w:rsidRPr="00320970">
        <w:t>September 2014</w:t>
      </w:r>
      <w:r>
        <w:t>.</w:t>
      </w:r>
      <w:r w:rsidRPr="00320970">
        <w:t xml:space="preserve"> </w:t>
      </w:r>
      <w:r w:rsidR="00433F86" w:rsidRPr="00433F86">
        <w:t xml:space="preserve">South Central </w:t>
      </w:r>
      <w:r>
        <w:t>had the largest</w:t>
      </w:r>
      <w:r>
        <w:rPr>
          <w:vertAlign w:val="superscript"/>
        </w:rPr>
        <w:t xml:space="preserve"> </w:t>
      </w:r>
      <w:r>
        <w:t xml:space="preserve">proportion for the month of </w:t>
      </w:r>
      <w:r w:rsidR="00433F86" w:rsidRPr="00433F86">
        <w:t>January 2015</w:t>
      </w:r>
      <w:r>
        <w:t xml:space="preserve">, with </w:t>
      </w:r>
      <w:r w:rsidR="00085A95">
        <w:t>9</w:t>
      </w:r>
      <w:r w:rsidR="00433F86">
        <w:t>7</w:t>
      </w:r>
      <w:r w:rsidRPr="00433A74">
        <w:t>%</w:t>
      </w:r>
      <w:r>
        <w:t>, and the smallest</w:t>
      </w:r>
      <w:r w:rsidR="00433F86">
        <w:rPr>
          <w:rStyle w:val="FootnoteReference"/>
          <w:rFonts w:cs="Arial"/>
        </w:rPr>
        <w:footnoteReference w:id="12"/>
      </w:r>
      <w:r w:rsidR="00085A95">
        <w:t xml:space="preserve"> </w:t>
      </w:r>
      <w:r>
        <w:t>was</w:t>
      </w:r>
      <w:r w:rsidR="00F36218">
        <w:t xml:space="preserve"> 72</w:t>
      </w:r>
      <w:r w:rsidR="00F36218" w:rsidRPr="00432C67">
        <w:t xml:space="preserve">% </w:t>
      </w:r>
      <w:r w:rsidR="00F36218">
        <w:t xml:space="preserve">for </w:t>
      </w:r>
      <w:r w:rsidR="000F537D" w:rsidRPr="000F537D">
        <w:t>South Western</w:t>
      </w:r>
      <w:r>
        <w:t>.</w:t>
      </w:r>
    </w:p>
    <w:p w:rsidR="002221E6" w:rsidRPr="008132F5" w:rsidRDefault="00054D5D" w:rsidP="0032599C">
      <w:r>
        <w:rPr>
          <w:noProof/>
        </w:rPr>
        <w:drawing>
          <wp:inline distT="0" distB="0" distL="0" distR="0" wp14:anchorId="36598AB6">
            <wp:extent cx="5602605" cy="4352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2605" cy="4352925"/>
                    </a:xfrm>
                    <a:prstGeom prst="rect">
                      <a:avLst/>
                    </a:prstGeom>
                    <a:noFill/>
                  </pic:spPr>
                </pic:pic>
              </a:graphicData>
            </a:graphic>
          </wp:inline>
        </w:drawing>
      </w:r>
    </w:p>
    <w:p w:rsidR="003A0D0C" w:rsidRDefault="003A0D0C" w:rsidP="003A0D0C">
      <w:pPr>
        <w:pStyle w:val="Heading3"/>
      </w:pPr>
      <w:r>
        <w:lastRenderedPageBreak/>
        <w:t>B4</w:t>
      </w:r>
      <w:r>
        <w:tab/>
        <w:t xml:space="preserve">Stroke (Figure </w:t>
      </w:r>
      <w:r w:rsidR="00F81BC9">
        <w:t>8</w:t>
      </w:r>
      <w:r w:rsidR="00F36218">
        <w:t>)</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D037E" w:rsidRDefault="0032599C" w:rsidP="0032599C">
      <w:r>
        <w:t xml:space="preserve">In </w:t>
      </w:r>
      <w:r w:rsidR="00F81BC9" w:rsidRPr="00F81BC9">
        <w:t>January 2015</w:t>
      </w:r>
      <w:r>
        <w:t xml:space="preserve">, of </w:t>
      </w:r>
      <w:r w:rsidR="00F81BC9" w:rsidRPr="00F81BC9">
        <w:t>3,113</w:t>
      </w:r>
      <w:r w:rsidR="00F81BC9">
        <w:t xml:space="preserve"> </w:t>
      </w:r>
      <w:r>
        <w:t>FAST positive patients</w:t>
      </w:r>
      <w:r w:rsidRPr="00940A61">
        <w:t xml:space="preserve"> </w:t>
      </w:r>
      <w:r>
        <w:t xml:space="preserve">in England, assessed face to face, and potentially eligible for stroke thrombolysis within agreed local guidelines, </w:t>
      </w:r>
      <w:r w:rsidR="00F81BC9" w:rsidRPr="00F81BC9">
        <w:t xml:space="preserve">1,741 </w:t>
      </w:r>
      <w:r>
        <w:t>(</w:t>
      </w:r>
      <w:r w:rsidR="00F81BC9">
        <w:t>56</w:t>
      </w:r>
      <w:r w:rsidRPr="001067D4">
        <w:t>%</w:t>
      </w:r>
      <w:r>
        <w:t>) arrived at hospitals with</w:t>
      </w:r>
      <w:r w:rsidRPr="00DA6E95">
        <w:t xml:space="preserve"> a hyperacute stroke unit within 60 minutes</w:t>
      </w:r>
      <w:r>
        <w:t xml:space="preserve"> of an emergency call connecting to the ambulance service.</w:t>
      </w:r>
    </w:p>
    <w:p w:rsidR="00CD037E" w:rsidRDefault="00FF5DC5" w:rsidP="0032599C">
      <w:r>
        <w:t xml:space="preserve">This was significantly less than the average for the year ending September 2014 of 62%. However, like January 2013 and </w:t>
      </w:r>
      <w:r w:rsidR="00F8461F">
        <w:t xml:space="preserve">January </w:t>
      </w:r>
      <w:r>
        <w:t xml:space="preserve">2014, </w:t>
      </w:r>
      <w:r w:rsidR="00F8461F">
        <w:t xml:space="preserve">the January 2015 proportion </w:t>
      </w:r>
      <w:r>
        <w:t>was an increase upon the previous month.</w:t>
      </w:r>
    </w:p>
    <w:p w:rsidR="00033CF1" w:rsidRDefault="00033CF1" w:rsidP="00033CF1">
      <w:r>
        <w:t>The largest</w:t>
      </w:r>
      <w:r w:rsidR="0095326B">
        <w:rPr>
          <w:rStyle w:val="FootnoteReference"/>
          <w:rFonts w:cs="Arial"/>
        </w:rPr>
        <w:footnoteReference w:id="13"/>
      </w:r>
      <w:r>
        <w:t xml:space="preserve"> proportion in the month of</w:t>
      </w:r>
      <w:r w:rsidRPr="00B009BE">
        <w:t xml:space="preserve"> </w:t>
      </w:r>
      <w:r w:rsidR="006E6FAF" w:rsidRPr="006E6FAF">
        <w:t>January 2015</w:t>
      </w:r>
      <w:r w:rsidR="006E6FAF">
        <w:t xml:space="preserve"> </w:t>
      </w:r>
      <w:r>
        <w:t>was 63</w:t>
      </w:r>
      <w:r w:rsidRPr="00B009BE">
        <w:t xml:space="preserve">% </w:t>
      </w:r>
      <w:r>
        <w:t>for South East Coast, and the smallest was 4</w:t>
      </w:r>
      <w:r w:rsidR="00FB7D9D">
        <w:t>2</w:t>
      </w:r>
      <w:r w:rsidRPr="00B009BE">
        <w:t xml:space="preserve">% </w:t>
      </w:r>
      <w:r>
        <w:t>for West Midlands.</w:t>
      </w:r>
    </w:p>
    <w:p w:rsidR="001E1B0A" w:rsidRDefault="00033CF1" w:rsidP="0032599C">
      <w:bookmarkStart w:id="2" w:name="OLE_LINK3"/>
      <w:r>
        <w:t xml:space="preserve">There were </w:t>
      </w:r>
      <w:r w:rsidR="006E6FAF" w:rsidRPr="006E6FAF">
        <w:t>7,472</w:t>
      </w:r>
      <w:r w:rsidR="006E6FAF">
        <w:t xml:space="preserve"> </w:t>
      </w:r>
      <w:r>
        <w:t>stroke patients</w:t>
      </w:r>
      <w:r w:rsidRPr="00940A61">
        <w:t xml:space="preserve"> </w:t>
      </w:r>
      <w:r>
        <w:t>assessed face to face</w:t>
      </w:r>
      <w:r w:rsidRPr="007920B1">
        <w:t xml:space="preserve"> </w:t>
      </w:r>
      <w:r>
        <w:t xml:space="preserve">in </w:t>
      </w:r>
      <w:r w:rsidR="006E6FAF" w:rsidRPr="006E6FAF">
        <w:t>January 2015</w:t>
      </w:r>
      <w:r w:rsidR="006E6FAF">
        <w:t xml:space="preserve"> </w:t>
      </w:r>
      <w:r>
        <w:t xml:space="preserve">in England, and </w:t>
      </w:r>
      <w:r w:rsidR="006E6FAF" w:rsidRPr="006E6FAF">
        <w:t xml:space="preserve">7,269 </w:t>
      </w:r>
      <w:r>
        <w:t>(97</w:t>
      </w:r>
      <w:r w:rsidR="001E1B0A">
        <w:t>.3</w:t>
      </w:r>
      <w:r w:rsidRPr="002502D1">
        <w:t>%</w:t>
      </w:r>
      <w:r>
        <w:t>)</w:t>
      </w:r>
      <w:r w:rsidRPr="001A6875">
        <w:t xml:space="preserve"> </w:t>
      </w:r>
      <w:r>
        <w:t xml:space="preserve">received </w:t>
      </w:r>
      <w:r w:rsidRPr="00DA6E95">
        <w:t>the appropriate care bundle</w:t>
      </w:r>
      <w:r w:rsidR="001E1B0A">
        <w:t>. All trusts had a proportion of at least 95%.</w:t>
      </w:r>
    </w:p>
    <w:p w:rsidR="006E6FAF" w:rsidRDefault="001E1B0A" w:rsidP="0032599C">
      <w:r>
        <w:t>The January proportion</w:t>
      </w:r>
      <w:r w:rsidR="00F8461F">
        <w:t xml:space="preserve"> of 97.3%</w:t>
      </w:r>
      <w:r>
        <w:t xml:space="preserve"> for England was the highest since monthly data collection began in April 2011. </w:t>
      </w:r>
      <w:r w:rsidR="00F8461F">
        <w:t>It was a statistically significant</w:t>
      </w:r>
      <w:r w:rsidR="00F8461F" w:rsidRPr="00F8461F">
        <w:t xml:space="preserve"> </w:t>
      </w:r>
      <w:r w:rsidR="00F8461F">
        <w:t xml:space="preserve">increase upon the proportion for the year ending September 2014 (96.8%), even though the increase was </w:t>
      </w:r>
      <w:r>
        <w:t>small</w:t>
      </w:r>
      <w:bookmarkEnd w:id="2"/>
      <w:r w:rsidR="00F8461F">
        <w:t>.</w:t>
      </w:r>
    </w:p>
    <w:p w:rsidR="0032599C" w:rsidRDefault="006E6FAF" w:rsidP="0032599C">
      <w:r w:rsidRPr="006E6FAF">
        <w:t xml:space="preserve"> </w:t>
      </w:r>
      <w:r w:rsidR="00550D56">
        <w:rPr>
          <w:noProof/>
        </w:rPr>
        <w:drawing>
          <wp:inline distT="0" distB="0" distL="0" distR="0" wp14:anchorId="16260431">
            <wp:extent cx="5663565" cy="3578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3565" cy="3578860"/>
                    </a:xfrm>
                    <a:prstGeom prst="rect">
                      <a:avLst/>
                    </a:prstGeom>
                    <a:noFill/>
                  </pic:spPr>
                </pic:pic>
              </a:graphicData>
            </a:graphic>
          </wp:inline>
        </w:drawing>
      </w:r>
    </w:p>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975403" w:rsidP="003A0D0C">
      <w:pPr>
        <w:rPr>
          <w:rFonts w:cs="Arial"/>
        </w:rPr>
      </w:pPr>
      <w:hyperlink r:id="rId20" w:history="1">
        <w:r w:rsidR="003A0D0C" w:rsidRPr="005D248D">
          <w:rPr>
            <w:rStyle w:val="Hyperlink"/>
            <w:rFonts w:cs="Arial"/>
          </w:rPr>
          <w:t>www.england.nhs.uk/statistics/statistical-work-areas/ambulance-quality-indicators</w:t>
        </w:r>
      </w:hyperlink>
      <w:r w:rsidR="003A0D0C">
        <w:rPr>
          <w:rFonts w:cs="Arial"/>
        </w:rPr>
        <w:t xml:space="preserve">, or </w:t>
      </w:r>
      <w:hyperlink r:id="rId21"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the specification guidance 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5374F6" w:rsidRPr="00EF5ADA" w:rsidRDefault="005374F6" w:rsidP="00EF5ADA">
      <w:pPr>
        <w:pStyle w:val="NoSpacing"/>
      </w:pP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2"/>
        <w:gridCol w:w="283"/>
        <w:gridCol w:w="2286"/>
        <w:gridCol w:w="236"/>
        <w:gridCol w:w="3585"/>
      </w:tblGrid>
      <w:tr w:rsidR="003A0D0C" w:rsidTr="002221E6">
        <w:trPr>
          <w:cantSplit/>
          <w:tblHeader/>
        </w:trPr>
        <w:tc>
          <w:tcPr>
            <w:tcW w:w="2132" w:type="dxa"/>
            <w:tcBorders>
              <w:bottom w:val="single" w:sz="4" w:space="0" w:color="auto"/>
            </w:tcBorders>
            <w:tcMar>
              <w:left w:w="0" w:type="dxa"/>
              <w:right w:w="0" w:type="dxa"/>
            </w:tcMar>
          </w:tcPr>
          <w:p w:rsidR="003A0D0C" w:rsidRDefault="003A0D0C" w:rsidP="002221E6">
            <w:pPr>
              <w:pStyle w:val="Heading4"/>
            </w:pPr>
            <w:r>
              <w:t>Publication date</w:t>
            </w:r>
          </w:p>
        </w:tc>
        <w:tc>
          <w:tcPr>
            <w:tcW w:w="283" w:type="dxa"/>
            <w:tcMar>
              <w:left w:w="0" w:type="dxa"/>
              <w:right w:w="0" w:type="dxa"/>
            </w:tcMar>
          </w:tcPr>
          <w:p w:rsidR="003A0D0C" w:rsidRDefault="003A0D0C" w:rsidP="002221E6">
            <w:pPr>
              <w:pStyle w:val="NoSpacing"/>
            </w:pPr>
          </w:p>
        </w:tc>
        <w:tc>
          <w:tcPr>
            <w:tcW w:w="2286" w:type="dxa"/>
            <w:tcBorders>
              <w:bottom w:val="single" w:sz="4" w:space="0" w:color="auto"/>
            </w:tcBorders>
            <w:tcMar>
              <w:left w:w="0" w:type="dxa"/>
              <w:right w:w="0" w:type="dxa"/>
            </w:tcMar>
          </w:tcPr>
          <w:p w:rsidR="003A0D0C" w:rsidRDefault="003A0D0C" w:rsidP="002221E6">
            <w:pPr>
              <w:pStyle w:val="Heading4"/>
            </w:pPr>
            <w:r>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Default="003A0D0C" w:rsidP="002221E6">
            <w:pPr>
              <w:pStyle w:val="Heading4"/>
            </w:pPr>
            <w:r>
              <w:t>Months affected</w:t>
            </w:r>
          </w:p>
        </w:tc>
      </w:tr>
      <w:tr w:rsidR="003A0D0C" w:rsidTr="002221E6">
        <w:tc>
          <w:tcPr>
            <w:tcW w:w="2132" w:type="dxa"/>
            <w:tcBorders>
              <w:top w:val="single" w:sz="4" w:space="0" w:color="auto"/>
            </w:tcBorders>
            <w:tcMar>
              <w:left w:w="57" w:type="dxa"/>
              <w:right w:w="57" w:type="dxa"/>
            </w:tcMar>
          </w:tcPr>
          <w:p w:rsidR="003A0D0C" w:rsidRDefault="003A0D0C" w:rsidP="002221E6">
            <w:pPr>
              <w:pStyle w:val="NoSpacing"/>
              <w:jc w:val="right"/>
            </w:pPr>
            <w:r>
              <w:t xml:space="preserve"> 5 </w:t>
            </w:r>
            <w:r w:rsidRPr="00875FD5">
              <w:t>November</w:t>
            </w:r>
            <w:r>
              <w:t xml:space="preserve"> 2015</w:t>
            </w:r>
          </w:p>
        </w:tc>
        <w:tc>
          <w:tcPr>
            <w:tcW w:w="283" w:type="dxa"/>
            <w:tcMar>
              <w:left w:w="57" w:type="dxa"/>
              <w:right w:w="57" w:type="dxa"/>
            </w:tcMar>
          </w:tcPr>
          <w:p w:rsidR="003A0D0C" w:rsidRPr="00B4687B" w:rsidRDefault="003A0D0C" w:rsidP="002221E6">
            <w:pPr>
              <w:pStyle w:val="NoSpacing"/>
            </w:pPr>
          </w:p>
        </w:tc>
        <w:tc>
          <w:tcPr>
            <w:tcW w:w="2286" w:type="dxa"/>
            <w:tcBorders>
              <w:top w:val="single" w:sz="4" w:space="0" w:color="auto"/>
            </w:tcBorders>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Borders>
              <w:top w:val="single" w:sz="4" w:space="0" w:color="auto"/>
            </w:tcBorders>
            <w:tcMar>
              <w:left w:w="57" w:type="dxa"/>
              <w:right w:w="57" w:type="dxa"/>
            </w:tcMar>
          </w:tcPr>
          <w:p w:rsidR="003A0D0C" w:rsidRDefault="003A0D0C" w:rsidP="002221E6">
            <w:pPr>
              <w:pStyle w:val="NoSpacing"/>
            </w:pPr>
            <w:r>
              <w:t>April 2015 to August 2015</w:t>
            </w:r>
          </w:p>
        </w:tc>
      </w:tr>
      <w:tr w:rsidR="003A0D0C" w:rsidTr="008A58CE">
        <w:trPr>
          <w:trHeight w:val="397"/>
        </w:trPr>
        <w:tc>
          <w:tcPr>
            <w:tcW w:w="2132" w:type="dxa"/>
            <w:tcMar>
              <w:left w:w="57" w:type="dxa"/>
              <w:right w:w="57" w:type="dxa"/>
            </w:tcMar>
          </w:tcPr>
          <w:p w:rsidR="003A0D0C" w:rsidRDefault="003A0D0C" w:rsidP="002221E6">
            <w:pPr>
              <w:pStyle w:val="NoSpacing"/>
              <w:jc w:val="right"/>
            </w:pPr>
            <w:r>
              <w:t>3 September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March 2015</w:t>
            </w:r>
          </w:p>
        </w:tc>
      </w:tr>
      <w:tr w:rsidR="00054D5D" w:rsidTr="008A58CE">
        <w:trPr>
          <w:trHeight w:val="80"/>
        </w:trPr>
        <w:tc>
          <w:tcPr>
            <w:tcW w:w="2132" w:type="dxa"/>
            <w:tcMar>
              <w:left w:w="57" w:type="dxa"/>
              <w:right w:w="57" w:type="dxa"/>
            </w:tcMar>
          </w:tcPr>
          <w:p w:rsidR="00054D5D" w:rsidRDefault="00054D5D" w:rsidP="002221E6">
            <w:pPr>
              <w:pStyle w:val="NoSpacing"/>
              <w:jc w:val="right"/>
            </w:pPr>
            <w:r>
              <w:t>4 June 2015</w:t>
            </w:r>
          </w:p>
        </w:tc>
        <w:tc>
          <w:tcPr>
            <w:tcW w:w="283" w:type="dxa"/>
            <w:tcMar>
              <w:left w:w="57" w:type="dxa"/>
              <w:right w:w="57" w:type="dxa"/>
            </w:tcMar>
          </w:tcPr>
          <w:p w:rsidR="00054D5D" w:rsidRPr="00B4687B" w:rsidRDefault="00054D5D" w:rsidP="002221E6">
            <w:pPr>
              <w:pStyle w:val="NoSpacing"/>
            </w:pPr>
          </w:p>
        </w:tc>
        <w:tc>
          <w:tcPr>
            <w:tcW w:w="2286" w:type="dxa"/>
            <w:tcMar>
              <w:left w:w="57" w:type="dxa"/>
              <w:right w:w="57" w:type="dxa"/>
            </w:tcMar>
          </w:tcPr>
          <w:p w:rsidR="00054D5D" w:rsidRPr="00B4687B" w:rsidRDefault="00054D5D" w:rsidP="002221E6">
            <w:pPr>
              <w:pStyle w:val="NoSpacing"/>
            </w:pPr>
            <w:r w:rsidRPr="00B4687B">
              <w:t>Systems Indicators</w:t>
            </w:r>
          </w:p>
        </w:tc>
        <w:tc>
          <w:tcPr>
            <w:tcW w:w="236" w:type="dxa"/>
            <w:tcMar>
              <w:left w:w="57" w:type="dxa"/>
              <w:right w:w="57" w:type="dxa"/>
            </w:tcMar>
          </w:tcPr>
          <w:p w:rsidR="00054D5D" w:rsidRDefault="00054D5D" w:rsidP="002221E6">
            <w:pPr>
              <w:pStyle w:val="NoSpacing"/>
            </w:pPr>
          </w:p>
        </w:tc>
        <w:tc>
          <w:tcPr>
            <w:tcW w:w="3585" w:type="dxa"/>
            <w:tcMar>
              <w:left w:w="57" w:type="dxa"/>
              <w:right w:w="57" w:type="dxa"/>
            </w:tcMar>
          </w:tcPr>
          <w:p w:rsidR="00054D5D" w:rsidRDefault="00054D5D" w:rsidP="002221E6">
            <w:pPr>
              <w:pStyle w:val="NoSpacing"/>
            </w:pPr>
            <w:r>
              <w:t>April 2014 to February 2015</w:t>
            </w:r>
          </w:p>
        </w:tc>
      </w:tr>
      <w:tr w:rsidR="003A0D0C" w:rsidTr="008A58CE">
        <w:trPr>
          <w:trHeight w:val="80"/>
        </w:trPr>
        <w:tc>
          <w:tcPr>
            <w:tcW w:w="2132" w:type="dxa"/>
            <w:tcMar>
              <w:left w:w="57" w:type="dxa"/>
              <w:right w:w="57" w:type="dxa"/>
            </w:tcMar>
          </w:tcPr>
          <w:p w:rsidR="003A0D0C" w:rsidRDefault="003A0D0C" w:rsidP="002221E6">
            <w:pPr>
              <w:pStyle w:val="NoSpacing"/>
              <w:jc w:val="right"/>
            </w:pPr>
            <w:r>
              <w:t>30 April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February 2015</w:t>
            </w:r>
          </w:p>
        </w:tc>
      </w:tr>
      <w:tr w:rsidR="003A0D0C" w:rsidTr="008A58CE">
        <w:trPr>
          <w:trHeight w:val="80"/>
        </w:trPr>
        <w:tc>
          <w:tcPr>
            <w:tcW w:w="2132" w:type="dxa"/>
            <w:tcMar>
              <w:left w:w="57" w:type="dxa"/>
              <w:right w:w="57" w:type="dxa"/>
            </w:tcMar>
          </w:tcPr>
          <w:p w:rsidR="003A0D0C" w:rsidRDefault="003A0D0C" w:rsidP="002221E6">
            <w:pPr>
              <w:pStyle w:val="NoSpacing"/>
              <w:jc w:val="right"/>
            </w:pPr>
            <w:r>
              <w:t>5 March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September 2014</w:t>
            </w:r>
          </w:p>
        </w:tc>
      </w:tr>
      <w:tr w:rsidR="003A0D0C" w:rsidTr="002221E6">
        <w:trPr>
          <w:trHeight w:val="137"/>
        </w:trPr>
        <w:tc>
          <w:tcPr>
            <w:tcW w:w="2132" w:type="dxa"/>
            <w:tcMar>
              <w:left w:w="57" w:type="dxa"/>
              <w:right w:w="57" w:type="dxa"/>
            </w:tcMar>
          </w:tcPr>
          <w:p w:rsidR="003A0D0C" w:rsidRDefault="003A0D0C" w:rsidP="002221E6">
            <w:pPr>
              <w:pStyle w:val="NoSpacing"/>
              <w:jc w:val="right"/>
            </w:pPr>
            <w:r>
              <w:t>6 November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2014</w:t>
            </w:r>
          </w:p>
        </w:tc>
      </w:tr>
      <w:tr w:rsidR="003A0D0C" w:rsidTr="002221E6">
        <w:trPr>
          <w:trHeight w:val="137"/>
        </w:trPr>
        <w:tc>
          <w:tcPr>
            <w:tcW w:w="2132" w:type="dxa"/>
            <w:tcMar>
              <w:left w:w="57" w:type="dxa"/>
              <w:right w:w="57" w:type="dxa"/>
            </w:tcMar>
          </w:tcPr>
          <w:p w:rsidR="003A0D0C" w:rsidRPr="00875FD5" w:rsidRDefault="003A0D0C" w:rsidP="002221E6">
            <w:pPr>
              <w:pStyle w:val="NoSpacing"/>
              <w:jc w:val="right"/>
            </w:pPr>
            <w:r>
              <w:t>5 September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March 2014</w:t>
            </w:r>
          </w:p>
        </w:tc>
      </w:tr>
      <w:tr w:rsidR="003A0D0C" w:rsidTr="002221E6">
        <w:trPr>
          <w:trHeight w:val="271"/>
        </w:trPr>
        <w:tc>
          <w:tcPr>
            <w:tcW w:w="2132" w:type="dxa"/>
            <w:tcMar>
              <w:left w:w="57" w:type="dxa"/>
              <w:right w:w="57" w:type="dxa"/>
            </w:tcMar>
          </w:tcPr>
          <w:p w:rsidR="003A0D0C" w:rsidRDefault="003A0D0C" w:rsidP="002221E6">
            <w:pPr>
              <w:pStyle w:val="NoSpacing"/>
              <w:jc w:val="right"/>
            </w:pPr>
            <w:r>
              <w:t>2 May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February 2014</w:t>
            </w:r>
          </w:p>
        </w:tc>
      </w:tr>
      <w:tr w:rsidR="003A0D0C" w:rsidTr="002221E6">
        <w:trPr>
          <w:trHeight w:val="70"/>
        </w:trPr>
        <w:tc>
          <w:tcPr>
            <w:tcW w:w="2132" w:type="dxa"/>
            <w:tcMar>
              <w:left w:w="57" w:type="dxa"/>
              <w:right w:w="57" w:type="dxa"/>
            </w:tcMar>
          </w:tcPr>
          <w:p w:rsidR="003A0D0C" w:rsidRDefault="003A0D0C" w:rsidP="002221E6">
            <w:pPr>
              <w:pStyle w:val="NoSpacing"/>
              <w:jc w:val="right"/>
            </w:pPr>
            <w:r>
              <w:t>7 March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September 2013</w:t>
            </w:r>
          </w:p>
        </w:tc>
      </w:tr>
      <w:tr w:rsidR="003A0D0C" w:rsidTr="002221E6">
        <w:trPr>
          <w:trHeight w:val="123"/>
        </w:trPr>
        <w:tc>
          <w:tcPr>
            <w:tcW w:w="2132" w:type="dxa"/>
            <w:tcMar>
              <w:left w:w="57" w:type="dxa"/>
              <w:right w:w="57" w:type="dxa"/>
            </w:tcMar>
          </w:tcPr>
          <w:p w:rsidR="003A0D0C" w:rsidRDefault="003A0D0C" w:rsidP="002221E6">
            <w:pPr>
              <w:pStyle w:val="NoSpacing"/>
              <w:jc w:val="right"/>
            </w:pPr>
            <w:r>
              <w:t>1 November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2013</w:t>
            </w:r>
          </w:p>
        </w:tc>
      </w:tr>
      <w:tr w:rsidR="003A0D0C" w:rsidTr="002221E6">
        <w:trPr>
          <w:trHeight w:val="269"/>
        </w:trPr>
        <w:tc>
          <w:tcPr>
            <w:tcW w:w="2132" w:type="dxa"/>
            <w:tcMar>
              <w:left w:w="57" w:type="dxa"/>
              <w:right w:w="57" w:type="dxa"/>
            </w:tcMar>
          </w:tcPr>
          <w:p w:rsidR="003A0D0C" w:rsidRDefault="003A0D0C" w:rsidP="002221E6">
            <w:pPr>
              <w:pStyle w:val="NoSpacing"/>
              <w:jc w:val="right"/>
            </w:pPr>
            <w:r>
              <w:t>2 August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2221E6">
        <w:trPr>
          <w:trHeight w:val="118"/>
        </w:trPr>
        <w:tc>
          <w:tcPr>
            <w:tcW w:w="2132" w:type="dxa"/>
            <w:tcMar>
              <w:left w:w="57" w:type="dxa"/>
              <w:right w:w="57" w:type="dxa"/>
            </w:tcMar>
          </w:tcPr>
          <w:p w:rsidR="003A0D0C" w:rsidRDefault="003A0D0C" w:rsidP="002221E6">
            <w:pPr>
              <w:pStyle w:val="NoSpacing"/>
              <w:jc w:val="right"/>
            </w:pPr>
            <w:r>
              <w:t>3 May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2221E6">
        <w:trPr>
          <w:trHeight w:val="121"/>
        </w:trPr>
        <w:tc>
          <w:tcPr>
            <w:tcW w:w="2132" w:type="dxa"/>
            <w:tcMar>
              <w:left w:w="57" w:type="dxa"/>
              <w:right w:w="57" w:type="dxa"/>
            </w:tcMar>
          </w:tcPr>
          <w:p w:rsidR="003A0D0C" w:rsidRDefault="003A0D0C" w:rsidP="002221E6">
            <w:pPr>
              <w:pStyle w:val="NoSpacing"/>
              <w:jc w:val="right"/>
            </w:pPr>
            <w:r>
              <w:t>1 February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August 2012</w:t>
            </w:r>
          </w:p>
        </w:tc>
      </w:tr>
      <w:tr w:rsidR="003A0D0C" w:rsidTr="002221E6">
        <w:trPr>
          <w:trHeight w:val="267"/>
        </w:trPr>
        <w:tc>
          <w:tcPr>
            <w:tcW w:w="2132" w:type="dxa"/>
            <w:tcMar>
              <w:left w:w="57" w:type="dxa"/>
              <w:right w:w="57" w:type="dxa"/>
            </w:tcMar>
          </w:tcPr>
          <w:p w:rsidR="003A0D0C" w:rsidRDefault="003A0D0C" w:rsidP="002221E6">
            <w:pPr>
              <w:pStyle w:val="NoSpacing"/>
              <w:jc w:val="right"/>
            </w:pPr>
            <w:r>
              <w:t>11 January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October 2012</w:t>
            </w:r>
          </w:p>
        </w:tc>
      </w:tr>
      <w:tr w:rsidR="003A0D0C" w:rsidTr="002221E6">
        <w:trPr>
          <w:trHeight w:val="115"/>
        </w:trPr>
        <w:tc>
          <w:tcPr>
            <w:tcW w:w="2132" w:type="dxa"/>
            <w:tcMar>
              <w:left w:w="57" w:type="dxa"/>
              <w:right w:w="57" w:type="dxa"/>
            </w:tcMar>
          </w:tcPr>
          <w:p w:rsidR="003A0D0C" w:rsidRDefault="003A0D0C" w:rsidP="002221E6">
            <w:pPr>
              <w:pStyle w:val="NoSpacing"/>
              <w:jc w:val="right"/>
            </w:pPr>
            <w:r>
              <w:t>31 August 2012</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March 2012</w:t>
            </w:r>
          </w:p>
        </w:tc>
      </w:tr>
    </w:tbl>
    <w:p w:rsidR="005374F6" w:rsidRDefault="005374F6" w:rsidP="005374F6">
      <w:pPr>
        <w:pStyle w:val="NoSpacing"/>
      </w:pPr>
    </w:p>
    <w:p w:rsidR="003A0D0C" w:rsidRDefault="003A0D0C" w:rsidP="003A0D0C">
      <w:pPr>
        <w:pStyle w:val="Heading3"/>
      </w:pPr>
      <w:r>
        <w:t>C3</w:t>
      </w:r>
      <w:r>
        <w:tab/>
        <w:t>AQI Scope</w:t>
      </w:r>
    </w:p>
    <w:p w:rsidR="003A0D0C" w:rsidRDefault="003A0D0C" w:rsidP="003A0D0C">
      <w:r>
        <w:t xml:space="preserve">The Ambulance Quality Indicators (AQI) </w:t>
      </w:r>
      <w:proofErr w:type="gramStart"/>
      <w:r>
        <w:t>include</w:t>
      </w:r>
      <w:proofErr w:type="gramEnd"/>
      <w:r>
        <w:t xml:space="preserve"> calls made by dialling either the usual UK-wide number 999 or its EU equivalent 112.</w:t>
      </w:r>
    </w:p>
    <w:p w:rsidR="003A0D0C" w:rsidRDefault="003A0D0C" w:rsidP="003A0D0C">
      <w:r>
        <w:lastRenderedPageBreak/>
        <w:t xml:space="preserve">As described in the specification guidance </w:t>
      </w:r>
      <w:r w:rsidR="00145BE4">
        <w:t xml:space="preserve">document </w:t>
      </w:r>
      <w:r>
        <w:t xml:space="preserve">mentioned above, calls made to NHS 111 are not included in the </w:t>
      </w:r>
      <w:r w:rsidR="00054D5D">
        <w:t xml:space="preserve">AQI </w:t>
      </w:r>
      <w:r>
        <w:t>measures for calls abandoned (SQU03_1_1), re-contacts (SQU03_2_1 and SQU03_2_2), frequent callers (SQU03_2_3), time to answer calls (SQU03_8_1_1) and calls resolved by telephone advice (SQU03_10_1).</w:t>
      </w:r>
    </w:p>
    <w:p w:rsidR="003A0D0C" w:rsidRDefault="003A0D0C" w:rsidP="003A0D0C">
      <w:r>
        <w:t xml:space="preserve">All other Systems Indicators involve the dispatch of an ambulance, and include ambulances dispatched as a result of a call to NHS 111, as well as 999 or 112. </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2"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latest annual Ambulance Services publication </w:t>
      </w:r>
      <w:hyperlink r:id="rId23" w:history="1">
        <w:r w:rsidRPr="00C33A47">
          <w:rPr>
            <w:rStyle w:val="Hyperlink"/>
          </w:rPr>
          <w:t>www.hscic.gov.uk/article/2021/Website-Search?productid=15165</w:t>
        </w:r>
      </w:hyperlink>
      <w:r>
        <w:t xml:space="preserve"> by the Health and Social Care Information Centre (HSCIC), which includes additional </w:t>
      </w:r>
      <w:r w:rsidRPr="00C739C2">
        <w:t>annual analysis and commentary</w:t>
      </w:r>
      <w:r>
        <w:t>. Originally, this publication</w:t>
      </w:r>
      <w:r w:rsidR="00D124B3">
        <w:t xml:space="preserve"> used the KA34 data collection, which </w:t>
      </w:r>
      <w:r>
        <w:t>was similar to the AQI</w:t>
      </w:r>
      <w:r w:rsidRPr="003E4789">
        <w:t xml:space="preserve"> </w:t>
      </w:r>
      <w:r>
        <w:t xml:space="preserve">Systems Indicators, but annual, and ceased collection in March 2013. The HSCIC </w:t>
      </w:r>
      <w:r w:rsidR="00D124B3">
        <w:t xml:space="preserve">publication </w:t>
      </w:r>
      <w:r>
        <w:t>therefore uses AQI data thereafter.</w:t>
      </w:r>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975403" w:rsidP="002221E6">
            <w:pPr>
              <w:pStyle w:val="NoSpacing"/>
            </w:pPr>
            <w:hyperlink r:id="rId24" w:history="1">
              <w:r w:rsidR="003A0D0C" w:rsidRPr="00C33A47">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5"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975403" w:rsidP="002221E6">
            <w:pPr>
              <w:rPr>
                <w:lang w:eastAsia="en-US"/>
              </w:rPr>
            </w:pPr>
            <w:hyperlink r:id="rId26"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7"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 Government Statistical Service (GSS) statistician responsible for producing these data is:</w:t>
      </w:r>
    </w:p>
    <w:p w:rsidR="00B26DEC" w:rsidRDefault="00E11703" w:rsidP="00B26DEC">
      <w:pPr>
        <w:pStyle w:val="NoSpacing"/>
      </w:pPr>
      <w:r w:rsidRPr="000F5B3F">
        <w:t>Ian Kay</w:t>
      </w:r>
      <w:r>
        <w:t>,</w:t>
      </w:r>
      <w:r w:rsidRPr="00C21149">
        <w:t xml:space="preserve"> </w:t>
      </w:r>
      <w:r w:rsidRPr="000F5B3F">
        <w:t>Analytical Services (</w:t>
      </w:r>
      <w:r w:rsidR="00B26DEC">
        <w:t>National</w:t>
      </w:r>
      <w:r w:rsidRPr="000F5B3F">
        <w:t>)</w:t>
      </w:r>
      <w:r>
        <w:t xml:space="preserve">, </w:t>
      </w:r>
      <w:r w:rsidR="00B26DEC">
        <w:t xml:space="preserve">Finance Directorate,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8" w:history="1">
        <w:r w:rsidRPr="009A0418">
          <w:rPr>
            <w:rStyle w:val="Hyperlink"/>
          </w:rPr>
          <w:t>i.kay@nhs.net</w:t>
        </w:r>
      </w:hyperlink>
    </w:p>
    <w:p w:rsidR="00E11703" w:rsidRDefault="003A0D0C" w:rsidP="003A0D0C">
      <w:pPr>
        <w:pStyle w:val="Heading3"/>
      </w:pPr>
      <w:r>
        <w:lastRenderedPageBreak/>
        <w:t>C</w:t>
      </w:r>
      <w:r w:rsidR="00E11703">
        <w:t>7</w:t>
      </w:r>
      <w:r>
        <w:tab/>
      </w:r>
      <w:r w:rsidR="00E11703">
        <w:t>National Statistics</w:t>
      </w:r>
    </w:p>
    <w:p w:rsidR="00E11703" w:rsidRDefault="00FB7D9D" w:rsidP="00E11703">
      <w:r>
        <w:t>In May 2015, t</w:t>
      </w:r>
      <w:r w:rsidR="00E11703">
        <w:t>he UK Statistics Authority designated these statistics as National Statistics, in accordance with the Statistics and Registration Service Act 2007 and signifying compliance with the Code of Practice for Official Statistics.</w:t>
      </w:r>
    </w:p>
    <w:p w:rsidR="00E11703" w:rsidRDefault="00E11703" w:rsidP="00E11703">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11703">
      <w:headerReference w:type="default" r:id="rId29"/>
      <w:footerReference w:type="default" r:id="rId30"/>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97" w:rsidRDefault="00092A97" w:rsidP="008C63D3">
      <w:r>
        <w:separator/>
      </w:r>
    </w:p>
  </w:endnote>
  <w:endnote w:type="continuationSeparator" w:id="0">
    <w:p w:rsidR="00092A97" w:rsidRDefault="00092A9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924D4">
    <w:pPr>
      <w:pStyle w:val="Footer"/>
      <w:tabs>
        <w:tab w:val="clear" w:pos="9026"/>
        <w:tab w:val="left" w:pos="5025"/>
        <w:tab w:val="right" w:pos="8364"/>
      </w:tabs>
    </w:pPr>
    <w:r>
      <w:t>NHS England AQI Statistical Note, 4 June 2015.</w:t>
    </w:r>
    <w:r>
      <w:tab/>
    </w:r>
    <w:r>
      <w:tab/>
    </w:r>
    <w:r>
      <w:tab/>
      <w:t xml:space="preserve">Page </w:t>
    </w:r>
    <w:r>
      <w:fldChar w:fldCharType="begin"/>
    </w:r>
    <w:r>
      <w:instrText xml:space="preserve"> PAGE   \* MERGEFORMAT </w:instrText>
    </w:r>
    <w:r>
      <w:fldChar w:fldCharType="separate"/>
    </w:r>
    <w:r w:rsidR="00975403">
      <w:rPr>
        <w:noProof/>
      </w:rPr>
      <w:t>4</w:t>
    </w:r>
    <w:r>
      <w:rPr>
        <w:noProof/>
      </w:rPr>
      <w:fldChar w:fldCharType="end"/>
    </w:r>
    <w:r>
      <w:rPr>
        <w:noProof/>
      </w:rPr>
      <w:t xml:space="preserve"> of </w:t>
    </w:r>
    <w:fldSimple w:instr=" NUMPAGES   \* MERGEFORMAT ">
      <w:r w:rsidR="00975403">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97" w:rsidRDefault="00092A97" w:rsidP="008C63D3">
      <w:r>
        <w:separator/>
      </w:r>
    </w:p>
  </w:footnote>
  <w:footnote w:type="continuationSeparator" w:id="0">
    <w:p w:rsidR="00092A97" w:rsidRDefault="00092A97" w:rsidP="008C63D3">
      <w:r>
        <w:continuationSeparator/>
      </w:r>
    </w:p>
  </w:footnote>
  <w:footnote w:id="1">
    <w:p w:rsidR="00FF749A" w:rsidRDefault="00FF749A" w:rsidP="00FF749A">
      <w:pPr>
        <w:pStyle w:val="Footer"/>
        <w:rPr>
          <w:rStyle w:val="Hyperlink"/>
          <w:lang w:eastAsia="en-US"/>
        </w:rPr>
      </w:pPr>
      <w:r>
        <w:rPr>
          <w:rStyle w:val="FootnoteReference"/>
        </w:rPr>
        <w:footnoteRef/>
      </w:r>
      <w:r>
        <w:t xml:space="preserve"> Page 30 of the </w:t>
      </w:r>
      <w:r w:rsidRPr="000F3EC8">
        <w:t>Handbook to the NHS Constitution</w:t>
      </w:r>
      <w:r>
        <w:t xml:space="preserve"> has</w:t>
      </w:r>
      <w:r w:rsidRPr="00774123">
        <w:t xml:space="preserve"> </w:t>
      </w:r>
      <w:r>
        <w:t xml:space="preserve">Ambulance response time standards, </w:t>
      </w:r>
      <w:hyperlink r:id="rId1" w:history="1">
        <w:r w:rsidRPr="00CD4562">
          <w:rPr>
            <w:rStyle w:val="Hyperlink"/>
            <w:lang w:eastAsia="en-US"/>
          </w:rPr>
          <w:t>www.nhs.uk/choiceintheNHS/Rightsandpledges/NHSConstitution/Pages/Overview.aspx</w:t>
        </w:r>
      </w:hyperlink>
      <w:r>
        <w:rPr>
          <w:rStyle w:val="Hyperlink"/>
          <w:lang w:eastAsia="en-US"/>
        </w:rPr>
        <w:t>.</w:t>
      </w:r>
    </w:p>
    <w:p w:rsidR="00FF749A" w:rsidRDefault="00FF749A" w:rsidP="00FF749A">
      <w:pPr>
        <w:pStyle w:val="Footer"/>
      </w:pPr>
    </w:p>
  </w:footnote>
  <w:footnote w:id="2">
    <w:p w:rsidR="00092A97" w:rsidRDefault="00092A97" w:rsidP="00526112">
      <w:pPr>
        <w:pStyle w:val="Footer"/>
        <w:rPr>
          <w:rStyle w:val="Hyperlink"/>
          <w:rFonts w:cs="Arial"/>
          <w:szCs w:val="20"/>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326C83" w:rsidRDefault="00326C83" w:rsidP="00526112">
      <w:pPr>
        <w:pStyle w:val="Footer"/>
        <w:rPr>
          <w:rStyle w:val="Hyperlink"/>
          <w:rFonts w:cs="Arial"/>
          <w:szCs w:val="20"/>
        </w:rPr>
      </w:pPr>
    </w:p>
    <w:p w:rsidR="00326C83" w:rsidRPr="00DC4BF3" w:rsidRDefault="00326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092A97" w:rsidRDefault="00092A97" w:rsidP="000F5FB4">
      <w:pPr>
        <w:pStyle w:val="Footer"/>
      </w:pPr>
      <w:r>
        <w:rPr>
          <w:rStyle w:val="FootnoteReference"/>
        </w:rPr>
        <w:footnoteRef/>
      </w:r>
      <w:r>
        <w:t xml:space="preserve"> DoD pilot announcement in January 2015: </w:t>
      </w:r>
      <w:hyperlink r:id="rId3" w:history="1">
        <w:r w:rsidRPr="00470B85">
          <w:rPr>
            <w:rStyle w:val="Hyperlink"/>
          </w:rPr>
          <w:t>www.parliament.uk/business/publications/written-questions-answers-statements/written-statement/Commons/2015-01-16/HCWS201</w:t>
        </w:r>
      </w:hyperlink>
    </w:p>
  </w:footnote>
  <w:footnote w:id="4">
    <w:p w:rsidR="00092A97" w:rsidRDefault="00092A97"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092A97" w:rsidRDefault="00092A97" w:rsidP="00191AB9">
      <w:pPr>
        <w:pStyle w:val="Footer"/>
      </w:pPr>
    </w:p>
  </w:footnote>
  <w:footnote w:id="5">
    <w:p w:rsidR="00092A97" w:rsidRDefault="00092A97" w:rsidP="00191AB9">
      <w:pPr>
        <w:pStyle w:val="Footer"/>
      </w:pPr>
      <w:r>
        <w:rPr>
          <w:rStyle w:val="FootnoteReference"/>
        </w:rPr>
        <w:footnoteRef/>
      </w:r>
      <w:r>
        <w:t xml:space="preserve"> Type 1 are consultant-led 24 hour emergency departments with full resuscitation facilities.</w:t>
      </w:r>
    </w:p>
    <w:p w:rsidR="00092A97" w:rsidRDefault="00092A97" w:rsidP="00191AB9">
      <w:pPr>
        <w:pStyle w:val="Footer"/>
      </w:pPr>
      <w:r>
        <w:t>Type 2 offer a consultant-led speciality A&amp;E service such as ophthalmology or dental.</w:t>
      </w:r>
    </w:p>
    <w:p w:rsidR="00092A97" w:rsidRDefault="00092A97"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092A97" w:rsidRDefault="00092A97" w:rsidP="00191AB9">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6">
    <w:p w:rsidR="00092A97" w:rsidRDefault="00092A97">
      <w:pPr>
        <w:pStyle w:val="FootnoteText"/>
      </w:pPr>
      <w:r>
        <w:rPr>
          <w:rStyle w:val="FootnoteReference"/>
        </w:rPr>
        <w:footnoteRef/>
      </w:r>
      <w:r>
        <w:t xml:space="preserve"> No data for calls abandoned supplied </w:t>
      </w:r>
      <w:r w:rsidR="000D7762">
        <w:t xml:space="preserve">by East of England </w:t>
      </w:r>
      <w:r w:rsidR="002941E6">
        <w:t>since January</w:t>
      </w:r>
      <w:r w:rsidR="00E02284">
        <w:t xml:space="preserve"> </w:t>
      </w:r>
      <w:r>
        <w:t>2015.</w:t>
      </w:r>
    </w:p>
    <w:p w:rsidR="00092A97" w:rsidRDefault="00092A97">
      <w:pPr>
        <w:pStyle w:val="FootnoteText"/>
      </w:pPr>
    </w:p>
  </w:footnote>
  <w:footnote w:id="7">
    <w:p w:rsidR="00E02284" w:rsidRDefault="00E02284" w:rsidP="00E02284">
      <w:pPr>
        <w:pStyle w:val="Footer"/>
      </w:pPr>
      <w:r>
        <w:rPr>
          <w:rStyle w:val="FootnoteReference"/>
        </w:rPr>
        <w:footnoteRef/>
      </w:r>
      <w:r w:rsidRPr="00F23C98">
        <w:t xml:space="preserve"> </w:t>
      </w:r>
      <w:r w:rsidRPr="0095462C">
        <w:t xml:space="preserve">Due to its small size, performance on Isle of Wight tends to vary more than other </w:t>
      </w:r>
      <w:r w:rsidR="00F321DD">
        <w:t>trust</w:t>
      </w:r>
      <w:r w:rsidRPr="0095462C">
        <w:t xml:space="preserve">s. If </w:t>
      </w:r>
      <w:r>
        <w:t xml:space="preserve">it </w:t>
      </w:r>
      <w:r w:rsidRPr="0095462C">
        <w:t xml:space="preserve">has the </w:t>
      </w:r>
      <w:r>
        <w:t xml:space="preserve">largest </w:t>
      </w:r>
      <w:r w:rsidRPr="0095462C">
        <w:t xml:space="preserve">or </w:t>
      </w:r>
      <w:r>
        <w:t>small</w:t>
      </w:r>
      <w:r w:rsidRPr="0095462C">
        <w:t>est value, the Table in A</w:t>
      </w:r>
      <w:r>
        <w:t>6</w:t>
      </w:r>
      <w:r w:rsidRPr="0095462C">
        <w:t xml:space="preserve"> </w:t>
      </w:r>
      <w:r>
        <w:t xml:space="preserve">has </w:t>
      </w:r>
      <w:r w:rsidRPr="0095462C">
        <w:t xml:space="preserve">a footnote marker to show that </w:t>
      </w:r>
      <w:r>
        <w:t xml:space="preserve">it </w:t>
      </w:r>
      <w:r w:rsidRPr="0095462C">
        <w:t xml:space="preserve">is </w:t>
      </w:r>
      <w:r>
        <w:t xml:space="preserve">the </w:t>
      </w:r>
      <w:r w:rsidRPr="0095462C">
        <w:t>extreme</w:t>
      </w:r>
      <w:r>
        <w:t xml:space="preserve">, and </w:t>
      </w:r>
      <w:r w:rsidRPr="0095462C">
        <w:t xml:space="preserve">shows the second </w:t>
      </w:r>
      <w:r>
        <w:t xml:space="preserve">largest </w:t>
      </w:r>
      <w:r w:rsidRPr="0095462C">
        <w:t xml:space="preserve">or </w:t>
      </w:r>
      <w:r>
        <w:t>small</w:t>
      </w:r>
      <w:r w:rsidRPr="0095462C">
        <w:t xml:space="preserve">est value. </w:t>
      </w:r>
      <w:r>
        <w:t>The Clinical Outcomes in section B also use this system.</w:t>
      </w:r>
    </w:p>
  </w:footnote>
  <w:footnote w:id="8">
    <w:p w:rsidR="00092A97" w:rsidRDefault="00092A97" w:rsidP="00CB58C3">
      <w:pPr>
        <w:pStyle w:val="Footer"/>
      </w:pPr>
      <w:r>
        <w:rPr>
          <w:rStyle w:val="FootnoteReference"/>
        </w:rPr>
        <w:footnoteRef/>
      </w:r>
      <w:r>
        <w:t xml:space="preserve"> Excluding Isle of Wight. See footnote </w:t>
      </w:r>
      <w:r w:rsidR="000D7762">
        <w:t>7</w:t>
      </w:r>
      <w:r>
        <w:t xml:space="preserve"> on page 5.</w:t>
      </w:r>
    </w:p>
  </w:footnote>
  <w:footnote w:id="9">
    <w:p w:rsidR="00092A97" w:rsidRDefault="00092A97" w:rsidP="00C221BD">
      <w:pPr>
        <w:pStyle w:val="Footer"/>
        <w:rPr>
          <w:rStyle w:val="Hyperlink"/>
        </w:rP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p w:rsidR="00E203FF" w:rsidRDefault="00E203FF" w:rsidP="00C221BD">
      <w:pPr>
        <w:pStyle w:val="Footer"/>
      </w:pPr>
    </w:p>
  </w:footnote>
  <w:footnote w:id="10">
    <w:p w:rsidR="00022C19" w:rsidRDefault="00022C19" w:rsidP="00022C19">
      <w:pPr>
        <w:pStyle w:val="Footer"/>
      </w:pPr>
      <w:r>
        <w:rPr>
          <w:rStyle w:val="FootnoteReference"/>
        </w:rPr>
        <w:footnoteRef/>
      </w:r>
      <w:r>
        <w:t xml:space="preserve"> Excluding Isle of Wight. See </w:t>
      </w:r>
      <w:r w:rsidR="000D7762">
        <w:t xml:space="preserve">footnote 7 on page </w:t>
      </w:r>
      <w:r>
        <w:t>5.</w:t>
      </w:r>
    </w:p>
  </w:footnote>
  <w:footnote w:id="11">
    <w:p w:rsidR="00092A97" w:rsidRDefault="00092A97" w:rsidP="00F36218">
      <w:pPr>
        <w:pStyle w:val="Footer"/>
      </w:pPr>
      <w:r>
        <w:rPr>
          <w:rStyle w:val="FootnoteReference"/>
        </w:rPr>
        <w:footnoteRef/>
      </w:r>
      <w:r>
        <w:t xml:space="preserve"> Pages </w:t>
      </w:r>
      <w:r w:rsidR="00F8461F">
        <w:t>27 to 30</w:t>
      </w:r>
      <w:r>
        <w:t xml:space="preserve">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092A97" w:rsidRDefault="00092A97" w:rsidP="00F36218">
      <w:pPr>
        <w:pStyle w:val="Footer"/>
      </w:pPr>
    </w:p>
  </w:footnote>
  <w:footnote w:id="12">
    <w:p w:rsidR="00433F86" w:rsidRDefault="00433F86" w:rsidP="00433F86">
      <w:pPr>
        <w:pStyle w:val="Footer"/>
      </w:pPr>
      <w:r>
        <w:rPr>
          <w:rStyle w:val="FootnoteReference"/>
        </w:rPr>
        <w:footnoteRef/>
      </w:r>
      <w:r>
        <w:t xml:space="preserve"> Excluding Isle of Wight. See </w:t>
      </w:r>
      <w:r w:rsidR="000D7762">
        <w:t xml:space="preserve">footnote 7 on page </w:t>
      </w:r>
      <w:r>
        <w:t>5.</w:t>
      </w:r>
    </w:p>
  </w:footnote>
  <w:footnote w:id="13">
    <w:p w:rsidR="00092A97" w:rsidRDefault="00092A97" w:rsidP="0095326B">
      <w:pPr>
        <w:pStyle w:val="Footer"/>
      </w:pPr>
      <w:r>
        <w:rPr>
          <w:rStyle w:val="FootnoteReference"/>
        </w:rPr>
        <w:footnoteRef/>
      </w:r>
      <w:r>
        <w:t xml:space="preserve"> Excluding Isle of Wight. See </w:t>
      </w:r>
      <w:r w:rsidR="000D7762">
        <w:t xml:space="preserve">footnote 7 on page </w:t>
      </w:r>
      <w: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11703">
    <w:pPr>
      <w:pStyle w:val="Header"/>
      <w:tabs>
        <w:tab w:val="clear" w:pos="9026"/>
        <w:tab w:val="left" w:pos="3255"/>
        <w:tab w:val="right" w:pos="9923"/>
      </w:tabs>
      <w:ind w:right="-238"/>
    </w:pPr>
    <w:r>
      <w:tab/>
    </w:r>
    <w:r>
      <w:tab/>
    </w:r>
    <w:r>
      <w:tab/>
    </w:r>
    <w:r>
      <w:rPr>
        <w:noProof/>
      </w:rPr>
      <w:drawing>
        <wp:inline distT="0" distB="0" distL="0" distR="0" wp14:anchorId="7DDC51D9" wp14:editId="083CEC7E">
          <wp:extent cx="1155194" cy="719329"/>
          <wp:effectExtent l="0" t="0" r="6985" b="5080"/>
          <wp:docPr id="7" name="Picture 7"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092A97" w:rsidRDefault="00092A97"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8B63E18"/>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89306B5C"/>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7EAE"/>
    <w:rsid w:val="00017E64"/>
    <w:rsid w:val="00017EE8"/>
    <w:rsid w:val="00022C19"/>
    <w:rsid w:val="00022C9A"/>
    <w:rsid w:val="00024821"/>
    <w:rsid w:val="000274BA"/>
    <w:rsid w:val="00033CF1"/>
    <w:rsid w:val="00035B25"/>
    <w:rsid w:val="00036949"/>
    <w:rsid w:val="00037F53"/>
    <w:rsid w:val="00040A6E"/>
    <w:rsid w:val="00042A5D"/>
    <w:rsid w:val="00044185"/>
    <w:rsid w:val="000442D5"/>
    <w:rsid w:val="00044C0E"/>
    <w:rsid w:val="000452BC"/>
    <w:rsid w:val="0005385F"/>
    <w:rsid w:val="0005401E"/>
    <w:rsid w:val="000543A2"/>
    <w:rsid w:val="00054879"/>
    <w:rsid w:val="000549C2"/>
    <w:rsid w:val="00054D5D"/>
    <w:rsid w:val="0005599E"/>
    <w:rsid w:val="00055BFC"/>
    <w:rsid w:val="000609DB"/>
    <w:rsid w:val="00064B43"/>
    <w:rsid w:val="00065110"/>
    <w:rsid w:val="00065771"/>
    <w:rsid w:val="000670B6"/>
    <w:rsid w:val="00070143"/>
    <w:rsid w:val="0007019A"/>
    <w:rsid w:val="00072DE5"/>
    <w:rsid w:val="000768E8"/>
    <w:rsid w:val="000776AF"/>
    <w:rsid w:val="0007786F"/>
    <w:rsid w:val="00077876"/>
    <w:rsid w:val="00085A95"/>
    <w:rsid w:val="00085AC3"/>
    <w:rsid w:val="00085B01"/>
    <w:rsid w:val="000871A7"/>
    <w:rsid w:val="00087A96"/>
    <w:rsid w:val="000908B7"/>
    <w:rsid w:val="00092393"/>
    <w:rsid w:val="00092A97"/>
    <w:rsid w:val="00095266"/>
    <w:rsid w:val="00096317"/>
    <w:rsid w:val="000965D6"/>
    <w:rsid w:val="00096A9C"/>
    <w:rsid w:val="00097741"/>
    <w:rsid w:val="000A3161"/>
    <w:rsid w:val="000A42E3"/>
    <w:rsid w:val="000B17F3"/>
    <w:rsid w:val="000B1B66"/>
    <w:rsid w:val="000B2219"/>
    <w:rsid w:val="000B2586"/>
    <w:rsid w:val="000B6AA0"/>
    <w:rsid w:val="000C2092"/>
    <w:rsid w:val="000C3202"/>
    <w:rsid w:val="000D14CB"/>
    <w:rsid w:val="000D3FB5"/>
    <w:rsid w:val="000D4CAE"/>
    <w:rsid w:val="000D6BA7"/>
    <w:rsid w:val="000D71FF"/>
    <w:rsid w:val="000D7762"/>
    <w:rsid w:val="000F027D"/>
    <w:rsid w:val="000F0D83"/>
    <w:rsid w:val="000F2BCC"/>
    <w:rsid w:val="000F3EC8"/>
    <w:rsid w:val="000F4631"/>
    <w:rsid w:val="000F537D"/>
    <w:rsid w:val="000F5B3F"/>
    <w:rsid w:val="000F5FB4"/>
    <w:rsid w:val="000F6221"/>
    <w:rsid w:val="001000B2"/>
    <w:rsid w:val="0010506D"/>
    <w:rsid w:val="00111B6E"/>
    <w:rsid w:val="00113395"/>
    <w:rsid w:val="0011384E"/>
    <w:rsid w:val="00115FF0"/>
    <w:rsid w:val="00120401"/>
    <w:rsid w:val="00120424"/>
    <w:rsid w:val="0012242C"/>
    <w:rsid w:val="001251FA"/>
    <w:rsid w:val="0012724F"/>
    <w:rsid w:val="001275F2"/>
    <w:rsid w:val="00127A5B"/>
    <w:rsid w:val="00127E1D"/>
    <w:rsid w:val="00127FD0"/>
    <w:rsid w:val="00133520"/>
    <w:rsid w:val="001359EC"/>
    <w:rsid w:val="00136E8B"/>
    <w:rsid w:val="001405FE"/>
    <w:rsid w:val="001407C4"/>
    <w:rsid w:val="0014147C"/>
    <w:rsid w:val="001417C4"/>
    <w:rsid w:val="00144A92"/>
    <w:rsid w:val="00145BE4"/>
    <w:rsid w:val="00146D12"/>
    <w:rsid w:val="001476C3"/>
    <w:rsid w:val="00151236"/>
    <w:rsid w:val="0015128C"/>
    <w:rsid w:val="00151567"/>
    <w:rsid w:val="00151AF2"/>
    <w:rsid w:val="0015216C"/>
    <w:rsid w:val="00155E50"/>
    <w:rsid w:val="00156A47"/>
    <w:rsid w:val="00160F31"/>
    <w:rsid w:val="0016743F"/>
    <w:rsid w:val="00170786"/>
    <w:rsid w:val="0017281D"/>
    <w:rsid w:val="001747C9"/>
    <w:rsid w:val="00174FF6"/>
    <w:rsid w:val="00175513"/>
    <w:rsid w:val="00177CDB"/>
    <w:rsid w:val="00181692"/>
    <w:rsid w:val="00182E71"/>
    <w:rsid w:val="001847B2"/>
    <w:rsid w:val="001857AC"/>
    <w:rsid w:val="00186446"/>
    <w:rsid w:val="001876F0"/>
    <w:rsid w:val="0019011B"/>
    <w:rsid w:val="00190332"/>
    <w:rsid w:val="00190BCC"/>
    <w:rsid w:val="00191AB9"/>
    <w:rsid w:val="00193CB9"/>
    <w:rsid w:val="0019534B"/>
    <w:rsid w:val="00196595"/>
    <w:rsid w:val="00197242"/>
    <w:rsid w:val="001A2A3F"/>
    <w:rsid w:val="001A3A2C"/>
    <w:rsid w:val="001A3F6B"/>
    <w:rsid w:val="001A471D"/>
    <w:rsid w:val="001A6875"/>
    <w:rsid w:val="001B6001"/>
    <w:rsid w:val="001B68DB"/>
    <w:rsid w:val="001B6963"/>
    <w:rsid w:val="001C2BC2"/>
    <w:rsid w:val="001C3052"/>
    <w:rsid w:val="001C3165"/>
    <w:rsid w:val="001C473C"/>
    <w:rsid w:val="001C5911"/>
    <w:rsid w:val="001C688D"/>
    <w:rsid w:val="001C6E6A"/>
    <w:rsid w:val="001D3157"/>
    <w:rsid w:val="001D4F10"/>
    <w:rsid w:val="001D5DCC"/>
    <w:rsid w:val="001E0C96"/>
    <w:rsid w:val="001E1B0A"/>
    <w:rsid w:val="001E2906"/>
    <w:rsid w:val="001E3296"/>
    <w:rsid w:val="001F1181"/>
    <w:rsid w:val="001F1305"/>
    <w:rsid w:val="001F48A8"/>
    <w:rsid w:val="001F634A"/>
    <w:rsid w:val="001F7230"/>
    <w:rsid w:val="002055F7"/>
    <w:rsid w:val="002067E2"/>
    <w:rsid w:val="00210E7E"/>
    <w:rsid w:val="00214510"/>
    <w:rsid w:val="00214A55"/>
    <w:rsid w:val="002221E6"/>
    <w:rsid w:val="00222B38"/>
    <w:rsid w:val="00225C13"/>
    <w:rsid w:val="00230B2D"/>
    <w:rsid w:val="002346FC"/>
    <w:rsid w:val="00241F79"/>
    <w:rsid w:val="00244F63"/>
    <w:rsid w:val="00247D97"/>
    <w:rsid w:val="0025006E"/>
    <w:rsid w:val="00250AB3"/>
    <w:rsid w:val="00251383"/>
    <w:rsid w:val="00251854"/>
    <w:rsid w:val="002529A4"/>
    <w:rsid w:val="00252C62"/>
    <w:rsid w:val="00254237"/>
    <w:rsid w:val="0025490C"/>
    <w:rsid w:val="00254B9C"/>
    <w:rsid w:val="00260C5F"/>
    <w:rsid w:val="00261C03"/>
    <w:rsid w:val="00261FC5"/>
    <w:rsid w:val="0026240F"/>
    <w:rsid w:val="0026352B"/>
    <w:rsid w:val="00263BD6"/>
    <w:rsid w:val="00265EFB"/>
    <w:rsid w:val="00267437"/>
    <w:rsid w:val="002674B1"/>
    <w:rsid w:val="00270C17"/>
    <w:rsid w:val="002719AC"/>
    <w:rsid w:val="00275C0B"/>
    <w:rsid w:val="002760F7"/>
    <w:rsid w:val="00276BB6"/>
    <w:rsid w:val="00277342"/>
    <w:rsid w:val="0028035E"/>
    <w:rsid w:val="00280386"/>
    <w:rsid w:val="00291664"/>
    <w:rsid w:val="0029257D"/>
    <w:rsid w:val="002941E6"/>
    <w:rsid w:val="002956C9"/>
    <w:rsid w:val="00296E05"/>
    <w:rsid w:val="00297264"/>
    <w:rsid w:val="002A0F67"/>
    <w:rsid w:val="002A2463"/>
    <w:rsid w:val="002A2C06"/>
    <w:rsid w:val="002A3DFB"/>
    <w:rsid w:val="002A4955"/>
    <w:rsid w:val="002A4C7B"/>
    <w:rsid w:val="002A7621"/>
    <w:rsid w:val="002A79F0"/>
    <w:rsid w:val="002B1C61"/>
    <w:rsid w:val="002B4DD9"/>
    <w:rsid w:val="002B4F9D"/>
    <w:rsid w:val="002B55AA"/>
    <w:rsid w:val="002B6786"/>
    <w:rsid w:val="002B72F1"/>
    <w:rsid w:val="002C04A5"/>
    <w:rsid w:val="002C1974"/>
    <w:rsid w:val="002C1DD5"/>
    <w:rsid w:val="002C3A8E"/>
    <w:rsid w:val="002C3ECB"/>
    <w:rsid w:val="002C4E14"/>
    <w:rsid w:val="002C522F"/>
    <w:rsid w:val="002D10A5"/>
    <w:rsid w:val="002D2035"/>
    <w:rsid w:val="002E3DEA"/>
    <w:rsid w:val="002E4181"/>
    <w:rsid w:val="002E6965"/>
    <w:rsid w:val="002F09FA"/>
    <w:rsid w:val="002F3C5E"/>
    <w:rsid w:val="002F5002"/>
    <w:rsid w:val="002F5385"/>
    <w:rsid w:val="002F7555"/>
    <w:rsid w:val="00300176"/>
    <w:rsid w:val="00300551"/>
    <w:rsid w:val="00305EA9"/>
    <w:rsid w:val="003076B8"/>
    <w:rsid w:val="00310203"/>
    <w:rsid w:val="0031043B"/>
    <w:rsid w:val="0031060B"/>
    <w:rsid w:val="0031228A"/>
    <w:rsid w:val="00317C23"/>
    <w:rsid w:val="00320970"/>
    <w:rsid w:val="00322346"/>
    <w:rsid w:val="0032556F"/>
    <w:rsid w:val="00325786"/>
    <w:rsid w:val="0032599C"/>
    <w:rsid w:val="00326A6F"/>
    <w:rsid w:val="00326C83"/>
    <w:rsid w:val="003336E9"/>
    <w:rsid w:val="00335EE6"/>
    <w:rsid w:val="00336020"/>
    <w:rsid w:val="0033606F"/>
    <w:rsid w:val="0034037C"/>
    <w:rsid w:val="00340492"/>
    <w:rsid w:val="00340769"/>
    <w:rsid w:val="00346087"/>
    <w:rsid w:val="00346103"/>
    <w:rsid w:val="00347494"/>
    <w:rsid w:val="003507AC"/>
    <w:rsid w:val="003518B6"/>
    <w:rsid w:val="00356BD0"/>
    <w:rsid w:val="003635DF"/>
    <w:rsid w:val="0036445B"/>
    <w:rsid w:val="003674CA"/>
    <w:rsid w:val="003708E7"/>
    <w:rsid w:val="003723D5"/>
    <w:rsid w:val="0037489E"/>
    <w:rsid w:val="00377786"/>
    <w:rsid w:val="00377FF6"/>
    <w:rsid w:val="00387879"/>
    <w:rsid w:val="0039160E"/>
    <w:rsid w:val="00391832"/>
    <w:rsid w:val="00393F68"/>
    <w:rsid w:val="00395D9D"/>
    <w:rsid w:val="00396552"/>
    <w:rsid w:val="00396DD4"/>
    <w:rsid w:val="00396E0E"/>
    <w:rsid w:val="003A0D0C"/>
    <w:rsid w:val="003A2736"/>
    <w:rsid w:val="003A398E"/>
    <w:rsid w:val="003A63FB"/>
    <w:rsid w:val="003A67C6"/>
    <w:rsid w:val="003A7386"/>
    <w:rsid w:val="003B164C"/>
    <w:rsid w:val="003B4AEC"/>
    <w:rsid w:val="003B628A"/>
    <w:rsid w:val="003C007F"/>
    <w:rsid w:val="003C24D1"/>
    <w:rsid w:val="003C3939"/>
    <w:rsid w:val="003D5086"/>
    <w:rsid w:val="003E185C"/>
    <w:rsid w:val="003E3082"/>
    <w:rsid w:val="003E345E"/>
    <w:rsid w:val="003E38D7"/>
    <w:rsid w:val="003E411B"/>
    <w:rsid w:val="003E4789"/>
    <w:rsid w:val="003E540C"/>
    <w:rsid w:val="003E5931"/>
    <w:rsid w:val="003E59EE"/>
    <w:rsid w:val="003E6081"/>
    <w:rsid w:val="003E62E5"/>
    <w:rsid w:val="003F33D6"/>
    <w:rsid w:val="003F3CB1"/>
    <w:rsid w:val="003F3F9B"/>
    <w:rsid w:val="003F43AB"/>
    <w:rsid w:val="00405587"/>
    <w:rsid w:val="00407A2A"/>
    <w:rsid w:val="0041065C"/>
    <w:rsid w:val="00410783"/>
    <w:rsid w:val="00413F2F"/>
    <w:rsid w:val="004140F7"/>
    <w:rsid w:val="0041753D"/>
    <w:rsid w:val="00417AB4"/>
    <w:rsid w:val="00421E46"/>
    <w:rsid w:val="0042340C"/>
    <w:rsid w:val="0042443A"/>
    <w:rsid w:val="00426208"/>
    <w:rsid w:val="00433F86"/>
    <w:rsid w:val="00435A7B"/>
    <w:rsid w:val="00436A36"/>
    <w:rsid w:val="004370AB"/>
    <w:rsid w:val="004379E9"/>
    <w:rsid w:val="00440EF3"/>
    <w:rsid w:val="00444612"/>
    <w:rsid w:val="004446CF"/>
    <w:rsid w:val="0044623C"/>
    <w:rsid w:val="0044771F"/>
    <w:rsid w:val="00453F16"/>
    <w:rsid w:val="004550F1"/>
    <w:rsid w:val="00456108"/>
    <w:rsid w:val="00465847"/>
    <w:rsid w:val="00473BFA"/>
    <w:rsid w:val="00474435"/>
    <w:rsid w:val="0047575F"/>
    <w:rsid w:val="004769D3"/>
    <w:rsid w:val="00480623"/>
    <w:rsid w:val="00480A45"/>
    <w:rsid w:val="00483782"/>
    <w:rsid w:val="00483F77"/>
    <w:rsid w:val="00486866"/>
    <w:rsid w:val="0048733F"/>
    <w:rsid w:val="00493002"/>
    <w:rsid w:val="004953E1"/>
    <w:rsid w:val="00496F34"/>
    <w:rsid w:val="004A2A45"/>
    <w:rsid w:val="004A463E"/>
    <w:rsid w:val="004A75D3"/>
    <w:rsid w:val="004B32DC"/>
    <w:rsid w:val="004B46D5"/>
    <w:rsid w:val="004B592C"/>
    <w:rsid w:val="004B7035"/>
    <w:rsid w:val="004B77EC"/>
    <w:rsid w:val="004C0D17"/>
    <w:rsid w:val="004C2DB8"/>
    <w:rsid w:val="004C377A"/>
    <w:rsid w:val="004C500F"/>
    <w:rsid w:val="004C5144"/>
    <w:rsid w:val="004D05E1"/>
    <w:rsid w:val="004D083F"/>
    <w:rsid w:val="004D1017"/>
    <w:rsid w:val="004D10AF"/>
    <w:rsid w:val="004D2EE5"/>
    <w:rsid w:val="004D3B3C"/>
    <w:rsid w:val="004F2D5D"/>
    <w:rsid w:val="004F37AE"/>
    <w:rsid w:val="004F3810"/>
    <w:rsid w:val="004F6290"/>
    <w:rsid w:val="005005D8"/>
    <w:rsid w:val="00505BBA"/>
    <w:rsid w:val="00511984"/>
    <w:rsid w:val="00513897"/>
    <w:rsid w:val="005168CD"/>
    <w:rsid w:val="00517BD3"/>
    <w:rsid w:val="0052145B"/>
    <w:rsid w:val="00522954"/>
    <w:rsid w:val="005239BD"/>
    <w:rsid w:val="00523BFF"/>
    <w:rsid w:val="00525B3E"/>
    <w:rsid w:val="00526112"/>
    <w:rsid w:val="005261D8"/>
    <w:rsid w:val="0053124D"/>
    <w:rsid w:val="00531825"/>
    <w:rsid w:val="00531A75"/>
    <w:rsid w:val="0053266B"/>
    <w:rsid w:val="00533D03"/>
    <w:rsid w:val="005347A4"/>
    <w:rsid w:val="00536610"/>
    <w:rsid w:val="00536B5E"/>
    <w:rsid w:val="00536EBE"/>
    <w:rsid w:val="00537299"/>
    <w:rsid w:val="005374F6"/>
    <w:rsid w:val="0054261F"/>
    <w:rsid w:val="0054766B"/>
    <w:rsid w:val="00550D56"/>
    <w:rsid w:val="00551D2D"/>
    <w:rsid w:val="00551DDC"/>
    <w:rsid w:val="00552E5E"/>
    <w:rsid w:val="005538AF"/>
    <w:rsid w:val="00554203"/>
    <w:rsid w:val="005719BB"/>
    <w:rsid w:val="00572500"/>
    <w:rsid w:val="0057661C"/>
    <w:rsid w:val="005772D5"/>
    <w:rsid w:val="0058243A"/>
    <w:rsid w:val="0058367E"/>
    <w:rsid w:val="0058750D"/>
    <w:rsid w:val="00587D4D"/>
    <w:rsid w:val="005945B8"/>
    <w:rsid w:val="005946BA"/>
    <w:rsid w:val="005950EE"/>
    <w:rsid w:val="0059638C"/>
    <w:rsid w:val="00597ACE"/>
    <w:rsid w:val="005A79AD"/>
    <w:rsid w:val="005B4A17"/>
    <w:rsid w:val="005B7945"/>
    <w:rsid w:val="005B7C87"/>
    <w:rsid w:val="005C1025"/>
    <w:rsid w:val="005C1BA6"/>
    <w:rsid w:val="005C1D5F"/>
    <w:rsid w:val="005C42AC"/>
    <w:rsid w:val="005C59BC"/>
    <w:rsid w:val="005C6B63"/>
    <w:rsid w:val="005C7115"/>
    <w:rsid w:val="005C7B11"/>
    <w:rsid w:val="005D2E52"/>
    <w:rsid w:val="005D348F"/>
    <w:rsid w:val="005F1398"/>
    <w:rsid w:val="005F2095"/>
    <w:rsid w:val="005F272A"/>
    <w:rsid w:val="005F3B29"/>
    <w:rsid w:val="005F53BA"/>
    <w:rsid w:val="005F60A6"/>
    <w:rsid w:val="00603940"/>
    <w:rsid w:val="00603FEB"/>
    <w:rsid w:val="006059ED"/>
    <w:rsid w:val="00605F7E"/>
    <w:rsid w:val="006157C7"/>
    <w:rsid w:val="006201BE"/>
    <w:rsid w:val="00620FE6"/>
    <w:rsid w:val="006211E3"/>
    <w:rsid w:val="00621A41"/>
    <w:rsid w:val="00624EB5"/>
    <w:rsid w:val="00624FF8"/>
    <w:rsid w:val="006272D8"/>
    <w:rsid w:val="006303F7"/>
    <w:rsid w:val="006306D8"/>
    <w:rsid w:val="00631E87"/>
    <w:rsid w:val="00632CBA"/>
    <w:rsid w:val="00634165"/>
    <w:rsid w:val="00637766"/>
    <w:rsid w:val="00642E05"/>
    <w:rsid w:val="00642E76"/>
    <w:rsid w:val="00644C87"/>
    <w:rsid w:val="006463FF"/>
    <w:rsid w:val="00652737"/>
    <w:rsid w:val="0065426A"/>
    <w:rsid w:val="00655F0D"/>
    <w:rsid w:val="006561AF"/>
    <w:rsid w:val="00656C83"/>
    <w:rsid w:val="006606D4"/>
    <w:rsid w:val="0066320C"/>
    <w:rsid w:val="006653DB"/>
    <w:rsid w:val="00667CEB"/>
    <w:rsid w:val="0067269D"/>
    <w:rsid w:val="00676BD5"/>
    <w:rsid w:val="006817AD"/>
    <w:rsid w:val="00694D98"/>
    <w:rsid w:val="00694FB2"/>
    <w:rsid w:val="00695304"/>
    <w:rsid w:val="006A341E"/>
    <w:rsid w:val="006A4A06"/>
    <w:rsid w:val="006A61BC"/>
    <w:rsid w:val="006A6856"/>
    <w:rsid w:val="006B2BEA"/>
    <w:rsid w:val="006B3E8A"/>
    <w:rsid w:val="006B6BD1"/>
    <w:rsid w:val="006B7501"/>
    <w:rsid w:val="006C336E"/>
    <w:rsid w:val="006D0E12"/>
    <w:rsid w:val="006D1E78"/>
    <w:rsid w:val="006D5EDF"/>
    <w:rsid w:val="006E0078"/>
    <w:rsid w:val="006E0760"/>
    <w:rsid w:val="006E2C05"/>
    <w:rsid w:val="006E58F5"/>
    <w:rsid w:val="006E6FAF"/>
    <w:rsid w:val="006E7B5C"/>
    <w:rsid w:val="006F0DF6"/>
    <w:rsid w:val="006F2263"/>
    <w:rsid w:val="006F4168"/>
    <w:rsid w:val="00700863"/>
    <w:rsid w:val="007017DC"/>
    <w:rsid w:val="00701D5C"/>
    <w:rsid w:val="0070276C"/>
    <w:rsid w:val="007027B5"/>
    <w:rsid w:val="00702DCC"/>
    <w:rsid w:val="00705EA9"/>
    <w:rsid w:val="007154E1"/>
    <w:rsid w:val="007155C3"/>
    <w:rsid w:val="0071673C"/>
    <w:rsid w:val="007177B5"/>
    <w:rsid w:val="007177FD"/>
    <w:rsid w:val="00720B11"/>
    <w:rsid w:val="00723160"/>
    <w:rsid w:val="00724971"/>
    <w:rsid w:val="00725439"/>
    <w:rsid w:val="0073041B"/>
    <w:rsid w:val="00732D3C"/>
    <w:rsid w:val="00732ECD"/>
    <w:rsid w:val="00735077"/>
    <w:rsid w:val="00737724"/>
    <w:rsid w:val="00740D50"/>
    <w:rsid w:val="00741E8A"/>
    <w:rsid w:val="00742B0B"/>
    <w:rsid w:val="00747269"/>
    <w:rsid w:val="00753EA9"/>
    <w:rsid w:val="00761FF8"/>
    <w:rsid w:val="007639D5"/>
    <w:rsid w:val="0076596A"/>
    <w:rsid w:val="00767475"/>
    <w:rsid w:val="007700CE"/>
    <w:rsid w:val="00771043"/>
    <w:rsid w:val="00774123"/>
    <w:rsid w:val="00775632"/>
    <w:rsid w:val="007804B7"/>
    <w:rsid w:val="007920B1"/>
    <w:rsid w:val="0079282B"/>
    <w:rsid w:val="00793660"/>
    <w:rsid w:val="0079446A"/>
    <w:rsid w:val="007A07DD"/>
    <w:rsid w:val="007A138E"/>
    <w:rsid w:val="007A2AF5"/>
    <w:rsid w:val="007A37B3"/>
    <w:rsid w:val="007B0011"/>
    <w:rsid w:val="007B0D9A"/>
    <w:rsid w:val="007B22A7"/>
    <w:rsid w:val="007B2807"/>
    <w:rsid w:val="007B2D4E"/>
    <w:rsid w:val="007B5B41"/>
    <w:rsid w:val="007B5C09"/>
    <w:rsid w:val="007C0F9B"/>
    <w:rsid w:val="007C0FC7"/>
    <w:rsid w:val="007C393E"/>
    <w:rsid w:val="007C3B46"/>
    <w:rsid w:val="007C6125"/>
    <w:rsid w:val="007C6985"/>
    <w:rsid w:val="007D1A84"/>
    <w:rsid w:val="007D2560"/>
    <w:rsid w:val="007D2957"/>
    <w:rsid w:val="007E152B"/>
    <w:rsid w:val="007E3671"/>
    <w:rsid w:val="007E3EBE"/>
    <w:rsid w:val="007E7FAA"/>
    <w:rsid w:val="007F02F1"/>
    <w:rsid w:val="007F1EB3"/>
    <w:rsid w:val="007F2531"/>
    <w:rsid w:val="007F277B"/>
    <w:rsid w:val="007F366E"/>
    <w:rsid w:val="007F39C7"/>
    <w:rsid w:val="007F6B19"/>
    <w:rsid w:val="00806B8A"/>
    <w:rsid w:val="008076E2"/>
    <w:rsid w:val="008113A4"/>
    <w:rsid w:val="008132F5"/>
    <w:rsid w:val="00814AF3"/>
    <w:rsid w:val="008150FA"/>
    <w:rsid w:val="00815169"/>
    <w:rsid w:val="00821EA9"/>
    <w:rsid w:val="008227CE"/>
    <w:rsid w:val="00822C2F"/>
    <w:rsid w:val="008231E3"/>
    <w:rsid w:val="0082452F"/>
    <w:rsid w:val="00826D43"/>
    <w:rsid w:val="008301F3"/>
    <w:rsid w:val="008340D3"/>
    <w:rsid w:val="008404D1"/>
    <w:rsid w:val="00841DFF"/>
    <w:rsid w:val="00843ABC"/>
    <w:rsid w:val="00844712"/>
    <w:rsid w:val="00845B66"/>
    <w:rsid w:val="00850F3E"/>
    <w:rsid w:val="00853643"/>
    <w:rsid w:val="0085446E"/>
    <w:rsid w:val="00861B67"/>
    <w:rsid w:val="00862969"/>
    <w:rsid w:val="00864978"/>
    <w:rsid w:val="00865E6C"/>
    <w:rsid w:val="00867D59"/>
    <w:rsid w:val="0087012E"/>
    <w:rsid w:val="00871ADB"/>
    <w:rsid w:val="008755AA"/>
    <w:rsid w:val="00875FD5"/>
    <w:rsid w:val="00876654"/>
    <w:rsid w:val="00880163"/>
    <w:rsid w:val="008805A7"/>
    <w:rsid w:val="0088067A"/>
    <w:rsid w:val="00883B6B"/>
    <w:rsid w:val="00884B4D"/>
    <w:rsid w:val="00887DBB"/>
    <w:rsid w:val="0089121D"/>
    <w:rsid w:val="00891640"/>
    <w:rsid w:val="00893655"/>
    <w:rsid w:val="008969B0"/>
    <w:rsid w:val="008A503B"/>
    <w:rsid w:val="008A5185"/>
    <w:rsid w:val="008A5626"/>
    <w:rsid w:val="008A58CE"/>
    <w:rsid w:val="008A6950"/>
    <w:rsid w:val="008A7838"/>
    <w:rsid w:val="008B579C"/>
    <w:rsid w:val="008C4B8B"/>
    <w:rsid w:val="008C5A76"/>
    <w:rsid w:val="008C63D3"/>
    <w:rsid w:val="008D1CF1"/>
    <w:rsid w:val="008D2F54"/>
    <w:rsid w:val="008D50FB"/>
    <w:rsid w:val="008D61DF"/>
    <w:rsid w:val="008D69BA"/>
    <w:rsid w:val="008E2FEE"/>
    <w:rsid w:val="008E3542"/>
    <w:rsid w:val="008E4F65"/>
    <w:rsid w:val="008E5931"/>
    <w:rsid w:val="008E6B23"/>
    <w:rsid w:val="008F1385"/>
    <w:rsid w:val="008F22AB"/>
    <w:rsid w:val="008F3E74"/>
    <w:rsid w:val="008F5EE8"/>
    <w:rsid w:val="008F78EA"/>
    <w:rsid w:val="0090071E"/>
    <w:rsid w:val="00900AD0"/>
    <w:rsid w:val="009038ED"/>
    <w:rsid w:val="0090527D"/>
    <w:rsid w:val="0090652B"/>
    <w:rsid w:val="00910BE4"/>
    <w:rsid w:val="009132F3"/>
    <w:rsid w:val="009141A4"/>
    <w:rsid w:val="00915F3E"/>
    <w:rsid w:val="00917404"/>
    <w:rsid w:val="009207F3"/>
    <w:rsid w:val="00921ACE"/>
    <w:rsid w:val="00921DB1"/>
    <w:rsid w:val="00924E3D"/>
    <w:rsid w:val="00927612"/>
    <w:rsid w:val="00940A61"/>
    <w:rsid w:val="00940ADF"/>
    <w:rsid w:val="00947505"/>
    <w:rsid w:val="00950A7E"/>
    <w:rsid w:val="0095326B"/>
    <w:rsid w:val="0095462C"/>
    <w:rsid w:val="00954E2E"/>
    <w:rsid w:val="00954EA7"/>
    <w:rsid w:val="00955D7C"/>
    <w:rsid w:val="0096283E"/>
    <w:rsid w:val="009638D7"/>
    <w:rsid w:val="00965572"/>
    <w:rsid w:val="00966F66"/>
    <w:rsid w:val="00971C38"/>
    <w:rsid w:val="0097213E"/>
    <w:rsid w:val="0097321C"/>
    <w:rsid w:val="00974797"/>
    <w:rsid w:val="00975403"/>
    <w:rsid w:val="00975BA9"/>
    <w:rsid w:val="0097746A"/>
    <w:rsid w:val="00981224"/>
    <w:rsid w:val="00983F79"/>
    <w:rsid w:val="00984A60"/>
    <w:rsid w:val="00985A23"/>
    <w:rsid w:val="0099142B"/>
    <w:rsid w:val="00992442"/>
    <w:rsid w:val="00995CC1"/>
    <w:rsid w:val="009969BD"/>
    <w:rsid w:val="009977B3"/>
    <w:rsid w:val="009A4919"/>
    <w:rsid w:val="009B166A"/>
    <w:rsid w:val="009B36B1"/>
    <w:rsid w:val="009B5925"/>
    <w:rsid w:val="009B5D9A"/>
    <w:rsid w:val="009B72C4"/>
    <w:rsid w:val="009C74A5"/>
    <w:rsid w:val="009D0C4D"/>
    <w:rsid w:val="009D0DA1"/>
    <w:rsid w:val="009D34C0"/>
    <w:rsid w:val="009E31EF"/>
    <w:rsid w:val="009E4593"/>
    <w:rsid w:val="009E6DA1"/>
    <w:rsid w:val="009F060C"/>
    <w:rsid w:val="009F0F7A"/>
    <w:rsid w:val="009F1FA7"/>
    <w:rsid w:val="009F3BDF"/>
    <w:rsid w:val="00A039C6"/>
    <w:rsid w:val="00A107A5"/>
    <w:rsid w:val="00A10CE7"/>
    <w:rsid w:val="00A13D6C"/>
    <w:rsid w:val="00A1696C"/>
    <w:rsid w:val="00A17A58"/>
    <w:rsid w:val="00A22978"/>
    <w:rsid w:val="00A244B1"/>
    <w:rsid w:val="00A249AF"/>
    <w:rsid w:val="00A26CA7"/>
    <w:rsid w:val="00A3104B"/>
    <w:rsid w:val="00A31BC8"/>
    <w:rsid w:val="00A32B3E"/>
    <w:rsid w:val="00A33BDB"/>
    <w:rsid w:val="00A4253D"/>
    <w:rsid w:val="00A42A6B"/>
    <w:rsid w:val="00A458E0"/>
    <w:rsid w:val="00A46C32"/>
    <w:rsid w:val="00A54078"/>
    <w:rsid w:val="00A56831"/>
    <w:rsid w:val="00A575B0"/>
    <w:rsid w:val="00A64EB2"/>
    <w:rsid w:val="00A65D0F"/>
    <w:rsid w:val="00A66836"/>
    <w:rsid w:val="00A718FA"/>
    <w:rsid w:val="00A7265B"/>
    <w:rsid w:val="00A72E13"/>
    <w:rsid w:val="00A76C6D"/>
    <w:rsid w:val="00A778EA"/>
    <w:rsid w:val="00A831DC"/>
    <w:rsid w:val="00A855BD"/>
    <w:rsid w:val="00A90C28"/>
    <w:rsid w:val="00A914E9"/>
    <w:rsid w:val="00A91618"/>
    <w:rsid w:val="00A92F4D"/>
    <w:rsid w:val="00A9585B"/>
    <w:rsid w:val="00A979C6"/>
    <w:rsid w:val="00AA3CDD"/>
    <w:rsid w:val="00AA6B6B"/>
    <w:rsid w:val="00AA708E"/>
    <w:rsid w:val="00AA7926"/>
    <w:rsid w:val="00AC23EC"/>
    <w:rsid w:val="00AC2B2D"/>
    <w:rsid w:val="00AC2C68"/>
    <w:rsid w:val="00AC3DAD"/>
    <w:rsid w:val="00AC597D"/>
    <w:rsid w:val="00AC617A"/>
    <w:rsid w:val="00AD051D"/>
    <w:rsid w:val="00AD6F90"/>
    <w:rsid w:val="00AD7C90"/>
    <w:rsid w:val="00AE110A"/>
    <w:rsid w:val="00AE15EE"/>
    <w:rsid w:val="00AE2AEE"/>
    <w:rsid w:val="00AE33C1"/>
    <w:rsid w:val="00AE4993"/>
    <w:rsid w:val="00AE5C17"/>
    <w:rsid w:val="00AE71D4"/>
    <w:rsid w:val="00AE7530"/>
    <w:rsid w:val="00AF0B61"/>
    <w:rsid w:val="00AF1519"/>
    <w:rsid w:val="00AF1AD9"/>
    <w:rsid w:val="00AF24DB"/>
    <w:rsid w:val="00AF2574"/>
    <w:rsid w:val="00AF2C09"/>
    <w:rsid w:val="00B02804"/>
    <w:rsid w:val="00B03698"/>
    <w:rsid w:val="00B05CB0"/>
    <w:rsid w:val="00B0776C"/>
    <w:rsid w:val="00B10ECF"/>
    <w:rsid w:val="00B117F9"/>
    <w:rsid w:val="00B143DF"/>
    <w:rsid w:val="00B176FE"/>
    <w:rsid w:val="00B21E1C"/>
    <w:rsid w:val="00B26DEC"/>
    <w:rsid w:val="00B316A5"/>
    <w:rsid w:val="00B33BAE"/>
    <w:rsid w:val="00B40C2F"/>
    <w:rsid w:val="00B412D1"/>
    <w:rsid w:val="00B41F06"/>
    <w:rsid w:val="00B441CC"/>
    <w:rsid w:val="00B45B8D"/>
    <w:rsid w:val="00B4687B"/>
    <w:rsid w:val="00B477EF"/>
    <w:rsid w:val="00B63CE9"/>
    <w:rsid w:val="00B66678"/>
    <w:rsid w:val="00B71432"/>
    <w:rsid w:val="00B72C29"/>
    <w:rsid w:val="00B82858"/>
    <w:rsid w:val="00B828B6"/>
    <w:rsid w:val="00B85756"/>
    <w:rsid w:val="00B86E93"/>
    <w:rsid w:val="00B91476"/>
    <w:rsid w:val="00B9347E"/>
    <w:rsid w:val="00B93837"/>
    <w:rsid w:val="00B947D5"/>
    <w:rsid w:val="00BB35BC"/>
    <w:rsid w:val="00BC03EF"/>
    <w:rsid w:val="00BC05C3"/>
    <w:rsid w:val="00BC10E3"/>
    <w:rsid w:val="00BC435A"/>
    <w:rsid w:val="00BC6A0B"/>
    <w:rsid w:val="00BD1057"/>
    <w:rsid w:val="00BD1E82"/>
    <w:rsid w:val="00BD1EA6"/>
    <w:rsid w:val="00BD33CF"/>
    <w:rsid w:val="00BD48E2"/>
    <w:rsid w:val="00BD4D0C"/>
    <w:rsid w:val="00BE1CE7"/>
    <w:rsid w:val="00BE2594"/>
    <w:rsid w:val="00BE26F1"/>
    <w:rsid w:val="00BE72B7"/>
    <w:rsid w:val="00BE741D"/>
    <w:rsid w:val="00BE7849"/>
    <w:rsid w:val="00BF249B"/>
    <w:rsid w:val="00BF2C50"/>
    <w:rsid w:val="00BF7A8A"/>
    <w:rsid w:val="00C00BBA"/>
    <w:rsid w:val="00C0131F"/>
    <w:rsid w:val="00C03C2F"/>
    <w:rsid w:val="00C03D2B"/>
    <w:rsid w:val="00C061B2"/>
    <w:rsid w:val="00C06A62"/>
    <w:rsid w:val="00C10486"/>
    <w:rsid w:val="00C14E1D"/>
    <w:rsid w:val="00C16133"/>
    <w:rsid w:val="00C21149"/>
    <w:rsid w:val="00C221BD"/>
    <w:rsid w:val="00C25A42"/>
    <w:rsid w:val="00C26738"/>
    <w:rsid w:val="00C26810"/>
    <w:rsid w:val="00C307CE"/>
    <w:rsid w:val="00C3190D"/>
    <w:rsid w:val="00C3404F"/>
    <w:rsid w:val="00C3443F"/>
    <w:rsid w:val="00C344CA"/>
    <w:rsid w:val="00C34B3D"/>
    <w:rsid w:val="00C3748B"/>
    <w:rsid w:val="00C40D56"/>
    <w:rsid w:val="00C418B2"/>
    <w:rsid w:val="00C445E6"/>
    <w:rsid w:val="00C5192F"/>
    <w:rsid w:val="00C51DF6"/>
    <w:rsid w:val="00C521D4"/>
    <w:rsid w:val="00C532C8"/>
    <w:rsid w:val="00C54B5E"/>
    <w:rsid w:val="00C54FB2"/>
    <w:rsid w:val="00C57812"/>
    <w:rsid w:val="00C57FBC"/>
    <w:rsid w:val="00C611A3"/>
    <w:rsid w:val="00C61A40"/>
    <w:rsid w:val="00C61AF0"/>
    <w:rsid w:val="00C64019"/>
    <w:rsid w:val="00C66ACE"/>
    <w:rsid w:val="00C70840"/>
    <w:rsid w:val="00C70AC7"/>
    <w:rsid w:val="00C70C05"/>
    <w:rsid w:val="00C71776"/>
    <w:rsid w:val="00C7319F"/>
    <w:rsid w:val="00C739C2"/>
    <w:rsid w:val="00C73A40"/>
    <w:rsid w:val="00C757AB"/>
    <w:rsid w:val="00C75B8F"/>
    <w:rsid w:val="00C75DDB"/>
    <w:rsid w:val="00C7779C"/>
    <w:rsid w:val="00C90FB6"/>
    <w:rsid w:val="00C93A2D"/>
    <w:rsid w:val="00C94BBC"/>
    <w:rsid w:val="00C957A6"/>
    <w:rsid w:val="00C96A98"/>
    <w:rsid w:val="00C973AE"/>
    <w:rsid w:val="00C9746F"/>
    <w:rsid w:val="00CA1AE1"/>
    <w:rsid w:val="00CA53CE"/>
    <w:rsid w:val="00CA5B86"/>
    <w:rsid w:val="00CB2E00"/>
    <w:rsid w:val="00CB58C3"/>
    <w:rsid w:val="00CC4553"/>
    <w:rsid w:val="00CD037E"/>
    <w:rsid w:val="00CD369E"/>
    <w:rsid w:val="00CD5263"/>
    <w:rsid w:val="00CE2AB5"/>
    <w:rsid w:val="00CF1DB8"/>
    <w:rsid w:val="00CF22D9"/>
    <w:rsid w:val="00CF2301"/>
    <w:rsid w:val="00D01436"/>
    <w:rsid w:val="00D02FA8"/>
    <w:rsid w:val="00D03A3C"/>
    <w:rsid w:val="00D04686"/>
    <w:rsid w:val="00D05B8F"/>
    <w:rsid w:val="00D064D4"/>
    <w:rsid w:val="00D11CB6"/>
    <w:rsid w:val="00D124B3"/>
    <w:rsid w:val="00D13275"/>
    <w:rsid w:val="00D1660D"/>
    <w:rsid w:val="00D166D9"/>
    <w:rsid w:val="00D2535D"/>
    <w:rsid w:val="00D25CD8"/>
    <w:rsid w:val="00D26C0F"/>
    <w:rsid w:val="00D30DAF"/>
    <w:rsid w:val="00D3262A"/>
    <w:rsid w:val="00D348E4"/>
    <w:rsid w:val="00D35203"/>
    <w:rsid w:val="00D37FEA"/>
    <w:rsid w:val="00D40138"/>
    <w:rsid w:val="00D4130A"/>
    <w:rsid w:val="00D427DF"/>
    <w:rsid w:val="00D43749"/>
    <w:rsid w:val="00D44AE7"/>
    <w:rsid w:val="00D4605E"/>
    <w:rsid w:val="00D5006E"/>
    <w:rsid w:val="00D50962"/>
    <w:rsid w:val="00D51401"/>
    <w:rsid w:val="00D51658"/>
    <w:rsid w:val="00D51A2F"/>
    <w:rsid w:val="00D547A7"/>
    <w:rsid w:val="00D56563"/>
    <w:rsid w:val="00D57887"/>
    <w:rsid w:val="00D57D81"/>
    <w:rsid w:val="00D612EA"/>
    <w:rsid w:val="00D6205D"/>
    <w:rsid w:val="00D63B78"/>
    <w:rsid w:val="00D67C11"/>
    <w:rsid w:val="00D706BD"/>
    <w:rsid w:val="00D71457"/>
    <w:rsid w:val="00D7215A"/>
    <w:rsid w:val="00D727BC"/>
    <w:rsid w:val="00D72F12"/>
    <w:rsid w:val="00D74651"/>
    <w:rsid w:val="00D75F20"/>
    <w:rsid w:val="00D8289C"/>
    <w:rsid w:val="00D82D27"/>
    <w:rsid w:val="00D847FB"/>
    <w:rsid w:val="00D868A7"/>
    <w:rsid w:val="00D87887"/>
    <w:rsid w:val="00D8793C"/>
    <w:rsid w:val="00D90B9A"/>
    <w:rsid w:val="00D915B6"/>
    <w:rsid w:val="00D96387"/>
    <w:rsid w:val="00DA4CE4"/>
    <w:rsid w:val="00DA6E95"/>
    <w:rsid w:val="00DB11F1"/>
    <w:rsid w:val="00DB3336"/>
    <w:rsid w:val="00DB41B0"/>
    <w:rsid w:val="00DB6904"/>
    <w:rsid w:val="00DC0B1E"/>
    <w:rsid w:val="00DC41F9"/>
    <w:rsid w:val="00DC48A5"/>
    <w:rsid w:val="00DC4BF3"/>
    <w:rsid w:val="00DC5551"/>
    <w:rsid w:val="00DD21E6"/>
    <w:rsid w:val="00DD280D"/>
    <w:rsid w:val="00DD3BB7"/>
    <w:rsid w:val="00DD791D"/>
    <w:rsid w:val="00DE353D"/>
    <w:rsid w:val="00DE4AEF"/>
    <w:rsid w:val="00DE5B0A"/>
    <w:rsid w:val="00DE5DC5"/>
    <w:rsid w:val="00DF0993"/>
    <w:rsid w:val="00DF0ADA"/>
    <w:rsid w:val="00DF1F6C"/>
    <w:rsid w:val="00DF3C09"/>
    <w:rsid w:val="00DF69D1"/>
    <w:rsid w:val="00E02284"/>
    <w:rsid w:val="00E0266B"/>
    <w:rsid w:val="00E043A8"/>
    <w:rsid w:val="00E055D4"/>
    <w:rsid w:val="00E0653D"/>
    <w:rsid w:val="00E11703"/>
    <w:rsid w:val="00E132B5"/>
    <w:rsid w:val="00E135D5"/>
    <w:rsid w:val="00E14C48"/>
    <w:rsid w:val="00E203FF"/>
    <w:rsid w:val="00E21DD4"/>
    <w:rsid w:val="00E24229"/>
    <w:rsid w:val="00E24A7F"/>
    <w:rsid w:val="00E25C7B"/>
    <w:rsid w:val="00E25E8A"/>
    <w:rsid w:val="00E26E89"/>
    <w:rsid w:val="00E274DD"/>
    <w:rsid w:val="00E3113C"/>
    <w:rsid w:val="00E318EF"/>
    <w:rsid w:val="00E324F3"/>
    <w:rsid w:val="00E34FE9"/>
    <w:rsid w:val="00E42D55"/>
    <w:rsid w:val="00E42D6F"/>
    <w:rsid w:val="00E44882"/>
    <w:rsid w:val="00E47C1E"/>
    <w:rsid w:val="00E51A9F"/>
    <w:rsid w:val="00E52050"/>
    <w:rsid w:val="00E52476"/>
    <w:rsid w:val="00E53110"/>
    <w:rsid w:val="00E53117"/>
    <w:rsid w:val="00E55FAB"/>
    <w:rsid w:val="00E56682"/>
    <w:rsid w:val="00E575C0"/>
    <w:rsid w:val="00E61830"/>
    <w:rsid w:val="00E639AA"/>
    <w:rsid w:val="00E74035"/>
    <w:rsid w:val="00E759ED"/>
    <w:rsid w:val="00E76C17"/>
    <w:rsid w:val="00E77913"/>
    <w:rsid w:val="00E924D4"/>
    <w:rsid w:val="00E940EF"/>
    <w:rsid w:val="00E94351"/>
    <w:rsid w:val="00E977EB"/>
    <w:rsid w:val="00EA10A9"/>
    <w:rsid w:val="00EA1F50"/>
    <w:rsid w:val="00EA23A9"/>
    <w:rsid w:val="00EA2A84"/>
    <w:rsid w:val="00EA5D90"/>
    <w:rsid w:val="00EB18A7"/>
    <w:rsid w:val="00EB27D0"/>
    <w:rsid w:val="00EB4830"/>
    <w:rsid w:val="00EB4C29"/>
    <w:rsid w:val="00EB4DFD"/>
    <w:rsid w:val="00EB5410"/>
    <w:rsid w:val="00EB5DF3"/>
    <w:rsid w:val="00EB7483"/>
    <w:rsid w:val="00EC40B1"/>
    <w:rsid w:val="00EC65C3"/>
    <w:rsid w:val="00ED237F"/>
    <w:rsid w:val="00ED2DED"/>
    <w:rsid w:val="00ED3292"/>
    <w:rsid w:val="00ED3F78"/>
    <w:rsid w:val="00ED4AE1"/>
    <w:rsid w:val="00ED7532"/>
    <w:rsid w:val="00EE6BE8"/>
    <w:rsid w:val="00EE7507"/>
    <w:rsid w:val="00EF2D87"/>
    <w:rsid w:val="00EF3B4A"/>
    <w:rsid w:val="00EF3C6E"/>
    <w:rsid w:val="00EF5ADA"/>
    <w:rsid w:val="00EF6133"/>
    <w:rsid w:val="00F01361"/>
    <w:rsid w:val="00F031F0"/>
    <w:rsid w:val="00F0321B"/>
    <w:rsid w:val="00F04282"/>
    <w:rsid w:val="00F051FD"/>
    <w:rsid w:val="00F06D35"/>
    <w:rsid w:val="00F10AC3"/>
    <w:rsid w:val="00F11CDA"/>
    <w:rsid w:val="00F14A46"/>
    <w:rsid w:val="00F16D7A"/>
    <w:rsid w:val="00F16EE8"/>
    <w:rsid w:val="00F23C98"/>
    <w:rsid w:val="00F23D7E"/>
    <w:rsid w:val="00F23E6F"/>
    <w:rsid w:val="00F2562E"/>
    <w:rsid w:val="00F26900"/>
    <w:rsid w:val="00F27645"/>
    <w:rsid w:val="00F30584"/>
    <w:rsid w:val="00F3075C"/>
    <w:rsid w:val="00F321DD"/>
    <w:rsid w:val="00F33E46"/>
    <w:rsid w:val="00F35268"/>
    <w:rsid w:val="00F36218"/>
    <w:rsid w:val="00F40B3B"/>
    <w:rsid w:val="00F42D71"/>
    <w:rsid w:val="00F43D58"/>
    <w:rsid w:val="00F55DB5"/>
    <w:rsid w:val="00F56F7A"/>
    <w:rsid w:val="00F57C7B"/>
    <w:rsid w:val="00F57F10"/>
    <w:rsid w:val="00F608D1"/>
    <w:rsid w:val="00F62D81"/>
    <w:rsid w:val="00F63574"/>
    <w:rsid w:val="00F63C46"/>
    <w:rsid w:val="00F64A2E"/>
    <w:rsid w:val="00F65B38"/>
    <w:rsid w:val="00F661D9"/>
    <w:rsid w:val="00F703B0"/>
    <w:rsid w:val="00F7048D"/>
    <w:rsid w:val="00F735BC"/>
    <w:rsid w:val="00F81BC9"/>
    <w:rsid w:val="00F83563"/>
    <w:rsid w:val="00F8461F"/>
    <w:rsid w:val="00F84799"/>
    <w:rsid w:val="00F912AC"/>
    <w:rsid w:val="00F92432"/>
    <w:rsid w:val="00F92A10"/>
    <w:rsid w:val="00F93974"/>
    <w:rsid w:val="00F93A98"/>
    <w:rsid w:val="00F94C99"/>
    <w:rsid w:val="00F96341"/>
    <w:rsid w:val="00FB225C"/>
    <w:rsid w:val="00FB353C"/>
    <w:rsid w:val="00FB42A2"/>
    <w:rsid w:val="00FB5A5C"/>
    <w:rsid w:val="00FB6979"/>
    <w:rsid w:val="00FB7D9D"/>
    <w:rsid w:val="00FC44C3"/>
    <w:rsid w:val="00FC53E3"/>
    <w:rsid w:val="00FC6239"/>
    <w:rsid w:val="00FD06F7"/>
    <w:rsid w:val="00FD4A85"/>
    <w:rsid w:val="00FD58E1"/>
    <w:rsid w:val="00FE0936"/>
    <w:rsid w:val="00FE12CD"/>
    <w:rsid w:val="00FF1418"/>
    <w:rsid w:val="00FF237D"/>
    <w:rsid w:val="00FF38FD"/>
    <w:rsid w:val="00FF4218"/>
    <w:rsid w:val="00FF4219"/>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E203FF"/>
    <w:pPr>
      <w:keepNext/>
      <w:keepLines/>
      <w:spacing w:before="24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9E4593"/>
    <w:pPr>
      <w:keepNext/>
      <w:keepLines/>
      <w:spacing w:after="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9E4593"/>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203FF"/>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9E4593"/>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9E4593"/>
    <w:rPr>
      <w:rFonts w:ascii="Arial" w:eastAsiaTheme="majorEastAsia" w:hAnsi="Arial"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E203FF"/>
    <w:pPr>
      <w:keepNext/>
      <w:keepLines/>
      <w:spacing w:before="24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9E4593"/>
    <w:pPr>
      <w:keepNext/>
      <w:keepLines/>
      <w:spacing w:after="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9E4593"/>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203FF"/>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9E4593"/>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9E4593"/>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dhsspsni.gov.uk/index/statistics/hospital/emergency-care/ambulance-statistics.htm" TargetMode="External"/><Relationship Id="rId3" Type="http://schemas.openxmlformats.org/officeDocument/2006/relationships/styles" Target="styles.xml"/><Relationship Id="rId21" Type="http://schemas.openxmlformats.org/officeDocument/2006/relationships/hyperlink" Target="http://bit.ly/NHSAQI"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scottishambulance.com/TheService/BoardPapers.aspx"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england.nhs.uk/statistics/statistical-work-areas/ambulance-quality-indicato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ales.gov.uk/statistics-and-research/ambulance-services/?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hscic.gov.uk/article/2021/Website-Search?productid=15165" TargetMode="External"/><Relationship Id="rId28" Type="http://schemas.openxmlformats.org/officeDocument/2006/relationships/hyperlink" Target="mailto:i.kay@nhs.net"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aace.org.uk/national-performance/national-clinical-dashboards" TargetMode="External"/><Relationship Id="rId27" Type="http://schemas.openxmlformats.org/officeDocument/2006/relationships/hyperlink" Target="mailto:nhsengland.media@nhs.ne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nhs.uk/choiceintheNHS/Rightsandpledges/NHSConstitution/Pages/Overview.aspx"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38E7-C5E4-446A-8E3C-BB311B2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12</Pages>
  <Words>2770</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18344</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13</cp:revision>
  <cp:lastPrinted>2015-04-09T06:34:00Z</cp:lastPrinted>
  <dcterms:created xsi:type="dcterms:W3CDTF">2015-06-02T13:03:00Z</dcterms:created>
  <dcterms:modified xsi:type="dcterms:W3CDTF">2015-06-04T07:52:00Z</dcterms:modified>
</cp:coreProperties>
</file>