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07E5A" w:rsidRDefault="00C21149" w:rsidP="00C96A98">
      <w:pPr>
        <w:pStyle w:val="Heading2"/>
      </w:pPr>
      <w:r w:rsidRPr="00F07E5A">
        <w:t xml:space="preserve">Statistical Note: </w:t>
      </w:r>
      <w:r w:rsidR="00340492" w:rsidRPr="00F07E5A">
        <w:t>Ambulance Quality Indicators</w:t>
      </w:r>
      <w:r w:rsidR="002C522F" w:rsidRPr="00F07E5A">
        <w:t xml:space="preserve"> (AQI</w:t>
      </w:r>
      <w:r w:rsidR="00DC4BF3" w:rsidRPr="00F07E5A">
        <w:t>)</w:t>
      </w:r>
    </w:p>
    <w:p w:rsidR="007C0DA8" w:rsidRPr="00F07E5A" w:rsidRDefault="0058750D" w:rsidP="007C0DA8">
      <w:pPr>
        <w:pStyle w:val="ListParagraph"/>
        <w:numPr>
          <w:ilvl w:val="0"/>
          <w:numId w:val="18"/>
        </w:numPr>
      </w:pPr>
      <w:r w:rsidRPr="00F07E5A">
        <w:t xml:space="preserve">The latest </w:t>
      </w:r>
      <w:r w:rsidR="000F5FB4" w:rsidRPr="00F07E5A">
        <w:t xml:space="preserve">Systems Indicators </w:t>
      </w:r>
      <w:r w:rsidR="00BE2594" w:rsidRPr="00F07E5A">
        <w:t>for</w:t>
      </w:r>
      <w:r w:rsidR="00063229" w:rsidRPr="00F07E5A">
        <w:t xml:space="preserve"> </w:t>
      </w:r>
      <w:r w:rsidR="00F07E5A" w:rsidRPr="00F07E5A">
        <w:t>April</w:t>
      </w:r>
      <w:r w:rsidR="00F31DC0" w:rsidRPr="00F07E5A">
        <w:t xml:space="preserve"> </w:t>
      </w:r>
      <w:r w:rsidR="00AD056A" w:rsidRPr="00F07E5A">
        <w:t>2016</w:t>
      </w:r>
      <w:r w:rsidR="005A6A3C" w:rsidRPr="00F07E5A">
        <w:t xml:space="preserve"> for </w:t>
      </w:r>
      <w:r w:rsidR="00BE2594" w:rsidRPr="00F07E5A">
        <w:t>Ambulance Services in England</w:t>
      </w:r>
      <w:r w:rsidR="008A7838" w:rsidRPr="00F07E5A">
        <w:t xml:space="preserve"> </w:t>
      </w:r>
      <w:r w:rsidR="00B947D5" w:rsidRPr="00F07E5A">
        <w:t xml:space="preserve">showed </w:t>
      </w:r>
      <w:r w:rsidR="00360AFD" w:rsidRPr="00F07E5A">
        <w:t xml:space="preserve">the </w:t>
      </w:r>
      <w:r w:rsidR="00FA13CC" w:rsidRPr="00F07E5A">
        <w:t>standards</w:t>
      </w:r>
      <w:r w:rsidR="00892F48" w:rsidRPr="00F07E5A">
        <w:t xml:space="preserve"> </w:t>
      </w:r>
      <w:r w:rsidR="00FF749A" w:rsidRPr="00F07E5A">
        <w:t>in the Handbook</w:t>
      </w:r>
      <w:r w:rsidR="00FF749A" w:rsidRPr="00F07E5A">
        <w:rPr>
          <w:vertAlign w:val="superscript"/>
        </w:rPr>
        <w:footnoteReference w:id="1"/>
      </w:r>
      <w:r w:rsidR="00892F48" w:rsidRPr="00F07E5A">
        <w:t xml:space="preserve"> to the NHS constitution</w:t>
      </w:r>
      <w:r w:rsidR="00B274C6" w:rsidRPr="00F07E5A">
        <w:t xml:space="preserve"> </w:t>
      </w:r>
      <w:r w:rsidR="00E47A4B" w:rsidRPr="00F07E5A">
        <w:t>we</w:t>
      </w:r>
      <w:r w:rsidR="00FA13CC" w:rsidRPr="00F07E5A">
        <w:t>re not met</w:t>
      </w:r>
      <w:r w:rsidR="003F040F" w:rsidRPr="00F07E5A">
        <w:t>.</w:t>
      </w:r>
    </w:p>
    <w:p w:rsidR="002C522F" w:rsidRPr="00F07E5A" w:rsidRDefault="002C522F" w:rsidP="00D833D1">
      <w:pPr>
        <w:pStyle w:val="Heading2"/>
        <w:spacing w:after="0"/>
      </w:pPr>
      <w:r w:rsidRPr="00F07E5A">
        <w:t>A.</w:t>
      </w:r>
      <w:r w:rsidRPr="00F07E5A">
        <w:tab/>
      </w:r>
      <w:r w:rsidR="00C3443F" w:rsidRPr="00F07E5A">
        <w:t xml:space="preserve">Systems </w:t>
      </w:r>
      <w:r w:rsidR="00465847" w:rsidRPr="00F07E5A">
        <w:t>Indicators</w:t>
      </w:r>
    </w:p>
    <w:p w:rsidR="00C3443F" w:rsidRPr="00F07E5A" w:rsidRDefault="0044771F" w:rsidP="00D833D1">
      <w:pPr>
        <w:pStyle w:val="Heading3"/>
        <w:spacing w:before="120"/>
      </w:pPr>
      <w:r w:rsidRPr="00F07E5A">
        <w:t>A1</w:t>
      </w:r>
      <w:r w:rsidR="0066320C" w:rsidRPr="00F07E5A">
        <w:tab/>
      </w:r>
      <w:r w:rsidR="00D3262A" w:rsidRPr="00F07E5A">
        <w:t xml:space="preserve">Emergency </w:t>
      </w:r>
      <w:r w:rsidR="0089121D" w:rsidRPr="00F07E5A">
        <w:t>response</w:t>
      </w:r>
      <w:r w:rsidR="00D3262A" w:rsidRPr="00F07E5A">
        <w:t xml:space="preserve"> in 8 minutes</w:t>
      </w:r>
      <w:r w:rsidR="00774123" w:rsidRPr="00F07E5A">
        <w:t xml:space="preserve"> (Figure 1)</w:t>
      </w:r>
    </w:p>
    <w:p w:rsidR="00C64DAF" w:rsidRPr="00F07E5A" w:rsidRDefault="00526112" w:rsidP="00513897">
      <w:r w:rsidRPr="00F07E5A">
        <w:t>In</w:t>
      </w:r>
      <w:r w:rsidR="00AA7926" w:rsidRPr="00F07E5A">
        <w:t xml:space="preserve"> </w:t>
      </w:r>
      <w:r w:rsidR="00F07E5A" w:rsidRPr="00F07E5A">
        <w:t>April</w:t>
      </w:r>
      <w:r w:rsidR="000002F1" w:rsidRPr="00F07E5A">
        <w:t xml:space="preserve"> 2016</w:t>
      </w:r>
      <w:r w:rsidRPr="00F07E5A">
        <w:t xml:space="preserve">, </w:t>
      </w:r>
      <w:r w:rsidR="004C377A" w:rsidRPr="00F07E5A">
        <w:t>of Category</w:t>
      </w:r>
      <w:r w:rsidR="002F6A2B" w:rsidRPr="00F07E5A">
        <w:rPr>
          <w:rStyle w:val="FootnoteReference"/>
        </w:rPr>
        <w:footnoteReference w:id="2"/>
      </w:r>
      <w:r w:rsidR="00230A5D" w:rsidRPr="00230A5D">
        <w:rPr>
          <w:vertAlign w:val="superscript"/>
        </w:rPr>
        <w:t>,</w:t>
      </w:r>
      <w:r w:rsidR="0090527D" w:rsidRPr="00F07E5A">
        <w:rPr>
          <w:rStyle w:val="FootnoteReference"/>
          <w:rFonts w:cs="Arial"/>
        </w:rPr>
        <w:footnoteReference w:id="3"/>
      </w:r>
      <w:r w:rsidR="00A07542" w:rsidRPr="00F07E5A">
        <w:t xml:space="preserve"> </w:t>
      </w:r>
      <w:r w:rsidR="008D50FB" w:rsidRPr="00F07E5A">
        <w:t xml:space="preserve">A Red </w:t>
      </w:r>
      <w:r w:rsidR="00513897" w:rsidRPr="00F07E5A">
        <w:t>1</w:t>
      </w:r>
      <w:r w:rsidR="004C377A" w:rsidRPr="00F07E5A">
        <w:t xml:space="preserve"> calls </w:t>
      </w:r>
      <w:r w:rsidR="00513897" w:rsidRPr="00F07E5A">
        <w:t xml:space="preserve">in England </w:t>
      </w:r>
      <w:r w:rsidR="004C377A" w:rsidRPr="00F07E5A">
        <w:t>res</w:t>
      </w:r>
      <w:r w:rsidRPr="00F07E5A">
        <w:t xml:space="preserve">ulting in an emergency response, the proportion </w:t>
      </w:r>
      <w:r w:rsidR="004C377A" w:rsidRPr="00F07E5A">
        <w:t xml:space="preserve">arriving within 8 </w:t>
      </w:r>
      <w:r w:rsidR="00191AB9" w:rsidRPr="00F07E5A">
        <w:t xml:space="preserve">minutes </w:t>
      </w:r>
      <w:r w:rsidR="002611D4" w:rsidRPr="00F07E5A">
        <w:t xml:space="preserve">was </w:t>
      </w:r>
      <w:r w:rsidR="00F07E5A" w:rsidRPr="00F07E5A">
        <w:t>71.3</w:t>
      </w:r>
      <w:r w:rsidR="00D833D1" w:rsidRPr="00F07E5A">
        <w:t>%</w:t>
      </w:r>
      <w:r w:rsidR="00E6125B" w:rsidRPr="00F07E5A">
        <w:t>.</w:t>
      </w:r>
    </w:p>
    <w:p w:rsidR="00E1440E" w:rsidRPr="00F07E5A" w:rsidRDefault="00526112" w:rsidP="00513897">
      <w:r w:rsidRPr="00F07E5A">
        <w:t xml:space="preserve">In </w:t>
      </w:r>
      <w:r w:rsidR="00F07E5A" w:rsidRPr="00F07E5A">
        <w:t>April</w:t>
      </w:r>
      <w:r w:rsidR="000002F1" w:rsidRPr="00F07E5A">
        <w:t xml:space="preserve"> 2016</w:t>
      </w:r>
      <w:r w:rsidRPr="00F07E5A">
        <w:t xml:space="preserve">, </w:t>
      </w:r>
      <w:r w:rsidR="00513897" w:rsidRPr="00F07E5A">
        <w:t>of Category</w:t>
      </w:r>
      <w:r w:rsidR="00A15B5A" w:rsidRPr="00F07E5A">
        <w:rPr>
          <w:vertAlign w:val="superscript"/>
        </w:rPr>
        <w:t>2</w:t>
      </w:r>
      <w:r w:rsidR="00513897" w:rsidRPr="00F07E5A">
        <w:t xml:space="preserve"> A Red 2 calls in England res</w:t>
      </w:r>
      <w:r w:rsidRPr="00F07E5A">
        <w:t xml:space="preserve">ulting in an emergency response, the proportion </w:t>
      </w:r>
      <w:r w:rsidR="00513897" w:rsidRPr="00F07E5A">
        <w:t xml:space="preserve">arriving within 8 minutes </w:t>
      </w:r>
      <w:r w:rsidR="002611D4" w:rsidRPr="00F07E5A">
        <w:t xml:space="preserve">was </w:t>
      </w:r>
      <w:r w:rsidR="00F07E5A" w:rsidRPr="00F07E5A">
        <w:t>65.2</w:t>
      </w:r>
      <w:r w:rsidR="00D833D1" w:rsidRPr="00F07E5A">
        <w:t>%</w:t>
      </w:r>
      <w:r w:rsidR="00E924D4" w:rsidRPr="00F07E5A">
        <w:t>.</w:t>
      </w:r>
      <w:r w:rsidR="00D833D1" w:rsidRPr="00F07E5A">
        <w:t xml:space="preserve"> </w:t>
      </w:r>
    </w:p>
    <w:p w:rsidR="005D6413" w:rsidRPr="00F07E5A" w:rsidRDefault="00F3075C" w:rsidP="001D4F10">
      <w:r w:rsidRPr="00F07E5A">
        <w:t>Red 2 data from</w:t>
      </w:r>
      <w:r w:rsidR="00E53117" w:rsidRPr="00F07E5A">
        <w:t xml:space="preserve"> </w:t>
      </w:r>
      <w:r w:rsidR="00B947D5" w:rsidRPr="00F07E5A">
        <w:t xml:space="preserve">February </w:t>
      </w:r>
      <w:r w:rsidR="001D4F10" w:rsidRPr="00F07E5A">
        <w:t xml:space="preserve">2015 </w:t>
      </w:r>
      <w:r w:rsidR="00FE438D" w:rsidRPr="00F07E5A">
        <w:t xml:space="preserve">onwards </w:t>
      </w:r>
      <w:r w:rsidR="001D4F10" w:rsidRPr="00F07E5A">
        <w:t xml:space="preserve">are not completely comparable </w:t>
      </w:r>
      <w:r w:rsidR="00620FE6" w:rsidRPr="00F07E5A">
        <w:t xml:space="preserve">across </w:t>
      </w:r>
      <w:r w:rsidR="001D4F10" w:rsidRPr="00F07E5A">
        <w:t>England</w:t>
      </w:r>
      <w:r w:rsidR="00620FE6" w:rsidRPr="00F07E5A">
        <w:t>; see section A2 on Dispatch on Disposition</w:t>
      </w:r>
      <w:r w:rsidR="00E6125B" w:rsidRPr="00F07E5A">
        <w:t>.</w:t>
      </w:r>
      <w:r w:rsidR="00710213" w:rsidRPr="00F07E5A">
        <w:t xml:space="preserve"> </w:t>
      </w:r>
    </w:p>
    <w:p w:rsidR="00F26F2F" w:rsidRDefault="007362DE" w:rsidP="00065771">
      <w:pPr>
        <w:rPr>
          <w:highlight w:val="yellow"/>
        </w:rPr>
      </w:pPr>
      <w:bookmarkStart w:id="0" w:name="_GoBack"/>
      <w:bookmarkEnd w:id="0"/>
      <w:r>
        <w:rPr>
          <w:noProof/>
        </w:rPr>
        <w:drawing>
          <wp:inline distT="0" distB="0" distL="0" distR="0" wp14:anchorId="15E91D55">
            <wp:extent cx="5755005" cy="3499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3499485"/>
                    </a:xfrm>
                    <a:prstGeom prst="rect">
                      <a:avLst/>
                    </a:prstGeom>
                    <a:noFill/>
                  </pic:spPr>
                </pic:pic>
              </a:graphicData>
            </a:graphic>
          </wp:inline>
        </w:drawing>
      </w:r>
    </w:p>
    <w:p w:rsidR="005D0BE3" w:rsidRPr="003A740D" w:rsidRDefault="008076E2" w:rsidP="00065771">
      <w:pPr>
        <w:rPr>
          <w:highlight w:val="yellow"/>
        </w:rPr>
      </w:pPr>
      <w:r w:rsidRPr="00F26F2F">
        <w:lastRenderedPageBreak/>
        <w:t>The standard for Ambulance Services is to send an emergency response, with a defibrillator, within 8 minutes</w:t>
      </w:r>
      <w:r w:rsidR="00F3075C" w:rsidRPr="00F26F2F">
        <w:t xml:space="preserve"> </w:t>
      </w:r>
      <w:r w:rsidRPr="00F26F2F">
        <w:t xml:space="preserve">to 75% of Category </w:t>
      </w:r>
      <w:proofErr w:type="gramStart"/>
      <w:r w:rsidRPr="00F26F2F">
        <w:t>A</w:t>
      </w:r>
      <w:proofErr w:type="gramEnd"/>
      <w:r w:rsidR="00F26F2F">
        <w:t xml:space="preserve"> calls. </w:t>
      </w:r>
      <w:r w:rsidRPr="00F26F2F">
        <w:t>Figure 1 shows that for England,</w:t>
      </w:r>
      <w:r w:rsidR="0096283E" w:rsidRPr="00F26F2F">
        <w:t xml:space="preserve"> </w:t>
      </w:r>
      <w:r w:rsidR="002956C9" w:rsidRPr="00F26F2F">
        <w:t>Red 1</w:t>
      </w:r>
      <w:r w:rsidR="0096283E" w:rsidRPr="00F26F2F">
        <w:t xml:space="preserve"> </w:t>
      </w:r>
      <w:r w:rsidR="002350ED" w:rsidRPr="00F26F2F">
        <w:t>performance</w:t>
      </w:r>
      <w:r w:rsidR="002611D4" w:rsidRPr="00F26F2F">
        <w:t xml:space="preserve"> </w:t>
      </w:r>
      <w:r w:rsidR="00F26F2F" w:rsidRPr="00F26F2F">
        <w:t>increased</w:t>
      </w:r>
      <w:r w:rsidR="002350ED" w:rsidRPr="00F26F2F">
        <w:t xml:space="preserve"> </w:t>
      </w:r>
      <w:r w:rsidR="00CB4069" w:rsidRPr="00F26F2F">
        <w:t>to</w:t>
      </w:r>
      <w:r w:rsidR="0046460A" w:rsidRPr="00F26F2F">
        <w:t xml:space="preserve"> </w:t>
      </w:r>
      <w:r w:rsidR="00F26F2F" w:rsidRPr="00F26F2F">
        <w:t>71.3</w:t>
      </w:r>
      <w:r w:rsidR="003005B7" w:rsidRPr="00F26F2F">
        <w:t>%</w:t>
      </w:r>
      <w:r w:rsidR="00C43E6D">
        <w:rPr>
          <w:rStyle w:val="FootnoteReference"/>
        </w:rPr>
        <w:footnoteReference w:id="4"/>
      </w:r>
      <w:r w:rsidR="003005B7" w:rsidRPr="00F26F2F">
        <w:t xml:space="preserve"> in </w:t>
      </w:r>
      <w:r w:rsidR="00F26F2F" w:rsidRPr="00F26F2F">
        <w:t>April</w:t>
      </w:r>
      <w:r w:rsidR="00CB4069" w:rsidRPr="00F26F2F">
        <w:t xml:space="preserve"> 2016,</w:t>
      </w:r>
      <w:r w:rsidR="008961C1" w:rsidRPr="00F26F2F">
        <w:t xml:space="preserve"> </w:t>
      </w:r>
      <w:r w:rsidR="00F26F2F" w:rsidRPr="00F26F2F">
        <w:t xml:space="preserve">although </w:t>
      </w:r>
      <w:r w:rsidR="008961C1" w:rsidRPr="00F26F2F">
        <w:t>it has</w:t>
      </w:r>
      <w:r w:rsidR="00B370F1" w:rsidRPr="00F26F2F">
        <w:t xml:space="preserve"> been</w:t>
      </w:r>
      <w:r w:rsidR="002350ED" w:rsidRPr="00F26F2F">
        <w:t xml:space="preserve"> below </w:t>
      </w:r>
      <w:r w:rsidR="0038780E" w:rsidRPr="00F26F2F">
        <w:t xml:space="preserve">75% </w:t>
      </w:r>
      <w:r w:rsidR="00D833D1" w:rsidRPr="00F26F2F">
        <w:t>for th</w:t>
      </w:r>
      <w:r w:rsidR="003005B7" w:rsidRPr="00F26F2F">
        <w:t xml:space="preserve">e past </w:t>
      </w:r>
      <w:r w:rsidR="00F26F2F" w:rsidRPr="00F26F2F">
        <w:t>eleven</w:t>
      </w:r>
      <w:r w:rsidR="00426EE4" w:rsidRPr="00F26F2F">
        <w:t xml:space="preserve"> </w:t>
      </w:r>
      <w:r w:rsidR="002350ED" w:rsidRPr="00F26F2F">
        <w:t>months</w:t>
      </w:r>
      <w:r w:rsidR="0046460A" w:rsidRPr="00F26F2F">
        <w:t>.</w:t>
      </w:r>
      <w:r w:rsidR="00710213" w:rsidRPr="00F26F2F">
        <w:t xml:space="preserve"> </w:t>
      </w:r>
    </w:p>
    <w:p w:rsidR="00C54FB2" w:rsidRPr="00C85B68" w:rsidRDefault="00643677" w:rsidP="00065771">
      <w:r w:rsidRPr="00C85B68">
        <w:t xml:space="preserve">For Red 1, </w:t>
      </w:r>
      <w:r w:rsidR="00C85B68" w:rsidRPr="00C85B68">
        <w:t>three</w:t>
      </w:r>
      <w:r w:rsidR="000E4408" w:rsidRPr="00C85B68">
        <w:t xml:space="preserve"> trust</w:t>
      </w:r>
      <w:r w:rsidR="000E335D" w:rsidRPr="00C85B68">
        <w:t>s</w:t>
      </w:r>
      <w:r w:rsidR="007A7785" w:rsidRPr="00C85B68">
        <w:t xml:space="preserve"> had </w:t>
      </w:r>
      <w:r w:rsidR="000E4408" w:rsidRPr="00C85B68">
        <w:t>a proportion</w:t>
      </w:r>
      <w:r w:rsidR="00F614AC" w:rsidRPr="00C85B68">
        <w:t xml:space="preserve"> </w:t>
      </w:r>
      <w:r w:rsidR="001A399C" w:rsidRPr="00C85B68">
        <w:t>exceeding 75%:</w:t>
      </w:r>
      <w:r w:rsidR="00191EA9" w:rsidRPr="00C85B68">
        <w:t xml:space="preserve"> </w:t>
      </w:r>
      <w:r w:rsidR="00C85B68" w:rsidRPr="00C85B68">
        <w:t>North West (76.5%), West Midlands (76.8%) and South Central (75.1%)</w:t>
      </w:r>
      <w:r w:rsidR="00191EA9" w:rsidRPr="00C85B68">
        <w:t>.</w:t>
      </w:r>
      <w:r w:rsidR="00F614AC" w:rsidRPr="00C85B68">
        <w:t xml:space="preserve"> </w:t>
      </w:r>
      <w:r w:rsidR="00C85B68" w:rsidRPr="00C85B68">
        <w:t>Eight</w:t>
      </w:r>
      <w:r w:rsidR="007A7785" w:rsidRPr="00C85B68">
        <w:t xml:space="preserve"> trusts had proportions of less than 7</w:t>
      </w:r>
      <w:r w:rsidR="00C85B68" w:rsidRPr="00C85B68">
        <w:t>5</w:t>
      </w:r>
      <w:r w:rsidR="007A7785" w:rsidRPr="00C85B68">
        <w:t xml:space="preserve">%: </w:t>
      </w:r>
      <w:r w:rsidR="00634000" w:rsidRPr="00C85B68">
        <w:t>North East</w:t>
      </w:r>
      <w:r w:rsidR="0038780E" w:rsidRPr="00C85B68">
        <w:t xml:space="preserve"> </w:t>
      </w:r>
      <w:r w:rsidR="00634000" w:rsidRPr="00C85B68">
        <w:t>(6</w:t>
      </w:r>
      <w:r w:rsidR="00C85B68" w:rsidRPr="00C85B68">
        <w:t>9</w:t>
      </w:r>
      <w:r w:rsidR="00BF1103" w:rsidRPr="00C85B68">
        <w:t>.</w:t>
      </w:r>
      <w:r w:rsidR="00C85B68" w:rsidRPr="00C85B68">
        <w:t>1</w:t>
      </w:r>
      <w:r w:rsidR="00BF1103" w:rsidRPr="00C85B68">
        <w:t>%)</w:t>
      </w:r>
      <w:r w:rsidR="00BE51CF" w:rsidRPr="00C85B68">
        <w:t>,</w:t>
      </w:r>
      <w:r w:rsidR="00C85B68" w:rsidRPr="00C85B68">
        <w:t xml:space="preserve"> </w:t>
      </w:r>
      <w:r w:rsidR="003005B7" w:rsidRPr="00C85B68">
        <w:t>Yorkshire</w:t>
      </w:r>
      <w:r w:rsidR="00C43E6D" w:rsidRPr="00C43E6D">
        <w:rPr>
          <w:vertAlign w:val="superscript"/>
        </w:rPr>
        <w:t>4</w:t>
      </w:r>
      <w:r w:rsidR="003005B7" w:rsidRPr="00C85B68">
        <w:t xml:space="preserve"> (</w:t>
      </w:r>
      <w:r w:rsidR="00C85B68" w:rsidRPr="00C85B68">
        <w:t>69.7</w:t>
      </w:r>
      <w:r w:rsidR="00586B8E" w:rsidRPr="00C85B68">
        <w:t>%),</w:t>
      </w:r>
      <w:r w:rsidR="0038780E" w:rsidRPr="00C85B68">
        <w:t xml:space="preserve"> </w:t>
      </w:r>
      <w:r w:rsidR="003F3CC6" w:rsidRPr="00C85B68">
        <w:t>East Midlands (</w:t>
      </w:r>
      <w:r w:rsidR="00EC590B" w:rsidRPr="00C85B68">
        <w:t>6</w:t>
      </w:r>
      <w:r w:rsidR="00C85B68" w:rsidRPr="00C85B68">
        <w:t>6</w:t>
      </w:r>
      <w:r w:rsidR="00EC590B" w:rsidRPr="00C85B68">
        <w:t>.</w:t>
      </w:r>
      <w:r w:rsidR="00C85B68" w:rsidRPr="00C85B68">
        <w:t>3</w:t>
      </w:r>
      <w:r w:rsidR="00586B8E" w:rsidRPr="00C85B68">
        <w:t>%)</w:t>
      </w:r>
      <w:r w:rsidR="00BE51CF" w:rsidRPr="00C85B68">
        <w:t>,</w:t>
      </w:r>
      <w:r w:rsidR="00BF1103" w:rsidRPr="00C85B68">
        <w:t xml:space="preserve"> East of England (</w:t>
      </w:r>
      <w:r w:rsidR="00C85B68" w:rsidRPr="00C85B68">
        <w:t>60.8</w:t>
      </w:r>
      <w:r w:rsidR="00586B8E" w:rsidRPr="00C85B68">
        <w:t>%)</w:t>
      </w:r>
      <w:r w:rsidR="003F3CC6" w:rsidRPr="00C85B68">
        <w:t>, South Western</w:t>
      </w:r>
      <w:r w:rsidR="00C43E6D" w:rsidRPr="00C43E6D">
        <w:rPr>
          <w:vertAlign w:val="superscript"/>
        </w:rPr>
        <w:t>4</w:t>
      </w:r>
      <w:r w:rsidR="003F3CC6" w:rsidRPr="00C85B68">
        <w:t xml:space="preserve"> (</w:t>
      </w:r>
      <w:r w:rsidR="00C85B68" w:rsidRPr="00C85B68">
        <w:t>72.7</w:t>
      </w:r>
      <w:r w:rsidR="00D33D33" w:rsidRPr="00C85B68">
        <w:t xml:space="preserve">%), </w:t>
      </w:r>
      <w:r w:rsidR="003F3CC6" w:rsidRPr="00C85B68">
        <w:t>London (</w:t>
      </w:r>
      <w:r w:rsidR="00C85B68" w:rsidRPr="00C85B68">
        <w:t>70.0</w:t>
      </w:r>
      <w:r w:rsidR="00BE51CF" w:rsidRPr="00C85B68">
        <w:t>%)</w:t>
      </w:r>
      <w:r w:rsidR="00EC590B" w:rsidRPr="00C85B68">
        <w:t>,</w:t>
      </w:r>
      <w:r w:rsidR="00BE51CF" w:rsidRPr="00C85B68">
        <w:t xml:space="preserve"> </w:t>
      </w:r>
      <w:r w:rsidR="003F3CC6" w:rsidRPr="00C85B68">
        <w:t>South East Coast (</w:t>
      </w:r>
      <w:r w:rsidR="00C85B68" w:rsidRPr="00C85B68">
        <w:t>70.1</w:t>
      </w:r>
      <w:r w:rsidR="00BE51CF" w:rsidRPr="00C85B68">
        <w:t>%)</w:t>
      </w:r>
      <w:r w:rsidR="00EC590B" w:rsidRPr="00C85B68">
        <w:t xml:space="preserve"> and Isle of Wight (5</w:t>
      </w:r>
      <w:r w:rsidR="00C85B68" w:rsidRPr="00C85B68">
        <w:t>3</w:t>
      </w:r>
      <w:r w:rsidR="00EC590B" w:rsidRPr="00C85B68">
        <w:t>.</w:t>
      </w:r>
      <w:r w:rsidR="00C85B68" w:rsidRPr="00C85B68">
        <w:t>1</w:t>
      </w:r>
      <w:r w:rsidR="00EC590B" w:rsidRPr="00C85B68">
        <w:t>%)</w:t>
      </w:r>
      <w:r w:rsidR="00586B8E" w:rsidRPr="00C85B68">
        <w:t>.</w:t>
      </w:r>
    </w:p>
    <w:p w:rsidR="00C54B5E" w:rsidRPr="0084043C" w:rsidRDefault="00620FE6" w:rsidP="00C54B5E">
      <w:pPr>
        <w:pStyle w:val="Heading3"/>
      </w:pPr>
      <w:r w:rsidRPr="0084043C">
        <w:t>A</w:t>
      </w:r>
      <w:r w:rsidR="00092A97" w:rsidRPr="0084043C">
        <w:t>2</w:t>
      </w:r>
      <w:r w:rsidRPr="0084043C">
        <w:tab/>
        <w:t xml:space="preserve">Dispatch on Disposition </w:t>
      </w:r>
      <w:r w:rsidR="001171E8" w:rsidRPr="0084043C">
        <w:t>(DoD)</w:t>
      </w:r>
    </w:p>
    <w:p w:rsidR="008B512A" w:rsidRPr="0084043C" w:rsidRDefault="008B512A" w:rsidP="008B512A">
      <w:r w:rsidRPr="0084043C">
        <w:t>In January 2015, the Secretary of State for Health announced</w:t>
      </w:r>
      <w:r w:rsidR="00980342" w:rsidRPr="0084043C">
        <w:rPr>
          <w:rStyle w:val="FootnoteReference"/>
        </w:rPr>
        <w:footnoteReference w:id="5"/>
      </w:r>
      <w:r w:rsidRPr="0084043C">
        <w:t xml:space="preserve"> the </w:t>
      </w:r>
      <w:r w:rsidR="001171E8" w:rsidRPr="0084043C">
        <w:t xml:space="preserve">introduction of </w:t>
      </w:r>
      <w:r w:rsidRPr="0084043C">
        <w:t xml:space="preserve">Dispatch on Disposition (DoD), </w:t>
      </w:r>
      <w:r w:rsidR="008879DA" w:rsidRPr="0084043C">
        <w:t xml:space="preserve">allowing up to two additional minutes for </w:t>
      </w:r>
      <w:r w:rsidRPr="0084043C">
        <w:t>triage (to identify the clinical situati</w:t>
      </w:r>
      <w:r w:rsidR="001171E8" w:rsidRPr="0084043C">
        <w:t>on and take appropriate action). This was</w:t>
      </w:r>
      <w:r w:rsidRPr="0084043C">
        <w:t xml:space="preserve"> based upon clinical advice that </w:t>
      </w:r>
      <w:r w:rsidR="001171E8" w:rsidRPr="0084043C">
        <w:t xml:space="preserve">it </w:t>
      </w:r>
      <w:r w:rsidRPr="0084043C">
        <w:t>would be likely to improve the overall outcomes for ambulance patients.</w:t>
      </w:r>
    </w:p>
    <w:p w:rsidR="008B512A" w:rsidRPr="0084043C" w:rsidRDefault="001171E8" w:rsidP="001171E8">
      <w:r w:rsidRPr="0084043C">
        <w:t>For Red 1 calls</w:t>
      </w:r>
      <w:r w:rsidR="00E8712C" w:rsidRPr="0084043C">
        <w:t>,</w:t>
      </w:r>
      <w:r w:rsidRPr="0084043C">
        <w:t xml:space="preserve"> the clock start time is still the instant that the telephone call connects. However, from 10 February 2015, all other </w:t>
      </w:r>
      <w:r w:rsidR="008B512A" w:rsidRPr="0084043C">
        <w:t>calls received by London Ambulance Service (LAS) and South We</w:t>
      </w:r>
      <w:r w:rsidRPr="0084043C">
        <w:t>stern Ambulance Service (SWAS) use DoD</w:t>
      </w:r>
      <w:r w:rsidR="008879DA" w:rsidRPr="0084043C">
        <w:t>.</w:t>
      </w:r>
    </w:p>
    <w:p w:rsidR="00540689" w:rsidRPr="0084043C" w:rsidRDefault="00241092" w:rsidP="00540689">
      <w:r w:rsidRPr="0084043C">
        <w:t xml:space="preserve">During October 2015, </w:t>
      </w:r>
      <w:r w:rsidR="00E8712C" w:rsidRPr="0084043C">
        <w:t>DoD</w:t>
      </w:r>
      <w:r w:rsidRPr="0084043C">
        <w:t xml:space="preserve"> was introduced </w:t>
      </w:r>
      <w:r w:rsidR="00E8712C" w:rsidRPr="0084043C">
        <w:t xml:space="preserve">in </w:t>
      </w:r>
      <w:r w:rsidR="008879DA" w:rsidRPr="0084043C">
        <w:t>the Ambulance Services of North East (NEAS), Yorkshire (YAS), West Midlands (WMAS) and South Central (SCAS), and the potential extra time was increased further for SWAS</w:t>
      </w:r>
      <w:r w:rsidR="0024134C" w:rsidRPr="0084043C">
        <w:t>.</w:t>
      </w:r>
      <w:r w:rsidR="002B0575" w:rsidRPr="0084043C">
        <w:t xml:space="preserve"> Details of the clock start time for the various cohorts are shown in the table below</w:t>
      </w:r>
      <w:r w:rsidR="00E174B5" w:rsidRPr="0084043C">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536"/>
      </w:tblGrid>
      <w:tr w:rsidR="00540689" w:rsidRPr="00D26D7A" w:rsidTr="00E8712C">
        <w:trPr>
          <w:trHeight w:val="230"/>
        </w:trPr>
        <w:tc>
          <w:tcPr>
            <w:tcW w:w="4644" w:type="dxa"/>
          </w:tcPr>
          <w:p w:rsidR="00540689" w:rsidRPr="00D26D7A" w:rsidRDefault="00540689" w:rsidP="00540689">
            <w:pPr>
              <w:pStyle w:val="Heading3"/>
            </w:pPr>
            <w:r w:rsidRPr="00D26D7A">
              <w:t>Cohort</w:t>
            </w:r>
          </w:p>
        </w:tc>
        <w:tc>
          <w:tcPr>
            <w:tcW w:w="4536" w:type="dxa"/>
          </w:tcPr>
          <w:p w:rsidR="00540689" w:rsidRPr="00D26D7A" w:rsidRDefault="00540689" w:rsidP="00540689">
            <w:pPr>
              <w:pStyle w:val="Heading3"/>
            </w:pPr>
            <w:r w:rsidRPr="00D26D7A">
              <w:t>Clock start time, excluding Red 1</w:t>
            </w:r>
          </w:p>
        </w:tc>
      </w:tr>
      <w:tr w:rsidR="008879DA" w:rsidRPr="00D26D7A" w:rsidTr="00E8712C">
        <w:trPr>
          <w:trHeight w:val="1353"/>
        </w:trPr>
        <w:tc>
          <w:tcPr>
            <w:tcW w:w="4644" w:type="dxa"/>
          </w:tcPr>
          <w:p w:rsidR="008879DA" w:rsidRPr="00D26D7A" w:rsidRDefault="0024134C" w:rsidP="0024134C">
            <w:pPr>
              <w:pStyle w:val="NoSpacing"/>
            </w:pPr>
            <w:r w:rsidRPr="00D26D7A">
              <w:t xml:space="preserve">LAS and SWAS </w:t>
            </w:r>
            <w:r w:rsidR="008879DA" w:rsidRPr="00D26D7A">
              <w:t>up to 10 February 2015;</w:t>
            </w:r>
          </w:p>
          <w:p w:rsidR="008879DA" w:rsidRPr="00D26D7A" w:rsidRDefault="008879DA" w:rsidP="0024134C">
            <w:pPr>
              <w:pStyle w:val="NoSpacing"/>
            </w:pPr>
            <w:r w:rsidRPr="00D26D7A">
              <w:t>NEAS, YAS, WMAS and SCAS up to October 2015</w:t>
            </w:r>
            <w:r w:rsidR="0024134C" w:rsidRPr="00D26D7A">
              <w:t>;</w:t>
            </w:r>
          </w:p>
          <w:p w:rsidR="0024134C" w:rsidRPr="00D26D7A" w:rsidRDefault="00540689" w:rsidP="0024134C">
            <w:pPr>
              <w:pStyle w:val="NoSpacing"/>
            </w:pPr>
            <w:r w:rsidRPr="00D26D7A">
              <w:t xml:space="preserve">continually used for </w:t>
            </w:r>
            <w:r w:rsidR="0024134C" w:rsidRPr="00D26D7A">
              <w:t>the rest of England:</w:t>
            </w:r>
          </w:p>
          <w:p w:rsidR="008879DA" w:rsidRPr="00D26D7A" w:rsidRDefault="008879DA" w:rsidP="008879DA"/>
        </w:tc>
        <w:tc>
          <w:tcPr>
            <w:tcW w:w="4536" w:type="dxa"/>
          </w:tcPr>
          <w:p w:rsidR="008879DA" w:rsidRPr="00D26D7A" w:rsidRDefault="008879DA" w:rsidP="008879DA">
            <w:pPr>
              <w:pStyle w:val="NoSpacing"/>
            </w:pPr>
            <w:r w:rsidRPr="00D26D7A">
              <w:t>Earliest of:</w:t>
            </w:r>
          </w:p>
          <w:p w:rsidR="008879DA" w:rsidRPr="00D26D7A" w:rsidRDefault="008879DA" w:rsidP="00540689">
            <w:pPr>
              <w:pStyle w:val="ListBullet"/>
            </w:pPr>
            <w:r w:rsidRPr="00D26D7A">
              <w:t xml:space="preserve">chief complaint or </w:t>
            </w:r>
            <w:r w:rsidR="00E8712C" w:rsidRPr="00D26D7A">
              <w:t xml:space="preserve">NHS </w:t>
            </w:r>
            <w:r w:rsidRPr="00D26D7A">
              <w:t xml:space="preserve">Pathways initial </w:t>
            </w:r>
            <w:r w:rsidR="00E8712C" w:rsidRPr="00D26D7A">
              <w:t>disposition (</w:t>
            </w:r>
            <w:r w:rsidRPr="00D26D7A">
              <w:t>Dx</w:t>
            </w:r>
            <w:r w:rsidR="00E8712C" w:rsidRPr="00D26D7A">
              <w:t>)</w:t>
            </w:r>
            <w:r w:rsidRPr="00D26D7A">
              <w:t xml:space="preserve"> code</w:t>
            </w:r>
            <w:r w:rsidR="00E8712C" w:rsidRPr="00D26D7A">
              <w:t xml:space="preserve"> </w:t>
            </w:r>
            <w:r w:rsidRPr="00D26D7A">
              <w:t>obtained;</w:t>
            </w:r>
          </w:p>
          <w:p w:rsidR="008879DA" w:rsidRPr="00D26D7A" w:rsidRDefault="008879DA" w:rsidP="00540689">
            <w:pPr>
              <w:pStyle w:val="ListBullet"/>
            </w:pPr>
            <w:r w:rsidRPr="00D26D7A">
              <w:t>first vehicle assigned;</w:t>
            </w:r>
          </w:p>
          <w:p w:rsidR="008879DA" w:rsidRPr="00D26D7A" w:rsidRDefault="008879DA" w:rsidP="00540689">
            <w:pPr>
              <w:pStyle w:val="ListBullet"/>
            </w:pPr>
            <w:r w:rsidRPr="00D26D7A">
              <w:t>60 seconds after call connect</w:t>
            </w:r>
            <w:r w:rsidR="0024134C" w:rsidRPr="00D26D7A">
              <w:t>.</w:t>
            </w:r>
          </w:p>
        </w:tc>
      </w:tr>
      <w:tr w:rsidR="008879DA" w:rsidRPr="00D26D7A" w:rsidTr="00E8712C">
        <w:tc>
          <w:tcPr>
            <w:tcW w:w="4644" w:type="dxa"/>
          </w:tcPr>
          <w:p w:rsidR="0024134C" w:rsidRPr="00D26D7A" w:rsidRDefault="008879DA" w:rsidP="0024134C">
            <w:pPr>
              <w:pStyle w:val="NoSpacing"/>
            </w:pPr>
            <w:r w:rsidRPr="00D26D7A">
              <w:t>LAS from 10 February 2015</w:t>
            </w:r>
            <w:r w:rsidR="0024134C" w:rsidRPr="00D26D7A">
              <w:t>;</w:t>
            </w:r>
          </w:p>
          <w:p w:rsidR="0024134C" w:rsidRPr="00D26D7A" w:rsidRDefault="008879DA" w:rsidP="0024134C">
            <w:pPr>
              <w:pStyle w:val="NoSpacing"/>
            </w:pPr>
            <w:r w:rsidRPr="00D26D7A">
              <w:t>NEAS from 8 October 2015</w:t>
            </w:r>
            <w:r w:rsidR="0024134C" w:rsidRPr="00D26D7A">
              <w:t>;</w:t>
            </w:r>
          </w:p>
          <w:p w:rsidR="0024134C" w:rsidRPr="00D26D7A" w:rsidRDefault="0024134C" w:rsidP="0024134C">
            <w:pPr>
              <w:pStyle w:val="NoSpacing"/>
            </w:pPr>
            <w:r w:rsidRPr="00D26D7A">
              <w:t>YAS from 21 October 2015;</w:t>
            </w:r>
          </w:p>
          <w:p w:rsidR="0024134C" w:rsidRPr="00D26D7A" w:rsidRDefault="0024134C" w:rsidP="0024134C">
            <w:pPr>
              <w:pStyle w:val="NoSpacing"/>
            </w:pPr>
            <w:r w:rsidRPr="00D26D7A">
              <w:t>WMAS and SCAS from 19 October 2015;</w:t>
            </w:r>
          </w:p>
          <w:p w:rsidR="0024134C" w:rsidRPr="00D26D7A" w:rsidRDefault="0024134C" w:rsidP="00660400">
            <w:pPr>
              <w:pStyle w:val="NoSpacing"/>
            </w:pPr>
            <w:r w:rsidRPr="00D26D7A">
              <w:t>SWAS</w:t>
            </w:r>
            <w:r w:rsidR="00660400" w:rsidRPr="00D26D7A">
              <w:t>,</w:t>
            </w:r>
            <w:r w:rsidRPr="00D26D7A">
              <w:t xml:space="preserve"> 10 February to 5 October</w:t>
            </w:r>
            <w:r w:rsidR="00660400" w:rsidRPr="00D26D7A">
              <w:t xml:space="preserve"> 2015:</w:t>
            </w:r>
          </w:p>
        </w:tc>
        <w:tc>
          <w:tcPr>
            <w:tcW w:w="4536" w:type="dxa"/>
          </w:tcPr>
          <w:p w:rsidR="008879DA" w:rsidRPr="00D26D7A" w:rsidRDefault="008879DA" w:rsidP="008879DA">
            <w:pPr>
              <w:pStyle w:val="NoSpacing"/>
            </w:pPr>
            <w:r w:rsidRPr="00D26D7A">
              <w:t>Earliest of:</w:t>
            </w:r>
          </w:p>
          <w:p w:rsidR="008879DA" w:rsidRPr="00D26D7A" w:rsidRDefault="00E8712C" w:rsidP="00540689">
            <w:pPr>
              <w:pStyle w:val="ListBullet"/>
            </w:pPr>
            <w:r w:rsidRPr="00D26D7A">
              <w:t>chief complaint or NHS Pathways initial Dx code obtained</w:t>
            </w:r>
            <w:r w:rsidR="008879DA" w:rsidRPr="00D26D7A">
              <w:t>;</w:t>
            </w:r>
          </w:p>
          <w:p w:rsidR="008879DA" w:rsidRPr="00D26D7A" w:rsidRDefault="008879DA" w:rsidP="00540689">
            <w:pPr>
              <w:pStyle w:val="ListBullet"/>
            </w:pPr>
            <w:r w:rsidRPr="00D26D7A">
              <w:t>first vehicle assigned;</w:t>
            </w:r>
          </w:p>
          <w:p w:rsidR="008879DA" w:rsidRPr="00D26D7A" w:rsidRDefault="008879DA" w:rsidP="00540689">
            <w:pPr>
              <w:pStyle w:val="ListBullet"/>
            </w:pPr>
            <w:r w:rsidRPr="00D26D7A">
              <w:t>180 seconds after call connect</w:t>
            </w:r>
            <w:r w:rsidR="0024134C" w:rsidRPr="00D26D7A">
              <w:t>.</w:t>
            </w:r>
          </w:p>
        </w:tc>
      </w:tr>
    </w:tbl>
    <w:p w:rsidR="004C0349" w:rsidRPr="00D26D7A" w:rsidRDefault="004C0349">
      <w:r w:rsidRPr="00D26D7A">
        <w:br w:type="page"/>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536"/>
      </w:tblGrid>
      <w:tr w:rsidR="008879DA" w:rsidRPr="00D26D7A" w:rsidTr="00E8712C">
        <w:tc>
          <w:tcPr>
            <w:tcW w:w="4644" w:type="dxa"/>
          </w:tcPr>
          <w:p w:rsidR="008879DA" w:rsidRPr="00D26D7A" w:rsidRDefault="008879DA" w:rsidP="0024134C">
            <w:pPr>
              <w:pStyle w:val="NoSpacing"/>
            </w:pPr>
            <w:r w:rsidRPr="00D26D7A">
              <w:lastRenderedPageBreak/>
              <w:t>SWAS from 5 October 2015:</w:t>
            </w:r>
          </w:p>
        </w:tc>
        <w:tc>
          <w:tcPr>
            <w:tcW w:w="4536" w:type="dxa"/>
          </w:tcPr>
          <w:p w:rsidR="00583FB1" w:rsidRPr="00D26D7A" w:rsidRDefault="00583FB1" w:rsidP="00583FB1">
            <w:pPr>
              <w:pStyle w:val="ListBullet"/>
              <w:numPr>
                <w:ilvl w:val="0"/>
                <w:numId w:val="0"/>
              </w:numPr>
              <w:ind w:left="360" w:hanging="360"/>
            </w:pPr>
            <w:r w:rsidRPr="00D26D7A">
              <w:t>As above for 5</w:t>
            </w:r>
            <w:r w:rsidRPr="00D26D7A">
              <w:rPr>
                <w:vertAlign w:val="superscript"/>
              </w:rPr>
              <w:t xml:space="preserve"> </w:t>
            </w:r>
            <w:r w:rsidRPr="00D26D7A">
              <w:t>October 2015 except;</w:t>
            </w:r>
          </w:p>
          <w:p w:rsidR="008879DA" w:rsidRPr="00D26D7A" w:rsidRDefault="00583FB1" w:rsidP="00583FB1">
            <w:pPr>
              <w:pStyle w:val="ListBullet"/>
            </w:pPr>
            <w:r w:rsidRPr="00D26D7A">
              <w:t>240 seconds after call connect.</w:t>
            </w:r>
          </w:p>
        </w:tc>
      </w:tr>
      <w:tr w:rsidR="00B063B7" w:rsidRPr="00D26D7A" w:rsidTr="00E8712C">
        <w:tc>
          <w:tcPr>
            <w:tcW w:w="4644" w:type="dxa"/>
          </w:tcPr>
          <w:p w:rsidR="00B063B7" w:rsidRPr="00D26D7A" w:rsidRDefault="00B063B7" w:rsidP="0024134C">
            <w:pPr>
              <w:pStyle w:val="NoSpacing"/>
            </w:pPr>
            <w:r w:rsidRPr="00D26D7A">
              <w:t xml:space="preserve">SWAS from </w:t>
            </w:r>
            <w:r w:rsidR="0028118E" w:rsidRPr="00D26D7A">
              <w:t xml:space="preserve">14 </w:t>
            </w:r>
            <w:r w:rsidRPr="00D26D7A">
              <w:t>December 2015</w:t>
            </w:r>
          </w:p>
        </w:tc>
        <w:tc>
          <w:tcPr>
            <w:tcW w:w="4536" w:type="dxa"/>
          </w:tcPr>
          <w:p w:rsidR="00985E54" w:rsidRPr="00D26D7A" w:rsidRDefault="00985E54" w:rsidP="00985E54">
            <w:pPr>
              <w:pStyle w:val="ListBullet"/>
              <w:numPr>
                <w:ilvl w:val="0"/>
                <w:numId w:val="0"/>
              </w:numPr>
              <w:ind w:left="360" w:hanging="360"/>
            </w:pPr>
            <w:r w:rsidRPr="00D26D7A">
              <w:t>As above for 5</w:t>
            </w:r>
            <w:r w:rsidRPr="00D26D7A">
              <w:rPr>
                <w:vertAlign w:val="superscript"/>
              </w:rPr>
              <w:t xml:space="preserve"> </w:t>
            </w:r>
            <w:r w:rsidRPr="00D26D7A">
              <w:t>October 2015 except;</w:t>
            </w:r>
          </w:p>
          <w:p w:rsidR="00B063B7" w:rsidRPr="00D26D7A" w:rsidRDefault="00B063B7" w:rsidP="00B063B7">
            <w:pPr>
              <w:pStyle w:val="ListBullet"/>
            </w:pPr>
            <w:r w:rsidRPr="00D26D7A">
              <w:t>300 seconds after call connect.</w:t>
            </w:r>
          </w:p>
        </w:tc>
      </w:tr>
      <w:tr w:rsidR="003F3CC6" w:rsidRPr="00D26D7A" w:rsidTr="00E8712C">
        <w:tc>
          <w:tcPr>
            <w:tcW w:w="4644" w:type="dxa"/>
          </w:tcPr>
          <w:p w:rsidR="003F3CC6" w:rsidRPr="00D26D7A" w:rsidRDefault="003F3CC6" w:rsidP="0024134C">
            <w:pPr>
              <w:pStyle w:val="NoSpacing"/>
            </w:pPr>
            <w:r w:rsidRPr="00D26D7A">
              <w:t>SWAS from 1 March 2016</w:t>
            </w:r>
          </w:p>
        </w:tc>
        <w:tc>
          <w:tcPr>
            <w:tcW w:w="4536" w:type="dxa"/>
          </w:tcPr>
          <w:p w:rsidR="003F3CC6" w:rsidRPr="00D26D7A" w:rsidRDefault="0017739F" w:rsidP="0017739F">
            <w:pPr>
              <w:pStyle w:val="NoSpacing"/>
            </w:pPr>
            <w:r w:rsidRPr="00D26D7A">
              <w:t>As above for 14 December 2015 except;</w:t>
            </w:r>
          </w:p>
          <w:p w:rsidR="003F3CC6" w:rsidRPr="00D26D7A" w:rsidRDefault="003F3CC6" w:rsidP="003F3CC6">
            <w:pPr>
              <w:pStyle w:val="ListBullet"/>
            </w:pPr>
            <w:r w:rsidRPr="00D26D7A">
              <w:t>240 seconds after call connect.</w:t>
            </w:r>
          </w:p>
        </w:tc>
      </w:tr>
      <w:tr w:rsidR="0017739F" w:rsidRPr="003A740D" w:rsidTr="00E8712C">
        <w:tc>
          <w:tcPr>
            <w:tcW w:w="4644" w:type="dxa"/>
          </w:tcPr>
          <w:p w:rsidR="0017739F" w:rsidRPr="00D26D7A" w:rsidRDefault="0017739F" w:rsidP="0024134C">
            <w:pPr>
              <w:pStyle w:val="NoSpacing"/>
            </w:pPr>
            <w:r w:rsidRPr="00D26D7A">
              <w:t>YAS from 16 March 2016</w:t>
            </w:r>
          </w:p>
        </w:tc>
        <w:tc>
          <w:tcPr>
            <w:tcW w:w="4536" w:type="dxa"/>
          </w:tcPr>
          <w:p w:rsidR="0017739F" w:rsidRPr="00D26D7A" w:rsidRDefault="0017739F" w:rsidP="00514EF1">
            <w:pPr>
              <w:pStyle w:val="NoSpacing"/>
            </w:pPr>
            <w:r w:rsidRPr="00D26D7A">
              <w:t>As above for 21 October 2015 except;</w:t>
            </w:r>
          </w:p>
          <w:p w:rsidR="0017739F" w:rsidRPr="00D26D7A" w:rsidRDefault="0017739F" w:rsidP="00514EF1">
            <w:pPr>
              <w:pStyle w:val="ListBullet"/>
            </w:pPr>
            <w:r w:rsidRPr="00D26D7A">
              <w:t>240 seconds after call connect.</w:t>
            </w:r>
          </w:p>
        </w:tc>
      </w:tr>
      <w:tr w:rsidR="00D26D7A" w:rsidRPr="003A740D" w:rsidTr="00E8712C">
        <w:tc>
          <w:tcPr>
            <w:tcW w:w="4644" w:type="dxa"/>
          </w:tcPr>
          <w:p w:rsidR="00D26D7A" w:rsidRPr="00D26D7A" w:rsidRDefault="00D26D7A" w:rsidP="0024134C">
            <w:pPr>
              <w:pStyle w:val="NoSpacing"/>
            </w:pPr>
            <w:r>
              <w:t>SCAS from 07 April 2016</w:t>
            </w:r>
          </w:p>
        </w:tc>
        <w:tc>
          <w:tcPr>
            <w:tcW w:w="4536" w:type="dxa"/>
          </w:tcPr>
          <w:p w:rsidR="00D26D7A" w:rsidRPr="00D26D7A" w:rsidRDefault="00D26D7A" w:rsidP="00912398">
            <w:pPr>
              <w:pStyle w:val="NoSpacing"/>
            </w:pPr>
            <w:r>
              <w:t>As above for 19</w:t>
            </w:r>
            <w:r w:rsidRPr="00D26D7A">
              <w:t xml:space="preserve"> October 2015 except;</w:t>
            </w:r>
          </w:p>
          <w:p w:rsidR="00D26D7A" w:rsidRPr="00D26D7A" w:rsidRDefault="00D26D7A" w:rsidP="00912398">
            <w:pPr>
              <w:pStyle w:val="ListBullet"/>
            </w:pPr>
            <w:r w:rsidRPr="00D26D7A">
              <w:t>240 seconds after call connect.</w:t>
            </w:r>
          </w:p>
        </w:tc>
      </w:tr>
    </w:tbl>
    <w:p w:rsidR="00660400" w:rsidRPr="0084043C" w:rsidRDefault="00660400" w:rsidP="00660400">
      <w:r w:rsidRPr="0084043C">
        <w:t xml:space="preserve">The differing clock start times mean that data for the different cohorts are not comparable with each other. Red 2 calls comprise the vast majority of Category A calls, so 19 minute Category A </w:t>
      </w:r>
      <w:r w:rsidR="00540689" w:rsidRPr="0084043C">
        <w:t xml:space="preserve">data are also not comparable for </w:t>
      </w:r>
      <w:r w:rsidR="004C0349" w:rsidRPr="0084043C">
        <w:t xml:space="preserve">the </w:t>
      </w:r>
      <w:r w:rsidR="00540689" w:rsidRPr="0084043C">
        <w:t>different cohorts.</w:t>
      </w:r>
    </w:p>
    <w:p w:rsidR="006C3B5D" w:rsidRPr="0084043C" w:rsidRDefault="000F2BCC" w:rsidP="00C51DF6">
      <w:r w:rsidRPr="0084043C">
        <w:t>Figure 2</w:t>
      </w:r>
      <w:r w:rsidR="0012724F" w:rsidRPr="0084043C">
        <w:t xml:space="preserve"> </w:t>
      </w:r>
      <w:r w:rsidR="00581E8E" w:rsidRPr="0084043C">
        <w:t xml:space="preserve">shows </w:t>
      </w:r>
      <w:r w:rsidR="00533D03" w:rsidRPr="0084043C">
        <w:t xml:space="preserve">the Red 2 measure </w:t>
      </w:r>
      <w:r w:rsidR="00780F7F" w:rsidRPr="0084043C">
        <w:t>for each cohort.</w:t>
      </w:r>
    </w:p>
    <w:p w:rsidR="00F924DA" w:rsidRPr="003A740D" w:rsidRDefault="00C85B68" w:rsidP="00C51DF6">
      <w:pPr>
        <w:rPr>
          <w:highlight w:val="yellow"/>
        </w:rPr>
      </w:pPr>
      <w:r>
        <w:rPr>
          <w:noProof/>
        </w:rPr>
        <w:drawing>
          <wp:inline distT="0" distB="0" distL="0" distR="0" wp14:anchorId="6C34CF42">
            <wp:extent cx="5657850" cy="36518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3651885"/>
                    </a:xfrm>
                    <a:prstGeom prst="rect">
                      <a:avLst/>
                    </a:prstGeom>
                    <a:noFill/>
                  </pic:spPr>
                </pic:pic>
              </a:graphicData>
            </a:graphic>
          </wp:inline>
        </w:drawing>
      </w:r>
    </w:p>
    <w:p w:rsidR="00EC40BA" w:rsidRPr="0084043C" w:rsidRDefault="00EC40BA" w:rsidP="00C51DF6">
      <w:r w:rsidRPr="0084043C">
        <w:t>The numerators and denominators for the above proportio</w:t>
      </w:r>
      <w:r w:rsidR="00A66D79" w:rsidRPr="0084043C">
        <w:t xml:space="preserve">ns are displayed in the Systems Indicators Time Series spreadsheet at </w:t>
      </w:r>
      <w:hyperlink r:id="rId11" w:history="1">
        <w:r w:rsidR="00A66D79" w:rsidRPr="0084043C">
          <w:rPr>
            <w:rStyle w:val="Hyperlink"/>
          </w:rPr>
          <w:t>http://bit.ly/NHSAQI</w:t>
        </w:r>
      </w:hyperlink>
      <w:r w:rsidR="00A66D79" w:rsidRPr="0084043C">
        <w:t xml:space="preserve">, on the “DoD </w:t>
      </w:r>
      <w:r w:rsidR="00203093" w:rsidRPr="0084043C">
        <w:t>R</w:t>
      </w:r>
      <w:r w:rsidRPr="0084043C">
        <w:t>2” tab</w:t>
      </w:r>
      <w:r w:rsidR="00A66D79" w:rsidRPr="0084043C">
        <w:t>,</w:t>
      </w:r>
      <w:r w:rsidRPr="0084043C">
        <w:t xml:space="preserve"> </w:t>
      </w:r>
      <w:r w:rsidR="00A66D79" w:rsidRPr="0084043C">
        <w:t xml:space="preserve">and the “DoD A19” tab shows equivalent </w:t>
      </w:r>
      <w:r w:rsidRPr="0084043C">
        <w:t>figures for the 19 minute measure</w:t>
      </w:r>
      <w:r w:rsidR="00540689" w:rsidRPr="0084043C">
        <w:t xml:space="preserve"> below.</w:t>
      </w:r>
    </w:p>
    <w:p w:rsidR="00BD1B48" w:rsidRPr="006722F3" w:rsidRDefault="00BD1B48" w:rsidP="00BD1B48">
      <w:pPr>
        <w:pStyle w:val="Heading3"/>
      </w:pPr>
      <w:r w:rsidRPr="006722F3">
        <w:lastRenderedPageBreak/>
        <w:t>A3</w:t>
      </w:r>
      <w:r w:rsidRPr="006722F3">
        <w:tab/>
        <w:t>Clinical Coding Review</w:t>
      </w:r>
    </w:p>
    <w:p w:rsidR="00BD1B48" w:rsidRPr="006722F3" w:rsidRDefault="005276D2" w:rsidP="00BD1B48">
      <w:r>
        <w:t>As the next stage of the Ambulance Response Programme</w:t>
      </w:r>
      <w:r>
        <w:rPr>
          <w:rStyle w:val="FootnoteReference"/>
        </w:rPr>
        <w:footnoteReference w:id="6"/>
      </w:r>
      <w:r>
        <w:t>, a</w:t>
      </w:r>
      <w:r w:rsidR="006722F3" w:rsidRPr="006722F3">
        <w:t xml:space="preserve"> clinically led evidence based review of the current call coding categorisations has been undertaken. The aim of t</w:t>
      </w:r>
      <w:r w:rsidR="0008051C">
        <w:t xml:space="preserve">his review </w:t>
      </w:r>
      <w:r w:rsidR="00BA3204">
        <w:t xml:space="preserve">is </w:t>
      </w:r>
      <w:r w:rsidR="0008051C">
        <w:t>to re-categoris</w:t>
      </w:r>
      <w:r w:rsidR="006722F3" w:rsidRPr="006722F3">
        <w:t xml:space="preserve">e calls to focus on ensuring </w:t>
      </w:r>
      <w:r w:rsidR="000E3164">
        <w:t>patients receive</w:t>
      </w:r>
      <w:r w:rsidR="006722F3" w:rsidRPr="006722F3">
        <w:t xml:space="preserve"> the most appropriate response. The existing Category A (Red 1 and Red 2), Green 1, Green 2, Green 3 and Green 4 categories will be replaced with the following new categories:</w:t>
      </w:r>
    </w:p>
    <w:p w:rsidR="006722F3" w:rsidRDefault="006722F3" w:rsidP="00BD1B48">
      <w:r w:rsidRPr="006722F3">
        <w:t>Category Red: Life threatening. The patient needs immediate</w:t>
      </w:r>
      <w:r>
        <w:t xml:space="preserve"> treatment at the scene to preserve life where life can be saved.</w:t>
      </w:r>
    </w:p>
    <w:p w:rsidR="006722F3" w:rsidRDefault="006722F3" w:rsidP="00BD1B48">
      <w:r>
        <w:t>Category Amber: Emergency. The patient needs an emergency response. This group is further divided into:</w:t>
      </w:r>
    </w:p>
    <w:p w:rsidR="006722F3" w:rsidRDefault="006722F3" w:rsidP="006722F3">
      <w:pPr>
        <w:ind w:left="709" w:hanging="709"/>
      </w:pPr>
      <w:r>
        <w:tab/>
        <w:t>Amber R (Response): Patient requires a face to face assessment at scene, poss</w:t>
      </w:r>
      <w:r w:rsidR="0025533D">
        <w:t>ible treatment at scene and a vehicle that can convey to hospital.</w:t>
      </w:r>
    </w:p>
    <w:p w:rsidR="0025533D" w:rsidRDefault="0025533D" w:rsidP="0025533D">
      <w:pPr>
        <w:ind w:left="709" w:hanging="709"/>
      </w:pPr>
      <w:r>
        <w:tab/>
        <w:t>Amber F (Face to Face): Patient treatment (at scene) is a priority; the patient may or may not need subsequent transportation to hospital, depending on the circumstances.</w:t>
      </w:r>
    </w:p>
    <w:p w:rsidR="0025533D" w:rsidRDefault="0025533D" w:rsidP="0025533D">
      <w:pPr>
        <w:ind w:left="709" w:hanging="709"/>
      </w:pPr>
      <w:r>
        <w:tab/>
        <w:t xml:space="preserve">Amber T (Transport): Patient transportation is a priority because they require the services of a hospital, often a specialist facility. </w:t>
      </w:r>
    </w:p>
    <w:p w:rsidR="0025533D" w:rsidRDefault="0025533D" w:rsidP="0025533D">
      <w:r>
        <w:t>Category Green: Urgent. The patient needs an urgent response. This group is further divided into:</w:t>
      </w:r>
    </w:p>
    <w:p w:rsidR="0025533D" w:rsidRDefault="00346392" w:rsidP="0025533D">
      <w:pPr>
        <w:ind w:left="709" w:hanging="709"/>
      </w:pPr>
      <w:r>
        <w:tab/>
        <w:t>Green F (Face to Face)</w:t>
      </w:r>
      <w:r w:rsidR="0025533D">
        <w:t>: Patient requires assessment and management at scene by an ambulance clinician, which may include transport to hospital or another location.</w:t>
      </w:r>
    </w:p>
    <w:p w:rsidR="0025533D" w:rsidRDefault="0025533D" w:rsidP="0025533D">
      <w:pPr>
        <w:ind w:left="709" w:hanging="709"/>
      </w:pPr>
      <w:r>
        <w:tab/>
        <w:t>Green T (Transport): Transport only.</w:t>
      </w:r>
    </w:p>
    <w:p w:rsidR="0025533D" w:rsidRDefault="0025533D" w:rsidP="0025533D">
      <w:pPr>
        <w:ind w:left="709" w:hanging="709"/>
      </w:pPr>
      <w:r>
        <w:tab/>
        <w:t>Green H (Hear and Treat): Patient suitable for “hear and treat” (advice over telephone, including referral to other services).</w:t>
      </w:r>
    </w:p>
    <w:p w:rsidR="000E3164" w:rsidRPr="00FD5E5F" w:rsidRDefault="000E3164" w:rsidP="000E3164">
      <w:r>
        <w:t xml:space="preserve">These new categorisations are initially being piloted in 2 Ambulance Trusts, </w:t>
      </w:r>
      <w:r w:rsidR="00BA3204">
        <w:t>and were</w:t>
      </w:r>
      <w:r>
        <w:t xml:space="preserve"> introduced</w:t>
      </w:r>
      <w:r w:rsidRPr="00FD5E5F">
        <w:t xml:space="preserve"> in South Western Ambulance Service and Yorkshire Ambulance Service on the 19</w:t>
      </w:r>
      <w:r w:rsidRPr="00FD5E5F">
        <w:rPr>
          <w:vertAlign w:val="superscript"/>
        </w:rPr>
        <w:t>th</w:t>
      </w:r>
      <w:r w:rsidRPr="00FD5E5F">
        <w:t xml:space="preserve"> April 2016 and the 21</w:t>
      </w:r>
      <w:r w:rsidRPr="00FD5E5F">
        <w:rPr>
          <w:vertAlign w:val="superscript"/>
        </w:rPr>
        <w:t>st</w:t>
      </w:r>
      <w:r w:rsidRPr="00FD5E5F">
        <w:t xml:space="preserve"> April 2016 respectively. </w:t>
      </w:r>
      <w:r>
        <w:t>With this int</w:t>
      </w:r>
      <w:r w:rsidR="00BA3204">
        <w:t>roduction, data for the Red1,</w:t>
      </w:r>
      <w:r>
        <w:t xml:space="preserve"> Red 2</w:t>
      </w:r>
      <w:r w:rsidR="00BA3204">
        <w:t xml:space="preserve"> and Category A</w:t>
      </w:r>
      <w:r>
        <w:t xml:space="preserve"> measures will no longer </w:t>
      </w:r>
      <w:proofErr w:type="gramStart"/>
      <w:r>
        <w:t>be</w:t>
      </w:r>
      <w:proofErr w:type="gramEnd"/>
      <w:r>
        <w:t xml:space="preserve"> available for the Trusts involved from these dates. Partial data will</w:t>
      </w:r>
      <w:r w:rsidR="00BA3204">
        <w:t xml:space="preserve"> therefore</w:t>
      </w:r>
      <w:r>
        <w:t xml:space="preserve"> be supplied covering April 2016.  </w:t>
      </w:r>
    </w:p>
    <w:p w:rsidR="0025533D" w:rsidRDefault="00BA3204" w:rsidP="005C58DE">
      <w:r>
        <w:t xml:space="preserve">It should be noted that </w:t>
      </w:r>
      <w:r w:rsidR="000E3164">
        <w:t xml:space="preserve">the </w:t>
      </w:r>
      <w:r w:rsidR="004D49FF">
        <w:t>new</w:t>
      </w:r>
      <w:r>
        <w:t xml:space="preserve"> call</w:t>
      </w:r>
      <w:r w:rsidR="004D49FF">
        <w:t xml:space="preserve"> catego</w:t>
      </w:r>
      <w:r w:rsidR="005C58DE">
        <w:t>risation</w:t>
      </w:r>
      <w:r>
        <w:t>s</w:t>
      </w:r>
      <w:r w:rsidR="005C58DE">
        <w:t xml:space="preserve"> are not comparable with previous categorisatio</w:t>
      </w:r>
      <w:r w:rsidR="00246AFD">
        <w:t>ns</w:t>
      </w:r>
      <w:r w:rsidR="000E3164">
        <w:t xml:space="preserve"> for the following reasons. T</w:t>
      </w:r>
      <w:r w:rsidR="005C58DE">
        <w:t xml:space="preserve">he review has assessed all available disposition codes and for each re-assigned the code to a </w:t>
      </w:r>
      <w:r w:rsidR="00FD5E5F">
        <w:t>new group i.e. the new Red category</w:t>
      </w:r>
      <w:r w:rsidR="005C58DE">
        <w:t xml:space="preserve"> does not contain the same code set as the old Red </w:t>
      </w:r>
      <w:r w:rsidR="00FD5E5F">
        <w:t xml:space="preserve">1 </w:t>
      </w:r>
      <w:r>
        <w:t xml:space="preserve">or Red 2 </w:t>
      </w:r>
      <w:r w:rsidR="00FD5E5F">
        <w:t>category</w:t>
      </w:r>
      <w:r w:rsidR="00246AFD">
        <w:t xml:space="preserve">. In addition </w:t>
      </w:r>
      <w:r>
        <w:t>detailed</w:t>
      </w:r>
      <w:r w:rsidR="00246AFD">
        <w:t xml:space="preserve"> changes have been made to the “clock stop” criteria</w:t>
      </w:r>
      <w:r w:rsidR="000E3164">
        <w:t>, where appropriate</w:t>
      </w:r>
      <w:r w:rsidR="0008051C">
        <w:t>.</w:t>
      </w:r>
    </w:p>
    <w:p w:rsidR="000E3164" w:rsidRPr="006722F3" w:rsidRDefault="000E3164" w:rsidP="005C58DE"/>
    <w:p w:rsidR="00EA23A9" w:rsidRPr="00BD1B48" w:rsidRDefault="00EA23A9" w:rsidP="00EA23A9">
      <w:pPr>
        <w:pStyle w:val="Heading3"/>
      </w:pPr>
      <w:r w:rsidRPr="00BD1B48">
        <w:lastRenderedPageBreak/>
        <w:t>A</w:t>
      </w:r>
      <w:r w:rsidR="00BD1B48" w:rsidRPr="00BD1B48">
        <w:t>4</w:t>
      </w:r>
      <w:r w:rsidRPr="00BD1B48">
        <w:tab/>
      </w:r>
      <w:r w:rsidR="00C94BBC" w:rsidRPr="00BD1B48">
        <w:t xml:space="preserve">Category </w:t>
      </w:r>
      <w:proofErr w:type="gramStart"/>
      <w:r w:rsidR="00C94BBC" w:rsidRPr="00BD1B48">
        <w:t>A</w:t>
      </w:r>
      <w:proofErr w:type="gramEnd"/>
      <w:r w:rsidR="00C94BBC" w:rsidRPr="00BD1B48">
        <w:t xml:space="preserve"> </w:t>
      </w:r>
      <w:r w:rsidRPr="00BD1B48">
        <w:t>Ambulance response in 19 minutes</w:t>
      </w:r>
      <w:r w:rsidR="000A00D6" w:rsidRPr="00BD1B48">
        <w:t xml:space="preserve"> (Figure 3)</w:t>
      </w:r>
    </w:p>
    <w:p w:rsidR="00EA23A9" w:rsidRPr="0084043C" w:rsidRDefault="00EA23A9" w:rsidP="00EA23A9">
      <w:r w:rsidRPr="0084043C">
        <w:t xml:space="preserve">The other </w:t>
      </w:r>
      <w:r w:rsidR="00DD604F" w:rsidRPr="0084043C">
        <w:t xml:space="preserve">ambulance </w:t>
      </w:r>
      <w:r w:rsidRPr="0084043C">
        <w:t xml:space="preserve">standard in the Handbook to the NHS Constitution is for </w:t>
      </w:r>
      <w:r w:rsidR="00F321DD" w:rsidRPr="0084043C">
        <w:t>t</w:t>
      </w:r>
      <w:r w:rsidRPr="0084043C">
        <w:t>rusts to send, within 19 minutes, a fully-equipped ambulance vehicle, able to transport the patient in a clinically safe manner, to 95% of Category A calls.</w:t>
      </w:r>
      <w:r w:rsidR="00F321DD" w:rsidRPr="0084043C">
        <w:t xml:space="preserve"> </w:t>
      </w:r>
      <w:r w:rsidR="00C84BD0" w:rsidRPr="0084043C">
        <w:t xml:space="preserve">This measure is </w:t>
      </w:r>
      <w:r w:rsidR="00A66D79" w:rsidRPr="0084043C">
        <w:t xml:space="preserve">also </w:t>
      </w:r>
      <w:r w:rsidR="00C84BD0" w:rsidRPr="0084043C">
        <w:t>affected by DoD. For England as a whole</w:t>
      </w:r>
      <w:r w:rsidR="00A66D79" w:rsidRPr="0084043C">
        <w:t>,</w:t>
      </w:r>
      <w:r w:rsidR="00C84BD0" w:rsidRPr="0084043C">
        <w:t xml:space="preserve"> t</w:t>
      </w:r>
      <w:r w:rsidR="00F321DD" w:rsidRPr="0084043C">
        <w:t xml:space="preserve">his </w:t>
      </w:r>
      <w:r w:rsidR="00AD0D55" w:rsidRPr="0084043C">
        <w:t>measure</w:t>
      </w:r>
      <w:r w:rsidR="00C84BD0" w:rsidRPr="0084043C">
        <w:t xml:space="preserve"> </w:t>
      </w:r>
      <w:r w:rsidR="0084043C" w:rsidRPr="0084043C">
        <w:t>in</w:t>
      </w:r>
      <w:r w:rsidR="00C84BD0" w:rsidRPr="0084043C">
        <w:t>creased to</w:t>
      </w:r>
      <w:r w:rsidR="00FB6A17" w:rsidRPr="0084043C">
        <w:t xml:space="preserve"> </w:t>
      </w:r>
      <w:r w:rsidR="0084043C" w:rsidRPr="0084043C">
        <w:t>92.2</w:t>
      </w:r>
      <w:r w:rsidR="00BF1103" w:rsidRPr="0084043C">
        <w:t>%</w:t>
      </w:r>
      <w:r w:rsidR="00C43E6D">
        <w:rPr>
          <w:rStyle w:val="FootnoteReference"/>
        </w:rPr>
        <w:footnoteReference w:id="7"/>
      </w:r>
      <w:r w:rsidR="00BF1103" w:rsidRPr="0084043C">
        <w:t xml:space="preserve"> in </w:t>
      </w:r>
      <w:r w:rsidR="0084043C" w:rsidRPr="0084043C">
        <w:t>April</w:t>
      </w:r>
      <w:r w:rsidR="00820B72" w:rsidRPr="0084043C">
        <w:t xml:space="preserve"> </w:t>
      </w:r>
      <w:r w:rsidR="00EC629A" w:rsidRPr="0084043C">
        <w:t>2016</w:t>
      </w:r>
      <w:r w:rsidR="002B0A28" w:rsidRPr="0084043C">
        <w:t xml:space="preserve"> from</w:t>
      </w:r>
      <w:r w:rsidR="00820B72" w:rsidRPr="0084043C">
        <w:t xml:space="preserve"> </w:t>
      </w:r>
      <w:r w:rsidR="0084043C" w:rsidRPr="0084043C">
        <w:t>88.0</w:t>
      </w:r>
      <w:r w:rsidR="00AD0D55" w:rsidRPr="0084043C">
        <w:t xml:space="preserve">% in </w:t>
      </w:r>
      <w:r w:rsidR="0084043C" w:rsidRPr="0084043C">
        <w:t>March</w:t>
      </w:r>
      <w:r w:rsidR="007744F8" w:rsidRPr="0084043C">
        <w:t xml:space="preserve"> 2016</w:t>
      </w:r>
      <w:r w:rsidR="004041D0" w:rsidRPr="0084043C">
        <w:t xml:space="preserve">. </w:t>
      </w:r>
      <w:r w:rsidR="002B0A28" w:rsidRPr="0084043C">
        <w:rPr>
          <w:noProof/>
        </w:rPr>
        <w:t xml:space="preserve">The performance for providers </w:t>
      </w:r>
      <w:r w:rsidR="000002F1" w:rsidRPr="0084043C">
        <w:rPr>
          <w:noProof/>
        </w:rPr>
        <w:t>(North West</w:t>
      </w:r>
      <w:r w:rsidR="00632BC8" w:rsidRPr="0084043C">
        <w:rPr>
          <w:noProof/>
        </w:rPr>
        <w:t>, E</w:t>
      </w:r>
      <w:r w:rsidR="000002F1" w:rsidRPr="0084043C">
        <w:rPr>
          <w:noProof/>
        </w:rPr>
        <w:t>ast Midlands</w:t>
      </w:r>
      <w:r w:rsidR="00632BC8" w:rsidRPr="0084043C">
        <w:rPr>
          <w:noProof/>
        </w:rPr>
        <w:t>, East</w:t>
      </w:r>
      <w:r w:rsidR="000002F1" w:rsidRPr="0084043C">
        <w:rPr>
          <w:noProof/>
        </w:rPr>
        <w:t>ern</w:t>
      </w:r>
      <w:r w:rsidR="00632BC8" w:rsidRPr="0084043C">
        <w:rPr>
          <w:noProof/>
        </w:rPr>
        <w:t>, S</w:t>
      </w:r>
      <w:r w:rsidR="000002F1" w:rsidRPr="0084043C">
        <w:rPr>
          <w:noProof/>
        </w:rPr>
        <w:t xml:space="preserve">outh </w:t>
      </w:r>
      <w:r w:rsidR="00632BC8" w:rsidRPr="0084043C">
        <w:rPr>
          <w:noProof/>
        </w:rPr>
        <w:t>E</w:t>
      </w:r>
      <w:r w:rsidR="000002F1" w:rsidRPr="0084043C">
        <w:rPr>
          <w:noProof/>
        </w:rPr>
        <w:t xml:space="preserve">ast </w:t>
      </w:r>
      <w:r w:rsidR="00632BC8" w:rsidRPr="0084043C">
        <w:rPr>
          <w:noProof/>
        </w:rPr>
        <w:t>C</w:t>
      </w:r>
      <w:r w:rsidR="000002F1" w:rsidRPr="0084043C">
        <w:rPr>
          <w:noProof/>
        </w:rPr>
        <w:t>oast</w:t>
      </w:r>
      <w:r w:rsidR="00632BC8" w:rsidRPr="0084043C">
        <w:rPr>
          <w:noProof/>
        </w:rPr>
        <w:t xml:space="preserve"> and I</w:t>
      </w:r>
      <w:r w:rsidR="000002F1" w:rsidRPr="0084043C">
        <w:rPr>
          <w:noProof/>
        </w:rPr>
        <w:t>sle of Wight</w:t>
      </w:r>
      <w:r w:rsidR="00632BC8" w:rsidRPr="0084043C">
        <w:rPr>
          <w:noProof/>
        </w:rPr>
        <w:t xml:space="preserve">) </w:t>
      </w:r>
      <w:r w:rsidR="002B0A28" w:rsidRPr="0084043C">
        <w:rPr>
          <w:noProof/>
        </w:rPr>
        <w:t>no</w:t>
      </w:r>
      <w:r w:rsidR="007E28DC" w:rsidRPr="0084043C">
        <w:rPr>
          <w:noProof/>
        </w:rPr>
        <w:t>t undertaking DoD</w:t>
      </w:r>
      <w:r w:rsidR="00BF1103" w:rsidRPr="0084043C">
        <w:rPr>
          <w:noProof/>
        </w:rPr>
        <w:t xml:space="preserve"> was </w:t>
      </w:r>
      <w:r w:rsidR="0084043C" w:rsidRPr="0084043C">
        <w:rPr>
          <w:noProof/>
        </w:rPr>
        <w:t>89.8</w:t>
      </w:r>
      <w:r w:rsidR="002B0A28" w:rsidRPr="0084043C">
        <w:rPr>
          <w:noProof/>
        </w:rPr>
        <w:t>%</w:t>
      </w:r>
      <w:r w:rsidR="00F321DD" w:rsidRPr="0084043C">
        <w:rPr>
          <w:noProof/>
        </w:rPr>
        <w:t>.</w:t>
      </w:r>
    </w:p>
    <w:p w:rsidR="00F321DD" w:rsidRPr="003A740D" w:rsidRDefault="0084043C" w:rsidP="00F321DD">
      <w:pPr>
        <w:rPr>
          <w:highlight w:val="yellow"/>
        </w:rPr>
      </w:pPr>
      <w:r>
        <w:rPr>
          <w:noProof/>
        </w:rPr>
        <w:drawing>
          <wp:inline distT="0" distB="0" distL="0" distR="0" wp14:anchorId="26DFB43F">
            <wp:extent cx="5706110" cy="3651885"/>
            <wp:effectExtent l="0" t="0" r="889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110" cy="3651885"/>
                    </a:xfrm>
                    <a:prstGeom prst="rect">
                      <a:avLst/>
                    </a:prstGeom>
                    <a:noFill/>
                  </pic:spPr>
                </pic:pic>
              </a:graphicData>
            </a:graphic>
          </wp:inline>
        </w:drawing>
      </w:r>
    </w:p>
    <w:p w:rsidR="00774123" w:rsidRPr="0084043C" w:rsidRDefault="00F37244" w:rsidP="00774123">
      <w:r w:rsidRPr="0084043C">
        <w:t xml:space="preserve">DoD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rsidRPr="0084043C">
        <w:t xml:space="preserve">any </w:t>
      </w:r>
      <w:r w:rsidRPr="0084043C">
        <w:t>such effects will be difficult to detect within the habitual variation of the many Ambulance Quality Indicators.</w:t>
      </w:r>
      <w:r w:rsidR="00AB16C3" w:rsidRPr="0084043C">
        <w:t xml:space="preserve"> </w:t>
      </w:r>
    </w:p>
    <w:p w:rsidR="003A0D0C" w:rsidRPr="00BD1B48" w:rsidRDefault="003A0D0C" w:rsidP="003A0D0C">
      <w:pPr>
        <w:pStyle w:val="Heading3"/>
      </w:pPr>
      <w:r w:rsidRPr="00BD1B48">
        <w:t>A</w:t>
      </w:r>
      <w:r w:rsidR="00BD1B48" w:rsidRPr="00BD1B48">
        <w:t>5</w:t>
      </w:r>
      <w:r w:rsidRPr="00BD1B48">
        <w:tab/>
        <w:t xml:space="preserve">Systems Indicators: Ambulance volumes (Figure </w:t>
      </w:r>
      <w:r w:rsidR="00AC1EF7" w:rsidRPr="00BD1B48">
        <w:t>4</w:t>
      </w:r>
      <w:r w:rsidRPr="00BD1B48">
        <w:t>)</w:t>
      </w:r>
    </w:p>
    <w:p w:rsidR="00B21828" w:rsidRPr="00C120C1" w:rsidRDefault="00191AB9" w:rsidP="00191AB9">
      <w:r w:rsidRPr="00C120C1">
        <w:t>The number</w:t>
      </w:r>
      <w:r w:rsidRPr="00C120C1">
        <w:rPr>
          <w:rStyle w:val="FootnoteReference"/>
        </w:rPr>
        <w:footnoteReference w:id="8"/>
      </w:r>
      <w:r w:rsidRPr="00C120C1">
        <w:t xml:space="preserve"> of emergency telephone calls presented to switchboard in </w:t>
      </w:r>
      <w:r w:rsidR="0084043C" w:rsidRPr="00C120C1">
        <w:t>April</w:t>
      </w:r>
      <w:r w:rsidR="00820B72" w:rsidRPr="00C120C1">
        <w:t xml:space="preserve"> </w:t>
      </w:r>
      <w:r w:rsidR="000002F1" w:rsidRPr="00C120C1">
        <w:t>2016</w:t>
      </w:r>
      <w:r w:rsidR="00781110" w:rsidRPr="00C120C1">
        <w:t xml:space="preserve"> </w:t>
      </w:r>
      <w:r w:rsidRPr="00C120C1">
        <w:t>was</w:t>
      </w:r>
      <w:r w:rsidR="004855AA" w:rsidRPr="00C120C1">
        <w:t xml:space="preserve"> </w:t>
      </w:r>
      <w:r w:rsidR="0084043C" w:rsidRPr="00C120C1">
        <w:t>745,032</w:t>
      </w:r>
      <w:r w:rsidR="009141A4" w:rsidRPr="00C120C1">
        <w:t xml:space="preserve">, </w:t>
      </w:r>
      <w:r w:rsidR="00177CDB" w:rsidRPr="00C120C1">
        <w:t>an average of</w:t>
      </w:r>
      <w:r w:rsidRPr="00C120C1">
        <w:t xml:space="preserve"> </w:t>
      </w:r>
      <w:r w:rsidR="009B3C39" w:rsidRPr="00C120C1">
        <w:t>2</w:t>
      </w:r>
      <w:r w:rsidR="0084043C" w:rsidRPr="00C120C1">
        <w:t>4</w:t>
      </w:r>
      <w:r w:rsidR="00C16F70" w:rsidRPr="00C120C1">
        <w:t>.</w:t>
      </w:r>
      <w:r w:rsidR="00820B72" w:rsidRPr="00C120C1">
        <w:t>8</w:t>
      </w:r>
      <w:r w:rsidR="00AB0008" w:rsidRPr="00C120C1">
        <w:t xml:space="preserve"> thousand</w:t>
      </w:r>
      <w:r w:rsidR="00C2676B" w:rsidRPr="00C120C1">
        <w:t xml:space="preserve"> </w:t>
      </w:r>
      <w:r w:rsidRPr="00C120C1">
        <w:t>per day</w:t>
      </w:r>
      <w:r w:rsidR="00AB70A4" w:rsidRPr="00C120C1">
        <w:t xml:space="preserve">. </w:t>
      </w:r>
      <w:r w:rsidR="007F4016" w:rsidRPr="00C120C1">
        <w:t>Figure</w:t>
      </w:r>
      <w:r w:rsidR="00D643D9" w:rsidRPr="00C120C1">
        <w:t xml:space="preserve"> 4 shows that there is a fair amount variation in call volume.</w:t>
      </w:r>
      <w:r w:rsidR="0077674C" w:rsidRPr="00C120C1">
        <w:t xml:space="preserve"> </w:t>
      </w:r>
    </w:p>
    <w:p w:rsidR="003F3CB1" w:rsidRPr="00C04F69" w:rsidRDefault="00AD7C90" w:rsidP="00AD7C90">
      <w:r w:rsidRPr="00C04F69">
        <w:lastRenderedPageBreak/>
        <w:t xml:space="preserve">There were </w:t>
      </w:r>
      <w:r w:rsidR="00C120C1" w:rsidRPr="00C04F69">
        <w:t>547,685</w:t>
      </w:r>
      <w:r w:rsidR="00820B72" w:rsidRPr="00C04F69">
        <w:t xml:space="preserve"> </w:t>
      </w:r>
      <w:r w:rsidRPr="00C04F69">
        <w:t>emergency calls that receive</w:t>
      </w:r>
      <w:r w:rsidR="00037F53" w:rsidRPr="00C04F69">
        <w:t>d</w:t>
      </w:r>
      <w:r w:rsidRPr="00C04F69">
        <w:t xml:space="preserve"> a face-to-face response from the ambulance service in </w:t>
      </w:r>
      <w:r w:rsidR="00C120C1" w:rsidRPr="00C04F69">
        <w:t>April</w:t>
      </w:r>
      <w:r w:rsidR="00BF4628" w:rsidRPr="00C04F69">
        <w:t xml:space="preserve"> </w:t>
      </w:r>
      <w:r w:rsidRPr="00C04F69">
        <w:t>201</w:t>
      </w:r>
      <w:r w:rsidR="00F72AB0" w:rsidRPr="00C04F69">
        <w:t xml:space="preserve">6, </w:t>
      </w:r>
      <w:r w:rsidR="002C28AD" w:rsidRPr="00C04F69">
        <w:t xml:space="preserve">an average of </w:t>
      </w:r>
      <w:r w:rsidR="00C04F69" w:rsidRPr="00C04F69">
        <w:t>18.3</w:t>
      </w:r>
      <w:r w:rsidR="00AB0008" w:rsidRPr="00C04F69">
        <w:t xml:space="preserve"> thousand</w:t>
      </w:r>
      <w:r w:rsidR="002C28AD" w:rsidRPr="00C04F69">
        <w:t xml:space="preserve"> </w:t>
      </w:r>
      <w:r w:rsidR="00D02FAE" w:rsidRPr="00C04F69">
        <w:t>per day.</w:t>
      </w:r>
      <w:r w:rsidR="00820B72" w:rsidRPr="00C04F69">
        <w:t xml:space="preserve"> </w:t>
      </w:r>
    </w:p>
    <w:p w:rsidR="00191AB9" w:rsidRPr="0083552B" w:rsidRDefault="004849F5" w:rsidP="00806A50">
      <w:pPr>
        <w:widowControl w:val="0"/>
      </w:pPr>
      <w:r w:rsidRPr="0083552B">
        <w:t>T</w:t>
      </w:r>
      <w:r w:rsidR="00A32B3E" w:rsidRPr="0083552B">
        <w:t xml:space="preserve">here were </w:t>
      </w:r>
      <w:r w:rsidR="00C04F69" w:rsidRPr="0083552B">
        <w:t>391,469</w:t>
      </w:r>
      <w:r w:rsidR="00820B72" w:rsidRPr="0083552B">
        <w:t xml:space="preserve"> </w:t>
      </w:r>
      <w:r w:rsidR="00A32B3E" w:rsidRPr="0083552B">
        <w:t xml:space="preserve">incidents </w:t>
      </w:r>
      <w:r w:rsidR="00F80743" w:rsidRPr="0083552B">
        <w:t>with</w:t>
      </w:r>
      <w:r w:rsidR="001E30CD" w:rsidRPr="0083552B">
        <w:t xml:space="preserve"> a</w:t>
      </w:r>
      <w:r w:rsidR="00A32B3E" w:rsidRPr="0083552B">
        <w:t xml:space="preserve"> </w:t>
      </w:r>
      <w:r w:rsidR="00191AB9" w:rsidRPr="0083552B">
        <w:t xml:space="preserve">patient </w:t>
      </w:r>
      <w:r w:rsidR="001E30CD" w:rsidRPr="0083552B">
        <w:t xml:space="preserve">transported </w:t>
      </w:r>
      <w:r w:rsidR="00191AB9" w:rsidRPr="0083552B">
        <w:t>to Type 1 or Type 2 A&amp;E</w:t>
      </w:r>
      <w:r w:rsidR="00191AB9" w:rsidRPr="0083552B">
        <w:rPr>
          <w:rStyle w:val="FootnoteReference"/>
        </w:rPr>
        <w:footnoteReference w:id="9"/>
      </w:r>
      <w:r w:rsidR="00191AB9" w:rsidRPr="0083552B">
        <w:t xml:space="preserve"> in </w:t>
      </w:r>
      <w:r w:rsidR="00C04F69" w:rsidRPr="0083552B">
        <w:t>April</w:t>
      </w:r>
      <w:r w:rsidR="00C137F2" w:rsidRPr="0083552B">
        <w:t xml:space="preserve"> </w:t>
      </w:r>
      <w:r w:rsidR="00D02FAE" w:rsidRPr="0083552B">
        <w:t>2016</w:t>
      </w:r>
      <w:r w:rsidR="00D52EE6" w:rsidRPr="0083552B">
        <w:t xml:space="preserve">, an </w:t>
      </w:r>
      <w:r w:rsidR="00037F53" w:rsidRPr="0083552B">
        <w:t xml:space="preserve">average </w:t>
      </w:r>
      <w:r w:rsidR="00F23C98" w:rsidRPr="0083552B">
        <w:t xml:space="preserve">of </w:t>
      </w:r>
      <w:r w:rsidR="00C04F69" w:rsidRPr="0083552B">
        <w:t>13.0</w:t>
      </w:r>
      <w:r w:rsidR="00AB0008" w:rsidRPr="0083552B">
        <w:t xml:space="preserve"> thousand</w:t>
      </w:r>
      <w:r w:rsidR="00C2676B" w:rsidRPr="0083552B">
        <w:t xml:space="preserve"> </w:t>
      </w:r>
      <w:r w:rsidR="00191AB9" w:rsidRPr="0083552B">
        <w:t>per day</w:t>
      </w:r>
      <w:r w:rsidR="004C0349" w:rsidRPr="0083552B">
        <w:t>.</w:t>
      </w:r>
    </w:p>
    <w:p w:rsidR="00F51851" w:rsidRPr="008F1FAB" w:rsidRDefault="003C24D1" w:rsidP="003425A1">
      <w:pPr>
        <w:rPr>
          <w:noProof/>
        </w:rPr>
      </w:pPr>
      <w:r w:rsidRPr="00500FB1">
        <w:t xml:space="preserve">There were </w:t>
      </w:r>
      <w:r w:rsidR="0083552B" w:rsidRPr="00500FB1">
        <w:t>261,708</w:t>
      </w:r>
      <w:r w:rsidR="00C43E6D">
        <w:rPr>
          <w:rStyle w:val="FootnoteReference"/>
        </w:rPr>
        <w:footnoteReference w:id="10"/>
      </w:r>
      <w:r w:rsidR="00820B72" w:rsidRPr="00500FB1">
        <w:t xml:space="preserve"> </w:t>
      </w:r>
      <w:r w:rsidRPr="00500FB1">
        <w:t xml:space="preserve">Category A </w:t>
      </w:r>
      <w:r w:rsidR="00191AB9" w:rsidRPr="00500FB1">
        <w:t>calls that resulted in a</w:t>
      </w:r>
      <w:r w:rsidRPr="00500FB1">
        <w:t xml:space="preserve"> full</w:t>
      </w:r>
      <w:r w:rsidR="009207F3" w:rsidRPr="00500FB1">
        <w:t>y</w:t>
      </w:r>
      <w:r w:rsidRPr="00500FB1">
        <w:t>-equipped</w:t>
      </w:r>
      <w:r w:rsidR="00191AB9" w:rsidRPr="00500FB1">
        <w:t xml:space="preserve"> ambulance </w:t>
      </w:r>
      <w:r w:rsidRPr="00500FB1">
        <w:t xml:space="preserve">vehicle </w:t>
      </w:r>
      <w:r w:rsidR="00191AB9" w:rsidRPr="00500FB1">
        <w:t xml:space="preserve">arriving at the scene </w:t>
      </w:r>
      <w:r w:rsidRPr="00500FB1">
        <w:t xml:space="preserve">of the incident in </w:t>
      </w:r>
      <w:r w:rsidR="0083552B" w:rsidRPr="00500FB1">
        <w:t>April</w:t>
      </w:r>
      <w:r w:rsidR="00793175" w:rsidRPr="00500FB1">
        <w:t xml:space="preserve"> </w:t>
      </w:r>
      <w:r w:rsidR="00D02FAE" w:rsidRPr="00500FB1">
        <w:t>2016</w:t>
      </w:r>
      <w:r w:rsidR="002941E6" w:rsidRPr="00500FB1">
        <w:t>,</w:t>
      </w:r>
      <w:r w:rsidR="00820B72" w:rsidRPr="00500FB1">
        <w:t xml:space="preserve"> this equates to </w:t>
      </w:r>
      <w:r w:rsidR="008F1FAB" w:rsidRPr="00500FB1">
        <w:t>9</w:t>
      </w:r>
      <w:r w:rsidR="00820B72" w:rsidRPr="00500FB1">
        <w:t>.3</w:t>
      </w:r>
      <w:r w:rsidR="00AB0008" w:rsidRPr="00500FB1">
        <w:t xml:space="preserve"> thousand</w:t>
      </w:r>
      <w:r w:rsidR="00474314" w:rsidRPr="00500FB1">
        <w:t xml:space="preserve"> </w:t>
      </w:r>
      <w:r w:rsidR="00191AB9" w:rsidRPr="00500FB1">
        <w:t>per day</w:t>
      </w:r>
      <w:r w:rsidR="00905F29" w:rsidRPr="00500FB1">
        <w:t xml:space="preserve"> (based on </w:t>
      </w:r>
      <w:r w:rsidR="008F1FAB" w:rsidRPr="00500FB1">
        <w:t xml:space="preserve">data </w:t>
      </w:r>
      <w:r w:rsidR="00905F29" w:rsidRPr="00500FB1">
        <w:t>available</w:t>
      </w:r>
      <w:r w:rsidR="008F1FAB" w:rsidRPr="00500FB1">
        <w:t>)</w:t>
      </w:r>
      <w:r w:rsidR="007F4016" w:rsidRPr="00500FB1">
        <w:t xml:space="preserve">. </w:t>
      </w:r>
      <w:r w:rsidR="00727CC5" w:rsidRPr="00500FB1">
        <w:t>Fi</w:t>
      </w:r>
      <w:r w:rsidR="00D52EE6" w:rsidRPr="00500FB1">
        <w:t xml:space="preserve">gure </w:t>
      </w:r>
      <w:r w:rsidR="00AC1EF7" w:rsidRPr="00500FB1">
        <w:t>4</w:t>
      </w:r>
      <w:r w:rsidR="00D52EE6" w:rsidRPr="00500FB1">
        <w:t xml:space="preserve"> shows </w:t>
      </w:r>
      <w:r w:rsidR="007F4016" w:rsidRPr="00500FB1">
        <w:t xml:space="preserve">how this has </w:t>
      </w:r>
      <w:r w:rsidR="00CE6F95" w:rsidRPr="00500FB1">
        <w:t xml:space="preserve">increased steadily </w:t>
      </w:r>
      <w:r w:rsidR="007F4016" w:rsidRPr="00500FB1">
        <w:t>between 2011 and</w:t>
      </w:r>
      <w:r w:rsidR="00F5150D" w:rsidRPr="00500FB1">
        <w:t xml:space="preserve"> 201</w:t>
      </w:r>
      <w:r w:rsidR="00500FB1" w:rsidRPr="00500FB1">
        <w:t>6.</w:t>
      </w:r>
    </w:p>
    <w:p w:rsidR="00266D58" w:rsidRDefault="0084043C" w:rsidP="00F51851">
      <w:pPr>
        <w:jc w:val="center"/>
        <w:rPr>
          <w:highlight w:val="yellow"/>
        </w:rPr>
      </w:pPr>
      <w:r>
        <w:rPr>
          <w:noProof/>
        </w:rPr>
        <w:drawing>
          <wp:inline distT="0" distB="0" distL="0" distR="0" wp14:anchorId="2D187E65">
            <wp:extent cx="5553710" cy="560260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5602605"/>
                    </a:xfrm>
                    <a:prstGeom prst="rect">
                      <a:avLst/>
                    </a:prstGeom>
                    <a:noFill/>
                  </pic:spPr>
                </pic:pic>
              </a:graphicData>
            </a:graphic>
          </wp:inline>
        </w:drawing>
      </w:r>
    </w:p>
    <w:p w:rsidR="0084043C" w:rsidRDefault="0084043C" w:rsidP="00F51851">
      <w:pPr>
        <w:jc w:val="center"/>
        <w:rPr>
          <w:highlight w:val="yellow"/>
        </w:rPr>
      </w:pPr>
    </w:p>
    <w:p w:rsidR="003A0D0C" w:rsidRPr="00BD1B48" w:rsidRDefault="003A0D0C" w:rsidP="003A0D0C">
      <w:pPr>
        <w:pStyle w:val="Heading3"/>
      </w:pPr>
      <w:r w:rsidRPr="00BD1B48">
        <w:t>A</w:t>
      </w:r>
      <w:r w:rsidR="00BD1B48" w:rsidRPr="00BD1B48">
        <w:t>6</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E77EB6">
        <w:t>April</w:t>
      </w:r>
      <w:r w:rsidR="0013777A" w:rsidRPr="00BD1B48">
        <w:t xml:space="preserve"> </w:t>
      </w:r>
      <w:r w:rsidR="00911BEB" w:rsidRPr="00BD1B48">
        <w:t>2016</w:t>
      </w:r>
      <w:r w:rsidRPr="00BD1B48">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AA7AB8" w:rsidTr="00346392">
        <w:trPr>
          <w:cantSplit/>
          <w:trHeight w:val="340"/>
          <w:tblHeader/>
        </w:trPr>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Indicator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England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Lowest Trust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Highest Trust</w:t>
            </w:r>
          </w:p>
        </w:tc>
      </w:tr>
      <w:tr w:rsidR="0037489E" w:rsidRPr="00AA7AB8" w:rsidTr="00346392">
        <w:trPr>
          <w:cantSplit/>
          <w:trHeight w:val="567"/>
        </w:trPr>
        <w:tc>
          <w:tcPr>
            <w:tcW w:w="3601"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AA7AB8" w:rsidP="00081437">
            <w:pPr>
              <w:pStyle w:val="NoSpacing"/>
              <w:jc w:val="right"/>
              <w:rPr>
                <w:sz w:val="22"/>
                <w:szCs w:val="22"/>
              </w:rPr>
            </w:pPr>
            <w:r w:rsidRPr="00AA7AB8">
              <w:rPr>
                <w:szCs w:val="22"/>
              </w:rPr>
              <w:t>0.7</w:t>
            </w:r>
            <w:r w:rsidR="00AB3F6D" w:rsidRPr="00AA7AB8">
              <w:rPr>
                <w:szCs w:val="22"/>
              </w:rPr>
              <w:t>%</w:t>
            </w:r>
            <w:r w:rsidR="000D7762" w:rsidRPr="00AA7AB8">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AA7AB8" w:rsidRDefault="00081437" w:rsidP="00906E39">
            <w:pPr>
              <w:pStyle w:val="NoSpacing"/>
              <w:jc w:val="center"/>
              <w:rPr>
                <w:sz w:val="22"/>
                <w:szCs w:val="22"/>
              </w:rPr>
            </w:pPr>
            <w:r w:rsidRPr="00AA7AB8">
              <w:rPr>
                <w:szCs w:val="22"/>
              </w:rPr>
              <w:t>London</w:t>
            </w:r>
          </w:p>
        </w:tc>
        <w:tc>
          <w:tcPr>
            <w:tcW w:w="850" w:type="dxa"/>
            <w:tcBorders>
              <w:top w:val="single" w:sz="4" w:space="0" w:color="auto"/>
              <w:right w:val="single" w:sz="4" w:space="0" w:color="auto"/>
            </w:tcBorders>
            <w:shd w:val="clear" w:color="000000" w:fill="FFFFFF"/>
            <w:vAlign w:val="center"/>
          </w:tcPr>
          <w:p w:rsidR="0032599C" w:rsidRPr="00AA7AB8" w:rsidRDefault="0032599C" w:rsidP="00AA7AB8">
            <w:pPr>
              <w:pStyle w:val="NoSpacing"/>
              <w:jc w:val="right"/>
              <w:rPr>
                <w:sz w:val="22"/>
                <w:szCs w:val="22"/>
              </w:rPr>
            </w:pPr>
            <w:r w:rsidRPr="00AA7AB8">
              <w:rPr>
                <w:szCs w:val="22"/>
              </w:rPr>
              <w:t>0.</w:t>
            </w:r>
            <w:r w:rsidR="00AA7AB8" w:rsidRPr="00AA7AB8">
              <w:rPr>
                <w:szCs w:val="22"/>
              </w:rPr>
              <w:t>0</w:t>
            </w:r>
            <w:r w:rsidRPr="00AA7AB8">
              <w:rPr>
                <w:szCs w:val="22"/>
              </w:rPr>
              <w:t>%</w:t>
            </w:r>
          </w:p>
        </w:tc>
        <w:tc>
          <w:tcPr>
            <w:tcW w:w="1417" w:type="dxa"/>
            <w:tcBorders>
              <w:top w:val="single" w:sz="4" w:space="0" w:color="auto"/>
              <w:left w:val="single" w:sz="4" w:space="0" w:color="auto"/>
            </w:tcBorders>
            <w:shd w:val="clear" w:color="000000" w:fill="FFFFFF"/>
            <w:vAlign w:val="center"/>
            <w:hideMark/>
          </w:tcPr>
          <w:p w:rsidR="0032599C" w:rsidRPr="00AA7AB8" w:rsidRDefault="00C90D22" w:rsidP="00C90D22">
            <w:pPr>
              <w:pStyle w:val="NoSpacing"/>
              <w:jc w:val="center"/>
            </w:pPr>
            <w:r w:rsidRPr="00AA7AB8">
              <w:t>South Western</w:t>
            </w:r>
          </w:p>
        </w:tc>
        <w:tc>
          <w:tcPr>
            <w:tcW w:w="852" w:type="dxa"/>
            <w:tcBorders>
              <w:top w:val="single" w:sz="4" w:space="0" w:color="auto"/>
              <w:right w:val="single" w:sz="4" w:space="0" w:color="auto"/>
            </w:tcBorders>
            <w:shd w:val="clear" w:color="000000" w:fill="FFFFFF"/>
            <w:vAlign w:val="center"/>
          </w:tcPr>
          <w:p w:rsidR="0032599C" w:rsidRPr="00AA7AB8" w:rsidRDefault="00AA7AB8" w:rsidP="00F64059">
            <w:pPr>
              <w:pStyle w:val="NoSpacing"/>
              <w:jc w:val="right"/>
              <w:rPr>
                <w:sz w:val="22"/>
                <w:szCs w:val="22"/>
              </w:rPr>
            </w:pPr>
            <w:r w:rsidRPr="00AA7AB8">
              <w:rPr>
                <w:szCs w:val="22"/>
              </w:rPr>
              <w:t>1.6</w:t>
            </w:r>
            <w:r w:rsidR="00820B72" w:rsidRPr="00AA7AB8">
              <w:rPr>
                <w:szCs w:val="22"/>
              </w:rPr>
              <w:t xml:space="preserve"> </w:t>
            </w:r>
            <w:r w:rsidR="007D2560"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AA7AB8" w:rsidRDefault="00AA7AB8" w:rsidP="00C90D22">
            <w:pPr>
              <w:pStyle w:val="NoSpacing"/>
              <w:jc w:val="right"/>
              <w:rPr>
                <w:rFonts w:cs="Arial"/>
              </w:rPr>
            </w:pPr>
            <w:r w:rsidRPr="00AA7AB8">
              <w:rPr>
                <w:rFonts w:cs="Arial"/>
              </w:rPr>
              <w:t>8.9</w:t>
            </w:r>
            <w:r w:rsidR="001F27E7" w:rsidRPr="00AA7AB8">
              <w:rPr>
                <w:rFonts w:cs="Arial"/>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West</w:t>
            </w:r>
            <w:r w:rsidR="00E02284" w:rsidRPr="00AA7AB8">
              <w:rPr>
                <w:szCs w:val="22"/>
              </w:rPr>
              <w:t xml:space="preserve"> Midlands</w:t>
            </w:r>
          </w:p>
        </w:tc>
        <w:tc>
          <w:tcPr>
            <w:tcW w:w="850" w:type="dxa"/>
            <w:tcBorders>
              <w:right w:val="single" w:sz="4" w:space="0" w:color="auto"/>
            </w:tcBorders>
            <w:shd w:val="clear" w:color="000000" w:fill="FFFFFF"/>
            <w:vAlign w:val="center"/>
          </w:tcPr>
          <w:p w:rsidR="0032599C" w:rsidRPr="00AA7AB8" w:rsidRDefault="00500FB1" w:rsidP="00D520D5">
            <w:pPr>
              <w:pStyle w:val="NoSpacing"/>
              <w:jc w:val="right"/>
              <w:rPr>
                <w:sz w:val="22"/>
                <w:szCs w:val="22"/>
              </w:rPr>
            </w:pPr>
            <w:r>
              <w:rPr>
                <w:szCs w:val="22"/>
              </w:rPr>
              <w:t>5.2</w:t>
            </w:r>
            <w:r w:rsidR="00E02284" w:rsidRPr="00AA7AB8">
              <w:rPr>
                <w:szCs w:val="22"/>
              </w:rPr>
              <w:t>%</w:t>
            </w:r>
          </w:p>
        </w:tc>
        <w:tc>
          <w:tcPr>
            <w:tcW w:w="1417" w:type="dxa"/>
            <w:tcBorders>
              <w:left w:val="single" w:sz="4" w:space="0" w:color="auto"/>
            </w:tcBorders>
            <w:shd w:val="clear" w:color="000000" w:fill="FFFFFF"/>
            <w:vAlign w:val="center"/>
            <w:hideMark/>
          </w:tcPr>
          <w:p w:rsidR="0032599C" w:rsidRPr="00AA7AB8" w:rsidRDefault="00911BEB" w:rsidP="00AB70A4">
            <w:pPr>
              <w:pStyle w:val="NoSpacing"/>
              <w:jc w:val="center"/>
              <w:rPr>
                <w:sz w:val="22"/>
                <w:szCs w:val="22"/>
              </w:rPr>
            </w:pPr>
            <w:r w:rsidRPr="00AA7AB8">
              <w:rPr>
                <w:szCs w:val="22"/>
              </w:rPr>
              <w:t>East Midlands</w:t>
            </w:r>
          </w:p>
        </w:tc>
        <w:tc>
          <w:tcPr>
            <w:tcW w:w="852" w:type="dxa"/>
            <w:tcBorders>
              <w:right w:val="single" w:sz="4" w:space="0" w:color="auto"/>
            </w:tcBorders>
            <w:shd w:val="clear" w:color="000000" w:fill="FFFFFF"/>
            <w:vAlign w:val="center"/>
          </w:tcPr>
          <w:p w:rsidR="0032599C" w:rsidRPr="00AA7AB8" w:rsidRDefault="00AA7AB8" w:rsidP="00D520D5">
            <w:pPr>
              <w:pStyle w:val="NoSpacing"/>
              <w:jc w:val="right"/>
              <w:rPr>
                <w:sz w:val="22"/>
                <w:szCs w:val="22"/>
              </w:rPr>
            </w:pPr>
            <w:r w:rsidRPr="00AA7AB8">
              <w:rPr>
                <w:szCs w:val="22"/>
              </w:rPr>
              <w:t>13.2</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rPr>
                <w:vertAlign w:val="superscript"/>
              </w:rPr>
            </w:pPr>
            <w:r w:rsidRPr="00AA7AB8">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AA7AB8" w:rsidRDefault="00820B72" w:rsidP="00AA7AB8">
            <w:pPr>
              <w:pStyle w:val="NoSpacing"/>
              <w:jc w:val="right"/>
              <w:rPr>
                <w:sz w:val="22"/>
                <w:szCs w:val="22"/>
              </w:rPr>
            </w:pPr>
            <w:r w:rsidRPr="00AA7AB8">
              <w:rPr>
                <w:szCs w:val="22"/>
              </w:rPr>
              <w:t>38</w:t>
            </w:r>
            <w:r w:rsidR="00837B74" w:rsidRPr="00AA7AB8">
              <w:rPr>
                <w:szCs w:val="22"/>
              </w:rPr>
              <w:t>.</w:t>
            </w:r>
            <w:r w:rsidR="00AA7AB8" w:rsidRPr="00AA7AB8">
              <w:rPr>
                <w:szCs w:val="22"/>
              </w:rPr>
              <w:t>0</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C90D22" w:rsidP="002221E6">
            <w:pPr>
              <w:pStyle w:val="NoSpacing"/>
              <w:jc w:val="center"/>
              <w:rPr>
                <w:sz w:val="22"/>
                <w:szCs w:val="22"/>
              </w:rPr>
            </w:pPr>
            <w:r w:rsidRPr="00AA7AB8">
              <w:rPr>
                <w:szCs w:val="22"/>
              </w:rPr>
              <w:t>Yorkshire</w:t>
            </w:r>
          </w:p>
        </w:tc>
        <w:tc>
          <w:tcPr>
            <w:tcW w:w="850" w:type="dxa"/>
            <w:tcBorders>
              <w:right w:val="single" w:sz="4" w:space="0" w:color="auto"/>
            </w:tcBorders>
            <w:shd w:val="clear" w:color="000000" w:fill="FFFFFF"/>
            <w:vAlign w:val="center"/>
          </w:tcPr>
          <w:p w:rsidR="0032599C" w:rsidRPr="00AA7AB8" w:rsidRDefault="00AA7AB8" w:rsidP="00D520D5">
            <w:pPr>
              <w:pStyle w:val="NoSpacing"/>
              <w:jc w:val="right"/>
              <w:rPr>
                <w:sz w:val="22"/>
                <w:szCs w:val="22"/>
              </w:rPr>
            </w:pPr>
            <w:r w:rsidRPr="00AA7AB8">
              <w:rPr>
                <w:szCs w:val="22"/>
              </w:rPr>
              <w:t>30.2</w:t>
            </w:r>
            <w:r w:rsidR="0037489E" w:rsidRPr="00AA7AB8">
              <w:rPr>
                <w:szCs w:val="22"/>
              </w:rPr>
              <w:t>%</w:t>
            </w:r>
          </w:p>
        </w:tc>
        <w:tc>
          <w:tcPr>
            <w:tcW w:w="1417" w:type="dxa"/>
            <w:tcBorders>
              <w:left w:val="single" w:sz="4" w:space="0" w:color="auto"/>
            </w:tcBorders>
            <w:shd w:val="clear" w:color="000000" w:fill="FFFFFF"/>
            <w:vAlign w:val="center"/>
            <w:hideMark/>
          </w:tcPr>
          <w:p w:rsidR="00330CA6" w:rsidRPr="00AA7AB8" w:rsidRDefault="0032599C" w:rsidP="00820B72">
            <w:pPr>
              <w:pStyle w:val="NoSpacing"/>
              <w:jc w:val="center"/>
              <w:rPr>
                <w:szCs w:val="22"/>
              </w:rPr>
            </w:pPr>
            <w:r w:rsidRPr="00AA7AB8">
              <w:rPr>
                <w:szCs w:val="22"/>
              </w:rPr>
              <w:t xml:space="preserve">South </w:t>
            </w:r>
            <w:r w:rsidR="00820B72" w:rsidRPr="00AA7AB8">
              <w:rPr>
                <w:szCs w:val="22"/>
              </w:rPr>
              <w:t>East Coast</w:t>
            </w:r>
            <w:r w:rsidR="00C90D22" w:rsidRPr="00AA7AB8">
              <w:rPr>
                <w:rStyle w:val="FootnoteReference"/>
              </w:rPr>
              <w:footnoteReference w:id="11"/>
            </w:r>
          </w:p>
        </w:tc>
        <w:tc>
          <w:tcPr>
            <w:tcW w:w="852" w:type="dxa"/>
            <w:tcBorders>
              <w:right w:val="single" w:sz="4" w:space="0" w:color="auto"/>
            </w:tcBorders>
            <w:shd w:val="clear" w:color="000000" w:fill="FFFFFF"/>
            <w:vAlign w:val="center"/>
          </w:tcPr>
          <w:p w:rsidR="0032599C" w:rsidRPr="00AA7AB8" w:rsidRDefault="00AA7AB8" w:rsidP="00C90D22">
            <w:pPr>
              <w:pStyle w:val="NoSpacing"/>
              <w:jc w:val="right"/>
              <w:rPr>
                <w:sz w:val="22"/>
                <w:szCs w:val="22"/>
              </w:rPr>
            </w:pPr>
            <w:r w:rsidRPr="00AA7AB8">
              <w:rPr>
                <w:szCs w:val="22"/>
              </w:rPr>
              <w:t>49.8</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bookmarkStart w:id="1" w:name="RANGE!A22"/>
            <w:r w:rsidRPr="00AA7AB8">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AA7AB8" w:rsidRDefault="00882BC2" w:rsidP="00AA7AB8">
            <w:pPr>
              <w:pStyle w:val="NoSpacing"/>
              <w:jc w:val="right"/>
              <w:rPr>
                <w:sz w:val="22"/>
                <w:szCs w:val="22"/>
              </w:rPr>
            </w:pPr>
            <w:r w:rsidRPr="00AA7AB8">
              <w:rPr>
                <w:szCs w:val="22"/>
              </w:rPr>
              <w:t>6.</w:t>
            </w:r>
            <w:r w:rsidR="00AA7AB8" w:rsidRPr="00AA7AB8">
              <w:rPr>
                <w:szCs w:val="22"/>
              </w:rPr>
              <w:t>8</w:t>
            </w:r>
            <w:r w:rsidR="001F27E7" w:rsidRPr="00AA7AB8">
              <w:rPr>
                <w:szCs w:val="22"/>
              </w:rPr>
              <w:t>%</w:t>
            </w:r>
          </w:p>
        </w:tc>
        <w:tc>
          <w:tcPr>
            <w:tcW w:w="1417" w:type="dxa"/>
            <w:tcBorders>
              <w:left w:val="single" w:sz="4" w:space="0" w:color="auto"/>
            </w:tcBorders>
            <w:shd w:val="clear" w:color="000000" w:fill="FFFFFF"/>
            <w:vAlign w:val="center"/>
            <w:hideMark/>
          </w:tcPr>
          <w:p w:rsidR="0032599C" w:rsidRPr="00AA7AB8" w:rsidRDefault="00AA7AB8" w:rsidP="00E02284">
            <w:pPr>
              <w:pStyle w:val="NoSpacing"/>
              <w:jc w:val="center"/>
              <w:rPr>
                <w:sz w:val="22"/>
                <w:szCs w:val="22"/>
              </w:rPr>
            </w:pPr>
            <w:r w:rsidRPr="00AA7AB8">
              <w:rPr>
                <w:szCs w:val="22"/>
              </w:rPr>
              <w:t>London</w:t>
            </w:r>
            <w:r w:rsidR="00230A5D">
              <w:rPr>
                <w:szCs w:val="22"/>
                <w:vertAlign w:val="superscript"/>
              </w:rPr>
              <w:t>11</w:t>
            </w:r>
          </w:p>
        </w:tc>
        <w:tc>
          <w:tcPr>
            <w:tcW w:w="850" w:type="dxa"/>
            <w:tcBorders>
              <w:right w:val="single" w:sz="4" w:space="0" w:color="auto"/>
            </w:tcBorders>
            <w:shd w:val="clear" w:color="000000" w:fill="FFFFFF"/>
            <w:vAlign w:val="center"/>
          </w:tcPr>
          <w:p w:rsidR="0032599C" w:rsidRPr="00AA7AB8" w:rsidRDefault="00AA7AB8" w:rsidP="006F26D8">
            <w:pPr>
              <w:pStyle w:val="NoSpacing"/>
              <w:jc w:val="right"/>
              <w:rPr>
                <w:sz w:val="22"/>
                <w:szCs w:val="22"/>
              </w:rPr>
            </w:pPr>
            <w:r w:rsidRPr="00AA7AB8">
              <w:rPr>
                <w:szCs w:val="22"/>
              </w:rPr>
              <w:t>3.2</w:t>
            </w:r>
            <w:r w:rsidR="0037489E" w:rsidRPr="00AA7AB8">
              <w:rPr>
                <w:szCs w:val="22"/>
              </w:rPr>
              <w:t>%</w:t>
            </w:r>
          </w:p>
        </w:tc>
        <w:tc>
          <w:tcPr>
            <w:tcW w:w="1417" w:type="dxa"/>
            <w:tcBorders>
              <w:left w:val="single" w:sz="4" w:space="0" w:color="auto"/>
            </w:tcBorders>
            <w:shd w:val="clear" w:color="000000" w:fill="FFFFFF"/>
            <w:vAlign w:val="center"/>
            <w:hideMark/>
          </w:tcPr>
          <w:p w:rsidR="0032599C" w:rsidRPr="00AA7AB8" w:rsidRDefault="00C90D22" w:rsidP="00AB107E">
            <w:pPr>
              <w:pStyle w:val="NoSpacing"/>
              <w:jc w:val="center"/>
              <w:rPr>
                <w:sz w:val="22"/>
                <w:szCs w:val="22"/>
              </w:rPr>
            </w:pPr>
            <w:r w:rsidRPr="00AA7AB8">
              <w:rPr>
                <w:szCs w:val="22"/>
              </w:rPr>
              <w:t>West Midlands</w:t>
            </w:r>
          </w:p>
        </w:tc>
        <w:tc>
          <w:tcPr>
            <w:tcW w:w="852" w:type="dxa"/>
            <w:tcBorders>
              <w:right w:val="single" w:sz="4" w:space="0" w:color="auto"/>
            </w:tcBorders>
            <w:shd w:val="clear" w:color="000000" w:fill="FFFFFF"/>
            <w:vAlign w:val="center"/>
          </w:tcPr>
          <w:p w:rsidR="0032599C" w:rsidRPr="00AA7AB8" w:rsidRDefault="00837B74" w:rsidP="00AA7AB8">
            <w:pPr>
              <w:pStyle w:val="NoSpacing"/>
              <w:jc w:val="right"/>
              <w:rPr>
                <w:sz w:val="22"/>
                <w:szCs w:val="22"/>
              </w:rPr>
            </w:pPr>
            <w:r w:rsidRPr="00AA7AB8">
              <w:rPr>
                <w:szCs w:val="22"/>
              </w:rPr>
              <w:t>1</w:t>
            </w:r>
            <w:r w:rsidR="00820B72" w:rsidRPr="00AA7AB8">
              <w:rPr>
                <w:szCs w:val="22"/>
              </w:rPr>
              <w:t>4</w:t>
            </w:r>
            <w:r w:rsidR="00AB107E" w:rsidRPr="00AA7AB8">
              <w:rPr>
                <w:szCs w:val="22"/>
              </w:rPr>
              <w:t>.</w:t>
            </w:r>
            <w:r w:rsidR="00AA7AB8" w:rsidRPr="00AA7AB8">
              <w:rPr>
                <w:szCs w:val="22"/>
              </w:rPr>
              <w:t>4</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pPr>
            <w:r w:rsidRPr="00AA7AB8">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AA7AB8" w:rsidRDefault="0032599C" w:rsidP="00AA7AB8">
            <w:pPr>
              <w:pStyle w:val="NoSpacing"/>
              <w:jc w:val="right"/>
              <w:rPr>
                <w:sz w:val="22"/>
                <w:szCs w:val="22"/>
              </w:rPr>
            </w:pPr>
            <w:r w:rsidRPr="00AA7AB8">
              <w:rPr>
                <w:szCs w:val="22"/>
              </w:rPr>
              <w:t>5.</w:t>
            </w:r>
            <w:r w:rsidR="00AA7AB8" w:rsidRPr="00AA7AB8">
              <w:rPr>
                <w:szCs w:val="22"/>
              </w:rPr>
              <w:t>2</w:t>
            </w:r>
            <w:r w:rsidRPr="00AA7AB8">
              <w:rPr>
                <w:szCs w:val="22"/>
              </w:rPr>
              <w:t>%</w:t>
            </w:r>
          </w:p>
        </w:tc>
        <w:tc>
          <w:tcPr>
            <w:tcW w:w="1417" w:type="dxa"/>
            <w:tcBorders>
              <w:left w:val="single" w:sz="4" w:space="0" w:color="auto"/>
            </w:tcBorders>
            <w:shd w:val="clear" w:color="000000" w:fill="FFFFFF"/>
            <w:vAlign w:val="center"/>
            <w:hideMark/>
          </w:tcPr>
          <w:p w:rsidR="0032599C" w:rsidRPr="00AA7AB8" w:rsidRDefault="00A26372" w:rsidP="00882BC2">
            <w:pPr>
              <w:pStyle w:val="NoSpacing"/>
              <w:jc w:val="center"/>
              <w:rPr>
                <w:sz w:val="22"/>
              </w:rPr>
            </w:pPr>
            <w:r w:rsidRPr="00AA7AB8">
              <w:t>Yorkshire</w:t>
            </w:r>
          </w:p>
        </w:tc>
        <w:tc>
          <w:tcPr>
            <w:tcW w:w="850" w:type="dxa"/>
            <w:tcBorders>
              <w:right w:val="single" w:sz="4" w:space="0" w:color="auto"/>
            </w:tcBorders>
            <w:shd w:val="clear" w:color="000000" w:fill="FFFFFF"/>
            <w:vAlign w:val="center"/>
          </w:tcPr>
          <w:p w:rsidR="0032599C" w:rsidRPr="00AA7AB8" w:rsidRDefault="00AA7AB8" w:rsidP="00C90D22">
            <w:pPr>
              <w:pStyle w:val="NoSpacing"/>
              <w:jc w:val="right"/>
              <w:rPr>
                <w:sz w:val="22"/>
                <w:szCs w:val="22"/>
              </w:rPr>
            </w:pPr>
            <w:r w:rsidRPr="00AA7AB8">
              <w:rPr>
                <w:szCs w:val="22"/>
              </w:rPr>
              <w:t>2.5</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London</w:t>
            </w:r>
          </w:p>
        </w:tc>
        <w:tc>
          <w:tcPr>
            <w:tcW w:w="852" w:type="dxa"/>
            <w:tcBorders>
              <w:right w:val="single" w:sz="4" w:space="0" w:color="auto"/>
            </w:tcBorders>
            <w:shd w:val="clear" w:color="000000" w:fill="FFFFFF"/>
            <w:vAlign w:val="center"/>
          </w:tcPr>
          <w:p w:rsidR="0032599C" w:rsidRPr="00AA7AB8" w:rsidRDefault="008862A6" w:rsidP="00AA7AB8">
            <w:pPr>
              <w:pStyle w:val="NoSpacing"/>
              <w:jc w:val="right"/>
              <w:rPr>
                <w:sz w:val="22"/>
                <w:szCs w:val="22"/>
              </w:rPr>
            </w:pPr>
            <w:r w:rsidRPr="00AA7AB8">
              <w:rPr>
                <w:szCs w:val="22"/>
              </w:rPr>
              <w:t>8.</w:t>
            </w:r>
            <w:r w:rsidR="00AA7AB8" w:rsidRPr="00AA7AB8">
              <w:rPr>
                <w:szCs w:val="22"/>
              </w:rPr>
              <w:t>1</w:t>
            </w:r>
            <w:r w:rsidR="00D6205D" w:rsidRPr="00AA7AB8">
              <w:rPr>
                <w:szCs w:val="22"/>
              </w:rPr>
              <w:t>%</w:t>
            </w:r>
          </w:p>
        </w:tc>
      </w:tr>
      <w:tr w:rsidR="0037489E" w:rsidRPr="00AA7AB8" w:rsidTr="00346392">
        <w:trPr>
          <w:cantSplit/>
          <w:trHeight w:val="567"/>
        </w:trPr>
        <w:tc>
          <w:tcPr>
            <w:tcW w:w="3601" w:type="dxa"/>
            <w:tcBorders>
              <w:left w:val="single" w:sz="4" w:space="0" w:color="auto"/>
              <w:bottom w:val="single" w:sz="4" w:space="0" w:color="auto"/>
              <w:right w:val="single" w:sz="4" w:space="0" w:color="auto"/>
            </w:tcBorders>
            <w:shd w:val="clear" w:color="auto" w:fill="auto"/>
            <w:vAlign w:val="center"/>
            <w:hideMark/>
          </w:tcPr>
          <w:p w:rsidR="0032599C" w:rsidRPr="00AA7AB8" w:rsidRDefault="008006FA" w:rsidP="00F0288C">
            <w:pPr>
              <w:pStyle w:val="NoSpacing"/>
            </w:pPr>
            <w:r w:rsidRPr="00AA7AB8">
              <w:t xml:space="preserve">Incidents </w:t>
            </w:r>
            <w:r w:rsidR="00F0288C" w:rsidRPr="00AA7AB8">
              <w:t>where a</w:t>
            </w:r>
            <w:r w:rsidRPr="00AA7AB8">
              <w:t xml:space="preserve"> patient </w:t>
            </w:r>
            <w:r w:rsidR="00F0288C" w:rsidRPr="00AA7AB8">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A7AB8" w:rsidRDefault="00AA7AB8" w:rsidP="00882BC2">
            <w:pPr>
              <w:jc w:val="right"/>
              <w:rPr>
                <w:rFonts w:cs="Arial"/>
              </w:rPr>
            </w:pPr>
            <w:r w:rsidRPr="00AA7AB8">
              <w:rPr>
                <w:rFonts w:cs="Arial"/>
              </w:rPr>
              <w:t>391,469</w:t>
            </w:r>
          </w:p>
        </w:tc>
        <w:tc>
          <w:tcPr>
            <w:tcW w:w="1417" w:type="dxa"/>
            <w:tcBorders>
              <w:left w:val="single" w:sz="4" w:space="0" w:color="auto"/>
              <w:bottom w:val="single" w:sz="4" w:space="0" w:color="auto"/>
            </w:tcBorders>
            <w:shd w:val="clear" w:color="auto" w:fill="auto"/>
            <w:noWrap/>
            <w:vAlign w:val="center"/>
          </w:tcPr>
          <w:p w:rsidR="003507AC" w:rsidRPr="00AA7AB8" w:rsidRDefault="0032599C" w:rsidP="003507AC">
            <w:pPr>
              <w:pStyle w:val="NoSpacing"/>
              <w:jc w:val="center"/>
            </w:pPr>
            <w:r w:rsidRPr="00AA7AB8">
              <w:t>North</w:t>
            </w:r>
          </w:p>
          <w:p w:rsidR="0032599C" w:rsidRPr="00AA7AB8" w:rsidRDefault="0032599C" w:rsidP="00C90D22">
            <w:pPr>
              <w:pStyle w:val="NoSpacing"/>
              <w:jc w:val="center"/>
              <w:rPr>
                <w:sz w:val="22"/>
                <w:szCs w:val="22"/>
              </w:rPr>
            </w:pPr>
            <w:r w:rsidRPr="00AA7AB8">
              <w:t>East</w:t>
            </w:r>
            <w:r w:rsidR="00230A5D">
              <w:rPr>
                <w:szCs w:val="22"/>
                <w:vertAlign w:val="superscript"/>
              </w:rPr>
              <w:t>11</w:t>
            </w:r>
          </w:p>
        </w:tc>
        <w:tc>
          <w:tcPr>
            <w:tcW w:w="850" w:type="dxa"/>
            <w:tcBorders>
              <w:bottom w:val="single" w:sz="4" w:space="0" w:color="auto"/>
              <w:right w:val="single" w:sz="4" w:space="0" w:color="auto"/>
            </w:tcBorders>
            <w:shd w:val="clear" w:color="auto" w:fill="auto"/>
            <w:vAlign w:val="center"/>
          </w:tcPr>
          <w:p w:rsidR="00A75E1A" w:rsidRPr="00AA7AB8" w:rsidRDefault="00AA7AB8" w:rsidP="00882BC2">
            <w:pPr>
              <w:jc w:val="right"/>
              <w:rPr>
                <w:rFonts w:cs="Arial"/>
              </w:rPr>
            </w:pPr>
            <w:r w:rsidRPr="00AA7AB8">
              <w:rPr>
                <w:rFonts w:cs="Arial"/>
              </w:rPr>
              <w:t>19,776</w:t>
            </w:r>
          </w:p>
        </w:tc>
        <w:tc>
          <w:tcPr>
            <w:tcW w:w="1417" w:type="dxa"/>
            <w:tcBorders>
              <w:left w:val="single" w:sz="4" w:space="0" w:color="auto"/>
              <w:bottom w:val="single" w:sz="4" w:space="0" w:color="auto"/>
            </w:tcBorders>
            <w:shd w:val="clear" w:color="auto" w:fill="auto"/>
            <w:noWrap/>
            <w:vAlign w:val="center"/>
          </w:tcPr>
          <w:p w:rsidR="0032599C" w:rsidRPr="00AA7AB8" w:rsidRDefault="0032599C" w:rsidP="002221E6">
            <w:pPr>
              <w:pStyle w:val="NoSpacing"/>
              <w:jc w:val="center"/>
              <w:rPr>
                <w:sz w:val="22"/>
                <w:szCs w:val="22"/>
              </w:rPr>
            </w:pPr>
            <w:r w:rsidRPr="00AA7AB8">
              <w:rPr>
                <w:szCs w:val="22"/>
              </w:rPr>
              <w:t>London</w:t>
            </w:r>
          </w:p>
        </w:tc>
        <w:tc>
          <w:tcPr>
            <w:tcW w:w="852" w:type="dxa"/>
            <w:tcBorders>
              <w:bottom w:val="single" w:sz="4" w:space="0" w:color="auto"/>
              <w:right w:val="single" w:sz="4" w:space="0" w:color="auto"/>
            </w:tcBorders>
            <w:shd w:val="clear" w:color="auto" w:fill="auto"/>
            <w:vAlign w:val="center"/>
          </w:tcPr>
          <w:p w:rsidR="0032599C" w:rsidRPr="00AA7AB8" w:rsidRDefault="00AA7AB8" w:rsidP="00882BC2">
            <w:pPr>
              <w:jc w:val="right"/>
              <w:rPr>
                <w:rFonts w:cs="Arial"/>
              </w:rPr>
            </w:pPr>
            <w:r w:rsidRPr="00AA7AB8">
              <w:rPr>
                <w:rFonts w:cs="Arial"/>
              </w:rPr>
              <w:t>65,300</w:t>
            </w:r>
          </w:p>
        </w:tc>
      </w:tr>
    </w:tbl>
    <w:p w:rsidR="00043776" w:rsidRPr="003A740D" w:rsidRDefault="00043776" w:rsidP="00043776">
      <w:pPr>
        <w:pStyle w:val="NoSpacing"/>
        <w:rPr>
          <w:highlight w:val="yellow"/>
        </w:rPr>
      </w:pPr>
    </w:p>
    <w:p w:rsidR="0054610C" w:rsidRPr="00721C10" w:rsidRDefault="00ED429A" w:rsidP="00C73251">
      <w:r w:rsidRPr="00721C10">
        <w:t xml:space="preserve">In </w:t>
      </w:r>
      <w:r w:rsidR="00AA7AB8" w:rsidRPr="00721C10">
        <w:t>April</w:t>
      </w:r>
      <w:r w:rsidR="00911BEB" w:rsidRPr="00721C10">
        <w:t xml:space="preserve"> 2016</w:t>
      </w:r>
      <w:r w:rsidR="00A95D10" w:rsidRPr="00721C10">
        <w:t xml:space="preserve">, the </w:t>
      </w:r>
      <w:r w:rsidR="00043776" w:rsidRPr="00721C10">
        <w:t xml:space="preserve">proportion </w:t>
      </w:r>
      <w:r w:rsidR="00A95D10" w:rsidRPr="00721C10">
        <w:t>of calls resolved through telephone assessment</w:t>
      </w:r>
      <w:r w:rsidR="00145910" w:rsidRPr="00721C10">
        <w:t xml:space="preserve"> was</w:t>
      </w:r>
      <w:r w:rsidR="008862A6" w:rsidRPr="00721C10">
        <w:t xml:space="preserve"> </w:t>
      </w:r>
      <w:r w:rsidR="00AA7AB8" w:rsidRPr="00721C10">
        <w:t>8.9</w:t>
      </w:r>
      <w:r w:rsidR="009C268C" w:rsidRPr="00721C10">
        <w:t>%,</w:t>
      </w:r>
      <w:r w:rsidR="00145910" w:rsidRPr="00721C10">
        <w:t xml:space="preserve"> </w:t>
      </w:r>
      <w:r w:rsidR="00AA7AB8" w:rsidRPr="00721C10">
        <w:t>lowe</w:t>
      </w:r>
      <w:r w:rsidR="008862A6" w:rsidRPr="00721C10">
        <w:t xml:space="preserve">r than the </w:t>
      </w:r>
      <w:r w:rsidR="00AA7AB8" w:rsidRPr="00721C10">
        <w:t>10.0</w:t>
      </w:r>
      <w:r w:rsidR="00911BEB" w:rsidRPr="00721C10">
        <w:t xml:space="preserve">% recorded in </w:t>
      </w:r>
      <w:r w:rsidR="00AA7AB8" w:rsidRPr="00721C10">
        <w:t>April</w:t>
      </w:r>
      <w:r w:rsidR="00DA0061" w:rsidRPr="00721C10">
        <w:t xml:space="preserve"> 2015</w:t>
      </w:r>
      <w:r w:rsidR="00E6125B" w:rsidRPr="00721C10">
        <w:t>.</w:t>
      </w:r>
    </w:p>
    <w:p w:rsidR="00145910" w:rsidRPr="00721C10" w:rsidRDefault="00145910" w:rsidP="00C73251">
      <w:r w:rsidRPr="00721C10">
        <w:t>Of emergency calls resolved with telephone advice, the proportion where the patient subsequently re-cont</w:t>
      </w:r>
      <w:r w:rsidR="009E4E86" w:rsidRPr="00721C10">
        <w:t>acts</w:t>
      </w:r>
      <w:r w:rsidR="00882BC2" w:rsidRPr="00721C10">
        <w:t xml:space="preserve"> 999 within 24 hours was 6.</w:t>
      </w:r>
      <w:r w:rsidR="00AA7AB8" w:rsidRPr="00721C10">
        <w:t>8</w:t>
      </w:r>
      <w:r w:rsidR="00882BC2" w:rsidRPr="00721C10">
        <w:t>% in</w:t>
      </w:r>
      <w:r w:rsidR="00ED429A" w:rsidRPr="00721C10">
        <w:t xml:space="preserve"> </w:t>
      </w:r>
      <w:r w:rsidR="00AA7AB8" w:rsidRPr="00721C10">
        <w:t>April</w:t>
      </w:r>
      <w:r w:rsidR="000A119D" w:rsidRPr="00721C10">
        <w:t xml:space="preserve"> </w:t>
      </w:r>
      <w:r w:rsidR="0074090B" w:rsidRPr="00721C10">
        <w:t>2016</w:t>
      </w:r>
      <w:r w:rsidR="00882BC2" w:rsidRPr="00721C10">
        <w:t>.</w:t>
      </w:r>
    </w:p>
    <w:p w:rsidR="00994032" w:rsidRDefault="00994032" w:rsidP="00C73251"/>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to examine trends in these data,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31580B" w:rsidRPr="003A740D" w:rsidRDefault="00044185" w:rsidP="003A0D0C">
      <w:pPr>
        <w:rPr>
          <w:highlight w:val="yellow"/>
        </w:rPr>
      </w:pPr>
      <w:r w:rsidRPr="00EC03AC">
        <w:t xml:space="preserve">Patients in cardiac arrest will typically have no pulse and will not be breathing. </w:t>
      </w:r>
      <w:r w:rsidR="0032599C" w:rsidRPr="00EC03AC">
        <w:t xml:space="preserve">In </w:t>
      </w:r>
      <w:r w:rsidR="00EC03AC" w:rsidRPr="00EC03AC">
        <w:t>January</w:t>
      </w:r>
      <w:r w:rsidR="004B406E" w:rsidRPr="00EC03AC">
        <w:t xml:space="preserve"> </w:t>
      </w:r>
      <w:r w:rsidR="00EC03AC" w:rsidRPr="00EC03AC">
        <w:t>2016</w:t>
      </w:r>
      <w:r w:rsidRPr="00EC03AC">
        <w:t xml:space="preserve"> in England</w:t>
      </w:r>
      <w:r w:rsidR="0032599C" w:rsidRPr="00EC03AC">
        <w:t xml:space="preserve">, </w:t>
      </w:r>
      <w:r w:rsidRPr="00EC03AC">
        <w:t xml:space="preserve">resuscitation was commenced or continued by ambulance staff out-of-hospital for </w:t>
      </w:r>
      <w:r w:rsidR="00EC03AC" w:rsidRPr="00EC03AC">
        <w:t>2,</w:t>
      </w:r>
      <w:r w:rsidR="00EC03AC">
        <w:t>882</w:t>
      </w:r>
      <w:r w:rsidR="00AF1A19" w:rsidRPr="00EC03AC">
        <w:t xml:space="preserve"> </w:t>
      </w:r>
      <w:r w:rsidRPr="00EC03AC">
        <w:t xml:space="preserve">such </w:t>
      </w:r>
      <w:r w:rsidR="0032599C" w:rsidRPr="00EC03AC">
        <w:t xml:space="preserve">patients. Of these, </w:t>
      </w:r>
      <w:r w:rsidR="00EC03AC" w:rsidRPr="00EC03AC">
        <w:t>76</w:t>
      </w:r>
      <w:r w:rsidR="009D2C79" w:rsidRPr="00EC03AC">
        <w:t>3</w:t>
      </w:r>
      <w:r w:rsidR="00AC1EF7" w:rsidRPr="00EC03AC">
        <w:t xml:space="preserve"> </w:t>
      </w:r>
      <w:r w:rsidR="0032599C" w:rsidRPr="00EC03AC">
        <w:t>(</w:t>
      </w:r>
      <w:r w:rsidR="00C71CE3" w:rsidRPr="00EC03AC">
        <w:t>2</w:t>
      </w:r>
      <w:r w:rsidR="00EC03AC" w:rsidRPr="00EC03AC">
        <w:t>6.5</w:t>
      </w:r>
      <w:r w:rsidR="00F43D58" w:rsidRPr="00EC03AC">
        <w:t>%</w:t>
      </w:r>
      <w:r w:rsidR="0032599C" w:rsidRPr="00EC03AC">
        <w:t>) had ROSC</w:t>
      </w:r>
      <w:r w:rsidRPr="00EC03AC">
        <w:t xml:space="preserve">, with a pulse, </w:t>
      </w:r>
      <w:r w:rsidR="0032599C" w:rsidRPr="00EC03AC">
        <w:t>on arrival at hospital</w:t>
      </w:r>
      <w:r w:rsidR="00EC03AC" w:rsidRPr="00EC03AC">
        <w:t xml:space="preserve"> (Figure 5</w:t>
      </w:r>
      <w:r w:rsidR="00C814F1" w:rsidRPr="00EC03AC">
        <w:t>)</w:t>
      </w:r>
      <w:r w:rsidR="00E41E8F" w:rsidRPr="00EC03AC">
        <w:t xml:space="preserve">, </w:t>
      </w:r>
      <w:r w:rsidR="00EC03AC" w:rsidRPr="00EC03AC">
        <w:t>slightly below</w:t>
      </w:r>
      <w:r w:rsidR="0083071A" w:rsidRPr="00EC03AC">
        <w:t xml:space="preserve"> the</w:t>
      </w:r>
      <w:r w:rsidR="00BA610C" w:rsidRPr="00EC03AC">
        <w:t xml:space="preserve"> </w:t>
      </w:r>
      <w:r w:rsidR="0032599C" w:rsidRPr="00EC03AC">
        <w:t xml:space="preserve">average for </w:t>
      </w:r>
      <w:r w:rsidR="00845D8F" w:rsidRPr="00EC03AC">
        <w:t>2014-15</w:t>
      </w:r>
      <w:r w:rsidR="0032599C" w:rsidRPr="00EC03AC">
        <w:t xml:space="preserve"> </w:t>
      </w:r>
      <w:r w:rsidR="00BA610C" w:rsidRPr="00EC03AC">
        <w:t xml:space="preserve">of </w:t>
      </w:r>
      <w:r w:rsidR="00D4605E" w:rsidRPr="00EC03AC">
        <w:t>27</w:t>
      </w:r>
      <w:r w:rsidR="0083071A" w:rsidRPr="00EC03AC">
        <w:t>.3</w:t>
      </w:r>
      <w:r w:rsidR="0032599C" w:rsidRPr="00EC03AC">
        <w:t>%.</w:t>
      </w:r>
      <w:r w:rsidR="006154B4" w:rsidRPr="00EC03AC">
        <w:t xml:space="preserve">  </w:t>
      </w:r>
      <w:r w:rsidR="008F7386" w:rsidRPr="002368DF">
        <w:t>The largest</w:t>
      </w:r>
      <w:r w:rsidR="00C570ED" w:rsidRPr="002368DF">
        <w:t xml:space="preserve"> proportion in </w:t>
      </w:r>
      <w:r w:rsidR="00EC03AC" w:rsidRPr="002368DF">
        <w:t>January 2016</w:t>
      </w:r>
      <w:r w:rsidR="00CF061B" w:rsidRPr="002368DF">
        <w:t xml:space="preserve"> was </w:t>
      </w:r>
      <w:r w:rsidR="001A0F87" w:rsidRPr="002368DF">
        <w:t>3</w:t>
      </w:r>
      <w:r w:rsidR="00EC03AC" w:rsidRPr="002368DF">
        <w:t>6</w:t>
      </w:r>
      <w:r w:rsidR="001A0F87" w:rsidRPr="002368DF">
        <w:t>.</w:t>
      </w:r>
      <w:r w:rsidR="00EC03AC" w:rsidRPr="002368DF">
        <w:t>0</w:t>
      </w:r>
      <w:r w:rsidR="005F29B1" w:rsidRPr="002368DF">
        <w:t>% for</w:t>
      </w:r>
      <w:r w:rsidR="009D2C79" w:rsidRPr="002368DF">
        <w:t xml:space="preserve"> North West</w:t>
      </w:r>
      <w:r w:rsidR="004D6E3F" w:rsidRPr="002368DF">
        <w:t>.</w:t>
      </w:r>
      <w:r w:rsidR="00C73251" w:rsidRPr="002368DF">
        <w:t xml:space="preserve"> </w:t>
      </w:r>
      <w:r w:rsidR="00AF2CDC" w:rsidRPr="002368DF">
        <w:t xml:space="preserve">The smallest proportion </w:t>
      </w:r>
      <w:r w:rsidR="00C71CE3" w:rsidRPr="002368DF">
        <w:t xml:space="preserve">reported </w:t>
      </w:r>
      <w:r w:rsidR="00AF2CDC" w:rsidRPr="002368DF">
        <w:t>was</w:t>
      </w:r>
      <w:r w:rsidR="002368DF" w:rsidRPr="002368DF">
        <w:t xml:space="preserve"> 18.9</w:t>
      </w:r>
      <w:r w:rsidR="00AF2CDC" w:rsidRPr="002368DF">
        <w:t xml:space="preserve">% for </w:t>
      </w:r>
      <w:r w:rsidR="002368DF" w:rsidRPr="002368DF">
        <w:t>North East</w:t>
      </w:r>
      <w:r w:rsidR="00230A5D" w:rsidRPr="00230A5D">
        <w:rPr>
          <w:vertAlign w:val="superscript"/>
        </w:rPr>
        <w:t>11</w:t>
      </w:r>
      <w:r w:rsidR="006154B4" w:rsidRPr="002368DF">
        <w:rPr>
          <w:rFonts w:cs="Arial"/>
        </w:rPr>
        <w:t>.</w:t>
      </w:r>
    </w:p>
    <w:p w:rsidR="00F36218" w:rsidRPr="002368DF" w:rsidRDefault="003A0D0C" w:rsidP="003A0D0C">
      <w:pPr>
        <w:rPr>
          <w:rFonts w:cs="Arial"/>
        </w:rPr>
      </w:pPr>
      <w:r w:rsidRPr="002368DF">
        <w:t>The Utstein group</w:t>
      </w:r>
      <w:r w:rsidR="007E28DC" w:rsidRPr="002368DF">
        <w:rPr>
          <w:rStyle w:val="FootnoteReference"/>
        </w:rPr>
        <w:footnoteReference w:id="12"/>
      </w:r>
      <w:r w:rsidRPr="002368DF">
        <w:t xml:space="preserve"> comprises patients who had resuscitation commenced or continued by the Ambulance Services, following an out-of-hospital cardiac arrest of </w:t>
      </w:r>
      <w:r w:rsidRPr="002368DF">
        <w:lastRenderedPageBreak/>
        <w:t xml:space="preserve">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2368DF">
        <w:rPr>
          <w:rFonts w:cs="Arial"/>
        </w:rPr>
        <w:t>There were</w:t>
      </w:r>
      <w:r w:rsidR="0032599C" w:rsidRPr="002368DF">
        <w:rPr>
          <w:rFonts w:cs="Arial"/>
        </w:rPr>
        <w:t xml:space="preserve"> </w:t>
      </w:r>
      <w:r w:rsidR="002368DF" w:rsidRPr="002368DF">
        <w:rPr>
          <w:rFonts w:cs="Arial"/>
        </w:rPr>
        <w:t>347</w:t>
      </w:r>
      <w:r w:rsidR="00022C19" w:rsidRPr="002368DF">
        <w:rPr>
          <w:rFonts w:cs="Arial"/>
        </w:rPr>
        <w:t xml:space="preserve"> </w:t>
      </w:r>
      <w:r w:rsidR="00CB58C3" w:rsidRPr="002368DF">
        <w:rPr>
          <w:rFonts w:cs="Arial"/>
        </w:rPr>
        <w:t>such</w:t>
      </w:r>
      <w:r w:rsidR="0032599C" w:rsidRPr="002368DF">
        <w:rPr>
          <w:rFonts w:cs="Arial"/>
        </w:rPr>
        <w:t xml:space="preserve"> patients </w:t>
      </w:r>
      <w:r w:rsidR="0032599C" w:rsidRPr="002368DF">
        <w:t>in England</w:t>
      </w:r>
      <w:r w:rsidR="0032599C" w:rsidRPr="002368DF">
        <w:rPr>
          <w:rFonts w:cs="Arial"/>
        </w:rPr>
        <w:t xml:space="preserve"> in</w:t>
      </w:r>
      <w:r w:rsidR="00C570ED" w:rsidRPr="002368DF">
        <w:rPr>
          <w:rFonts w:cs="Arial"/>
        </w:rPr>
        <w:t xml:space="preserve"> </w:t>
      </w:r>
      <w:r w:rsidR="002368DF" w:rsidRPr="002368DF">
        <w:rPr>
          <w:rFonts w:cs="Arial"/>
        </w:rPr>
        <w:t>January</w:t>
      </w:r>
      <w:r w:rsidR="0088041C" w:rsidRPr="002368DF">
        <w:rPr>
          <w:rFonts w:cs="Arial"/>
        </w:rPr>
        <w:t xml:space="preserve"> </w:t>
      </w:r>
      <w:r w:rsidR="002368DF" w:rsidRPr="002368DF">
        <w:rPr>
          <w:rFonts w:cs="Arial"/>
        </w:rPr>
        <w:t>2016</w:t>
      </w:r>
      <w:r w:rsidR="0032599C" w:rsidRPr="002368DF">
        <w:rPr>
          <w:rFonts w:cs="Arial"/>
        </w:rPr>
        <w:t xml:space="preserve">, </w:t>
      </w:r>
      <w:r w:rsidRPr="002368DF">
        <w:rPr>
          <w:rFonts w:cs="Arial"/>
        </w:rPr>
        <w:t xml:space="preserve">of which </w:t>
      </w:r>
      <w:r w:rsidR="00C71CE3" w:rsidRPr="002368DF">
        <w:rPr>
          <w:rFonts w:cs="Arial"/>
        </w:rPr>
        <w:t>156</w:t>
      </w:r>
      <w:r w:rsidRPr="002368DF">
        <w:rPr>
          <w:rFonts w:cs="Arial"/>
        </w:rPr>
        <w:t xml:space="preserve"> (</w:t>
      </w:r>
      <w:r w:rsidR="002368DF" w:rsidRPr="002368DF">
        <w:rPr>
          <w:rFonts w:cs="Arial"/>
        </w:rPr>
        <w:t>45.0</w:t>
      </w:r>
      <w:r w:rsidR="0032599C" w:rsidRPr="002368DF">
        <w:rPr>
          <w:rFonts w:cs="Arial"/>
        </w:rPr>
        <w:t>%</w:t>
      </w:r>
      <w:r w:rsidRPr="002368DF">
        <w:rPr>
          <w:rFonts w:cs="Arial"/>
        </w:rPr>
        <w:t>)</w:t>
      </w:r>
      <w:r w:rsidR="0032599C" w:rsidRPr="002368DF">
        <w:rPr>
          <w:rFonts w:cs="Arial"/>
        </w:rPr>
        <w:t xml:space="preserve"> had ROSC on arrival at hospital</w:t>
      </w:r>
      <w:r w:rsidR="002368DF" w:rsidRPr="002368DF">
        <w:rPr>
          <w:rFonts w:cs="Arial"/>
        </w:rPr>
        <w:t xml:space="preserve"> (Figure 5</w:t>
      </w:r>
      <w:r w:rsidR="00C814F1" w:rsidRPr="002368DF">
        <w:rPr>
          <w:rFonts w:cs="Arial"/>
        </w:rPr>
        <w:t>)</w:t>
      </w:r>
      <w:r w:rsidR="000E11CB" w:rsidRPr="002368DF">
        <w:rPr>
          <w:rFonts w:cs="Arial"/>
        </w:rPr>
        <w:t>. B</w:t>
      </w:r>
      <w:r w:rsidR="009D2C79" w:rsidRPr="002368DF">
        <w:rPr>
          <w:rFonts w:cs="Arial"/>
        </w:rPr>
        <w:t>elow</w:t>
      </w:r>
      <w:r w:rsidR="00BA610C" w:rsidRPr="002368DF">
        <w:rPr>
          <w:rFonts w:cs="Arial"/>
        </w:rPr>
        <w:t xml:space="preserve"> the England </w:t>
      </w:r>
      <w:r w:rsidR="0032599C" w:rsidRPr="002368DF">
        <w:rPr>
          <w:rFonts w:cs="Arial"/>
        </w:rPr>
        <w:t xml:space="preserve">average for </w:t>
      </w:r>
      <w:r w:rsidR="00DA4BA4" w:rsidRPr="002368DF">
        <w:rPr>
          <w:rFonts w:cs="Arial"/>
        </w:rPr>
        <w:t>2014-15 of 49</w:t>
      </w:r>
      <w:r w:rsidR="00EA7E9E" w:rsidRPr="002368DF">
        <w:rPr>
          <w:rFonts w:cs="Arial"/>
        </w:rPr>
        <w:t>.1</w:t>
      </w:r>
      <w:r w:rsidR="00DA4BA4" w:rsidRPr="002368DF">
        <w:rPr>
          <w:rFonts w:cs="Arial"/>
        </w:rPr>
        <w:t>%</w:t>
      </w:r>
      <w:r w:rsidR="0032599C" w:rsidRPr="002368DF">
        <w:rPr>
          <w:rFonts w:cs="Arial"/>
        </w:rPr>
        <w:t>.</w:t>
      </w:r>
      <w:r w:rsidR="00CF061B" w:rsidRPr="002368DF">
        <w:rPr>
          <w:rFonts w:cs="Arial"/>
        </w:rPr>
        <w:t xml:space="preserve"> </w:t>
      </w:r>
      <w:r w:rsidR="00BE0BD9" w:rsidRPr="002368DF">
        <w:rPr>
          <w:rFonts w:cs="Arial"/>
        </w:rPr>
        <w:t>The lar</w:t>
      </w:r>
      <w:r w:rsidR="002368DF" w:rsidRPr="002368DF">
        <w:rPr>
          <w:rFonts w:cs="Arial"/>
        </w:rPr>
        <w:t>gest proportion in the January</w:t>
      </w:r>
      <w:r w:rsidR="008E41D7" w:rsidRPr="002368DF">
        <w:rPr>
          <w:rFonts w:cs="Arial"/>
        </w:rPr>
        <w:t xml:space="preserve"> 2015 was</w:t>
      </w:r>
      <w:r w:rsidR="00AA3478" w:rsidRPr="002368DF">
        <w:rPr>
          <w:rFonts w:cs="Arial"/>
        </w:rPr>
        <w:t xml:space="preserve"> reported in</w:t>
      </w:r>
      <w:r w:rsidR="008E41D7" w:rsidRPr="002368DF">
        <w:rPr>
          <w:rFonts w:cs="Arial"/>
        </w:rPr>
        <w:t xml:space="preserve"> </w:t>
      </w:r>
      <w:r w:rsidR="002368DF" w:rsidRPr="002368DF">
        <w:rPr>
          <w:rFonts w:cs="Arial"/>
        </w:rPr>
        <w:t>North West with 61.2</w:t>
      </w:r>
      <w:r w:rsidR="00922AD2" w:rsidRPr="002368DF">
        <w:rPr>
          <w:rFonts w:cs="Arial"/>
        </w:rPr>
        <w:t>%, and t</w:t>
      </w:r>
      <w:r w:rsidR="00522906" w:rsidRPr="002368DF">
        <w:rPr>
          <w:rFonts w:cs="Arial"/>
        </w:rPr>
        <w:t xml:space="preserve">he </w:t>
      </w:r>
      <w:r w:rsidR="00BE0BD9" w:rsidRPr="002368DF">
        <w:rPr>
          <w:rFonts w:cs="Arial"/>
        </w:rPr>
        <w:t xml:space="preserve">smallest was </w:t>
      </w:r>
      <w:r w:rsidR="002368DF" w:rsidRPr="002368DF">
        <w:rPr>
          <w:rFonts w:cs="Arial"/>
        </w:rPr>
        <w:t>25.9% in</w:t>
      </w:r>
      <w:r w:rsidR="00AA3478" w:rsidRPr="002368DF">
        <w:rPr>
          <w:rFonts w:cs="Arial"/>
        </w:rPr>
        <w:t xml:space="preserve"> East</w:t>
      </w:r>
      <w:r w:rsidR="002368DF" w:rsidRPr="002368DF">
        <w:rPr>
          <w:rFonts w:cs="Arial"/>
        </w:rPr>
        <w:t xml:space="preserve"> Midlands</w:t>
      </w:r>
      <w:r w:rsidR="00BB12B3" w:rsidRPr="00C62E09">
        <w:rPr>
          <w:rStyle w:val="FootnoteReference"/>
        </w:rPr>
        <w:footnoteReference w:id="13"/>
      </w:r>
      <w:r w:rsidR="00BB12B3" w:rsidRPr="00C62E09">
        <w:t>.</w:t>
      </w:r>
    </w:p>
    <w:p w:rsidR="002368DF" w:rsidRPr="003A740D" w:rsidRDefault="002368DF" w:rsidP="0032599C">
      <w:pPr>
        <w:rPr>
          <w:rFonts w:cs="Arial"/>
          <w:highlight w:val="yellow"/>
        </w:rPr>
      </w:pPr>
      <w:r>
        <w:rPr>
          <w:noProof/>
        </w:rPr>
        <w:drawing>
          <wp:inline distT="0" distB="0" distL="0" distR="0" wp14:anchorId="55B20334" wp14:editId="2931C22D">
            <wp:extent cx="5681980" cy="3554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1980" cy="3554095"/>
                    </a:xfrm>
                    <a:prstGeom prst="rect">
                      <a:avLst/>
                    </a:prstGeom>
                    <a:noFill/>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7A2B8C" w:rsidRPr="003A740D" w:rsidRDefault="007A2B8C" w:rsidP="007A2B8C">
      <w:pPr>
        <w:rPr>
          <w:highlight w:val="yellow"/>
        </w:rPr>
      </w:pPr>
      <w:r w:rsidRPr="00C62E09">
        <w:t>The proportion of cardiac arrest patients in England discharged fr</w:t>
      </w:r>
      <w:r w:rsidR="00C52730" w:rsidRPr="00C62E09">
        <w:t>om hospital al</w:t>
      </w:r>
      <w:r w:rsidR="002368DF" w:rsidRPr="00C62E09">
        <w:t>ive was 6.4</w:t>
      </w:r>
      <w:r w:rsidR="002929F3" w:rsidRPr="00C62E09">
        <w:t xml:space="preserve">% in </w:t>
      </w:r>
      <w:r w:rsidR="002368DF" w:rsidRPr="00C62E09">
        <w:t>January 2016 (Figure 6)</w:t>
      </w:r>
      <w:r w:rsidRPr="00C62E09">
        <w:t xml:space="preserve">, </w:t>
      </w:r>
      <w:r w:rsidR="002368DF" w:rsidRPr="00C62E09">
        <w:t>significantly</w:t>
      </w:r>
      <w:r w:rsidR="00C62E09">
        <w:rPr>
          <w:rStyle w:val="FootnoteReference"/>
        </w:rPr>
        <w:footnoteReference w:id="14"/>
      </w:r>
      <w:r w:rsidR="00C62E09">
        <w:t xml:space="preserve"> below data</w:t>
      </w:r>
      <w:r w:rsidR="002368DF" w:rsidRPr="00C62E09">
        <w:t xml:space="preserve"> for the previous year</w:t>
      </w:r>
      <w:r w:rsidR="00C62E09" w:rsidRPr="00C62E09">
        <w:t xml:space="preserve"> and below th</w:t>
      </w:r>
      <w:r w:rsidR="00C52730" w:rsidRPr="00C62E09">
        <w:t xml:space="preserve">e </w:t>
      </w:r>
      <w:r w:rsidRPr="00C62E09">
        <w:t xml:space="preserve">average for 2014-15 of </w:t>
      </w:r>
      <w:r w:rsidR="00107C32" w:rsidRPr="00C62E09">
        <w:t>8.6</w:t>
      </w:r>
      <w:r w:rsidRPr="00C62E09">
        <w:t xml:space="preserve">%. The largest proportion </w:t>
      </w:r>
      <w:r w:rsidR="00C52730" w:rsidRPr="00C62E09">
        <w:t xml:space="preserve">in </w:t>
      </w:r>
      <w:r w:rsidR="00C62E09" w:rsidRPr="00C62E09">
        <w:t>January</w:t>
      </w:r>
      <w:r w:rsidR="001A013F" w:rsidRPr="00C62E09">
        <w:t xml:space="preserve"> </w:t>
      </w:r>
      <w:r w:rsidR="00C62E09" w:rsidRPr="00C62E09">
        <w:t>2016</w:t>
      </w:r>
      <w:r w:rsidR="00C73251" w:rsidRPr="00C62E09">
        <w:t xml:space="preserve"> </w:t>
      </w:r>
      <w:r w:rsidRPr="00C62E09">
        <w:t xml:space="preserve">was </w:t>
      </w:r>
      <w:r w:rsidR="00C62E09" w:rsidRPr="00C62E09">
        <w:t>13</w:t>
      </w:r>
      <w:r w:rsidR="002929F3" w:rsidRPr="00C62E09">
        <w:t>.</w:t>
      </w:r>
      <w:r w:rsidR="00C62E09" w:rsidRPr="00C62E09">
        <w:t>4</w:t>
      </w:r>
      <w:r w:rsidR="00C73251" w:rsidRPr="00C62E09">
        <w:t xml:space="preserve">% for </w:t>
      </w:r>
      <w:r w:rsidR="00EA7E9E" w:rsidRPr="00C62E09">
        <w:t xml:space="preserve">South </w:t>
      </w:r>
      <w:r w:rsidR="00BB12B3" w:rsidRPr="00C62E09">
        <w:t>Central;</w:t>
      </w:r>
      <w:r w:rsidRPr="00C62E09">
        <w:t xml:space="preserve"> </w:t>
      </w:r>
      <w:r w:rsidR="00C73251" w:rsidRPr="00C62E09">
        <w:t>the smallest</w:t>
      </w:r>
      <w:r w:rsidR="00C62E09" w:rsidRPr="00C62E09">
        <w:t xml:space="preserve"> was 3.2</w:t>
      </w:r>
      <w:r w:rsidR="009D46E5" w:rsidRPr="00C62E09">
        <w:t>% for</w:t>
      </w:r>
      <w:r w:rsidR="00C62E09" w:rsidRPr="00C62E09">
        <w:t xml:space="preserve"> South</w:t>
      </w:r>
      <w:r w:rsidR="000E11CB" w:rsidRPr="00C62E09">
        <w:t xml:space="preserve"> East</w:t>
      </w:r>
      <w:r w:rsidR="00C62E09" w:rsidRPr="00C62E09">
        <w:t xml:space="preserve"> Coast</w:t>
      </w:r>
      <w:r w:rsidR="00F903F3">
        <w:rPr>
          <w:szCs w:val="22"/>
          <w:vertAlign w:val="superscript"/>
        </w:rPr>
        <w:t>13</w:t>
      </w:r>
      <w:r w:rsidR="00C73251" w:rsidRPr="00C62E09">
        <w:t>.</w:t>
      </w:r>
    </w:p>
    <w:p w:rsidR="00C73251" w:rsidRPr="003A740D" w:rsidRDefault="00C73251" w:rsidP="00C73251">
      <w:pPr>
        <w:rPr>
          <w:highlight w:val="yellow"/>
        </w:rPr>
      </w:pPr>
      <w:r w:rsidRPr="00C62E09">
        <w:t>For the Utstein gro</w:t>
      </w:r>
      <w:r w:rsidR="00717328" w:rsidRPr="00C62E09">
        <w:t>u</w:t>
      </w:r>
      <w:r w:rsidR="00873A1E" w:rsidRPr="00C62E09">
        <w:t>p,</w:t>
      </w:r>
      <w:r w:rsidR="0031580B" w:rsidRPr="00C62E09">
        <w:t xml:space="preserve"> su</w:t>
      </w:r>
      <w:r w:rsidR="009D46E5" w:rsidRPr="00C62E09">
        <w:t xml:space="preserve">rvival to discharge in </w:t>
      </w:r>
      <w:r w:rsidR="00C62E09" w:rsidRPr="00C62E09">
        <w:t>January</w:t>
      </w:r>
      <w:r w:rsidR="0031580B" w:rsidRPr="00C62E09">
        <w:t xml:space="preserve"> </w:t>
      </w:r>
      <w:r w:rsidR="00C62E09" w:rsidRPr="00C62E09">
        <w:t>2016 was significantly</w:t>
      </w:r>
      <w:r w:rsidR="001C6FC4">
        <w:rPr>
          <w:szCs w:val="22"/>
          <w:vertAlign w:val="superscript"/>
        </w:rPr>
        <w:t>1</w:t>
      </w:r>
      <w:r w:rsidR="00F903F3">
        <w:rPr>
          <w:szCs w:val="22"/>
          <w:vertAlign w:val="superscript"/>
        </w:rPr>
        <w:t>4</w:t>
      </w:r>
      <w:r w:rsidR="00BB12B3">
        <w:t xml:space="preserve"> down </w:t>
      </w:r>
      <w:r w:rsidR="00C62E09" w:rsidRPr="00C62E09">
        <w:t>at 20</w:t>
      </w:r>
      <w:r w:rsidR="000E66BF" w:rsidRPr="00C62E09">
        <w:t>.</w:t>
      </w:r>
      <w:r w:rsidR="00C62E09" w:rsidRPr="00C62E09">
        <w:t>6</w:t>
      </w:r>
      <w:r w:rsidRPr="00C62E09">
        <w:t>%</w:t>
      </w:r>
      <w:r w:rsidR="00C62E09" w:rsidRPr="00C62E09">
        <w:t xml:space="preserve"> and </w:t>
      </w:r>
      <w:r w:rsidR="009D46E5" w:rsidRPr="00C62E09">
        <w:t>lowe</w:t>
      </w:r>
      <w:r w:rsidR="000E66BF" w:rsidRPr="00C62E09">
        <w:t>r than</w:t>
      </w:r>
      <w:r w:rsidR="0083071A" w:rsidRPr="00C62E09">
        <w:t xml:space="preserve"> </w:t>
      </w:r>
      <w:r w:rsidR="002929F3" w:rsidRPr="00C62E09">
        <w:t xml:space="preserve">the </w:t>
      </w:r>
      <w:r w:rsidRPr="00C62E09">
        <w:t xml:space="preserve">average </w:t>
      </w:r>
      <w:r w:rsidR="006154B4" w:rsidRPr="00C62E09">
        <w:t xml:space="preserve">for 2014-15 of </w:t>
      </w:r>
      <w:r w:rsidRPr="00C62E09">
        <w:t>26</w:t>
      </w:r>
      <w:r w:rsidR="0083071A" w:rsidRPr="00C62E09">
        <w:t>.3</w:t>
      </w:r>
      <w:r w:rsidRPr="00C62E09">
        <w:t>%</w:t>
      </w:r>
      <w:r w:rsidR="00717328" w:rsidRPr="00C62E09">
        <w:t xml:space="preserve">. The </w:t>
      </w:r>
      <w:r w:rsidR="00C62E09" w:rsidRPr="00C62E09">
        <w:t>largest proportion was 33.3</w:t>
      </w:r>
      <w:r w:rsidRPr="00C62E09">
        <w:t>% for</w:t>
      </w:r>
      <w:r w:rsidR="002929F3" w:rsidRPr="00C62E09">
        <w:t xml:space="preserve"> </w:t>
      </w:r>
      <w:r w:rsidR="00C62E09" w:rsidRPr="00C62E09">
        <w:t xml:space="preserve">North </w:t>
      </w:r>
      <w:r w:rsidR="00BB12B3" w:rsidRPr="00C62E09">
        <w:t>East;</w:t>
      </w:r>
      <w:r w:rsidRPr="00C62E09">
        <w:t xml:space="preserve"> the smallest</w:t>
      </w:r>
      <w:r w:rsidR="00C62E09" w:rsidRPr="00C62E09">
        <w:t xml:space="preserve"> was 16</w:t>
      </w:r>
      <w:r w:rsidR="000E66BF" w:rsidRPr="00C62E09">
        <w:t>.</w:t>
      </w:r>
      <w:r w:rsidR="00C62E09" w:rsidRPr="00C62E09">
        <w:t>2</w:t>
      </w:r>
      <w:r w:rsidR="00873A1E" w:rsidRPr="00C62E09">
        <w:t>% for</w:t>
      </w:r>
      <w:r w:rsidR="000E66BF" w:rsidRPr="00C62E09">
        <w:t xml:space="preserve"> </w:t>
      </w:r>
      <w:r w:rsidR="000E11CB" w:rsidRPr="00C62E09">
        <w:t>East of England</w:t>
      </w:r>
      <w:r w:rsidR="00F903F3" w:rsidRPr="00F903F3">
        <w:rPr>
          <w:vertAlign w:val="superscript"/>
        </w:rPr>
        <w:t>13</w:t>
      </w:r>
      <w:r w:rsidRPr="00C62E09">
        <w:t>.</w:t>
      </w:r>
    </w:p>
    <w:p w:rsidR="00E6125B" w:rsidRPr="003A740D" w:rsidRDefault="00EF56B7" w:rsidP="0032599C">
      <w:pPr>
        <w:rPr>
          <w:highlight w:val="yellow"/>
        </w:rPr>
      </w:pPr>
      <w:r>
        <w:rPr>
          <w:noProof/>
        </w:rPr>
        <w:lastRenderedPageBreak/>
        <w:drawing>
          <wp:inline distT="0" distB="0" distL="0" distR="0" wp14:anchorId="74F2FB7B" wp14:editId="28A6944C">
            <wp:extent cx="5669915" cy="2871470"/>
            <wp:effectExtent l="0" t="0" r="698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097D78" w:rsidRPr="003A740D" w:rsidRDefault="00EF56B7" w:rsidP="00104812">
      <w:pPr>
        <w:rPr>
          <w:highlight w:val="yellow"/>
        </w:rPr>
      </w:pPr>
      <w:r w:rsidRPr="00EF56B7">
        <w:t>941</w:t>
      </w:r>
      <w:r w:rsidR="000E66BF" w:rsidRPr="00EF56B7">
        <w:t xml:space="preserve"> </w:t>
      </w:r>
      <w:r w:rsidR="00097D78" w:rsidRPr="00EF56B7">
        <w:t>STEMI patients</w:t>
      </w:r>
      <w:r w:rsidR="00104812" w:rsidRPr="00EF56B7">
        <w:t xml:space="preserve"> received primary angioplasty in </w:t>
      </w:r>
      <w:r w:rsidR="00BB12B3">
        <w:t>January 2016</w:t>
      </w:r>
      <w:r w:rsidR="00104812" w:rsidRPr="00EF56B7">
        <w:t xml:space="preserve"> in England</w:t>
      </w:r>
      <w:r w:rsidRPr="00EF56B7">
        <w:t>. Of these 941</w:t>
      </w:r>
      <w:r w:rsidR="002929F3" w:rsidRPr="00EF56B7">
        <w:t xml:space="preserve"> </w:t>
      </w:r>
      <w:r w:rsidR="00097D78" w:rsidRPr="00EF56B7">
        <w:t>patients</w:t>
      </w:r>
      <w:r w:rsidR="00104812" w:rsidRPr="00EF56B7">
        <w:t xml:space="preserve">, </w:t>
      </w:r>
      <w:r w:rsidRPr="00EF56B7">
        <w:t>823</w:t>
      </w:r>
      <w:r w:rsidR="00104812" w:rsidRPr="00EF56B7">
        <w:t xml:space="preserve"> (8</w:t>
      </w:r>
      <w:r w:rsidRPr="00EF56B7">
        <w:t>7.5</w:t>
      </w:r>
      <w:r w:rsidR="00104812" w:rsidRPr="00EF56B7">
        <w:t xml:space="preserve">%) of them received it within 150 minutes of the call being connected to the ambulance service (Figure </w:t>
      </w:r>
      <w:r w:rsidRPr="00EF56B7">
        <w:t>7</w:t>
      </w:r>
      <w:r w:rsidR="00ED39A0" w:rsidRPr="00EF56B7">
        <w:t xml:space="preserve">), </w:t>
      </w:r>
      <w:r w:rsidRPr="00EF56B7">
        <w:t xml:space="preserve">similar to </w:t>
      </w:r>
      <w:r w:rsidR="00104812" w:rsidRPr="00EF56B7">
        <w:t xml:space="preserve">the </w:t>
      </w:r>
      <w:r w:rsidR="002929F3" w:rsidRPr="00EF56B7">
        <w:t>average for 2014-15</w:t>
      </w:r>
      <w:r w:rsidR="00ED39A0" w:rsidRPr="00EF56B7">
        <w:t xml:space="preserve">. </w:t>
      </w:r>
      <w:r w:rsidR="00ED39A0" w:rsidRPr="002C256A">
        <w:t>T</w:t>
      </w:r>
      <w:r w:rsidR="00E125FC" w:rsidRPr="002C256A">
        <w:t xml:space="preserve">he largest proportion </w:t>
      </w:r>
      <w:r w:rsidR="009D46E5" w:rsidRPr="002C256A">
        <w:t xml:space="preserve">for </w:t>
      </w:r>
      <w:r w:rsidRPr="002C256A">
        <w:t>January</w:t>
      </w:r>
      <w:r w:rsidR="00E125FC" w:rsidRPr="002C256A">
        <w:t xml:space="preserve"> 2015 was </w:t>
      </w:r>
      <w:r w:rsidRPr="002C256A">
        <w:t>95.2</w:t>
      </w:r>
      <w:r w:rsidR="00E125FC" w:rsidRPr="002C256A">
        <w:t xml:space="preserve">% for </w:t>
      </w:r>
      <w:r w:rsidRPr="002C256A">
        <w:t>London</w:t>
      </w:r>
      <w:r w:rsidR="005E1E7F" w:rsidRPr="002C256A">
        <w:rPr>
          <w:rStyle w:val="FootnoteReference"/>
        </w:rPr>
        <w:footnoteReference w:id="15"/>
      </w:r>
      <w:r w:rsidR="00E125FC" w:rsidRPr="002C256A">
        <w:t>, and the smallest</w:t>
      </w:r>
      <w:r w:rsidR="008C3945" w:rsidRPr="002C256A">
        <w:t xml:space="preserve"> </w:t>
      </w:r>
      <w:r w:rsidR="00E125FC" w:rsidRPr="002C256A">
        <w:t>was</w:t>
      </w:r>
      <w:r w:rsidR="002C256A" w:rsidRPr="002C256A">
        <w:t xml:space="preserve"> 79</w:t>
      </w:r>
      <w:r w:rsidR="000E66BF" w:rsidRPr="002C256A">
        <w:t>.</w:t>
      </w:r>
      <w:r w:rsidR="002C256A" w:rsidRPr="002C256A">
        <w:t>0</w:t>
      </w:r>
      <w:r w:rsidR="00E125FC" w:rsidRPr="002C256A">
        <w:t xml:space="preserve">% for </w:t>
      </w:r>
      <w:r w:rsidR="002C256A" w:rsidRPr="002C256A">
        <w:t>Yorkshire</w:t>
      </w:r>
      <w:r w:rsidR="00E6125B" w:rsidRPr="002C256A">
        <w:t>.</w:t>
      </w:r>
    </w:p>
    <w:p w:rsidR="00D30055" w:rsidRPr="003A740D" w:rsidRDefault="002C256A" w:rsidP="00104812">
      <w:pPr>
        <w:rPr>
          <w:highlight w:val="yellow"/>
        </w:rPr>
      </w:pPr>
      <w:r>
        <w:rPr>
          <w:noProof/>
        </w:rPr>
        <w:drawing>
          <wp:inline distT="0" distB="0" distL="0" distR="0" wp14:anchorId="1993EFC5" wp14:editId="5B6208F8">
            <wp:extent cx="5602605" cy="29387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605" cy="2938780"/>
                    </a:xfrm>
                    <a:prstGeom prst="rect">
                      <a:avLst/>
                    </a:prstGeom>
                    <a:noFill/>
                  </pic:spPr>
                </pic:pic>
              </a:graphicData>
            </a:graphic>
          </wp:inline>
        </w:drawing>
      </w:r>
    </w:p>
    <w:p w:rsidR="00104812" w:rsidRPr="003A740D" w:rsidRDefault="009D46E5" w:rsidP="00104812">
      <w:pPr>
        <w:rPr>
          <w:highlight w:val="yellow"/>
        </w:rPr>
      </w:pPr>
      <w:r w:rsidRPr="002C256A">
        <w:lastRenderedPageBreak/>
        <w:t xml:space="preserve">In </w:t>
      </w:r>
      <w:r w:rsidR="002C256A" w:rsidRPr="002C256A">
        <w:t>January 2016</w:t>
      </w:r>
      <w:r w:rsidR="00104812" w:rsidRPr="002C256A">
        <w:t xml:space="preserve">, of </w:t>
      </w:r>
      <w:r w:rsidR="00097D78" w:rsidRPr="002C256A">
        <w:t>1,</w:t>
      </w:r>
      <w:r w:rsidR="002C256A" w:rsidRPr="002C256A">
        <w:t>419</w:t>
      </w:r>
      <w:r w:rsidR="00B730BB" w:rsidRPr="002C256A">
        <w:t xml:space="preserve"> </w:t>
      </w:r>
      <w:r w:rsidR="00104812" w:rsidRPr="002C256A">
        <w:t xml:space="preserve">patients with an acute STEMI in England, </w:t>
      </w:r>
      <w:r w:rsidR="002C256A" w:rsidRPr="002C256A">
        <w:t>1,136</w:t>
      </w:r>
      <w:r w:rsidR="00B855BA" w:rsidRPr="002C256A">
        <w:t xml:space="preserve"> </w:t>
      </w:r>
      <w:r w:rsidR="002C256A" w:rsidRPr="002C256A">
        <w:t>(80.1</w:t>
      </w:r>
      <w:r w:rsidR="00104812" w:rsidRPr="002C256A">
        <w:t>%) received the appropriate care bundle</w:t>
      </w:r>
      <w:r w:rsidR="00104812" w:rsidRPr="002C256A">
        <w:rPr>
          <w:rStyle w:val="FootnoteReference"/>
        </w:rPr>
        <w:footnoteReference w:id="16"/>
      </w:r>
      <w:r w:rsidR="00104812" w:rsidRPr="002C256A">
        <w:t xml:space="preserve">. This was </w:t>
      </w:r>
      <w:r w:rsidR="00B730BB" w:rsidRPr="002C256A">
        <w:t>similar to t</w:t>
      </w:r>
      <w:r w:rsidR="00104812" w:rsidRPr="002C256A">
        <w:t>he average for 2014-15 of 80</w:t>
      </w:r>
      <w:r w:rsidR="00775DE6" w:rsidRPr="002C256A">
        <w:t>.0</w:t>
      </w:r>
      <w:r w:rsidR="00104812" w:rsidRPr="002C256A">
        <w:t>%.</w:t>
      </w:r>
      <w:r w:rsidR="0023382F" w:rsidRPr="002C256A">
        <w:t xml:space="preserve"> </w:t>
      </w:r>
      <w:r w:rsidR="002C256A" w:rsidRPr="002C256A">
        <w:t>East of England</w:t>
      </w:r>
      <w:r w:rsidR="00A32CDF" w:rsidRPr="002C256A">
        <w:t xml:space="preserve"> h</w:t>
      </w:r>
      <w:r w:rsidR="004A1C61" w:rsidRPr="002C256A">
        <w:t>ad the largest proportion</w:t>
      </w:r>
      <w:r w:rsidR="002C256A" w:rsidRPr="002C256A">
        <w:t xml:space="preserve"> with 93.4</w:t>
      </w:r>
      <w:r w:rsidR="00A32CDF" w:rsidRPr="002C256A">
        <w:t xml:space="preserve">%, and </w:t>
      </w:r>
      <w:r w:rsidR="004A1C61" w:rsidRPr="002C256A">
        <w:t>the sm</w:t>
      </w:r>
      <w:r w:rsidR="00DE0599" w:rsidRPr="002C256A">
        <w:t xml:space="preserve">allest was </w:t>
      </w:r>
      <w:r w:rsidR="00E524CF" w:rsidRPr="002C256A">
        <w:t>South East Coast</w:t>
      </w:r>
      <w:r w:rsidR="00DE0599" w:rsidRPr="002C256A">
        <w:t xml:space="preserve"> with</w:t>
      </w:r>
      <w:r w:rsidR="002C256A" w:rsidRPr="002C256A">
        <w:t xml:space="preserve"> 65.7</w:t>
      </w:r>
      <w:r w:rsidR="00E524CF" w:rsidRPr="002C256A">
        <w:t>%</w:t>
      </w:r>
      <w:r w:rsidR="00E46B90" w:rsidRPr="002C256A">
        <w:t>.</w:t>
      </w:r>
    </w:p>
    <w:p w:rsidR="003A0D0C" w:rsidRPr="002C256A" w:rsidRDefault="003A0D0C" w:rsidP="003A0D0C">
      <w:pPr>
        <w:pStyle w:val="Heading3"/>
      </w:pPr>
      <w:r w:rsidRPr="002C256A">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C95B24" w:rsidRPr="00C053F5" w:rsidRDefault="0032599C" w:rsidP="00312B69">
      <w:r w:rsidRPr="002C256A">
        <w:t xml:space="preserve">In </w:t>
      </w:r>
      <w:r w:rsidR="002C256A" w:rsidRPr="002C256A">
        <w:t>January</w:t>
      </w:r>
      <w:r w:rsidR="00C835FB" w:rsidRPr="002C256A">
        <w:t xml:space="preserve"> </w:t>
      </w:r>
      <w:r w:rsidR="00240F81" w:rsidRPr="002C256A">
        <w:t>2</w:t>
      </w:r>
      <w:r w:rsidR="002C256A" w:rsidRPr="002C256A">
        <w:t>016</w:t>
      </w:r>
      <w:r w:rsidRPr="002C256A">
        <w:t xml:space="preserve">, of </w:t>
      </w:r>
      <w:r w:rsidR="00E524CF" w:rsidRPr="002C256A">
        <w:t>3,</w:t>
      </w:r>
      <w:r w:rsidR="002C256A" w:rsidRPr="002C256A">
        <w:t>507</w:t>
      </w:r>
      <w:r w:rsidR="00B855BA" w:rsidRPr="002C256A">
        <w:t xml:space="preserve"> </w:t>
      </w:r>
      <w:r w:rsidRPr="002C256A">
        <w:t xml:space="preserve">FAST positive patients in England, assessed face to face, and potentially eligible for stroke thrombolysis within agreed local guidelines, </w:t>
      </w:r>
      <w:r w:rsidR="002C256A" w:rsidRPr="00C053F5">
        <w:t>1,812</w:t>
      </w:r>
      <w:r w:rsidR="005F1582" w:rsidRPr="00C053F5">
        <w:t xml:space="preserve"> </w:t>
      </w:r>
      <w:r w:rsidRPr="00C053F5">
        <w:t>(</w:t>
      </w:r>
      <w:r w:rsidR="00670741" w:rsidRPr="00C053F5">
        <w:t>5</w:t>
      </w:r>
      <w:r w:rsidR="00C053F5" w:rsidRPr="00C053F5">
        <w:t>1</w:t>
      </w:r>
      <w:r w:rsidR="00DE0599" w:rsidRPr="00C053F5">
        <w:t>.</w:t>
      </w:r>
      <w:r w:rsidR="00C053F5" w:rsidRPr="00C053F5">
        <w:t>7</w:t>
      </w:r>
      <w:r w:rsidRPr="00C053F5">
        <w:t>%) arrived at hospitals with a hyperacute stroke unit within 60 minutes of an emergency call connecting to the ambulanc</w:t>
      </w:r>
      <w:r w:rsidR="00881BB4" w:rsidRPr="00C053F5">
        <w:t>e service</w:t>
      </w:r>
      <w:r w:rsidR="00E524CF" w:rsidRPr="00C053F5">
        <w:t>,</w:t>
      </w:r>
      <w:r w:rsidR="00670741" w:rsidRPr="00C053F5">
        <w:t xml:space="preserve"> below </w:t>
      </w:r>
      <w:r w:rsidR="00B855BA" w:rsidRPr="00C053F5">
        <w:t xml:space="preserve">the </w:t>
      </w:r>
      <w:r w:rsidR="00806A50" w:rsidRPr="00C053F5">
        <w:t>average for 2014-15 of 59</w:t>
      </w:r>
      <w:r w:rsidR="00775DE6" w:rsidRPr="00C053F5">
        <w:t>.0</w:t>
      </w:r>
      <w:r w:rsidR="00806A50" w:rsidRPr="00C053F5">
        <w:t>%</w:t>
      </w:r>
      <w:r w:rsidR="00BB12B3">
        <w:t xml:space="preserve"> and the lowest recorded </w:t>
      </w:r>
      <w:r w:rsidR="00C053F5" w:rsidRPr="00C053F5">
        <w:t>proportion since data collection began in April 2011.</w:t>
      </w:r>
      <w:r w:rsidR="00A56A04" w:rsidRPr="00C053F5">
        <w:t xml:space="preserve"> </w:t>
      </w:r>
    </w:p>
    <w:p w:rsidR="00312B69" w:rsidRPr="00C053F5" w:rsidRDefault="00312B69" w:rsidP="00312B69">
      <w:r w:rsidRPr="00C053F5">
        <w:t>The la</w:t>
      </w:r>
      <w:r w:rsidR="00DE0599" w:rsidRPr="00C053F5">
        <w:t>rgest proportion for</w:t>
      </w:r>
      <w:r w:rsidRPr="00C053F5">
        <w:t xml:space="preserve"> </w:t>
      </w:r>
      <w:r w:rsidR="00C053F5" w:rsidRPr="00C053F5">
        <w:t>January</w:t>
      </w:r>
      <w:r w:rsidRPr="00C053F5">
        <w:t xml:space="preserve"> </w:t>
      </w:r>
      <w:r w:rsidR="00C053F5" w:rsidRPr="00C053F5">
        <w:t>2016 was 61</w:t>
      </w:r>
      <w:r w:rsidR="00DE0599" w:rsidRPr="00C053F5">
        <w:t>.</w:t>
      </w:r>
      <w:r w:rsidR="00C053F5" w:rsidRPr="00C053F5">
        <w:t>8</w:t>
      </w:r>
      <w:r w:rsidR="00A56A04" w:rsidRPr="00C053F5">
        <w:t xml:space="preserve">% for </w:t>
      </w:r>
      <w:r w:rsidR="00C053F5" w:rsidRPr="00C053F5">
        <w:t>London</w:t>
      </w:r>
      <w:r w:rsidR="00BB12B3" w:rsidRPr="00C62E09">
        <w:rPr>
          <w:rStyle w:val="FootnoteReference"/>
        </w:rPr>
        <w:footnoteReference w:id="17"/>
      </w:r>
      <w:r w:rsidRPr="00C053F5">
        <w:t xml:space="preserve"> and </w:t>
      </w:r>
      <w:r w:rsidR="00E524CF" w:rsidRPr="00C053F5">
        <w:t>t</w:t>
      </w:r>
      <w:r w:rsidRPr="00C053F5">
        <w:t xml:space="preserve">he smallest was </w:t>
      </w:r>
      <w:r w:rsidR="00C053F5" w:rsidRPr="00C053F5">
        <w:t>41</w:t>
      </w:r>
      <w:r w:rsidR="00DE0599" w:rsidRPr="00C053F5">
        <w:t>.</w:t>
      </w:r>
      <w:r w:rsidR="00C053F5" w:rsidRPr="00C053F5">
        <w:t>1</w:t>
      </w:r>
      <w:r w:rsidRPr="00C053F5">
        <w:t xml:space="preserve">% for </w:t>
      </w:r>
      <w:r w:rsidR="00C053F5" w:rsidRPr="00C053F5">
        <w:t>East Midlands</w:t>
      </w:r>
      <w:r w:rsidRPr="00C053F5">
        <w:t>.</w:t>
      </w:r>
    </w:p>
    <w:p w:rsidR="006E6FAF" w:rsidRPr="00C053F5" w:rsidRDefault="006A5F54" w:rsidP="001E75EA">
      <w:bookmarkStart w:id="2" w:name="OLE_LINK3"/>
      <w:r w:rsidRPr="00C053F5">
        <w:t>T</w:t>
      </w:r>
      <w:r w:rsidR="00033CF1" w:rsidRPr="00C053F5">
        <w:t xml:space="preserve">here were </w:t>
      </w:r>
      <w:r w:rsidR="00C053F5" w:rsidRPr="00C053F5">
        <w:t>7,518</w:t>
      </w:r>
      <w:r w:rsidR="00842445" w:rsidRPr="00C053F5">
        <w:t xml:space="preserve"> </w:t>
      </w:r>
      <w:r w:rsidR="00033CF1" w:rsidRPr="00C053F5">
        <w:t xml:space="preserve">stroke patients assessed face to face in </w:t>
      </w:r>
      <w:r w:rsidR="00C053F5" w:rsidRPr="00C053F5">
        <w:t>January</w:t>
      </w:r>
      <w:r w:rsidR="00842445" w:rsidRPr="00C053F5">
        <w:t xml:space="preserve"> </w:t>
      </w:r>
      <w:r w:rsidR="00C053F5" w:rsidRPr="00C053F5">
        <w:t>2016</w:t>
      </w:r>
      <w:r w:rsidR="00E524CF" w:rsidRPr="00C053F5">
        <w:t xml:space="preserve"> </w:t>
      </w:r>
      <w:r w:rsidR="00033CF1" w:rsidRPr="00C053F5">
        <w:t xml:space="preserve">in England, and </w:t>
      </w:r>
      <w:r w:rsidR="00C053F5" w:rsidRPr="00C053F5">
        <w:t>7</w:t>
      </w:r>
      <w:r w:rsidR="00A4662B" w:rsidRPr="00C053F5">
        <w:t>,</w:t>
      </w:r>
      <w:r w:rsidR="00C053F5" w:rsidRPr="00C053F5">
        <w:t>352</w:t>
      </w:r>
      <w:r w:rsidR="00A56A04" w:rsidRPr="00C053F5">
        <w:t xml:space="preserve"> (97</w:t>
      </w:r>
      <w:r w:rsidR="00C053F5" w:rsidRPr="00C053F5">
        <w:t>.8</w:t>
      </w:r>
      <w:r w:rsidR="00033CF1" w:rsidRPr="00C053F5">
        <w:t>%) received the appropriate care bundle</w:t>
      </w:r>
      <w:r w:rsidR="00C053F5" w:rsidRPr="00C053F5">
        <w:t>, similar to</w:t>
      </w:r>
      <w:r w:rsidR="00A4662B" w:rsidRPr="00C053F5">
        <w:t xml:space="preserve"> the </w:t>
      </w:r>
      <w:r w:rsidR="00CE0C83" w:rsidRPr="00C053F5">
        <w:t>average for 2014-15 of</w:t>
      </w:r>
      <w:r w:rsidR="006034E1" w:rsidRPr="00C053F5">
        <w:t xml:space="preserve"> </w:t>
      </w:r>
      <w:r w:rsidR="00352975" w:rsidRPr="00C053F5">
        <w:t>97</w:t>
      </w:r>
      <w:bookmarkEnd w:id="2"/>
      <w:r w:rsidR="00775DE6" w:rsidRPr="00C053F5">
        <w:t>.1</w:t>
      </w:r>
      <w:r w:rsidR="00E97670" w:rsidRPr="00C053F5">
        <w:t>%</w:t>
      </w:r>
      <w:r w:rsidR="009A4740" w:rsidRPr="00C053F5">
        <w:t>.</w:t>
      </w:r>
      <w:r w:rsidR="00C053F5">
        <w:t xml:space="preserve"> The highest proportion was recorded in the North West</w:t>
      </w:r>
      <w:r w:rsidR="006A4905" w:rsidRPr="006A4905">
        <w:rPr>
          <w:vertAlign w:val="superscript"/>
        </w:rPr>
        <w:t>17</w:t>
      </w:r>
      <w:r w:rsidR="00C053F5">
        <w:t xml:space="preserve"> with 100% of patients receiv</w:t>
      </w:r>
      <w:r w:rsidR="0009007C">
        <w:t>ing the appropriate care bundle.</w:t>
      </w:r>
    </w:p>
    <w:p w:rsidR="007573D5" w:rsidRDefault="0009007C" w:rsidP="0032599C">
      <w:r>
        <w:rPr>
          <w:noProof/>
        </w:rPr>
        <w:drawing>
          <wp:inline distT="0" distB="0" distL="0" distR="0" wp14:anchorId="5AFEF8F8" wp14:editId="02A22AFF">
            <wp:extent cx="5517515" cy="287782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7515" cy="2877820"/>
                    </a:xfrm>
                    <a:prstGeom prst="rect">
                      <a:avLst/>
                    </a:prstGeom>
                    <a:noFill/>
                  </pic:spPr>
                </pic:pic>
              </a:graphicData>
            </a:graphic>
          </wp:inline>
        </w:drawing>
      </w:r>
    </w:p>
    <w:p w:rsidR="00AF32CD" w:rsidRDefault="00AF32CD" w:rsidP="0032599C"/>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7362DE"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0"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B870E5" w:rsidTr="005B5932">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12 May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870E5" w:rsidRPr="00167741" w:rsidRDefault="00B870E5" w:rsidP="00CE0C83">
            <w:pPr>
              <w:pStyle w:val="NoSpacing"/>
            </w:pPr>
            <w:r w:rsidRPr="00167741">
              <w:t>Systems Indicators</w:t>
            </w:r>
          </w:p>
        </w:tc>
        <w:tc>
          <w:tcPr>
            <w:tcW w:w="236" w:type="dxa"/>
            <w:tcBorders>
              <w:top w:val="nil"/>
              <w:bottom w:val="nil"/>
            </w:tcBorders>
            <w:tcMar>
              <w:left w:w="57" w:type="dxa"/>
              <w:right w:w="57" w:type="dxa"/>
            </w:tcMar>
          </w:tcPr>
          <w:p w:rsidR="00B870E5" w:rsidRPr="00167741" w:rsidRDefault="00B870E5" w:rsidP="00CE0C83">
            <w:pPr>
              <w:pStyle w:val="NoSpacing"/>
            </w:pPr>
          </w:p>
        </w:tc>
        <w:tc>
          <w:tcPr>
            <w:tcW w:w="3585" w:type="dxa"/>
            <w:tcBorders>
              <w:top w:val="nil"/>
              <w:bottom w:val="nil"/>
            </w:tcBorders>
            <w:tcMar>
              <w:left w:w="57" w:type="dxa"/>
              <w:right w:w="57" w:type="dxa"/>
            </w:tcMar>
          </w:tcPr>
          <w:p w:rsidR="00B870E5" w:rsidRPr="00167741" w:rsidRDefault="00B870E5" w:rsidP="00B870E5">
            <w:pPr>
              <w:pStyle w:val="NoSpacing"/>
            </w:pPr>
            <w:r w:rsidRPr="00167741">
              <w:t>April 2015 to February 2016</w:t>
            </w:r>
          </w:p>
        </w:tc>
      </w:tr>
      <w:tr w:rsidR="00B870E5" w:rsidTr="00C73251">
        <w:trPr>
          <w:trHeight w:val="454"/>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10 March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870E5" w:rsidRPr="00167741" w:rsidRDefault="00B870E5" w:rsidP="00CE0C83">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CE0C83">
            <w:pPr>
              <w:pStyle w:val="NoSpacing"/>
              <w:jc w:val="center"/>
            </w:pPr>
          </w:p>
        </w:tc>
        <w:tc>
          <w:tcPr>
            <w:tcW w:w="3585" w:type="dxa"/>
            <w:tcBorders>
              <w:top w:val="nil"/>
              <w:bottom w:val="nil"/>
            </w:tcBorders>
            <w:tcMar>
              <w:left w:w="57" w:type="dxa"/>
              <w:right w:w="57" w:type="dxa"/>
            </w:tcMar>
          </w:tcPr>
          <w:p w:rsidR="00B870E5" w:rsidRPr="00167741" w:rsidRDefault="00B870E5" w:rsidP="00CE0C83">
            <w:pPr>
              <w:pStyle w:val="NoSpacing"/>
            </w:pPr>
            <w:r w:rsidRPr="00167741">
              <w:t>April 2015 to September 2015</w:t>
            </w:r>
          </w:p>
        </w:tc>
      </w:tr>
      <w:tr w:rsidR="00B870E5" w:rsidTr="005B5932">
        <w:trPr>
          <w:trHeight w:val="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10 September 2015</w:t>
            </w:r>
          </w:p>
        </w:tc>
        <w:tc>
          <w:tcPr>
            <w:tcW w:w="284" w:type="dxa"/>
            <w:tcBorders>
              <w:top w:val="nil"/>
              <w:bottom w:val="nil"/>
            </w:tcBorders>
            <w:tcMar>
              <w:left w:w="57" w:type="dxa"/>
              <w:right w:w="57" w:type="dxa"/>
            </w:tcMar>
          </w:tcPr>
          <w:p w:rsidR="00B870E5" w:rsidRPr="00167741" w:rsidRDefault="00B870E5" w:rsidP="005B5932">
            <w:pPr>
              <w:pStyle w:val="NoSpacing"/>
              <w:jc w:val="center"/>
            </w:pPr>
          </w:p>
        </w:tc>
        <w:tc>
          <w:tcPr>
            <w:tcW w:w="2149" w:type="dxa"/>
            <w:tcBorders>
              <w:top w:val="nil"/>
              <w:bottom w:val="nil"/>
            </w:tcBorders>
            <w:tcMar>
              <w:left w:w="57" w:type="dxa"/>
              <w:right w:w="57" w:type="dxa"/>
            </w:tcMar>
          </w:tcPr>
          <w:p w:rsidR="00B870E5" w:rsidRPr="00167741" w:rsidRDefault="00B870E5" w:rsidP="005B5932">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5B5932">
            <w:pPr>
              <w:pStyle w:val="NoSpacing"/>
              <w:jc w:val="center"/>
            </w:pPr>
          </w:p>
        </w:tc>
        <w:tc>
          <w:tcPr>
            <w:tcW w:w="3585" w:type="dxa"/>
            <w:tcBorders>
              <w:top w:val="nil"/>
              <w:bottom w:val="nil"/>
            </w:tcBorders>
            <w:tcMar>
              <w:left w:w="57" w:type="dxa"/>
              <w:right w:w="57" w:type="dxa"/>
            </w:tcMar>
          </w:tcPr>
          <w:p w:rsidR="00B870E5" w:rsidRPr="00167741" w:rsidRDefault="00B870E5" w:rsidP="005B5932">
            <w:pPr>
              <w:pStyle w:val="NoSpacing"/>
            </w:pPr>
            <w:r w:rsidRPr="00167741">
              <w:t>April 2014 to March 2015</w:t>
            </w:r>
          </w:p>
        </w:tc>
      </w:tr>
      <w:tr w:rsidR="00B870E5" w:rsidTr="005B5932">
        <w:trPr>
          <w:trHeight w:val="80"/>
        </w:trPr>
        <w:tc>
          <w:tcPr>
            <w:tcW w:w="2268" w:type="dxa"/>
            <w:tcBorders>
              <w:top w:val="nil"/>
            </w:tcBorders>
            <w:tcMar>
              <w:left w:w="57" w:type="dxa"/>
              <w:right w:w="57" w:type="dxa"/>
            </w:tcMar>
          </w:tcPr>
          <w:p w:rsidR="00B870E5" w:rsidRPr="00167741" w:rsidRDefault="00B870E5" w:rsidP="005B5932">
            <w:pPr>
              <w:pStyle w:val="NoSpacing"/>
              <w:jc w:val="right"/>
            </w:pPr>
            <w:r w:rsidRPr="00167741">
              <w:t>4 June 2015</w:t>
            </w:r>
          </w:p>
        </w:tc>
        <w:tc>
          <w:tcPr>
            <w:tcW w:w="284" w:type="dxa"/>
            <w:tcBorders>
              <w:top w:val="nil"/>
            </w:tcBorders>
            <w:tcMar>
              <w:left w:w="57" w:type="dxa"/>
              <w:right w:w="57" w:type="dxa"/>
            </w:tcMar>
          </w:tcPr>
          <w:p w:rsidR="00B870E5" w:rsidRPr="00167741" w:rsidRDefault="00B870E5" w:rsidP="002221E6">
            <w:pPr>
              <w:pStyle w:val="NoSpacing"/>
            </w:pPr>
          </w:p>
        </w:tc>
        <w:tc>
          <w:tcPr>
            <w:tcW w:w="2149" w:type="dxa"/>
            <w:tcBorders>
              <w:top w:val="nil"/>
            </w:tcBorders>
            <w:tcMar>
              <w:left w:w="57" w:type="dxa"/>
              <w:right w:w="57" w:type="dxa"/>
            </w:tcMar>
          </w:tcPr>
          <w:p w:rsidR="00B870E5" w:rsidRPr="00167741" w:rsidRDefault="00B870E5" w:rsidP="002221E6">
            <w:pPr>
              <w:pStyle w:val="NoSpacing"/>
            </w:pPr>
            <w:r w:rsidRPr="00167741">
              <w:t>Systems Indicators</w:t>
            </w:r>
          </w:p>
        </w:tc>
        <w:tc>
          <w:tcPr>
            <w:tcW w:w="236" w:type="dxa"/>
            <w:tcBorders>
              <w:top w:val="nil"/>
            </w:tcBorders>
            <w:tcMar>
              <w:left w:w="57" w:type="dxa"/>
              <w:right w:w="57" w:type="dxa"/>
            </w:tcMar>
          </w:tcPr>
          <w:p w:rsidR="00B870E5" w:rsidRPr="00167741" w:rsidRDefault="00B870E5" w:rsidP="002221E6">
            <w:pPr>
              <w:pStyle w:val="NoSpacing"/>
            </w:pPr>
          </w:p>
        </w:tc>
        <w:tc>
          <w:tcPr>
            <w:tcW w:w="3585" w:type="dxa"/>
            <w:tcBorders>
              <w:top w:val="nil"/>
            </w:tcBorders>
            <w:tcMar>
              <w:left w:w="57" w:type="dxa"/>
              <w:right w:w="57" w:type="dxa"/>
            </w:tcMar>
          </w:tcPr>
          <w:p w:rsidR="00B870E5" w:rsidRPr="00167741" w:rsidRDefault="00B870E5" w:rsidP="002221E6">
            <w:pPr>
              <w:pStyle w:val="NoSpacing"/>
            </w:pPr>
            <w:r w:rsidRPr="00167741">
              <w:t>April 2014 to February 2015</w:t>
            </w:r>
          </w:p>
        </w:tc>
      </w:tr>
      <w:tr w:rsidR="00B870E5" w:rsidTr="00E57244">
        <w:trPr>
          <w:trHeight w:val="80"/>
        </w:trPr>
        <w:tc>
          <w:tcPr>
            <w:tcW w:w="2268" w:type="dxa"/>
            <w:tcMar>
              <w:left w:w="57" w:type="dxa"/>
              <w:right w:w="57" w:type="dxa"/>
            </w:tcMar>
          </w:tcPr>
          <w:p w:rsidR="00B870E5" w:rsidRPr="00167741" w:rsidRDefault="00B870E5" w:rsidP="002221E6">
            <w:pPr>
              <w:pStyle w:val="NoSpacing"/>
              <w:jc w:val="right"/>
            </w:pPr>
            <w:r w:rsidRPr="00167741">
              <w:t>30 April 2015</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2014 to February 2015</w:t>
            </w:r>
          </w:p>
        </w:tc>
      </w:tr>
      <w:tr w:rsidR="00B870E5" w:rsidTr="00E57244">
        <w:trPr>
          <w:trHeight w:val="80"/>
        </w:trPr>
        <w:tc>
          <w:tcPr>
            <w:tcW w:w="2268" w:type="dxa"/>
            <w:tcMar>
              <w:left w:w="57" w:type="dxa"/>
              <w:right w:w="57" w:type="dxa"/>
            </w:tcMar>
          </w:tcPr>
          <w:p w:rsidR="00B870E5" w:rsidRPr="00167741" w:rsidRDefault="00B870E5" w:rsidP="002221E6">
            <w:pPr>
              <w:pStyle w:val="NoSpacing"/>
              <w:jc w:val="right"/>
            </w:pPr>
            <w:r w:rsidRPr="00167741">
              <w:t>5 March 2015</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2014 to September 2014</w:t>
            </w:r>
          </w:p>
        </w:tc>
      </w:tr>
      <w:tr w:rsidR="00B870E5" w:rsidTr="00E57244">
        <w:trPr>
          <w:trHeight w:val="137"/>
        </w:trPr>
        <w:tc>
          <w:tcPr>
            <w:tcW w:w="2268" w:type="dxa"/>
            <w:tcMar>
              <w:left w:w="57" w:type="dxa"/>
              <w:right w:w="57" w:type="dxa"/>
            </w:tcMar>
          </w:tcPr>
          <w:p w:rsidR="00B870E5" w:rsidRPr="00167741" w:rsidRDefault="00B870E5" w:rsidP="002221E6">
            <w:pPr>
              <w:pStyle w:val="NoSpacing"/>
              <w:jc w:val="right"/>
            </w:pPr>
            <w:r w:rsidRPr="00167741">
              <w:t>6 November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August 2014</w:t>
            </w:r>
          </w:p>
        </w:tc>
      </w:tr>
      <w:tr w:rsidR="00B870E5" w:rsidTr="00E57244">
        <w:trPr>
          <w:trHeight w:val="137"/>
        </w:trPr>
        <w:tc>
          <w:tcPr>
            <w:tcW w:w="2268" w:type="dxa"/>
            <w:tcMar>
              <w:left w:w="57" w:type="dxa"/>
              <w:right w:w="57" w:type="dxa"/>
            </w:tcMar>
          </w:tcPr>
          <w:p w:rsidR="00B870E5" w:rsidRPr="00167741" w:rsidRDefault="00B870E5" w:rsidP="002221E6">
            <w:pPr>
              <w:pStyle w:val="NoSpacing"/>
              <w:jc w:val="right"/>
            </w:pPr>
            <w:r w:rsidRPr="00167741">
              <w:t>5 September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March 2014</w:t>
            </w:r>
          </w:p>
        </w:tc>
      </w:tr>
      <w:tr w:rsidR="00B870E5" w:rsidTr="00E57244">
        <w:trPr>
          <w:trHeight w:val="271"/>
        </w:trPr>
        <w:tc>
          <w:tcPr>
            <w:tcW w:w="2268" w:type="dxa"/>
            <w:tcMar>
              <w:left w:w="57" w:type="dxa"/>
              <w:right w:w="57" w:type="dxa"/>
            </w:tcMar>
          </w:tcPr>
          <w:p w:rsidR="00B870E5" w:rsidRPr="00167741" w:rsidRDefault="00B870E5" w:rsidP="002221E6">
            <w:pPr>
              <w:pStyle w:val="NoSpacing"/>
              <w:jc w:val="right"/>
            </w:pPr>
            <w:r w:rsidRPr="00167741">
              <w:t>2 May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February 2014</w:t>
            </w:r>
          </w:p>
        </w:tc>
      </w:tr>
      <w:tr w:rsidR="00B870E5" w:rsidTr="00E57244">
        <w:trPr>
          <w:trHeight w:val="70"/>
        </w:trPr>
        <w:tc>
          <w:tcPr>
            <w:tcW w:w="2268" w:type="dxa"/>
            <w:tcMar>
              <w:left w:w="57" w:type="dxa"/>
              <w:right w:w="57" w:type="dxa"/>
            </w:tcMar>
          </w:tcPr>
          <w:p w:rsidR="00B870E5" w:rsidRPr="00167741" w:rsidRDefault="00B870E5" w:rsidP="002221E6">
            <w:pPr>
              <w:pStyle w:val="NoSpacing"/>
              <w:jc w:val="right"/>
            </w:pPr>
            <w:r w:rsidRPr="00167741">
              <w:t>7 March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September 2013</w:t>
            </w:r>
          </w:p>
        </w:tc>
      </w:tr>
      <w:tr w:rsidR="00B870E5" w:rsidTr="00E57244">
        <w:trPr>
          <w:trHeight w:val="123"/>
        </w:trPr>
        <w:tc>
          <w:tcPr>
            <w:tcW w:w="2268" w:type="dxa"/>
            <w:tcMar>
              <w:left w:w="57" w:type="dxa"/>
              <w:right w:w="57" w:type="dxa"/>
            </w:tcMar>
          </w:tcPr>
          <w:p w:rsidR="00B870E5" w:rsidRPr="00167741" w:rsidRDefault="00B870E5" w:rsidP="002221E6">
            <w:pPr>
              <w:pStyle w:val="NoSpacing"/>
              <w:jc w:val="right"/>
            </w:pPr>
            <w:r w:rsidRPr="00167741">
              <w:t>1 November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August 2013</w:t>
            </w:r>
          </w:p>
        </w:tc>
      </w:tr>
      <w:tr w:rsidR="00B870E5" w:rsidTr="00E57244">
        <w:trPr>
          <w:trHeight w:val="269"/>
        </w:trPr>
        <w:tc>
          <w:tcPr>
            <w:tcW w:w="2268" w:type="dxa"/>
            <w:tcMar>
              <w:left w:w="57" w:type="dxa"/>
              <w:right w:w="57" w:type="dxa"/>
            </w:tcMar>
          </w:tcPr>
          <w:p w:rsidR="00B870E5" w:rsidRPr="00167741" w:rsidRDefault="00B870E5" w:rsidP="002221E6">
            <w:pPr>
              <w:pStyle w:val="NoSpacing"/>
              <w:jc w:val="right"/>
            </w:pPr>
            <w:r w:rsidRPr="00167741">
              <w:t>2 August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2012 to March 2013</w:t>
            </w:r>
          </w:p>
        </w:tc>
      </w:tr>
      <w:tr w:rsidR="00B870E5" w:rsidTr="00E57244">
        <w:trPr>
          <w:trHeight w:val="118"/>
        </w:trPr>
        <w:tc>
          <w:tcPr>
            <w:tcW w:w="2268" w:type="dxa"/>
            <w:tcMar>
              <w:left w:w="57" w:type="dxa"/>
              <w:right w:w="57" w:type="dxa"/>
            </w:tcMar>
          </w:tcPr>
          <w:p w:rsidR="00B870E5" w:rsidRPr="00167741" w:rsidRDefault="00B870E5" w:rsidP="002221E6">
            <w:pPr>
              <w:pStyle w:val="NoSpacing"/>
              <w:jc w:val="right"/>
            </w:pPr>
            <w:r w:rsidRPr="00167741">
              <w:t>3 May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2012 to March 2013</w:t>
            </w:r>
          </w:p>
        </w:tc>
      </w:tr>
      <w:tr w:rsidR="00B870E5" w:rsidTr="00E57244">
        <w:trPr>
          <w:trHeight w:val="121"/>
        </w:trPr>
        <w:tc>
          <w:tcPr>
            <w:tcW w:w="2268" w:type="dxa"/>
            <w:tcMar>
              <w:left w:w="57" w:type="dxa"/>
              <w:right w:w="57" w:type="dxa"/>
            </w:tcMar>
          </w:tcPr>
          <w:p w:rsidR="00B870E5" w:rsidRPr="00167741" w:rsidRDefault="00B870E5" w:rsidP="002221E6">
            <w:pPr>
              <w:pStyle w:val="NoSpacing"/>
              <w:jc w:val="right"/>
            </w:pPr>
            <w:r w:rsidRPr="00167741">
              <w:t>1 February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2012 to August 2012</w:t>
            </w:r>
          </w:p>
        </w:tc>
      </w:tr>
      <w:tr w:rsidR="00B870E5" w:rsidTr="00E57244">
        <w:trPr>
          <w:trHeight w:val="267"/>
        </w:trPr>
        <w:tc>
          <w:tcPr>
            <w:tcW w:w="2268" w:type="dxa"/>
            <w:tcMar>
              <w:left w:w="57" w:type="dxa"/>
              <w:right w:w="57" w:type="dxa"/>
            </w:tcMar>
          </w:tcPr>
          <w:p w:rsidR="00B870E5" w:rsidRPr="00167741" w:rsidRDefault="00B870E5" w:rsidP="002221E6">
            <w:pPr>
              <w:pStyle w:val="NoSpacing"/>
              <w:jc w:val="right"/>
            </w:pPr>
            <w:r w:rsidRPr="00167741">
              <w:t>11 January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2011 to October 2012</w:t>
            </w:r>
          </w:p>
        </w:tc>
      </w:tr>
      <w:tr w:rsidR="00B870E5" w:rsidTr="00E57244">
        <w:trPr>
          <w:trHeight w:val="115"/>
        </w:trPr>
        <w:tc>
          <w:tcPr>
            <w:tcW w:w="2268" w:type="dxa"/>
            <w:tcMar>
              <w:left w:w="57" w:type="dxa"/>
              <w:right w:w="57" w:type="dxa"/>
            </w:tcMar>
          </w:tcPr>
          <w:p w:rsidR="00B870E5" w:rsidRPr="00167741" w:rsidRDefault="00B870E5" w:rsidP="002221E6">
            <w:pPr>
              <w:pStyle w:val="NoSpacing"/>
              <w:jc w:val="right"/>
            </w:pPr>
            <w:r w:rsidRPr="00167741">
              <w:t>31 August 2012</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lastRenderedPageBreak/>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1"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22"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23"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7362DE" w:rsidP="002221E6">
            <w:pPr>
              <w:pStyle w:val="NoSpacing"/>
            </w:pPr>
            <w:hyperlink r:id="rId24"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5"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7362DE" w:rsidP="002221E6">
            <w:pPr>
              <w:rPr>
                <w:lang w:eastAsia="en-US"/>
              </w:rPr>
            </w:pPr>
            <w:hyperlink r:id="rId26"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7"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28" w:history="1">
        <w:r w:rsidRPr="009A0418">
          <w:rPr>
            <w:rStyle w:val="Hyperlink"/>
          </w:rPr>
          <w:t>i.kay@nhs.net</w:t>
        </w:r>
      </w:hyperlink>
    </w:p>
    <w:p w:rsidR="00E11703" w:rsidRDefault="003A0D0C" w:rsidP="003A0D0C">
      <w:pPr>
        <w:pStyle w:val="Heading3"/>
      </w:pPr>
      <w:r>
        <w:lastRenderedPageBreak/>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29"/>
      <w:footerReference w:type="default" r:id="rId30"/>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92" w:rsidRDefault="00CE2692" w:rsidP="008C63D3">
      <w:r>
        <w:separator/>
      </w:r>
    </w:p>
  </w:endnote>
  <w:endnote w:type="continuationSeparator" w:id="0">
    <w:p w:rsidR="00CE2692" w:rsidRDefault="00CE2692"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0D" w:rsidRDefault="003A740D" w:rsidP="00E924D4">
    <w:pPr>
      <w:pStyle w:val="Footer"/>
      <w:tabs>
        <w:tab w:val="clear" w:pos="9026"/>
        <w:tab w:val="left" w:pos="5025"/>
        <w:tab w:val="right" w:pos="8364"/>
      </w:tabs>
    </w:pPr>
    <w:r>
      <w:t>NHS England AQI Statistical Note, 09 June 2016.</w:t>
    </w:r>
    <w:r>
      <w:tab/>
    </w:r>
    <w:r>
      <w:tab/>
      <w:t xml:space="preserve">Page </w:t>
    </w:r>
    <w:r>
      <w:fldChar w:fldCharType="begin"/>
    </w:r>
    <w:r>
      <w:instrText xml:space="preserve"> PAGE   \* MERGEFORMAT </w:instrText>
    </w:r>
    <w:r>
      <w:fldChar w:fldCharType="separate"/>
    </w:r>
    <w:r w:rsidR="007362DE">
      <w:rPr>
        <w:noProof/>
      </w:rPr>
      <w:t>2</w:t>
    </w:r>
    <w:r>
      <w:rPr>
        <w:noProof/>
      </w:rPr>
      <w:fldChar w:fldCharType="end"/>
    </w:r>
    <w:r>
      <w:rPr>
        <w:noProof/>
      </w:rPr>
      <w:t xml:space="preserve"> of </w:t>
    </w:r>
    <w:fldSimple w:instr=" NUMPAGES   \* MERGEFORMAT ">
      <w:r w:rsidR="007362DE">
        <w:rPr>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92" w:rsidRDefault="00CE2692" w:rsidP="008C63D3">
      <w:r>
        <w:separator/>
      </w:r>
    </w:p>
  </w:footnote>
  <w:footnote w:type="continuationSeparator" w:id="0">
    <w:p w:rsidR="00CE2692" w:rsidRDefault="00CE2692" w:rsidP="008C63D3">
      <w:r>
        <w:continuationSeparator/>
      </w:r>
    </w:p>
  </w:footnote>
  <w:footnote w:id="1">
    <w:p w:rsidR="003A740D" w:rsidRDefault="003A740D" w:rsidP="00FF749A">
      <w:pPr>
        <w:pStyle w:val="Footer"/>
        <w:rPr>
          <w:rStyle w:val="Hyperlink"/>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p w:rsidR="003A740D" w:rsidRPr="00B063B7" w:rsidRDefault="003A740D" w:rsidP="00FF749A">
      <w:pPr>
        <w:pStyle w:val="Footer"/>
        <w:rPr>
          <w:sz w:val="16"/>
          <w:szCs w:val="16"/>
        </w:rPr>
      </w:pPr>
    </w:p>
  </w:footnote>
  <w:footnote w:id="2">
    <w:p w:rsidR="002F6A2B" w:rsidRDefault="002F6A2B" w:rsidP="002F6A2B">
      <w:pPr>
        <w:pStyle w:val="FootnoteText"/>
      </w:pPr>
      <w:r>
        <w:rPr>
          <w:rStyle w:val="FootnoteReference"/>
        </w:rPr>
        <w:footnoteRef/>
      </w:r>
      <w:r>
        <w:t xml:space="preserve"> Due to the introduction of Clinical Coding Review data for South Western Ambulance Service and Yorkshire Ambulance Service are only available up to and including the 18</w:t>
      </w:r>
      <w:r w:rsidRPr="00ED6D61">
        <w:rPr>
          <w:vertAlign w:val="superscript"/>
        </w:rPr>
        <w:t>th</w:t>
      </w:r>
      <w:r>
        <w:t xml:space="preserve"> April 2016 and 20</w:t>
      </w:r>
      <w:r w:rsidRPr="00ED6D61">
        <w:rPr>
          <w:vertAlign w:val="superscript"/>
        </w:rPr>
        <w:t>th</w:t>
      </w:r>
      <w:r>
        <w:t xml:space="preserve"> April 2016 respectively.</w:t>
      </w:r>
    </w:p>
  </w:footnote>
  <w:footnote w:id="3">
    <w:p w:rsidR="003A740D" w:rsidRDefault="003A740D" w:rsidP="00526112">
      <w:pPr>
        <w:pStyle w:val="Footer"/>
        <w:rPr>
          <w:rStyle w:val="Hyperlink"/>
          <w:rFonts w:cs="Arial"/>
          <w:szCs w:val="20"/>
        </w:rPr>
      </w:pPr>
      <w:r>
        <w:rPr>
          <w:rStyle w:val="FootnoteReference"/>
        </w:rPr>
        <w:footnoteRef/>
      </w:r>
      <w:r>
        <w:t xml:space="preserve"> On 1 June 2012, </w:t>
      </w:r>
      <w:r w:rsidRPr="00340492">
        <w:t xml:space="preserve">Category </w:t>
      </w:r>
      <w:proofErr w:type="gramStart"/>
      <w:r w:rsidRPr="00340492">
        <w:t>A</w:t>
      </w:r>
      <w:proofErr w:type="gramEnd"/>
      <w:r w:rsidRPr="00340492">
        <w:t xml:space="preserve">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3A740D" w:rsidRPr="00B063B7" w:rsidRDefault="003A740D" w:rsidP="00526112">
      <w:pPr>
        <w:pStyle w:val="Footer"/>
        <w:rPr>
          <w:rStyle w:val="Hyperlink"/>
          <w:rFonts w:cs="Arial"/>
          <w:sz w:val="16"/>
          <w:szCs w:val="16"/>
        </w:rPr>
      </w:pPr>
    </w:p>
    <w:p w:rsidR="003A740D" w:rsidRPr="00DC4BF3" w:rsidRDefault="003A740D"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4">
    <w:p w:rsidR="00C43E6D" w:rsidRDefault="00C43E6D">
      <w:pPr>
        <w:pStyle w:val="FootnoteText"/>
      </w:pPr>
      <w:r>
        <w:rPr>
          <w:rStyle w:val="FootnoteReference"/>
        </w:rPr>
        <w:footnoteRef/>
      </w:r>
      <w:r>
        <w:t xml:space="preserve"> See footnote 3 on Page 1</w:t>
      </w:r>
    </w:p>
  </w:footnote>
  <w:footnote w:id="5">
    <w:p w:rsidR="003A740D" w:rsidRDefault="003A740D"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6">
    <w:p w:rsidR="005276D2" w:rsidRDefault="005276D2">
      <w:pPr>
        <w:pStyle w:val="FootnoteText"/>
      </w:pPr>
      <w:r>
        <w:rPr>
          <w:rStyle w:val="FootnoteReference"/>
        </w:rPr>
        <w:footnoteRef/>
      </w:r>
      <w:r>
        <w:t xml:space="preserve"> Further information on the Ambulance Response Programme is available from the NHS England Website </w:t>
      </w:r>
      <w:hyperlink r:id="rId4" w:history="1">
        <w:r>
          <w:rPr>
            <w:rStyle w:val="Hyperlink"/>
          </w:rPr>
          <w:t>https://www.england.nhs.uk/ourwork/qual-clin-lead/arp/</w:t>
        </w:r>
      </w:hyperlink>
    </w:p>
  </w:footnote>
  <w:footnote w:id="7">
    <w:p w:rsidR="00C43E6D" w:rsidRDefault="00C43E6D">
      <w:pPr>
        <w:pStyle w:val="FootnoteText"/>
      </w:pPr>
      <w:r>
        <w:rPr>
          <w:rStyle w:val="FootnoteReference"/>
        </w:rPr>
        <w:footnoteRef/>
      </w:r>
      <w:r>
        <w:t xml:space="preserve"> See footnote 3 on page 1</w:t>
      </w:r>
    </w:p>
  </w:footnote>
  <w:footnote w:id="8">
    <w:p w:rsidR="003A740D" w:rsidRDefault="003A740D"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3A740D" w:rsidRDefault="003A740D" w:rsidP="00191AB9">
      <w:pPr>
        <w:pStyle w:val="Footer"/>
      </w:pPr>
    </w:p>
  </w:footnote>
  <w:footnote w:id="9">
    <w:p w:rsidR="003A740D" w:rsidRDefault="003A740D" w:rsidP="00191AB9">
      <w:pPr>
        <w:pStyle w:val="Footer"/>
      </w:pPr>
      <w:r>
        <w:rPr>
          <w:rStyle w:val="FootnoteReference"/>
        </w:rPr>
        <w:footnoteRef/>
      </w:r>
      <w:r>
        <w:t xml:space="preserve"> Type 1 are consultant-led 24 hour emergency departments with full resuscitation facilities.</w:t>
      </w:r>
    </w:p>
    <w:p w:rsidR="003A740D" w:rsidRDefault="003A740D" w:rsidP="00191AB9">
      <w:pPr>
        <w:pStyle w:val="Footer"/>
      </w:pPr>
      <w:r>
        <w:t>Type 2 offer a consultant-led speciality A&amp;E service such as ophthalmology or dental.</w:t>
      </w:r>
    </w:p>
    <w:p w:rsidR="003A740D" w:rsidRDefault="003A740D"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3A740D" w:rsidRDefault="003A740D" w:rsidP="00191AB9">
      <w:pPr>
        <w:pStyle w:val="Footer"/>
      </w:pPr>
      <w:r>
        <w:t>Type 4 are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0">
    <w:p w:rsidR="00C43E6D" w:rsidRDefault="00C43E6D">
      <w:pPr>
        <w:pStyle w:val="FootnoteText"/>
      </w:pPr>
      <w:r>
        <w:rPr>
          <w:rStyle w:val="FootnoteReference"/>
        </w:rPr>
        <w:footnoteRef/>
      </w:r>
      <w:r>
        <w:t xml:space="preserve"> See footnote 3 on Page 1</w:t>
      </w:r>
    </w:p>
  </w:footnote>
  <w:footnote w:id="11">
    <w:p w:rsidR="003A740D" w:rsidRDefault="003A740D" w:rsidP="00C90D22">
      <w:pPr>
        <w:pStyle w:val="Footer"/>
      </w:pPr>
      <w:r>
        <w:rPr>
          <w:rStyle w:val="FootnoteReference"/>
        </w:rPr>
        <w:footnoteRef/>
      </w:r>
      <w:r>
        <w:t xml:space="preserve"> </w:t>
      </w:r>
      <w:r w:rsidRPr="00A44168">
        <w:t>Due to its small size, performance on Isle of Wight tends to vary more than other trusts. If it has the largest or smallest value, the Table in A</w:t>
      </w:r>
      <w:r w:rsidR="00E77EB6">
        <w:t>6</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uses this system.</w:t>
      </w:r>
    </w:p>
    <w:p w:rsidR="003A740D" w:rsidRDefault="003A740D" w:rsidP="00C90D22">
      <w:pPr>
        <w:pStyle w:val="Footer"/>
      </w:pPr>
    </w:p>
  </w:footnote>
  <w:footnote w:id="12">
    <w:p w:rsidR="003A740D" w:rsidRDefault="003A740D"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416EE1">
          <w:rPr>
            <w:rStyle w:val="Hyperlink"/>
          </w:rPr>
          <w:t>http://circ.ahajournals.org/content/84/2/960.citation</w:t>
        </w:r>
      </w:hyperlink>
    </w:p>
  </w:footnote>
  <w:footnote w:id="13">
    <w:p w:rsidR="00BB12B3" w:rsidRDefault="00BB12B3" w:rsidP="00BB12B3">
      <w:pPr>
        <w:pStyle w:val="FootnoteText"/>
      </w:pPr>
      <w:r>
        <w:rPr>
          <w:rStyle w:val="FootnoteReference"/>
        </w:rPr>
        <w:footnoteRef/>
      </w:r>
      <w:r>
        <w:t xml:space="preserve"> </w:t>
      </w:r>
      <w:r w:rsidRPr="00EA7E9E">
        <w:t>Excludi</w:t>
      </w:r>
      <w:r w:rsidR="00F903F3">
        <w:t xml:space="preserve">ng Isle of Wight. See footnote </w:t>
      </w:r>
      <w:r w:rsidR="006A4905">
        <w:t>11</w:t>
      </w:r>
      <w:r w:rsidR="00F903F3">
        <w:t xml:space="preserve"> on page 7</w:t>
      </w:r>
    </w:p>
  </w:footnote>
  <w:footnote w:id="14">
    <w:p w:rsidR="00C62E09" w:rsidRDefault="00C62E09">
      <w:pPr>
        <w:pStyle w:val="FootnoteText"/>
      </w:pPr>
      <w:r>
        <w:rPr>
          <w:rStyle w:val="FootnoteReference"/>
        </w:rPr>
        <w:footnoteRef/>
      </w:r>
      <w:r>
        <w:t xml:space="preserve">  </w:t>
      </w:r>
      <w:r w:rsidRPr="00C62E09">
        <w:t>Significance test used is t-test</w:t>
      </w:r>
    </w:p>
  </w:footnote>
  <w:footnote w:id="15">
    <w:p w:rsidR="003A740D" w:rsidRDefault="003A740D" w:rsidP="005E1E7F">
      <w:pPr>
        <w:pStyle w:val="FootnoteText"/>
      </w:pPr>
      <w:r>
        <w:rPr>
          <w:rStyle w:val="FootnoteReference"/>
        </w:rPr>
        <w:footnoteRef/>
      </w:r>
      <w:r>
        <w:t xml:space="preserve"> Excludi</w:t>
      </w:r>
      <w:r w:rsidR="006A4905">
        <w:t>ng Isle of Wight. See footnote 11 on page 7</w:t>
      </w:r>
      <w:r>
        <w:t>.</w:t>
      </w:r>
    </w:p>
  </w:footnote>
  <w:footnote w:id="16">
    <w:p w:rsidR="003A740D" w:rsidRDefault="003A740D"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3A740D" w:rsidRDefault="003A740D" w:rsidP="00104812">
      <w:pPr>
        <w:pStyle w:val="Footer"/>
      </w:pPr>
    </w:p>
  </w:footnote>
  <w:footnote w:id="17">
    <w:p w:rsidR="00BB12B3" w:rsidRDefault="00BB12B3" w:rsidP="00BB12B3">
      <w:pPr>
        <w:pStyle w:val="FootnoteText"/>
      </w:pPr>
      <w:r>
        <w:rPr>
          <w:rStyle w:val="FootnoteReference"/>
        </w:rPr>
        <w:footnoteRef/>
      </w:r>
      <w:r>
        <w:t xml:space="preserve"> </w:t>
      </w:r>
      <w:r w:rsidRPr="00EA7E9E">
        <w:t>Excludi</w:t>
      </w:r>
      <w:r>
        <w:t xml:space="preserve">ng Isle of Wight. See footnote </w:t>
      </w:r>
      <w:r w:rsidR="006A4905">
        <w:t>11 on page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0D" w:rsidRDefault="003A740D" w:rsidP="00EC40BA">
    <w:pPr>
      <w:pStyle w:val="Header"/>
      <w:tabs>
        <w:tab w:val="clear" w:pos="9026"/>
        <w:tab w:val="left" w:pos="3255"/>
        <w:tab w:val="right" w:pos="9923"/>
      </w:tabs>
      <w:ind w:right="-238" w:hanging="851"/>
    </w:pPr>
    <w:r>
      <w:rPr>
        <w:noProof/>
      </w:rPr>
      <w:drawing>
        <wp:inline distT="0" distB="0" distL="0" distR="0" wp14:anchorId="1F9E710E" wp14:editId="1C63F390">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4183AE1C" wp14:editId="73BB36FE">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3A740D" w:rsidRDefault="003A740D"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24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3216"/>
    <w:rsid w:val="0000477A"/>
    <w:rsid w:val="00004858"/>
    <w:rsid w:val="00007EAE"/>
    <w:rsid w:val="00012199"/>
    <w:rsid w:val="00014432"/>
    <w:rsid w:val="00017E64"/>
    <w:rsid w:val="00017EE8"/>
    <w:rsid w:val="00022061"/>
    <w:rsid w:val="00022C19"/>
    <w:rsid w:val="00022C9A"/>
    <w:rsid w:val="00024821"/>
    <w:rsid w:val="000274BA"/>
    <w:rsid w:val="00032244"/>
    <w:rsid w:val="00033CF1"/>
    <w:rsid w:val="00035B25"/>
    <w:rsid w:val="00036949"/>
    <w:rsid w:val="00037F53"/>
    <w:rsid w:val="00040905"/>
    <w:rsid w:val="00040A6E"/>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051C"/>
    <w:rsid w:val="00081437"/>
    <w:rsid w:val="00082855"/>
    <w:rsid w:val="00085A95"/>
    <w:rsid w:val="00085AC3"/>
    <w:rsid w:val="00085B01"/>
    <w:rsid w:val="000871A7"/>
    <w:rsid w:val="00087A96"/>
    <w:rsid w:val="0009007C"/>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6B"/>
    <w:rsid w:val="000D3FB5"/>
    <w:rsid w:val="000D4CAE"/>
    <w:rsid w:val="000D52EC"/>
    <w:rsid w:val="000D6BA7"/>
    <w:rsid w:val="000D71FF"/>
    <w:rsid w:val="000D7762"/>
    <w:rsid w:val="000E0E23"/>
    <w:rsid w:val="000E11CB"/>
    <w:rsid w:val="000E166D"/>
    <w:rsid w:val="000E3164"/>
    <w:rsid w:val="000E335D"/>
    <w:rsid w:val="000E3B6E"/>
    <w:rsid w:val="000E4408"/>
    <w:rsid w:val="000E4972"/>
    <w:rsid w:val="000E519E"/>
    <w:rsid w:val="000E66BF"/>
    <w:rsid w:val="000E78DB"/>
    <w:rsid w:val="000F027D"/>
    <w:rsid w:val="000F0D83"/>
    <w:rsid w:val="000F2BCC"/>
    <w:rsid w:val="000F3EC8"/>
    <w:rsid w:val="000F4631"/>
    <w:rsid w:val="000F537D"/>
    <w:rsid w:val="000F5B3F"/>
    <w:rsid w:val="000F5FB4"/>
    <w:rsid w:val="000F6221"/>
    <w:rsid w:val="001000B2"/>
    <w:rsid w:val="00104812"/>
    <w:rsid w:val="0010506D"/>
    <w:rsid w:val="00106538"/>
    <w:rsid w:val="00107C32"/>
    <w:rsid w:val="00110E64"/>
    <w:rsid w:val="00111B6E"/>
    <w:rsid w:val="00113395"/>
    <w:rsid w:val="0011384E"/>
    <w:rsid w:val="00115FF0"/>
    <w:rsid w:val="001171E8"/>
    <w:rsid w:val="00120401"/>
    <w:rsid w:val="00120424"/>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1F1"/>
    <w:rsid w:val="00160F31"/>
    <w:rsid w:val="00163FFB"/>
    <w:rsid w:val="0016646E"/>
    <w:rsid w:val="0016743F"/>
    <w:rsid w:val="00167741"/>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7E4"/>
    <w:rsid w:val="001A399C"/>
    <w:rsid w:val="001A3A2C"/>
    <w:rsid w:val="001A3F6B"/>
    <w:rsid w:val="001A471D"/>
    <w:rsid w:val="001A6875"/>
    <w:rsid w:val="001A7F8A"/>
    <w:rsid w:val="001B6001"/>
    <w:rsid w:val="001B68DB"/>
    <w:rsid w:val="001B6963"/>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5191"/>
    <w:rsid w:val="001E522B"/>
    <w:rsid w:val="001E734D"/>
    <w:rsid w:val="001E75EA"/>
    <w:rsid w:val="001F1181"/>
    <w:rsid w:val="001F1305"/>
    <w:rsid w:val="001F27E7"/>
    <w:rsid w:val="001F48A8"/>
    <w:rsid w:val="001F634A"/>
    <w:rsid w:val="001F7230"/>
    <w:rsid w:val="002029B2"/>
    <w:rsid w:val="00203093"/>
    <w:rsid w:val="0020340B"/>
    <w:rsid w:val="00203B4C"/>
    <w:rsid w:val="002055F7"/>
    <w:rsid w:val="002067E2"/>
    <w:rsid w:val="00210E7E"/>
    <w:rsid w:val="00214510"/>
    <w:rsid w:val="00214A55"/>
    <w:rsid w:val="00215414"/>
    <w:rsid w:val="0022110E"/>
    <w:rsid w:val="002221E6"/>
    <w:rsid w:val="00222A8A"/>
    <w:rsid w:val="00222B38"/>
    <w:rsid w:val="002247A6"/>
    <w:rsid w:val="00225C13"/>
    <w:rsid w:val="00230A5D"/>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7D97"/>
    <w:rsid w:val="0025006E"/>
    <w:rsid w:val="00250AB3"/>
    <w:rsid w:val="00251383"/>
    <w:rsid w:val="00251854"/>
    <w:rsid w:val="002529A4"/>
    <w:rsid w:val="00252C62"/>
    <w:rsid w:val="00253E22"/>
    <w:rsid w:val="00254237"/>
    <w:rsid w:val="0025490C"/>
    <w:rsid w:val="00254B9C"/>
    <w:rsid w:val="0025533D"/>
    <w:rsid w:val="00255666"/>
    <w:rsid w:val="00257281"/>
    <w:rsid w:val="002574F1"/>
    <w:rsid w:val="00260C5F"/>
    <w:rsid w:val="002611D4"/>
    <w:rsid w:val="00261C03"/>
    <w:rsid w:val="00261FC5"/>
    <w:rsid w:val="0026240F"/>
    <w:rsid w:val="0026352B"/>
    <w:rsid w:val="00263BD6"/>
    <w:rsid w:val="00263D47"/>
    <w:rsid w:val="00264C7D"/>
    <w:rsid w:val="00265EFB"/>
    <w:rsid w:val="00266D58"/>
    <w:rsid w:val="00266E0D"/>
    <w:rsid w:val="00267437"/>
    <w:rsid w:val="002674B1"/>
    <w:rsid w:val="00270C17"/>
    <w:rsid w:val="002719AC"/>
    <w:rsid w:val="00275C0B"/>
    <w:rsid w:val="002760F7"/>
    <w:rsid w:val="00276BB6"/>
    <w:rsid w:val="00277342"/>
    <w:rsid w:val="0028035E"/>
    <w:rsid w:val="00280386"/>
    <w:rsid w:val="0028118E"/>
    <w:rsid w:val="002862A9"/>
    <w:rsid w:val="00291664"/>
    <w:rsid w:val="0029257D"/>
    <w:rsid w:val="002929F3"/>
    <w:rsid w:val="002941E6"/>
    <w:rsid w:val="002956C9"/>
    <w:rsid w:val="00296E05"/>
    <w:rsid w:val="00297264"/>
    <w:rsid w:val="002A0119"/>
    <w:rsid w:val="002A0F67"/>
    <w:rsid w:val="002A2463"/>
    <w:rsid w:val="002A2973"/>
    <w:rsid w:val="002A2AFC"/>
    <w:rsid w:val="002A2C06"/>
    <w:rsid w:val="002A30DE"/>
    <w:rsid w:val="002A3DFB"/>
    <w:rsid w:val="002A4955"/>
    <w:rsid w:val="002A4C7B"/>
    <w:rsid w:val="002A5C8A"/>
    <w:rsid w:val="002A7621"/>
    <w:rsid w:val="002A79F0"/>
    <w:rsid w:val="002B0575"/>
    <w:rsid w:val="002B0A28"/>
    <w:rsid w:val="002B1C61"/>
    <w:rsid w:val="002B4DD9"/>
    <w:rsid w:val="002B4F9D"/>
    <w:rsid w:val="002B55AA"/>
    <w:rsid w:val="002B6786"/>
    <w:rsid w:val="002B72F1"/>
    <w:rsid w:val="002C04A5"/>
    <w:rsid w:val="002C1974"/>
    <w:rsid w:val="002C1DD5"/>
    <w:rsid w:val="002C256A"/>
    <w:rsid w:val="002C28AD"/>
    <w:rsid w:val="002C37DD"/>
    <w:rsid w:val="002C3A8E"/>
    <w:rsid w:val="002C3ECB"/>
    <w:rsid w:val="002C4E14"/>
    <w:rsid w:val="002C522F"/>
    <w:rsid w:val="002C704E"/>
    <w:rsid w:val="002D10A5"/>
    <w:rsid w:val="002D2035"/>
    <w:rsid w:val="002D4D8D"/>
    <w:rsid w:val="002D58CE"/>
    <w:rsid w:val="002D5C5D"/>
    <w:rsid w:val="002D6186"/>
    <w:rsid w:val="002D7845"/>
    <w:rsid w:val="002E3DEA"/>
    <w:rsid w:val="002E4181"/>
    <w:rsid w:val="002E6965"/>
    <w:rsid w:val="002F09FA"/>
    <w:rsid w:val="002F1115"/>
    <w:rsid w:val="002F23C6"/>
    <w:rsid w:val="002F3C5E"/>
    <w:rsid w:val="002F5002"/>
    <w:rsid w:val="002F5385"/>
    <w:rsid w:val="002F6A2B"/>
    <w:rsid w:val="002F7555"/>
    <w:rsid w:val="00300176"/>
    <w:rsid w:val="00300551"/>
    <w:rsid w:val="003005B7"/>
    <w:rsid w:val="00305EA9"/>
    <w:rsid w:val="00305F1A"/>
    <w:rsid w:val="003076B8"/>
    <w:rsid w:val="00310203"/>
    <w:rsid w:val="0031043B"/>
    <w:rsid w:val="0031060B"/>
    <w:rsid w:val="0031228A"/>
    <w:rsid w:val="00312B69"/>
    <w:rsid w:val="0031323B"/>
    <w:rsid w:val="00314C64"/>
    <w:rsid w:val="0031580B"/>
    <w:rsid w:val="00317248"/>
    <w:rsid w:val="00317C23"/>
    <w:rsid w:val="00320970"/>
    <w:rsid w:val="00321DF8"/>
    <w:rsid w:val="00322346"/>
    <w:rsid w:val="003224D0"/>
    <w:rsid w:val="0032556F"/>
    <w:rsid w:val="00325786"/>
    <w:rsid w:val="0032599C"/>
    <w:rsid w:val="003265C0"/>
    <w:rsid w:val="00326A6F"/>
    <w:rsid w:val="00326C83"/>
    <w:rsid w:val="00330CA6"/>
    <w:rsid w:val="003336E9"/>
    <w:rsid w:val="00335EE6"/>
    <w:rsid w:val="00336020"/>
    <w:rsid w:val="0033606F"/>
    <w:rsid w:val="003374D2"/>
    <w:rsid w:val="0034037C"/>
    <w:rsid w:val="00340492"/>
    <w:rsid w:val="003404AA"/>
    <w:rsid w:val="00340769"/>
    <w:rsid w:val="00341729"/>
    <w:rsid w:val="003425A1"/>
    <w:rsid w:val="00346087"/>
    <w:rsid w:val="00346103"/>
    <w:rsid w:val="00346392"/>
    <w:rsid w:val="00347494"/>
    <w:rsid w:val="003479E2"/>
    <w:rsid w:val="003507AC"/>
    <w:rsid w:val="003518B6"/>
    <w:rsid w:val="00352975"/>
    <w:rsid w:val="00356BD0"/>
    <w:rsid w:val="00360AFD"/>
    <w:rsid w:val="003635DF"/>
    <w:rsid w:val="00363C6A"/>
    <w:rsid w:val="0036445B"/>
    <w:rsid w:val="003663E1"/>
    <w:rsid w:val="0036736E"/>
    <w:rsid w:val="003674CA"/>
    <w:rsid w:val="003708E7"/>
    <w:rsid w:val="003723D5"/>
    <w:rsid w:val="0037489E"/>
    <w:rsid w:val="00377786"/>
    <w:rsid w:val="00377FF6"/>
    <w:rsid w:val="00381D71"/>
    <w:rsid w:val="00383D0F"/>
    <w:rsid w:val="00384DC4"/>
    <w:rsid w:val="0038780E"/>
    <w:rsid w:val="00387879"/>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A740D"/>
    <w:rsid w:val="003B164C"/>
    <w:rsid w:val="003B3CC0"/>
    <w:rsid w:val="003B4AEC"/>
    <w:rsid w:val="003B628A"/>
    <w:rsid w:val="003C007F"/>
    <w:rsid w:val="003C11F6"/>
    <w:rsid w:val="003C183D"/>
    <w:rsid w:val="003C1F17"/>
    <w:rsid w:val="003C24D1"/>
    <w:rsid w:val="003C3939"/>
    <w:rsid w:val="003C39F0"/>
    <w:rsid w:val="003C63FF"/>
    <w:rsid w:val="003D508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8EE"/>
    <w:rsid w:val="00496F34"/>
    <w:rsid w:val="004A06B6"/>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E1"/>
    <w:rsid w:val="004D083F"/>
    <w:rsid w:val="004D1017"/>
    <w:rsid w:val="004D10AF"/>
    <w:rsid w:val="004D2EE5"/>
    <w:rsid w:val="004D3B3C"/>
    <w:rsid w:val="004D49FF"/>
    <w:rsid w:val="004D6E3F"/>
    <w:rsid w:val="004F2D5D"/>
    <w:rsid w:val="004F34AD"/>
    <w:rsid w:val="004F37AE"/>
    <w:rsid w:val="004F3810"/>
    <w:rsid w:val="004F3ED3"/>
    <w:rsid w:val="004F47C7"/>
    <w:rsid w:val="004F6290"/>
    <w:rsid w:val="004F6A66"/>
    <w:rsid w:val="005005D8"/>
    <w:rsid w:val="00500FB1"/>
    <w:rsid w:val="005012E3"/>
    <w:rsid w:val="00503D8A"/>
    <w:rsid w:val="00504B11"/>
    <w:rsid w:val="00505BBA"/>
    <w:rsid w:val="0051070B"/>
    <w:rsid w:val="00511984"/>
    <w:rsid w:val="00511E6D"/>
    <w:rsid w:val="00513897"/>
    <w:rsid w:val="00514EF1"/>
    <w:rsid w:val="005168CD"/>
    <w:rsid w:val="00517BD3"/>
    <w:rsid w:val="0052029E"/>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A75"/>
    <w:rsid w:val="0053266B"/>
    <w:rsid w:val="00533D03"/>
    <w:rsid w:val="005347A4"/>
    <w:rsid w:val="00536139"/>
    <w:rsid w:val="00536610"/>
    <w:rsid w:val="00536B5E"/>
    <w:rsid w:val="00536EBE"/>
    <w:rsid w:val="00537299"/>
    <w:rsid w:val="005374F6"/>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12D9"/>
    <w:rsid w:val="005639DF"/>
    <w:rsid w:val="005718F6"/>
    <w:rsid w:val="005719BB"/>
    <w:rsid w:val="00572500"/>
    <w:rsid w:val="00574C4A"/>
    <w:rsid w:val="0057661C"/>
    <w:rsid w:val="00576B86"/>
    <w:rsid w:val="005772D5"/>
    <w:rsid w:val="00577719"/>
    <w:rsid w:val="00581B52"/>
    <w:rsid w:val="00581E8E"/>
    <w:rsid w:val="0058243A"/>
    <w:rsid w:val="0058367E"/>
    <w:rsid w:val="00583FB1"/>
    <w:rsid w:val="00584D90"/>
    <w:rsid w:val="00586B8E"/>
    <w:rsid w:val="0058750D"/>
    <w:rsid w:val="00587D4D"/>
    <w:rsid w:val="005945B8"/>
    <w:rsid w:val="005946BA"/>
    <w:rsid w:val="005950EE"/>
    <w:rsid w:val="005954D8"/>
    <w:rsid w:val="0059638C"/>
    <w:rsid w:val="00597ACE"/>
    <w:rsid w:val="005A176C"/>
    <w:rsid w:val="005A314A"/>
    <w:rsid w:val="005A3AC4"/>
    <w:rsid w:val="005A3FF9"/>
    <w:rsid w:val="005A6A3C"/>
    <w:rsid w:val="005A79AD"/>
    <w:rsid w:val="005B0A25"/>
    <w:rsid w:val="005B2160"/>
    <w:rsid w:val="005B4A17"/>
    <w:rsid w:val="005B5438"/>
    <w:rsid w:val="005B5932"/>
    <w:rsid w:val="005B6117"/>
    <w:rsid w:val="005B6A5B"/>
    <w:rsid w:val="005B7945"/>
    <w:rsid w:val="005B7C87"/>
    <w:rsid w:val="005C1025"/>
    <w:rsid w:val="005C1BA6"/>
    <w:rsid w:val="005C1D5F"/>
    <w:rsid w:val="005C42AC"/>
    <w:rsid w:val="005C58DE"/>
    <w:rsid w:val="005C59BC"/>
    <w:rsid w:val="005C6B63"/>
    <w:rsid w:val="005C7115"/>
    <w:rsid w:val="005C7B11"/>
    <w:rsid w:val="005D0BE3"/>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53BA"/>
    <w:rsid w:val="005F60A6"/>
    <w:rsid w:val="005F6D25"/>
    <w:rsid w:val="006011C6"/>
    <w:rsid w:val="006034E1"/>
    <w:rsid w:val="00603940"/>
    <w:rsid w:val="00603FEB"/>
    <w:rsid w:val="0060479B"/>
    <w:rsid w:val="00604932"/>
    <w:rsid w:val="006059ED"/>
    <w:rsid w:val="00605F7E"/>
    <w:rsid w:val="00610D36"/>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2E05"/>
    <w:rsid w:val="00642E76"/>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D18"/>
    <w:rsid w:val="00694D98"/>
    <w:rsid w:val="00694FB2"/>
    <w:rsid w:val="00695304"/>
    <w:rsid w:val="006959C7"/>
    <w:rsid w:val="006A341E"/>
    <w:rsid w:val="006A4905"/>
    <w:rsid w:val="006A4A06"/>
    <w:rsid w:val="006A5F54"/>
    <w:rsid w:val="006A61BC"/>
    <w:rsid w:val="006A6856"/>
    <w:rsid w:val="006B0792"/>
    <w:rsid w:val="006B2BEA"/>
    <w:rsid w:val="006B3E8A"/>
    <w:rsid w:val="006B6721"/>
    <w:rsid w:val="006B6BD1"/>
    <w:rsid w:val="006B7501"/>
    <w:rsid w:val="006C2019"/>
    <w:rsid w:val="006C2217"/>
    <w:rsid w:val="006C336E"/>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4168"/>
    <w:rsid w:val="006F4E6D"/>
    <w:rsid w:val="006F6411"/>
    <w:rsid w:val="00700863"/>
    <w:rsid w:val="007012EC"/>
    <w:rsid w:val="00701404"/>
    <w:rsid w:val="007017DC"/>
    <w:rsid w:val="00701D5C"/>
    <w:rsid w:val="0070276C"/>
    <w:rsid w:val="007027B5"/>
    <w:rsid w:val="00702DCC"/>
    <w:rsid w:val="00705EA9"/>
    <w:rsid w:val="00706C80"/>
    <w:rsid w:val="00706F94"/>
    <w:rsid w:val="00707E84"/>
    <w:rsid w:val="00710213"/>
    <w:rsid w:val="00712AAC"/>
    <w:rsid w:val="007154E1"/>
    <w:rsid w:val="007155C3"/>
    <w:rsid w:val="0071673C"/>
    <w:rsid w:val="00717328"/>
    <w:rsid w:val="007177B5"/>
    <w:rsid w:val="007177FD"/>
    <w:rsid w:val="00720B11"/>
    <w:rsid w:val="00721C10"/>
    <w:rsid w:val="00723160"/>
    <w:rsid w:val="00724971"/>
    <w:rsid w:val="00725432"/>
    <w:rsid w:val="00725439"/>
    <w:rsid w:val="00727CC5"/>
    <w:rsid w:val="0073041B"/>
    <w:rsid w:val="007310F1"/>
    <w:rsid w:val="00732D3C"/>
    <w:rsid w:val="00732ECD"/>
    <w:rsid w:val="00735077"/>
    <w:rsid w:val="007362DE"/>
    <w:rsid w:val="007369DA"/>
    <w:rsid w:val="00737724"/>
    <w:rsid w:val="0074090B"/>
    <w:rsid w:val="00740D50"/>
    <w:rsid w:val="00741E8A"/>
    <w:rsid w:val="007428C3"/>
    <w:rsid w:val="00742B0B"/>
    <w:rsid w:val="007463B2"/>
    <w:rsid w:val="007469AC"/>
    <w:rsid w:val="00747269"/>
    <w:rsid w:val="00753EA9"/>
    <w:rsid w:val="00757386"/>
    <w:rsid w:val="007573D5"/>
    <w:rsid w:val="00757B05"/>
    <w:rsid w:val="00761FF8"/>
    <w:rsid w:val="007639D5"/>
    <w:rsid w:val="0076596A"/>
    <w:rsid w:val="00767475"/>
    <w:rsid w:val="00767CFF"/>
    <w:rsid w:val="007700CE"/>
    <w:rsid w:val="00771043"/>
    <w:rsid w:val="00774123"/>
    <w:rsid w:val="007744F8"/>
    <w:rsid w:val="00775632"/>
    <w:rsid w:val="00775DE6"/>
    <w:rsid w:val="0077674C"/>
    <w:rsid w:val="007804B7"/>
    <w:rsid w:val="00780F7F"/>
    <w:rsid w:val="00781110"/>
    <w:rsid w:val="007920B1"/>
    <w:rsid w:val="0079282B"/>
    <w:rsid w:val="00793175"/>
    <w:rsid w:val="00793660"/>
    <w:rsid w:val="0079446A"/>
    <w:rsid w:val="007978AF"/>
    <w:rsid w:val="007A07DD"/>
    <w:rsid w:val="007A0911"/>
    <w:rsid w:val="007A138E"/>
    <w:rsid w:val="007A2AF5"/>
    <w:rsid w:val="007A2B8C"/>
    <w:rsid w:val="007A37B3"/>
    <w:rsid w:val="007A3B5C"/>
    <w:rsid w:val="007A52C9"/>
    <w:rsid w:val="007A7785"/>
    <w:rsid w:val="007B0011"/>
    <w:rsid w:val="007B0D9A"/>
    <w:rsid w:val="007B22A7"/>
    <w:rsid w:val="007B2807"/>
    <w:rsid w:val="007B2D4E"/>
    <w:rsid w:val="007B3406"/>
    <w:rsid w:val="007B5B41"/>
    <w:rsid w:val="007B5C09"/>
    <w:rsid w:val="007B5C1B"/>
    <w:rsid w:val="007B7EAE"/>
    <w:rsid w:val="007C0DA8"/>
    <w:rsid w:val="007C0F9B"/>
    <w:rsid w:val="007C0FC7"/>
    <w:rsid w:val="007C393E"/>
    <w:rsid w:val="007C3B46"/>
    <w:rsid w:val="007C6125"/>
    <w:rsid w:val="007C6985"/>
    <w:rsid w:val="007C7FEC"/>
    <w:rsid w:val="007D1A84"/>
    <w:rsid w:val="007D2560"/>
    <w:rsid w:val="007D2957"/>
    <w:rsid w:val="007D6F1C"/>
    <w:rsid w:val="007E152B"/>
    <w:rsid w:val="007E1D16"/>
    <w:rsid w:val="007E28DC"/>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0F78"/>
    <w:rsid w:val="00801E3F"/>
    <w:rsid w:val="00806A50"/>
    <w:rsid w:val="00806B8A"/>
    <w:rsid w:val="008076E2"/>
    <w:rsid w:val="0081046A"/>
    <w:rsid w:val="008113A4"/>
    <w:rsid w:val="008132F5"/>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40D3"/>
    <w:rsid w:val="0083552B"/>
    <w:rsid w:val="00837B74"/>
    <w:rsid w:val="0084043C"/>
    <w:rsid w:val="008404D1"/>
    <w:rsid w:val="00841DFF"/>
    <w:rsid w:val="00842445"/>
    <w:rsid w:val="00843ABC"/>
    <w:rsid w:val="00844712"/>
    <w:rsid w:val="00845B66"/>
    <w:rsid w:val="00845D8F"/>
    <w:rsid w:val="00846A8F"/>
    <w:rsid w:val="00850F3E"/>
    <w:rsid w:val="00853169"/>
    <w:rsid w:val="0085317B"/>
    <w:rsid w:val="00853643"/>
    <w:rsid w:val="0085446E"/>
    <w:rsid w:val="00861B67"/>
    <w:rsid w:val="00862969"/>
    <w:rsid w:val="00864978"/>
    <w:rsid w:val="00864BBA"/>
    <w:rsid w:val="00865E6C"/>
    <w:rsid w:val="00867D59"/>
    <w:rsid w:val="0087012E"/>
    <w:rsid w:val="008715F2"/>
    <w:rsid w:val="00871ADB"/>
    <w:rsid w:val="00873A1E"/>
    <w:rsid w:val="008755AA"/>
    <w:rsid w:val="00875FD5"/>
    <w:rsid w:val="00876654"/>
    <w:rsid w:val="00876A27"/>
    <w:rsid w:val="0087702E"/>
    <w:rsid w:val="00877B06"/>
    <w:rsid w:val="00880163"/>
    <w:rsid w:val="0088041C"/>
    <w:rsid w:val="008805A7"/>
    <w:rsid w:val="0088067A"/>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C3945"/>
    <w:rsid w:val="008C4B8B"/>
    <w:rsid w:val="008C5A76"/>
    <w:rsid w:val="008C63D3"/>
    <w:rsid w:val="008D1CF1"/>
    <w:rsid w:val="008D2F54"/>
    <w:rsid w:val="008D50FB"/>
    <w:rsid w:val="008D522C"/>
    <w:rsid w:val="008D61DF"/>
    <w:rsid w:val="008D69BA"/>
    <w:rsid w:val="008D71A9"/>
    <w:rsid w:val="008E2FEE"/>
    <w:rsid w:val="008E3542"/>
    <w:rsid w:val="008E41D7"/>
    <w:rsid w:val="008E44F8"/>
    <w:rsid w:val="008E4F65"/>
    <w:rsid w:val="008E5931"/>
    <w:rsid w:val="008E5DE6"/>
    <w:rsid w:val="008E63CD"/>
    <w:rsid w:val="008E6B23"/>
    <w:rsid w:val="008F1385"/>
    <w:rsid w:val="008F1FAB"/>
    <w:rsid w:val="008F22AB"/>
    <w:rsid w:val="008F3CD2"/>
    <w:rsid w:val="008F3E74"/>
    <w:rsid w:val="008F5EE8"/>
    <w:rsid w:val="008F7386"/>
    <w:rsid w:val="008F7441"/>
    <w:rsid w:val="008F78EA"/>
    <w:rsid w:val="0090071E"/>
    <w:rsid w:val="00900AD0"/>
    <w:rsid w:val="009038ED"/>
    <w:rsid w:val="0090527D"/>
    <w:rsid w:val="00905F29"/>
    <w:rsid w:val="00906084"/>
    <w:rsid w:val="009062EF"/>
    <w:rsid w:val="0090652B"/>
    <w:rsid w:val="00906E39"/>
    <w:rsid w:val="00906E8E"/>
    <w:rsid w:val="00910619"/>
    <w:rsid w:val="00910BE4"/>
    <w:rsid w:val="00911958"/>
    <w:rsid w:val="00911BEB"/>
    <w:rsid w:val="00912200"/>
    <w:rsid w:val="009132F3"/>
    <w:rsid w:val="009141A4"/>
    <w:rsid w:val="0091495D"/>
    <w:rsid w:val="00914D7A"/>
    <w:rsid w:val="00915F3E"/>
    <w:rsid w:val="00917404"/>
    <w:rsid w:val="009207F3"/>
    <w:rsid w:val="00921ACE"/>
    <w:rsid w:val="00921DB1"/>
    <w:rsid w:val="00922AD2"/>
    <w:rsid w:val="00924E3D"/>
    <w:rsid w:val="00925910"/>
    <w:rsid w:val="00927612"/>
    <w:rsid w:val="0092770A"/>
    <w:rsid w:val="00936DF8"/>
    <w:rsid w:val="00940957"/>
    <w:rsid w:val="00940A61"/>
    <w:rsid w:val="00940ADF"/>
    <w:rsid w:val="009455B2"/>
    <w:rsid w:val="00947505"/>
    <w:rsid w:val="009506D7"/>
    <w:rsid w:val="00950A7E"/>
    <w:rsid w:val="0095326B"/>
    <w:rsid w:val="0095462C"/>
    <w:rsid w:val="00954E2E"/>
    <w:rsid w:val="00954EA7"/>
    <w:rsid w:val="00955D7C"/>
    <w:rsid w:val="00957E91"/>
    <w:rsid w:val="00962052"/>
    <w:rsid w:val="0096283E"/>
    <w:rsid w:val="009638D7"/>
    <w:rsid w:val="00963FDF"/>
    <w:rsid w:val="00965572"/>
    <w:rsid w:val="00966F66"/>
    <w:rsid w:val="00966FBA"/>
    <w:rsid w:val="00971C38"/>
    <w:rsid w:val="0097213E"/>
    <w:rsid w:val="0097321C"/>
    <w:rsid w:val="00974797"/>
    <w:rsid w:val="00975403"/>
    <w:rsid w:val="00975BA9"/>
    <w:rsid w:val="0097746A"/>
    <w:rsid w:val="00980342"/>
    <w:rsid w:val="00981224"/>
    <w:rsid w:val="00983F79"/>
    <w:rsid w:val="00984A60"/>
    <w:rsid w:val="00985A23"/>
    <w:rsid w:val="00985E54"/>
    <w:rsid w:val="0098668C"/>
    <w:rsid w:val="00987E8E"/>
    <w:rsid w:val="0099142B"/>
    <w:rsid w:val="009915A2"/>
    <w:rsid w:val="0099205E"/>
    <w:rsid w:val="00992442"/>
    <w:rsid w:val="009939D6"/>
    <w:rsid w:val="00993A2A"/>
    <w:rsid w:val="00994032"/>
    <w:rsid w:val="00995CC1"/>
    <w:rsid w:val="009969BD"/>
    <w:rsid w:val="009977B3"/>
    <w:rsid w:val="00997E2F"/>
    <w:rsid w:val="009A4740"/>
    <w:rsid w:val="009A4919"/>
    <w:rsid w:val="009B166A"/>
    <w:rsid w:val="009B36B1"/>
    <w:rsid w:val="009B3C39"/>
    <w:rsid w:val="009B5925"/>
    <w:rsid w:val="009B5D9A"/>
    <w:rsid w:val="009B72C4"/>
    <w:rsid w:val="009C1A30"/>
    <w:rsid w:val="009C268C"/>
    <w:rsid w:val="009C74A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F060C"/>
    <w:rsid w:val="009F0F7A"/>
    <w:rsid w:val="009F1FA7"/>
    <w:rsid w:val="009F215E"/>
    <w:rsid w:val="009F3BDF"/>
    <w:rsid w:val="009F4CA7"/>
    <w:rsid w:val="009F620F"/>
    <w:rsid w:val="00A039C6"/>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104B"/>
    <w:rsid w:val="00A31BC8"/>
    <w:rsid w:val="00A32B3E"/>
    <w:rsid w:val="00A32CDF"/>
    <w:rsid w:val="00A33BDB"/>
    <w:rsid w:val="00A34CB7"/>
    <w:rsid w:val="00A35491"/>
    <w:rsid w:val="00A4253D"/>
    <w:rsid w:val="00A42A6B"/>
    <w:rsid w:val="00A44168"/>
    <w:rsid w:val="00A458E0"/>
    <w:rsid w:val="00A4662B"/>
    <w:rsid w:val="00A4673D"/>
    <w:rsid w:val="00A46C32"/>
    <w:rsid w:val="00A520B5"/>
    <w:rsid w:val="00A54078"/>
    <w:rsid w:val="00A5413F"/>
    <w:rsid w:val="00A56831"/>
    <w:rsid w:val="00A56A04"/>
    <w:rsid w:val="00A575B0"/>
    <w:rsid w:val="00A575F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2EE"/>
    <w:rsid w:val="00A86E59"/>
    <w:rsid w:val="00A90C28"/>
    <w:rsid w:val="00A914E9"/>
    <w:rsid w:val="00A91618"/>
    <w:rsid w:val="00A92F4D"/>
    <w:rsid w:val="00A9585B"/>
    <w:rsid w:val="00A95D10"/>
    <w:rsid w:val="00A967D3"/>
    <w:rsid w:val="00A9686B"/>
    <w:rsid w:val="00A979C6"/>
    <w:rsid w:val="00AA3478"/>
    <w:rsid w:val="00AA3CDD"/>
    <w:rsid w:val="00AA6661"/>
    <w:rsid w:val="00AA6B6B"/>
    <w:rsid w:val="00AA708E"/>
    <w:rsid w:val="00AA7926"/>
    <w:rsid w:val="00AA7AB8"/>
    <w:rsid w:val="00AB0008"/>
    <w:rsid w:val="00AB107E"/>
    <w:rsid w:val="00AB16C3"/>
    <w:rsid w:val="00AB3F6D"/>
    <w:rsid w:val="00AB6C35"/>
    <w:rsid w:val="00AB70A4"/>
    <w:rsid w:val="00AC071F"/>
    <w:rsid w:val="00AC1EF7"/>
    <w:rsid w:val="00AC23EC"/>
    <w:rsid w:val="00AC2B2D"/>
    <w:rsid w:val="00AC2C68"/>
    <w:rsid w:val="00AC3DAD"/>
    <w:rsid w:val="00AC53E1"/>
    <w:rsid w:val="00AC597D"/>
    <w:rsid w:val="00AC617A"/>
    <w:rsid w:val="00AD0455"/>
    <w:rsid w:val="00AD051D"/>
    <w:rsid w:val="00AD056A"/>
    <w:rsid w:val="00AD0D55"/>
    <w:rsid w:val="00AD6F90"/>
    <w:rsid w:val="00AD7C90"/>
    <w:rsid w:val="00AE0B3F"/>
    <w:rsid w:val="00AE110A"/>
    <w:rsid w:val="00AE15EE"/>
    <w:rsid w:val="00AE2AEE"/>
    <w:rsid w:val="00AE33C1"/>
    <w:rsid w:val="00AE3D64"/>
    <w:rsid w:val="00AE4993"/>
    <w:rsid w:val="00AE5C17"/>
    <w:rsid w:val="00AE71D4"/>
    <w:rsid w:val="00AE7530"/>
    <w:rsid w:val="00AF0B61"/>
    <w:rsid w:val="00AF1519"/>
    <w:rsid w:val="00AF1A19"/>
    <w:rsid w:val="00AF1AD9"/>
    <w:rsid w:val="00AF24DB"/>
    <w:rsid w:val="00AF2574"/>
    <w:rsid w:val="00AF2C09"/>
    <w:rsid w:val="00AF2CDC"/>
    <w:rsid w:val="00AF32CD"/>
    <w:rsid w:val="00B00DDE"/>
    <w:rsid w:val="00B0176E"/>
    <w:rsid w:val="00B02804"/>
    <w:rsid w:val="00B03698"/>
    <w:rsid w:val="00B05CB0"/>
    <w:rsid w:val="00B063B7"/>
    <w:rsid w:val="00B0776C"/>
    <w:rsid w:val="00B105F7"/>
    <w:rsid w:val="00B10ECF"/>
    <w:rsid w:val="00B117F9"/>
    <w:rsid w:val="00B143DF"/>
    <w:rsid w:val="00B176FE"/>
    <w:rsid w:val="00B21828"/>
    <w:rsid w:val="00B21E1C"/>
    <w:rsid w:val="00B2640B"/>
    <w:rsid w:val="00B267AF"/>
    <w:rsid w:val="00B26DEC"/>
    <w:rsid w:val="00B27201"/>
    <w:rsid w:val="00B274C6"/>
    <w:rsid w:val="00B316A5"/>
    <w:rsid w:val="00B33B28"/>
    <w:rsid w:val="00B33BAE"/>
    <w:rsid w:val="00B370F1"/>
    <w:rsid w:val="00B40C2F"/>
    <w:rsid w:val="00B412D1"/>
    <w:rsid w:val="00B41F06"/>
    <w:rsid w:val="00B430AD"/>
    <w:rsid w:val="00B43524"/>
    <w:rsid w:val="00B441CC"/>
    <w:rsid w:val="00B45B8D"/>
    <w:rsid w:val="00B4687B"/>
    <w:rsid w:val="00B477EF"/>
    <w:rsid w:val="00B5303C"/>
    <w:rsid w:val="00B558BA"/>
    <w:rsid w:val="00B56497"/>
    <w:rsid w:val="00B63CE9"/>
    <w:rsid w:val="00B66383"/>
    <w:rsid w:val="00B66678"/>
    <w:rsid w:val="00B66ED0"/>
    <w:rsid w:val="00B71432"/>
    <w:rsid w:val="00B719EE"/>
    <w:rsid w:val="00B72900"/>
    <w:rsid w:val="00B72C29"/>
    <w:rsid w:val="00B730BB"/>
    <w:rsid w:val="00B76F37"/>
    <w:rsid w:val="00B82858"/>
    <w:rsid w:val="00B828B6"/>
    <w:rsid w:val="00B855BA"/>
    <w:rsid w:val="00B85756"/>
    <w:rsid w:val="00B86C3B"/>
    <w:rsid w:val="00B86E93"/>
    <w:rsid w:val="00B870E5"/>
    <w:rsid w:val="00B91122"/>
    <w:rsid w:val="00B91476"/>
    <w:rsid w:val="00B9347E"/>
    <w:rsid w:val="00B93837"/>
    <w:rsid w:val="00B947D5"/>
    <w:rsid w:val="00B96C65"/>
    <w:rsid w:val="00BA07B3"/>
    <w:rsid w:val="00BA3204"/>
    <w:rsid w:val="00BA610C"/>
    <w:rsid w:val="00BB12B3"/>
    <w:rsid w:val="00BB35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51CF"/>
    <w:rsid w:val="00BE6415"/>
    <w:rsid w:val="00BE72B7"/>
    <w:rsid w:val="00BE741D"/>
    <w:rsid w:val="00BE7849"/>
    <w:rsid w:val="00BE79C9"/>
    <w:rsid w:val="00BF1103"/>
    <w:rsid w:val="00BF249B"/>
    <w:rsid w:val="00BF2C50"/>
    <w:rsid w:val="00BF4628"/>
    <w:rsid w:val="00BF574C"/>
    <w:rsid w:val="00BF5DA3"/>
    <w:rsid w:val="00BF7A8A"/>
    <w:rsid w:val="00C00BBA"/>
    <w:rsid w:val="00C0131F"/>
    <w:rsid w:val="00C0220F"/>
    <w:rsid w:val="00C03C2F"/>
    <w:rsid w:val="00C03D2B"/>
    <w:rsid w:val="00C04F69"/>
    <w:rsid w:val="00C053F5"/>
    <w:rsid w:val="00C061B2"/>
    <w:rsid w:val="00C06A62"/>
    <w:rsid w:val="00C10486"/>
    <w:rsid w:val="00C120C1"/>
    <w:rsid w:val="00C137F2"/>
    <w:rsid w:val="00C14E1D"/>
    <w:rsid w:val="00C16133"/>
    <w:rsid w:val="00C16F70"/>
    <w:rsid w:val="00C21149"/>
    <w:rsid w:val="00C221BD"/>
    <w:rsid w:val="00C2359B"/>
    <w:rsid w:val="00C23C9C"/>
    <w:rsid w:val="00C259E7"/>
    <w:rsid w:val="00C25A42"/>
    <w:rsid w:val="00C26738"/>
    <w:rsid w:val="00C2676B"/>
    <w:rsid w:val="00C26810"/>
    <w:rsid w:val="00C307CE"/>
    <w:rsid w:val="00C3190D"/>
    <w:rsid w:val="00C3404F"/>
    <w:rsid w:val="00C3443F"/>
    <w:rsid w:val="00C344CA"/>
    <w:rsid w:val="00C34B3D"/>
    <w:rsid w:val="00C34DCF"/>
    <w:rsid w:val="00C354F1"/>
    <w:rsid w:val="00C3748B"/>
    <w:rsid w:val="00C40D56"/>
    <w:rsid w:val="00C418B2"/>
    <w:rsid w:val="00C43E6D"/>
    <w:rsid w:val="00C445E6"/>
    <w:rsid w:val="00C471DF"/>
    <w:rsid w:val="00C5192F"/>
    <w:rsid w:val="00C51DF6"/>
    <w:rsid w:val="00C521D4"/>
    <w:rsid w:val="00C52730"/>
    <w:rsid w:val="00C52FEA"/>
    <w:rsid w:val="00C532C8"/>
    <w:rsid w:val="00C54B5E"/>
    <w:rsid w:val="00C54FB2"/>
    <w:rsid w:val="00C570ED"/>
    <w:rsid w:val="00C57812"/>
    <w:rsid w:val="00C57FBC"/>
    <w:rsid w:val="00C611A3"/>
    <w:rsid w:val="00C61A40"/>
    <w:rsid w:val="00C61AF0"/>
    <w:rsid w:val="00C62E09"/>
    <w:rsid w:val="00C64019"/>
    <w:rsid w:val="00C64DAF"/>
    <w:rsid w:val="00C667EE"/>
    <w:rsid w:val="00C66ACE"/>
    <w:rsid w:val="00C705C6"/>
    <w:rsid w:val="00C70840"/>
    <w:rsid w:val="00C70AC7"/>
    <w:rsid w:val="00C70C05"/>
    <w:rsid w:val="00C71776"/>
    <w:rsid w:val="00C71CE3"/>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85B68"/>
    <w:rsid w:val="00C90D22"/>
    <w:rsid w:val="00C90FB6"/>
    <w:rsid w:val="00C93A2D"/>
    <w:rsid w:val="00C94BBC"/>
    <w:rsid w:val="00C957A6"/>
    <w:rsid w:val="00C95B24"/>
    <w:rsid w:val="00C96A98"/>
    <w:rsid w:val="00C973AE"/>
    <w:rsid w:val="00C9746F"/>
    <w:rsid w:val="00CA1266"/>
    <w:rsid w:val="00CA1AE1"/>
    <w:rsid w:val="00CA3CDC"/>
    <w:rsid w:val="00CA53CE"/>
    <w:rsid w:val="00CA5B86"/>
    <w:rsid w:val="00CB2E00"/>
    <w:rsid w:val="00CB4069"/>
    <w:rsid w:val="00CB58C3"/>
    <w:rsid w:val="00CB758D"/>
    <w:rsid w:val="00CB7A0D"/>
    <w:rsid w:val="00CC4553"/>
    <w:rsid w:val="00CD037E"/>
    <w:rsid w:val="00CD14DF"/>
    <w:rsid w:val="00CD22C6"/>
    <w:rsid w:val="00CD369E"/>
    <w:rsid w:val="00CD5263"/>
    <w:rsid w:val="00CD58BB"/>
    <w:rsid w:val="00CD624A"/>
    <w:rsid w:val="00CE0C83"/>
    <w:rsid w:val="00CE2692"/>
    <w:rsid w:val="00CE2AB5"/>
    <w:rsid w:val="00CE6F95"/>
    <w:rsid w:val="00CF061B"/>
    <w:rsid w:val="00CF0D21"/>
    <w:rsid w:val="00CF0FEA"/>
    <w:rsid w:val="00CF1DB8"/>
    <w:rsid w:val="00CF22D9"/>
    <w:rsid w:val="00CF2301"/>
    <w:rsid w:val="00D01436"/>
    <w:rsid w:val="00D028C8"/>
    <w:rsid w:val="00D02FA8"/>
    <w:rsid w:val="00D02FAE"/>
    <w:rsid w:val="00D03A3C"/>
    <w:rsid w:val="00D04686"/>
    <w:rsid w:val="00D05B8F"/>
    <w:rsid w:val="00D064D4"/>
    <w:rsid w:val="00D1102E"/>
    <w:rsid w:val="00D11CB6"/>
    <w:rsid w:val="00D12038"/>
    <w:rsid w:val="00D124B3"/>
    <w:rsid w:val="00D13275"/>
    <w:rsid w:val="00D1660D"/>
    <w:rsid w:val="00D166D9"/>
    <w:rsid w:val="00D16AE3"/>
    <w:rsid w:val="00D2535D"/>
    <w:rsid w:val="00D25CD8"/>
    <w:rsid w:val="00D26C0F"/>
    <w:rsid w:val="00D26D7A"/>
    <w:rsid w:val="00D30055"/>
    <w:rsid w:val="00D30DAF"/>
    <w:rsid w:val="00D3262A"/>
    <w:rsid w:val="00D33852"/>
    <w:rsid w:val="00D33D33"/>
    <w:rsid w:val="00D348E4"/>
    <w:rsid w:val="00D35203"/>
    <w:rsid w:val="00D379EC"/>
    <w:rsid w:val="00D37FEA"/>
    <w:rsid w:val="00D40138"/>
    <w:rsid w:val="00D4130A"/>
    <w:rsid w:val="00D427DF"/>
    <w:rsid w:val="00D43749"/>
    <w:rsid w:val="00D44AE7"/>
    <w:rsid w:val="00D4605E"/>
    <w:rsid w:val="00D5006E"/>
    <w:rsid w:val="00D50962"/>
    <w:rsid w:val="00D51401"/>
    <w:rsid w:val="00D51658"/>
    <w:rsid w:val="00D51A2F"/>
    <w:rsid w:val="00D520D5"/>
    <w:rsid w:val="00D52EE6"/>
    <w:rsid w:val="00D536BB"/>
    <w:rsid w:val="00D547A7"/>
    <w:rsid w:val="00D56563"/>
    <w:rsid w:val="00D57887"/>
    <w:rsid w:val="00D57D81"/>
    <w:rsid w:val="00D612EA"/>
    <w:rsid w:val="00D6205D"/>
    <w:rsid w:val="00D63395"/>
    <w:rsid w:val="00D63B78"/>
    <w:rsid w:val="00D643C0"/>
    <w:rsid w:val="00D643D9"/>
    <w:rsid w:val="00D6503D"/>
    <w:rsid w:val="00D66BC0"/>
    <w:rsid w:val="00D67C11"/>
    <w:rsid w:val="00D706BD"/>
    <w:rsid w:val="00D71457"/>
    <w:rsid w:val="00D7215A"/>
    <w:rsid w:val="00D721ED"/>
    <w:rsid w:val="00D727BC"/>
    <w:rsid w:val="00D72F12"/>
    <w:rsid w:val="00D74651"/>
    <w:rsid w:val="00D75F20"/>
    <w:rsid w:val="00D8289C"/>
    <w:rsid w:val="00D82D27"/>
    <w:rsid w:val="00D833D1"/>
    <w:rsid w:val="00D847FB"/>
    <w:rsid w:val="00D868A7"/>
    <w:rsid w:val="00D87887"/>
    <w:rsid w:val="00D8793C"/>
    <w:rsid w:val="00D904E8"/>
    <w:rsid w:val="00D90B9A"/>
    <w:rsid w:val="00D915B6"/>
    <w:rsid w:val="00D945AB"/>
    <w:rsid w:val="00D96387"/>
    <w:rsid w:val="00D97F61"/>
    <w:rsid w:val="00DA0061"/>
    <w:rsid w:val="00DA1C65"/>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0F78"/>
    <w:rsid w:val="00DD21E6"/>
    <w:rsid w:val="00DD280D"/>
    <w:rsid w:val="00DD3BB7"/>
    <w:rsid w:val="00DD473B"/>
    <w:rsid w:val="00DD604F"/>
    <w:rsid w:val="00DD791D"/>
    <w:rsid w:val="00DE0599"/>
    <w:rsid w:val="00DE194D"/>
    <w:rsid w:val="00DE2DBC"/>
    <w:rsid w:val="00DE353D"/>
    <w:rsid w:val="00DE3F6E"/>
    <w:rsid w:val="00DE4AEF"/>
    <w:rsid w:val="00DE5B0A"/>
    <w:rsid w:val="00DE5DC5"/>
    <w:rsid w:val="00DF0479"/>
    <w:rsid w:val="00DF0993"/>
    <w:rsid w:val="00DF0ADA"/>
    <w:rsid w:val="00DF1F6C"/>
    <w:rsid w:val="00DF3C09"/>
    <w:rsid w:val="00DF5D18"/>
    <w:rsid w:val="00DF69D1"/>
    <w:rsid w:val="00DF7309"/>
    <w:rsid w:val="00E00B0B"/>
    <w:rsid w:val="00E02284"/>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113C"/>
    <w:rsid w:val="00E31197"/>
    <w:rsid w:val="00E318EF"/>
    <w:rsid w:val="00E324F3"/>
    <w:rsid w:val="00E33061"/>
    <w:rsid w:val="00E34FE9"/>
    <w:rsid w:val="00E35902"/>
    <w:rsid w:val="00E40720"/>
    <w:rsid w:val="00E41296"/>
    <w:rsid w:val="00E41E8F"/>
    <w:rsid w:val="00E42D55"/>
    <w:rsid w:val="00E42D6F"/>
    <w:rsid w:val="00E434C4"/>
    <w:rsid w:val="00E446B4"/>
    <w:rsid w:val="00E44882"/>
    <w:rsid w:val="00E4574E"/>
    <w:rsid w:val="00E46B90"/>
    <w:rsid w:val="00E47A4B"/>
    <w:rsid w:val="00E47C1E"/>
    <w:rsid w:val="00E51A9F"/>
    <w:rsid w:val="00E51EC4"/>
    <w:rsid w:val="00E52050"/>
    <w:rsid w:val="00E52476"/>
    <w:rsid w:val="00E524CF"/>
    <w:rsid w:val="00E53110"/>
    <w:rsid w:val="00E53117"/>
    <w:rsid w:val="00E55FAB"/>
    <w:rsid w:val="00E56682"/>
    <w:rsid w:val="00E568E2"/>
    <w:rsid w:val="00E57244"/>
    <w:rsid w:val="00E575C0"/>
    <w:rsid w:val="00E6125B"/>
    <w:rsid w:val="00E61830"/>
    <w:rsid w:val="00E61B94"/>
    <w:rsid w:val="00E639AA"/>
    <w:rsid w:val="00E74035"/>
    <w:rsid w:val="00E74070"/>
    <w:rsid w:val="00E759ED"/>
    <w:rsid w:val="00E76C17"/>
    <w:rsid w:val="00E77913"/>
    <w:rsid w:val="00E77EB6"/>
    <w:rsid w:val="00E8050D"/>
    <w:rsid w:val="00E80B0C"/>
    <w:rsid w:val="00E825BE"/>
    <w:rsid w:val="00E853D7"/>
    <w:rsid w:val="00E853DC"/>
    <w:rsid w:val="00E8712C"/>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25CE"/>
    <w:rsid w:val="00EB27D0"/>
    <w:rsid w:val="00EB2D25"/>
    <w:rsid w:val="00EB33EF"/>
    <w:rsid w:val="00EB4830"/>
    <w:rsid w:val="00EB4C29"/>
    <w:rsid w:val="00EB4DFD"/>
    <w:rsid w:val="00EB5410"/>
    <w:rsid w:val="00EB5DF3"/>
    <w:rsid w:val="00EB7483"/>
    <w:rsid w:val="00EC03AC"/>
    <w:rsid w:val="00EC40B1"/>
    <w:rsid w:val="00EC40BA"/>
    <w:rsid w:val="00EC590B"/>
    <w:rsid w:val="00EC60F1"/>
    <w:rsid w:val="00EC629A"/>
    <w:rsid w:val="00EC65C3"/>
    <w:rsid w:val="00ED0E97"/>
    <w:rsid w:val="00ED1702"/>
    <w:rsid w:val="00ED237F"/>
    <w:rsid w:val="00ED2DED"/>
    <w:rsid w:val="00ED3292"/>
    <w:rsid w:val="00ED39A0"/>
    <w:rsid w:val="00ED3F78"/>
    <w:rsid w:val="00ED429A"/>
    <w:rsid w:val="00ED4AE1"/>
    <w:rsid w:val="00ED6D61"/>
    <w:rsid w:val="00ED7532"/>
    <w:rsid w:val="00EE0F1A"/>
    <w:rsid w:val="00EE3FA0"/>
    <w:rsid w:val="00EE6BE8"/>
    <w:rsid w:val="00EE7507"/>
    <w:rsid w:val="00EF2AAB"/>
    <w:rsid w:val="00EF2D87"/>
    <w:rsid w:val="00EF3A00"/>
    <w:rsid w:val="00EF3B4A"/>
    <w:rsid w:val="00EF3C6E"/>
    <w:rsid w:val="00EF56B7"/>
    <w:rsid w:val="00EF5ADA"/>
    <w:rsid w:val="00EF5E02"/>
    <w:rsid w:val="00EF6133"/>
    <w:rsid w:val="00F01361"/>
    <w:rsid w:val="00F01682"/>
    <w:rsid w:val="00F0288C"/>
    <w:rsid w:val="00F031F0"/>
    <w:rsid w:val="00F0321B"/>
    <w:rsid w:val="00F04282"/>
    <w:rsid w:val="00F051FD"/>
    <w:rsid w:val="00F05A44"/>
    <w:rsid w:val="00F05F18"/>
    <w:rsid w:val="00F06D35"/>
    <w:rsid w:val="00F07E5A"/>
    <w:rsid w:val="00F10AC3"/>
    <w:rsid w:val="00F11CDA"/>
    <w:rsid w:val="00F12B5D"/>
    <w:rsid w:val="00F14A46"/>
    <w:rsid w:val="00F16D7A"/>
    <w:rsid w:val="00F16EE8"/>
    <w:rsid w:val="00F232CC"/>
    <w:rsid w:val="00F2364E"/>
    <w:rsid w:val="00F23C98"/>
    <w:rsid w:val="00F23D7E"/>
    <w:rsid w:val="00F23E6F"/>
    <w:rsid w:val="00F2516A"/>
    <w:rsid w:val="00F2562E"/>
    <w:rsid w:val="00F266D4"/>
    <w:rsid w:val="00F26900"/>
    <w:rsid w:val="00F26F2F"/>
    <w:rsid w:val="00F27645"/>
    <w:rsid w:val="00F30584"/>
    <w:rsid w:val="00F306E8"/>
    <w:rsid w:val="00F3075C"/>
    <w:rsid w:val="00F30D81"/>
    <w:rsid w:val="00F31DC0"/>
    <w:rsid w:val="00F321DD"/>
    <w:rsid w:val="00F32A65"/>
    <w:rsid w:val="00F33E46"/>
    <w:rsid w:val="00F347F8"/>
    <w:rsid w:val="00F35268"/>
    <w:rsid w:val="00F353B0"/>
    <w:rsid w:val="00F36218"/>
    <w:rsid w:val="00F371F1"/>
    <w:rsid w:val="00F37244"/>
    <w:rsid w:val="00F40B3B"/>
    <w:rsid w:val="00F42D71"/>
    <w:rsid w:val="00F43D58"/>
    <w:rsid w:val="00F471D3"/>
    <w:rsid w:val="00F5150D"/>
    <w:rsid w:val="00F51851"/>
    <w:rsid w:val="00F55DB5"/>
    <w:rsid w:val="00F55F4C"/>
    <w:rsid w:val="00F56F7A"/>
    <w:rsid w:val="00F57C7B"/>
    <w:rsid w:val="00F57F10"/>
    <w:rsid w:val="00F608D1"/>
    <w:rsid w:val="00F614AC"/>
    <w:rsid w:val="00F62D81"/>
    <w:rsid w:val="00F63574"/>
    <w:rsid w:val="00F63C46"/>
    <w:rsid w:val="00F64059"/>
    <w:rsid w:val="00F64A2E"/>
    <w:rsid w:val="00F65B38"/>
    <w:rsid w:val="00F661D9"/>
    <w:rsid w:val="00F675A3"/>
    <w:rsid w:val="00F703B0"/>
    <w:rsid w:val="00F7048D"/>
    <w:rsid w:val="00F72AB0"/>
    <w:rsid w:val="00F735BC"/>
    <w:rsid w:val="00F74799"/>
    <w:rsid w:val="00F80743"/>
    <w:rsid w:val="00F81BC9"/>
    <w:rsid w:val="00F83563"/>
    <w:rsid w:val="00F8461F"/>
    <w:rsid w:val="00F84799"/>
    <w:rsid w:val="00F903F3"/>
    <w:rsid w:val="00F912AC"/>
    <w:rsid w:val="00F92432"/>
    <w:rsid w:val="00F924DA"/>
    <w:rsid w:val="00F92A10"/>
    <w:rsid w:val="00F93974"/>
    <w:rsid w:val="00F93A98"/>
    <w:rsid w:val="00F94C99"/>
    <w:rsid w:val="00F96341"/>
    <w:rsid w:val="00FA13CC"/>
    <w:rsid w:val="00FA2CEC"/>
    <w:rsid w:val="00FA68E8"/>
    <w:rsid w:val="00FB225C"/>
    <w:rsid w:val="00FB353C"/>
    <w:rsid w:val="00FB42A2"/>
    <w:rsid w:val="00FB5A5C"/>
    <w:rsid w:val="00FB6979"/>
    <w:rsid w:val="00FB6A17"/>
    <w:rsid w:val="00FB7D9D"/>
    <w:rsid w:val="00FC33FF"/>
    <w:rsid w:val="00FC44C3"/>
    <w:rsid w:val="00FC53E3"/>
    <w:rsid w:val="00FC6239"/>
    <w:rsid w:val="00FD01DA"/>
    <w:rsid w:val="00FD06F7"/>
    <w:rsid w:val="00FD1B03"/>
    <w:rsid w:val="00FD3C35"/>
    <w:rsid w:val="00FD4A85"/>
    <w:rsid w:val="00FD58E1"/>
    <w:rsid w:val="00FD5E5F"/>
    <w:rsid w:val="00FE0936"/>
    <w:rsid w:val="00FE12CD"/>
    <w:rsid w:val="00FE438D"/>
    <w:rsid w:val="00FE502E"/>
    <w:rsid w:val="00FE5BB0"/>
    <w:rsid w:val="00FE6896"/>
    <w:rsid w:val="00FE726A"/>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http://www.dhsspsni.gov.uk/index/statistics/hospital/emergency-care/ambulance-statistics.htm" TargetMode="External"/><Relationship Id="rId3" Type="http://schemas.openxmlformats.org/officeDocument/2006/relationships/styles" Target="styles.xml"/><Relationship Id="rId21" Type="http://schemas.openxmlformats.org/officeDocument/2006/relationships/hyperlink" Target="http://aace.org.uk/national-performance/national-clinical-dashboards"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scottishambulance.com/TheService/BoardPapers.aspx"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gov.uk/government/statistics/announcem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ales.gov.uk/statistics-and-research/ambulance-services/?lang=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england.nhs.uk/statistics/statistical-work-areas/winter-daily-sitreps" TargetMode="External"/><Relationship Id="rId28" Type="http://schemas.openxmlformats.org/officeDocument/2006/relationships/hyperlink" Target="mailto:i.kay@nhs.net" TargetMode="External"/><Relationship Id="rId10" Type="http://schemas.openxmlformats.org/officeDocument/2006/relationships/image" Target="media/image2.png"/><Relationship Id="rId19" Type="http://schemas.openxmlformats.org/officeDocument/2006/relationships/hyperlink" Target="http://bit.ly/NHSAQ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hscic.gov.uk/article/2021/Website-Search?q=ambulance+-accident&amp;sort=Title" TargetMode="External"/><Relationship Id="rId27" Type="http://schemas.openxmlformats.org/officeDocument/2006/relationships/hyperlink" Target="mailto:nhsengland.media@nhs.net"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84/2/960.citation"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s://www.england.nhs.uk/ourwork/qual-clin-lead/a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B34AB-0F88-494B-9DF0-C8B7769A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2944</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19948</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James Thomas</cp:lastModifiedBy>
  <cp:revision>4</cp:revision>
  <cp:lastPrinted>2016-06-03T10:48:00Z</cp:lastPrinted>
  <dcterms:created xsi:type="dcterms:W3CDTF">2016-06-07T13:04:00Z</dcterms:created>
  <dcterms:modified xsi:type="dcterms:W3CDTF">2016-06-07T15:44:00Z</dcterms:modified>
</cp:coreProperties>
</file>