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r w:rsidRPr="00F37F1D">
        <w:t xml:space="preserve">Statistical Note: </w:t>
      </w:r>
      <w:r w:rsidR="00340492" w:rsidRPr="00F37F1D">
        <w:t>Ambulance Quality Indicators</w:t>
      </w:r>
      <w:r w:rsidR="002C522F" w:rsidRPr="00F37F1D">
        <w:t xml:space="preserve"> (AQI</w:t>
      </w:r>
      <w:r w:rsidR="00DC4BF3" w:rsidRPr="00F37F1D">
        <w:t>)</w:t>
      </w:r>
    </w:p>
    <w:p w:rsidR="00B75E75" w:rsidRPr="00F37F1D" w:rsidRDefault="00B75E75" w:rsidP="00B75E75">
      <w:pPr>
        <w:pStyle w:val="ListParagraph"/>
        <w:numPr>
          <w:ilvl w:val="0"/>
          <w:numId w:val="18"/>
        </w:numPr>
      </w:pPr>
      <w:r w:rsidRPr="00F37F1D">
        <w:t xml:space="preserve">The latest Systems Indicators for </w:t>
      </w:r>
      <w:r w:rsidR="006B172D">
        <w:t>September</w:t>
      </w:r>
      <w:r w:rsidRPr="00F37F1D">
        <w:t xml:space="preserve"> 2016 for Ambulance Services in England</w:t>
      </w:r>
      <w:r>
        <w:t xml:space="preserve"> (where data were available</w:t>
      </w:r>
      <w:r w:rsidRPr="00E5297B">
        <w:rPr>
          <w:vertAlign w:val="superscript"/>
        </w:rPr>
        <w:t>2</w:t>
      </w:r>
      <w:r>
        <w:t>)</w:t>
      </w:r>
      <w:r w:rsidRPr="00F37F1D">
        <w:t xml:space="preserve"> 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2C522F" w:rsidRPr="00E5297B" w:rsidRDefault="002C522F" w:rsidP="00D833D1">
      <w:pPr>
        <w:pStyle w:val="Heading2"/>
        <w:spacing w:after="0"/>
      </w:pPr>
      <w:r w:rsidRPr="00E5297B">
        <w:t>A.</w:t>
      </w:r>
      <w:r w:rsidRPr="00E5297B">
        <w:tab/>
      </w:r>
      <w:r w:rsidR="00C3443F" w:rsidRPr="00E5297B">
        <w:t xml:space="preserve">Systems </w:t>
      </w:r>
      <w:r w:rsidR="00465847" w:rsidRPr="00E5297B">
        <w:t>Indicators</w:t>
      </w:r>
    </w:p>
    <w:p w:rsidR="00C3443F" w:rsidRPr="00E5297B" w:rsidRDefault="0044771F" w:rsidP="00D833D1">
      <w:pPr>
        <w:pStyle w:val="Heading3"/>
        <w:spacing w:before="120"/>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E5297B" w:rsidRDefault="00526112" w:rsidP="00513897">
      <w:r w:rsidRPr="00E5297B">
        <w:t>In</w:t>
      </w:r>
      <w:r w:rsidR="00AA7926" w:rsidRPr="00E5297B">
        <w:t xml:space="preserve"> </w:t>
      </w:r>
      <w:r w:rsidR="006B172D">
        <w:t>September</w:t>
      </w:r>
      <w:r w:rsidR="000002F1" w:rsidRPr="00E5297B">
        <w:t xml:space="preserve"> 2016</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response, the proportion </w:t>
      </w:r>
      <w:r w:rsidR="004C377A" w:rsidRPr="00E5297B">
        <w:t xml:space="preserve">arriving within 8 </w:t>
      </w:r>
      <w:r w:rsidR="00191AB9" w:rsidRPr="00E5297B">
        <w:t xml:space="preserve">minutes </w:t>
      </w:r>
      <w:r w:rsidR="002611D4" w:rsidRPr="00E5297B">
        <w:t xml:space="preserve">was </w:t>
      </w:r>
      <w:r w:rsidR="006045C4">
        <w:t>68.3</w:t>
      </w:r>
      <w:r w:rsidR="00D833D1" w:rsidRPr="00E5297B">
        <w:t>%</w:t>
      </w:r>
      <w:r w:rsidR="00E5297B" w:rsidRPr="00E5297B">
        <w:t>. It should be noted that data on Cat</w:t>
      </w:r>
      <w:r w:rsidR="00C730D9">
        <w:t>egory A calls are</w:t>
      </w:r>
      <w:r w:rsidR="001C281D">
        <w:t xml:space="preserve"> only available </w:t>
      </w:r>
      <w:r w:rsidR="00E5297B" w:rsidRPr="00E5297B">
        <w:t xml:space="preserve">for </w:t>
      </w:r>
      <w:r w:rsidR="00D70056">
        <w:t>8</w:t>
      </w:r>
      <w:r w:rsidR="00E5297B" w:rsidRPr="00E5297B">
        <w:t xml:space="preserve"> of the 11 Ambulance Trusts</w:t>
      </w:r>
      <w:r w:rsidR="00E326E7" w:rsidRPr="001A5385">
        <w:rPr>
          <w:vertAlign w:val="superscript"/>
        </w:rPr>
        <w:t>2</w:t>
      </w:r>
      <w:r w:rsidR="00E326E7">
        <w:t>.</w:t>
      </w:r>
    </w:p>
    <w:p w:rsidR="00957995" w:rsidRDefault="00957995" w:rsidP="00957995">
      <w:r>
        <w:t xml:space="preserve">In </w:t>
      </w:r>
      <w:r w:rsidR="006B172D">
        <w:t>September</w:t>
      </w:r>
      <w:r w:rsidRPr="001A5385">
        <w:t xml:space="preserve"> 2016, of Category</w:t>
      </w:r>
      <w:r w:rsidRPr="001A5385">
        <w:rPr>
          <w:vertAlign w:val="superscript"/>
        </w:rPr>
        <w:t xml:space="preserve">2, 3 </w:t>
      </w:r>
      <w:r w:rsidRPr="001A5385">
        <w:t>A Red 2 calls in England resulting in an emergency response, the proportion ar</w:t>
      </w:r>
      <w:r>
        <w:t xml:space="preserve">riving within 8 minutes was </w:t>
      </w:r>
      <w:r w:rsidR="006045C4">
        <w:t>62.0</w:t>
      </w:r>
      <w:r w:rsidRPr="001A5385">
        <w:t xml:space="preserve">%. </w:t>
      </w:r>
      <w:r w:rsidRPr="00E5297B">
        <w:t xml:space="preserve">It should be noted </w:t>
      </w:r>
      <w:r w:rsidR="00C730D9">
        <w:t>that data on Category A calls are</w:t>
      </w:r>
      <w:r w:rsidRPr="00E5297B">
        <w:t xml:space="preserve"> only available for </w:t>
      </w:r>
      <w:r w:rsidR="00D70056">
        <w:t>8</w:t>
      </w:r>
      <w:r w:rsidR="005A3958">
        <w:t xml:space="preserve"> </w:t>
      </w:r>
      <w:r w:rsidRPr="00E5297B">
        <w:t>of the 11 Ambulance Trusts</w:t>
      </w:r>
      <w:r w:rsidR="00E326E7" w:rsidRPr="001A5385">
        <w:rPr>
          <w:vertAlign w:val="superscript"/>
        </w:rPr>
        <w:t>2</w:t>
      </w:r>
      <w:r>
        <w:t>.</w:t>
      </w:r>
    </w:p>
    <w:p w:rsidR="006045C4" w:rsidRDefault="006045C4" w:rsidP="00065771">
      <w:r>
        <w:rPr>
          <w:noProof/>
        </w:rPr>
        <w:drawing>
          <wp:inline distT="0" distB="0" distL="0" distR="0">
            <wp:extent cx="5731510" cy="3474293"/>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474293"/>
                    </a:xfrm>
                    <a:prstGeom prst="rect">
                      <a:avLst/>
                    </a:prstGeom>
                    <a:noFill/>
                    <a:ln>
                      <a:noFill/>
                    </a:ln>
                  </pic:spPr>
                </pic:pic>
              </a:graphicData>
            </a:graphic>
          </wp:inline>
        </w:drawing>
      </w:r>
    </w:p>
    <w:p w:rsidR="00F26F2F" w:rsidRPr="00B75E75" w:rsidRDefault="00B75E75" w:rsidP="00065771">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 xml:space="preserve">Figure 1 shows that for England, Red 1 performance </w:t>
      </w:r>
      <w:r w:rsidR="006045C4">
        <w:t>de</w:t>
      </w:r>
      <w:r w:rsidRPr="00F26F2F">
        <w:t xml:space="preserve">creased to </w:t>
      </w:r>
      <w:r w:rsidR="006045C4">
        <w:t>68.3</w:t>
      </w:r>
      <w:r w:rsidRPr="00F26F2F">
        <w:t>%</w:t>
      </w:r>
      <w:r>
        <w:rPr>
          <w:rStyle w:val="FootnoteReference"/>
        </w:rPr>
        <w:footnoteReference w:id="4"/>
      </w:r>
      <w:r w:rsidRPr="00F26F2F">
        <w:t xml:space="preserve"> in </w:t>
      </w:r>
      <w:r w:rsidR="006B172D">
        <w:t>September</w:t>
      </w:r>
      <w:r w:rsidRPr="00F26F2F">
        <w:t xml:space="preserve"> 2016</w:t>
      </w:r>
      <w:r>
        <w:t>.</w:t>
      </w:r>
    </w:p>
    <w:p w:rsidR="00C54FB2" w:rsidRPr="00E5297B" w:rsidRDefault="00643677" w:rsidP="00065771">
      <w:r w:rsidRPr="00E5297B">
        <w:t>For Red 1,</w:t>
      </w:r>
      <w:r w:rsidR="00AD77D3" w:rsidRPr="00E5297B">
        <w:t xml:space="preserve"> out of the </w:t>
      </w:r>
      <w:r w:rsidR="00D70056">
        <w:t>eight</w:t>
      </w:r>
      <w:r w:rsidR="00AD77D3" w:rsidRPr="00E5297B">
        <w:t xml:space="preserve"> trust</w:t>
      </w:r>
      <w:r w:rsidR="00E5297B">
        <w:t>s</w:t>
      </w:r>
      <w:r w:rsidR="00AD77D3" w:rsidRPr="00E5297B">
        <w:t xml:space="preserve"> for which data is available</w:t>
      </w:r>
      <w:r w:rsidR="00B26EC8" w:rsidRPr="00E5297B">
        <w:t xml:space="preserve"> </w:t>
      </w:r>
      <w:r w:rsidR="00D70056">
        <w:t>none</w:t>
      </w:r>
      <w:r w:rsidR="00B26EC8" w:rsidRPr="00E5297B">
        <w:t xml:space="preserve"> </w:t>
      </w:r>
      <w:r w:rsidR="00EF6027">
        <w:t>m</w:t>
      </w:r>
      <w:r w:rsidR="00D90CCF">
        <w:t>e</w:t>
      </w:r>
      <w:r w:rsidR="00D70056">
        <w:t xml:space="preserve">t the </w:t>
      </w:r>
      <w:r w:rsidR="001A399C" w:rsidRPr="00E5297B">
        <w:t>75%</w:t>
      </w:r>
      <w:r w:rsidR="00D70056">
        <w:t xml:space="preserve"> standard. </w:t>
      </w:r>
      <w:r w:rsidR="003B1A32">
        <w:t>F</w:t>
      </w:r>
      <w:r w:rsidR="006045C4">
        <w:t>our</w:t>
      </w:r>
      <w:r w:rsidR="007A7785" w:rsidRPr="00E5297B">
        <w:t xml:space="preserve"> trusts had proportions of less than 7</w:t>
      </w:r>
      <w:r w:rsidR="00C50EDE">
        <w:t>0</w:t>
      </w:r>
      <w:r w:rsidR="007A7785" w:rsidRPr="00E5297B">
        <w:t xml:space="preserve">%: </w:t>
      </w:r>
      <w:r w:rsidR="00634000" w:rsidRPr="00E5297B">
        <w:t>North East</w:t>
      </w:r>
      <w:r w:rsidR="0038780E" w:rsidRPr="00E5297B">
        <w:t xml:space="preserve"> </w:t>
      </w:r>
      <w:r w:rsidR="00634000" w:rsidRPr="00E5297B">
        <w:t>(</w:t>
      </w:r>
      <w:r w:rsidR="006045C4">
        <w:t>63.3</w:t>
      </w:r>
      <w:r w:rsidR="00BF1103" w:rsidRPr="00E5297B">
        <w:t>%)</w:t>
      </w:r>
      <w:r w:rsidR="00BE51CF" w:rsidRPr="00E5297B">
        <w:t>,</w:t>
      </w:r>
      <w:r w:rsidR="00C85B68" w:rsidRPr="00E5297B">
        <w:t xml:space="preserve"> </w:t>
      </w:r>
      <w:r w:rsidR="006045C4">
        <w:t>North West</w:t>
      </w:r>
      <w:r w:rsidR="00BF1103" w:rsidRPr="00E5297B">
        <w:t xml:space="preserve"> (</w:t>
      </w:r>
      <w:r w:rsidR="006045C4">
        <w:t>69.5</w:t>
      </w:r>
      <w:r w:rsidR="00586B8E" w:rsidRPr="00E5297B">
        <w:t>%)</w:t>
      </w:r>
      <w:r w:rsidR="00641D29">
        <w:t>,</w:t>
      </w:r>
      <w:r w:rsidR="006045C4">
        <w:t xml:space="preserve"> </w:t>
      </w:r>
      <w:r w:rsidR="006045C4" w:rsidRPr="00E5297B">
        <w:t xml:space="preserve">South </w:t>
      </w:r>
      <w:r w:rsidR="006045C4">
        <w:t>Central</w:t>
      </w:r>
      <w:r w:rsidR="006045C4" w:rsidRPr="00E5297B">
        <w:t xml:space="preserve"> (</w:t>
      </w:r>
      <w:r w:rsidR="006045C4">
        <w:t>69.8</w:t>
      </w:r>
      <w:r w:rsidR="006045C4" w:rsidRPr="00E5297B">
        <w:t xml:space="preserve">%) </w:t>
      </w:r>
      <w:r w:rsidR="006045C4">
        <w:t xml:space="preserve">and </w:t>
      </w:r>
      <w:r w:rsidR="003F3CC6" w:rsidRPr="00E5297B">
        <w:t>South East Coast (</w:t>
      </w:r>
      <w:r w:rsidR="003B1A32">
        <w:t>6</w:t>
      </w:r>
      <w:r w:rsidR="006045C4">
        <w:t>2</w:t>
      </w:r>
      <w:r w:rsidR="003B1A32">
        <w:t>.6</w:t>
      </w:r>
      <w:r w:rsidR="00BE51CF" w:rsidRPr="00E5297B">
        <w:t>%)</w:t>
      </w:r>
      <w:r w:rsidR="00586B8E" w:rsidRPr="00E5297B">
        <w:t>.</w:t>
      </w:r>
    </w:p>
    <w:p w:rsidR="00C54B5E" w:rsidRPr="00E5297B" w:rsidRDefault="00620FE6" w:rsidP="00C54B5E">
      <w:pPr>
        <w:pStyle w:val="Heading3"/>
      </w:pPr>
      <w:r w:rsidRPr="00E5297B">
        <w:t>A</w:t>
      </w:r>
      <w:r w:rsidR="00092A97" w:rsidRPr="00E5297B">
        <w:t>2</w:t>
      </w:r>
      <w:r w:rsidRPr="00E5297B">
        <w:tab/>
        <w:t xml:space="preserve">Dispatch on Disposition </w:t>
      </w:r>
      <w:r w:rsidR="001171E8" w:rsidRPr="00E5297B">
        <w:t>(</w:t>
      </w:r>
      <w:proofErr w:type="gramStart"/>
      <w:r w:rsidR="001171E8" w:rsidRPr="00E5297B">
        <w:t>DoD</w:t>
      </w:r>
      <w:proofErr w:type="gramEnd"/>
      <w:r w:rsidR="001171E8" w:rsidRPr="00E5297B">
        <w:t>)</w:t>
      </w:r>
    </w:p>
    <w:p w:rsidR="008B512A" w:rsidRPr="00E5297B" w:rsidRDefault="008B512A" w:rsidP="008B512A">
      <w:r w:rsidRPr="00E5297B">
        <w:t>In January 2015, the Secretary of State for Health announced</w:t>
      </w:r>
      <w:r w:rsidR="00980342" w:rsidRPr="00E5297B">
        <w:rPr>
          <w:rStyle w:val="FootnoteReference"/>
        </w:rPr>
        <w:footnoteReference w:id="5"/>
      </w:r>
      <w:r w:rsidRPr="00E5297B">
        <w:t xml:space="preserve"> the </w:t>
      </w:r>
      <w:r w:rsidR="001171E8" w:rsidRPr="00E5297B">
        <w:t xml:space="preserve">introduction of </w:t>
      </w:r>
      <w:r w:rsidRPr="00E5297B">
        <w:t xml:space="preserve">Dispatch on Disposition (DoD), </w:t>
      </w:r>
      <w:r w:rsidR="008879DA" w:rsidRPr="00E5297B">
        <w:t xml:space="preserve">allowing up to two additional minutes for </w:t>
      </w:r>
      <w:r w:rsidRPr="00E5297B">
        <w:t>triage (to identify the clinical situati</w:t>
      </w:r>
      <w:r w:rsidR="001171E8" w:rsidRPr="00E5297B">
        <w:t>on and take appropriate action). This was</w:t>
      </w:r>
      <w:r w:rsidRPr="00E5297B">
        <w:t xml:space="preserve"> based upon clinical advice that </w:t>
      </w:r>
      <w:r w:rsidR="001171E8" w:rsidRPr="00E5297B">
        <w:t xml:space="preserve">it </w:t>
      </w:r>
      <w:r w:rsidRPr="00E5297B">
        <w:t>would be likely to improve the overall outcomes for ambulance patients.</w:t>
      </w:r>
    </w:p>
    <w:p w:rsidR="008B512A" w:rsidRPr="00E5297B" w:rsidRDefault="001171E8" w:rsidP="001171E8">
      <w:r w:rsidRPr="00E5297B">
        <w:t>For Red 1 calls</w:t>
      </w:r>
      <w:r w:rsidR="00E8712C" w:rsidRPr="00E5297B">
        <w:t>,</w:t>
      </w:r>
      <w:r w:rsidRPr="00E5297B">
        <w:t xml:space="preserve"> the clock start time is still the instant that the telephone call connects. However, from 10 February 2015, all other </w:t>
      </w:r>
      <w:r w:rsidR="008B512A" w:rsidRPr="00E5297B">
        <w:t>calls received by London Ambulance Service (LAS) and South We</w:t>
      </w:r>
      <w:r w:rsidRPr="00E5297B">
        <w:t>stern Ambulance Service (SWAS) use DoD</w:t>
      </w:r>
      <w:r w:rsidR="008879DA" w:rsidRPr="00E5297B">
        <w:t>.</w:t>
      </w:r>
    </w:p>
    <w:p w:rsidR="00540689" w:rsidRPr="00E5297B" w:rsidRDefault="00241092" w:rsidP="00540689">
      <w:r w:rsidRPr="00E5297B">
        <w:t xml:space="preserve">During October 2015, </w:t>
      </w:r>
      <w:r w:rsidR="00E8712C" w:rsidRPr="00E5297B">
        <w:t>DoD</w:t>
      </w:r>
      <w:r w:rsidRPr="00E5297B">
        <w:t xml:space="preserve"> was introduced </w:t>
      </w:r>
      <w:r w:rsidR="00E8712C" w:rsidRPr="00E5297B">
        <w:t xml:space="preserve">in </w:t>
      </w:r>
      <w:r w:rsidR="008879DA" w:rsidRPr="00E5297B">
        <w:t xml:space="preserve">the Ambulance Services of North East (NEAS), Yorkshire (YAS), West Midlands </w:t>
      </w:r>
      <w:r w:rsidR="00D82C4E">
        <w:t>(WMAS) and South Central (SCAS)</w:t>
      </w:r>
      <w:r w:rsidR="00E174B5" w:rsidRPr="00E5297B">
        <w:t>.</w:t>
      </w:r>
    </w:p>
    <w:p w:rsidR="00660400" w:rsidRPr="007C298F" w:rsidRDefault="00660400" w:rsidP="00660400">
      <w:r w:rsidRPr="007C298F">
        <w:t xml:space="preserve">The differing clock start times mean that data for the different cohorts are not comparable with each other. Red 2 calls comprise the vast majority of Category A calls, so 19 minute Category A </w:t>
      </w:r>
      <w:r w:rsidR="00B75E75">
        <w:t>data are also not comparable.</w:t>
      </w:r>
    </w:p>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F43A0A" w:rsidRDefault="00F43A0A" w:rsidP="00C51DF6"/>
    <w:p w:rsidR="006C3B5D" w:rsidRDefault="000F2BCC" w:rsidP="00C51DF6">
      <w:bookmarkStart w:id="0" w:name="_GoBack"/>
      <w:bookmarkEnd w:id="0"/>
      <w:r w:rsidRPr="007C298F">
        <w:lastRenderedPageBreak/>
        <w:t>Figure 2</w:t>
      </w:r>
      <w:r w:rsidR="0012724F" w:rsidRPr="007C298F">
        <w:t xml:space="preserve"> </w:t>
      </w:r>
      <w:r w:rsidR="00581E8E" w:rsidRPr="007C298F">
        <w:t xml:space="preserve">shows </w:t>
      </w:r>
      <w:r w:rsidR="00533D03" w:rsidRPr="007C298F">
        <w:t xml:space="preserve">the Red 2 measure </w:t>
      </w:r>
      <w:r w:rsidR="00780F7F" w:rsidRPr="007C298F">
        <w:t>for each cohort</w:t>
      </w:r>
      <w:r w:rsidR="0003046C" w:rsidRPr="007C298F">
        <w:t>, where available</w:t>
      </w:r>
      <w:r w:rsidR="00780F7F" w:rsidRPr="007C298F">
        <w:t>.</w:t>
      </w:r>
    </w:p>
    <w:p w:rsidR="007B5BA2" w:rsidRPr="007C298F" w:rsidRDefault="006007B6" w:rsidP="00C51DF6">
      <w:r>
        <w:rPr>
          <w:noProof/>
        </w:rPr>
        <w:drawing>
          <wp:inline distT="0" distB="0" distL="0" distR="0">
            <wp:extent cx="5688330" cy="374269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8330" cy="3742690"/>
                    </a:xfrm>
                    <a:prstGeom prst="rect">
                      <a:avLst/>
                    </a:prstGeom>
                    <a:noFill/>
                    <a:ln>
                      <a:noFill/>
                    </a:ln>
                  </pic:spPr>
                </pic:pic>
              </a:graphicData>
            </a:graphic>
          </wp:inline>
        </w:drawing>
      </w:r>
    </w:p>
    <w:p w:rsidR="00EC40BA" w:rsidRPr="007C298F" w:rsidRDefault="00EC40BA" w:rsidP="00C51DF6">
      <w:r w:rsidRPr="007C298F">
        <w:t>The numerators and denominators for the above proportio</w:t>
      </w:r>
      <w:r w:rsidR="00A66D79" w:rsidRPr="007C298F">
        <w:t xml:space="preserve">ns are displayed in the Systems Indicators Time Series spreadsheet at </w:t>
      </w:r>
      <w:hyperlink r:id="rId11" w:history="1">
        <w:r w:rsidR="00A66D79" w:rsidRPr="007C298F">
          <w:rPr>
            <w:rStyle w:val="Hyperlink"/>
          </w:rPr>
          <w:t>http://bit.ly/NHSAQI</w:t>
        </w:r>
      </w:hyperlink>
      <w:r w:rsidR="00A66D79" w:rsidRPr="007C298F">
        <w:t xml:space="preserve">, on the “DoD </w:t>
      </w:r>
      <w:r w:rsidR="00203093" w:rsidRPr="007C298F">
        <w:t>R</w:t>
      </w:r>
      <w:r w:rsidRPr="007C298F">
        <w:t>2” tab</w:t>
      </w:r>
      <w:r w:rsidR="00A66D79" w:rsidRPr="007C298F">
        <w:t>,</w:t>
      </w:r>
      <w:r w:rsidRPr="007C298F">
        <w:t xml:space="preserve"> </w:t>
      </w:r>
      <w:r w:rsidR="00A66D79" w:rsidRPr="007C298F">
        <w:t xml:space="preserve">and the “DoD A19” tab shows equivalent </w:t>
      </w:r>
      <w:r w:rsidRPr="007C298F">
        <w:t>figures for the 19 minute measure</w:t>
      </w:r>
      <w:r w:rsidR="00540689" w:rsidRPr="007C298F">
        <w:t xml:space="preserve"> below.</w:t>
      </w:r>
    </w:p>
    <w:p w:rsidR="00BD1B48" w:rsidRPr="007C298F" w:rsidRDefault="00BD1B48" w:rsidP="00BD1B48">
      <w:pPr>
        <w:pStyle w:val="Heading3"/>
      </w:pPr>
      <w:r w:rsidRPr="007C298F">
        <w:t>A3</w:t>
      </w:r>
      <w:r w:rsidRPr="007C298F">
        <w:tab/>
        <w:t>Clinical Coding Review</w:t>
      </w:r>
    </w:p>
    <w:p w:rsidR="00BD1B48" w:rsidRPr="007C298F" w:rsidRDefault="005276D2" w:rsidP="00BD1B48">
      <w:r w:rsidRPr="007C298F">
        <w:t>As the next stage of the Ambulance Response Programme</w:t>
      </w:r>
      <w:r w:rsidRPr="007C298F">
        <w:rPr>
          <w:rStyle w:val="FootnoteReference"/>
        </w:rPr>
        <w:footnoteReference w:id="6"/>
      </w:r>
      <w:r w:rsidRPr="007C298F">
        <w:t>, a</w:t>
      </w:r>
      <w:r w:rsidR="006722F3" w:rsidRPr="007C298F">
        <w:t xml:space="preserve"> clinically led evidence based review of the current call coding categorisations has been undertaken. The aim of t</w:t>
      </w:r>
      <w:r w:rsidR="0008051C" w:rsidRPr="007C298F">
        <w:t xml:space="preserve">his review </w:t>
      </w:r>
      <w:r w:rsidR="00BA3204" w:rsidRPr="007C298F">
        <w:t xml:space="preserve">is </w:t>
      </w:r>
      <w:r w:rsidR="0008051C" w:rsidRPr="007C298F">
        <w:t>to re-categoris</w:t>
      </w:r>
      <w:r w:rsidR="006722F3" w:rsidRPr="007C298F">
        <w:t xml:space="preserve">e calls to focus on ensuring </w:t>
      </w:r>
      <w:r w:rsidR="000E3164" w:rsidRPr="007C298F">
        <w:t>patients receive</w:t>
      </w:r>
      <w:r w:rsidR="006722F3" w:rsidRPr="007C298F">
        <w:t xml:space="preserve"> the most appropriate response. The existing Category A (Red 1 and Red 2), Green 1, Green 2, Green 3 and Green 4 categories will </w:t>
      </w:r>
      <w:r w:rsidR="006431BB">
        <w:t>be replaced with new categories.</w:t>
      </w:r>
    </w:p>
    <w:p w:rsidR="000E3164" w:rsidRPr="007C298F" w:rsidRDefault="003275B2" w:rsidP="000E3164">
      <w:r>
        <w:t>The</w:t>
      </w:r>
      <w:r w:rsidR="000E3164" w:rsidRPr="007C298F">
        <w:t xml:space="preserve"> new categorisations </w:t>
      </w:r>
      <w:r w:rsidR="00984ACC">
        <w:t>we</w:t>
      </w:r>
      <w:r w:rsidR="000E3164" w:rsidRPr="007C298F">
        <w:t>re initially bein</w:t>
      </w:r>
      <w:r w:rsidR="00984ACC">
        <w:t>g piloted in 2 Ambulance Trusts</w:t>
      </w:r>
      <w:r w:rsidR="00724E90">
        <w:t xml:space="preserve">, </w:t>
      </w:r>
      <w:r w:rsidR="000E3164" w:rsidRPr="007C298F">
        <w:t>introduced in South Western Ambulance Service and Yorkshire Ambulance Service on the 19</w:t>
      </w:r>
      <w:r w:rsidR="000E3164" w:rsidRPr="007C298F">
        <w:rPr>
          <w:vertAlign w:val="superscript"/>
        </w:rPr>
        <w:t>th</w:t>
      </w:r>
      <w:r w:rsidR="000E3164" w:rsidRPr="007C298F">
        <w:t xml:space="preserve"> April 2016 and the 21</w:t>
      </w:r>
      <w:r w:rsidR="000E3164" w:rsidRPr="007C298F">
        <w:rPr>
          <w:vertAlign w:val="superscript"/>
        </w:rPr>
        <w:t>st</w:t>
      </w:r>
      <w:r w:rsidR="000E3164" w:rsidRPr="007C298F">
        <w:t xml:space="preserve"> April 2016 respectively.</w:t>
      </w:r>
      <w:r w:rsidR="00984ACC">
        <w:t xml:space="preserve"> West Midlands Ambulance Service also joined the pilot on 8</w:t>
      </w:r>
      <w:r w:rsidR="00984ACC" w:rsidRPr="00984ACC">
        <w:rPr>
          <w:vertAlign w:val="superscript"/>
        </w:rPr>
        <w:t>th</w:t>
      </w:r>
      <w:r w:rsidR="00984ACC">
        <w:t xml:space="preserve"> </w:t>
      </w:r>
      <w:r w:rsidR="00D70056">
        <w:t>Ju</w:t>
      </w:r>
      <w:r w:rsidR="00EC6346">
        <w:t>ne</w:t>
      </w:r>
      <w:r w:rsidR="00984ACC">
        <w:t xml:space="preserve"> 2016.</w:t>
      </w:r>
      <w:r w:rsidR="000E3164" w:rsidRPr="007C298F">
        <w:t xml:space="preserve"> With this int</w:t>
      </w:r>
      <w:r w:rsidR="00BA3204" w:rsidRPr="007C298F">
        <w:t>roduction, data for the Red1,</w:t>
      </w:r>
      <w:r w:rsidR="000E3164" w:rsidRPr="007C298F">
        <w:t xml:space="preserve"> Red 2</w:t>
      </w:r>
      <w:r w:rsidR="00BA3204" w:rsidRPr="007C298F">
        <w:t xml:space="preserve"> and Category A</w:t>
      </w:r>
      <w:r w:rsidR="000E3164" w:rsidRPr="007C298F">
        <w:t xml:space="preserve"> measures will no longer be available for the Trusts involved from these dates. Partial data </w:t>
      </w:r>
      <w:r w:rsidR="007B1D2B" w:rsidRPr="007C298F">
        <w:t xml:space="preserve">was </w:t>
      </w:r>
      <w:r w:rsidR="00BA3204" w:rsidRPr="007C298F">
        <w:t>therefore</w:t>
      </w:r>
      <w:r w:rsidR="000E3164" w:rsidRPr="007C298F">
        <w:t xml:space="preserve"> supplied </w:t>
      </w:r>
      <w:r w:rsidR="00E46B18" w:rsidRPr="007C298F">
        <w:t>for</w:t>
      </w:r>
      <w:r w:rsidR="00D82C4E">
        <w:t xml:space="preserve"> </w:t>
      </w:r>
      <w:r w:rsidR="00984ACC" w:rsidRPr="007C298F">
        <w:t>South Western Ambulance Service and Yorkshire Ambulance Service</w:t>
      </w:r>
      <w:r w:rsidR="00984ACC">
        <w:t xml:space="preserve"> in </w:t>
      </w:r>
      <w:r w:rsidR="00D82C4E">
        <w:t>April 2016</w:t>
      </w:r>
      <w:r w:rsidR="00984ACC">
        <w:t xml:space="preserve"> and for West Midlands Ambulance Service in </w:t>
      </w:r>
      <w:r w:rsidR="00D70056">
        <w:t>Ju</w:t>
      </w:r>
      <w:r w:rsidR="00605178">
        <w:t>ne</w:t>
      </w:r>
      <w:r w:rsidR="00984ACC">
        <w:t xml:space="preserve"> 2016</w:t>
      </w:r>
      <w:r w:rsidR="00D82C4E">
        <w:t>.</w:t>
      </w:r>
    </w:p>
    <w:p w:rsidR="0025533D" w:rsidRPr="007C298F" w:rsidRDefault="00BA3204" w:rsidP="005C58DE">
      <w:r w:rsidRPr="007C298F">
        <w:t xml:space="preserve">It should be noted that </w:t>
      </w:r>
      <w:r w:rsidR="000E3164" w:rsidRPr="007C298F">
        <w:t xml:space="preserve">the </w:t>
      </w:r>
      <w:r w:rsidR="004D49FF" w:rsidRPr="007C298F">
        <w:t>new</w:t>
      </w:r>
      <w:r w:rsidRPr="007C298F">
        <w:t xml:space="preserve"> call</w:t>
      </w:r>
      <w:r w:rsidR="004D49FF" w:rsidRPr="007C298F">
        <w:t xml:space="preserve"> catego</w:t>
      </w:r>
      <w:r w:rsidR="005C58DE" w:rsidRPr="007C298F">
        <w:t>risation</w:t>
      </w:r>
      <w:r w:rsidRPr="007C298F">
        <w:t>s</w:t>
      </w:r>
      <w:r w:rsidR="005C58DE" w:rsidRPr="007C298F">
        <w:t xml:space="preserve"> are not comparable with previous categorisatio</w:t>
      </w:r>
      <w:r w:rsidR="00246AFD" w:rsidRPr="007C298F">
        <w:t>ns</w:t>
      </w:r>
      <w:r w:rsidR="000E3164" w:rsidRPr="007C298F">
        <w:t xml:space="preserve"> for the following reasons. T</w:t>
      </w:r>
      <w:r w:rsidR="005C58DE" w:rsidRPr="007C298F">
        <w:t xml:space="preserve">he review has assessed all available </w:t>
      </w:r>
      <w:r w:rsidR="005C58DE" w:rsidRPr="007C298F">
        <w:lastRenderedPageBreak/>
        <w:t xml:space="preserve">disposition codes and for each re-assigned the code to a </w:t>
      </w:r>
      <w:r w:rsidR="00FD5E5F" w:rsidRPr="007C298F">
        <w:t>new group i.e. the new Red category</w:t>
      </w:r>
      <w:r w:rsidR="005C58DE" w:rsidRPr="007C298F">
        <w:t xml:space="preserve"> does not contain the same code set as the old Red </w:t>
      </w:r>
      <w:r w:rsidR="00FD5E5F" w:rsidRPr="007C298F">
        <w:t xml:space="preserve">1 </w:t>
      </w:r>
      <w:r w:rsidRPr="007C298F">
        <w:t xml:space="preserve">or Red 2 </w:t>
      </w:r>
      <w:r w:rsidR="00FD5E5F" w:rsidRPr="007C298F">
        <w:t>category</w:t>
      </w:r>
      <w:r w:rsidR="00246AFD" w:rsidRPr="007C298F">
        <w:t xml:space="preserve">. In addition </w:t>
      </w:r>
      <w:r w:rsidRPr="007C298F">
        <w:t>detailed</w:t>
      </w:r>
      <w:r w:rsidR="00246AFD" w:rsidRPr="007C298F">
        <w:t xml:space="preserve"> changes have been made to the “clock stop” criteria</w:t>
      </w:r>
      <w:r w:rsidR="000E3164" w:rsidRPr="007C298F">
        <w:t>, where appropriate</w:t>
      </w:r>
      <w:r w:rsidR="0008051C" w:rsidRPr="007C298F">
        <w:t>.</w:t>
      </w:r>
    </w:p>
    <w:p w:rsidR="00EA23A9" w:rsidRPr="003602C0" w:rsidRDefault="00EA23A9" w:rsidP="00EA23A9">
      <w:pPr>
        <w:pStyle w:val="Heading3"/>
      </w:pPr>
      <w:r w:rsidRPr="003602C0">
        <w:t>A</w:t>
      </w:r>
      <w:r w:rsidR="00BD1B48" w:rsidRPr="003602C0">
        <w:t>4</w:t>
      </w:r>
      <w:r w:rsidRPr="003602C0">
        <w:tab/>
      </w:r>
      <w:r w:rsidR="00C94BBC" w:rsidRPr="003602C0">
        <w:t xml:space="preserve">Category A </w:t>
      </w:r>
      <w:r w:rsidRPr="003602C0">
        <w:t>Ambulance response in 19 minutes</w:t>
      </w:r>
      <w:r w:rsidR="000A00D6" w:rsidRPr="003602C0">
        <w:t xml:space="preserve"> (Figure 3)</w:t>
      </w:r>
    </w:p>
    <w:p w:rsidR="00B75E75" w:rsidRPr="003602C0" w:rsidRDefault="00B75E75" w:rsidP="00B75E75">
      <w:r w:rsidRPr="003602C0">
        <w:t xml:space="preserve">The other ambulance standard in the Handbook to the NHS Constitution is for trusts to send, within 19 minutes, a fully-equipped ambulance vehicle, able to transport the patient in a clinically safe manner, to 95% of Category A calls. </w:t>
      </w:r>
      <w:r w:rsidRPr="0084043C">
        <w:t>For England</w:t>
      </w:r>
      <w:r>
        <w:rPr>
          <w:rStyle w:val="FootnoteReference"/>
        </w:rPr>
        <w:footnoteReference w:id="7"/>
      </w:r>
      <w:r w:rsidRPr="0084043C">
        <w:t xml:space="preserve">, this measure </w:t>
      </w:r>
      <w:r w:rsidR="006007B6">
        <w:t>de</w:t>
      </w:r>
      <w:r w:rsidR="00AD5BDC">
        <w:t>creased</w:t>
      </w:r>
      <w:r w:rsidRPr="0084043C">
        <w:t xml:space="preserve"> to </w:t>
      </w:r>
      <w:r w:rsidR="006007B6">
        <w:t>90.6</w:t>
      </w:r>
      <w:r w:rsidRPr="0084043C">
        <w:t xml:space="preserve">% in </w:t>
      </w:r>
      <w:r w:rsidR="006B172D">
        <w:t>September</w:t>
      </w:r>
      <w:r w:rsidRPr="0084043C">
        <w:t xml:space="preserve"> 2016</w:t>
      </w:r>
      <w:r>
        <w:t>.</w:t>
      </w:r>
      <w:r w:rsidRPr="003602C0">
        <w:t xml:space="preserve"> </w:t>
      </w:r>
      <w:r w:rsidR="00761A58" w:rsidRPr="00984ACC">
        <w:rPr>
          <w:noProof/>
        </w:rPr>
        <w:t xml:space="preserve">The performance for trusts taking part in </w:t>
      </w:r>
      <w:r w:rsidR="00761A58">
        <w:rPr>
          <w:noProof/>
        </w:rPr>
        <w:t>DoD</w:t>
      </w:r>
      <w:r w:rsidR="00761A58" w:rsidRPr="00984ACC">
        <w:rPr>
          <w:noProof/>
        </w:rPr>
        <w:t xml:space="preserve"> but not part of the cli</w:t>
      </w:r>
      <w:r w:rsidR="00324709">
        <w:rPr>
          <w:noProof/>
        </w:rPr>
        <w:t>nical coding review (North East and</w:t>
      </w:r>
      <w:r w:rsidR="00761A58" w:rsidRPr="00984ACC">
        <w:rPr>
          <w:noProof/>
        </w:rPr>
        <w:t xml:space="preserve"> South Central) was </w:t>
      </w:r>
      <w:r w:rsidR="006007B6">
        <w:rPr>
          <w:noProof/>
        </w:rPr>
        <w:t>93.0</w:t>
      </w:r>
      <w:r w:rsidR="00761A58" w:rsidRPr="00984ACC">
        <w:rPr>
          <w:noProof/>
        </w:rPr>
        <w:t>%.</w:t>
      </w:r>
      <w:r w:rsidR="00761A58">
        <w:rPr>
          <w:noProof/>
        </w:rPr>
        <w:t xml:space="preserve"> </w:t>
      </w:r>
      <w:r w:rsidRPr="00984ACC">
        <w:rPr>
          <w:noProof/>
        </w:rPr>
        <w:t xml:space="preserve">The performance for </w:t>
      </w:r>
      <w:r w:rsidR="002C3E0E">
        <w:rPr>
          <w:noProof/>
        </w:rPr>
        <w:t>trusts</w:t>
      </w:r>
      <w:r w:rsidRPr="00984ACC">
        <w:rPr>
          <w:noProof/>
        </w:rPr>
        <w:t xml:space="preserve"> (North West, East Midlands, East of England, South East Coast and Isle of W</w:t>
      </w:r>
      <w:r w:rsidR="00E41830" w:rsidRPr="00984ACC">
        <w:rPr>
          <w:noProof/>
        </w:rPr>
        <w:t xml:space="preserve">ight) not undertaking DoD </w:t>
      </w:r>
      <w:r w:rsidR="00761A58">
        <w:rPr>
          <w:noProof/>
        </w:rPr>
        <w:t xml:space="preserve">or taking part in the clincial coding review </w:t>
      </w:r>
      <w:r w:rsidR="00E41830" w:rsidRPr="00984ACC">
        <w:rPr>
          <w:noProof/>
        </w:rPr>
        <w:t xml:space="preserve">was </w:t>
      </w:r>
      <w:r w:rsidR="00AD5BDC">
        <w:rPr>
          <w:noProof/>
        </w:rPr>
        <w:t>89.</w:t>
      </w:r>
      <w:r w:rsidR="006007B6">
        <w:rPr>
          <w:noProof/>
        </w:rPr>
        <w:t>1</w:t>
      </w:r>
      <w:r w:rsidR="00324709">
        <w:rPr>
          <w:noProof/>
        </w:rPr>
        <w:t>%.</w:t>
      </w:r>
    </w:p>
    <w:p w:rsidR="00F321DD" w:rsidRPr="005319D2" w:rsidRDefault="006007B6" w:rsidP="00F321DD">
      <w:pPr>
        <w:rPr>
          <w:highlight w:val="yellow"/>
        </w:rPr>
      </w:pPr>
      <w:r>
        <w:rPr>
          <w:noProof/>
        </w:rPr>
        <w:drawing>
          <wp:inline distT="0" distB="0" distL="0" distR="0">
            <wp:extent cx="5688330" cy="374078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8330" cy="3740785"/>
                    </a:xfrm>
                    <a:prstGeom prst="rect">
                      <a:avLst/>
                    </a:prstGeom>
                    <a:noFill/>
                    <a:ln>
                      <a:noFill/>
                    </a:ln>
                  </pic:spPr>
                </pic:pic>
              </a:graphicData>
            </a:graphic>
          </wp:inline>
        </w:drawing>
      </w:r>
    </w:p>
    <w:p w:rsidR="00774123" w:rsidRPr="0084043C" w:rsidRDefault="00F37244" w:rsidP="00774123">
      <w:proofErr w:type="gramStart"/>
      <w:r w:rsidRPr="003602C0">
        <w:t>DoD</w:t>
      </w:r>
      <w:proofErr w:type="gramEnd"/>
      <w:r w:rsidRPr="003602C0">
        <w:t xml:space="preserve">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rsidRPr="003602C0">
        <w:t xml:space="preserve">any </w:t>
      </w:r>
      <w:r w:rsidRPr="003602C0">
        <w:t>such effects will be difficult to detect within the habitual variation of the many Ambulance Quality Indicators.</w:t>
      </w:r>
    </w:p>
    <w:p w:rsidR="003A0D0C" w:rsidRPr="00BD1B48" w:rsidRDefault="003A0D0C" w:rsidP="003A0D0C">
      <w:pPr>
        <w:pStyle w:val="Heading3"/>
      </w:pPr>
      <w:r w:rsidRPr="00BD1B48">
        <w:lastRenderedPageBreak/>
        <w:t>A</w:t>
      </w:r>
      <w:r w:rsidR="00BD1B48" w:rsidRPr="00BD1B48">
        <w:t>5</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8"/>
      </w:r>
      <w:r w:rsidRPr="00C120C1">
        <w:t xml:space="preserve"> of emergency telephone calls presented to switchboard in </w:t>
      </w:r>
      <w:r w:rsidR="006B172D">
        <w:t>September</w:t>
      </w:r>
      <w:r w:rsidR="00820B72" w:rsidRPr="00C120C1">
        <w:t xml:space="preserve"> </w:t>
      </w:r>
      <w:r w:rsidR="000002F1" w:rsidRPr="00C120C1">
        <w:t>2016</w:t>
      </w:r>
      <w:r w:rsidR="00781110" w:rsidRPr="00C120C1">
        <w:t xml:space="preserve"> </w:t>
      </w:r>
      <w:r w:rsidRPr="00C120C1">
        <w:t>was</w:t>
      </w:r>
      <w:r w:rsidR="004855AA" w:rsidRPr="00C120C1">
        <w:t xml:space="preserve"> </w:t>
      </w:r>
      <w:r w:rsidR="006007B6">
        <w:t>788,748</w:t>
      </w:r>
      <w:r w:rsidR="009141A4" w:rsidRPr="00C120C1">
        <w:t xml:space="preserve">, </w:t>
      </w:r>
      <w:r w:rsidR="00177CDB" w:rsidRPr="00C120C1">
        <w:t>an average of</w:t>
      </w:r>
      <w:r w:rsidRPr="00C120C1">
        <w:t xml:space="preserve"> </w:t>
      </w:r>
      <w:r w:rsidR="006007B6">
        <w:t>26.3</w:t>
      </w:r>
      <w:r w:rsidR="00AB0008" w:rsidRPr="00C120C1">
        <w:t xml:space="preserve"> thousand</w:t>
      </w:r>
      <w:r w:rsidR="00C2676B" w:rsidRPr="00C120C1">
        <w:t xml:space="preserve"> </w:t>
      </w:r>
      <w:r w:rsidRPr="00C120C1">
        <w:t>per day</w:t>
      </w:r>
      <w:r w:rsidR="00AB70A4" w:rsidRPr="00C120C1">
        <w:t xml:space="preserve">. </w:t>
      </w:r>
      <w:r w:rsidR="007F4016" w:rsidRPr="00C120C1">
        <w:t>Figure</w:t>
      </w:r>
      <w:r w:rsidR="00D643D9" w:rsidRPr="00C120C1">
        <w:t xml:space="preserve"> 4 shows that </w:t>
      </w:r>
      <w:r w:rsidR="00840AFC">
        <w:t xml:space="preserve">month to month </w:t>
      </w:r>
      <w:r w:rsidR="00D643D9" w:rsidRPr="00C120C1">
        <w:t xml:space="preserve">there is a fair amount </w:t>
      </w:r>
      <w:r w:rsidR="00761A58">
        <w:t xml:space="preserve">of </w:t>
      </w:r>
      <w:r w:rsidR="00D643D9" w:rsidRPr="00C120C1">
        <w:t>variation in call volume.</w:t>
      </w:r>
    </w:p>
    <w:p w:rsidR="003F3CB1" w:rsidRPr="00C04F69" w:rsidRDefault="00AD7C90" w:rsidP="00AD7C90">
      <w:r w:rsidRPr="00C04F69">
        <w:t xml:space="preserve">There were </w:t>
      </w:r>
      <w:r w:rsidR="006007B6">
        <w:t>558,259</w:t>
      </w:r>
      <w:r w:rsidR="00820B72" w:rsidRPr="00C04F69">
        <w:t xml:space="preserve"> </w:t>
      </w:r>
      <w:r w:rsidRPr="00C04F69">
        <w:t>emergency calls that receive</w:t>
      </w:r>
      <w:r w:rsidR="00037F53" w:rsidRPr="00C04F69">
        <w:t>d</w:t>
      </w:r>
      <w:r w:rsidRPr="00C04F69">
        <w:t xml:space="preserve"> a face-to-face response from the ambulance service in </w:t>
      </w:r>
      <w:r w:rsidR="006B172D">
        <w:t>September</w:t>
      </w:r>
      <w:r w:rsidR="00BF4628" w:rsidRPr="00C04F69">
        <w:t xml:space="preserve"> </w:t>
      </w:r>
      <w:r w:rsidRPr="00C04F69">
        <w:t>201</w:t>
      </w:r>
      <w:r w:rsidR="00F72AB0" w:rsidRPr="00C04F69">
        <w:t xml:space="preserve">6, </w:t>
      </w:r>
      <w:r w:rsidR="002C28AD" w:rsidRPr="00C04F69">
        <w:t xml:space="preserve">an average of </w:t>
      </w:r>
      <w:r w:rsidR="00166DF4">
        <w:t>18.</w:t>
      </w:r>
      <w:r w:rsidR="006007B6">
        <w:t>6</w:t>
      </w:r>
      <w:r w:rsidR="00AB0008" w:rsidRPr="00C04F69">
        <w:t xml:space="preserve"> thousand</w:t>
      </w:r>
      <w:r w:rsidR="002C28AD" w:rsidRPr="00C04F69">
        <w:t xml:space="preserve"> </w:t>
      </w:r>
      <w:r w:rsidR="00D02FAE" w:rsidRPr="00C04F69">
        <w:t>per day.</w:t>
      </w:r>
      <w:r w:rsidR="00820B72" w:rsidRPr="00C04F69">
        <w:t xml:space="preserve"> </w:t>
      </w:r>
    </w:p>
    <w:p w:rsidR="0006032A" w:rsidRPr="00F92518" w:rsidRDefault="004849F5" w:rsidP="0006032A">
      <w:pPr>
        <w:widowControl w:val="0"/>
      </w:pPr>
      <w:r w:rsidRPr="0083552B">
        <w:t>T</w:t>
      </w:r>
      <w:r w:rsidR="00A32B3E" w:rsidRPr="0083552B">
        <w:t xml:space="preserve">here were </w:t>
      </w:r>
      <w:r w:rsidR="00975DDD">
        <w:t>394,877</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9"/>
      </w:r>
      <w:r w:rsidR="00191AB9" w:rsidRPr="0083552B">
        <w:t xml:space="preserve"> in </w:t>
      </w:r>
      <w:r w:rsidR="006B172D">
        <w:t>September</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975DDD">
        <w:t>13.2</w:t>
      </w:r>
      <w:r w:rsidR="00AB0008" w:rsidRPr="0083552B">
        <w:t xml:space="preserve"> thousand</w:t>
      </w:r>
      <w:r w:rsidR="00C2676B" w:rsidRPr="0083552B">
        <w:t xml:space="preserve"> </w:t>
      </w:r>
      <w:r w:rsidR="00191AB9" w:rsidRPr="0083552B">
        <w:t>per day</w:t>
      </w:r>
      <w:r w:rsidR="004C0349" w:rsidRPr="0083552B">
        <w:t>.</w:t>
      </w:r>
    </w:p>
    <w:p w:rsidR="00F92518" w:rsidRDefault="006007B6" w:rsidP="0006032A">
      <w:pPr>
        <w:widowControl w:val="0"/>
        <w:rPr>
          <w:highlight w:val="yellow"/>
        </w:rPr>
      </w:pPr>
      <w:r>
        <w:rPr>
          <w:noProof/>
        </w:rPr>
        <w:drawing>
          <wp:inline distT="0" distB="0" distL="0" distR="0">
            <wp:extent cx="5557520" cy="4869180"/>
            <wp:effectExtent l="0" t="0" r="508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7520" cy="4869180"/>
                    </a:xfrm>
                    <a:prstGeom prst="rect">
                      <a:avLst/>
                    </a:prstGeom>
                    <a:noFill/>
                    <a:ln>
                      <a:noFill/>
                    </a:ln>
                  </pic:spPr>
                </pic:pic>
              </a:graphicData>
            </a:graphic>
          </wp:inline>
        </w:drawing>
      </w:r>
    </w:p>
    <w:p w:rsidR="003A0D0C" w:rsidRPr="00BD1B48" w:rsidRDefault="003A0D0C" w:rsidP="003A0D0C">
      <w:pPr>
        <w:pStyle w:val="Heading3"/>
      </w:pPr>
      <w:r w:rsidRPr="00BD1B48">
        <w:lastRenderedPageBreak/>
        <w:t>A</w:t>
      </w:r>
      <w:r w:rsidR="00BD1B48" w:rsidRPr="00BD1B48">
        <w:t>6</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6B172D">
        <w:t>September</w:t>
      </w:r>
      <w:r w:rsidR="0013777A" w:rsidRPr="00BD1B48">
        <w:t xml:space="preserve"> </w:t>
      </w:r>
      <w:r w:rsidR="00911BEB" w:rsidRPr="00BD1B48">
        <w:t>2016</w:t>
      </w:r>
      <w:r w:rsidRPr="00BD1B48">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346392">
        <w:trPr>
          <w:cantSplit/>
          <w:trHeight w:val="340"/>
          <w:tblHead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Lowest Trust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Highest Trust</w:t>
            </w:r>
          </w:p>
        </w:tc>
      </w:tr>
      <w:tr w:rsidR="0037489E" w:rsidRPr="00AA7AB8" w:rsidTr="00346392">
        <w:trPr>
          <w:cantSplit/>
          <w:trHeight w:val="567"/>
        </w:trPr>
        <w:tc>
          <w:tcPr>
            <w:tcW w:w="3601"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5319D2" w:rsidP="00166DF4">
            <w:pPr>
              <w:pStyle w:val="NoSpacing"/>
              <w:jc w:val="right"/>
              <w:rPr>
                <w:sz w:val="22"/>
                <w:szCs w:val="22"/>
              </w:rPr>
            </w:pPr>
            <w:r>
              <w:rPr>
                <w:szCs w:val="22"/>
              </w:rPr>
              <w:t>1.</w:t>
            </w:r>
            <w:r w:rsidR="00166DF4">
              <w:rPr>
                <w:szCs w:val="22"/>
              </w:rPr>
              <w:t>2</w:t>
            </w:r>
            <w:r w:rsidR="00AB3F6D" w:rsidRPr="00AA7AB8">
              <w:rPr>
                <w:szCs w:val="22"/>
              </w:rPr>
              <w:t>%</w:t>
            </w:r>
            <w:r w:rsidR="000D7762" w:rsidRPr="00AA7AB8">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AA7AB8" w:rsidRDefault="00975DDD" w:rsidP="00580834">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AA7AB8" w:rsidRDefault="0032599C" w:rsidP="00975DDD">
            <w:pPr>
              <w:pStyle w:val="NoSpacing"/>
              <w:jc w:val="right"/>
              <w:rPr>
                <w:sz w:val="22"/>
                <w:szCs w:val="22"/>
              </w:rPr>
            </w:pPr>
            <w:r w:rsidRPr="00AA7AB8">
              <w:rPr>
                <w:szCs w:val="22"/>
              </w:rPr>
              <w:t>0.</w:t>
            </w:r>
            <w:r w:rsidR="00975DDD">
              <w:rPr>
                <w:szCs w:val="22"/>
              </w:rPr>
              <w:t>4</w:t>
            </w:r>
            <w:r w:rsidRPr="00AA7AB8">
              <w:rPr>
                <w:szCs w:val="22"/>
              </w:rPr>
              <w:t>%</w:t>
            </w:r>
          </w:p>
        </w:tc>
        <w:tc>
          <w:tcPr>
            <w:tcW w:w="1417" w:type="dxa"/>
            <w:tcBorders>
              <w:top w:val="single" w:sz="4" w:space="0" w:color="auto"/>
              <w:left w:val="single" w:sz="4" w:space="0" w:color="auto"/>
            </w:tcBorders>
            <w:shd w:val="clear" w:color="000000" w:fill="FFFFFF"/>
            <w:vAlign w:val="center"/>
            <w:hideMark/>
          </w:tcPr>
          <w:p w:rsidR="0032599C" w:rsidRPr="00AA7AB8" w:rsidRDefault="00C90D22" w:rsidP="005319D2">
            <w:pPr>
              <w:pStyle w:val="NoSpacing"/>
              <w:jc w:val="center"/>
            </w:pPr>
            <w:r w:rsidRPr="00AA7AB8">
              <w:t xml:space="preserve">South </w:t>
            </w:r>
            <w:r w:rsidR="005319D2">
              <w:t>East Coast</w:t>
            </w:r>
          </w:p>
        </w:tc>
        <w:tc>
          <w:tcPr>
            <w:tcW w:w="852" w:type="dxa"/>
            <w:tcBorders>
              <w:top w:val="single" w:sz="4" w:space="0" w:color="auto"/>
              <w:right w:val="single" w:sz="4" w:space="0" w:color="auto"/>
            </w:tcBorders>
            <w:shd w:val="clear" w:color="000000" w:fill="FFFFFF"/>
            <w:vAlign w:val="center"/>
          </w:tcPr>
          <w:p w:rsidR="0032599C" w:rsidRPr="00AA7AB8" w:rsidRDefault="00975DDD" w:rsidP="00F64059">
            <w:pPr>
              <w:pStyle w:val="NoSpacing"/>
              <w:jc w:val="right"/>
              <w:rPr>
                <w:sz w:val="22"/>
                <w:szCs w:val="22"/>
              </w:rPr>
            </w:pPr>
            <w:r>
              <w:rPr>
                <w:szCs w:val="22"/>
              </w:rPr>
              <w:t>2.6</w:t>
            </w:r>
            <w:r w:rsidR="00820B72" w:rsidRPr="00AA7AB8">
              <w:rPr>
                <w:szCs w:val="22"/>
              </w:rPr>
              <w:t xml:space="preserve"> </w:t>
            </w:r>
            <w:r w:rsidR="007D2560"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AA7AB8" w:rsidRDefault="00166DF4" w:rsidP="00975DDD">
            <w:pPr>
              <w:pStyle w:val="NoSpacing"/>
              <w:jc w:val="right"/>
              <w:rPr>
                <w:rFonts w:cs="Arial"/>
              </w:rPr>
            </w:pPr>
            <w:r>
              <w:rPr>
                <w:rFonts w:cs="Arial"/>
              </w:rPr>
              <w:t>9.</w:t>
            </w:r>
            <w:r w:rsidR="00975DDD">
              <w:rPr>
                <w:rFonts w:cs="Arial"/>
              </w:rPr>
              <w:t>4</w:t>
            </w:r>
            <w:r w:rsidR="001F27E7" w:rsidRPr="00AA7AB8">
              <w:rPr>
                <w:rFonts w:cs="Arial"/>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West</w:t>
            </w:r>
            <w:r w:rsidR="00E02284" w:rsidRPr="00AA7AB8">
              <w:rPr>
                <w:szCs w:val="22"/>
              </w:rPr>
              <w:t xml:space="preserve"> Midlands</w:t>
            </w:r>
          </w:p>
        </w:tc>
        <w:tc>
          <w:tcPr>
            <w:tcW w:w="850" w:type="dxa"/>
            <w:tcBorders>
              <w:right w:val="single" w:sz="4" w:space="0" w:color="auto"/>
            </w:tcBorders>
            <w:shd w:val="clear" w:color="000000" w:fill="FFFFFF"/>
            <w:vAlign w:val="center"/>
          </w:tcPr>
          <w:p w:rsidR="0032599C" w:rsidRPr="00AA7AB8" w:rsidRDefault="00975DDD" w:rsidP="00166DF4">
            <w:pPr>
              <w:pStyle w:val="NoSpacing"/>
              <w:jc w:val="right"/>
              <w:rPr>
                <w:sz w:val="22"/>
                <w:szCs w:val="22"/>
              </w:rPr>
            </w:pPr>
            <w:r>
              <w:rPr>
                <w:szCs w:val="22"/>
              </w:rPr>
              <w:t>4.9</w:t>
            </w:r>
            <w:r w:rsidR="00E02284" w:rsidRPr="00AA7AB8">
              <w:rPr>
                <w:szCs w:val="22"/>
              </w:rPr>
              <w:t>%</w:t>
            </w:r>
          </w:p>
        </w:tc>
        <w:tc>
          <w:tcPr>
            <w:tcW w:w="1417" w:type="dxa"/>
            <w:tcBorders>
              <w:left w:val="single" w:sz="4" w:space="0" w:color="auto"/>
            </w:tcBorders>
            <w:shd w:val="clear" w:color="000000" w:fill="FFFFFF"/>
            <w:vAlign w:val="center"/>
            <w:hideMark/>
          </w:tcPr>
          <w:p w:rsidR="0032599C" w:rsidRPr="00AA7AB8" w:rsidRDefault="00911BEB" w:rsidP="00AB70A4">
            <w:pPr>
              <w:pStyle w:val="NoSpacing"/>
              <w:jc w:val="center"/>
              <w:rPr>
                <w:sz w:val="22"/>
                <w:szCs w:val="22"/>
              </w:rPr>
            </w:pPr>
            <w:r w:rsidRPr="00AA7AB8">
              <w:rPr>
                <w:szCs w:val="22"/>
              </w:rPr>
              <w:t>East Midlands</w:t>
            </w:r>
          </w:p>
        </w:tc>
        <w:tc>
          <w:tcPr>
            <w:tcW w:w="852" w:type="dxa"/>
            <w:tcBorders>
              <w:right w:val="single" w:sz="4" w:space="0" w:color="auto"/>
            </w:tcBorders>
            <w:shd w:val="clear" w:color="000000" w:fill="FFFFFF"/>
            <w:vAlign w:val="center"/>
          </w:tcPr>
          <w:p w:rsidR="0032599C" w:rsidRPr="00AA7AB8" w:rsidRDefault="00975DDD" w:rsidP="00D520D5">
            <w:pPr>
              <w:pStyle w:val="NoSpacing"/>
              <w:jc w:val="right"/>
              <w:rPr>
                <w:sz w:val="22"/>
                <w:szCs w:val="22"/>
              </w:rPr>
            </w:pPr>
            <w:r>
              <w:rPr>
                <w:szCs w:val="22"/>
              </w:rPr>
              <w:t>14.9</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rPr>
                <w:vertAlign w:val="superscript"/>
              </w:rPr>
            </w:pPr>
            <w:r w:rsidRPr="00AA7AB8">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AA7AB8" w:rsidRDefault="00820B72" w:rsidP="00975DDD">
            <w:pPr>
              <w:pStyle w:val="NoSpacing"/>
              <w:jc w:val="right"/>
              <w:rPr>
                <w:sz w:val="22"/>
                <w:szCs w:val="22"/>
              </w:rPr>
            </w:pPr>
            <w:r w:rsidRPr="00AA7AB8">
              <w:rPr>
                <w:szCs w:val="22"/>
              </w:rPr>
              <w:t>38</w:t>
            </w:r>
            <w:r w:rsidR="00837B74" w:rsidRPr="00AA7AB8">
              <w:rPr>
                <w:szCs w:val="22"/>
              </w:rPr>
              <w:t>.</w:t>
            </w:r>
            <w:r w:rsidR="00975DDD">
              <w:rPr>
                <w:szCs w:val="22"/>
              </w:rPr>
              <w:t>3</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975DDD" w:rsidP="002221E6">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AA7AB8" w:rsidRDefault="00975DDD" w:rsidP="00166DF4">
            <w:pPr>
              <w:pStyle w:val="NoSpacing"/>
              <w:jc w:val="right"/>
              <w:rPr>
                <w:sz w:val="22"/>
                <w:szCs w:val="22"/>
              </w:rPr>
            </w:pPr>
            <w:r>
              <w:rPr>
                <w:szCs w:val="22"/>
              </w:rPr>
              <w:t>29.6</w:t>
            </w:r>
            <w:r w:rsidR="0037489E" w:rsidRPr="00AA7AB8">
              <w:rPr>
                <w:szCs w:val="22"/>
              </w:rPr>
              <w:t>%</w:t>
            </w:r>
          </w:p>
        </w:tc>
        <w:tc>
          <w:tcPr>
            <w:tcW w:w="1417" w:type="dxa"/>
            <w:tcBorders>
              <w:left w:val="single" w:sz="4" w:space="0" w:color="auto"/>
            </w:tcBorders>
            <w:shd w:val="clear" w:color="000000" w:fill="FFFFFF"/>
            <w:vAlign w:val="center"/>
            <w:hideMark/>
          </w:tcPr>
          <w:p w:rsidR="00330CA6" w:rsidRPr="00AA7AB8" w:rsidRDefault="0032599C" w:rsidP="00E908BC">
            <w:pPr>
              <w:pStyle w:val="NoSpacing"/>
              <w:jc w:val="center"/>
              <w:rPr>
                <w:szCs w:val="22"/>
              </w:rPr>
            </w:pPr>
            <w:r w:rsidRPr="00AA7AB8">
              <w:rPr>
                <w:szCs w:val="22"/>
              </w:rPr>
              <w:t xml:space="preserve">South </w:t>
            </w:r>
            <w:r w:rsidR="00820B72" w:rsidRPr="00AA7AB8">
              <w:rPr>
                <w:szCs w:val="22"/>
              </w:rPr>
              <w:t>East Coast</w:t>
            </w:r>
            <w:r w:rsidR="00580834">
              <w:rPr>
                <w:rStyle w:val="FootnoteReference"/>
                <w:szCs w:val="22"/>
              </w:rPr>
              <w:footnoteReference w:id="10"/>
            </w:r>
          </w:p>
        </w:tc>
        <w:tc>
          <w:tcPr>
            <w:tcW w:w="852" w:type="dxa"/>
            <w:tcBorders>
              <w:right w:val="single" w:sz="4" w:space="0" w:color="auto"/>
            </w:tcBorders>
            <w:shd w:val="clear" w:color="000000" w:fill="FFFFFF"/>
            <w:vAlign w:val="center"/>
          </w:tcPr>
          <w:p w:rsidR="0032599C" w:rsidRPr="00AA7AB8" w:rsidRDefault="00AA7AB8" w:rsidP="00975DDD">
            <w:pPr>
              <w:pStyle w:val="NoSpacing"/>
              <w:jc w:val="right"/>
              <w:rPr>
                <w:sz w:val="22"/>
                <w:szCs w:val="22"/>
              </w:rPr>
            </w:pPr>
            <w:r w:rsidRPr="00AA7AB8">
              <w:rPr>
                <w:szCs w:val="22"/>
              </w:rPr>
              <w:t>49.</w:t>
            </w:r>
            <w:r w:rsidR="00975DDD">
              <w:rPr>
                <w:szCs w:val="22"/>
              </w:rPr>
              <w:t>2</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bookmarkStart w:id="1" w:name="RANGE!A22"/>
            <w:r w:rsidRPr="00AA7AB8">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AA7AB8" w:rsidRDefault="00882BC2" w:rsidP="00975DDD">
            <w:pPr>
              <w:pStyle w:val="NoSpacing"/>
              <w:jc w:val="right"/>
              <w:rPr>
                <w:sz w:val="22"/>
                <w:szCs w:val="22"/>
              </w:rPr>
            </w:pPr>
            <w:r w:rsidRPr="00AA7AB8">
              <w:rPr>
                <w:szCs w:val="22"/>
              </w:rPr>
              <w:t>6.</w:t>
            </w:r>
            <w:r w:rsidR="00975DDD">
              <w:rPr>
                <w:szCs w:val="22"/>
              </w:rPr>
              <w:t>3</w:t>
            </w:r>
            <w:r w:rsidR="001F27E7" w:rsidRPr="00AA7AB8">
              <w:rPr>
                <w:szCs w:val="22"/>
              </w:rPr>
              <w:t>%</w:t>
            </w:r>
          </w:p>
        </w:tc>
        <w:tc>
          <w:tcPr>
            <w:tcW w:w="1417" w:type="dxa"/>
            <w:tcBorders>
              <w:left w:val="single" w:sz="4" w:space="0" w:color="auto"/>
            </w:tcBorders>
            <w:shd w:val="clear" w:color="000000" w:fill="FFFFFF"/>
            <w:vAlign w:val="center"/>
            <w:hideMark/>
          </w:tcPr>
          <w:p w:rsidR="0032599C" w:rsidRPr="00AA7AB8" w:rsidRDefault="005319D2" w:rsidP="00E02284">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AA7AB8" w:rsidRDefault="00975DDD" w:rsidP="00166DF4">
            <w:pPr>
              <w:pStyle w:val="NoSpacing"/>
              <w:jc w:val="right"/>
              <w:rPr>
                <w:sz w:val="22"/>
                <w:szCs w:val="22"/>
              </w:rPr>
            </w:pPr>
            <w:r>
              <w:rPr>
                <w:szCs w:val="22"/>
              </w:rPr>
              <w:t>1.9</w:t>
            </w:r>
            <w:r w:rsidR="0037489E" w:rsidRPr="00AA7AB8">
              <w:rPr>
                <w:szCs w:val="22"/>
              </w:rPr>
              <w:t>%</w:t>
            </w:r>
          </w:p>
        </w:tc>
        <w:tc>
          <w:tcPr>
            <w:tcW w:w="1417" w:type="dxa"/>
            <w:tcBorders>
              <w:left w:val="single" w:sz="4" w:space="0" w:color="auto"/>
            </w:tcBorders>
            <w:shd w:val="clear" w:color="000000" w:fill="FFFFFF"/>
            <w:vAlign w:val="center"/>
            <w:hideMark/>
          </w:tcPr>
          <w:p w:rsidR="0032599C" w:rsidRPr="00AA7AB8" w:rsidRDefault="00E908BC" w:rsidP="005319D2">
            <w:pPr>
              <w:pStyle w:val="NoSpacing"/>
              <w:jc w:val="center"/>
              <w:rPr>
                <w:sz w:val="22"/>
                <w:szCs w:val="22"/>
              </w:rPr>
            </w:pPr>
            <w:r>
              <w:rPr>
                <w:szCs w:val="22"/>
              </w:rPr>
              <w:t>West Midlands</w:t>
            </w:r>
          </w:p>
        </w:tc>
        <w:tc>
          <w:tcPr>
            <w:tcW w:w="852" w:type="dxa"/>
            <w:tcBorders>
              <w:right w:val="single" w:sz="4" w:space="0" w:color="auto"/>
            </w:tcBorders>
            <w:shd w:val="clear" w:color="000000" w:fill="FFFFFF"/>
            <w:vAlign w:val="center"/>
          </w:tcPr>
          <w:p w:rsidR="0032599C" w:rsidRPr="00AA7AB8" w:rsidRDefault="00975DDD" w:rsidP="006918AA">
            <w:pPr>
              <w:pStyle w:val="NoSpacing"/>
              <w:jc w:val="right"/>
              <w:rPr>
                <w:sz w:val="22"/>
                <w:szCs w:val="22"/>
              </w:rPr>
            </w:pPr>
            <w:r>
              <w:rPr>
                <w:szCs w:val="22"/>
              </w:rPr>
              <w:t>14.8</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pPr>
            <w:r w:rsidRPr="00AA7AB8">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AA7AB8" w:rsidRDefault="00166DF4" w:rsidP="00AA7AB8">
            <w:pPr>
              <w:pStyle w:val="NoSpacing"/>
              <w:jc w:val="right"/>
              <w:rPr>
                <w:sz w:val="22"/>
                <w:szCs w:val="22"/>
              </w:rPr>
            </w:pPr>
            <w:r>
              <w:rPr>
                <w:szCs w:val="22"/>
              </w:rPr>
              <w:t>5.0</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A26372" w:rsidP="00882BC2">
            <w:pPr>
              <w:pStyle w:val="NoSpacing"/>
              <w:jc w:val="center"/>
              <w:rPr>
                <w:sz w:val="22"/>
              </w:rPr>
            </w:pPr>
            <w:r w:rsidRPr="00AA7AB8">
              <w:t>Yorkshire</w:t>
            </w:r>
          </w:p>
        </w:tc>
        <w:tc>
          <w:tcPr>
            <w:tcW w:w="850" w:type="dxa"/>
            <w:tcBorders>
              <w:right w:val="single" w:sz="4" w:space="0" w:color="auto"/>
            </w:tcBorders>
            <w:shd w:val="clear" w:color="000000" w:fill="FFFFFF"/>
            <w:vAlign w:val="center"/>
          </w:tcPr>
          <w:p w:rsidR="0032599C" w:rsidRPr="00AA7AB8" w:rsidRDefault="00E908BC" w:rsidP="00975DDD">
            <w:pPr>
              <w:pStyle w:val="NoSpacing"/>
              <w:jc w:val="right"/>
              <w:rPr>
                <w:sz w:val="22"/>
                <w:szCs w:val="22"/>
              </w:rPr>
            </w:pPr>
            <w:r>
              <w:rPr>
                <w:szCs w:val="22"/>
              </w:rPr>
              <w:t>1.</w:t>
            </w:r>
            <w:r w:rsidR="00975DDD">
              <w:rPr>
                <w:szCs w:val="22"/>
              </w:rPr>
              <w:t>6</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London</w:t>
            </w:r>
          </w:p>
        </w:tc>
        <w:tc>
          <w:tcPr>
            <w:tcW w:w="852" w:type="dxa"/>
            <w:tcBorders>
              <w:right w:val="single" w:sz="4" w:space="0" w:color="auto"/>
            </w:tcBorders>
            <w:shd w:val="clear" w:color="000000" w:fill="FFFFFF"/>
            <w:vAlign w:val="center"/>
          </w:tcPr>
          <w:p w:rsidR="0032599C" w:rsidRPr="00AA7AB8" w:rsidRDefault="006918AA" w:rsidP="00AA7AB8">
            <w:pPr>
              <w:pStyle w:val="NoSpacing"/>
              <w:jc w:val="right"/>
              <w:rPr>
                <w:sz w:val="22"/>
                <w:szCs w:val="22"/>
              </w:rPr>
            </w:pPr>
            <w:r>
              <w:rPr>
                <w:szCs w:val="22"/>
              </w:rPr>
              <w:t>8.5</w:t>
            </w:r>
            <w:r w:rsidR="00D6205D" w:rsidRPr="00AA7AB8">
              <w:rPr>
                <w:szCs w:val="22"/>
              </w:rPr>
              <w:t>%</w:t>
            </w:r>
          </w:p>
        </w:tc>
      </w:tr>
      <w:tr w:rsidR="0037489E" w:rsidRPr="00AA7AB8" w:rsidTr="00346392">
        <w:trPr>
          <w:cantSplit/>
          <w:trHeight w:val="567"/>
        </w:trPr>
        <w:tc>
          <w:tcPr>
            <w:tcW w:w="3601" w:type="dxa"/>
            <w:tcBorders>
              <w:left w:val="single" w:sz="4" w:space="0" w:color="auto"/>
              <w:bottom w:val="single" w:sz="4" w:space="0" w:color="auto"/>
              <w:right w:val="single" w:sz="4" w:space="0" w:color="auto"/>
            </w:tcBorders>
            <w:shd w:val="clear" w:color="auto" w:fill="auto"/>
            <w:vAlign w:val="center"/>
            <w:hideMark/>
          </w:tcPr>
          <w:p w:rsidR="0032599C" w:rsidRPr="00AA7AB8" w:rsidRDefault="008006FA" w:rsidP="00F0288C">
            <w:pPr>
              <w:pStyle w:val="NoSpacing"/>
            </w:pPr>
            <w:r w:rsidRPr="00AA7AB8">
              <w:t xml:space="preserve">Incidents </w:t>
            </w:r>
            <w:r w:rsidR="00F0288C" w:rsidRPr="00AA7AB8">
              <w:t>where a</w:t>
            </w:r>
            <w:r w:rsidRPr="00AA7AB8">
              <w:t xml:space="preserve"> patient </w:t>
            </w:r>
            <w:r w:rsidR="00F0288C" w:rsidRPr="00AA7AB8">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A7AB8" w:rsidRDefault="00C24F1D" w:rsidP="00882BC2">
            <w:pPr>
              <w:jc w:val="right"/>
              <w:rPr>
                <w:rFonts w:cs="Arial"/>
              </w:rPr>
            </w:pPr>
            <w:r>
              <w:rPr>
                <w:rFonts w:cs="Arial"/>
              </w:rPr>
              <w:t>394,877</w:t>
            </w:r>
          </w:p>
        </w:tc>
        <w:tc>
          <w:tcPr>
            <w:tcW w:w="1417" w:type="dxa"/>
            <w:tcBorders>
              <w:left w:val="single" w:sz="4" w:space="0" w:color="auto"/>
              <w:bottom w:val="single" w:sz="4" w:space="0" w:color="auto"/>
            </w:tcBorders>
            <w:shd w:val="clear" w:color="auto" w:fill="auto"/>
            <w:noWrap/>
            <w:vAlign w:val="center"/>
          </w:tcPr>
          <w:p w:rsidR="003507AC" w:rsidRPr="00AA7AB8" w:rsidRDefault="0032599C" w:rsidP="003507AC">
            <w:pPr>
              <w:pStyle w:val="NoSpacing"/>
              <w:jc w:val="center"/>
            </w:pPr>
            <w:r w:rsidRPr="00AA7AB8">
              <w:t>North</w:t>
            </w:r>
          </w:p>
          <w:p w:rsidR="0032599C" w:rsidRPr="00AA7AB8" w:rsidRDefault="00711FE9" w:rsidP="00711FE9">
            <w:pPr>
              <w:pStyle w:val="NoSpacing"/>
              <w:jc w:val="center"/>
              <w:rPr>
                <w:sz w:val="22"/>
                <w:szCs w:val="22"/>
              </w:rPr>
            </w:pPr>
            <w:r w:rsidRPr="00AA7AB8">
              <w:t>East</w:t>
            </w:r>
            <w:r w:rsidR="00580834">
              <w:rPr>
                <w:szCs w:val="22"/>
                <w:vertAlign w:val="superscript"/>
              </w:rPr>
              <w:t>10</w:t>
            </w:r>
          </w:p>
        </w:tc>
        <w:tc>
          <w:tcPr>
            <w:tcW w:w="850" w:type="dxa"/>
            <w:tcBorders>
              <w:bottom w:val="single" w:sz="4" w:space="0" w:color="auto"/>
              <w:right w:val="single" w:sz="4" w:space="0" w:color="auto"/>
            </w:tcBorders>
            <w:shd w:val="clear" w:color="auto" w:fill="auto"/>
            <w:vAlign w:val="center"/>
          </w:tcPr>
          <w:p w:rsidR="00A75E1A" w:rsidRPr="00AA7AB8" w:rsidRDefault="00C24F1D" w:rsidP="00882BC2">
            <w:pPr>
              <w:jc w:val="right"/>
              <w:rPr>
                <w:rFonts w:cs="Arial"/>
              </w:rPr>
            </w:pPr>
            <w:r>
              <w:rPr>
                <w:rFonts w:cs="Arial"/>
              </w:rPr>
              <w:t>19,271</w:t>
            </w:r>
          </w:p>
        </w:tc>
        <w:tc>
          <w:tcPr>
            <w:tcW w:w="1417" w:type="dxa"/>
            <w:tcBorders>
              <w:left w:val="single" w:sz="4" w:space="0" w:color="auto"/>
              <w:bottom w:val="single" w:sz="4" w:space="0" w:color="auto"/>
            </w:tcBorders>
            <w:shd w:val="clear" w:color="auto" w:fill="auto"/>
            <w:noWrap/>
            <w:vAlign w:val="center"/>
          </w:tcPr>
          <w:p w:rsidR="0032599C" w:rsidRPr="00AA7AB8" w:rsidRDefault="0032599C" w:rsidP="002221E6">
            <w:pPr>
              <w:pStyle w:val="NoSpacing"/>
              <w:jc w:val="center"/>
              <w:rPr>
                <w:sz w:val="22"/>
                <w:szCs w:val="22"/>
              </w:rPr>
            </w:pPr>
            <w:r w:rsidRPr="00AA7AB8">
              <w:rPr>
                <w:szCs w:val="22"/>
              </w:rPr>
              <w:t>London</w:t>
            </w:r>
          </w:p>
        </w:tc>
        <w:tc>
          <w:tcPr>
            <w:tcW w:w="852" w:type="dxa"/>
            <w:tcBorders>
              <w:bottom w:val="single" w:sz="4" w:space="0" w:color="auto"/>
              <w:right w:val="single" w:sz="4" w:space="0" w:color="auto"/>
            </w:tcBorders>
            <w:shd w:val="clear" w:color="auto" w:fill="auto"/>
            <w:vAlign w:val="center"/>
          </w:tcPr>
          <w:p w:rsidR="0032599C" w:rsidRPr="00AA7AB8" w:rsidRDefault="00C24F1D" w:rsidP="00882BC2">
            <w:pPr>
              <w:jc w:val="right"/>
              <w:rPr>
                <w:rFonts w:cs="Arial"/>
              </w:rPr>
            </w:pPr>
            <w:r>
              <w:rPr>
                <w:rFonts w:cs="Arial"/>
              </w:rPr>
              <w:t>64,217</w:t>
            </w:r>
          </w:p>
        </w:tc>
      </w:tr>
    </w:tbl>
    <w:p w:rsidR="00043776" w:rsidRDefault="00043776" w:rsidP="00043776">
      <w:pPr>
        <w:pStyle w:val="NoSpacing"/>
        <w:rPr>
          <w:highlight w:val="yellow"/>
        </w:rPr>
      </w:pPr>
    </w:p>
    <w:p w:rsidR="00B02388" w:rsidRPr="00B02388" w:rsidRDefault="00FF631E" w:rsidP="00B02388">
      <w:pPr>
        <w:pStyle w:val="NoSpacing"/>
        <w:spacing w:after="120"/>
        <w:rPr>
          <w:highlight w:val="yellow"/>
        </w:rPr>
      </w:pPr>
      <w:r w:rsidRPr="00FF631E">
        <w:t>Of calls that receive</w:t>
      </w:r>
      <w:r>
        <w:t>d</w:t>
      </w:r>
      <w:r w:rsidRPr="00FF631E">
        <w:t xml:space="preserve"> a face-to-face response from the ambulance service, </w:t>
      </w:r>
      <w:r>
        <w:t xml:space="preserve">the </w:t>
      </w:r>
      <w:r w:rsidRPr="00FF631E">
        <w:t xml:space="preserve">proportion </w:t>
      </w:r>
      <w:r>
        <w:t xml:space="preserve">that </w:t>
      </w:r>
      <w:r w:rsidRPr="00FF631E">
        <w:t>managed without need for transport to Type 1 and Type 2 A&amp;E</w:t>
      </w:r>
      <w:r>
        <w:t xml:space="preserve"> </w:t>
      </w:r>
      <w:r w:rsidR="00B02388">
        <w:t xml:space="preserve">in </w:t>
      </w:r>
      <w:r w:rsidR="006B172D">
        <w:t>September</w:t>
      </w:r>
      <w:r w:rsidR="00B02388">
        <w:t xml:space="preserve"> 2016 was </w:t>
      </w:r>
      <w:r>
        <w:t>38.</w:t>
      </w:r>
      <w:r w:rsidR="00C24F1D">
        <w:t>3</w:t>
      </w:r>
      <w:r w:rsidR="008738D2">
        <w:t>%</w:t>
      </w:r>
      <w:r w:rsidR="00C24F1D">
        <w:t>, marginally lower than the highest figure ever recorded of 38.7% in August 2016</w:t>
      </w:r>
      <w:r>
        <w:t xml:space="preserve">. </w:t>
      </w:r>
    </w:p>
    <w:p w:rsidR="00D31D0D" w:rsidRDefault="00B02388" w:rsidP="00B02388">
      <w:r>
        <w:t>T</w:t>
      </w:r>
      <w:r w:rsidR="00A95D10" w:rsidRPr="00721C10">
        <w:t xml:space="preserve">he </w:t>
      </w:r>
      <w:r w:rsidR="00043776" w:rsidRPr="00721C10">
        <w:t xml:space="preserve">proportion </w:t>
      </w:r>
      <w:r w:rsidR="00A95D10" w:rsidRPr="00721C10">
        <w:t>of calls resolved through telephone assessment</w:t>
      </w:r>
      <w:r w:rsidR="00145910" w:rsidRPr="00721C10">
        <w:t xml:space="preserve"> was</w:t>
      </w:r>
      <w:r w:rsidR="008862A6" w:rsidRPr="00721C10">
        <w:t xml:space="preserve"> </w:t>
      </w:r>
      <w:r w:rsidR="006B5D1C">
        <w:t>9.</w:t>
      </w:r>
      <w:r w:rsidR="00C24F1D">
        <w:t>4</w:t>
      </w:r>
      <w:r w:rsidR="009C268C" w:rsidRPr="00721C10">
        <w:t>%,</w:t>
      </w:r>
      <w:r w:rsidR="00145910" w:rsidRPr="00721C10">
        <w:t xml:space="preserve"> </w:t>
      </w:r>
      <w:r w:rsidR="00C24F1D">
        <w:t>slightly</w:t>
      </w:r>
      <w:r w:rsidR="006918AA">
        <w:t xml:space="preserve"> </w:t>
      </w:r>
      <w:r w:rsidR="00AA7AB8" w:rsidRPr="00721C10">
        <w:t>lowe</w:t>
      </w:r>
      <w:r w:rsidR="008862A6" w:rsidRPr="00721C10">
        <w:t xml:space="preserve">r than the </w:t>
      </w:r>
      <w:r w:rsidR="00AA7AB8" w:rsidRPr="00721C10">
        <w:t>10.</w:t>
      </w:r>
      <w:r w:rsidR="00C24F1D">
        <w:t>1</w:t>
      </w:r>
      <w:r w:rsidR="00911BEB" w:rsidRPr="00721C10">
        <w:t xml:space="preserve">% recorded in </w:t>
      </w:r>
      <w:r w:rsidR="006B172D">
        <w:t>September</w:t>
      </w:r>
      <w:r w:rsidR="00DA0061" w:rsidRPr="00721C10">
        <w:t xml:space="preserve"> 2015</w:t>
      </w:r>
      <w:r w:rsidR="00E6125B" w:rsidRPr="00721C10">
        <w:t>.</w:t>
      </w:r>
    </w:p>
    <w:p w:rsidR="006B172D" w:rsidRDefault="006B172D" w:rsidP="00B02388"/>
    <w:p w:rsidR="006B172D" w:rsidRDefault="006B172D" w:rsidP="006B172D">
      <w:pPr>
        <w:pStyle w:val="Heading3"/>
      </w:pPr>
      <w:r>
        <w:t>A7</w:t>
      </w:r>
      <w:r>
        <w:tab/>
        <w:t>Revisions</w:t>
      </w:r>
    </w:p>
    <w:p w:rsidR="006B172D" w:rsidRDefault="008577B6" w:rsidP="006B172D">
      <w:r>
        <w:t>Three</w:t>
      </w:r>
      <w:r w:rsidR="006B172D" w:rsidRPr="007573D5">
        <w:t xml:space="preserve"> Trusts (East </w:t>
      </w:r>
      <w:r w:rsidR="004B1694">
        <w:t>of England</w:t>
      </w:r>
      <w:r w:rsidR="006B172D" w:rsidRPr="007573D5">
        <w:t>, West Midla</w:t>
      </w:r>
      <w:r w:rsidR="006B172D">
        <w:t>nds</w:t>
      </w:r>
      <w:r>
        <w:t xml:space="preserve"> </w:t>
      </w:r>
      <w:r w:rsidR="004B1694">
        <w:t>and South</w:t>
      </w:r>
      <w:r>
        <w:t xml:space="preserve"> Central</w:t>
      </w:r>
      <w:r w:rsidR="006B172D" w:rsidRPr="007573D5">
        <w:t xml:space="preserve">) have supplied us with revisions to </w:t>
      </w:r>
      <w:r w:rsidR="006B172D">
        <w:t>data for April 201</w:t>
      </w:r>
      <w:r>
        <w:t>6</w:t>
      </w:r>
      <w:r w:rsidR="006B172D">
        <w:t xml:space="preserve"> to </w:t>
      </w:r>
      <w:r>
        <w:t>August</w:t>
      </w:r>
      <w:r w:rsidR="006B172D">
        <w:t xml:space="preserve"> 2016</w:t>
      </w:r>
      <w:r w:rsidR="006B172D" w:rsidRPr="007573D5">
        <w:t>, which are i</w:t>
      </w:r>
      <w:r w:rsidR="006B172D">
        <w:t>ncluded in the data in Section A</w:t>
      </w:r>
      <w:r w:rsidR="006B172D" w:rsidRPr="007573D5">
        <w:t xml:space="preserve"> above. The largest revis</w:t>
      </w:r>
      <w:r w:rsidR="006B172D">
        <w:t>ions are for rates of ‘Hear and Treat’ (Figure</w:t>
      </w:r>
      <w:r w:rsidR="00262830">
        <w:t xml:space="preserve"> 9</w:t>
      </w:r>
      <w:r w:rsidR="006B172D">
        <w:t xml:space="preserve"> respectively below)</w:t>
      </w:r>
      <w:r w:rsidR="00B11E4B">
        <w:t>.</w:t>
      </w:r>
    </w:p>
    <w:p w:rsidR="00262830" w:rsidRDefault="00262830" w:rsidP="006B172D"/>
    <w:p w:rsidR="006B172D" w:rsidRDefault="006B172D" w:rsidP="006B172D">
      <w:pPr>
        <w:pStyle w:val="Heading4"/>
        <w:jc w:val="left"/>
      </w:pPr>
      <w:r>
        <w:t xml:space="preserve">Figure </w:t>
      </w:r>
      <w:r w:rsidR="00144FE3">
        <w:t>5</w:t>
      </w:r>
      <w:r>
        <w:t>: Revisions to C</w:t>
      </w:r>
      <w:r w:rsidRPr="00D12038">
        <w:t xml:space="preserve">ategory </w:t>
      </w:r>
      <w:proofErr w:type="gramStart"/>
      <w:r w:rsidRPr="00D12038">
        <w:t>A</w:t>
      </w:r>
      <w:proofErr w:type="gramEnd"/>
      <w:r w:rsidRPr="00D12038">
        <w:t xml:space="preserve"> Red 1 calls in England resulting in an emergency response, the proportion arriving within 8 minutes</w:t>
      </w:r>
    </w:p>
    <w:p w:rsidR="006B172D" w:rsidRDefault="006B172D" w:rsidP="006B172D">
      <w:pPr>
        <w:pStyle w:val="Heading4"/>
        <w:jc w:val="left"/>
      </w:pPr>
      <w:r>
        <w:t xml:space="preserve">Figure </w:t>
      </w:r>
      <w:r w:rsidR="00144FE3">
        <w:t>6</w:t>
      </w:r>
      <w:r>
        <w:t xml:space="preserve">: Revisions to Category </w:t>
      </w:r>
      <w:proofErr w:type="gramStart"/>
      <w:r>
        <w:t>A</w:t>
      </w:r>
      <w:proofErr w:type="gramEnd"/>
      <w:r>
        <w:t xml:space="preserve"> Red 2</w:t>
      </w:r>
      <w:r w:rsidRPr="00D12038">
        <w:t xml:space="preserve"> calls in England resulting in an emergency response, the proportion arriving within 8 minutes</w:t>
      </w:r>
    </w:p>
    <w:p w:rsidR="00262830" w:rsidRPr="00262830" w:rsidRDefault="00262830" w:rsidP="00262830"/>
    <w:p w:rsidR="006B172D" w:rsidRDefault="00144FE3" w:rsidP="006B172D">
      <w:r>
        <w:rPr>
          <w:noProof/>
        </w:rPr>
        <w:lastRenderedPageBreak/>
        <w:drawing>
          <wp:inline distT="0" distB="0" distL="0" distR="0">
            <wp:extent cx="5248910" cy="172212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910" cy="1722120"/>
                    </a:xfrm>
                    <a:prstGeom prst="rect">
                      <a:avLst/>
                    </a:prstGeom>
                    <a:noFill/>
                    <a:ln>
                      <a:noFill/>
                    </a:ln>
                  </pic:spPr>
                </pic:pic>
              </a:graphicData>
            </a:graphic>
          </wp:inline>
        </w:drawing>
      </w:r>
    </w:p>
    <w:p w:rsidR="006B172D" w:rsidRDefault="006B172D" w:rsidP="006B172D">
      <w:pPr>
        <w:pStyle w:val="Heading4"/>
        <w:jc w:val="left"/>
      </w:pPr>
      <w:r>
        <w:t xml:space="preserve">Figure </w:t>
      </w:r>
      <w:r w:rsidR="00144FE3">
        <w:t>7</w:t>
      </w:r>
      <w:r>
        <w:t xml:space="preserve">: Revisions to </w:t>
      </w:r>
      <w:r w:rsidRPr="00D12038">
        <w:t xml:space="preserve">Category </w:t>
      </w:r>
      <w:proofErr w:type="gramStart"/>
      <w:r w:rsidRPr="00D12038">
        <w:t>A</w:t>
      </w:r>
      <w:proofErr w:type="gramEnd"/>
      <w:r w:rsidRPr="00D12038">
        <w:t xml:space="preserve"> calls in England resulting in an emergency response, </w:t>
      </w:r>
      <w:r>
        <w:t>the proportion arriving within 19</w:t>
      </w:r>
      <w:r w:rsidRPr="00D12038">
        <w:t xml:space="preserve"> minutes</w:t>
      </w:r>
    </w:p>
    <w:p w:rsidR="006B172D" w:rsidRDefault="006B172D" w:rsidP="006B172D">
      <w:pPr>
        <w:pStyle w:val="Heading4"/>
        <w:jc w:val="left"/>
      </w:pPr>
      <w:r>
        <w:t xml:space="preserve">Figure </w:t>
      </w:r>
      <w:r w:rsidR="00144FE3">
        <w:t>8</w:t>
      </w:r>
      <w:r>
        <w:t>: Revisions to p</w:t>
      </w:r>
      <w:r w:rsidRPr="000B7582">
        <w:t>roportion of calls abandoned before being answered</w:t>
      </w:r>
      <w:r w:rsidRPr="00D12038">
        <w:t>, England</w:t>
      </w:r>
    </w:p>
    <w:p w:rsidR="006B172D" w:rsidRDefault="00262830" w:rsidP="006B172D">
      <w:r>
        <w:rPr>
          <w:noProof/>
        </w:rPr>
        <w:drawing>
          <wp:inline distT="0" distB="0" distL="0" distR="0">
            <wp:extent cx="5248910" cy="172212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910" cy="1722120"/>
                    </a:xfrm>
                    <a:prstGeom prst="rect">
                      <a:avLst/>
                    </a:prstGeom>
                    <a:noFill/>
                    <a:ln>
                      <a:noFill/>
                    </a:ln>
                  </pic:spPr>
                </pic:pic>
              </a:graphicData>
            </a:graphic>
          </wp:inline>
        </w:drawing>
      </w:r>
    </w:p>
    <w:p w:rsidR="006B172D" w:rsidRDefault="006B172D" w:rsidP="006B172D">
      <w:pPr>
        <w:pStyle w:val="Heading4"/>
        <w:jc w:val="left"/>
      </w:pPr>
      <w:r>
        <w:t xml:space="preserve">Figure </w:t>
      </w:r>
      <w:r w:rsidR="00144FE3">
        <w:t>9</w:t>
      </w:r>
      <w:r>
        <w:t>: Revisions to p</w:t>
      </w:r>
      <w:r w:rsidRPr="000B7582">
        <w:t>roportion of calls resolved by telephone advice</w:t>
      </w:r>
      <w:r w:rsidR="004B1694">
        <w:t xml:space="preserve"> (Hear and Treat)</w:t>
      </w:r>
      <w:r>
        <w:t>, England</w:t>
      </w:r>
    </w:p>
    <w:p w:rsidR="006B172D" w:rsidRDefault="006B172D" w:rsidP="006B172D">
      <w:pPr>
        <w:pStyle w:val="Heading4"/>
        <w:jc w:val="left"/>
      </w:pPr>
      <w:r>
        <w:t>Figure 1</w:t>
      </w:r>
      <w:r w:rsidR="00144FE3">
        <w:t>0</w:t>
      </w:r>
      <w:r>
        <w:t>: Revisions to p</w:t>
      </w:r>
      <w:r w:rsidRPr="000B7582">
        <w:t>roportion of incidents managed without need for transport to Accident and Emergency department</w:t>
      </w:r>
      <w:r w:rsidR="004B1694">
        <w:t xml:space="preserve"> (See and Treat)</w:t>
      </w:r>
      <w:r>
        <w:t>, England</w:t>
      </w:r>
    </w:p>
    <w:p w:rsidR="006B172D" w:rsidRDefault="00262830" w:rsidP="006B172D">
      <w:r>
        <w:rPr>
          <w:noProof/>
        </w:rPr>
        <w:drawing>
          <wp:inline distT="0" distB="0" distL="0" distR="0">
            <wp:extent cx="5248910" cy="172212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910" cy="1722120"/>
                    </a:xfrm>
                    <a:prstGeom prst="rect">
                      <a:avLst/>
                    </a:prstGeom>
                    <a:noFill/>
                    <a:ln>
                      <a:noFill/>
                    </a:ln>
                  </pic:spPr>
                </pic:pic>
              </a:graphicData>
            </a:graphic>
          </wp:inline>
        </w:drawing>
      </w:r>
    </w:p>
    <w:p w:rsidR="006B172D" w:rsidRDefault="006B172D" w:rsidP="006B172D">
      <w:pPr>
        <w:pStyle w:val="Heading4"/>
        <w:jc w:val="left"/>
      </w:pPr>
      <w:r>
        <w:t>Figure 1</w:t>
      </w:r>
      <w:r w:rsidR="00144FE3">
        <w:t>1</w:t>
      </w:r>
      <w:r>
        <w:t xml:space="preserve">: Revisions to </w:t>
      </w:r>
      <w:r>
        <w:rPr>
          <w:lang w:val="en-US"/>
        </w:rPr>
        <w:t>r</w:t>
      </w:r>
      <w:r w:rsidRPr="000B7582">
        <w:rPr>
          <w:lang w:val="en-US"/>
        </w:rPr>
        <w:t>e-contacts a</w:t>
      </w:r>
      <w:r>
        <w:rPr>
          <w:lang w:val="en-US"/>
        </w:rPr>
        <w:t>fter discharge on scene</w:t>
      </w:r>
      <w:r>
        <w:t>, England</w:t>
      </w:r>
    </w:p>
    <w:p w:rsidR="006B172D" w:rsidRDefault="006B172D" w:rsidP="006B172D">
      <w:pPr>
        <w:pStyle w:val="Heading4"/>
        <w:jc w:val="left"/>
      </w:pPr>
      <w:r>
        <w:t>Figure 1</w:t>
      </w:r>
      <w:r w:rsidR="00144FE3">
        <w:t>2</w:t>
      </w:r>
      <w:r>
        <w:t>: Revisions to p</w:t>
      </w:r>
      <w:r w:rsidRPr="00255666">
        <w:t>roportion of incidents managed without need for transport to Accident and Emergency department</w:t>
      </w:r>
      <w:r>
        <w:t>, England</w:t>
      </w:r>
    </w:p>
    <w:p w:rsidR="006B172D" w:rsidRDefault="006B172D" w:rsidP="006B172D"/>
    <w:p w:rsidR="00262830" w:rsidRDefault="00262830" w:rsidP="00262830">
      <w:pPr>
        <w:spacing w:after="0"/>
      </w:pPr>
      <w:r>
        <w:rPr>
          <w:noProof/>
        </w:rPr>
        <w:lastRenderedPageBreak/>
        <w:drawing>
          <wp:inline distT="0" distB="0" distL="0" distR="0" wp14:anchorId="44F26BF7" wp14:editId="2324BC6C">
            <wp:extent cx="5248910" cy="172212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910" cy="1722120"/>
                    </a:xfrm>
                    <a:prstGeom prst="rect">
                      <a:avLst/>
                    </a:prstGeom>
                    <a:noFill/>
                    <a:ln>
                      <a:noFill/>
                    </a:ln>
                  </pic:spPr>
                </pic:pic>
              </a:graphicData>
            </a:graphic>
          </wp:inline>
        </w:drawing>
      </w:r>
    </w:p>
    <w:p w:rsidR="00262830" w:rsidRDefault="00262830" w:rsidP="00262830">
      <w:pPr>
        <w:spacing w:after="0"/>
      </w:pPr>
    </w:p>
    <w:p w:rsidR="006B172D" w:rsidRPr="00262830" w:rsidRDefault="006B172D" w:rsidP="00262830">
      <w:pPr>
        <w:spacing w:after="0"/>
        <w:rPr>
          <w:rFonts w:eastAsiaTheme="majorEastAsia" w:cstheme="majorBidi"/>
          <w:b/>
          <w:bCs/>
          <w:iCs/>
        </w:rPr>
      </w:pPr>
      <w:r w:rsidRPr="00262830">
        <w:rPr>
          <w:b/>
        </w:rPr>
        <w:t>Figure 1</w:t>
      </w:r>
      <w:r w:rsidR="00262830">
        <w:rPr>
          <w:b/>
        </w:rPr>
        <w:t>3</w:t>
      </w:r>
      <w:r w:rsidRPr="00262830">
        <w:rPr>
          <w:b/>
        </w:rPr>
        <w:t xml:space="preserve">: Revisions of more than </w:t>
      </w:r>
      <w:r w:rsidR="004B1694">
        <w:rPr>
          <w:b/>
        </w:rPr>
        <w:t>1</w:t>
      </w:r>
      <w:r w:rsidRPr="00262830">
        <w:rPr>
          <w:b/>
        </w:rPr>
        <w:t>% points to Trust-level monthly data</w:t>
      </w:r>
    </w:p>
    <w:tbl>
      <w:tblPr>
        <w:tblStyle w:val="TableGrid"/>
        <w:tblW w:w="90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Revision of more than 10% at trust level"/>
        <w:tblDescription w:val="Table giving detail of changes that are greater than 10% point change at a trust level."/>
      </w:tblPr>
      <w:tblGrid>
        <w:gridCol w:w="1804"/>
        <w:gridCol w:w="14"/>
        <w:gridCol w:w="4382"/>
        <w:gridCol w:w="14"/>
        <w:gridCol w:w="930"/>
        <w:gridCol w:w="14"/>
        <w:gridCol w:w="931"/>
        <w:gridCol w:w="14"/>
        <w:gridCol w:w="963"/>
        <w:gridCol w:w="14"/>
      </w:tblGrid>
      <w:tr w:rsidR="006B172D" w:rsidTr="006B172D">
        <w:trPr>
          <w:gridAfter w:val="1"/>
          <w:wAfter w:w="14" w:type="dxa"/>
        </w:trPr>
        <w:tc>
          <w:tcPr>
            <w:tcW w:w="1804" w:type="dxa"/>
            <w:tcBorders>
              <w:top w:val="nil"/>
            </w:tcBorders>
          </w:tcPr>
          <w:p w:rsidR="006B172D" w:rsidRDefault="006B172D" w:rsidP="006B172D">
            <w:pPr>
              <w:pStyle w:val="Heading5"/>
            </w:pPr>
            <w:r>
              <w:t>Trust</w:t>
            </w:r>
          </w:p>
        </w:tc>
        <w:tc>
          <w:tcPr>
            <w:tcW w:w="4396" w:type="dxa"/>
            <w:gridSpan w:val="2"/>
            <w:tcBorders>
              <w:top w:val="nil"/>
            </w:tcBorders>
          </w:tcPr>
          <w:p w:rsidR="006B172D" w:rsidRDefault="006B172D" w:rsidP="006B172D">
            <w:pPr>
              <w:pStyle w:val="Heading5"/>
            </w:pPr>
            <w:r>
              <w:t>Indicator</w:t>
            </w:r>
          </w:p>
        </w:tc>
        <w:tc>
          <w:tcPr>
            <w:tcW w:w="944" w:type="dxa"/>
            <w:gridSpan w:val="2"/>
            <w:tcBorders>
              <w:top w:val="nil"/>
            </w:tcBorders>
          </w:tcPr>
          <w:p w:rsidR="006B172D" w:rsidRDefault="006B172D" w:rsidP="006B172D">
            <w:pPr>
              <w:pStyle w:val="Heading5"/>
            </w:pPr>
            <w:r>
              <w:t>Month</w:t>
            </w:r>
          </w:p>
        </w:tc>
        <w:tc>
          <w:tcPr>
            <w:tcW w:w="945" w:type="dxa"/>
            <w:gridSpan w:val="2"/>
            <w:tcBorders>
              <w:top w:val="nil"/>
            </w:tcBorders>
          </w:tcPr>
          <w:p w:rsidR="006B172D" w:rsidRDefault="006B172D" w:rsidP="006B172D">
            <w:pPr>
              <w:pStyle w:val="Heading5"/>
            </w:pPr>
            <w:r>
              <w:t>From</w:t>
            </w:r>
          </w:p>
        </w:tc>
        <w:tc>
          <w:tcPr>
            <w:tcW w:w="977" w:type="dxa"/>
            <w:gridSpan w:val="2"/>
            <w:tcBorders>
              <w:top w:val="nil"/>
            </w:tcBorders>
          </w:tcPr>
          <w:p w:rsidR="006B172D" w:rsidRDefault="006B172D" w:rsidP="006B172D">
            <w:pPr>
              <w:pStyle w:val="Heading5"/>
            </w:pPr>
            <w:r>
              <w:t>To</w:t>
            </w:r>
          </w:p>
        </w:tc>
      </w:tr>
      <w:tr w:rsidR="006B172D" w:rsidTr="006B172D">
        <w:trPr>
          <w:gridAfter w:val="1"/>
          <w:wAfter w:w="14" w:type="dxa"/>
        </w:trPr>
        <w:tc>
          <w:tcPr>
            <w:tcW w:w="1804" w:type="dxa"/>
            <w:tcBorders>
              <w:bottom w:val="nil"/>
            </w:tcBorders>
          </w:tcPr>
          <w:p w:rsidR="006B172D" w:rsidRDefault="006B172D" w:rsidP="006B172D">
            <w:pPr>
              <w:pStyle w:val="NoSpacing"/>
            </w:pPr>
            <w:r>
              <w:t>East of England</w:t>
            </w:r>
          </w:p>
        </w:tc>
        <w:tc>
          <w:tcPr>
            <w:tcW w:w="4396" w:type="dxa"/>
            <w:gridSpan w:val="2"/>
            <w:tcBorders>
              <w:bottom w:val="nil"/>
            </w:tcBorders>
          </w:tcPr>
          <w:p w:rsidR="006B172D" w:rsidRDefault="004B1694" w:rsidP="004B1694">
            <w:pPr>
              <w:pStyle w:val="NoSpacing"/>
            </w:pPr>
            <w:r>
              <w:t>E</w:t>
            </w:r>
            <w:r w:rsidRPr="004B1694">
              <w:t>mergency resolved by providing telephone advice (Hear and Treat)</w:t>
            </w:r>
          </w:p>
        </w:tc>
        <w:tc>
          <w:tcPr>
            <w:tcW w:w="944" w:type="dxa"/>
            <w:gridSpan w:val="2"/>
          </w:tcPr>
          <w:p w:rsidR="006B172D" w:rsidRDefault="004B1694" w:rsidP="006B172D">
            <w:pPr>
              <w:pStyle w:val="NoSpacing"/>
              <w:jc w:val="center"/>
            </w:pPr>
            <w:r>
              <w:t>Apr</w:t>
            </w:r>
          </w:p>
        </w:tc>
        <w:tc>
          <w:tcPr>
            <w:tcW w:w="945" w:type="dxa"/>
            <w:gridSpan w:val="2"/>
          </w:tcPr>
          <w:p w:rsidR="006B172D" w:rsidRDefault="004B1694" w:rsidP="006B172D">
            <w:pPr>
              <w:pStyle w:val="NoSpacing"/>
              <w:jc w:val="right"/>
            </w:pPr>
            <w:r>
              <w:t>6.4</w:t>
            </w:r>
            <w:r w:rsidR="006B172D">
              <w:t>%</w:t>
            </w:r>
          </w:p>
        </w:tc>
        <w:tc>
          <w:tcPr>
            <w:tcW w:w="977" w:type="dxa"/>
            <w:gridSpan w:val="2"/>
          </w:tcPr>
          <w:p w:rsidR="006B172D" w:rsidRDefault="004B1694" w:rsidP="006B172D">
            <w:pPr>
              <w:pStyle w:val="NoSpacing"/>
              <w:jc w:val="right"/>
            </w:pPr>
            <w:r>
              <w:t>4.9</w:t>
            </w:r>
            <w:r w:rsidR="006B172D">
              <w:t>%</w:t>
            </w:r>
          </w:p>
        </w:tc>
      </w:tr>
      <w:tr w:rsidR="006B172D" w:rsidTr="006B172D">
        <w:trPr>
          <w:gridAfter w:val="1"/>
          <w:wAfter w:w="14" w:type="dxa"/>
        </w:trPr>
        <w:tc>
          <w:tcPr>
            <w:tcW w:w="1804" w:type="dxa"/>
            <w:tcBorders>
              <w:top w:val="nil"/>
              <w:bottom w:val="nil"/>
            </w:tcBorders>
          </w:tcPr>
          <w:p w:rsidR="006B172D" w:rsidRDefault="006B172D" w:rsidP="006B172D">
            <w:pPr>
              <w:pStyle w:val="NoSpacing"/>
            </w:pPr>
          </w:p>
        </w:tc>
        <w:tc>
          <w:tcPr>
            <w:tcW w:w="4396" w:type="dxa"/>
            <w:gridSpan w:val="2"/>
            <w:tcBorders>
              <w:top w:val="nil"/>
              <w:bottom w:val="nil"/>
            </w:tcBorders>
          </w:tcPr>
          <w:p w:rsidR="006B172D" w:rsidRPr="00757386" w:rsidRDefault="006B172D" w:rsidP="006B172D">
            <w:pPr>
              <w:pStyle w:val="NoSpacing"/>
            </w:pPr>
          </w:p>
        </w:tc>
        <w:tc>
          <w:tcPr>
            <w:tcW w:w="944" w:type="dxa"/>
            <w:gridSpan w:val="2"/>
          </w:tcPr>
          <w:p w:rsidR="006B172D" w:rsidRDefault="004B1694" w:rsidP="006B172D">
            <w:pPr>
              <w:pStyle w:val="NoSpacing"/>
              <w:jc w:val="center"/>
            </w:pPr>
            <w:r>
              <w:t>May</w:t>
            </w:r>
          </w:p>
        </w:tc>
        <w:tc>
          <w:tcPr>
            <w:tcW w:w="945" w:type="dxa"/>
            <w:gridSpan w:val="2"/>
          </w:tcPr>
          <w:p w:rsidR="006B172D" w:rsidRDefault="004B1694" w:rsidP="006B172D">
            <w:pPr>
              <w:pStyle w:val="NoSpacing"/>
              <w:jc w:val="right"/>
            </w:pPr>
            <w:r>
              <w:t>6.1</w:t>
            </w:r>
            <w:r w:rsidR="006B172D">
              <w:t>%</w:t>
            </w:r>
          </w:p>
        </w:tc>
        <w:tc>
          <w:tcPr>
            <w:tcW w:w="977" w:type="dxa"/>
            <w:gridSpan w:val="2"/>
          </w:tcPr>
          <w:p w:rsidR="006B172D" w:rsidRDefault="004B1694" w:rsidP="006B172D">
            <w:pPr>
              <w:pStyle w:val="NoSpacing"/>
              <w:jc w:val="right"/>
            </w:pPr>
            <w:r>
              <w:t>4.8</w:t>
            </w:r>
            <w:r w:rsidR="006B172D">
              <w:t>%</w:t>
            </w:r>
          </w:p>
        </w:tc>
      </w:tr>
      <w:tr w:rsidR="006B172D" w:rsidTr="006B172D">
        <w:trPr>
          <w:gridAfter w:val="1"/>
          <w:wAfter w:w="14" w:type="dxa"/>
        </w:trPr>
        <w:tc>
          <w:tcPr>
            <w:tcW w:w="1804" w:type="dxa"/>
            <w:tcBorders>
              <w:top w:val="nil"/>
              <w:bottom w:val="nil"/>
            </w:tcBorders>
          </w:tcPr>
          <w:p w:rsidR="006B172D" w:rsidRDefault="006B172D" w:rsidP="006B172D">
            <w:pPr>
              <w:pStyle w:val="NoSpacing"/>
            </w:pPr>
          </w:p>
        </w:tc>
        <w:tc>
          <w:tcPr>
            <w:tcW w:w="4396" w:type="dxa"/>
            <w:gridSpan w:val="2"/>
            <w:tcBorders>
              <w:top w:val="nil"/>
              <w:bottom w:val="nil"/>
            </w:tcBorders>
          </w:tcPr>
          <w:p w:rsidR="006B172D" w:rsidRPr="00757386" w:rsidRDefault="006B172D" w:rsidP="006B172D">
            <w:pPr>
              <w:pStyle w:val="NoSpacing"/>
            </w:pPr>
          </w:p>
        </w:tc>
        <w:tc>
          <w:tcPr>
            <w:tcW w:w="944" w:type="dxa"/>
            <w:gridSpan w:val="2"/>
          </w:tcPr>
          <w:p w:rsidR="006B172D" w:rsidRDefault="006B172D" w:rsidP="004B1694">
            <w:pPr>
              <w:pStyle w:val="NoSpacing"/>
              <w:jc w:val="center"/>
            </w:pPr>
            <w:r>
              <w:t>Ju</w:t>
            </w:r>
            <w:r w:rsidR="004B1694">
              <w:t>n</w:t>
            </w:r>
          </w:p>
        </w:tc>
        <w:tc>
          <w:tcPr>
            <w:tcW w:w="945" w:type="dxa"/>
            <w:gridSpan w:val="2"/>
          </w:tcPr>
          <w:p w:rsidR="006B172D" w:rsidRDefault="004B1694" w:rsidP="006B172D">
            <w:pPr>
              <w:pStyle w:val="NoSpacing"/>
              <w:jc w:val="right"/>
            </w:pPr>
            <w:r>
              <w:t>6.5</w:t>
            </w:r>
            <w:r w:rsidR="006B172D">
              <w:t>%</w:t>
            </w:r>
          </w:p>
        </w:tc>
        <w:tc>
          <w:tcPr>
            <w:tcW w:w="977" w:type="dxa"/>
            <w:gridSpan w:val="2"/>
          </w:tcPr>
          <w:p w:rsidR="006B172D" w:rsidRDefault="004B1694" w:rsidP="006B172D">
            <w:pPr>
              <w:pStyle w:val="NoSpacing"/>
              <w:jc w:val="right"/>
            </w:pPr>
            <w:r>
              <w:t>5.5</w:t>
            </w:r>
            <w:r w:rsidR="006B172D">
              <w:t>%</w:t>
            </w:r>
          </w:p>
        </w:tc>
      </w:tr>
      <w:tr w:rsidR="006B172D" w:rsidTr="004B1694">
        <w:tc>
          <w:tcPr>
            <w:tcW w:w="1818" w:type="dxa"/>
            <w:gridSpan w:val="2"/>
            <w:tcBorders>
              <w:top w:val="single" w:sz="4" w:space="0" w:color="auto"/>
              <w:bottom w:val="single" w:sz="4" w:space="0" w:color="auto"/>
            </w:tcBorders>
          </w:tcPr>
          <w:p w:rsidR="006B172D" w:rsidRDefault="006B172D" w:rsidP="006B172D">
            <w:pPr>
              <w:pStyle w:val="NoSpacing"/>
            </w:pPr>
            <w:r>
              <w:t>South Central</w:t>
            </w:r>
          </w:p>
        </w:tc>
        <w:tc>
          <w:tcPr>
            <w:tcW w:w="4396" w:type="dxa"/>
            <w:gridSpan w:val="2"/>
            <w:tcBorders>
              <w:top w:val="single" w:sz="4" w:space="0" w:color="auto"/>
              <w:bottom w:val="single" w:sz="4" w:space="0" w:color="auto"/>
            </w:tcBorders>
          </w:tcPr>
          <w:p w:rsidR="006B172D" w:rsidRDefault="004B1694" w:rsidP="004B1694">
            <w:pPr>
              <w:pStyle w:val="NoSpacing"/>
            </w:pPr>
            <w:r w:rsidRPr="004B1694">
              <w:t>Category A resu</w:t>
            </w:r>
            <w:r>
              <w:t xml:space="preserve">lting in an emergency response </w:t>
            </w:r>
            <w:r w:rsidRPr="004B1694">
              <w:t>within 19 minutes</w:t>
            </w:r>
          </w:p>
        </w:tc>
        <w:tc>
          <w:tcPr>
            <w:tcW w:w="944" w:type="dxa"/>
            <w:gridSpan w:val="2"/>
            <w:tcBorders>
              <w:top w:val="single" w:sz="4" w:space="0" w:color="auto"/>
              <w:bottom w:val="single" w:sz="4" w:space="0" w:color="auto"/>
            </w:tcBorders>
          </w:tcPr>
          <w:p w:rsidR="006B172D" w:rsidRDefault="006B172D" w:rsidP="004B1694">
            <w:pPr>
              <w:pStyle w:val="NoSpacing"/>
              <w:jc w:val="center"/>
            </w:pPr>
            <w:r>
              <w:t>Ju</w:t>
            </w:r>
            <w:r w:rsidR="004B1694">
              <w:t>n</w:t>
            </w:r>
          </w:p>
        </w:tc>
        <w:tc>
          <w:tcPr>
            <w:tcW w:w="945" w:type="dxa"/>
            <w:gridSpan w:val="2"/>
            <w:tcBorders>
              <w:top w:val="single" w:sz="4" w:space="0" w:color="auto"/>
              <w:bottom w:val="single" w:sz="4" w:space="0" w:color="auto"/>
            </w:tcBorders>
          </w:tcPr>
          <w:p w:rsidR="006B172D" w:rsidRDefault="004B1694" w:rsidP="006B172D">
            <w:pPr>
              <w:pStyle w:val="NoSpacing"/>
              <w:jc w:val="right"/>
            </w:pPr>
            <w:r>
              <w:t>95.7</w:t>
            </w:r>
            <w:r w:rsidR="006B172D">
              <w:t>%</w:t>
            </w:r>
          </w:p>
        </w:tc>
        <w:tc>
          <w:tcPr>
            <w:tcW w:w="977" w:type="dxa"/>
            <w:gridSpan w:val="2"/>
            <w:tcBorders>
              <w:top w:val="single" w:sz="4" w:space="0" w:color="auto"/>
              <w:bottom w:val="single" w:sz="4" w:space="0" w:color="auto"/>
            </w:tcBorders>
          </w:tcPr>
          <w:p w:rsidR="006B172D" w:rsidRDefault="004B1694" w:rsidP="006B172D">
            <w:pPr>
              <w:pStyle w:val="NoSpacing"/>
              <w:jc w:val="right"/>
            </w:pPr>
            <w:r>
              <w:t>94.6</w:t>
            </w:r>
            <w:r w:rsidR="006B172D">
              <w:t>%</w:t>
            </w:r>
          </w:p>
        </w:tc>
      </w:tr>
    </w:tbl>
    <w:p w:rsidR="006B172D" w:rsidRDefault="006B172D" w:rsidP="006B172D">
      <w:pPr>
        <w:pStyle w:val="Heading4"/>
      </w:pPr>
    </w:p>
    <w:p w:rsidR="006B172D" w:rsidRDefault="006B172D" w:rsidP="006B172D">
      <w:pPr>
        <w:pStyle w:val="Heading4"/>
      </w:pPr>
      <w:r>
        <w:t>Figure 1</w:t>
      </w:r>
      <w:r w:rsidR="00262830">
        <w:t>4</w:t>
      </w:r>
      <w:r>
        <w:t>: Revisions of more than 0.</w:t>
      </w:r>
      <w:r w:rsidR="008F63D2">
        <w:t>1</w:t>
      </w:r>
      <w:r>
        <w:t>% points to England monthly data</w:t>
      </w:r>
    </w:p>
    <w:tbl>
      <w:tblPr>
        <w:tblStyle w:val="TableGrid"/>
        <w:tblW w:w="93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Revision of more than 1% at england level"/>
        <w:tblDescription w:val="Table giving detail of Clinical Outcome revisions that have caused a greater than 1% point change at England level."/>
      </w:tblPr>
      <w:tblGrid>
        <w:gridCol w:w="6350"/>
        <w:gridCol w:w="1084"/>
        <w:gridCol w:w="944"/>
        <w:gridCol w:w="944"/>
      </w:tblGrid>
      <w:tr w:rsidR="006B172D" w:rsidTr="008F63D2">
        <w:tc>
          <w:tcPr>
            <w:tcW w:w="6350" w:type="dxa"/>
            <w:tcBorders>
              <w:bottom w:val="single" w:sz="4" w:space="0" w:color="auto"/>
            </w:tcBorders>
          </w:tcPr>
          <w:p w:rsidR="006B172D" w:rsidRDefault="006B172D" w:rsidP="006B172D">
            <w:pPr>
              <w:pStyle w:val="Heading5"/>
            </w:pPr>
            <w:r>
              <w:t>Indicator</w:t>
            </w:r>
          </w:p>
        </w:tc>
        <w:tc>
          <w:tcPr>
            <w:tcW w:w="1084" w:type="dxa"/>
          </w:tcPr>
          <w:p w:rsidR="006B172D" w:rsidRDefault="006B172D" w:rsidP="006B172D">
            <w:pPr>
              <w:pStyle w:val="Heading5"/>
            </w:pPr>
            <w:r>
              <w:t>Month</w:t>
            </w:r>
          </w:p>
        </w:tc>
        <w:tc>
          <w:tcPr>
            <w:tcW w:w="944" w:type="dxa"/>
          </w:tcPr>
          <w:p w:rsidR="006B172D" w:rsidRDefault="006B172D" w:rsidP="006B172D">
            <w:pPr>
              <w:pStyle w:val="Heading5"/>
            </w:pPr>
            <w:r>
              <w:t>From</w:t>
            </w:r>
          </w:p>
        </w:tc>
        <w:tc>
          <w:tcPr>
            <w:tcW w:w="944" w:type="dxa"/>
          </w:tcPr>
          <w:p w:rsidR="006B172D" w:rsidRDefault="006B172D" w:rsidP="006B172D">
            <w:pPr>
              <w:pStyle w:val="Heading5"/>
            </w:pPr>
            <w:r>
              <w:t>To</w:t>
            </w:r>
          </w:p>
        </w:tc>
      </w:tr>
      <w:tr w:rsidR="006B172D" w:rsidTr="008F63D2">
        <w:trPr>
          <w:trHeight w:val="285"/>
        </w:trPr>
        <w:tc>
          <w:tcPr>
            <w:tcW w:w="6350" w:type="dxa"/>
            <w:tcBorders>
              <w:top w:val="single" w:sz="4" w:space="0" w:color="auto"/>
              <w:bottom w:val="nil"/>
            </w:tcBorders>
          </w:tcPr>
          <w:p w:rsidR="006B172D" w:rsidRDefault="008F63D2" w:rsidP="006B172D">
            <w:pPr>
              <w:pStyle w:val="NoSpacing"/>
            </w:pPr>
            <w:r>
              <w:t>E</w:t>
            </w:r>
            <w:r w:rsidRPr="004B1694">
              <w:t>mergency resolved by providing telephone advice (Hear and Treat)</w:t>
            </w:r>
          </w:p>
        </w:tc>
        <w:tc>
          <w:tcPr>
            <w:tcW w:w="1084" w:type="dxa"/>
          </w:tcPr>
          <w:p w:rsidR="006B172D" w:rsidRDefault="002869F1" w:rsidP="006B172D">
            <w:pPr>
              <w:pStyle w:val="NoSpacing"/>
              <w:jc w:val="center"/>
            </w:pPr>
            <w:r>
              <w:t>Apr</w:t>
            </w:r>
          </w:p>
        </w:tc>
        <w:tc>
          <w:tcPr>
            <w:tcW w:w="944" w:type="dxa"/>
          </w:tcPr>
          <w:p w:rsidR="006B172D" w:rsidRPr="00924949" w:rsidRDefault="002869F1" w:rsidP="006B172D">
            <w:pPr>
              <w:pStyle w:val="NoSpacing"/>
              <w:jc w:val="right"/>
            </w:pPr>
            <w:r>
              <w:t>8.9</w:t>
            </w:r>
            <w:r w:rsidR="006B172D">
              <w:t>%</w:t>
            </w:r>
          </w:p>
        </w:tc>
        <w:tc>
          <w:tcPr>
            <w:tcW w:w="944" w:type="dxa"/>
          </w:tcPr>
          <w:p w:rsidR="006B172D" w:rsidRDefault="002869F1" w:rsidP="006B172D">
            <w:pPr>
              <w:pStyle w:val="NoSpacing"/>
              <w:jc w:val="right"/>
            </w:pPr>
            <w:r>
              <w:t>8.8</w:t>
            </w:r>
            <w:r w:rsidR="006B172D" w:rsidRPr="00ED0E97">
              <w:t>%</w:t>
            </w:r>
          </w:p>
        </w:tc>
      </w:tr>
      <w:tr w:rsidR="008F63D2" w:rsidTr="008F63D2">
        <w:trPr>
          <w:trHeight w:val="285"/>
        </w:trPr>
        <w:tc>
          <w:tcPr>
            <w:tcW w:w="6350" w:type="dxa"/>
            <w:tcBorders>
              <w:top w:val="nil"/>
            </w:tcBorders>
          </w:tcPr>
          <w:p w:rsidR="008F63D2" w:rsidRDefault="008F63D2" w:rsidP="006B172D">
            <w:pPr>
              <w:pStyle w:val="NoSpacing"/>
            </w:pPr>
          </w:p>
        </w:tc>
        <w:tc>
          <w:tcPr>
            <w:tcW w:w="1084" w:type="dxa"/>
          </w:tcPr>
          <w:p w:rsidR="008F63D2" w:rsidRDefault="002869F1" w:rsidP="006B172D">
            <w:pPr>
              <w:pStyle w:val="NoSpacing"/>
              <w:jc w:val="center"/>
            </w:pPr>
            <w:r>
              <w:t>May</w:t>
            </w:r>
          </w:p>
        </w:tc>
        <w:tc>
          <w:tcPr>
            <w:tcW w:w="944" w:type="dxa"/>
          </w:tcPr>
          <w:p w:rsidR="008F63D2" w:rsidRDefault="002869F1" w:rsidP="006B172D">
            <w:pPr>
              <w:pStyle w:val="NoSpacing"/>
              <w:jc w:val="right"/>
            </w:pPr>
            <w:r>
              <w:t>9.5%</w:t>
            </w:r>
          </w:p>
        </w:tc>
        <w:tc>
          <w:tcPr>
            <w:tcW w:w="944" w:type="dxa"/>
          </w:tcPr>
          <w:p w:rsidR="008F63D2" w:rsidRDefault="002869F1" w:rsidP="006B172D">
            <w:pPr>
              <w:pStyle w:val="NoSpacing"/>
              <w:jc w:val="right"/>
            </w:pPr>
            <w:r>
              <w:t>9.4%</w:t>
            </w:r>
          </w:p>
        </w:tc>
      </w:tr>
      <w:tr w:rsidR="006B172D" w:rsidTr="006B172D">
        <w:tc>
          <w:tcPr>
            <w:tcW w:w="6350" w:type="dxa"/>
          </w:tcPr>
          <w:p w:rsidR="006B172D" w:rsidRPr="0055496A" w:rsidRDefault="008F63D2" w:rsidP="006B172D">
            <w:r w:rsidRPr="004B1694">
              <w:t>Category A resu</w:t>
            </w:r>
            <w:r>
              <w:t xml:space="preserve">lting in an emergency response </w:t>
            </w:r>
            <w:r w:rsidRPr="004B1694">
              <w:t>within 19 minutes</w:t>
            </w:r>
            <w:r w:rsidRPr="0055496A">
              <w:t xml:space="preserve"> </w:t>
            </w:r>
          </w:p>
        </w:tc>
        <w:tc>
          <w:tcPr>
            <w:tcW w:w="1084" w:type="dxa"/>
          </w:tcPr>
          <w:p w:rsidR="006B172D" w:rsidRDefault="002869F1" w:rsidP="006B172D">
            <w:pPr>
              <w:pStyle w:val="NoSpacing"/>
              <w:jc w:val="center"/>
            </w:pPr>
            <w:r>
              <w:t>Jun</w:t>
            </w:r>
          </w:p>
        </w:tc>
        <w:tc>
          <w:tcPr>
            <w:tcW w:w="944" w:type="dxa"/>
          </w:tcPr>
          <w:p w:rsidR="006B172D" w:rsidRPr="006C7BD3" w:rsidRDefault="006B172D" w:rsidP="002869F1">
            <w:pPr>
              <w:pStyle w:val="NoSpacing"/>
              <w:jc w:val="right"/>
            </w:pPr>
            <w:r>
              <w:t>9</w:t>
            </w:r>
            <w:r w:rsidR="002869F1">
              <w:t>1.1</w:t>
            </w:r>
            <w:r w:rsidRPr="006C7BD3">
              <w:t>%</w:t>
            </w:r>
          </w:p>
        </w:tc>
        <w:tc>
          <w:tcPr>
            <w:tcW w:w="944" w:type="dxa"/>
          </w:tcPr>
          <w:p w:rsidR="006B172D" w:rsidRDefault="002869F1" w:rsidP="002869F1">
            <w:pPr>
              <w:pStyle w:val="NoSpacing"/>
              <w:jc w:val="right"/>
            </w:pPr>
            <w:r>
              <w:t>91</w:t>
            </w:r>
            <w:r w:rsidR="006B172D">
              <w:t>.0</w:t>
            </w:r>
            <w:r w:rsidR="006B172D" w:rsidRPr="006C7BD3">
              <w:t>%</w:t>
            </w:r>
          </w:p>
        </w:tc>
      </w:tr>
    </w:tbl>
    <w:p w:rsidR="006B172D" w:rsidRDefault="006B172D" w:rsidP="00B02388"/>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251C67">
        <w:t>June</w:t>
      </w:r>
      <w:r w:rsidR="00B703E2">
        <w:t xml:space="preserve"> 2016</w:t>
      </w:r>
      <w:r w:rsidR="00752540">
        <w:t>,</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9317A9">
        <w:t>29</w:t>
      </w:r>
      <w:r w:rsidR="00251C67">
        <w:t>3</w:t>
      </w:r>
      <w:r w:rsidR="00AF1A19" w:rsidRPr="00EC03AC">
        <w:t xml:space="preserve"> </w:t>
      </w:r>
      <w:r w:rsidRPr="00EC03AC">
        <w:t xml:space="preserve">such </w:t>
      </w:r>
      <w:r w:rsidR="0032599C" w:rsidRPr="00EC03AC">
        <w:t xml:space="preserve">patients. Of these, </w:t>
      </w:r>
      <w:r w:rsidR="00251C67">
        <w:t>681</w:t>
      </w:r>
      <w:r w:rsidR="00AC1EF7" w:rsidRPr="00EC03AC">
        <w:t xml:space="preserve"> </w:t>
      </w:r>
      <w:r w:rsidR="0032599C" w:rsidRPr="00EC03AC">
        <w:t>(</w:t>
      </w:r>
      <w:r w:rsidR="00A03F51">
        <w:t>29.</w:t>
      </w:r>
      <w:r w:rsidR="00251C67">
        <w:t>7</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w:t>
      </w:r>
      <w:r w:rsidR="00251C67">
        <w:t>1</w:t>
      </w:r>
      <w:r w:rsidR="00EC03AC" w:rsidRPr="00EC03AC">
        <w:t>5</w:t>
      </w:r>
      <w:r w:rsidR="00C814F1" w:rsidRPr="00EC03AC">
        <w:t>)</w:t>
      </w:r>
      <w:r w:rsidR="00E41E8F" w:rsidRPr="00EC03AC">
        <w:t xml:space="preserve">, </w:t>
      </w:r>
      <w:r w:rsidR="00752540">
        <w:t>above</w:t>
      </w:r>
      <w:r w:rsidR="0083071A" w:rsidRPr="00EC03AC">
        <w:t xml:space="preserve"> the</w:t>
      </w:r>
      <w:r w:rsidR="008C4A29">
        <w:t xml:space="preserve"> England</w:t>
      </w:r>
      <w:r w:rsidR="00BA610C" w:rsidRPr="00EC03AC">
        <w:t xml:space="preserve"> </w:t>
      </w:r>
      <w:r w:rsidR="0032599C" w:rsidRPr="00EC03AC">
        <w:t xml:space="preserve">average for </w:t>
      </w:r>
      <w:r w:rsidR="00845D8F" w:rsidRPr="00EC03AC">
        <w:t>201</w:t>
      </w:r>
      <w:r w:rsidR="00E023B6">
        <w:t>5</w:t>
      </w:r>
      <w:r w:rsidR="00845D8F" w:rsidRPr="00EC03AC">
        <w:t>-1</w:t>
      </w:r>
      <w:r w:rsidR="00E023B6">
        <w:t>6</w:t>
      </w:r>
      <w:r w:rsidR="0032599C" w:rsidRPr="00EC03AC">
        <w:t xml:space="preserve"> </w:t>
      </w:r>
      <w:r w:rsidR="00BA610C" w:rsidRPr="00EC03AC">
        <w:t xml:space="preserve">of </w:t>
      </w:r>
      <w:r w:rsidR="00D4605E" w:rsidRPr="00EC03AC">
        <w:t>27</w:t>
      </w:r>
      <w:r w:rsidR="0083071A" w:rsidRPr="00EC03AC">
        <w:t>.</w:t>
      </w:r>
      <w:r w:rsidR="00A03F51">
        <w:t>8</w:t>
      </w:r>
      <w:r w:rsidR="0032599C" w:rsidRPr="00EC03AC">
        <w:t>%.</w:t>
      </w:r>
      <w:r w:rsidR="00752540">
        <w:t xml:space="preserve"> </w:t>
      </w:r>
      <w:r w:rsidR="008F7386" w:rsidRPr="002368DF">
        <w:t>The largest</w:t>
      </w:r>
      <w:r w:rsidR="00C570ED" w:rsidRPr="002368DF">
        <w:t xml:space="preserve"> proportion in </w:t>
      </w:r>
      <w:r w:rsidR="00251C67">
        <w:t>June</w:t>
      </w:r>
      <w:r w:rsidR="00B703E2">
        <w:t xml:space="preserve"> 2016</w:t>
      </w:r>
      <w:r w:rsidR="00CF061B" w:rsidRPr="002368DF">
        <w:t xml:space="preserve"> was </w:t>
      </w:r>
      <w:r w:rsidR="00315AC6">
        <w:t>34.0</w:t>
      </w:r>
      <w:r w:rsidR="005F29B1" w:rsidRPr="002368DF">
        <w:t>% for</w:t>
      </w:r>
      <w:r w:rsidR="009D2C79" w:rsidRPr="002368DF">
        <w:t xml:space="preserve"> </w:t>
      </w:r>
      <w:r w:rsidR="00315AC6">
        <w:t>North West</w:t>
      </w:r>
      <w:r w:rsidR="004D6E3F" w:rsidRPr="002368DF">
        <w:t>.</w:t>
      </w:r>
      <w:r w:rsidR="00C73251" w:rsidRPr="002368DF">
        <w:t xml:space="preserve"> </w:t>
      </w:r>
      <w:r w:rsidR="00AF2CDC" w:rsidRPr="002368DF">
        <w:t xml:space="preserve">The smallest proportion </w:t>
      </w:r>
      <w:r w:rsidR="00C71CE3" w:rsidRPr="002368DF">
        <w:t xml:space="preserve">reported </w:t>
      </w:r>
      <w:r w:rsidR="00AF2CDC" w:rsidRPr="002368DF">
        <w:t>was</w:t>
      </w:r>
      <w:r w:rsidR="002368DF" w:rsidRPr="002368DF">
        <w:t xml:space="preserve"> </w:t>
      </w:r>
      <w:r w:rsidR="008C4A29">
        <w:t>21</w:t>
      </w:r>
      <w:r w:rsidR="00A03F51">
        <w:t>.</w:t>
      </w:r>
      <w:r w:rsidR="00315AC6">
        <w:t>2</w:t>
      </w:r>
      <w:r w:rsidR="00AF2CDC" w:rsidRPr="002368DF">
        <w:t xml:space="preserve">% for </w:t>
      </w:r>
      <w:r w:rsidR="00315AC6">
        <w:t>South Central</w:t>
      </w:r>
      <w:r w:rsidR="00315AC6">
        <w:rPr>
          <w:rStyle w:val="FootnoteReference"/>
        </w:rPr>
        <w:footnoteReference w:id="11"/>
      </w:r>
      <w:r w:rsidR="006154B4" w:rsidRPr="002368DF">
        <w:rPr>
          <w:rFonts w:cs="Arial"/>
        </w:rPr>
        <w:t>.</w:t>
      </w:r>
    </w:p>
    <w:p w:rsidR="00F36218" w:rsidRPr="002368DF" w:rsidRDefault="003A0D0C" w:rsidP="003A0D0C">
      <w:pPr>
        <w:rPr>
          <w:rFonts w:cs="Arial"/>
        </w:rPr>
      </w:pPr>
      <w:r w:rsidRPr="002368DF">
        <w:lastRenderedPageBreak/>
        <w:t>The Utstein group</w:t>
      </w:r>
      <w:r w:rsidR="007E28DC" w:rsidRPr="002368DF">
        <w:rPr>
          <w:rStyle w:val="FootnoteReference"/>
        </w:rPr>
        <w:footnoteReference w:id="12"/>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315AC6">
        <w:rPr>
          <w:rFonts w:cs="Arial"/>
        </w:rPr>
        <w:t>340</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E30D52">
        <w:t>,</w:t>
      </w:r>
      <w:r w:rsidR="0032599C" w:rsidRPr="002368DF">
        <w:rPr>
          <w:rFonts w:cs="Arial"/>
        </w:rPr>
        <w:t xml:space="preserve"> in</w:t>
      </w:r>
      <w:r w:rsidR="00C570ED" w:rsidRPr="002368DF">
        <w:rPr>
          <w:rFonts w:cs="Arial"/>
        </w:rPr>
        <w:t xml:space="preserve"> </w:t>
      </w:r>
      <w:r w:rsidR="00251C67">
        <w:rPr>
          <w:rFonts w:cs="Arial"/>
        </w:rPr>
        <w:t>June</w:t>
      </w:r>
      <w:r w:rsidR="00B703E2">
        <w:rPr>
          <w:rFonts w:cs="Arial"/>
        </w:rPr>
        <w:t xml:space="preserve"> 2016</w:t>
      </w:r>
      <w:r w:rsidR="0032599C" w:rsidRPr="002368DF">
        <w:rPr>
          <w:rFonts w:cs="Arial"/>
        </w:rPr>
        <w:t xml:space="preserve">, </w:t>
      </w:r>
      <w:r w:rsidRPr="002368DF">
        <w:rPr>
          <w:rFonts w:cs="Arial"/>
        </w:rPr>
        <w:t xml:space="preserve">of which </w:t>
      </w:r>
      <w:r w:rsidR="00315AC6">
        <w:rPr>
          <w:rFonts w:cs="Arial"/>
        </w:rPr>
        <w:t>177</w:t>
      </w:r>
      <w:r w:rsidRPr="002368DF">
        <w:rPr>
          <w:rFonts w:cs="Arial"/>
        </w:rPr>
        <w:t xml:space="preserve"> (</w:t>
      </w:r>
      <w:r w:rsidR="00315AC6">
        <w:rPr>
          <w:rFonts w:cs="Arial"/>
        </w:rPr>
        <w:t>52.1</w:t>
      </w:r>
      <w:r w:rsidR="0032599C" w:rsidRPr="002368DF">
        <w:rPr>
          <w:rFonts w:cs="Arial"/>
        </w:rPr>
        <w:t>%</w:t>
      </w:r>
      <w:r w:rsidRPr="002368DF">
        <w:rPr>
          <w:rFonts w:cs="Arial"/>
        </w:rPr>
        <w:t>)</w:t>
      </w:r>
      <w:r w:rsidR="0032599C" w:rsidRPr="002368DF">
        <w:rPr>
          <w:rFonts w:cs="Arial"/>
        </w:rPr>
        <w:t xml:space="preserve"> had ROSC on arrival at hospital</w:t>
      </w:r>
      <w:r w:rsidR="002368DF" w:rsidRPr="002368DF">
        <w:rPr>
          <w:rFonts w:cs="Arial"/>
        </w:rPr>
        <w:t xml:space="preserve"> (Figure </w:t>
      </w:r>
      <w:r w:rsidR="00315AC6">
        <w:rPr>
          <w:rFonts w:cs="Arial"/>
        </w:rPr>
        <w:t>1</w:t>
      </w:r>
      <w:r w:rsidR="002368DF" w:rsidRPr="002368DF">
        <w:rPr>
          <w:rFonts w:cs="Arial"/>
        </w:rPr>
        <w:t>5</w:t>
      </w:r>
      <w:r w:rsidR="00C814F1" w:rsidRPr="002368DF">
        <w:rPr>
          <w:rFonts w:cs="Arial"/>
        </w:rPr>
        <w:t>)</w:t>
      </w:r>
      <w:r w:rsidR="00E023B6">
        <w:rPr>
          <w:rFonts w:cs="Arial"/>
        </w:rPr>
        <w:t xml:space="preserve">, above the </w:t>
      </w:r>
      <w:r w:rsidR="0032599C" w:rsidRPr="002368DF">
        <w:rPr>
          <w:rFonts w:cs="Arial"/>
        </w:rPr>
        <w:t xml:space="preserve">average </w:t>
      </w:r>
      <w:r w:rsidR="00A03F51">
        <w:rPr>
          <w:rFonts w:cs="Arial"/>
        </w:rPr>
        <w:t xml:space="preserve">for 2015-16 </w:t>
      </w:r>
      <w:r w:rsidR="00DA4BA4" w:rsidRPr="002368DF">
        <w:rPr>
          <w:rFonts w:cs="Arial"/>
        </w:rPr>
        <w:t xml:space="preserve">of </w:t>
      </w:r>
      <w:r w:rsidR="002108EC">
        <w:rPr>
          <w:rFonts w:cs="Arial"/>
        </w:rPr>
        <w:t>50.5</w:t>
      </w:r>
      <w:r w:rsidR="00DA4BA4" w:rsidRPr="002368DF">
        <w:rPr>
          <w:rFonts w:cs="Arial"/>
        </w:rPr>
        <w:t>%</w:t>
      </w:r>
      <w:r w:rsidR="0032599C" w:rsidRPr="002368DF">
        <w:rPr>
          <w:rFonts w:cs="Arial"/>
        </w:rPr>
        <w:t>.</w:t>
      </w:r>
      <w:r w:rsidR="00CF061B" w:rsidRPr="002368DF">
        <w:rPr>
          <w:rFonts w:cs="Arial"/>
        </w:rPr>
        <w:t xml:space="preserve"> </w:t>
      </w:r>
      <w:r w:rsidR="00BE0BD9" w:rsidRPr="002368DF">
        <w:rPr>
          <w:rFonts w:cs="Arial"/>
        </w:rPr>
        <w:t>The lar</w:t>
      </w:r>
      <w:r w:rsidR="00E30D52">
        <w:rPr>
          <w:rFonts w:cs="Arial"/>
        </w:rPr>
        <w:t xml:space="preserve">gest proportion in the </w:t>
      </w:r>
      <w:r w:rsidR="00251C67">
        <w:rPr>
          <w:rFonts w:cs="Arial"/>
        </w:rPr>
        <w:t>June</w:t>
      </w:r>
      <w:r w:rsidR="00B703E2">
        <w:rPr>
          <w:rFonts w:cs="Arial"/>
        </w:rPr>
        <w:t xml:space="preserve"> 2016</w:t>
      </w:r>
      <w:r w:rsidR="008E41D7" w:rsidRPr="002368DF">
        <w:rPr>
          <w:rFonts w:cs="Arial"/>
        </w:rPr>
        <w:t xml:space="preserve"> was</w:t>
      </w:r>
      <w:r w:rsidR="00AA3478" w:rsidRPr="002368DF">
        <w:rPr>
          <w:rFonts w:cs="Arial"/>
        </w:rPr>
        <w:t xml:space="preserve"> reported in</w:t>
      </w:r>
      <w:r w:rsidR="008E41D7" w:rsidRPr="002368DF">
        <w:rPr>
          <w:rFonts w:cs="Arial"/>
        </w:rPr>
        <w:t xml:space="preserve"> </w:t>
      </w:r>
      <w:r w:rsidR="00315AC6">
        <w:rPr>
          <w:rFonts w:cs="Arial"/>
        </w:rPr>
        <w:t>West Midlands</w:t>
      </w:r>
      <w:r w:rsidR="00D04006">
        <w:rPr>
          <w:rFonts w:cs="Arial"/>
        </w:rPr>
        <w:t xml:space="preserve"> </w:t>
      </w:r>
      <w:r w:rsidR="002368DF" w:rsidRPr="002368DF">
        <w:rPr>
          <w:rFonts w:cs="Arial"/>
        </w:rPr>
        <w:t xml:space="preserve">with </w:t>
      </w:r>
      <w:r w:rsidR="00315AC6">
        <w:rPr>
          <w:rFonts w:cs="Arial"/>
        </w:rPr>
        <w:t>64.7</w:t>
      </w:r>
      <w:r w:rsidR="00D04006">
        <w:rPr>
          <w:rFonts w:cs="Arial"/>
        </w:rPr>
        <w:t xml:space="preserve">% </w:t>
      </w:r>
      <w:r w:rsidR="00922AD2" w:rsidRPr="002368DF">
        <w:rPr>
          <w:rFonts w:cs="Arial"/>
        </w:rPr>
        <w:t>and t</w:t>
      </w:r>
      <w:r w:rsidR="00522906" w:rsidRPr="002368DF">
        <w:rPr>
          <w:rFonts w:cs="Arial"/>
        </w:rPr>
        <w:t xml:space="preserve">he </w:t>
      </w:r>
      <w:r w:rsidR="00E30D52">
        <w:rPr>
          <w:rFonts w:cs="Arial"/>
        </w:rPr>
        <w:t xml:space="preserve">smallest </w:t>
      </w:r>
      <w:r w:rsidR="00BE0BD9" w:rsidRPr="002368DF">
        <w:rPr>
          <w:rFonts w:cs="Arial"/>
        </w:rPr>
        <w:t xml:space="preserve">was </w:t>
      </w:r>
      <w:r w:rsidR="00315AC6">
        <w:rPr>
          <w:rFonts w:cs="Arial"/>
        </w:rPr>
        <w:t>25.0</w:t>
      </w:r>
      <w:r w:rsidR="002368DF" w:rsidRPr="002368DF">
        <w:rPr>
          <w:rFonts w:cs="Arial"/>
        </w:rPr>
        <w:t>% in</w:t>
      </w:r>
      <w:r w:rsidR="00AA3478" w:rsidRPr="002368DF">
        <w:rPr>
          <w:rFonts w:cs="Arial"/>
        </w:rPr>
        <w:t xml:space="preserve"> </w:t>
      </w:r>
      <w:r w:rsidR="00315AC6">
        <w:rPr>
          <w:rFonts w:cs="Arial"/>
        </w:rPr>
        <w:t>South Central</w:t>
      </w:r>
      <w:r w:rsidR="00446F33">
        <w:rPr>
          <w:rStyle w:val="FootnoteReference"/>
        </w:rPr>
        <w:footnoteReference w:id="13"/>
      </w:r>
      <w:r w:rsidR="00BB12B3" w:rsidRPr="00C62E09">
        <w:t>.</w:t>
      </w:r>
    </w:p>
    <w:p w:rsidR="002368DF" w:rsidRPr="003A740D" w:rsidRDefault="00315AC6" w:rsidP="0032599C">
      <w:pPr>
        <w:rPr>
          <w:rFonts w:cs="Arial"/>
          <w:highlight w:val="yellow"/>
        </w:rPr>
      </w:pPr>
      <w:r>
        <w:rPr>
          <w:rFonts w:cs="Arial"/>
          <w:noProof/>
        </w:rPr>
        <w:drawing>
          <wp:inline distT="0" distB="0" distL="0" distR="0">
            <wp:extent cx="5652770" cy="35388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2770" cy="3538855"/>
                    </a:xfrm>
                    <a:prstGeom prst="rect">
                      <a:avLst/>
                    </a:prstGeom>
                    <a:noFill/>
                    <a:ln>
                      <a:noFill/>
                    </a:ln>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w:t>
      </w:r>
      <w:r w:rsidR="00D55FE3">
        <w:t xml:space="preserve"> </w:t>
      </w:r>
      <w:r w:rsidR="00315AC6">
        <w:t>9.3</w:t>
      </w:r>
      <w:r w:rsidR="002929F3" w:rsidRPr="00C62E09">
        <w:t xml:space="preserve">% in </w:t>
      </w:r>
      <w:r w:rsidR="00251C67">
        <w:t>June</w:t>
      </w:r>
      <w:r w:rsidR="00B703E2">
        <w:t xml:space="preserve"> 2016</w:t>
      </w:r>
      <w:r w:rsidR="002368DF" w:rsidRPr="00C62E09">
        <w:t xml:space="preserve"> (Figure </w:t>
      </w:r>
      <w:r w:rsidR="00315AC6">
        <w:t>1</w:t>
      </w:r>
      <w:r w:rsidR="002368DF" w:rsidRPr="00C62E09">
        <w:t>6)</w:t>
      </w:r>
      <w:r w:rsidRPr="00C62E09">
        <w:t xml:space="preserve">, </w:t>
      </w:r>
      <w:r w:rsidR="00446F33">
        <w:t>slightly above</w:t>
      </w:r>
      <w:r w:rsidR="00C62E09">
        <w:t xml:space="preserve"> </w:t>
      </w:r>
      <w:r w:rsidR="00C62E09" w:rsidRPr="00C62E09">
        <w:t>th</w:t>
      </w:r>
      <w:r w:rsidR="00C52730" w:rsidRPr="00C62E09">
        <w:t xml:space="preserve">e </w:t>
      </w:r>
      <w:r w:rsidRPr="00C62E09">
        <w:t>average for 201</w:t>
      </w:r>
      <w:r w:rsidR="00F33BD7">
        <w:t>5</w:t>
      </w:r>
      <w:r w:rsidRPr="00C62E09">
        <w:t>-1</w:t>
      </w:r>
      <w:r w:rsidR="00F33BD7">
        <w:t>6</w:t>
      </w:r>
      <w:r w:rsidRPr="00C62E09">
        <w:t xml:space="preserve"> of </w:t>
      </w:r>
      <w:r w:rsidR="00107C32" w:rsidRPr="00C62E09">
        <w:t>8.</w:t>
      </w:r>
      <w:r w:rsidR="00D04006">
        <w:t>3</w:t>
      </w:r>
      <w:r w:rsidRPr="00C62E09">
        <w:t xml:space="preserve">%. The largest proportion </w:t>
      </w:r>
      <w:r w:rsidR="00C52730" w:rsidRPr="00C62E09">
        <w:t xml:space="preserve">in </w:t>
      </w:r>
      <w:r w:rsidR="00251C67">
        <w:t>June</w:t>
      </w:r>
      <w:r w:rsidR="00B703E2">
        <w:t xml:space="preserve"> 2016</w:t>
      </w:r>
      <w:r w:rsidR="00C73251" w:rsidRPr="00C62E09">
        <w:t xml:space="preserve"> </w:t>
      </w:r>
      <w:r w:rsidRPr="00C62E09">
        <w:t xml:space="preserve">was </w:t>
      </w:r>
      <w:r w:rsidR="000E6163">
        <w:t>12.</w:t>
      </w:r>
      <w:r w:rsidR="00315AC6">
        <w:t>8</w:t>
      </w:r>
      <w:r w:rsidR="00C73251" w:rsidRPr="00C62E09">
        <w:t xml:space="preserve">% for </w:t>
      </w:r>
      <w:r w:rsidR="00315AC6">
        <w:t>East of England</w:t>
      </w:r>
      <w:r w:rsidR="00BB12B3" w:rsidRPr="00C62E09">
        <w:t>;</w:t>
      </w:r>
      <w:r w:rsidRPr="00C62E09">
        <w:t xml:space="preserve"> </w:t>
      </w:r>
      <w:r w:rsidR="00C73251" w:rsidRPr="00C62E09">
        <w:t>the smallest</w:t>
      </w:r>
      <w:r w:rsidR="00C62E09" w:rsidRPr="00C62E09">
        <w:t xml:space="preserve"> was </w:t>
      </w:r>
      <w:r w:rsidR="00446F33">
        <w:t>5.</w:t>
      </w:r>
      <w:r w:rsidR="001E4A7F">
        <w:t>8</w:t>
      </w:r>
      <w:r w:rsidR="009D46E5" w:rsidRPr="00C62E09">
        <w:t>% for</w:t>
      </w:r>
      <w:r w:rsidR="00C62E09" w:rsidRPr="00C62E09">
        <w:t xml:space="preserve"> </w:t>
      </w:r>
      <w:r w:rsidR="001E4A7F">
        <w:t>North East</w:t>
      </w:r>
      <w:r w:rsidR="001E4A7F" w:rsidRPr="00446F33">
        <w:rPr>
          <w:vertAlign w:val="superscript"/>
        </w:rPr>
        <w:t>13</w:t>
      </w:r>
      <w:r w:rsidR="00C73251" w:rsidRPr="00C62E09">
        <w:t>.</w:t>
      </w:r>
    </w:p>
    <w:p w:rsidR="00C73251" w:rsidRPr="003A740D" w:rsidRDefault="00C73251" w:rsidP="00C73251">
      <w:pPr>
        <w:rPr>
          <w:highlight w:val="yellow"/>
        </w:rPr>
      </w:pPr>
      <w:r w:rsidRPr="00C62E09">
        <w:t>For the Utstein gro</w:t>
      </w:r>
      <w:r w:rsidR="00717328" w:rsidRPr="00C62E09">
        <w:t>u</w:t>
      </w:r>
      <w:r w:rsidR="00873A1E" w:rsidRPr="00C62E09">
        <w:t>p,</w:t>
      </w:r>
      <w:r w:rsidR="0031580B" w:rsidRPr="00C62E09">
        <w:t xml:space="preserve"> su</w:t>
      </w:r>
      <w:r w:rsidR="009D46E5" w:rsidRPr="00C62E09">
        <w:t xml:space="preserve">rvival to discharge in </w:t>
      </w:r>
      <w:r w:rsidR="00251C67">
        <w:t>June</w:t>
      </w:r>
      <w:r w:rsidR="00B703E2">
        <w:t xml:space="preserve"> 2016</w:t>
      </w:r>
      <w:r w:rsidR="00C62E09" w:rsidRPr="00C62E09">
        <w:t xml:space="preserve"> was </w:t>
      </w:r>
      <w:r w:rsidR="001E4A7F">
        <w:t>25.5</w:t>
      </w:r>
      <w:r w:rsidRPr="00C62E09">
        <w:t>%</w:t>
      </w:r>
      <w:r w:rsidR="00535F16">
        <w:t>,</w:t>
      </w:r>
      <w:r w:rsidR="00C62E09" w:rsidRPr="00C62E09">
        <w:t xml:space="preserve"> </w:t>
      </w:r>
      <w:r w:rsidR="009D46E5" w:rsidRPr="00C62E09">
        <w:t>lowe</w:t>
      </w:r>
      <w:r w:rsidR="000E66BF" w:rsidRPr="00C62E09">
        <w:t>r than</w:t>
      </w:r>
      <w:r w:rsidR="0083071A" w:rsidRPr="00C62E09">
        <w:t xml:space="preserve"> </w:t>
      </w:r>
      <w:r w:rsidR="002929F3" w:rsidRPr="00C62E09">
        <w:t xml:space="preserve">the </w:t>
      </w:r>
      <w:r w:rsidRPr="00C62E09">
        <w:t xml:space="preserve">average </w:t>
      </w:r>
      <w:r w:rsidR="006154B4" w:rsidRPr="00C62E09">
        <w:t>for 201</w:t>
      </w:r>
      <w:r w:rsidR="00020F43">
        <w:t>5</w:t>
      </w:r>
      <w:r w:rsidR="006154B4" w:rsidRPr="00C62E09">
        <w:t>-1</w:t>
      </w:r>
      <w:r w:rsidR="00020F43">
        <w:t>6</w:t>
      </w:r>
      <w:r w:rsidR="006154B4" w:rsidRPr="00C62E09">
        <w:t xml:space="preserve"> of </w:t>
      </w:r>
      <w:r w:rsidR="002108EC">
        <w:t>26.9</w:t>
      </w:r>
      <w:r w:rsidRPr="00C62E09">
        <w:t>%</w:t>
      </w:r>
      <w:r w:rsidR="00717328" w:rsidRPr="00C62E09">
        <w:t xml:space="preserve">. The </w:t>
      </w:r>
      <w:r w:rsidR="00C62E09" w:rsidRPr="00C62E09">
        <w:t xml:space="preserve">largest proportion was </w:t>
      </w:r>
      <w:r w:rsidR="001E4A7F">
        <w:t>37.0</w:t>
      </w:r>
      <w:r w:rsidRPr="00C62E09">
        <w:t xml:space="preserve">% </w:t>
      </w:r>
      <w:r w:rsidR="00020F43">
        <w:t xml:space="preserve">for </w:t>
      </w:r>
      <w:r w:rsidR="00D04006">
        <w:t xml:space="preserve">North </w:t>
      </w:r>
      <w:r w:rsidR="001E4A7F">
        <w:t>Wes</w:t>
      </w:r>
      <w:r w:rsidR="00D04006">
        <w:t>t</w:t>
      </w:r>
      <w:r w:rsidR="004D43B9">
        <w:t xml:space="preserve">; </w:t>
      </w:r>
      <w:r w:rsidRPr="00C62E09">
        <w:t>the smallest</w:t>
      </w:r>
      <w:r w:rsidR="009C067D">
        <w:t xml:space="preserve"> was </w:t>
      </w:r>
      <w:r w:rsidR="001E4A7F">
        <w:t>13.6</w:t>
      </w:r>
      <w:r w:rsidR="00873A1E" w:rsidRPr="00C62E09">
        <w:t>% for</w:t>
      </w:r>
      <w:r w:rsidR="000E66BF" w:rsidRPr="00C62E09">
        <w:t xml:space="preserve"> </w:t>
      </w:r>
      <w:r w:rsidR="001E4A7F">
        <w:t>South Central</w:t>
      </w:r>
      <w:r w:rsidR="000D3E20" w:rsidRPr="00446F33">
        <w:rPr>
          <w:vertAlign w:val="superscript"/>
        </w:rPr>
        <w:t>13</w:t>
      </w:r>
      <w:r w:rsidRPr="00C62E09">
        <w:t>.</w:t>
      </w:r>
    </w:p>
    <w:p w:rsidR="00E6125B" w:rsidRPr="003A740D" w:rsidRDefault="001E4A7F" w:rsidP="0032599C">
      <w:pPr>
        <w:rPr>
          <w:highlight w:val="yellow"/>
        </w:rPr>
      </w:pPr>
      <w:r>
        <w:rPr>
          <w:noProof/>
        </w:rPr>
        <w:lastRenderedPageBreak/>
        <w:drawing>
          <wp:inline distT="0" distB="0" distL="0" distR="0">
            <wp:extent cx="5652770" cy="286194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2770" cy="2861945"/>
                    </a:xfrm>
                    <a:prstGeom prst="rect">
                      <a:avLst/>
                    </a:prstGeom>
                    <a:noFill/>
                    <a:ln>
                      <a:noFill/>
                    </a:ln>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1A4EE0" w:rsidP="00104812">
      <w:pPr>
        <w:rPr>
          <w:highlight w:val="yellow"/>
        </w:rPr>
      </w:pPr>
      <w:r>
        <w:t>897</w:t>
      </w:r>
      <w:r w:rsidR="00B04C7D">
        <w:t xml:space="preserve"> </w:t>
      </w:r>
      <w:r w:rsidR="00097D78" w:rsidRPr="00EF56B7">
        <w:t>STEMI patients</w:t>
      </w:r>
      <w:r w:rsidR="00104812" w:rsidRPr="00EF56B7">
        <w:t xml:space="preserve"> received primary angioplasty in </w:t>
      </w:r>
      <w:r w:rsidR="00251C67">
        <w:t>June</w:t>
      </w:r>
      <w:r w:rsidR="00B703E2">
        <w:t xml:space="preserve"> 2016</w:t>
      </w:r>
      <w:r w:rsidR="00B62376">
        <w:t>,</w:t>
      </w:r>
      <w:r w:rsidR="00104812" w:rsidRPr="00EF56B7">
        <w:t xml:space="preserve"> in England</w:t>
      </w:r>
      <w:r w:rsidR="00EF56B7" w:rsidRPr="00EF56B7">
        <w:t xml:space="preserve">. Of these </w:t>
      </w:r>
      <w:r>
        <w:t>897</w:t>
      </w:r>
      <w:r w:rsidR="002929F3" w:rsidRPr="00EF56B7">
        <w:t xml:space="preserve"> </w:t>
      </w:r>
      <w:r w:rsidR="00097D78" w:rsidRPr="00EF56B7">
        <w:t>patients</w:t>
      </w:r>
      <w:r w:rsidR="00104812" w:rsidRPr="00EF56B7">
        <w:t xml:space="preserve">, </w:t>
      </w:r>
      <w:r>
        <w:t>782</w:t>
      </w:r>
      <w:r w:rsidR="00104812" w:rsidRPr="00EF56B7">
        <w:t xml:space="preserve"> (</w:t>
      </w:r>
      <w:r>
        <w:t>87.2</w:t>
      </w:r>
      <w:r w:rsidR="00104812" w:rsidRPr="00EF56B7">
        <w:t xml:space="preserve">%) of them received it within 150 minutes of the call being connected to the ambulance service (Figure </w:t>
      </w:r>
      <w:r>
        <w:t>1</w:t>
      </w:r>
      <w:r w:rsidR="00EF56B7" w:rsidRPr="00EF56B7">
        <w:t>7</w:t>
      </w:r>
      <w:r w:rsidR="00ED39A0" w:rsidRPr="00EF56B7">
        <w:t xml:space="preserve">), </w:t>
      </w:r>
      <w:r w:rsidR="00DF12E5">
        <w:t>above</w:t>
      </w:r>
      <w:r w:rsidR="00B62376">
        <w:t xml:space="preserve"> </w:t>
      </w:r>
      <w:r w:rsidR="00104812" w:rsidRPr="00EF56B7">
        <w:t xml:space="preserve">the </w:t>
      </w:r>
      <w:r w:rsidR="002929F3" w:rsidRPr="00EF56B7">
        <w:t>average for 201</w:t>
      </w:r>
      <w:r w:rsidR="00ED2A07">
        <w:t>5</w:t>
      </w:r>
      <w:r w:rsidR="002929F3" w:rsidRPr="00EF56B7">
        <w:t>-1</w:t>
      </w:r>
      <w:r w:rsidR="00ED2A07">
        <w:t>6</w:t>
      </w:r>
      <w:r w:rsidR="00B62376">
        <w:t xml:space="preserve"> of 87.</w:t>
      </w:r>
      <w:r w:rsidR="00B04C7D">
        <w:t>0</w:t>
      </w:r>
      <w:r w:rsidR="00B62376">
        <w:t>%</w:t>
      </w:r>
      <w:r w:rsidR="00ED39A0" w:rsidRPr="00EF56B7">
        <w:t xml:space="preserve">. </w:t>
      </w:r>
      <w:r w:rsidR="00ED39A0" w:rsidRPr="002C256A">
        <w:t>T</w:t>
      </w:r>
      <w:r w:rsidR="00E125FC" w:rsidRPr="002C256A">
        <w:t xml:space="preserve">he largest proportion </w:t>
      </w:r>
      <w:r w:rsidR="00B04C7D">
        <w:t>in</w:t>
      </w:r>
      <w:r w:rsidR="009D46E5" w:rsidRPr="002C256A">
        <w:t xml:space="preserve"> </w:t>
      </w:r>
      <w:r w:rsidR="00251C67">
        <w:t>June</w:t>
      </w:r>
      <w:r w:rsidR="00B703E2">
        <w:t xml:space="preserve"> 2016</w:t>
      </w:r>
      <w:r w:rsidR="00E125FC" w:rsidRPr="002C256A">
        <w:t xml:space="preserve"> was </w:t>
      </w:r>
      <w:r>
        <w:t>98.2</w:t>
      </w:r>
      <w:r w:rsidR="00E125FC" w:rsidRPr="002C256A">
        <w:t xml:space="preserve">% for </w:t>
      </w:r>
      <w:r w:rsidR="000D3E20">
        <w:t xml:space="preserve">North East </w:t>
      </w:r>
      <w:r w:rsidR="00E125FC" w:rsidRPr="002C256A">
        <w:t>and the smallest</w:t>
      </w:r>
      <w:r w:rsidR="008C3945" w:rsidRPr="002C256A">
        <w:t xml:space="preserve"> </w:t>
      </w:r>
      <w:r w:rsidR="00E125FC" w:rsidRPr="002C256A">
        <w:t>was</w:t>
      </w:r>
      <w:r w:rsidR="002C256A" w:rsidRPr="002C256A">
        <w:t xml:space="preserve"> </w:t>
      </w:r>
      <w:r>
        <w:t>65.5</w:t>
      </w:r>
      <w:r w:rsidR="00E125FC" w:rsidRPr="002C256A">
        <w:t xml:space="preserve">% for </w:t>
      </w:r>
      <w:r w:rsidR="000D3E20">
        <w:t>South Western</w:t>
      </w:r>
      <w:r w:rsidR="00E6125B" w:rsidRPr="002C256A">
        <w:t>.</w:t>
      </w:r>
    </w:p>
    <w:p w:rsidR="00D30055" w:rsidRPr="003A740D" w:rsidRDefault="001A4EE0" w:rsidP="00104812">
      <w:pPr>
        <w:rPr>
          <w:highlight w:val="yellow"/>
        </w:rPr>
      </w:pPr>
      <w:r>
        <w:rPr>
          <w:noProof/>
        </w:rPr>
        <w:drawing>
          <wp:inline distT="0" distB="0" distL="0" distR="0">
            <wp:extent cx="5617210" cy="293306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7210" cy="2933065"/>
                    </a:xfrm>
                    <a:prstGeom prst="rect">
                      <a:avLst/>
                    </a:prstGeom>
                    <a:noFill/>
                    <a:ln>
                      <a:noFill/>
                    </a:ln>
                  </pic:spPr>
                </pic:pic>
              </a:graphicData>
            </a:graphic>
          </wp:inline>
        </w:drawing>
      </w:r>
    </w:p>
    <w:p w:rsidR="00104812" w:rsidRPr="003A740D" w:rsidRDefault="009D46E5" w:rsidP="00104812">
      <w:pPr>
        <w:rPr>
          <w:highlight w:val="yellow"/>
        </w:rPr>
      </w:pPr>
      <w:r w:rsidRPr="002C256A">
        <w:lastRenderedPageBreak/>
        <w:t xml:space="preserve">In </w:t>
      </w:r>
      <w:r w:rsidR="00251C67">
        <w:t>June</w:t>
      </w:r>
      <w:r w:rsidR="00B703E2">
        <w:t xml:space="preserve"> 2016</w:t>
      </w:r>
      <w:r w:rsidR="00104812" w:rsidRPr="002C256A">
        <w:t xml:space="preserve">, of </w:t>
      </w:r>
      <w:r w:rsidR="00097D78" w:rsidRPr="002C256A">
        <w:t>1,</w:t>
      </w:r>
      <w:r w:rsidR="001A4EE0">
        <w:t>406</w:t>
      </w:r>
      <w:r w:rsidR="00B730BB" w:rsidRPr="002C256A">
        <w:t xml:space="preserve"> </w:t>
      </w:r>
      <w:r w:rsidR="00104812" w:rsidRPr="002C256A">
        <w:t xml:space="preserve">patients with an acute STEMI in England, </w:t>
      </w:r>
      <w:r w:rsidR="00B62376">
        <w:t>1,</w:t>
      </w:r>
      <w:r w:rsidR="001A4EE0">
        <w:t>081</w:t>
      </w:r>
      <w:r w:rsidR="00B855BA" w:rsidRPr="002C256A">
        <w:t xml:space="preserve"> </w:t>
      </w:r>
      <w:r w:rsidR="002C256A" w:rsidRPr="002C256A">
        <w:t>(</w:t>
      </w:r>
      <w:r w:rsidR="001A4EE0">
        <w:t>76.9</w:t>
      </w:r>
      <w:r w:rsidR="00104812" w:rsidRPr="002C256A">
        <w:t>%) received the appropriate care bundle</w:t>
      </w:r>
      <w:r w:rsidR="00104812" w:rsidRPr="002C256A">
        <w:rPr>
          <w:rStyle w:val="FootnoteReference"/>
        </w:rPr>
        <w:footnoteReference w:id="14"/>
      </w:r>
      <w:r w:rsidR="000D3E20">
        <w:t xml:space="preserve">, </w:t>
      </w:r>
      <w:r w:rsidR="002C0D06">
        <w:t>above</w:t>
      </w:r>
      <w:r w:rsidR="00B730BB" w:rsidRPr="002C256A">
        <w:t xml:space="preserve"> t</w:t>
      </w:r>
      <w:r w:rsidR="00104812" w:rsidRPr="002C256A">
        <w:t>he average for 201</w:t>
      </w:r>
      <w:r w:rsidR="002C0D06">
        <w:t>5</w:t>
      </w:r>
      <w:r w:rsidR="00104812" w:rsidRPr="002C256A">
        <w:t>-1</w:t>
      </w:r>
      <w:r w:rsidR="002C0D06">
        <w:t>6</w:t>
      </w:r>
      <w:r w:rsidR="00104812" w:rsidRPr="002C256A">
        <w:t xml:space="preserve"> of </w:t>
      </w:r>
      <w:r w:rsidR="002C0D06">
        <w:t>78.</w:t>
      </w:r>
      <w:r w:rsidR="00B04C7D">
        <w:t>6</w:t>
      </w:r>
      <w:r w:rsidR="00104812" w:rsidRPr="002C256A">
        <w:t>%.</w:t>
      </w:r>
      <w:r w:rsidR="0023382F" w:rsidRPr="002C256A">
        <w:t xml:space="preserve"> </w:t>
      </w:r>
      <w:r w:rsidR="003D4452">
        <w:t>East of England</w:t>
      </w:r>
      <w:r w:rsidR="00A32CDF" w:rsidRPr="002C256A">
        <w:t xml:space="preserve"> h</w:t>
      </w:r>
      <w:r w:rsidR="004A1C61" w:rsidRPr="002C256A">
        <w:t>ad the largest proportion</w:t>
      </w:r>
      <w:r w:rsidR="002C256A" w:rsidRPr="002C256A">
        <w:t xml:space="preserve"> with </w:t>
      </w:r>
      <w:r w:rsidR="003D4452">
        <w:t>95.8</w:t>
      </w:r>
      <w:r w:rsidR="002C0D06">
        <w:t>%</w:t>
      </w:r>
      <w:r w:rsidR="00A32CDF" w:rsidRPr="002C256A">
        <w:t xml:space="preserve"> and </w:t>
      </w:r>
      <w:r w:rsidR="004A1C61" w:rsidRPr="002C256A">
        <w:t>the sm</w:t>
      </w:r>
      <w:r w:rsidR="00DE0599" w:rsidRPr="002C256A">
        <w:t xml:space="preserve">allest was </w:t>
      </w:r>
      <w:r w:rsidR="002C0D06">
        <w:t xml:space="preserve">South </w:t>
      </w:r>
      <w:r w:rsidR="003D4452">
        <w:t>Central</w:t>
      </w:r>
      <w:r w:rsidR="007F3162">
        <w:t xml:space="preserve"> </w:t>
      </w:r>
      <w:r w:rsidR="00DE0599" w:rsidRPr="002C256A">
        <w:t>with</w:t>
      </w:r>
      <w:r w:rsidR="002C256A" w:rsidRPr="002C256A">
        <w:t xml:space="preserve"> </w:t>
      </w:r>
      <w:r w:rsidR="003D4452">
        <w:t>64.5</w:t>
      </w:r>
      <w:r w:rsidR="00E524CF" w:rsidRPr="002C256A">
        <w:t>%</w:t>
      </w:r>
      <w:r w:rsidR="003D4452">
        <w:rPr>
          <w:rStyle w:val="FootnoteReference"/>
        </w:rPr>
        <w:footnoteReference w:id="15"/>
      </w:r>
      <w:r w:rsidR="00B62376">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C053F5" w:rsidRDefault="0032599C" w:rsidP="00312B69">
      <w:r w:rsidRPr="002C256A">
        <w:t xml:space="preserve">In </w:t>
      </w:r>
      <w:r w:rsidR="00251C67">
        <w:t>June</w:t>
      </w:r>
      <w:r w:rsidR="00B703E2">
        <w:t xml:space="preserve"> 2016</w:t>
      </w:r>
      <w:r w:rsidRPr="002C256A">
        <w:t xml:space="preserve">, of </w:t>
      </w:r>
      <w:r w:rsidR="00291297">
        <w:t>3,</w:t>
      </w:r>
      <w:r w:rsidR="003D4452">
        <w:t>163</w:t>
      </w:r>
      <w:r w:rsidR="00B855BA" w:rsidRPr="002C256A">
        <w:t xml:space="preserve"> </w:t>
      </w:r>
      <w:r w:rsidRPr="002C256A">
        <w:t xml:space="preserve">FAST positive patients in England, assessed face to face, and potentially eligible for stroke thrombolysis within agreed local guidelines, </w:t>
      </w:r>
      <w:r w:rsidR="002C256A" w:rsidRPr="00C053F5">
        <w:t>1,</w:t>
      </w:r>
      <w:r w:rsidR="003D4452">
        <w:t>696</w:t>
      </w:r>
      <w:r w:rsidR="005F1582" w:rsidRPr="00C053F5">
        <w:t xml:space="preserve"> </w:t>
      </w:r>
      <w:r w:rsidRPr="00C053F5">
        <w:t>(</w:t>
      </w:r>
      <w:r w:rsidR="003D4452">
        <w:t>53.6</w:t>
      </w:r>
      <w:r w:rsidRPr="00C053F5">
        <w:t>%) arrived at hospitals with a hyperacute stroke unit within 60 minutes of an emergency call connecting to the ambulanc</w:t>
      </w:r>
      <w:r w:rsidR="00881BB4" w:rsidRPr="00C053F5">
        <w:t>e service</w:t>
      </w:r>
      <w:r w:rsidR="00915960">
        <w:t xml:space="preserve">. </w:t>
      </w:r>
      <w:r w:rsidR="00312B69" w:rsidRPr="00C053F5">
        <w:t>The la</w:t>
      </w:r>
      <w:r w:rsidR="00DE0599" w:rsidRPr="00C053F5">
        <w:t>rgest proportion for</w:t>
      </w:r>
      <w:r w:rsidR="00312B69" w:rsidRPr="00C053F5">
        <w:t xml:space="preserve"> </w:t>
      </w:r>
      <w:r w:rsidR="00251C67">
        <w:t>June</w:t>
      </w:r>
      <w:r w:rsidR="00B703E2">
        <w:t xml:space="preserve"> 2016</w:t>
      </w:r>
      <w:r w:rsidR="00C053F5" w:rsidRPr="00C053F5">
        <w:t xml:space="preserve"> was </w:t>
      </w:r>
      <w:r w:rsidR="003D4452">
        <w:t>63.7</w:t>
      </w:r>
      <w:r w:rsidR="00A56A04" w:rsidRPr="00C053F5">
        <w:t xml:space="preserve">% for </w:t>
      </w:r>
      <w:r w:rsidR="003D4452">
        <w:t>London</w:t>
      </w:r>
      <w:r w:rsidR="00291297" w:rsidRPr="00291297">
        <w:rPr>
          <w:vertAlign w:val="superscript"/>
        </w:rPr>
        <w:t>1</w:t>
      </w:r>
      <w:r w:rsidR="003D4452">
        <w:rPr>
          <w:vertAlign w:val="superscript"/>
        </w:rPr>
        <w:t>5</w:t>
      </w:r>
      <w:r w:rsidR="00520665">
        <w:t xml:space="preserve"> </w:t>
      </w:r>
      <w:r w:rsidR="00312B69" w:rsidRPr="00C053F5">
        <w:t xml:space="preserve">and </w:t>
      </w:r>
      <w:r w:rsidR="00E524CF" w:rsidRPr="00C053F5">
        <w:t>t</w:t>
      </w:r>
      <w:r w:rsidR="00312B69" w:rsidRPr="00C053F5">
        <w:t xml:space="preserve">he smallest was </w:t>
      </w:r>
      <w:r w:rsidR="00291297">
        <w:t>32.</w:t>
      </w:r>
      <w:r w:rsidR="003D4452">
        <w:t>5</w:t>
      </w:r>
      <w:r w:rsidR="00312B69" w:rsidRPr="00C053F5">
        <w:t xml:space="preserve">% for </w:t>
      </w:r>
      <w:r w:rsidR="00915960">
        <w:t xml:space="preserve">South </w:t>
      </w:r>
      <w:r w:rsidR="00291297">
        <w:t>Western</w:t>
      </w:r>
      <w:r w:rsidR="00312B69" w:rsidRPr="00C053F5">
        <w:t>.</w:t>
      </w:r>
    </w:p>
    <w:p w:rsidR="006E6FAF" w:rsidRPr="00C053F5" w:rsidRDefault="006A5F54" w:rsidP="001E75EA">
      <w:bookmarkStart w:id="2" w:name="OLE_LINK3"/>
      <w:r w:rsidRPr="00C053F5">
        <w:t>T</w:t>
      </w:r>
      <w:r w:rsidR="00033CF1" w:rsidRPr="00C053F5">
        <w:t xml:space="preserve">here were </w:t>
      </w:r>
      <w:r w:rsidR="00291297">
        <w:t>7,</w:t>
      </w:r>
      <w:r w:rsidR="003D4452">
        <w:t>009</w:t>
      </w:r>
      <w:r w:rsidR="005C4D74">
        <w:t xml:space="preserve"> </w:t>
      </w:r>
      <w:r w:rsidR="00033CF1" w:rsidRPr="00C053F5">
        <w:t xml:space="preserve">stroke patients assessed face to face in </w:t>
      </w:r>
      <w:r w:rsidR="00251C67">
        <w:t>June</w:t>
      </w:r>
      <w:r w:rsidR="00B703E2">
        <w:t xml:space="preserve"> 2016</w:t>
      </w:r>
      <w:r w:rsidR="00E524CF" w:rsidRPr="00C053F5">
        <w:t xml:space="preserve"> </w:t>
      </w:r>
      <w:r w:rsidR="00033CF1" w:rsidRPr="00C053F5">
        <w:t xml:space="preserve">in England, and </w:t>
      </w:r>
      <w:r w:rsidR="003D4452">
        <w:t>6,842</w:t>
      </w:r>
      <w:r w:rsidR="00A56A04" w:rsidRPr="00C053F5">
        <w:t xml:space="preserve"> (</w:t>
      </w:r>
      <w:r w:rsidR="003D4452">
        <w:t>97.6</w:t>
      </w:r>
      <w:r w:rsidR="00033CF1" w:rsidRPr="00C053F5">
        <w:t>%) received the appropriate care bundle</w:t>
      </w:r>
      <w:r w:rsidR="00C053F5" w:rsidRPr="00C053F5">
        <w:t xml:space="preserve">, </w:t>
      </w:r>
      <w:r w:rsidR="00FD3168">
        <w:t xml:space="preserve">the </w:t>
      </w:r>
      <w:r w:rsidR="003D4452">
        <w:t xml:space="preserve">same as the average </w:t>
      </w:r>
      <w:r w:rsidR="00CE0C83" w:rsidRPr="00C053F5">
        <w:t>for 201</w:t>
      </w:r>
      <w:r w:rsidR="005C4D74">
        <w:t>5</w:t>
      </w:r>
      <w:r w:rsidR="00CE0C83" w:rsidRPr="00C053F5">
        <w:t>-1</w:t>
      </w:r>
      <w:r w:rsidR="005C4D74">
        <w:t>6</w:t>
      </w:r>
      <w:bookmarkEnd w:id="2"/>
      <w:r w:rsidR="009A4740" w:rsidRPr="00C053F5">
        <w:t>.</w:t>
      </w:r>
      <w:r w:rsidR="00C053F5">
        <w:t xml:space="preserve"> The highest proportion was recorded in the North West</w:t>
      </w:r>
      <w:r w:rsidR="00291297" w:rsidRPr="00291297">
        <w:rPr>
          <w:vertAlign w:val="superscript"/>
        </w:rPr>
        <w:t>1</w:t>
      </w:r>
      <w:r w:rsidR="003D4452">
        <w:rPr>
          <w:vertAlign w:val="superscript"/>
        </w:rPr>
        <w:t>5</w:t>
      </w:r>
      <w:r w:rsidR="00B04C7D">
        <w:t xml:space="preserve"> </w:t>
      </w:r>
      <w:r w:rsidR="00C053F5">
        <w:t xml:space="preserve">with </w:t>
      </w:r>
      <w:r w:rsidR="00116208">
        <w:t>99.</w:t>
      </w:r>
      <w:r w:rsidR="003D4452">
        <w:t>7</w:t>
      </w:r>
      <w:r w:rsidR="00C053F5">
        <w:t>% of patients receiv</w:t>
      </w:r>
      <w:r w:rsidR="0009007C">
        <w:t>ing the appropriate care bundle</w:t>
      </w:r>
      <w:r w:rsidR="003602C0">
        <w:t>;</w:t>
      </w:r>
      <w:r w:rsidR="005040C4">
        <w:t xml:space="preserve"> the lowest was South </w:t>
      </w:r>
      <w:r w:rsidR="003D4452">
        <w:t>Western</w:t>
      </w:r>
      <w:r w:rsidR="005040C4">
        <w:t xml:space="preserve"> with 9</w:t>
      </w:r>
      <w:r w:rsidR="005C4D74">
        <w:t>5</w:t>
      </w:r>
      <w:r w:rsidR="005040C4">
        <w:t>.</w:t>
      </w:r>
      <w:r w:rsidR="003D4452">
        <w:t>4</w:t>
      </w:r>
      <w:r w:rsidR="005040C4">
        <w:t>%</w:t>
      </w:r>
      <w:r w:rsidR="006431BB">
        <w:t>.</w:t>
      </w:r>
    </w:p>
    <w:p w:rsidR="007573D5" w:rsidRDefault="003D4452" w:rsidP="0032599C">
      <w:r>
        <w:rPr>
          <w:noProof/>
        </w:rPr>
        <w:drawing>
          <wp:inline distT="0" distB="0" distL="0" distR="0">
            <wp:extent cx="5498465" cy="2874010"/>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8465" cy="2874010"/>
                    </a:xfrm>
                    <a:prstGeom prst="rect">
                      <a:avLst/>
                    </a:prstGeom>
                    <a:noFill/>
                    <a:ln>
                      <a:noFill/>
                    </a:ln>
                  </pic:spPr>
                </pic:pic>
              </a:graphicData>
            </a:graphic>
          </wp:inline>
        </w:drawing>
      </w:r>
    </w:p>
    <w:p w:rsidR="006B172D" w:rsidRPr="006B172D" w:rsidRDefault="006B172D" w:rsidP="006B172D"/>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F43A0A" w:rsidP="003A0D0C">
      <w:pPr>
        <w:rPr>
          <w:rFonts w:cs="Arial"/>
        </w:rPr>
      </w:pPr>
      <w:hyperlink r:id="rId22" w:history="1">
        <w:r w:rsidR="003A0D0C" w:rsidRPr="005D248D">
          <w:rPr>
            <w:rStyle w:val="Hyperlink"/>
            <w:rFonts w:cs="Arial"/>
          </w:rPr>
          <w:t>www.england.nhs.uk/statistics/statistical-work-areas/ambulance-quality-indicators</w:t>
        </w:r>
      </w:hyperlink>
      <w:r w:rsidR="003A0D0C">
        <w:rPr>
          <w:rFonts w:cs="Arial"/>
        </w:rPr>
        <w:t xml:space="preserve">, or </w:t>
      </w:r>
      <w:hyperlink r:id="rId23"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4"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DC652D" w:rsidTr="005B5932">
        <w:tc>
          <w:tcPr>
            <w:tcW w:w="2268" w:type="dxa"/>
            <w:tcBorders>
              <w:top w:val="nil"/>
              <w:bottom w:val="nil"/>
            </w:tcBorders>
            <w:tcMar>
              <w:left w:w="57" w:type="dxa"/>
              <w:right w:w="57" w:type="dxa"/>
            </w:tcMar>
          </w:tcPr>
          <w:p w:rsidR="00DC652D" w:rsidRDefault="00DC652D" w:rsidP="005B5932">
            <w:pPr>
              <w:pStyle w:val="NoSpacing"/>
              <w:jc w:val="right"/>
            </w:pPr>
            <w:r w:rsidRPr="00DC652D">
              <w:t>11 May 2017</w:t>
            </w:r>
          </w:p>
        </w:tc>
        <w:tc>
          <w:tcPr>
            <w:tcW w:w="284" w:type="dxa"/>
            <w:tcBorders>
              <w:top w:val="nil"/>
              <w:bottom w:val="nil"/>
            </w:tcBorders>
            <w:tcMar>
              <w:left w:w="57" w:type="dxa"/>
              <w:right w:w="57" w:type="dxa"/>
            </w:tcMar>
          </w:tcPr>
          <w:p w:rsidR="00DC652D" w:rsidRPr="00167741" w:rsidRDefault="00DC652D" w:rsidP="005B5932">
            <w:pPr>
              <w:pStyle w:val="NoSpacing"/>
            </w:pPr>
          </w:p>
        </w:tc>
        <w:tc>
          <w:tcPr>
            <w:tcW w:w="2149" w:type="dxa"/>
            <w:tcBorders>
              <w:top w:val="nil"/>
              <w:bottom w:val="nil"/>
            </w:tcBorders>
            <w:tcMar>
              <w:left w:w="57" w:type="dxa"/>
              <w:right w:w="57" w:type="dxa"/>
            </w:tcMar>
          </w:tcPr>
          <w:p w:rsidR="00DC652D" w:rsidRDefault="00DC652D" w:rsidP="00CE0C83">
            <w:pPr>
              <w:pStyle w:val="NoSpacing"/>
            </w:pPr>
            <w:r w:rsidRPr="00DC652D">
              <w:t>Systems Indicators</w:t>
            </w:r>
          </w:p>
        </w:tc>
        <w:tc>
          <w:tcPr>
            <w:tcW w:w="236" w:type="dxa"/>
            <w:tcBorders>
              <w:top w:val="nil"/>
              <w:bottom w:val="nil"/>
            </w:tcBorders>
            <w:tcMar>
              <w:left w:w="57" w:type="dxa"/>
              <w:right w:w="57" w:type="dxa"/>
            </w:tcMar>
          </w:tcPr>
          <w:p w:rsidR="00DC652D" w:rsidRPr="00167741" w:rsidRDefault="00DC652D" w:rsidP="00CE0C83">
            <w:pPr>
              <w:pStyle w:val="NoSpacing"/>
            </w:pPr>
          </w:p>
        </w:tc>
        <w:tc>
          <w:tcPr>
            <w:tcW w:w="3585" w:type="dxa"/>
            <w:tcBorders>
              <w:top w:val="nil"/>
              <w:bottom w:val="nil"/>
            </w:tcBorders>
            <w:tcMar>
              <w:left w:w="57" w:type="dxa"/>
              <w:right w:w="57" w:type="dxa"/>
            </w:tcMar>
          </w:tcPr>
          <w:p w:rsidR="00DC652D" w:rsidRPr="00DC652D" w:rsidRDefault="00DC652D" w:rsidP="00B870E5">
            <w:pPr>
              <w:pStyle w:val="NoSpacing"/>
            </w:pPr>
            <w:r w:rsidRPr="00DC652D">
              <w:t>April 2016 to February 2017</w:t>
            </w:r>
          </w:p>
        </w:tc>
      </w:tr>
      <w:tr w:rsidR="00DC652D" w:rsidTr="005B5932">
        <w:tc>
          <w:tcPr>
            <w:tcW w:w="2268" w:type="dxa"/>
            <w:tcBorders>
              <w:top w:val="nil"/>
              <w:bottom w:val="nil"/>
            </w:tcBorders>
            <w:tcMar>
              <w:left w:w="57" w:type="dxa"/>
              <w:right w:w="57" w:type="dxa"/>
            </w:tcMar>
          </w:tcPr>
          <w:p w:rsidR="00DC652D" w:rsidRDefault="00DC652D" w:rsidP="005B5932">
            <w:pPr>
              <w:pStyle w:val="NoSpacing"/>
              <w:jc w:val="right"/>
            </w:pPr>
            <w:r>
              <w:t>9 March 2017</w:t>
            </w:r>
          </w:p>
        </w:tc>
        <w:tc>
          <w:tcPr>
            <w:tcW w:w="284" w:type="dxa"/>
            <w:tcBorders>
              <w:top w:val="nil"/>
              <w:bottom w:val="nil"/>
            </w:tcBorders>
            <w:tcMar>
              <w:left w:w="57" w:type="dxa"/>
              <w:right w:w="57" w:type="dxa"/>
            </w:tcMar>
          </w:tcPr>
          <w:p w:rsidR="00DC652D" w:rsidRPr="00167741" w:rsidRDefault="00DC652D" w:rsidP="005B5932">
            <w:pPr>
              <w:pStyle w:val="NoSpacing"/>
            </w:pPr>
          </w:p>
        </w:tc>
        <w:tc>
          <w:tcPr>
            <w:tcW w:w="2149" w:type="dxa"/>
            <w:tcBorders>
              <w:top w:val="nil"/>
              <w:bottom w:val="nil"/>
            </w:tcBorders>
            <w:tcMar>
              <w:left w:w="57" w:type="dxa"/>
              <w:right w:w="57" w:type="dxa"/>
            </w:tcMar>
          </w:tcPr>
          <w:p w:rsidR="00DC652D" w:rsidRDefault="00DC652D" w:rsidP="00CE0C83">
            <w:pPr>
              <w:pStyle w:val="NoSpacing"/>
            </w:pPr>
            <w:r>
              <w:t>Clinical Outcomes</w:t>
            </w:r>
          </w:p>
        </w:tc>
        <w:tc>
          <w:tcPr>
            <w:tcW w:w="236" w:type="dxa"/>
            <w:tcBorders>
              <w:top w:val="nil"/>
              <w:bottom w:val="nil"/>
            </w:tcBorders>
            <w:tcMar>
              <w:left w:w="57" w:type="dxa"/>
              <w:right w:w="57" w:type="dxa"/>
            </w:tcMar>
          </w:tcPr>
          <w:p w:rsidR="00DC652D" w:rsidRPr="00167741" w:rsidRDefault="00DC652D" w:rsidP="00CE0C83">
            <w:pPr>
              <w:pStyle w:val="NoSpacing"/>
            </w:pPr>
          </w:p>
        </w:tc>
        <w:tc>
          <w:tcPr>
            <w:tcW w:w="3585" w:type="dxa"/>
            <w:tcBorders>
              <w:top w:val="nil"/>
              <w:bottom w:val="nil"/>
            </w:tcBorders>
            <w:tcMar>
              <w:left w:w="57" w:type="dxa"/>
              <w:right w:w="57" w:type="dxa"/>
            </w:tcMar>
          </w:tcPr>
          <w:p w:rsidR="00DC652D" w:rsidRPr="00B976BE" w:rsidRDefault="00DC652D" w:rsidP="00B870E5">
            <w:pPr>
              <w:pStyle w:val="NoSpacing"/>
            </w:pPr>
            <w:r w:rsidRPr="00DC652D">
              <w:t>April 2016 to September 2016</w:t>
            </w:r>
          </w:p>
        </w:tc>
      </w:tr>
      <w:tr w:rsidR="00B870E5" w:rsidTr="005B5932">
        <w:tc>
          <w:tcPr>
            <w:tcW w:w="2268" w:type="dxa"/>
            <w:tcBorders>
              <w:top w:val="nil"/>
              <w:bottom w:val="nil"/>
            </w:tcBorders>
            <w:tcMar>
              <w:left w:w="57" w:type="dxa"/>
              <w:right w:w="57" w:type="dxa"/>
            </w:tcMar>
          </w:tcPr>
          <w:p w:rsidR="00B976BE" w:rsidRDefault="00B976BE" w:rsidP="005B5932">
            <w:pPr>
              <w:pStyle w:val="NoSpacing"/>
              <w:jc w:val="right"/>
            </w:pPr>
            <w:r>
              <w:t>10 November 2016</w:t>
            </w:r>
          </w:p>
          <w:p w:rsidR="00B976BE" w:rsidRDefault="00B976BE" w:rsidP="005B5932">
            <w:pPr>
              <w:pStyle w:val="NoSpacing"/>
              <w:jc w:val="right"/>
            </w:pPr>
            <w:r>
              <w:t>8 September 2016</w:t>
            </w:r>
          </w:p>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976BE" w:rsidRDefault="00B976BE" w:rsidP="00CE0C83">
            <w:pPr>
              <w:pStyle w:val="NoSpacing"/>
            </w:pPr>
            <w:r>
              <w:t>Systems Indicators</w:t>
            </w:r>
          </w:p>
          <w:p w:rsidR="00B976BE" w:rsidRDefault="00B976BE" w:rsidP="00CE0C83">
            <w:pPr>
              <w:pStyle w:val="NoSpacing"/>
            </w:pPr>
            <w:r>
              <w:t>Clinical Outcomes</w:t>
            </w:r>
          </w:p>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976BE" w:rsidRDefault="00B976BE" w:rsidP="00B870E5">
            <w:pPr>
              <w:pStyle w:val="NoSpacing"/>
            </w:pPr>
            <w:r w:rsidRPr="00B976BE">
              <w:t>April 2016 to August 2016</w:t>
            </w:r>
          </w:p>
          <w:p w:rsidR="00B976BE" w:rsidRDefault="00B976BE" w:rsidP="00B870E5">
            <w:pPr>
              <w:pStyle w:val="NoSpacing"/>
            </w:pPr>
            <w:r w:rsidRPr="00B976BE">
              <w:t xml:space="preserve">April 2015 to </w:t>
            </w:r>
            <w:r w:rsidR="00D70056">
              <w:t>April</w:t>
            </w:r>
            <w:r w:rsidRPr="00B976BE">
              <w:t xml:space="preserve"> 2016</w:t>
            </w:r>
          </w:p>
          <w:p w:rsidR="00B870E5" w:rsidRPr="00167741" w:rsidRDefault="00B870E5" w:rsidP="00B870E5">
            <w:pPr>
              <w:pStyle w:val="NoSpacing"/>
            </w:pPr>
            <w:r w:rsidRPr="00167741">
              <w:t>April 2015 to February 2016</w:t>
            </w:r>
          </w:p>
        </w:tc>
      </w:tr>
      <w:tr w:rsidR="00B870E5" w:rsidTr="00B976BE">
        <w:trPr>
          <w:trHeight w:val="2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 xml:space="preserve">10 </w:t>
            </w:r>
            <w:r w:rsidR="00D70056">
              <w:t>April</w:t>
            </w:r>
            <w:r w:rsidRPr="00167741">
              <w:t xml:space="preserve">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9F3761" w:rsidTr="005B5932">
        <w:trPr>
          <w:trHeight w:val="80"/>
        </w:trPr>
        <w:tc>
          <w:tcPr>
            <w:tcW w:w="2268" w:type="dxa"/>
            <w:tcBorders>
              <w:top w:val="nil"/>
              <w:bottom w:val="nil"/>
            </w:tcBorders>
            <w:tcMar>
              <w:left w:w="57" w:type="dxa"/>
              <w:right w:w="57" w:type="dxa"/>
            </w:tcMar>
          </w:tcPr>
          <w:p w:rsidR="009F3761" w:rsidRDefault="009F3761" w:rsidP="006B172D">
            <w:pPr>
              <w:pStyle w:val="NoSpacing"/>
              <w:jc w:val="right"/>
            </w:pPr>
            <w:r>
              <w:t>10 September 2015</w:t>
            </w:r>
          </w:p>
        </w:tc>
        <w:tc>
          <w:tcPr>
            <w:tcW w:w="284" w:type="dxa"/>
            <w:tcBorders>
              <w:top w:val="nil"/>
              <w:bottom w:val="nil"/>
            </w:tcBorders>
            <w:tcMar>
              <w:left w:w="57" w:type="dxa"/>
              <w:right w:w="57" w:type="dxa"/>
            </w:tcMar>
          </w:tcPr>
          <w:p w:rsidR="009F3761" w:rsidRPr="005B5932" w:rsidRDefault="009F3761" w:rsidP="006B172D">
            <w:pPr>
              <w:pStyle w:val="NoSpacing"/>
              <w:jc w:val="center"/>
            </w:pPr>
          </w:p>
        </w:tc>
        <w:tc>
          <w:tcPr>
            <w:tcW w:w="2149" w:type="dxa"/>
            <w:tcBorders>
              <w:top w:val="nil"/>
              <w:bottom w:val="nil"/>
            </w:tcBorders>
            <w:tcMar>
              <w:left w:w="57" w:type="dxa"/>
              <w:right w:w="57" w:type="dxa"/>
            </w:tcMar>
          </w:tcPr>
          <w:p w:rsidR="009F3761" w:rsidRPr="00B4687B" w:rsidRDefault="009F3761" w:rsidP="006B172D">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9F3761" w:rsidRPr="005B5932" w:rsidRDefault="009F3761" w:rsidP="006B172D">
            <w:pPr>
              <w:pStyle w:val="NoSpacing"/>
              <w:jc w:val="center"/>
            </w:pPr>
          </w:p>
        </w:tc>
        <w:tc>
          <w:tcPr>
            <w:tcW w:w="3585" w:type="dxa"/>
            <w:tcBorders>
              <w:top w:val="nil"/>
              <w:bottom w:val="nil"/>
            </w:tcBorders>
            <w:tcMar>
              <w:left w:w="57" w:type="dxa"/>
              <w:right w:w="57" w:type="dxa"/>
            </w:tcMar>
          </w:tcPr>
          <w:p w:rsidR="009F3761" w:rsidRPr="005B5932" w:rsidRDefault="009F3761" w:rsidP="006B172D">
            <w:pPr>
              <w:pStyle w:val="NoSpacing"/>
            </w:pPr>
            <w:r w:rsidRPr="005B5932">
              <w:t>April 2014 to March 2015</w:t>
            </w:r>
          </w:p>
        </w:tc>
      </w:tr>
      <w:tr w:rsidR="009F3761" w:rsidTr="005B5932">
        <w:trPr>
          <w:trHeight w:val="80"/>
        </w:trPr>
        <w:tc>
          <w:tcPr>
            <w:tcW w:w="2268" w:type="dxa"/>
            <w:tcBorders>
              <w:top w:val="nil"/>
            </w:tcBorders>
            <w:tcMar>
              <w:left w:w="57" w:type="dxa"/>
              <w:right w:w="57" w:type="dxa"/>
            </w:tcMar>
          </w:tcPr>
          <w:p w:rsidR="009F3761" w:rsidRDefault="009F3761" w:rsidP="006B172D">
            <w:pPr>
              <w:pStyle w:val="NoSpacing"/>
              <w:jc w:val="right"/>
            </w:pPr>
            <w:r>
              <w:t>4 June 2015</w:t>
            </w:r>
          </w:p>
        </w:tc>
        <w:tc>
          <w:tcPr>
            <w:tcW w:w="284" w:type="dxa"/>
            <w:tcBorders>
              <w:top w:val="nil"/>
            </w:tcBorders>
            <w:tcMar>
              <w:left w:w="57" w:type="dxa"/>
              <w:right w:w="57" w:type="dxa"/>
            </w:tcMar>
          </w:tcPr>
          <w:p w:rsidR="009F3761" w:rsidRPr="00B4687B" w:rsidRDefault="009F3761" w:rsidP="006B172D">
            <w:pPr>
              <w:pStyle w:val="NoSpacing"/>
            </w:pPr>
          </w:p>
        </w:tc>
        <w:tc>
          <w:tcPr>
            <w:tcW w:w="2149" w:type="dxa"/>
            <w:tcBorders>
              <w:top w:val="nil"/>
            </w:tcBorders>
            <w:tcMar>
              <w:left w:w="57" w:type="dxa"/>
              <w:right w:w="57" w:type="dxa"/>
            </w:tcMar>
          </w:tcPr>
          <w:p w:rsidR="009F3761" w:rsidRPr="00B4687B" w:rsidRDefault="009F3761" w:rsidP="006B172D">
            <w:pPr>
              <w:pStyle w:val="NoSpacing"/>
            </w:pPr>
            <w:r w:rsidRPr="00B4687B">
              <w:t>Systems Indicators</w:t>
            </w:r>
          </w:p>
        </w:tc>
        <w:tc>
          <w:tcPr>
            <w:tcW w:w="236" w:type="dxa"/>
            <w:tcBorders>
              <w:top w:val="nil"/>
            </w:tcBorders>
            <w:tcMar>
              <w:left w:w="57" w:type="dxa"/>
              <w:right w:w="57" w:type="dxa"/>
            </w:tcMar>
          </w:tcPr>
          <w:p w:rsidR="009F3761" w:rsidRDefault="009F3761" w:rsidP="006B172D">
            <w:pPr>
              <w:pStyle w:val="NoSpacing"/>
            </w:pPr>
          </w:p>
        </w:tc>
        <w:tc>
          <w:tcPr>
            <w:tcW w:w="3585" w:type="dxa"/>
            <w:tcBorders>
              <w:top w:val="nil"/>
            </w:tcBorders>
            <w:tcMar>
              <w:left w:w="57" w:type="dxa"/>
              <w:right w:w="57" w:type="dxa"/>
            </w:tcMar>
          </w:tcPr>
          <w:p w:rsidR="009F3761" w:rsidRDefault="009F3761" w:rsidP="006B172D">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6B172D">
            <w:pPr>
              <w:pStyle w:val="NoSpacing"/>
              <w:jc w:val="right"/>
            </w:pPr>
            <w:r>
              <w:t>30 April 2015</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2014 to February 2015</w:t>
            </w:r>
          </w:p>
        </w:tc>
      </w:tr>
      <w:tr w:rsidR="009F3761" w:rsidTr="00E57244">
        <w:trPr>
          <w:trHeight w:val="80"/>
        </w:trPr>
        <w:tc>
          <w:tcPr>
            <w:tcW w:w="2268" w:type="dxa"/>
            <w:tcMar>
              <w:left w:w="57" w:type="dxa"/>
              <w:right w:w="57" w:type="dxa"/>
            </w:tcMar>
          </w:tcPr>
          <w:p w:rsidR="009F3761" w:rsidRDefault="009F3761" w:rsidP="006B172D">
            <w:pPr>
              <w:pStyle w:val="NoSpacing"/>
              <w:jc w:val="right"/>
            </w:pPr>
            <w:r>
              <w:t>5 March 2015</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2014 to September 2014</w:t>
            </w:r>
          </w:p>
        </w:tc>
      </w:tr>
      <w:tr w:rsidR="009F3761" w:rsidTr="00E57244">
        <w:trPr>
          <w:trHeight w:val="137"/>
        </w:trPr>
        <w:tc>
          <w:tcPr>
            <w:tcW w:w="2268" w:type="dxa"/>
            <w:tcMar>
              <w:left w:w="57" w:type="dxa"/>
              <w:right w:w="57" w:type="dxa"/>
            </w:tcMar>
          </w:tcPr>
          <w:p w:rsidR="009F3761" w:rsidRDefault="009F3761" w:rsidP="006B172D">
            <w:pPr>
              <w:pStyle w:val="NoSpacing"/>
              <w:jc w:val="right"/>
            </w:pPr>
            <w:r>
              <w:t>6 November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August 2014</w:t>
            </w:r>
          </w:p>
        </w:tc>
      </w:tr>
      <w:tr w:rsidR="009F3761" w:rsidTr="00E57244">
        <w:trPr>
          <w:trHeight w:val="137"/>
        </w:trPr>
        <w:tc>
          <w:tcPr>
            <w:tcW w:w="2268" w:type="dxa"/>
            <w:tcMar>
              <w:left w:w="57" w:type="dxa"/>
              <w:right w:w="57" w:type="dxa"/>
            </w:tcMar>
          </w:tcPr>
          <w:p w:rsidR="009F3761" w:rsidRPr="00875FD5" w:rsidRDefault="009F3761" w:rsidP="006B172D">
            <w:pPr>
              <w:pStyle w:val="NoSpacing"/>
              <w:jc w:val="right"/>
            </w:pPr>
            <w:r>
              <w:t>5 September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March 2014</w:t>
            </w:r>
          </w:p>
        </w:tc>
      </w:tr>
      <w:tr w:rsidR="009F3761" w:rsidTr="00E57244">
        <w:trPr>
          <w:trHeight w:val="271"/>
        </w:trPr>
        <w:tc>
          <w:tcPr>
            <w:tcW w:w="2268" w:type="dxa"/>
            <w:tcMar>
              <w:left w:w="57" w:type="dxa"/>
              <w:right w:w="57" w:type="dxa"/>
            </w:tcMar>
          </w:tcPr>
          <w:p w:rsidR="009F3761" w:rsidRDefault="009F3761" w:rsidP="006B172D">
            <w:pPr>
              <w:pStyle w:val="NoSpacing"/>
              <w:jc w:val="right"/>
            </w:pPr>
            <w:r>
              <w:t>2 May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February 2014</w:t>
            </w:r>
          </w:p>
        </w:tc>
      </w:tr>
      <w:tr w:rsidR="009F3761" w:rsidTr="00E57244">
        <w:trPr>
          <w:trHeight w:val="70"/>
        </w:trPr>
        <w:tc>
          <w:tcPr>
            <w:tcW w:w="2268" w:type="dxa"/>
            <w:tcMar>
              <w:left w:w="57" w:type="dxa"/>
              <w:right w:w="57" w:type="dxa"/>
            </w:tcMar>
          </w:tcPr>
          <w:p w:rsidR="009F3761" w:rsidRDefault="009F3761" w:rsidP="006B172D">
            <w:pPr>
              <w:pStyle w:val="NoSpacing"/>
              <w:jc w:val="right"/>
            </w:pPr>
            <w:r>
              <w:t>7 March 2014</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September 2013</w:t>
            </w:r>
          </w:p>
        </w:tc>
      </w:tr>
      <w:tr w:rsidR="009F3761" w:rsidTr="00E57244">
        <w:trPr>
          <w:trHeight w:val="123"/>
        </w:trPr>
        <w:tc>
          <w:tcPr>
            <w:tcW w:w="2268" w:type="dxa"/>
            <w:tcMar>
              <w:left w:w="57" w:type="dxa"/>
              <w:right w:w="57" w:type="dxa"/>
            </w:tcMar>
          </w:tcPr>
          <w:p w:rsidR="009F3761" w:rsidRDefault="009F3761" w:rsidP="006B172D">
            <w:pPr>
              <w:pStyle w:val="NoSpacing"/>
              <w:jc w:val="right"/>
            </w:pPr>
            <w:r>
              <w:t>1 November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2013 to August 2013</w:t>
            </w:r>
          </w:p>
        </w:tc>
      </w:tr>
      <w:tr w:rsidR="009F3761" w:rsidTr="00E57244">
        <w:trPr>
          <w:trHeight w:val="269"/>
        </w:trPr>
        <w:tc>
          <w:tcPr>
            <w:tcW w:w="2268" w:type="dxa"/>
            <w:tcMar>
              <w:left w:w="57" w:type="dxa"/>
              <w:right w:w="57" w:type="dxa"/>
            </w:tcMar>
          </w:tcPr>
          <w:p w:rsidR="009F3761" w:rsidRDefault="009F3761" w:rsidP="006B172D">
            <w:pPr>
              <w:pStyle w:val="NoSpacing"/>
              <w:jc w:val="right"/>
            </w:pPr>
            <w:r>
              <w:t>2 August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March 2013</w:t>
            </w:r>
          </w:p>
        </w:tc>
      </w:tr>
      <w:tr w:rsidR="009F3761" w:rsidTr="00E57244">
        <w:trPr>
          <w:trHeight w:val="118"/>
        </w:trPr>
        <w:tc>
          <w:tcPr>
            <w:tcW w:w="2268" w:type="dxa"/>
            <w:tcMar>
              <w:left w:w="57" w:type="dxa"/>
              <w:right w:w="57" w:type="dxa"/>
            </w:tcMar>
          </w:tcPr>
          <w:p w:rsidR="009F3761" w:rsidRDefault="009F3761" w:rsidP="006B172D">
            <w:pPr>
              <w:pStyle w:val="NoSpacing"/>
              <w:jc w:val="right"/>
            </w:pPr>
            <w:r>
              <w:t>3 May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March 2013</w:t>
            </w:r>
          </w:p>
        </w:tc>
      </w:tr>
      <w:tr w:rsidR="009F3761" w:rsidTr="00E57244">
        <w:trPr>
          <w:trHeight w:val="121"/>
        </w:trPr>
        <w:tc>
          <w:tcPr>
            <w:tcW w:w="2268" w:type="dxa"/>
            <w:tcMar>
              <w:left w:w="57" w:type="dxa"/>
              <w:right w:w="57" w:type="dxa"/>
            </w:tcMar>
          </w:tcPr>
          <w:p w:rsidR="009F3761" w:rsidRDefault="009F3761" w:rsidP="006B172D">
            <w:pPr>
              <w:pStyle w:val="NoSpacing"/>
              <w:jc w:val="right"/>
            </w:pPr>
            <w:r>
              <w:t>1 February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2012 to August 2012</w:t>
            </w:r>
          </w:p>
        </w:tc>
      </w:tr>
      <w:tr w:rsidR="009F3761" w:rsidTr="00E57244">
        <w:trPr>
          <w:trHeight w:val="267"/>
        </w:trPr>
        <w:tc>
          <w:tcPr>
            <w:tcW w:w="2268" w:type="dxa"/>
            <w:tcMar>
              <w:left w:w="57" w:type="dxa"/>
              <w:right w:w="57" w:type="dxa"/>
            </w:tcMar>
          </w:tcPr>
          <w:p w:rsidR="009F3761" w:rsidRDefault="009F3761" w:rsidP="006B172D">
            <w:pPr>
              <w:pStyle w:val="NoSpacing"/>
              <w:jc w:val="right"/>
            </w:pPr>
            <w:r>
              <w:t>11 January 2013</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Systems Indicators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2011 to October 2012</w:t>
            </w:r>
          </w:p>
        </w:tc>
      </w:tr>
      <w:tr w:rsidR="009F3761" w:rsidTr="00E57244">
        <w:trPr>
          <w:trHeight w:val="115"/>
        </w:trPr>
        <w:tc>
          <w:tcPr>
            <w:tcW w:w="2268" w:type="dxa"/>
            <w:tcMar>
              <w:left w:w="57" w:type="dxa"/>
              <w:right w:w="57" w:type="dxa"/>
            </w:tcMar>
          </w:tcPr>
          <w:p w:rsidR="009F3761" w:rsidRDefault="009F3761" w:rsidP="006B172D">
            <w:pPr>
              <w:pStyle w:val="NoSpacing"/>
              <w:jc w:val="right"/>
            </w:pPr>
            <w:r>
              <w:t>31 August 2012</w:t>
            </w:r>
          </w:p>
        </w:tc>
        <w:tc>
          <w:tcPr>
            <w:tcW w:w="284" w:type="dxa"/>
            <w:tcMar>
              <w:left w:w="57" w:type="dxa"/>
              <w:right w:w="57" w:type="dxa"/>
            </w:tcMar>
          </w:tcPr>
          <w:p w:rsidR="009F3761" w:rsidRPr="00B4687B" w:rsidRDefault="009F3761" w:rsidP="006B172D">
            <w:pPr>
              <w:pStyle w:val="NoSpacing"/>
            </w:pPr>
          </w:p>
        </w:tc>
        <w:tc>
          <w:tcPr>
            <w:tcW w:w="2149" w:type="dxa"/>
            <w:tcMar>
              <w:left w:w="57" w:type="dxa"/>
              <w:right w:w="57" w:type="dxa"/>
            </w:tcMar>
          </w:tcPr>
          <w:p w:rsidR="009F3761" w:rsidRPr="00B4687B" w:rsidRDefault="009F3761" w:rsidP="006B172D">
            <w:pPr>
              <w:pStyle w:val="NoSpacing"/>
            </w:pPr>
            <w:r w:rsidRPr="00B4687B">
              <w:t>Clinical Outcomes</w:t>
            </w:r>
          </w:p>
        </w:tc>
        <w:tc>
          <w:tcPr>
            <w:tcW w:w="236" w:type="dxa"/>
            <w:tcMar>
              <w:left w:w="57" w:type="dxa"/>
              <w:right w:w="57" w:type="dxa"/>
            </w:tcMar>
          </w:tcPr>
          <w:p w:rsidR="009F3761" w:rsidRDefault="009F3761" w:rsidP="006B172D">
            <w:pPr>
              <w:pStyle w:val="NoSpacing"/>
            </w:pPr>
          </w:p>
        </w:tc>
        <w:tc>
          <w:tcPr>
            <w:tcW w:w="3585" w:type="dxa"/>
            <w:tcMar>
              <w:left w:w="57" w:type="dxa"/>
              <w:right w:w="57" w:type="dxa"/>
            </w:tcMar>
          </w:tcPr>
          <w:p w:rsidR="009F3761" w:rsidRDefault="009F3761" w:rsidP="006B172D">
            <w:pPr>
              <w:pStyle w:val="NoSpacing"/>
            </w:pPr>
            <w:r>
              <w:t>April 2011 to March 2012</w:t>
            </w:r>
          </w:p>
        </w:tc>
      </w:tr>
    </w:tbl>
    <w:p w:rsidR="003A0D0C" w:rsidRDefault="003A0D0C" w:rsidP="003A0D0C">
      <w:pPr>
        <w:pStyle w:val="Heading3"/>
      </w:pPr>
      <w:r>
        <w:lastRenderedPageBreak/>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5"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D70056">
        <w:t>April</w:t>
      </w:r>
      <w:r w:rsidR="00F32A65">
        <w:t xml:space="preserve">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6"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7"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F43A0A" w:rsidP="002221E6">
            <w:pPr>
              <w:pStyle w:val="NoSpacing"/>
            </w:pPr>
            <w:hyperlink r:id="rId28"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9"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F43A0A" w:rsidP="002221E6">
            <w:pPr>
              <w:rPr>
                <w:lang w:eastAsia="en-US"/>
              </w:rPr>
            </w:pPr>
            <w:hyperlink r:id="rId30" w:history="1">
              <w:r w:rsidR="003A0D0C" w:rsidRPr="00F76843">
                <w:rPr>
                  <w:rStyle w:val="Hyperlink"/>
                  <w:lang w:eastAsia="en-US"/>
                </w:rPr>
                <w:t>www.dhsspsni.gov.uk/index/statistics/hospital/emergency-care/ambulance-statistics.htm</w:t>
              </w:r>
            </w:hyperlink>
          </w:p>
        </w:tc>
      </w:tr>
    </w:tbl>
    <w:p w:rsidR="00DC652D" w:rsidRDefault="00DC652D" w:rsidP="00E11703">
      <w:pPr>
        <w:pStyle w:val="Heading3"/>
      </w:pPr>
    </w:p>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31"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B26DEC">
        <w:t>National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32"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33"/>
      <w:footerReference w:type="default" r:id="rId34"/>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2D" w:rsidRDefault="006B172D" w:rsidP="008C63D3">
      <w:r>
        <w:separator/>
      </w:r>
    </w:p>
  </w:endnote>
  <w:endnote w:type="continuationSeparator" w:id="0">
    <w:p w:rsidR="006B172D" w:rsidRDefault="006B172D"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72D" w:rsidRDefault="006B172D" w:rsidP="00E924D4">
    <w:pPr>
      <w:pStyle w:val="Footer"/>
      <w:tabs>
        <w:tab w:val="clear" w:pos="9026"/>
        <w:tab w:val="left" w:pos="5025"/>
        <w:tab w:val="right" w:pos="8364"/>
      </w:tabs>
    </w:pPr>
    <w:r>
      <w:t>NHS England AQI Statistical Note, 10 November 2016.</w:t>
    </w:r>
    <w:r>
      <w:tab/>
    </w:r>
    <w:r>
      <w:tab/>
      <w:t xml:space="preserve">Page </w:t>
    </w:r>
    <w:r>
      <w:fldChar w:fldCharType="begin"/>
    </w:r>
    <w:r>
      <w:instrText xml:space="preserve"> PAGE   \* MERGEFORMAT </w:instrText>
    </w:r>
    <w:r>
      <w:fldChar w:fldCharType="separate"/>
    </w:r>
    <w:r w:rsidR="00F43A0A">
      <w:rPr>
        <w:noProof/>
      </w:rPr>
      <w:t>4</w:t>
    </w:r>
    <w:r>
      <w:rPr>
        <w:noProof/>
      </w:rPr>
      <w:fldChar w:fldCharType="end"/>
    </w:r>
    <w:r>
      <w:rPr>
        <w:noProof/>
      </w:rPr>
      <w:t xml:space="preserve"> of </w:t>
    </w:r>
    <w:fldSimple w:instr=" NUMPAGES   \* MERGEFORMAT ">
      <w:r w:rsidR="00F43A0A">
        <w:rPr>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2D" w:rsidRDefault="006B172D" w:rsidP="008C63D3">
      <w:r>
        <w:separator/>
      </w:r>
    </w:p>
  </w:footnote>
  <w:footnote w:type="continuationSeparator" w:id="0">
    <w:p w:rsidR="006B172D" w:rsidRDefault="006B172D" w:rsidP="008C63D3">
      <w:r>
        <w:continuationSeparator/>
      </w:r>
    </w:p>
  </w:footnote>
  <w:footnote w:id="1">
    <w:p w:rsidR="006B172D" w:rsidRPr="00641D29" w:rsidRDefault="006B172D" w:rsidP="00B75E75">
      <w:pPr>
        <w:pStyle w:val="Footer"/>
        <w:rPr>
          <w:color w:val="0000FF"/>
          <w:u w:val="single"/>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footnote>
  <w:footnote w:id="2">
    <w:p w:rsidR="006B172D" w:rsidRDefault="006B172D" w:rsidP="002F6A2B">
      <w:pPr>
        <w:pStyle w:val="FootnoteText"/>
      </w:pPr>
      <w:r>
        <w:rPr>
          <w:rStyle w:val="FootnoteReference"/>
        </w:rPr>
        <w:footnoteRef/>
      </w:r>
      <w:r>
        <w:t xml:space="preserve"> Due to the introduction of Clinical Coding Review data for South Western Ambulance Service, Yorkshire Ambulance Service and West Midlands Ambulance Service are only available up to and including the 18</w:t>
      </w:r>
      <w:r w:rsidRPr="00ED6D61">
        <w:rPr>
          <w:vertAlign w:val="superscript"/>
        </w:rPr>
        <w:t>th</w:t>
      </w:r>
      <w:r>
        <w:t xml:space="preserve"> April 2016, 20</w:t>
      </w:r>
      <w:r w:rsidRPr="00ED6D61">
        <w:rPr>
          <w:vertAlign w:val="superscript"/>
        </w:rPr>
        <w:t>th</w:t>
      </w:r>
      <w:r>
        <w:t xml:space="preserve"> April 2016 and 7</w:t>
      </w:r>
      <w:r w:rsidRPr="005A3958">
        <w:rPr>
          <w:vertAlign w:val="superscript"/>
        </w:rPr>
        <w:t>th</w:t>
      </w:r>
      <w:r>
        <w:t xml:space="preserve"> June 2016 respectively.</w:t>
      </w:r>
    </w:p>
  </w:footnote>
  <w:footnote w:id="3">
    <w:p w:rsidR="006B172D" w:rsidRDefault="006B172D" w:rsidP="00526112">
      <w:pPr>
        <w:pStyle w:val="Footer"/>
        <w:rPr>
          <w:rStyle w:val="Hyperlink"/>
          <w:rFonts w:cs="Arial"/>
          <w:szCs w:val="20"/>
        </w:rPr>
      </w:pPr>
      <w:r>
        <w:rPr>
          <w:rStyle w:val="FootnoteReference"/>
        </w:rPr>
        <w:footnoteRef/>
      </w:r>
      <w:r>
        <w:t xml:space="preserve"> On 1 July 2012, </w:t>
      </w:r>
      <w:r w:rsidRPr="00340492">
        <w:t>Category A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6B172D" w:rsidRPr="00B063B7" w:rsidRDefault="006B172D" w:rsidP="00526112">
      <w:pPr>
        <w:pStyle w:val="Footer"/>
        <w:rPr>
          <w:rStyle w:val="Hyperlink"/>
          <w:rFonts w:cs="Arial"/>
          <w:sz w:val="16"/>
          <w:szCs w:val="16"/>
        </w:rPr>
      </w:pPr>
    </w:p>
    <w:p w:rsidR="006B172D" w:rsidRPr="00DC4BF3" w:rsidRDefault="006B172D"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4">
    <w:p w:rsidR="006B172D" w:rsidRDefault="006B172D" w:rsidP="00B75E75">
      <w:pPr>
        <w:pStyle w:val="FootnoteText"/>
      </w:pPr>
      <w:r>
        <w:rPr>
          <w:rStyle w:val="FootnoteReference"/>
        </w:rPr>
        <w:footnoteRef/>
      </w:r>
      <w:r>
        <w:t xml:space="preserve"> See footnotes 2 and 3 on Page 1</w:t>
      </w:r>
    </w:p>
  </w:footnote>
  <w:footnote w:id="5">
    <w:p w:rsidR="006B172D" w:rsidRDefault="006B172D"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6">
    <w:p w:rsidR="006B172D" w:rsidRDefault="006B172D">
      <w:pPr>
        <w:pStyle w:val="FootnoteText"/>
      </w:pPr>
      <w:r>
        <w:rPr>
          <w:rStyle w:val="FootnoteReference"/>
        </w:rPr>
        <w:footnoteRef/>
      </w:r>
      <w:r>
        <w:t xml:space="preserve"> Further information on the Ambulance Response Programme is available from the NHS England Website </w:t>
      </w:r>
      <w:hyperlink r:id="rId4" w:history="1">
        <w:r>
          <w:rPr>
            <w:rStyle w:val="Hyperlink"/>
          </w:rPr>
          <w:t>https://www.england.nhs.uk/ourwork/qual-clin-lead/arp/</w:t>
        </w:r>
      </w:hyperlink>
    </w:p>
  </w:footnote>
  <w:footnote w:id="7">
    <w:p w:rsidR="006B172D" w:rsidRDefault="006B172D" w:rsidP="00B75E75">
      <w:pPr>
        <w:pStyle w:val="FootnoteText"/>
      </w:pPr>
      <w:r>
        <w:rPr>
          <w:rStyle w:val="FootnoteReference"/>
        </w:rPr>
        <w:footnoteRef/>
      </w:r>
      <w:r>
        <w:t xml:space="preserve"> See footnote 3 on page 1</w:t>
      </w:r>
    </w:p>
  </w:footnote>
  <w:footnote w:id="8">
    <w:p w:rsidR="006B172D" w:rsidRDefault="006B172D"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footnote>
  <w:footnote w:id="9">
    <w:p w:rsidR="006B172D" w:rsidRDefault="006B172D" w:rsidP="00191AB9">
      <w:pPr>
        <w:pStyle w:val="Footer"/>
      </w:pPr>
      <w:r>
        <w:rPr>
          <w:rStyle w:val="FootnoteReference"/>
        </w:rPr>
        <w:footnoteRef/>
      </w:r>
      <w:r>
        <w:t xml:space="preserve"> Type 1 are consultant-led 24 hour emergency departments with full resuscitation facilities.</w:t>
      </w:r>
    </w:p>
    <w:p w:rsidR="006B172D" w:rsidRDefault="006B172D" w:rsidP="00191AB9">
      <w:pPr>
        <w:pStyle w:val="Footer"/>
      </w:pPr>
      <w:r>
        <w:t>Type 2 offer a consultant-led speciality A&amp;E service such as ophthalmology or dental.</w:t>
      </w:r>
    </w:p>
    <w:p w:rsidR="006B172D" w:rsidRDefault="006B172D"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6B172D" w:rsidRDefault="006B172D"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0">
    <w:p w:rsidR="006B172D" w:rsidRDefault="006B172D" w:rsidP="00580834">
      <w:pPr>
        <w:pStyle w:val="FootnoteText"/>
      </w:pPr>
      <w:r>
        <w:rPr>
          <w:rStyle w:val="FootnoteReference"/>
        </w:rPr>
        <w:footnoteRef/>
      </w:r>
      <w:r>
        <w:t xml:space="preserve"> </w:t>
      </w:r>
      <w:r w:rsidRPr="00A44168">
        <w:t>Due to its small size, performance on Isle of Wight tends to vary more than other trusts. If it has the largest or smallest value, the Table in A</w:t>
      </w:r>
      <w:r>
        <w:t>6</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footnote>
  <w:footnote w:id="11">
    <w:p w:rsidR="00315AC6" w:rsidRDefault="00315AC6">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2">
    <w:p w:rsidR="006B172D" w:rsidRDefault="006B172D" w:rsidP="007E28DC">
      <w:pPr>
        <w:pStyle w:val="FootnoteText"/>
      </w:pPr>
      <w:r>
        <w:rPr>
          <w:rStyle w:val="FootnoteReference"/>
        </w:rPr>
        <w:footnoteRef/>
      </w:r>
      <w:r>
        <w:t xml:space="preserve"> </w:t>
      </w:r>
      <w:r w:rsidRPr="007920B1">
        <w:t xml:space="preserve">This definition was proposed at </w:t>
      </w:r>
      <w:proofErr w:type="spellStart"/>
      <w:r w:rsidRPr="007920B1">
        <w:t>Utstein</w:t>
      </w:r>
      <w:proofErr w:type="spellEnd"/>
      <w:r w:rsidRPr="007920B1">
        <w:t xml:space="preserve">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416EE1">
          <w:rPr>
            <w:rStyle w:val="Hyperlink"/>
          </w:rPr>
          <w:t>http://circ.ahajournals.org/content/84/2/960.citation</w:t>
        </w:r>
      </w:hyperlink>
    </w:p>
  </w:footnote>
  <w:footnote w:id="13">
    <w:p w:rsidR="006B172D" w:rsidRDefault="006B172D" w:rsidP="00446F33">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4">
    <w:p w:rsidR="006B172D" w:rsidRDefault="006B172D"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5">
    <w:p w:rsidR="003D4452" w:rsidRDefault="003D4452">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72D" w:rsidRDefault="006B172D" w:rsidP="00EC40BA">
    <w:pPr>
      <w:pStyle w:val="Header"/>
      <w:tabs>
        <w:tab w:val="clear" w:pos="9026"/>
        <w:tab w:val="left" w:pos="3255"/>
        <w:tab w:val="right" w:pos="9923"/>
      </w:tabs>
      <w:ind w:right="-238" w:hanging="851"/>
    </w:pPr>
    <w:r>
      <w:rPr>
        <w:noProof/>
      </w:rPr>
      <w:drawing>
        <wp:inline distT="0" distB="0" distL="0" distR="0" wp14:anchorId="7257B284" wp14:editId="296870A9">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26B6BCDE" wp14:editId="4B785056">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6B172D" w:rsidRDefault="006B172D"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7EAE"/>
    <w:rsid w:val="00012199"/>
    <w:rsid w:val="00014432"/>
    <w:rsid w:val="000162BC"/>
    <w:rsid w:val="00017E64"/>
    <w:rsid w:val="00017EE8"/>
    <w:rsid w:val="00020F43"/>
    <w:rsid w:val="00022061"/>
    <w:rsid w:val="00022C19"/>
    <w:rsid w:val="00022C9A"/>
    <w:rsid w:val="00024821"/>
    <w:rsid w:val="000274BA"/>
    <w:rsid w:val="0003046C"/>
    <w:rsid w:val="00032244"/>
    <w:rsid w:val="00033CF1"/>
    <w:rsid w:val="00033D02"/>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20"/>
    <w:rsid w:val="000D3E6B"/>
    <w:rsid w:val="000D3FB5"/>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519E"/>
    <w:rsid w:val="000E6163"/>
    <w:rsid w:val="000E66BF"/>
    <w:rsid w:val="000E78DB"/>
    <w:rsid w:val="000F027D"/>
    <w:rsid w:val="000F0D83"/>
    <w:rsid w:val="000F2505"/>
    <w:rsid w:val="000F2BCC"/>
    <w:rsid w:val="000F3EC8"/>
    <w:rsid w:val="000F4631"/>
    <w:rsid w:val="000F537D"/>
    <w:rsid w:val="000F5B3F"/>
    <w:rsid w:val="000F5FB4"/>
    <w:rsid w:val="000F6221"/>
    <w:rsid w:val="001000B2"/>
    <w:rsid w:val="00104812"/>
    <w:rsid w:val="0010506D"/>
    <w:rsid w:val="00106538"/>
    <w:rsid w:val="00107C32"/>
    <w:rsid w:val="00110E64"/>
    <w:rsid w:val="00111B6E"/>
    <w:rsid w:val="00113395"/>
    <w:rsid w:val="0011384E"/>
    <w:rsid w:val="00115FF0"/>
    <w:rsid w:val="00116208"/>
    <w:rsid w:val="001171E8"/>
    <w:rsid w:val="00120401"/>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4FE3"/>
    <w:rsid w:val="00145910"/>
    <w:rsid w:val="00145BE4"/>
    <w:rsid w:val="00146D12"/>
    <w:rsid w:val="001476C3"/>
    <w:rsid w:val="00151236"/>
    <w:rsid w:val="0015128C"/>
    <w:rsid w:val="00151567"/>
    <w:rsid w:val="00151AF2"/>
    <w:rsid w:val="0015216C"/>
    <w:rsid w:val="00155E50"/>
    <w:rsid w:val="00156A47"/>
    <w:rsid w:val="001601F1"/>
    <w:rsid w:val="00160F31"/>
    <w:rsid w:val="00163FFB"/>
    <w:rsid w:val="0016646E"/>
    <w:rsid w:val="00166DF4"/>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4A7F"/>
    <w:rsid w:val="001E5191"/>
    <w:rsid w:val="001E522B"/>
    <w:rsid w:val="001E734D"/>
    <w:rsid w:val="001E75EA"/>
    <w:rsid w:val="001F1181"/>
    <w:rsid w:val="001F1305"/>
    <w:rsid w:val="001F27E7"/>
    <w:rsid w:val="001F48A8"/>
    <w:rsid w:val="001F634A"/>
    <w:rsid w:val="001F7230"/>
    <w:rsid w:val="002029B2"/>
    <w:rsid w:val="00203093"/>
    <w:rsid w:val="0020340B"/>
    <w:rsid w:val="00203B4C"/>
    <w:rsid w:val="002055F7"/>
    <w:rsid w:val="002067E2"/>
    <w:rsid w:val="002108EC"/>
    <w:rsid w:val="00210E7E"/>
    <w:rsid w:val="00214510"/>
    <w:rsid w:val="00214A55"/>
    <w:rsid w:val="00215414"/>
    <w:rsid w:val="002179D8"/>
    <w:rsid w:val="0022110E"/>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7D97"/>
    <w:rsid w:val="0025006E"/>
    <w:rsid w:val="00250AB3"/>
    <w:rsid w:val="00251383"/>
    <w:rsid w:val="00251854"/>
    <w:rsid w:val="00251C67"/>
    <w:rsid w:val="002529A4"/>
    <w:rsid w:val="00252C62"/>
    <w:rsid w:val="00253E22"/>
    <w:rsid w:val="00254237"/>
    <w:rsid w:val="0025490C"/>
    <w:rsid w:val="00254B9C"/>
    <w:rsid w:val="0025533D"/>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5C0B"/>
    <w:rsid w:val="002760F7"/>
    <w:rsid w:val="00276BB6"/>
    <w:rsid w:val="00277342"/>
    <w:rsid w:val="0028035E"/>
    <w:rsid w:val="00280386"/>
    <w:rsid w:val="0028118E"/>
    <w:rsid w:val="00282930"/>
    <w:rsid w:val="002862A9"/>
    <w:rsid w:val="002869F1"/>
    <w:rsid w:val="00291297"/>
    <w:rsid w:val="00291664"/>
    <w:rsid w:val="0029257D"/>
    <w:rsid w:val="002929F3"/>
    <w:rsid w:val="0029364B"/>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0FDA"/>
    <w:rsid w:val="002F1115"/>
    <w:rsid w:val="002F23C6"/>
    <w:rsid w:val="002F3C5E"/>
    <w:rsid w:val="002F5002"/>
    <w:rsid w:val="002F5385"/>
    <w:rsid w:val="002F6A2B"/>
    <w:rsid w:val="002F7555"/>
    <w:rsid w:val="00300176"/>
    <w:rsid w:val="00300551"/>
    <w:rsid w:val="003005B7"/>
    <w:rsid w:val="00305C9D"/>
    <w:rsid w:val="00305EA9"/>
    <w:rsid w:val="00305F1A"/>
    <w:rsid w:val="003076B8"/>
    <w:rsid w:val="00310203"/>
    <w:rsid w:val="0031043B"/>
    <w:rsid w:val="0031060B"/>
    <w:rsid w:val="0031228A"/>
    <w:rsid w:val="00312B69"/>
    <w:rsid w:val="0031323B"/>
    <w:rsid w:val="0031323E"/>
    <w:rsid w:val="00314C64"/>
    <w:rsid w:val="0031580B"/>
    <w:rsid w:val="00315AC6"/>
    <w:rsid w:val="00317248"/>
    <w:rsid w:val="00317C23"/>
    <w:rsid w:val="00320970"/>
    <w:rsid w:val="00321DF8"/>
    <w:rsid w:val="00322346"/>
    <w:rsid w:val="003224D0"/>
    <w:rsid w:val="00324709"/>
    <w:rsid w:val="0032556F"/>
    <w:rsid w:val="00325786"/>
    <w:rsid w:val="0032599C"/>
    <w:rsid w:val="003265C0"/>
    <w:rsid w:val="00326A6F"/>
    <w:rsid w:val="00326C83"/>
    <w:rsid w:val="003275B2"/>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BD0"/>
    <w:rsid w:val="003602C0"/>
    <w:rsid w:val="00360AFD"/>
    <w:rsid w:val="0036294E"/>
    <w:rsid w:val="003635DF"/>
    <w:rsid w:val="00363C6A"/>
    <w:rsid w:val="0036445B"/>
    <w:rsid w:val="003663E1"/>
    <w:rsid w:val="0036736E"/>
    <w:rsid w:val="003674CA"/>
    <w:rsid w:val="003708E7"/>
    <w:rsid w:val="00371D33"/>
    <w:rsid w:val="003723D5"/>
    <w:rsid w:val="0037489E"/>
    <w:rsid w:val="00376AE1"/>
    <w:rsid w:val="00377786"/>
    <w:rsid w:val="00377FF6"/>
    <w:rsid w:val="00380E72"/>
    <w:rsid w:val="00381D71"/>
    <w:rsid w:val="00383D0F"/>
    <w:rsid w:val="00384DC4"/>
    <w:rsid w:val="0038780E"/>
    <w:rsid w:val="00387879"/>
    <w:rsid w:val="003909BA"/>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164C"/>
    <w:rsid w:val="003B1A32"/>
    <w:rsid w:val="003B3CC0"/>
    <w:rsid w:val="003B4AEC"/>
    <w:rsid w:val="003B60C2"/>
    <w:rsid w:val="003B628A"/>
    <w:rsid w:val="003C007F"/>
    <w:rsid w:val="003C11F6"/>
    <w:rsid w:val="003C183D"/>
    <w:rsid w:val="003C1F17"/>
    <w:rsid w:val="003C24D1"/>
    <w:rsid w:val="003C3939"/>
    <w:rsid w:val="003C39F0"/>
    <w:rsid w:val="003C63FF"/>
    <w:rsid w:val="003D4452"/>
    <w:rsid w:val="003D5086"/>
    <w:rsid w:val="003D5BC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6F33"/>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A06B6"/>
    <w:rsid w:val="004A070C"/>
    <w:rsid w:val="004A1C61"/>
    <w:rsid w:val="004A2A45"/>
    <w:rsid w:val="004A463E"/>
    <w:rsid w:val="004A6F8B"/>
    <w:rsid w:val="004A75D3"/>
    <w:rsid w:val="004B1694"/>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43B9"/>
    <w:rsid w:val="004D487C"/>
    <w:rsid w:val="004D49FF"/>
    <w:rsid w:val="004D6E3F"/>
    <w:rsid w:val="004F2D5D"/>
    <w:rsid w:val="004F34AD"/>
    <w:rsid w:val="004F37AE"/>
    <w:rsid w:val="004F3810"/>
    <w:rsid w:val="004F3ED3"/>
    <w:rsid w:val="004F47C7"/>
    <w:rsid w:val="004F6290"/>
    <w:rsid w:val="004F6A66"/>
    <w:rsid w:val="005005D8"/>
    <w:rsid w:val="00500FB1"/>
    <w:rsid w:val="00501034"/>
    <w:rsid w:val="005012E3"/>
    <w:rsid w:val="00503D8A"/>
    <w:rsid w:val="005040C4"/>
    <w:rsid w:val="00504B11"/>
    <w:rsid w:val="00505BBA"/>
    <w:rsid w:val="0051070B"/>
    <w:rsid w:val="00511984"/>
    <w:rsid w:val="00511E6D"/>
    <w:rsid w:val="00513897"/>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D2"/>
    <w:rsid w:val="00531A75"/>
    <w:rsid w:val="0053266B"/>
    <w:rsid w:val="0053310C"/>
    <w:rsid w:val="00533D03"/>
    <w:rsid w:val="005347A4"/>
    <w:rsid w:val="00535F16"/>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4C4A"/>
    <w:rsid w:val="0057661C"/>
    <w:rsid w:val="00576B86"/>
    <w:rsid w:val="005772D5"/>
    <w:rsid w:val="00577719"/>
    <w:rsid w:val="00577DB6"/>
    <w:rsid w:val="00580834"/>
    <w:rsid w:val="0058136B"/>
    <w:rsid w:val="00581B52"/>
    <w:rsid w:val="00581E8E"/>
    <w:rsid w:val="0058243A"/>
    <w:rsid w:val="0058367E"/>
    <w:rsid w:val="00583FB1"/>
    <w:rsid w:val="00584D90"/>
    <w:rsid w:val="00586B8E"/>
    <w:rsid w:val="0058750D"/>
    <w:rsid w:val="00587D4D"/>
    <w:rsid w:val="005945B8"/>
    <w:rsid w:val="005946BA"/>
    <w:rsid w:val="005950EE"/>
    <w:rsid w:val="005954D8"/>
    <w:rsid w:val="0059638C"/>
    <w:rsid w:val="00597ACE"/>
    <w:rsid w:val="005A176C"/>
    <w:rsid w:val="005A314A"/>
    <w:rsid w:val="005A3958"/>
    <w:rsid w:val="005A3AC4"/>
    <w:rsid w:val="005A3FF9"/>
    <w:rsid w:val="005A491D"/>
    <w:rsid w:val="005A6A3C"/>
    <w:rsid w:val="005A79AD"/>
    <w:rsid w:val="005B0A25"/>
    <w:rsid w:val="005B18AD"/>
    <w:rsid w:val="005B2160"/>
    <w:rsid w:val="005B4A17"/>
    <w:rsid w:val="005B5438"/>
    <w:rsid w:val="005B5932"/>
    <w:rsid w:val="005B6117"/>
    <w:rsid w:val="005B6A5B"/>
    <w:rsid w:val="005B7945"/>
    <w:rsid w:val="005B7C87"/>
    <w:rsid w:val="005C1025"/>
    <w:rsid w:val="005C1BA6"/>
    <w:rsid w:val="005C1D5F"/>
    <w:rsid w:val="005C42AC"/>
    <w:rsid w:val="005C4D74"/>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172D"/>
    <w:rsid w:val="006B2BEA"/>
    <w:rsid w:val="006B3E8A"/>
    <w:rsid w:val="006B5D1C"/>
    <w:rsid w:val="006B5DB7"/>
    <w:rsid w:val="006B6721"/>
    <w:rsid w:val="006B6BD1"/>
    <w:rsid w:val="006B7501"/>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404"/>
    <w:rsid w:val="007017DC"/>
    <w:rsid w:val="00701D5C"/>
    <w:rsid w:val="0070276C"/>
    <w:rsid w:val="007027B5"/>
    <w:rsid w:val="00702DCC"/>
    <w:rsid w:val="00705EA9"/>
    <w:rsid w:val="00706C80"/>
    <w:rsid w:val="00706F94"/>
    <w:rsid w:val="00707E84"/>
    <w:rsid w:val="00710213"/>
    <w:rsid w:val="00711FE9"/>
    <w:rsid w:val="00712AAC"/>
    <w:rsid w:val="007154E1"/>
    <w:rsid w:val="007155C3"/>
    <w:rsid w:val="0071673C"/>
    <w:rsid w:val="00717328"/>
    <w:rsid w:val="007177B5"/>
    <w:rsid w:val="007177FD"/>
    <w:rsid w:val="00720B11"/>
    <w:rsid w:val="00721C10"/>
    <w:rsid w:val="00723160"/>
    <w:rsid w:val="00724971"/>
    <w:rsid w:val="00724E90"/>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2540"/>
    <w:rsid w:val="00753EA9"/>
    <w:rsid w:val="00757386"/>
    <w:rsid w:val="007573D5"/>
    <w:rsid w:val="00757B05"/>
    <w:rsid w:val="00761A58"/>
    <w:rsid w:val="00761FF8"/>
    <w:rsid w:val="007639D5"/>
    <w:rsid w:val="0076596A"/>
    <w:rsid w:val="00767475"/>
    <w:rsid w:val="00767CFF"/>
    <w:rsid w:val="007700CE"/>
    <w:rsid w:val="00771043"/>
    <w:rsid w:val="00774123"/>
    <w:rsid w:val="007744F8"/>
    <w:rsid w:val="00775632"/>
    <w:rsid w:val="00775DE6"/>
    <w:rsid w:val="0077674C"/>
    <w:rsid w:val="007804B7"/>
    <w:rsid w:val="00780F7F"/>
    <w:rsid w:val="00781110"/>
    <w:rsid w:val="007920B1"/>
    <w:rsid w:val="0079282B"/>
    <w:rsid w:val="00793175"/>
    <w:rsid w:val="00793660"/>
    <w:rsid w:val="0079446A"/>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6125"/>
    <w:rsid w:val="007C6985"/>
    <w:rsid w:val="007C7FEC"/>
    <w:rsid w:val="007D1A84"/>
    <w:rsid w:val="007D2560"/>
    <w:rsid w:val="007D2957"/>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6A50"/>
    <w:rsid w:val="00806B8A"/>
    <w:rsid w:val="008076E2"/>
    <w:rsid w:val="0081046A"/>
    <w:rsid w:val="008113A4"/>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40D3"/>
    <w:rsid w:val="0083552B"/>
    <w:rsid w:val="00837B74"/>
    <w:rsid w:val="0084043C"/>
    <w:rsid w:val="008404D1"/>
    <w:rsid w:val="00840AFC"/>
    <w:rsid w:val="00841DFF"/>
    <w:rsid w:val="00842445"/>
    <w:rsid w:val="00843ABC"/>
    <w:rsid w:val="00844712"/>
    <w:rsid w:val="00845B66"/>
    <w:rsid w:val="00845D8F"/>
    <w:rsid w:val="00846A8F"/>
    <w:rsid w:val="00850F3E"/>
    <w:rsid w:val="00853169"/>
    <w:rsid w:val="0085317B"/>
    <w:rsid w:val="00853643"/>
    <w:rsid w:val="0085446E"/>
    <w:rsid w:val="008577B6"/>
    <w:rsid w:val="008602D9"/>
    <w:rsid w:val="00861B67"/>
    <w:rsid w:val="00862969"/>
    <w:rsid w:val="00863776"/>
    <w:rsid w:val="00864978"/>
    <w:rsid w:val="00864BBA"/>
    <w:rsid w:val="00865E6C"/>
    <w:rsid w:val="00867D59"/>
    <w:rsid w:val="0087012E"/>
    <w:rsid w:val="008715F2"/>
    <w:rsid w:val="00871ADB"/>
    <w:rsid w:val="008738D2"/>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B6070"/>
    <w:rsid w:val="008C3945"/>
    <w:rsid w:val="008C4A29"/>
    <w:rsid w:val="008C4B8B"/>
    <w:rsid w:val="008C5A76"/>
    <w:rsid w:val="008C63D3"/>
    <w:rsid w:val="008D1CF1"/>
    <w:rsid w:val="008D2F54"/>
    <w:rsid w:val="008D50FB"/>
    <w:rsid w:val="008D522C"/>
    <w:rsid w:val="008D61DF"/>
    <w:rsid w:val="008D69BA"/>
    <w:rsid w:val="008D71A9"/>
    <w:rsid w:val="008E01BD"/>
    <w:rsid w:val="008E2FEE"/>
    <w:rsid w:val="008E3542"/>
    <w:rsid w:val="008E3FCB"/>
    <w:rsid w:val="008E41D7"/>
    <w:rsid w:val="008E44F8"/>
    <w:rsid w:val="008E4F65"/>
    <w:rsid w:val="008E5931"/>
    <w:rsid w:val="008E5DE6"/>
    <w:rsid w:val="008E63CD"/>
    <w:rsid w:val="008E6B23"/>
    <w:rsid w:val="008E7272"/>
    <w:rsid w:val="008E76CC"/>
    <w:rsid w:val="008E78E8"/>
    <w:rsid w:val="008F1385"/>
    <w:rsid w:val="008F1FAB"/>
    <w:rsid w:val="008F22AB"/>
    <w:rsid w:val="008F3CD2"/>
    <w:rsid w:val="008F3E74"/>
    <w:rsid w:val="008F51D9"/>
    <w:rsid w:val="008F5EE8"/>
    <w:rsid w:val="008F63D2"/>
    <w:rsid w:val="008F7386"/>
    <w:rsid w:val="008F7441"/>
    <w:rsid w:val="008F746E"/>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960"/>
    <w:rsid w:val="00915F3E"/>
    <w:rsid w:val="00917404"/>
    <w:rsid w:val="009207F3"/>
    <w:rsid w:val="00921797"/>
    <w:rsid w:val="00921ACE"/>
    <w:rsid w:val="00921B50"/>
    <w:rsid w:val="00921DB1"/>
    <w:rsid w:val="00922AD2"/>
    <w:rsid w:val="00924E3D"/>
    <w:rsid w:val="00925910"/>
    <w:rsid w:val="00927612"/>
    <w:rsid w:val="0092770A"/>
    <w:rsid w:val="009317A9"/>
    <w:rsid w:val="0093457E"/>
    <w:rsid w:val="00936DF8"/>
    <w:rsid w:val="00940957"/>
    <w:rsid w:val="00940A61"/>
    <w:rsid w:val="00940ADF"/>
    <w:rsid w:val="009416A0"/>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46A"/>
    <w:rsid w:val="00980036"/>
    <w:rsid w:val="00980342"/>
    <w:rsid w:val="00981224"/>
    <w:rsid w:val="00983F79"/>
    <w:rsid w:val="00984A60"/>
    <w:rsid w:val="00984ACC"/>
    <w:rsid w:val="00985A23"/>
    <w:rsid w:val="00985E54"/>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B05BF"/>
    <w:rsid w:val="009B166A"/>
    <w:rsid w:val="009B36B1"/>
    <w:rsid w:val="009B3C39"/>
    <w:rsid w:val="009B5925"/>
    <w:rsid w:val="009B5D9A"/>
    <w:rsid w:val="009B72C4"/>
    <w:rsid w:val="009C067D"/>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D07"/>
    <w:rsid w:val="009F060C"/>
    <w:rsid w:val="009F0F7A"/>
    <w:rsid w:val="009F1FA7"/>
    <w:rsid w:val="009F215E"/>
    <w:rsid w:val="009F3761"/>
    <w:rsid w:val="009F3BDF"/>
    <w:rsid w:val="009F4CA7"/>
    <w:rsid w:val="009F620F"/>
    <w:rsid w:val="009F7F26"/>
    <w:rsid w:val="00A039C6"/>
    <w:rsid w:val="00A03F51"/>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104B"/>
    <w:rsid w:val="00A31BC8"/>
    <w:rsid w:val="00A32B3E"/>
    <w:rsid w:val="00A32CDF"/>
    <w:rsid w:val="00A33BDB"/>
    <w:rsid w:val="00A33EB4"/>
    <w:rsid w:val="00A34C09"/>
    <w:rsid w:val="00A34CB7"/>
    <w:rsid w:val="00A35491"/>
    <w:rsid w:val="00A4253D"/>
    <w:rsid w:val="00A42A6B"/>
    <w:rsid w:val="00A44168"/>
    <w:rsid w:val="00A458E0"/>
    <w:rsid w:val="00A4662B"/>
    <w:rsid w:val="00A4673D"/>
    <w:rsid w:val="00A46C32"/>
    <w:rsid w:val="00A46CDB"/>
    <w:rsid w:val="00A520B5"/>
    <w:rsid w:val="00A53626"/>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C730A"/>
    <w:rsid w:val="00AD0455"/>
    <w:rsid w:val="00AD051D"/>
    <w:rsid w:val="00AD056A"/>
    <w:rsid w:val="00AD0D55"/>
    <w:rsid w:val="00AD1B9C"/>
    <w:rsid w:val="00AD5BDC"/>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388"/>
    <w:rsid w:val="00B02804"/>
    <w:rsid w:val="00B03698"/>
    <w:rsid w:val="00B04C7D"/>
    <w:rsid w:val="00B05CB0"/>
    <w:rsid w:val="00B063B7"/>
    <w:rsid w:val="00B0776C"/>
    <w:rsid w:val="00B105F7"/>
    <w:rsid w:val="00B10ECF"/>
    <w:rsid w:val="00B117F9"/>
    <w:rsid w:val="00B11E4B"/>
    <w:rsid w:val="00B143DF"/>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40C2F"/>
    <w:rsid w:val="00B412D1"/>
    <w:rsid w:val="00B41F06"/>
    <w:rsid w:val="00B430AD"/>
    <w:rsid w:val="00B43524"/>
    <w:rsid w:val="00B43FD3"/>
    <w:rsid w:val="00B441CC"/>
    <w:rsid w:val="00B45B8D"/>
    <w:rsid w:val="00B4687B"/>
    <w:rsid w:val="00B477EF"/>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A07B3"/>
    <w:rsid w:val="00BA3204"/>
    <w:rsid w:val="00BA610C"/>
    <w:rsid w:val="00BB12B3"/>
    <w:rsid w:val="00BB35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72B7"/>
    <w:rsid w:val="00BE741D"/>
    <w:rsid w:val="00BE7809"/>
    <w:rsid w:val="00BE7849"/>
    <w:rsid w:val="00BE79C9"/>
    <w:rsid w:val="00BF1103"/>
    <w:rsid w:val="00BF249B"/>
    <w:rsid w:val="00BF2C50"/>
    <w:rsid w:val="00BF4628"/>
    <w:rsid w:val="00BF574C"/>
    <w:rsid w:val="00BF5DA3"/>
    <w:rsid w:val="00BF7A8A"/>
    <w:rsid w:val="00C00BBA"/>
    <w:rsid w:val="00C0131F"/>
    <w:rsid w:val="00C0220F"/>
    <w:rsid w:val="00C03C2F"/>
    <w:rsid w:val="00C03D2B"/>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2E09"/>
    <w:rsid w:val="00C63DFD"/>
    <w:rsid w:val="00C64019"/>
    <w:rsid w:val="00C64DAF"/>
    <w:rsid w:val="00C667EE"/>
    <w:rsid w:val="00C66ACE"/>
    <w:rsid w:val="00C705C6"/>
    <w:rsid w:val="00C70840"/>
    <w:rsid w:val="00C70AC7"/>
    <w:rsid w:val="00C70C05"/>
    <w:rsid w:val="00C71776"/>
    <w:rsid w:val="00C71CE3"/>
    <w:rsid w:val="00C730D9"/>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34B2"/>
    <w:rsid w:val="00C93A2D"/>
    <w:rsid w:val="00C9489C"/>
    <w:rsid w:val="00C94BBC"/>
    <w:rsid w:val="00C957A6"/>
    <w:rsid w:val="00C95B24"/>
    <w:rsid w:val="00C96A98"/>
    <w:rsid w:val="00C973AE"/>
    <w:rsid w:val="00C9746F"/>
    <w:rsid w:val="00CA1266"/>
    <w:rsid w:val="00CA1AE1"/>
    <w:rsid w:val="00CA3CDC"/>
    <w:rsid w:val="00CA53CE"/>
    <w:rsid w:val="00CA5B86"/>
    <w:rsid w:val="00CB2E00"/>
    <w:rsid w:val="00CB4069"/>
    <w:rsid w:val="00CB545E"/>
    <w:rsid w:val="00CB58C3"/>
    <w:rsid w:val="00CB758D"/>
    <w:rsid w:val="00CB7A0D"/>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E9F"/>
    <w:rsid w:val="00CF0FEA"/>
    <w:rsid w:val="00CF12AE"/>
    <w:rsid w:val="00CF1DB8"/>
    <w:rsid w:val="00CF22D9"/>
    <w:rsid w:val="00CF2301"/>
    <w:rsid w:val="00D01436"/>
    <w:rsid w:val="00D028C8"/>
    <w:rsid w:val="00D02FA8"/>
    <w:rsid w:val="00D02FAE"/>
    <w:rsid w:val="00D03A3C"/>
    <w:rsid w:val="00D04006"/>
    <w:rsid w:val="00D04686"/>
    <w:rsid w:val="00D05B8F"/>
    <w:rsid w:val="00D064D4"/>
    <w:rsid w:val="00D10647"/>
    <w:rsid w:val="00D1102E"/>
    <w:rsid w:val="00D11CB6"/>
    <w:rsid w:val="00D12038"/>
    <w:rsid w:val="00D124B3"/>
    <w:rsid w:val="00D13275"/>
    <w:rsid w:val="00D1660D"/>
    <w:rsid w:val="00D166D9"/>
    <w:rsid w:val="00D16AE3"/>
    <w:rsid w:val="00D22260"/>
    <w:rsid w:val="00D2535D"/>
    <w:rsid w:val="00D25CD8"/>
    <w:rsid w:val="00D26C0F"/>
    <w:rsid w:val="00D26D7A"/>
    <w:rsid w:val="00D30055"/>
    <w:rsid w:val="00D30DAF"/>
    <w:rsid w:val="00D31D0D"/>
    <w:rsid w:val="00D3262A"/>
    <w:rsid w:val="00D33852"/>
    <w:rsid w:val="00D33D33"/>
    <w:rsid w:val="00D348E4"/>
    <w:rsid w:val="00D35203"/>
    <w:rsid w:val="00D379EC"/>
    <w:rsid w:val="00D37FEA"/>
    <w:rsid w:val="00D40138"/>
    <w:rsid w:val="00D4130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056"/>
    <w:rsid w:val="00D706BD"/>
    <w:rsid w:val="00D71457"/>
    <w:rsid w:val="00D7215A"/>
    <w:rsid w:val="00D721ED"/>
    <w:rsid w:val="00D727BC"/>
    <w:rsid w:val="00D72F12"/>
    <w:rsid w:val="00D74651"/>
    <w:rsid w:val="00D75F20"/>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652D"/>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2E5"/>
    <w:rsid w:val="00DF1F6C"/>
    <w:rsid w:val="00DF3C09"/>
    <w:rsid w:val="00DF524B"/>
    <w:rsid w:val="00DF5D18"/>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8EF"/>
    <w:rsid w:val="00E324F3"/>
    <w:rsid w:val="00E326E7"/>
    <w:rsid w:val="00E33061"/>
    <w:rsid w:val="00E34FE9"/>
    <w:rsid w:val="00E35902"/>
    <w:rsid w:val="00E40720"/>
    <w:rsid w:val="00E41296"/>
    <w:rsid w:val="00E41830"/>
    <w:rsid w:val="00E41E8F"/>
    <w:rsid w:val="00E428FA"/>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9AA"/>
    <w:rsid w:val="00E74035"/>
    <w:rsid w:val="00E74070"/>
    <w:rsid w:val="00E759ED"/>
    <w:rsid w:val="00E76C17"/>
    <w:rsid w:val="00E77913"/>
    <w:rsid w:val="00E77EB6"/>
    <w:rsid w:val="00E8050D"/>
    <w:rsid w:val="00E80B0C"/>
    <w:rsid w:val="00E825BE"/>
    <w:rsid w:val="00E853D7"/>
    <w:rsid w:val="00E853DC"/>
    <w:rsid w:val="00E8712C"/>
    <w:rsid w:val="00E908BC"/>
    <w:rsid w:val="00E90E54"/>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17"/>
    <w:rsid w:val="00EB4830"/>
    <w:rsid w:val="00EB4C29"/>
    <w:rsid w:val="00EB4DFD"/>
    <w:rsid w:val="00EB5410"/>
    <w:rsid w:val="00EB5DF3"/>
    <w:rsid w:val="00EB7483"/>
    <w:rsid w:val="00EC03AC"/>
    <w:rsid w:val="00EC40B1"/>
    <w:rsid w:val="00EC40BA"/>
    <w:rsid w:val="00EC587E"/>
    <w:rsid w:val="00EC590B"/>
    <w:rsid w:val="00EC60F1"/>
    <w:rsid w:val="00EC629A"/>
    <w:rsid w:val="00EC6346"/>
    <w:rsid w:val="00EC65C3"/>
    <w:rsid w:val="00ED0E97"/>
    <w:rsid w:val="00ED1702"/>
    <w:rsid w:val="00ED237F"/>
    <w:rsid w:val="00ED2A07"/>
    <w:rsid w:val="00ED2DED"/>
    <w:rsid w:val="00ED3292"/>
    <w:rsid w:val="00ED39A0"/>
    <w:rsid w:val="00ED3F78"/>
    <w:rsid w:val="00ED429A"/>
    <w:rsid w:val="00ED4AE1"/>
    <w:rsid w:val="00ED6D61"/>
    <w:rsid w:val="00ED7532"/>
    <w:rsid w:val="00EE0F1A"/>
    <w:rsid w:val="00EE3FA0"/>
    <w:rsid w:val="00EE570E"/>
    <w:rsid w:val="00EE6BE8"/>
    <w:rsid w:val="00EE7507"/>
    <w:rsid w:val="00EF2AAB"/>
    <w:rsid w:val="00EF2D87"/>
    <w:rsid w:val="00EF3A00"/>
    <w:rsid w:val="00EF3B4A"/>
    <w:rsid w:val="00EF3C6E"/>
    <w:rsid w:val="00EF56B7"/>
    <w:rsid w:val="00EF5ADA"/>
    <w:rsid w:val="00EF5E02"/>
    <w:rsid w:val="00EF6027"/>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516A"/>
    <w:rsid w:val="00F2562E"/>
    <w:rsid w:val="00F263FC"/>
    <w:rsid w:val="00F266D4"/>
    <w:rsid w:val="00F26900"/>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71D3"/>
    <w:rsid w:val="00F5150D"/>
    <w:rsid w:val="00F51851"/>
    <w:rsid w:val="00F55DB5"/>
    <w:rsid w:val="00F55F4C"/>
    <w:rsid w:val="00F56F7A"/>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61F"/>
    <w:rsid w:val="00F84799"/>
    <w:rsid w:val="00F912AC"/>
    <w:rsid w:val="00F91FF4"/>
    <w:rsid w:val="00F92432"/>
    <w:rsid w:val="00F924DA"/>
    <w:rsid w:val="00F92518"/>
    <w:rsid w:val="00F92A10"/>
    <w:rsid w:val="00F93974"/>
    <w:rsid w:val="00F93A98"/>
    <w:rsid w:val="00F94C99"/>
    <w:rsid w:val="00F96341"/>
    <w:rsid w:val="00FA13CC"/>
    <w:rsid w:val="00FA2CEC"/>
    <w:rsid w:val="00FA64C9"/>
    <w:rsid w:val="00FA68E8"/>
    <w:rsid w:val="00FB225C"/>
    <w:rsid w:val="00FB353C"/>
    <w:rsid w:val="00FB3C59"/>
    <w:rsid w:val="00FB42A2"/>
    <w:rsid w:val="00FB5A5C"/>
    <w:rsid w:val="00FB6979"/>
    <w:rsid w:val="00FB6A17"/>
    <w:rsid w:val="00FB7D9D"/>
    <w:rsid w:val="00FC33FF"/>
    <w:rsid w:val="00FC38C0"/>
    <w:rsid w:val="00FC44C3"/>
    <w:rsid w:val="00FC53E3"/>
    <w:rsid w:val="00FC6239"/>
    <w:rsid w:val="00FD01DA"/>
    <w:rsid w:val="00FD06F7"/>
    <w:rsid w:val="00FD1B03"/>
    <w:rsid w:val="00FD3168"/>
    <w:rsid w:val="00FD3C35"/>
    <w:rsid w:val="00FD4A85"/>
    <w:rsid w:val="00FD58E1"/>
    <w:rsid w:val="00FD5E5F"/>
    <w:rsid w:val="00FE0936"/>
    <w:rsid w:val="00FE12CD"/>
    <w:rsid w:val="00FE438D"/>
    <w:rsid w:val="00FE502E"/>
    <w:rsid w:val="00FE5BB0"/>
    <w:rsid w:val="00FE6538"/>
    <w:rsid w:val="00FE6896"/>
    <w:rsid w:val="00FE726A"/>
    <w:rsid w:val="00FF1418"/>
    <w:rsid w:val="00FF237D"/>
    <w:rsid w:val="00FF385A"/>
    <w:rsid w:val="00FF38FD"/>
    <w:rsid w:val="00FF3E21"/>
    <w:rsid w:val="00FF4218"/>
    <w:rsid w:val="00FF4219"/>
    <w:rsid w:val="00FF4366"/>
    <w:rsid w:val="00FF528E"/>
    <w:rsid w:val="00FF5DC5"/>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www.hscic.gov.uk/article/2021/Website-Search?q=ambulance+-accident&amp;sort=Title"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aace.org.uk/national-performance/national-clinical-dashboard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yperlink" Target="http://www.scottishambulance.com/TheService/BoardPape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ww.gov.uk/government/statistics/announcements" TargetMode="External"/><Relationship Id="rId32" Type="http://schemas.openxmlformats.org/officeDocument/2006/relationships/hyperlink" Target="mailto:i.kay@nhs.net"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bit.ly/NHSAQI" TargetMode="External"/><Relationship Id="rId28" Type="http://schemas.openxmlformats.org/officeDocument/2006/relationships/hyperlink" Target="http://wales.gov.uk/statistics-and-research/ambulance-services/?lang=en" TargetMode="Externa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yperlink" Target="http://www.england.nhs.uk/statistics/statistical-work-areas/ambulance-quality-indicators" TargetMode="External"/><Relationship Id="rId27" Type="http://schemas.openxmlformats.org/officeDocument/2006/relationships/hyperlink" Target="http://www.england.nhs.uk/statistics/statistical-work-areas/winter-daily-sitreps" TargetMode="External"/><Relationship Id="rId30" Type="http://schemas.openxmlformats.org/officeDocument/2006/relationships/hyperlink" Target="http://www.dhsspsni.gov.uk/index/statistics/hospital/emergency-care/ambulance-statistics.ht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84/2/960.citation"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s://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D536-4F56-40DC-8FFD-26E1ABC2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14</Pages>
  <Words>2886</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19582</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Armstrong, Johan (NHS England)</cp:lastModifiedBy>
  <cp:revision>111</cp:revision>
  <cp:lastPrinted>2016-09-06T08:48:00Z</cp:lastPrinted>
  <dcterms:created xsi:type="dcterms:W3CDTF">2016-06-13T15:30:00Z</dcterms:created>
  <dcterms:modified xsi:type="dcterms:W3CDTF">2016-11-08T11:25:00Z</dcterms:modified>
</cp:coreProperties>
</file>