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CF0EC8" w:rsidRDefault="00746333" w:rsidP="00663343">
      <w:pPr>
        <w:pStyle w:val="Heading1"/>
        <w:rPr>
          <w:lang w:eastAsia="en-GB"/>
        </w:rPr>
      </w:pPr>
      <w:bookmarkStart w:id="0" w:name="_GoBack"/>
      <w:bookmarkEnd w:id="0"/>
      <w:r>
        <w:rPr>
          <w:lang w:eastAsia="en-GB"/>
        </w:rPr>
        <w:t>N</w:t>
      </w:r>
      <w:r w:rsidR="00573AF0" w:rsidRPr="00CF0EC8">
        <w:rPr>
          <w:lang w:eastAsia="en-GB"/>
        </w:rPr>
        <w:t xml:space="preserve">HS 111 </w:t>
      </w:r>
      <w:r w:rsidR="00AE4C4B" w:rsidRPr="00CF0EC8">
        <w:rPr>
          <w:lang w:eastAsia="en-GB"/>
        </w:rPr>
        <w:t>Minimum Data Set</w:t>
      </w:r>
      <w:r w:rsidR="00663343">
        <w:rPr>
          <w:lang w:eastAsia="en-GB"/>
        </w:rPr>
        <w:t xml:space="preserve">, England, </w:t>
      </w:r>
      <w:r w:rsidR="00FD56BC">
        <w:rPr>
          <w:lang w:eastAsia="en-GB"/>
        </w:rPr>
        <w:t>M</w:t>
      </w:r>
      <w:r w:rsidR="004F0538">
        <w:rPr>
          <w:lang w:eastAsia="en-GB"/>
        </w:rPr>
        <w:t>ar</w:t>
      </w:r>
      <w:r w:rsidR="00FD56BC">
        <w:rPr>
          <w:lang w:eastAsia="en-GB"/>
        </w:rPr>
        <w:t>ch</w:t>
      </w:r>
      <w:r w:rsidR="0040634A">
        <w:rPr>
          <w:lang w:eastAsia="en-GB"/>
        </w:rPr>
        <w:t xml:space="preserve"> </w:t>
      </w:r>
      <w:r w:rsidR="004F0538">
        <w:rPr>
          <w:lang w:eastAsia="en-GB"/>
        </w:rPr>
        <w:t>2017</w:t>
      </w:r>
    </w:p>
    <w:p w:rsidR="00573AF0" w:rsidRPr="00573AF0" w:rsidRDefault="00573AF0" w:rsidP="00BE2611">
      <w:pPr>
        <w:pStyle w:val="Heading4"/>
      </w:pPr>
      <w:r w:rsidRPr="00573AF0">
        <w:t xml:space="preserve">Summary </w:t>
      </w:r>
    </w:p>
    <w:p w:rsidR="00326078" w:rsidRPr="00574985" w:rsidRDefault="00326078" w:rsidP="00A828E4">
      <w:pPr>
        <w:rPr>
          <w:rFonts w:cs="Times New Roman"/>
          <w:szCs w:val="20"/>
          <w:lang w:eastAsia="en-GB"/>
        </w:rPr>
      </w:pPr>
      <w:r w:rsidRPr="004D5EBB">
        <w:rPr>
          <w:rFonts w:cs="Times New Roman"/>
          <w:szCs w:val="20"/>
          <w:lang w:eastAsia="en-GB"/>
        </w:rPr>
        <w:t xml:space="preserve">There were </w:t>
      </w:r>
      <w:r w:rsidRPr="00574985">
        <w:rPr>
          <w:rFonts w:cs="Times New Roman"/>
          <w:szCs w:val="20"/>
          <w:lang w:eastAsia="en-GB"/>
        </w:rPr>
        <w:t>1,</w:t>
      </w:r>
      <w:r w:rsidR="00803817">
        <w:rPr>
          <w:rFonts w:cs="Times New Roman"/>
          <w:szCs w:val="20"/>
          <w:lang w:eastAsia="en-GB"/>
        </w:rPr>
        <w:t>2</w:t>
      </w:r>
      <w:r w:rsidR="000871A7">
        <w:rPr>
          <w:rFonts w:cs="Times New Roman"/>
          <w:szCs w:val="20"/>
          <w:lang w:eastAsia="en-GB"/>
        </w:rPr>
        <w:t>1</w:t>
      </w:r>
      <w:r>
        <w:rPr>
          <w:rFonts w:cs="Times New Roman"/>
          <w:szCs w:val="20"/>
          <w:lang w:eastAsia="en-GB"/>
        </w:rPr>
        <w:t>7,</w:t>
      </w:r>
      <w:r w:rsidR="00803817">
        <w:rPr>
          <w:rFonts w:cs="Times New Roman"/>
          <w:szCs w:val="20"/>
          <w:lang w:eastAsia="en-GB"/>
        </w:rPr>
        <w:t>319</w:t>
      </w:r>
      <w:r>
        <w:rPr>
          <w:rFonts w:cs="Times New Roman"/>
          <w:szCs w:val="20"/>
          <w:lang w:eastAsia="en-GB"/>
        </w:rPr>
        <w:t xml:space="preserve"> </w:t>
      </w:r>
      <w:r w:rsidRPr="004D5EBB">
        <w:rPr>
          <w:rFonts w:cs="Times New Roman"/>
          <w:szCs w:val="20"/>
          <w:lang w:eastAsia="en-GB"/>
        </w:rPr>
        <w:t xml:space="preserve">calls offered to the NHS 111 service </w:t>
      </w:r>
      <w:r>
        <w:rPr>
          <w:rFonts w:cs="Times New Roman"/>
          <w:szCs w:val="20"/>
          <w:lang w:eastAsia="en-GB"/>
        </w:rPr>
        <w:t xml:space="preserve">in </w:t>
      </w:r>
      <w:r w:rsidR="00803817">
        <w:rPr>
          <w:rFonts w:cs="Times New Roman"/>
          <w:szCs w:val="20"/>
          <w:lang w:eastAsia="en-GB"/>
        </w:rPr>
        <w:t>M</w:t>
      </w:r>
      <w:r>
        <w:rPr>
          <w:rFonts w:cs="Times New Roman"/>
          <w:szCs w:val="20"/>
          <w:lang w:eastAsia="en-GB"/>
        </w:rPr>
        <w:t>ar</w:t>
      </w:r>
      <w:r w:rsidR="00803817">
        <w:rPr>
          <w:rFonts w:cs="Times New Roman"/>
          <w:szCs w:val="20"/>
          <w:lang w:eastAsia="en-GB"/>
        </w:rPr>
        <w:t>ch</w:t>
      </w:r>
      <w:r>
        <w:rPr>
          <w:rFonts w:cs="Times New Roman"/>
          <w:szCs w:val="20"/>
          <w:lang w:eastAsia="en-GB"/>
        </w:rPr>
        <w:t xml:space="preserve"> 2017</w:t>
      </w:r>
      <w:r w:rsidR="00223ED2">
        <w:rPr>
          <w:rFonts w:cs="Times New Roman"/>
          <w:szCs w:val="20"/>
          <w:lang w:eastAsia="en-GB"/>
        </w:rPr>
        <w:t xml:space="preserve">, </w:t>
      </w:r>
      <w:r w:rsidR="00C67A31">
        <w:rPr>
          <w:rFonts w:cs="Times New Roman"/>
          <w:szCs w:val="20"/>
          <w:lang w:eastAsia="en-GB"/>
        </w:rPr>
        <w:t xml:space="preserve">an average of </w:t>
      </w:r>
      <w:r w:rsidR="007879C7">
        <w:rPr>
          <w:rFonts w:cs="Times New Roman"/>
          <w:szCs w:val="20"/>
          <w:lang w:eastAsia="en-GB"/>
        </w:rPr>
        <w:t>39</w:t>
      </w:r>
      <w:r w:rsidR="009A58C6">
        <w:rPr>
          <w:rFonts w:cs="Times New Roman"/>
          <w:szCs w:val="20"/>
          <w:lang w:eastAsia="en-GB"/>
        </w:rPr>
        <w:t>.3 thousand</w:t>
      </w:r>
      <w:r w:rsidR="00C67A31">
        <w:rPr>
          <w:rFonts w:cs="Times New Roman"/>
          <w:szCs w:val="20"/>
          <w:lang w:eastAsia="en-GB"/>
        </w:rPr>
        <w:t xml:space="preserve"> per day</w:t>
      </w:r>
      <w:r w:rsidR="008F22E3">
        <w:rPr>
          <w:rFonts w:cs="Times New Roman"/>
          <w:szCs w:val="20"/>
          <w:lang w:eastAsia="en-GB"/>
        </w:rPr>
        <w:t xml:space="preserve">, and </w:t>
      </w:r>
      <w:r>
        <w:rPr>
          <w:rFonts w:cs="Times New Roman"/>
          <w:szCs w:val="20"/>
          <w:lang w:eastAsia="en-GB"/>
        </w:rPr>
        <w:t xml:space="preserve">a </w:t>
      </w:r>
      <w:r w:rsidR="00A828E4">
        <w:rPr>
          <w:rFonts w:cs="Times New Roman"/>
          <w:szCs w:val="20"/>
          <w:lang w:eastAsia="en-GB"/>
        </w:rPr>
        <w:t xml:space="preserve">considerable </w:t>
      </w:r>
      <w:r w:rsidR="009A58C6">
        <w:rPr>
          <w:rFonts w:cs="Times New Roman"/>
          <w:szCs w:val="20"/>
          <w:lang w:eastAsia="en-GB"/>
        </w:rPr>
        <w:t>20</w:t>
      </w:r>
      <w:r>
        <w:rPr>
          <w:rFonts w:cs="Times New Roman"/>
          <w:szCs w:val="20"/>
          <w:lang w:eastAsia="en-GB"/>
        </w:rPr>
        <w:t xml:space="preserve">% </w:t>
      </w:r>
      <w:r w:rsidR="000871A7">
        <w:rPr>
          <w:rFonts w:cs="Times New Roman"/>
          <w:szCs w:val="20"/>
          <w:lang w:eastAsia="en-GB"/>
        </w:rPr>
        <w:t>de</w:t>
      </w:r>
      <w:r>
        <w:rPr>
          <w:rFonts w:cs="Times New Roman"/>
          <w:szCs w:val="20"/>
          <w:lang w:eastAsia="en-GB"/>
        </w:rPr>
        <w:t xml:space="preserve">crease on </w:t>
      </w:r>
      <w:r w:rsidR="00223ED2">
        <w:rPr>
          <w:rFonts w:cs="Times New Roman"/>
          <w:szCs w:val="20"/>
          <w:lang w:eastAsia="en-GB"/>
        </w:rPr>
        <w:t xml:space="preserve">the </w:t>
      </w:r>
      <w:r w:rsidR="00C67A31">
        <w:rPr>
          <w:rFonts w:cs="Times New Roman"/>
          <w:szCs w:val="20"/>
          <w:lang w:eastAsia="en-GB"/>
        </w:rPr>
        <w:t>4</w:t>
      </w:r>
      <w:r w:rsidR="007879C7">
        <w:rPr>
          <w:rFonts w:cs="Times New Roman"/>
          <w:szCs w:val="20"/>
          <w:lang w:eastAsia="en-GB"/>
        </w:rPr>
        <w:t>8</w:t>
      </w:r>
      <w:r w:rsidR="009A58C6">
        <w:rPr>
          <w:rFonts w:cs="Times New Roman"/>
          <w:szCs w:val="20"/>
          <w:lang w:eastAsia="en-GB"/>
        </w:rPr>
        <w:t>.9 thousand</w:t>
      </w:r>
      <w:r w:rsidR="00C67A31">
        <w:rPr>
          <w:rFonts w:cs="Times New Roman"/>
          <w:szCs w:val="20"/>
          <w:lang w:eastAsia="en-GB"/>
        </w:rPr>
        <w:t xml:space="preserve"> per day </w:t>
      </w:r>
      <w:r>
        <w:rPr>
          <w:rFonts w:cs="Times New Roman"/>
          <w:szCs w:val="20"/>
          <w:lang w:eastAsia="en-GB"/>
        </w:rPr>
        <w:t xml:space="preserve">in </w:t>
      </w:r>
      <w:r w:rsidR="00C36A4D">
        <w:rPr>
          <w:rFonts w:cs="Times New Roman"/>
          <w:szCs w:val="20"/>
          <w:lang w:eastAsia="en-GB"/>
        </w:rPr>
        <w:t>M</w:t>
      </w:r>
      <w:r w:rsidR="00C67A31">
        <w:rPr>
          <w:rFonts w:cs="Times New Roman"/>
          <w:szCs w:val="20"/>
          <w:lang w:eastAsia="en-GB"/>
        </w:rPr>
        <w:t>ar</w:t>
      </w:r>
      <w:r w:rsidR="00C36A4D">
        <w:rPr>
          <w:rFonts w:cs="Times New Roman"/>
          <w:szCs w:val="20"/>
          <w:lang w:eastAsia="en-GB"/>
        </w:rPr>
        <w:t>ch</w:t>
      </w:r>
      <w:r w:rsidR="00C67A31">
        <w:rPr>
          <w:rFonts w:cs="Times New Roman"/>
          <w:szCs w:val="20"/>
          <w:lang w:eastAsia="en-GB"/>
        </w:rPr>
        <w:t xml:space="preserve"> 2016</w:t>
      </w:r>
      <w:r w:rsidR="008F22E3">
        <w:rPr>
          <w:rFonts w:cs="Times New Roman"/>
          <w:szCs w:val="20"/>
          <w:lang w:eastAsia="en-GB"/>
        </w:rPr>
        <w:t xml:space="preserve">. However, March 2016 included two bank holidays, and </w:t>
      </w:r>
      <w:r w:rsidR="009A58C6">
        <w:rPr>
          <w:rFonts w:cs="Times New Roman"/>
          <w:szCs w:val="20"/>
          <w:lang w:eastAsia="en-GB"/>
        </w:rPr>
        <w:t>NHS 111 regularly receives more calls on a bank holiday, compared with a typical working day</w:t>
      </w:r>
      <w:r w:rsidR="009053AF">
        <w:rPr>
          <w:rFonts w:cs="Times New Roman"/>
          <w:szCs w:val="20"/>
          <w:lang w:eastAsia="en-GB"/>
        </w:rPr>
        <w:t>.</w:t>
      </w:r>
    </w:p>
    <w:p w:rsidR="00381179" w:rsidRDefault="00326078" w:rsidP="00326078">
      <w:pPr>
        <w:spacing w:after="240"/>
        <w:rPr>
          <w:rFonts w:cs="Times New Roman"/>
          <w:szCs w:val="20"/>
          <w:lang w:eastAsia="en-GB"/>
        </w:rPr>
      </w:pPr>
      <w:r w:rsidRPr="00574985">
        <w:rPr>
          <w:rFonts w:cs="Times New Roman"/>
          <w:szCs w:val="20"/>
          <w:lang w:eastAsia="en-GB"/>
        </w:rPr>
        <w:t xml:space="preserve">Of calls offered to NHS 111 in </w:t>
      </w:r>
      <w:r w:rsidR="00A828E4">
        <w:rPr>
          <w:rFonts w:cs="Times New Roman"/>
          <w:szCs w:val="20"/>
          <w:lang w:eastAsia="en-GB"/>
        </w:rPr>
        <w:t>March</w:t>
      </w:r>
      <w:r>
        <w:rPr>
          <w:rFonts w:cs="Times New Roman"/>
          <w:szCs w:val="20"/>
          <w:lang w:eastAsia="en-GB"/>
        </w:rPr>
        <w:t xml:space="preserve"> 2017</w:t>
      </w:r>
      <w:r w:rsidRPr="00574985">
        <w:rPr>
          <w:rFonts w:cs="Times New Roman"/>
          <w:szCs w:val="20"/>
          <w:lang w:eastAsia="en-GB"/>
        </w:rPr>
        <w:t xml:space="preserve">, the proportion abandoned after waiting longer than 30 seconds was </w:t>
      </w:r>
      <w:r w:rsidR="00033FCB">
        <w:rPr>
          <w:rFonts w:cs="Times New Roman"/>
          <w:szCs w:val="20"/>
          <w:lang w:eastAsia="en-GB"/>
        </w:rPr>
        <w:t>1</w:t>
      </w:r>
      <w:r>
        <w:rPr>
          <w:rFonts w:cs="Times New Roman"/>
          <w:szCs w:val="20"/>
          <w:lang w:eastAsia="en-GB"/>
        </w:rPr>
        <w:t>.</w:t>
      </w:r>
      <w:r w:rsidR="00033FCB">
        <w:rPr>
          <w:rFonts w:cs="Times New Roman"/>
          <w:szCs w:val="20"/>
          <w:lang w:eastAsia="en-GB"/>
        </w:rPr>
        <w:t>8</w:t>
      </w:r>
      <w:r w:rsidRPr="00574985">
        <w:rPr>
          <w:rFonts w:cs="Times New Roman"/>
          <w:szCs w:val="20"/>
          <w:lang w:eastAsia="en-GB"/>
        </w:rPr>
        <w:t xml:space="preserve">%, </w:t>
      </w:r>
      <w:r w:rsidR="00457D4B">
        <w:rPr>
          <w:rFonts w:cs="Times New Roman"/>
          <w:szCs w:val="20"/>
          <w:lang w:eastAsia="en-GB"/>
        </w:rPr>
        <w:t>less than both the rates of 2.</w:t>
      </w:r>
      <w:r w:rsidR="00A828E4">
        <w:rPr>
          <w:rFonts w:cs="Times New Roman"/>
          <w:szCs w:val="20"/>
          <w:lang w:eastAsia="en-GB"/>
        </w:rPr>
        <w:t>2</w:t>
      </w:r>
      <w:r w:rsidR="00457D4B">
        <w:rPr>
          <w:rFonts w:cs="Times New Roman"/>
          <w:szCs w:val="20"/>
          <w:lang w:eastAsia="en-GB"/>
        </w:rPr>
        <w:t xml:space="preserve">% in </w:t>
      </w:r>
      <w:r w:rsidR="00A828E4">
        <w:rPr>
          <w:rFonts w:cs="Times New Roman"/>
          <w:szCs w:val="20"/>
          <w:lang w:eastAsia="en-GB"/>
        </w:rPr>
        <w:t>Febr</w:t>
      </w:r>
      <w:r w:rsidR="00457D4B">
        <w:rPr>
          <w:rFonts w:cs="Times New Roman"/>
          <w:szCs w:val="20"/>
          <w:lang w:eastAsia="en-GB"/>
        </w:rPr>
        <w:t xml:space="preserve">uary 2017 </w:t>
      </w:r>
      <w:r>
        <w:rPr>
          <w:rFonts w:cs="Times New Roman"/>
          <w:szCs w:val="20"/>
          <w:lang w:eastAsia="en-GB"/>
        </w:rPr>
        <w:t>an</w:t>
      </w:r>
      <w:r w:rsidR="00457D4B">
        <w:rPr>
          <w:rFonts w:cs="Times New Roman"/>
          <w:szCs w:val="20"/>
          <w:lang w:eastAsia="en-GB"/>
        </w:rPr>
        <w:t>d</w:t>
      </w:r>
      <w:r>
        <w:rPr>
          <w:rFonts w:cs="Times New Roman"/>
          <w:szCs w:val="20"/>
          <w:lang w:eastAsia="en-GB"/>
        </w:rPr>
        <w:t xml:space="preserve"> </w:t>
      </w:r>
      <w:r w:rsidR="00457D4B">
        <w:rPr>
          <w:rFonts w:cs="Times New Roman"/>
          <w:szCs w:val="20"/>
          <w:lang w:eastAsia="en-GB"/>
        </w:rPr>
        <w:t>of</w:t>
      </w:r>
      <w:r>
        <w:rPr>
          <w:rFonts w:cs="Times New Roman"/>
          <w:szCs w:val="20"/>
          <w:lang w:eastAsia="en-GB"/>
        </w:rPr>
        <w:t xml:space="preserve"> </w:t>
      </w:r>
      <w:r w:rsidR="00033FCB">
        <w:rPr>
          <w:rFonts w:cs="Times New Roman"/>
          <w:szCs w:val="20"/>
          <w:lang w:eastAsia="en-GB"/>
        </w:rPr>
        <w:t>8</w:t>
      </w:r>
      <w:r>
        <w:rPr>
          <w:rFonts w:cs="Times New Roman"/>
          <w:szCs w:val="20"/>
          <w:lang w:eastAsia="en-GB"/>
        </w:rPr>
        <w:t>.</w:t>
      </w:r>
      <w:r w:rsidR="00033FCB">
        <w:rPr>
          <w:rFonts w:cs="Times New Roman"/>
          <w:szCs w:val="20"/>
          <w:lang w:eastAsia="en-GB"/>
        </w:rPr>
        <w:t>4</w:t>
      </w:r>
      <w:r w:rsidRPr="00574985">
        <w:rPr>
          <w:rFonts w:cs="Times New Roman"/>
          <w:szCs w:val="20"/>
          <w:lang w:eastAsia="en-GB"/>
        </w:rPr>
        <w:t xml:space="preserve">% in </w:t>
      </w:r>
      <w:r w:rsidR="00033FCB">
        <w:rPr>
          <w:rFonts w:cs="Times New Roman"/>
          <w:szCs w:val="20"/>
          <w:lang w:eastAsia="en-GB"/>
        </w:rPr>
        <w:t>M</w:t>
      </w:r>
      <w:r w:rsidR="00A64C4C">
        <w:rPr>
          <w:rFonts w:cs="Times New Roman"/>
          <w:szCs w:val="20"/>
          <w:lang w:eastAsia="en-GB"/>
        </w:rPr>
        <w:t>ar</w:t>
      </w:r>
      <w:r w:rsidR="00033FCB">
        <w:rPr>
          <w:rFonts w:cs="Times New Roman"/>
          <w:szCs w:val="20"/>
          <w:lang w:eastAsia="en-GB"/>
        </w:rPr>
        <w:t>ch</w:t>
      </w:r>
      <w:r>
        <w:rPr>
          <w:rFonts w:cs="Times New Roman"/>
          <w:szCs w:val="20"/>
          <w:lang w:eastAsia="en-GB"/>
        </w:rPr>
        <w:t xml:space="preserve"> 2016.</w:t>
      </w:r>
      <w:r w:rsidR="00033FCB">
        <w:rPr>
          <w:rFonts w:cs="Times New Roman"/>
          <w:szCs w:val="20"/>
          <w:lang w:eastAsia="en-GB"/>
        </w:rPr>
        <w:t xml:space="preserve"> </w:t>
      </w:r>
    </w:p>
    <w:p w:rsidR="00005F40" w:rsidRDefault="00326078" w:rsidP="00326078">
      <w:pPr>
        <w:spacing w:after="240"/>
        <w:rPr>
          <w:rFonts w:cs="Times New Roman"/>
          <w:szCs w:val="20"/>
          <w:lang w:eastAsia="en-GB"/>
        </w:rPr>
      </w:pPr>
      <w:r w:rsidRPr="00FA173E">
        <w:rPr>
          <w:rFonts w:cs="Times New Roman"/>
          <w:szCs w:val="20"/>
          <w:lang w:eastAsia="en-GB"/>
        </w:rPr>
        <w:t xml:space="preserve">In </w:t>
      </w:r>
      <w:r w:rsidR="00B96F27">
        <w:rPr>
          <w:rFonts w:cs="Times New Roman"/>
          <w:szCs w:val="20"/>
          <w:lang w:eastAsia="en-GB"/>
        </w:rPr>
        <w:t>M</w:t>
      </w:r>
      <w:r>
        <w:rPr>
          <w:rFonts w:cs="Times New Roman"/>
          <w:szCs w:val="20"/>
          <w:lang w:eastAsia="en-GB"/>
        </w:rPr>
        <w:t>ar</w:t>
      </w:r>
      <w:r w:rsidR="00B96F27">
        <w:rPr>
          <w:rFonts w:cs="Times New Roman"/>
          <w:szCs w:val="20"/>
          <w:lang w:eastAsia="en-GB"/>
        </w:rPr>
        <w:t>ch</w:t>
      </w:r>
      <w:r>
        <w:rPr>
          <w:rFonts w:cs="Times New Roman"/>
          <w:szCs w:val="20"/>
          <w:lang w:eastAsia="en-GB"/>
        </w:rPr>
        <w:t xml:space="preserve"> 2017</w:t>
      </w:r>
      <w:r w:rsidRPr="00FA173E">
        <w:rPr>
          <w:rFonts w:cs="Times New Roman"/>
          <w:szCs w:val="20"/>
          <w:lang w:eastAsia="en-GB"/>
        </w:rPr>
        <w:t xml:space="preserve">, of calls answered by NHS 111, </w:t>
      </w:r>
      <w:r w:rsidR="000336BF">
        <w:rPr>
          <w:rFonts w:cs="Times New Roman"/>
          <w:szCs w:val="20"/>
          <w:lang w:eastAsia="en-GB"/>
        </w:rPr>
        <w:t>9</w:t>
      </w:r>
      <w:r w:rsidR="00BC6DD4">
        <w:rPr>
          <w:rFonts w:cs="Times New Roman"/>
          <w:szCs w:val="20"/>
          <w:lang w:eastAsia="en-GB"/>
        </w:rPr>
        <w:t>1</w:t>
      </w:r>
      <w:r w:rsidR="00C04E7E">
        <w:rPr>
          <w:rFonts w:cs="Times New Roman"/>
          <w:szCs w:val="20"/>
          <w:lang w:eastAsia="en-GB"/>
        </w:rPr>
        <w:t>.0</w:t>
      </w:r>
      <w:r w:rsidRPr="00FA173E">
        <w:rPr>
          <w:rFonts w:cs="Times New Roman"/>
          <w:szCs w:val="20"/>
          <w:lang w:eastAsia="en-GB"/>
        </w:rPr>
        <w:t>% w</w:t>
      </w:r>
      <w:r w:rsidR="0040670E">
        <w:rPr>
          <w:rFonts w:cs="Times New Roman"/>
          <w:szCs w:val="20"/>
          <w:lang w:eastAsia="en-GB"/>
        </w:rPr>
        <w:t>ere answered within 60 seconds,</w:t>
      </w:r>
      <w:r>
        <w:rPr>
          <w:rFonts w:cs="Times New Roman"/>
          <w:szCs w:val="20"/>
          <w:lang w:eastAsia="en-GB"/>
        </w:rPr>
        <w:t xml:space="preserve"> a</w:t>
      </w:r>
      <w:r w:rsidR="00276BF4">
        <w:rPr>
          <w:rFonts w:cs="Times New Roman"/>
          <w:szCs w:val="20"/>
          <w:lang w:eastAsia="en-GB"/>
        </w:rPr>
        <w:t>n</w:t>
      </w:r>
      <w:r w:rsidR="0040670E">
        <w:rPr>
          <w:rFonts w:cs="Times New Roman"/>
          <w:szCs w:val="20"/>
          <w:lang w:eastAsia="en-GB"/>
        </w:rPr>
        <w:t xml:space="preserve"> </w:t>
      </w:r>
      <w:r w:rsidR="008F22E3">
        <w:rPr>
          <w:rFonts w:cs="Times New Roman"/>
          <w:szCs w:val="20"/>
          <w:lang w:eastAsia="en-GB"/>
        </w:rPr>
        <w:t xml:space="preserve">increase </w:t>
      </w:r>
      <w:r>
        <w:rPr>
          <w:rFonts w:cs="Times New Roman"/>
          <w:szCs w:val="20"/>
          <w:lang w:eastAsia="en-GB"/>
        </w:rPr>
        <w:t>on</w:t>
      </w:r>
      <w:r w:rsidRPr="00FA173E">
        <w:rPr>
          <w:rFonts w:cs="Times New Roman"/>
          <w:szCs w:val="20"/>
          <w:lang w:eastAsia="en-GB"/>
        </w:rPr>
        <w:t xml:space="preserve"> </w:t>
      </w:r>
      <w:r>
        <w:rPr>
          <w:rFonts w:cs="Times New Roman"/>
          <w:szCs w:val="20"/>
          <w:lang w:eastAsia="en-GB"/>
        </w:rPr>
        <w:t>8</w:t>
      </w:r>
      <w:r w:rsidR="00BC6DD4">
        <w:rPr>
          <w:rFonts w:cs="Times New Roman"/>
          <w:szCs w:val="20"/>
          <w:lang w:eastAsia="en-GB"/>
        </w:rPr>
        <w:t>9</w:t>
      </w:r>
      <w:r>
        <w:rPr>
          <w:rFonts w:cs="Times New Roman"/>
          <w:szCs w:val="20"/>
          <w:lang w:eastAsia="en-GB"/>
        </w:rPr>
        <w:t>.</w:t>
      </w:r>
      <w:r w:rsidR="00BC6DD4">
        <w:rPr>
          <w:rFonts w:cs="Times New Roman"/>
          <w:szCs w:val="20"/>
          <w:lang w:eastAsia="en-GB"/>
        </w:rPr>
        <w:t>4</w:t>
      </w:r>
      <w:r w:rsidRPr="00FA173E">
        <w:rPr>
          <w:rFonts w:cs="Times New Roman"/>
          <w:szCs w:val="20"/>
          <w:lang w:eastAsia="en-GB"/>
        </w:rPr>
        <w:t xml:space="preserve">% in </w:t>
      </w:r>
      <w:r w:rsidR="00BC6DD4">
        <w:rPr>
          <w:rFonts w:cs="Times New Roman"/>
          <w:szCs w:val="20"/>
          <w:lang w:eastAsia="en-GB"/>
        </w:rPr>
        <w:t>Febr</w:t>
      </w:r>
      <w:r w:rsidR="000336BF">
        <w:rPr>
          <w:rFonts w:cs="Times New Roman"/>
          <w:szCs w:val="20"/>
          <w:lang w:eastAsia="en-GB"/>
        </w:rPr>
        <w:t>ua</w:t>
      </w:r>
      <w:r>
        <w:rPr>
          <w:rFonts w:cs="Times New Roman"/>
          <w:szCs w:val="20"/>
          <w:lang w:eastAsia="en-GB"/>
        </w:rPr>
        <w:t>r</w:t>
      </w:r>
      <w:r w:rsidR="000336BF">
        <w:rPr>
          <w:rFonts w:cs="Times New Roman"/>
          <w:szCs w:val="20"/>
          <w:lang w:eastAsia="en-GB"/>
        </w:rPr>
        <w:t>y</w:t>
      </w:r>
      <w:r>
        <w:rPr>
          <w:rFonts w:cs="Times New Roman"/>
          <w:szCs w:val="20"/>
          <w:lang w:eastAsia="en-GB"/>
        </w:rPr>
        <w:t xml:space="preserve"> 201</w:t>
      </w:r>
      <w:r w:rsidR="00276BF4">
        <w:rPr>
          <w:rFonts w:cs="Times New Roman"/>
          <w:szCs w:val="20"/>
          <w:lang w:eastAsia="en-GB"/>
        </w:rPr>
        <w:t>7</w:t>
      </w:r>
      <w:r>
        <w:rPr>
          <w:rFonts w:cs="Times New Roman"/>
          <w:szCs w:val="20"/>
          <w:lang w:eastAsia="en-GB"/>
        </w:rPr>
        <w:t xml:space="preserve"> </w:t>
      </w:r>
      <w:r w:rsidR="00ED7AD8">
        <w:rPr>
          <w:rFonts w:cs="Times New Roman"/>
          <w:szCs w:val="20"/>
          <w:lang w:eastAsia="en-GB"/>
        </w:rPr>
        <w:t xml:space="preserve">and </w:t>
      </w:r>
      <w:r w:rsidR="0040670E">
        <w:rPr>
          <w:rFonts w:cs="Times New Roman"/>
          <w:szCs w:val="20"/>
          <w:lang w:eastAsia="en-GB"/>
        </w:rPr>
        <w:t>7</w:t>
      </w:r>
      <w:r w:rsidR="00BC6DD4">
        <w:rPr>
          <w:rFonts w:cs="Times New Roman"/>
          <w:szCs w:val="20"/>
          <w:lang w:eastAsia="en-GB"/>
        </w:rPr>
        <w:t>0</w:t>
      </w:r>
      <w:r>
        <w:rPr>
          <w:rFonts w:cs="Times New Roman"/>
          <w:szCs w:val="20"/>
          <w:lang w:eastAsia="en-GB"/>
        </w:rPr>
        <w:t>.</w:t>
      </w:r>
      <w:r w:rsidR="0040670E">
        <w:rPr>
          <w:rFonts w:cs="Times New Roman"/>
          <w:szCs w:val="20"/>
          <w:lang w:eastAsia="en-GB"/>
        </w:rPr>
        <w:t>7</w:t>
      </w:r>
      <w:r>
        <w:rPr>
          <w:rFonts w:cs="Times New Roman"/>
          <w:szCs w:val="20"/>
          <w:lang w:eastAsia="en-GB"/>
        </w:rPr>
        <w:t xml:space="preserve">% in </w:t>
      </w:r>
      <w:r w:rsidR="00BC6DD4">
        <w:rPr>
          <w:rFonts w:cs="Times New Roman"/>
          <w:szCs w:val="20"/>
          <w:lang w:eastAsia="en-GB"/>
        </w:rPr>
        <w:t>M</w:t>
      </w:r>
      <w:r>
        <w:rPr>
          <w:rFonts w:cs="Times New Roman"/>
          <w:szCs w:val="20"/>
          <w:lang w:eastAsia="en-GB"/>
        </w:rPr>
        <w:t>ar</w:t>
      </w:r>
      <w:r w:rsidR="00BC6DD4">
        <w:rPr>
          <w:rFonts w:cs="Times New Roman"/>
          <w:szCs w:val="20"/>
          <w:lang w:eastAsia="en-GB"/>
        </w:rPr>
        <w:t>ch</w:t>
      </w:r>
      <w:r>
        <w:rPr>
          <w:rFonts w:cs="Times New Roman"/>
          <w:szCs w:val="20"/>
          <w:lang w:eastAsia="en-GB"/>
        </w:rPr>
        <w:t xml:space="preserve"> 2016.</w:t>
      </w:r>
      <w:r w:rsidR="006751BC">
        <w:rPr>
          <w:rFonts w:cs="Times New Roman"/>
          <w:szCs w:val="20"/>
          <w:lang w:eastAsia="en-GB"/>
        </w:rPr>
        <w:t xml:space="preserve"> </w:t>
      </w:r>
    </w:p>
    <w:p w:rsidR="00C04E7E" w:rsidRDefault="00C04E7E" w:rsidP="00C04E7E">
      <w:pPr>
        <w:spacing w:after="240"/>
        <w:rPr>
          <w:rFonts w:cs="Times New Roman"/>
          <w:szCs w:val="20"/>
          <w:lang w:eastAsia="en-GB"/>
        </w:rPr>
      </w:pPr>
      <w:r w:rsidRPr="00C178EA">
        <w:rPr>
          <w:rFonts w:cs="Times New Roman"/>
          <w:szCs w:val="20"/>
          <w:lang w:eastAsia="en-GB"/>
        </w:rPr>
        <w:t>Of calls answered</w:t>
      </w:r>
      <w:r>
        <w:rPr>
          <w:rFonts w:cs="Times New Roman"/>
          <w:szCs w:val="20"/>
          <w:lang w:eastAsia="en-GB"/>
        </w:rPr>
        <w:t xml:space="preserve"> in March 2017, 21.8% were transferred to or answered by a clinical advisor using NHS Pathways, a small decrease on</w:t>
      </w:r>
      <w:r w:rsidRPr="00C178EA">
        <w:rPr>
          <w:rFonts w:cs="Times New Roman"/>
          <w:szCs w:val="20"/>
          <w:lang w:eastAsia="en-GB"/>
        </w:rPr>
        <w:t xml:space="preserve"> </w:t>
      </w:r>
      <w:r>
        <w:rPr>
          <w:rFonts w:cs="Times New Roman"/>
          <w:szCs w:val="20"/>
          <w:lang w:eastAsia="en-GB"/>
        </w:rPr>
        <w:t>February 2017</w:t>
      </w:r>
      <w:r w:rsidR="008F22E3">
        <w:rPr>
          <w:rFonts w:cs="Times New Roman"/>
          <w:szCs w:val="20"/>
          <w:lang w:eastAsia="en-GB"/>
        </w:rPr>
        <w:t xml:space="preserve"> (</w:t>
      </w:r>
      <w:r>
        <w:rPr>
          <w:rFonts w:cs="Times New Roman"/>
          <w:szCs w:val="20"/>
          <w:lang w:eastAsia="en-GB"/>
        </w:rPr>
        <w:t>22.6</w:t>
      </w:r>
      <w:r w:rsidRPr="00C178EA">
        <w:rPr>
          <w:rFonts w:cs="Times New Roman"/>
          <w:szCs w:val="20"/>
          <w:lang w:eastAsia="en-GB"/>
        </w:rPr>
        <w:t>%</w:t>
      </w:r>
      <w:r w:rsidR="008F22E3">
        <w:rPr>
          <w:rFonts w:cs="Times New Roman"/>
          <w:szCs w:val="20"/>
          <w:lang w:eastAsia="en-GB"/>
        </w:rPr>
        <w:t>)</w:t>
      </w:r>
      <w:r w:rsidRPr="00C178EA">
        <w:rPr>
          <w:rFonts w:cs="Times New Roman"/>
          <w:szCs w:val="20"/>
          <w:lang w:eastAsia="en-GB"/>
        </w:rPr>
        <w:t>.</w:t>
      </w:r>
    </w:p>
    <w:p w:rsidR="00C04E7E" w:rsidRDefault="00C04E7E" w:rsidP="00C04E7E">
      <w:pPr>
        <w:spacing w:after="240"/>
        <w:rPr>
          <w:rFonts w:cs="Times New Roman"/>
          <w:szCs w:val="20"/>
          <w:lang w:eastAsia="en-GB"/>
        </w:rPr>
      </w:pPr>
      <w:r>
        <w:rPr>
          <w:rFonts w:cs="Times New Roman"/>
          <w:szCs w:val="20"/>
          <w:lang w:eastAsia="en-GB"/>
        </w:rPr>
        <w:t>The proportion o</w:t>
      </w:r>
      <w:r w:rsidRPr="00C178EA">
        <w:rPr>
          <w:rFonts w:cs="Times New Roman"/>
          <w:szCs w:val="20"/>
          <w:lang w:eastAsia="en-GB"/>
        </w:rPr>
        <w:t xml:space="preserve">f calls answered </w:t>
      </w:r>
      <w:r>
        <w:rPr>
          <w:rFonts w:cs="Times New Roman"/>
          <w:szCs w:val="20"/>
          <w:lang w:eastAsia="en-GB"/>
        </w:rPr>
        <w:t>that received any form of clinical input</w:t>
      </w:r>
      <w:r>
        <w:rPr>
          <w:rStyle w:val="FootnoteReference"/>
          <w:rFonts w:cs="Times New Roman"/>
          <w:szCs w:val="20"/>
          <w:lang w:eastAsia="en-GB"/>
        </w:rPr>
        <w:footnoteReference w:id="1"/>
      </w:r>
      <w:r>
        <w:rPr>
          <w:rFonts w:cs="Times New Roman"/>
          <w:szCs w:val="20"/>
          <w:lang w:eastAsia="en-GB"/>
        </w:rPr>
        <w:t xml:space="preserve"> was 29.6% in March 2017, up from 25.2% </w:t>
      </w:r>
      <w:r w:rsidRPr="00C178EA">
        <w:rPr>
          <w:rFonts w:cs="Times New Roman"/>
          <w:szCs w:val="20"/>
          <w:lang w:eastAsia="en-GB"/>
        </w:rPr>
        <w:t xml:space="preserve">in </w:t>
      </w:r>
      <w:r>
        <w:rPr>
          <w:rFonts w:cs="Times New Roman"/>
          <w:szCs w:val="20"/>
          <w:lang w:eastAsia="en-GB"/>
        </w:rPr>
        <w:t>February 2017. This item has only been collected since November 2016, when it stood at 23.2% of calls answered.</w:t>
      </w:r>
    </w:p>
    <w:p w:rsidR="00326078" w:rsidRPr="00FA173E" w:rsidRDefault="006207FD" w:rsidP="00326078">
      <w:pPr>
        <w:spacing w:after="240"/>
        <w:rPr>
          <w:rFonts w:cs="Times New Roman"/>
          <w:szCs w:val="20"/>
          <w:lang w:eastAsia="en-GB"/>
        </w:rPr>
      </w:pPr>
      <w:r>
        <w:rPr>
          <w:rFonts w:cs="Times New Roman"/>
          <w:szCs w:val="20"/>
          <w:lang w:eastAsia="en-GB"/>
        </w:rPr>
        <w:t>13</w:t>
      </w:r>
      <w:r w:rsidR="00B07BC5">
        <w:rPr>
          <w:rFonts w:cs="Times New Roman"/>
          <w:szCs w:val="20"/>
          <w:lang w:eastAsia="en-GB"/>
        </w:rPr>
        <w:t xml:space="preserve">% </w:t>
      </w:r>
      <w:r w:rsidR="00105464">
        <w:rPr>
          <w:rFonts w:cs="Times New Roman"/>
          <w:szCs w:val="20"/>
          <w:lang w:eastAsia="en-GB"/>
        </w:rPr>
        <w:t>of all calls answered</w:t>
      </w:r>
      <w:r w:rsidR="001E2675">
        <w:rPr>
          <w:rFonts w:cs="Times New Roman"/>
          <w:szCs w:val="20"/>
          <w:lang w:eastAsia="en-GB"/>
        </w:rPr>
        <w:t xml:space="preserve"> in March 2017</w:t>
      </w:r>
      <w:r w:rsidR="00105464">
        <w:rPr>
          <w:rFonts w:cs="Times New Roman"/>
          <w:szCs w:val="20"/>
          <w:lang w:eastAsia="en-GB"/>
        </w:rPr>
        <w:t xml:space="preserve"> </w:t>
      </w:r>
      <w:r w:rsidR="00B07BC5">
        <w:rPr>
          <w:rFonts w:cs="Times New Roman"/>
          <w:szCs w:val="20"/>
          <w:lang w:eastAsia="en-GB"/>
        </w:rPr>
        <w:t xml:space="preserve">were offered a call back, </w:t>
      </w:r>
      <w:r w:rsidR="008D681E">
        <w:rPr>
          <w:rFonts w:cs="Times New Roman"/>
          <w:szCs w:val="20"/>
          <w:lang w:eastAsia="en-GB"/>
        </w:rPr>
        <w:t xml:space="preserve">similar to </w:t>
      </w:r>
      <w:r>
        <w:rPr>
          <w:rFonts w:cs="Times New Roman"/>
          <w:szCs w:val="20"/>
          <w:lang w:eastAsia="en-GB"/>
        </w:rPr>
        <w:t>Febr</w:t>
      </w:r>
      <w:r w:rsidR="00326078">
        <w:rPr>
          <w:rFonts w:cs="Times New Roman"/>
          <w:szCs w:val="20"/>
          <w:lang w:eastAsia="en-GB"/>
        </w:rPr>
        <w:t>uary 2017</w:t>
      </w:r>
      <w:r w:rsidR="008F22E3">
        <w:rPr>
          <w:rFonts w:cs="Times New Roman"/>
          <w:szCs w:val="20"/>
          <w:lang w:eastAsia="en-GB"/>
        </w:rPr>
        <w:t xml:space="preserve"> (14%)</w:t>
      </w:r>
      <w:r w:rsidR="00326078">
        <w:rPr>
          <w:rFonts w:cs="Times New Roman"/>
          <w:szCs w:val="20"/>
          <w:lang w:eastAsia="en-GB"/>
        </w:rPr>
        <w:t>.</w:t>
      </w:r>
      <w:r>
        <w:rPr>
          <w:rFonts w:cs="Times New Roman"/>
          <w:szCs w:val="20"/>
          <w:lang w:eastAsia="en-GB"/>
        </w:rPr>
        <w:t xml:space="preserve"> </w:t>
      </w:r>
    </w:p>
    <w:p w:rsidR="00553936" w:rsidRPr="00710CED" w:rsidRDefault="008F22E3" w:rsidP="00326078">
      <w:pPr>
        <w:spacing w:after="240"/>
        <w:rPr>
          <w:rFonts w:cs="Times New Roman"/>
          <w:szCs w:val="20"/>
          <w:lang w:eastAsia="en-GB"/>
        </w:rPr>
      </w:pPr>
      <w:r>
        <w:rPr>
          <w:rFonts w:cs="Times New Roman"/>
          <w:szCs w:val="20"/>
          <w:lang w:eastAsia="en-GB"/>
        </w:rPr>
        <w:t xml:space="preserve">Of those call backs, </w:t>
      </w:r>
      <w:r w:rsidR="001C6A0B">
        <w:rPr>
          <w:rFonts w:cs="Times New Roman"/>
          <w:szCs w:val="20"/>
          <w:lang w:eastAsia="en-GB"/>
        </w:rPr>
        <w:t>3</w:t>
      </w:r>
      <w:r w:rsidR="009A58C6">
        <w:rPr>
          <w:rFonts w:cs="Times New Roman"/>
          <w:szCs w:val="20"/>
          <w:lang w:eastAsia="en-GB"/>
        </w:rPr>
        <w:t>8</w:t>
      </w:r>
      <w:r w:rsidR="001C6A0B">
        <w:rPr>
          <w:rFonts w:cs="Times New Roman"/>
          <w:szCs w:val="20"/>
          <w:lang w:eastAsia="en-GB"/>
        </w:rPr>
        <w:t>% were</w:t>
      </w:r>
      <w:r w:rsidR="00105464">
        <w:rPr>
          <w:rFonts w:cs="Times New Roman"/>
          <w:szCs w:val="20"/>
          <w:lang w:eastAsia="en-GB"/>
        </w:rPr>
        <w:t xml:space="preserve"> made</w:t>
      </w:r>
      <w:r w:rsidR="001C6A0B">
        <w:rPr>
          <w:rFonts w:cs="Times New Roman"/>
          <w:szCs w:val="20"/>
          <w:lang w:eastAsia="en-GB"/>
        </w:rPr>
        <w:t xml:space="preserve"> within 10 minutes in </w:t>
      </w:r>
      <w:r w:rsidR="00AF44D3">
        <w:rPr>
          <w:rFonts w:cs="Times New Roman"/>
          <w:szCs w:val="20"/>
          <w:lang w:eastAsia="en-GB"/>
        </w:rPr>
        <w:t>M</w:t>
      </w:r>
      <w:r w:rsidR="001C6A0B">
        <w:rPr>
          <w:rFonts w:cs="Times New Roman"/>
          <w:szCs w:val="20"/>
          <w:lang w:eastAsia="en-GB"/>
        </w:rPr>
        <w:t>ar</w:t>
      </w:r>
      <w:r w:rsidR="00AF44D3">
        <w:rPr>
          <w:rFonts w:cs="Times New Roman"/>
          <w:szCs w:val="20"/>
          <w:lang w:eastAsia="en-GB"/>
        </w:rPr>
        <w:t>ch</w:t>
      </w:r>
      <w:r w:rsidR="001C6A0B">
        <w:rPr>
          <w:rFonts w:cs="Times New Roman"/>
          <w:szCs w:val="20"/>
          <w:lang w:eastAsia="en-GB"/>
        </w:rPr>
        <w:t xml:space="preserve"> </w:t>
      </w:r>
      <w:r w:rsidR="001C6A0B" w:rsidRPr="00710CED">
        <w:rPr>
          <w:rFonts w:cs="Times New Roman"/>
          <w:szCs w:val="20"/>
          <w:lang w:eastAsia="en-GB"/>
        </w:rPr>
        <w:t xml:space="preserve">2017, </w:t>
      </w:r>
      <w:r>
        <w:rPr>
          <w:rFonts w:cs="Times New Roman"/>
          <w:szCs w:val="20"/>
          <w:lang w:eastAsia="en-GB"/>
        </w:rPr>
        <w:t xml:space="preserve">also </w:t>
      </w:r>
      <w:r w:rsidR="008D681E" w:rsidRPr="00710CED">
        <w:rPr>
          <w:rFonts w:cs="Times New Roman"/>
          <w:szCs w:val="20"/>
          <w:lang w:eastAsia="en-GB"/>
        </w:rPr>
        <w:t xml:space="preserve">similar to </w:t>
      </w:r>
      <w:r w:rsidR="00AF44D3" w:rsidRPr="00710CED">
        <w:rPr>
          <w:rFonts w:cs="Times New Roman"/>
          <w:szCs w:val="20"/>
          <w:lang w:eastAsia="en-GB"/>
        </w:rPr>
        <w:t>Febr</w:t>
      </w:r>
      <w:r>
        <w:rPr>
          <w:rFonts w:cs="Times New Roman"/>
          <w:szCs w:val="20"/>
          <w:lang w:eastAsia="en-GB"/>
        </w:rPr>
        <w:t>uary 2017 (37%).</w:t>
      </w:r>
      <w:r w:rsidR="00AF44D3" w:rsidRPr="00710CED">
        <w:rPr>
          <w:rFonts w:cs="Times New Roman"/>
          <w:szCs w:val="20"/>
          <w:lang w:eastAsia="en-GB"/>
        </w:rPr>
        <w:t xml:space="preserve"> </w:t>
      </w:r>
    </w:p>
    <w:p w:rsidR="00326078" w:rsidRPr="00C178EA" w:rsidRDefault="00EE26C3" w:rsidP="00326078">
      <w:pPr>
        <w:spacing w:after="240"/>
        <w:rPr>
          <w:rFonts w:cs="Times New Roman"/>
          <w:szCs w:val="20"/>
          <w:lang w:eastAsia="en-GB"/>
        </w:rPr>
      </w:pPr>
      <w:r>
        <w:rPr>
          <w:rFonts w:cs="Times New Roman"/>
          <w:szCs w:val="20"/>
          <w:lang w:eastAsia="en-GB"/>
        </w:rPr>
        <w:t>In March 2017,</w:t>
      </w:r>
      <w:r w:rsidR="00326078" w:rsidRPr="00C178EA">
        <w:rPr>
          <w:rFonts w:cs="Times New Roman"/>
          <w:szCs w:val="20"/>
          <w:lang w:eastAsia="en-GB"/>
        </w:rPr>
        <w:t xml:space="preserve"> 8</w:t>
      </w:r>
      <w:r w:rsidR="00655B54">
        <w:rPr>
          <w:rFonts w:cs="Times New Roman"/>
          <w:szCs w:val="20"/>
          <w:lang w:eastAsia="en-GB"/>
        </w:rPr>
        <w:t>6</w:t>
      </w:r>
      <w:r w:rsidR="00326078" w:rsidRPr="00C178EA">
        <w:rPr>
          <w:rFonts w:cs="Times New Roman"/>
          <w:szCs w:val="20"/>
          <w:lang w:eastAsia="en-GB"/>
        </w:rPr>
        <w:t xml:space="preserve">% </w:t>
      </w:r>
      <w:r>
        <w:rPr>
          <w:rFonts w:cs="Times New Roman"/>
          <w:szCs w:val="20"/>
          <w:lang w:eastAsia="en-GB"/>
        </w:rPr>
        <w:t>o</w:t>
      </w:r>
      <w:r w:rsidRPr="00C178EA">
        <w:rPr>
          <w:rFonts w:cs="Times New Roman"/>
          <w:szCs w:val="20"/>
          <w:lang w:eastAsia="en-GB"/>
        </w:rPr>
        <w:t xml:space="preserve">f calls answered </w:t>
      </w:r>
      <w:r w:rsidR="00326078" w:rsidRPr="00C178EA">
        <w:rPr>
          <w:rFonts w:cs="Times New Roman"/>
          <w:szCs w:val="20"/>
          <w:lang w:eastAsia="en-GB"/>
        </w:rPr>
        <w:t>were triaged</w:t>
      </w:r>
      <w:r w:rsidR="00223ED2">
        <w:rPr>
          <w:rFonts w:cs="Times New Roman"/>
          <w:szCs w:val="20"/>
          <w:lang w:eastAsia="en-GB"/>
        </w:rPr>
        <w:t xml:space="preserve">, </w:t>
      </w:r>
      <w:r w:rsidR="008D681E">
        <w:rPr>
          <w:rFonts w:cs="Times New Roman"/>
          <w:szCs w:val="20"/>
          <w:lang w:eastAsia="en-GB"/>
        </w:rPr>
        <w:t>the same as in</w:t>
      </w:r>
      <w:r w:rsidR="00B82576">
        <w:rPr>
          <w:rFonts w:cs="Times New Roman"/>
          <w:szCs w:val="20"/>
          <w:lang w:eastAsia="en-GB"/>
        </w:rPr>
        <w:t xml:space="preserve"> February</w:t>
      </w:r>
      <w:r w:rsidR="00223ED2">
        <w:rPr>
          <w:rFonts w:cs="Times New Roman"/>
          <w:szCs w:val="20"/>
          <w:lang w:eastAsia="en-GB"/>
        </w:rPr>
        <w:t xml:space="preserve"> 2017</w:t>
      </w:r>
      <w:r w:rsidR="00326078" w:rsidRPr="00C178EA">
        <w:rPr>
          <w:rFonts w:cs="Times New Roman"/>
          <w:szCs w:val="20"/>
          <w:lang w:eastAsia="en-GB"/>
        </w:rPr>
        <w:t>. Calls triaged are those where the NHS 111 call handler opens and uses the clinical assessment tool (NHS Pathways). Calls not triaged include, for example, follow-ups of previous calls, calls where the caller is unable or unwilling to give specific details about the patient’s condition or enquiries about contact details for pharmacists or other local care services.</w:t>
      </w:r>
    </w:p>
    <w:p w:rsidR="00B04F38" w:rsidRDefault="00326078" w:rsidP="00236BF2">
      <w:pPr>
        <w:spacing w:after="240"/>
        <w:rPr>
          <w:rFonts w:cs="Times New Roman"/>
          <w:szCs w:val="20"/>
          <w:lang w:eastAsia="en-GB"/>
        </w:rPr>
      </w:pPr>
      <w:r w:rsidRPr="00C178EA">
        <w:rPr>
          <w:rFonts w:cs="Times New Roman"/>
          <w:szCs w:val="20"/>
          <w:lang w:eastAsia="en-GB"/>
        </w:rPr>
        <w:t xml:space="preserve">Of calls triaged in </w:t>
      </w:r>
      <w:r w:rsidR="005F0654">
        <w:rPr>
          <w:rFonts w:cs="Times New Roman"/>
          <w:szCs w:val="20"/>
          <w:lang w:eastAsia="en-GB"/>
        </w:rPr>
        <w:t>M</w:t>
      </w:r>
      <w:r>
        <w:rPr>
          <w:rFonts w:cs="Times New Roman"/>
          <w:szCs w:val="20"/>
          <w:lang w:eastAsia="en-GB"/>
        </w:rPr>
        <w:t>ar</w:t>
      </w:r>
      <w:r w:rsidR="005F0654">
        <w:rPr>
          <w:rFonts w:cs="Times New Roman"/>
          <w:szCs w:val="20"/>
          <w:lang w:eastAsia="en-GB"/>
        </w:rPr>
        <w:t>ch</w:t>
      </w:r>
      <w:r>
        <w:rPr>
          <w:rFonts w:cs="Times New Roman"/>
          <w:szCs w:val="20"/>
          <w:lang w:eastAsia="en-GB"/>
        </w:rPr>
        <w:t xml:space="preserve"> 2017</w:t>
      </w:r>
      <w:r w:rsidRPr="00C178EA">
        <w:rPr>
          <w:rFonts w:cs="Times New Roman"/>
          <w:szCs w:val="20"/>
          <w:lang w:eastAsia="en-GB"/>
        </w:rPr>
        <w:t xml:space="preserve">, </w:t>
      </w:r>
      <w:r w:rsidR="00C67A31">
        <w:rPr>
          <w:rFonts w:cs="Times New Roman"/>
          <w:szCs w:val="20"/>
          <w:lang w:eastAsia="en-GB"/>
        </w:rPr>
        <w:t>1</w:t>
      </w:r>
      <w:r w:rsidR="008D681E">
        <w:rPr>
          <w:rFonts w:cs="Times New Roman"/>
          <w:szCs w:val="20"/>
          <w:lang w:eastAsia="en-GB"/>
        </w:rPr>
        <w:t>3</w:t>
      </w:r>
      <w:r w:rsidRPr="00C178EA">
        <w:rPr>
          <w:rFonts w:cs="Times New Roman"/>
          <w:szCs w:val="20"/>
          <w:lang w:eastAsia="en-GB"/>
        </w:rPr>
        <w:t xml:space="preserve">% had ambulances dispatched, </w:t>
      </w:r>
      <w:r w:rsidR="001F5A4E">
        <w:rPr>
          <w:rFonts w:cs="Times New Roman"/>
          <w:szCs w:val="20"/>
          <w:lang w:eastAsia="en-GB"/>
        </w:rPr>
        <w:t>9</w:t>
      </w:r>
      <w:r w:rsidRPr="00C178EA">
        <w:rPr>
          <w:rFonts w:cs="Times New Roman"/>
          <w:szCs w:val="20"/>
          <w:lang w:eastAsia="en-GB"/>
        </w:rPr>
        <w:t xml:space="preserve">% were recommended to </w:t>
      </w:r>
      <w:r w:rsidR="003A21E8">
        <w:rPr>
          <w:rFonts w:cs="Times New Roman"/>
          <w:szCs w:val="20"/>
          <w:lang w:eastAsia="en-GB"/>
        </w:rPr>
        <w:t xml:space="preserve">attend </w:t>
      </w:r>
      <w:r>
        <w:rPr>
          <w:rFonts w:cs="Times New Roman"/>
          <w:szCs w:val="20"/>
          <w:lang w:eastAsia="en-GB"/>
        </w:rPr>
        <w:t xml:space="preserve">A&amp;E, </w:t>
      </w:r>
      <w:r w:rsidR="003A21E8">
        <w:rPr>
          <w:rFonts w:cs="Times New Roman"/>
          <w:szCs w:val="20"/>
          <w:lang w:eastAsia="en-GB"/>
        </w:rPr>
        <w:t>6</w:t>
      </w:r>
      <w:r w:rsidR="001F5A4E">
        <w:rPr>
          <w:rFonts w:cs="Times New Roman"/>
          <w:szCs w:val="20"/>
          <w:lang w:eastAsia="en-GB"/>
        </w:rPr>
        <w:t>0</w:t>
      </w:r>
      <w:r w:rsidRPr="00C178EA">
        <w:rPr>
          <w:rFonts w:cs="Times New Roman"/>
          <w:szCs w:val="20"/>
          <w:lang w:eastAsia="en-GB"/>
        </w:rPr>
        <w:t xml:space="preserve">% were recommended to </w:t>
      </w:r>
      <w:r w:rsidR="00E44382">
        <w:rPr>
          <w:rFonts w:cs="Times New Roman"/>
          <w:szCs w:val="20"/>
          <w:lang w:eastAsia="en-GB"/>
        </w:rPr>
        <w:t xml:space="preserve">attend </w:t>
      </w:r>
      <w:r w:rsidRPr="00C178EA">
        <w:rPr>
          <w:rFonts w:cs="Times New Roman"/>
          <w:szCs w:val="20"/>
          <w:lang w:eastAsia="en-GB"/>
        </w:rPr>
        <w:t xml:space="preserve">primary care, </w:t>
      </w:r>
      <w:r w:rsidR="001F5A4E">
        <w:rPr>
          <w:rFonts w:cs="Times New Roman"/>
          <w:szCs w:val="20"/>
          <w:lang w:eastAsia="en-GB"/>
        </w:rPr>
        <w:t>5</w:t>
      </w:r>
      <w:r w:rsidRPr="00C178EA">
        <w:rPr>
          <w:rFonts w:cs="Times New Roman"/>
          <w:szCs w:val="20"/>
          <w:lang w:eastAsia="en-GB"/>
        </w:rPr>
        <w:t xml:space="preserve">% were </w:t>
      </w:r>
      <w:r w:rsidR="00C30B76">
        <w:rPr>
          <w:rFonts w:cs="Times New Roman"/>
          <w:szCs w:val="20"/>
          <w:lang w:eastAsia="en-GB"/>
        </w:rPr>
        <w:t>advis</w:t>
      </w:r>
      <w:r w:rsidR="00C67A31">
        <w:rPr>
          <w:rFonts w:cs="Times New Roman"/>
          <w:szCs w:val="20"/>
          <w:lang w:eastAsia="en-GB"/>
        </w:rPr>
        <w:t>ed to</w:t>
      </w:r>
      <w:r w:rsidR="00C30B76">
        <w:rPr>
          <w:rFonts w:cs="Times New Roman"/>
          <w:szCs w:val="20"/>
          <w:lang w:eastAsia="en-GB"/>
        </w:rPr>
        <w:t xml:space="preserve"> attend</w:t>
      </w:r>
      <w:r w:rsidR="00C67A31">
        <w:rPr>
          <w:rFonts w:cs="Times New Roman"/>
          <w:szCs w:val="20"/>
          <w:lang w:eastAsia="en-GB"/>
        </w:rPr>
        <w:t xml:space="preserve"> another service and 14</w:t>
      </w:r>
      <w:r w:rsidRPr="00C178EA">
        <w:rPr>
          <w:rFonts w:cs="Times New Roman"/>
          <w:szCs w:val="20"/>
          <w:lang w:eastAsia="en-GB"/>
        </w:rPr>
        <w:t xml:space="preserve">% were not recommended to </w:t>
      </w:r>
      <w:r w:rsidR="00BA172F">
        <w:rPr>
          <w:rFonts w:cs="Times New Roman"/>
          <w:szCs w:val="20"/>
          <w:lang w:eastAsia="en-GB"/>
        </w:rPr>
        <w:t>attend another service.</w:t>
      </w:r>
      <w:r w:rsidR="00B462A8">
        <w:rPr>
          <w:rFonts w:cs="Times New Roman"/>
          <w:szCs w:val="20"/>
          <w:lang w:eastAsia="en-GB"/>
        </w:rPr>
        <w:t xml:space="preserve"> </w:t>
      </w:r>
      <w:r w:rsidR="00C04E7E">
        <w:rPr>
          <w:rFonts w:cs="Times New Roman"/>
          <w:szCs w:val="20"/>
          <w:lang w:eastAsia="en-GB"/>
        </w:rPr>
        <w:t xml:space="preserve">All these proportions were less than 1 percentage point different in </w:t>
      </w:r>
      <w:r w:rsidR="00B04F38">
        <w:rPr>
          <w:rFonts w:cs="Times New Roman"/>
          <w:szCs w:val="20"/>
          <w:lang w:eastAsia="en-GB"/>
        </w:rPr>
        <w:t xml:space="preserve">each of </w:t>
      </w:r>
      <w:r w:rsidR="00C04E7E">
        <w:rPr>
          <w:rFonts w:cs="Times New Roman"/>
          <w:szCs w:val="20"/>
          <w:lang w:eastAsia="en-GB"/>
        </w:rPr>
        <w:t xml:space="preserve">January </w:t>
      </w:r>
      <w:r w:rsidR="00D30DBA">
        <w:rPr>
          <w:rFonts w:cs="Times New Roman"/>
          <w:szCs w:val="20"/>
          <w:lang w:eastAsia="en-GB"/>
        </w:rPr>
        <w:t xml:space="preserve">and February </w:t>
      </w:r>
      <w:r w:rsidR="00C04E7E">
        <w:rPr>
          <w:rFonts w:cs="Times New Roman"/>
          <w:szCs w:val="20"/>
          <w:lang w:eastAsia="en-GB"/>
        </w:rPr>
        <w:t>2017.</w:t>
      </w:r>
      <w:r w:rsidR="00B04F38">
        <w:rPr>
          <w:rFonts w:cs="Times New Roman"/>
          <w:szCs w:val="20"/>
          <w:lang w:eastAsia="en-GB"/>
        </w:rPr>
        <w:br w:type="page"/>
      </w:r>
    </w:p>
    <w:p w:rsidR="00630334" w:rsidRDefault="00630334" w:rsidP="00236BF2">
      <w:pPr>
        <w:spacing w:after="240"/>
        <w:rPr>
          <w:rFonts w:cs="Times New Roman"/>
          <w:b/>
          <w:szCs w:val="20"/>
          <w:lang w:eastAsia="en-GB"/>
        </w:rPr>
      </w:pPr>
      <w:r>
        <w:rPr>
          <w:rFonts w:cs="Times New Roman"/>
          <w:b/>
          <w:szCs w:val="20"/>
          <w:lang w:eastAsia="en-GB"/>
        </w:rPr>
        <w:lastRenderedPageBreak/>
        <w:t>Annual Analysis of the NHS 111 Service in England</w:t>
      </w:r>
    </w:p>
    <w:p w:rsidR="00630334" w:rsidRPr="00630334" w:rsidRDefault="00630334" w:rsidP="00236BF2">
      <w:pPr>
        <w:spacing w:after="240"/>
        <w:rPr>
          <w:rFonts w:cs="Times New Roman"/>
          <w:szCs w:val="20"/>
          <w:lang w:eastAsia="en-GB"/>
        </w:rPr>
      </w:pPr>
      <w:r>
        <w:rPr>
          <w:rFonts w:cs="Times New Roman"/>
          <w:szCs w:val="20"/>
          <w:lang w:eastAsia="en-GB"/>
        </w:rPr>
        <w:t xml:space="preserve">The annual total of calls offered to the NHS 111 service in 2016-17 </w:t>
      </w:r>
      <w:r w:rsidR="005718A8">
        <w:rPr>
          <w:rFonts w:cs="Times New Roman"/>
          <w:szCs w:val="20"/>
          <w:lang w:eastAsia="en-GB"/>
        </w:rPr>
        <w:t xml:space="preserve">(April to March inclusive) </w:t>
      </w:r>
      <w:r>
        <w:rPr>
          <w:rFonts w:cs="Times New Roman"/>
          <w:szCs w:val="20"/>
          <w:lang w:eastAsia="en-GB"/>
        </w:rPr>
        <w:t>was 14,700,691,</w:t>
      </w:r>
      <w:r w:rsidR="00F025C5">
        <w:rPr>
          <w:rFonts w:cs="Times New Roman"/>
          <w:szCs w:val="20"/>
          <w:lang w:eastAsia="en-GB"/>
        </w:rPr>
        <w:t xml:space="preserve"> or 40</w:t>
      </w:r>
      <w:r w:rsidR="00250013">
        <w:rPr>
          <w:rFonts w:cs="Times New Roman"/>
          <w:szCs w:val="20"/>
          <w:lang w:eastAsia="en-GB"/>
        </w:rPr>
        <w:t>.3</w:t>
      </w:r>
      <w:r w:rsidR="00B04F38">
        <w:rPr>
          <w:rFonts w:cs="Times New Roman"/>
          <w:szCs w:val="20"/>
          <w:lang w:eastAsia="en-GB"/>
        </w:rPr>
        <w:t xml:space="preserve"> </w:t>
      </w:r>
      <w:r w:rsidR="00250013">
        <w:rPr>
          <w:rFonts w:cs="Times New Roman"/>
          <w:szCs w:val="20"/>
          <w:lang w:eastAsia="en-GB"/>
        </w:rPr>
        <w:t xml:space="preserve">thousand </w:t>
      </w:r>
      <w:r w:rsidR="00F025C5">
        <w:rPr>
          <w:rFonts w:cs="Times New Roman"/>
          <w:szCs w:val="20"/>
          <w:lang w:eastAsia="en-GB"/>
        </w:rPr>
        <w:t>per day,</w:t>
      </w:r>
      <w:r>
        <w:rPr>
          <w:rFonts w:cs="Times New Roman"/>
          <w:szCs w:val="20"/>
          <w:lang w:eastAsia="en-GB"/>
        </w:rPr>
        <w:t xml:space="preserve"> </w:t>
      </w:r>
      <w:r w:rsidR="00B04F38">
        <w:rPr>
          <w:rFonts w:cs="Times New Roman"/>
          <w:szCs w:val="20"/>
          <w:lang w:eastAsia="en-GB"/>
        </w:rPr>
        <w:t xml:space="preserve">an increase of </w:t>
      </w:r>
      <w:r w:rsidR="00250013">
        <w:rPr>
          <w:rFonts w:cs="Times New Roman"/>
          <w:szCs w:val="20"/>
          <w:lang w:eastAsia="en-GB"/>
        </w:rPr>
        <w:t>5</w:t>
      </w:r>
      <w:r>
        <w:rPr>
          <w:rFonts w:cs="Times New Roman"/>
          <w:szCs w:val="20"/>
          <w:lang w:eastAsia="en-GB"/>
        </w:rPr>
        <w:t xml:space="preserve">% from </w:t>
      </w:r>
      <w:r w:rsidR="005718A8">
        <w:rPr>
          <w:rFonts w:cs="Times New Roman"/>
          <w:szCs w:val="20"/>
          <w:lang w:eastAsia="en-GB"/>
        </w:rPr>
        <w:t xml:space="preserve">38.5 thousand per day in </w:t>
      </w:r>
      <w:r>
        <w:rPr>
          <w:rFonts w:cs="Times New Roman"/>
          <w:szCs w:val="20"/>
          <w:lang w:eastAsia="en-GB"/>
        </w:rPr>
        <w:t>2015-</w:t>
      </w:r>
      <w:r w:rsidR="00B04F38">
        <w:rPr>
          <w:rFonts w:cs="Times New Roman"/>
          <w:szCs w:val="20"/>
          <w:lang w:eastAsia="en-GB"/>
        </w:rPr>
        <w:t>16</w:t>
      </w:r>
      <w:r>
        <w:rPr>
          <w:rFonts w:eastAsia="Times New Roman" w:cs="Arial"/>
          <w:szCs w:val="24"/>
          <w:lang w:eastAsia="en-GB"/>
        </w:rPr>
        <w:t>.</w:t>
      </w:r>
      <w:r w:rsidR="009053AF">
        <w:rPr>
          <w:rFonts w:eastAsia="Times New Roman" w:cs="Arial"/>
          <w:szCs w:val="24"/>
          <w:lang w:eastAsia="en-GB"/>
        </w:rPr>
        <w:t xml:space="preserve"> </w:t>
      </w:r>
      <w:r w:rsidR="00B04F38">
        <w:rPr>
          <w:rFonts w:eastAsia="Times New Roman" w:cs="Arial"/>
          <w:szCs w:val="24"/>
          <w:lang w:eastAsia="en-GB"/>
        </w:rPr>
        <w:t>I</w:t>
      </w:r>
      <w:r w:rsidR="009053AF">
        <w:rPr>
          <w:rFonts w:eastAsia="Times New Roman" w:cs="Arial"/>
          <w:szCs w:val="24"/>
          <w:lang w:eastAsia="en-GB"/>
        </w:rPr>
        <w:t>n 2015-16</w:t>
      </w:r>
      <w:r w:rsidR="00B04F38">
        <w:rPr>
          <w:rFonts w:eastAsia="Times New Roman" w:cs="Arial"/>
          <w:szCs w:val="24"/>
          <w:lang w:eastAsia="en-GB"/>
        </w:rPr>
        <w:t>,</w:t>
      </w:r>
      <w:r w:rsidR="00B04F38" w:rsidRPr="00B04F38">
        <w:rPr>
          <w:rFonts w:eastAsia="Times New Roman" w:cs="Arial"/>
          <w:szCs w:val="24"/>
          <w:lang w:eastAsia="en-GB"/>
        </w:rPr>
        <w:t xml:space="preserve"> </w:t>
      </w:r>
      <w:r w:rsidR="00B04F38">
        <w:rPr>
          <w:rFonts w:eastAsia="Times New Roman" w:cs="Arial"/>
          <w:szCs w:val="24"/>
          <w:lang w:eastAsia="en-GB"/>
        </w:rPr>
        <w:t>the busiest month was March, which included Easter, and had</w:t>
      </w:r>
      <w:r w:rsidR="005718A8">
        <w:rPr>
          <w:rFonts w:cs="Times New Roman"/>
          <w:szCs w:val="20"/>
          <w:lang w:eastAsia="en-GB"/>
        </w:rPr>
        <w:t xml:space="preserve"> 48.9 thousand calls offered per day</w:t>
      </w:r>
      <w:r w:rsidR="009053AF">
        <w:rPr>
          <w:rFonts w:eastAsia="Times New Roman" w:cs="Arial"/>
          <w:szCs w:val="24"/>
          <w:lang w:eastAsia="en-GB"/>
        </w:rPr>
        <w:t>.</w:t>
      </w:r>
      <w:r w:rsidR="006B2062">
        <w:rPr>
          <w:rFonts w:eastAsia="Times New Roman" w:cs="Arial"/>
          <w:szCs w:val="24"/>
          <w:lang w:eastAsia="en-GB"/>
        </w:rPr>
        <w:t xml:space="preserve"> </w:t>
      </w:r>
      <w:r w:rsidR="00B04F38">
        <w:rPr>
          <w:rFonts w:eastAsia="Times New Roman" w:cs="Arial"/>
          <w:szCs w:val="24"/>
          <w:lang w:eastAsia="en-GB"/>
        </w:rPr>
        <w:t xml:space="preserve">In 2016-17 the busiest month was </w:t>
      </w:r>
      <w:r w:rsidR="006B2062">
        <w:rPr>
          <w:rFonts w:eastAsia="Times New Roman" w:cs="Arial"/>
          <w:szCs w:val="24"/>
          <w:lang w:eastAsia="en-GB"/>
        </w:rPr>
        <w:t>December</w:t>
      </w:r>
      <w:r w:rsidR="00B04F38">
        <w:rPr>
          <w:rFonts w:eastAsia="Times New Roman" w:cs="Arial"/>
          <w:szCs w:val="24"/>
          <w:lang w:eastAsia="en-GB"/>
        </w:rPr>
        <w:t xml:space="preserve">, which had </w:t>
      </w:r>
      <w:r w:rsidR="006B2062">
        <w:rPr>
          <w:rFonts w:eastAsia="Times New Roman" w:cs="Arial"/>
          <w:szCs w:val="24"/>
          <w:lang w:eastAsia="en-GB"/>
        </w:rPr>
        <w:t>47</w:t>
      </w:r>
      <w:r w:rsidR="005718A8">
        <w:rPr>
          <w:rFonts w:eastAsia="Times New Roman" w:cs="Arial"/>
          <w:szCs w:val="24"/>
          <w:lang w:eastAsia="en-GB"/>
        </w:rPr>
        <w:t>.6 thousand</w:t>
      </w:r>
      <w:r w:rsidR="006B2062">
        <w:rPr>
          <w:rFonts w:eastAsia="Times New Roman" w:cs="Arial"/>
          <w:szCs w:val="24"/>
          <w:lang w:eastAsia="en-GB"/>
        </w:rPr>
        <w:t xml:space="preserve"> calls </w:t>
      </w:r>
      <w:r w:rsidR="005718A8">
        <w:rPr>
          <w:rFonts w:eastAsia="Times New Roman" w:cs="Arial"/>
          <w:szCs w:val="24"/>
          <w:lang w:eastAsia="en-GB"/>
        </w:rPr>
        <w:t xml:space="preserve">offered </w:t>
      </w:r>
      <w:r w:rsidR="006B2062">
        <w:rPr>
          <w:rFonts w:eastAsia="Times New Roman" w:cs="Arial"/>
          <w:szCs w:val="24"/>
          <w:lang w:eastAsia="en-GB"/>
        </w:rPr>
        <w:t>per day</w:t>
      </w:r>
      <w:r w:rsidR="00E32D53">
        <w:rPr>
          <w:rFonts w:eastAsia="Times New Roman" w:cs="Arial"/>
          <w:szCs w:val="24"/>
          <w:lang w:eastAsia="en-GB"/>
        </w:rPr>
        <w:t>.</w:t>
      </w:r>
    </w:p>
    <w:p w:rsidR="008D27FF" w:rsidRDefault="00630334" w:rsidP="00236BF2">
      <w:pPr>
        <w:spacing w:after="240"/>
        <w:rPr>
          <w:rFonts w:cs="Times New Roman"/>
          <w:szCs w:val="20"/>
          <w:lang w:eastAsia="en-GB"/>
        </w:rPr>
      </w:pPr>
      <w:r>
        <w:rPr>
          <w:rFonts w:cs="Times New Roman"/>
          <w:szCs w:val="20"/>
          <w:lang w:eastAsia="en-GB"/>
        </w:rPr>
        <w:t xml:space="preserve">The rate of calls abandoned after more than 30 seconds’ wait was 2.4% on average for 2016-17, </w:t>
      </w:r>
      <w:r w:rsidR="00B04F38">
        <w:rPr>
          <w:rFonts w:cs="Times New Roman"/>
          <w:szCs w:val="20"/>
          <w:lang w:eastAsia="en-GB"/>
        </w:rPr>
        <w:t>compared with</w:t>
      </w:r>
      <w:r>
        <w:rPr>
          <w:rFonts w:cs="Times New Roman"/>
          <w:szCs w:val="20"/>
          <w:lang w:eastAsia="en-GB"/>
        </w:rPr>
        <w:t xml:space="preserve"> 3.1% in 2015-16.</w:t>
      </w:r>
      <w:r w:rsidR="009959B2">
        <w:rPr>
          <w:rFonts w:cs="Times New Roman"/>
          <w:szCs w:val="20"/>
          <w:lang w:eastAsia="en-GB"/>
        </w:rPr>
        <w:t xml:space="preserve"> The </w:t>
      </w:r>
      <w:r w:rsidR="00B04F38">
        <w:rPr>
          <w:rFonts w:cs="Times New Roman"/>
          <w:szCs w:val="20"/>
          <w:lang w:eastAsia="en-GB"/>
        </w:rPr>
        <w:t xml:space="preserve">lowest monthly </w:t>
      </w:r>
      <w:r w:rsidR="009959B2">
        <w:rPr>
          <w:rFonts w:cs="Times New Roman"/>
          <w:szCs w:val="20"/>
          <w:lang w:eastAsia="en-GB"/>
        </w:rPr>
        <w:t xml:space="preserve">rate in 2016-17 was 1.4% in August, while the </w:t>
      </w:r>
      <w:r w:rsidR="00B04F38">
        <w:rPr>
          <w:rFonts w:cs="Times New Roman"/>
          <w:szCs w:val="20"/>
          <w:lang w:eastAsia="en-GB"/>
        </w:rPr>
        <w:t xml:space="preserve">lowest monthly rate in </w:t>
      </w:r>
      <w:r w:rsidR="009959B2">
        <w:rPr>
          <w:rFonts w:cs="Times New Roman"/>
          <w:szCs w:val="20"/>
          <w:lang w:eastAsia="en-GB"/>
        </w:rPr>
        <w:t xml:space="preserve">2015-16 was 1.3% </w:t>
      </w:r>
      <w:r w:rsidR="00B04F38">
        <w:rPr>
          <w:rFonts w:cs="Times New Roman"/>
          <w:szCs w:val="20"/>
          <w:lang w:eastAsia="en-GB"/>
        </w:rPr>
        <w:t>in each of June and July.</w:t>
      </w:r>
    </w:p>
    <w:p w:rsidR="008D27FF" w:rsidRPr="00FA173E" w:rsidRDefault="008D27FF" w:rsidP="008D27FF">
      <w:pPr>
        <w:spacing w:after="240"/>
        <w:rPr>
          <w:rFonts w:cs="Times New Roman"/>
          <w:szCs w:val="20"/>
          <w:lang w:eastAsia="en-GB"/>
        </w:rPr>
      </w:pPr>
      <w:r>
        <w:rPr>
          <w:rFonts w:cs="Times New Roman"/>
          <w:szCs w:val="20"/>
          <w:lang w:eastAsia="en-GB"/>
        </w:rPr>
        <w:t xml:space="preserve">In the whole of 2016-17, 89.1% of all calls answered were answered within 60 seconds by the NHS 111 service, </w:t>
      </w:r>
      <w:r w:rsidR="00B04F38">
        <w:rPr>
          <w:rFonts w:cs="Times New Roman"/>
          <w:szCs w:val="20"/>
          <w:lang w:eastAsia="en-GB"/>
        </w:rPr>
        <w:t xml:space="preserve">an increase </w:t>
      </w:r>
      <w:r>
        <w:rPr>
          <w:rFonts w:cs="Times New Roman"/>
          <w:szCs w:val="20"/>
          <w:lang w:eastAsia="en-GB"/>
        </w:rPr>
        <w:t>from 87.8% in 2015-16.</w:t>
      </w:r>
      <w:r w:rsidR="00657C26">
        <w:rPr>
          <w:rFonts w:cs="Times New Roman"/>
          <w:szCs w:val="20"/>
          <w:lang w:eastAsia="en-GB"/>
        </w:rPr>
        <w:t xml:space="preserve"> </w:t>
      </w:r>
      <w:r w:rsidR="00B04F38">
        <w:rPr>
          <w:rFonts w:cs="Times New Roman"/>
          <w:szCs w:val="20"/>
          <w:lang w:eastAsia="en-GB"/>
        </w:rPr>
        <w:t>The highest monthly rate in</w:t>
      </w:r>
      <w:r w:rsidR="002A0971">
        <w:rPr>
          <w:rFonts w:cs="Times New Roman"/>
          <w:szCs w:val="20"/>
          <w:lang w:eastAsia="en-GB"/>
        </w:rPr>
        <w:t xml:space="preserve"> 2016-17</w:t>
      </w:r>
      <w:r w:rsidR="00B04F38">
        <w:rPr>
          <w:rFonts w:cs="Times New Roman"/>
          <w:szCs w:val="20"/>
          <w:lang w:eastAsia="en-GB"/>
        </w:rPr>
        <w:t xml:space="preserve"> was</w:t>
      </w:r>
      <w:r w:rsidR="002A0971">
        <w:rPr>
          <w:rFonts w:cs="Times New Roman"/>
          <w:szCs w:val="20"/>
          <w:lang w:eastAsia="en-GB"/>
        </w:rPr>
        <w:t xml:space="preserve"> </w:t>
      </w:r>
      <w:r w:rsidR="00B04F38">
        <w:rPr>
          <w:rFonts w:cs="Times New Roman"/>
          <w:szCs w:val="20"/>
          <w:lang w:eastAsia="en-GB"/>
        </w:rPr>
        <w:t xml:space="preserve">92.9% in August, and the highest in 2015-16 was </w:t>
      </w:r>
      <w:r w:rsidR="0071188E">
        <w:rPr>
          <w:rFonts w:cs="Times New Roman"/>
          <w:szCs w:val="20"/>
          <w:lang w:eastAsia="en-GB"/>
        </w:rPr>
        <w:t xml:space="preserve">94.1% in </w:t>
      </w:r>
      <w:r w:rsidR="00B04F38">
        <w:rPr>
          <w:rFonts w:cs="Times New Roman"/>
          <w:szCs w:val="20"/>
          <w:lang w:eastAsia="en-GB"/>
        </w:rPr>
        <w:t xml:space="preserve">each of </w:t>
      </w:r>
      <w:r w:rsidR="0071188E">
        <w:rPr>
          <w:rFonts w:cs="Times New Roman"/>
          <w:szCs w:val="20"/>
          <w:lang w:eastAsia="en-GB"/>
        </w:rPr>
        <w:t>June and July</w:t>
      </w:r>
      <w:r w:rsidR="00B04F38">
        <w:rPr>
          <w:rFonts w:cs="Times New Roman"/>
          <w:szCs w:val="20"/>
          <w:lang w:eastAsia="en-GB"/>
        </w:rPr>
        <w:t>, mirroring the trend for calls abandoned</w:t>
      </w:r>
      <w:r w:rsidR="005749FD">
        <w:rPr>
          <w:rFonts w:cs="Times New Roman"/>
          <w:szCs w:val="20"/>
          <w:lang w:eastAsia="en-GB"/>
        </w:rPr>
        <w:t>.</w:t>
      </w:r>
    </w:p>
    <w:p w:rsidR="00381179" w:rsidRDefault="00B04F38" w:rsidP="00236BF2">
      <w:pPr>
        <w:spacing w:after="240"/>
        <w:rPr>
          <w:rFonts w:cs="Times New Roman"/>
          <w:szCs w:val="20"/>
          <w:lang w:eastAsia="en-GB"/>
        </w:rPr>
      </w:pPr>
      <w:r>
        <w:rPr>
          <w:rFonts w:cs="Times New Roman"/>
          <w:szCs w:val="20"/>
          <w:lang w:eastAsia="en-GB"/>
        </w:rPr>
        <w:t>O</w:t>
      </w:r>
      <w:r w:rsidR="00005F40">
        <w:rPr>
          <w:rFonts w:cs="Times New Roman"/>
          <w:szCs w:val="20"/>
          <w:lang w:eastAsia="en-GB"/>
        </w:rPr>
        <w:t xml:space="preserve">f calls answered </w:t>
      </w:r>
      <w:r>
        <w:rPr>
          <w:rFonts w:cs="Times New Roman"/>
          <w:szCs w:val="20"/>
          <w:lang w:eastAsia="en-GB"/>
        </w:rPr>
        <w:t xml:space="preserve">in 2016-17, 13.5% </w:t>
      </w:r>
      <w:r w:rsidR="00005F40">
        <w:rPr>
          <w:rFonts w:cs="Times New Roman"/>
          <w:szCs w:val="20"/>
          <w:lang w:eastAsia="en-GB"/>
        </w:rPr>
        <w:t xml:space="preserve">were offered a call </w:t>
      </w:r>
      <w:r w:rsidR="00F50325">
        <w:rPr>
          <w:rFonts w:cs="Times New Roman"/>
          <w:szCs w:val="20"/>
          <w:lang w:eastAsia="en-GB"/>
        </w:rPr>
        <w:t>back</w:t>
      </w:r>
      <w:r>
        <w:rPr>
          <w:rFonts w:cs="Times New Roman"/>
          <w:szCs w:val="20"/>
          <w:lang w:eastAsia="en-GB"/>
        </w:rPr>
        <w:t xml:space="preserve"> from an NHS Pathways-using clinical advisor</w:t>
      </w:r>
      <w:r w:rsidR="00F50325">
        <w:rPr>
          <w:rFonts w:cs="Times New Roman"/>
          <w:szCs w:val="20"/>
          <w:lang w:eastAsia="en-GB"/>
        </w:rPr>
        <w:t xml:space="preserve">, </w:t>
      </w:r>
      <w:r>
        <w:rPr>
          <w:rFonts w:cs="Times New Roman"/>
          <w:szCs w:val="20"/>
          <w:lang w:eastAsia="en-GB"/>
        </w:rPr>
        <w:t xml:space="preserve">a small increase on </w:t>
      </w:r>
      <w:r w:rsidR="00005F40">
        <w:rPr>
          <w:rFonts w:cs="Times New Roman"/>
          <w:szCs w:val="20"/>
          <w:lang w:eastAsia="en-GB"/>
        </w:rPr>
        <w:t>12.6% in 2015-16.</w:t>
      </w:r>
      <w:r w:rsidR="00956704">
        <w:rPr>
          <w:rFonts w:cs="Times New Roman"/>
          <w:szCs w:val="20"/>
          <w:lang w:eastAsia="en-GB"/>
        </w:rPr>
        <w:t xml:space="preserve"> </w:t>
      </w:r>
      <w:r w:rsidR="006753B9">
        <w:rPr>
          <w:rFonts w:cs="Times New Roman"/>
          <w:szCs w:val="20"/>
          <w:lang w:eastAsia="en-GB"/>
        </w:rPr>
        <w:t xml:space="preserve">The lowest rate </w:t>
      </w:r>
      <w:r>
        <w:rPr>
          <w:rFonts w:cs="Times New Roman"/>
          <w:szCs w:val="20"/>
          <w:lang w:eastAsia="en-GB"/>
        </w:rPr>
        <w:t xml:space="preserve">in 2015-16 </w:t>
      </w:r>
      <w:r w:rsidR="006753B9">
        <w:rPr>
          <w:rFonts w:cs="Times New Roman"/>
          <w:szCs w:val="20"/>
          <w:lang w:eastAsia="en-GB"/>
        </w:rPr>
        <w:t xml:space="preserve">was </w:t>
      </w:r>
      <w:r w:rsidR="006071C0">
        <w:rPr>
          <w:rFonts w:cs="Times New Roman"/>
          <w:szCs w:val="20"/>
          <w:lang w:eastAsia="en-GB"/>
        </w:rPr>
        <w:t>11.1%</w:t>
      </w:r>
      <w:r w:rsidR="006753B9">
        <w:rPr>
          <w:rFonts w:cs="Times New Roman"/>
          <w:szCs w:val="20"/>
          <w:lang w:eastAsia="en-GB"/>
        </w:rPr>
        <w:t xml:space="preserve"> </w:t>
      </w:r>
      <w:r w:rsidR="00F50325">
        <w:rPr>
          <w:rFonts w:cs="Times New Roman"/>
          <w:szCs w:val="20"/>
          <w:lang w:eastAsia="en-GB"/>
        </w:rPr>
        <w:t>in April</w:t>
      </w:r>
      <w:r w:rsidR="006071C0">
        <w:rPr>
          <w:rFonts w:cs="Times New Roman"/>
          <w:szCs w:val="20"/>
          <w:lang w:eastAsia="en-GB"/>
        </w:rPr>
        <w:t xml:space="preserve">, </w:t>
      </w:r>
      <w:r>
        <w:rPr>
          <w:rFonts w:cs="Times New Roman"/>
          <w:szCs w:val="20"/>
          <w:lang w:eastAsia="en-GB"/>
        </w:rPr>
        <w:t xml:space="preserve">and the lowest in </w:t>
      </w:r>
      <w:r w:rsidR="006071C0">
        <w:rPr>
          <w:rFonts w:cs="Times New Roman"/>
          <w:szCs w:val="20"/>
          <w:lang w:eastAsia="en-GB"/>
        </w:rPr>
        <w:t>2016-17</w:t>
      </w:r>
      <w:r>
        <w:rPr>
          <w:rFonts w:cs="Times New Roman"/>
          <w:szCs w:val="20"/>
          <w:lang w:eastAsia="en-GB"/>
        </w:rPr>
        <w:t xml:space="preserve"> was </w:t>
      </w:r>
      <w:r w:rsidR="00F50325">
        <w:rPr>
          <w:rFonts w:cs="Times New Roman"/>
          <w:szCs w:val="20"/>
          <w:lang w:eastAsia="en-GB"/>
        </w:rPr>
        <w:t>12.7% in August</w:t>
      </w:r>
      <w:r w:rsidR="006071C0">
        <w:rPr>
          <w:rFonts w:cs="Times New Roman"/>
          <w:szCs w:val="20"/>
          <w:lang w:eastAsia="en-GB"/>
        </w:rPr>
        <w:t>.</w:t>
      </w:r>
      <w:r w:rsidR="006753B9">
        <w:rPr>
          <w:rFonts w:cs="Times New Roman"/>
          <w:szCs w:val="20"/>
          <w:lang w:eastAsia="en-GB"/>
        </w:rPr>
        <w:t xml:space="preserve"> </w:t>
      </w:r>
    </w:p>
    <w:p w:rsidR="00005F40" w:rsidRDefault="00FA31B1" w:rsidP="00236BF2">
      <w:pPr>
        <w:spacing w:after="240"/>
        <w:rPr>
          <w:rFonts w:cs="Times New Roman"/>
          <w:szCs w:val="20"/>
          <w:lang w:eastAsia="en-GB"/>
        </w:rPr>
      </w:pPr>
      <w:r>
        <w:rPr>
          <w:rFonts w:cs="Times New Roman"/>
          <w:szCs w:val="20"/>
          <w:lang w:eastAsia="en-GB"/>
        </w:rPr>
        <w:t xml:space="preserve">In 2015-16, 41% of call backs offered were made within 10 minutes, and this figure </w:t>
      </w:r>
      <w:r w:rsidR="00B04F38">
        <w:rPr>
          <w:rFonts w:cs="Times New Roman"/>
          <w:szCs w:val="20"/>
          <w:lang w:eastAsia="en-GB"/>
        </w:rPr>
        <w:t>decreased</w:t>
      </w:r>
      <w:r>
        <w:rPr>
          <w:rFonts w:cs="Times New Roman"/>
          <w:szCs w:val="20"/>
          <w:lang w:eastAsia="en-GB"/>
        </w:rPr>
        <w:t xml:space="preserve"> to 39% in 2016-17.</w:t>
      </w:r>
      <w:r w:rsidR="004A520B">
        <w:rPr>
          <w:rFonts w:cs="Times New Roman"/>
          <w:szCs w:val="20"/>
          <w:lang w:eastAsia="en-GB"/>
        </w:rPr>
        <w:t xml:space="preserve"> In 2016-17, the </w:t>
      </w:r>
      <w:r w:rsidR="00B04F38">
        <w:rPr>
          <w:rFonts w:cs="Times New Roman"/>
          <w:szCs w:val="20"/>
          <w:lang w:eastAsia="en-GB"/>
        </w:rPr>
        <w:t xml:space="preserve">highest </w:t>
      </w:r>
      <w:r w:rsidR="004A520B">
        <w:rPr>
          <w:rFonts w:cs="Times New Roman"/>
          <w:szCs w:val="20"/>
          <w:lang w:eastAsia="en-GB"/>
        </w:rPr>
        <w:t xml:space="preserve">rate for this service was 42.4% in August, compared with a </w:t>
      </w:r>
      <w:r w:rsidR="00B04F38">
        <w:rPr>
          <w:rFonts w:cs="Times New Roman"/>
          <w:szCs w:val="20"/>
          <w:lang w:eastAsia="en-GB"/>
        </w:rPr>
        <w:t>high</w:t>
      </w:r>
      <w:r w:rsidR="004A520B">
        <w:rPr>
          <w:rFonts w:cs="Times New Roman"/>
          <w:szCs w:val="20"/>
          <w:lang w:eastAsia="en-GB"/>
        </w:rPr>
        <w:t xml:space="preserve"> </w:t>
      </w:r>
      <w:r w:rsidR="00B04F38">
        <w:rPr>
          <w:rFonts w:cs="Times New Roman"/>
          <w:szCs w:val="20"/>
          <w:lang w:eastAsia="en-GB"/>
        </w:rPr>
        <w:t xml:space="preserve">for 2015-16 </w:t>
      </w:r>
      <w:r w:rsidR="004A520B">
        <w:rPr>
          <w:rFonts w:cs="Times New Roman"/>
          <w:szCs w:val="20"/>
          <w:lang w:eastAsia="en-GB"/>
        </w:rPr>
        <w:t>of 47.6% in Ap</w:t>
      </w:r>
      <w:r w:rsidR="00B04F38">
        <w:rPr>
          <w:rFonts w:cs="Times New Roman"/>
          <w:szCs w:val="20"/>
          <w:lang w:eastAsia="en-GB"/>
        </w:rPr>
        <w:t>ril.</w:t>
      </w:r>
    </w:p>
    <w:p w:rsidR="00FA31B1" w:rsidRDefault="00B04F38" w:rsidP="00236BF2">
      <w:pPr>
        <w:spacing w:after="240"/>
        <w:rPr>
          <w:rFonts w:cs="Times New Roman"/>
          <w:szCs w:val="20"/>
          <w:lang w:eastAsia="en-GB"/>
        </w:rPr>
      </w:pPr>
      <w:r>
        <w:rPr>
          <w:rFonts w:cs="Times New Roman"/>
          <w:szCs w:val="20"/>
          <w:lang w:eastAsia="en-GB"/>
        </w:rPr>
        <w:t>O</w:t>
      </w:r>
      <w:r w:rsidR="00553936">
        <w:rPr>
          <w:rFonts w:cs="Times New Roman"/>
          <w:szCs w:val="20"/>
          <w:lang w:eastAsia="en-GB"/>
        </w:rPr>
        <w:t>f calls answered</w:t>
      </w:r>
      <w:r>
        <w:rPr>
          <w:rFonts w:cs="Times New Roman"/>
          <w:szCs w:val="20"/>
          <w:lang w:eastAsia="en-GB"/>
        </w:rPr>
        <w:t>, the proportion</w:t>
      </w:r>
      <w:r w:rsidR="00553936">
        <w:rPr>
          <w:rFonts w:cs="Times New Roman"/>
          <w:szCs w:val="20"/>
          <w:lang w:eastAsia="en-GB"/>
        </w:rPr>
        <w:t xml:space="preserve"> transferred to or answered by a clinical advisor </w:t>
      </w:r>
      <w:r>
        <w:rPr>
          <w:rFonts w:cs="Times New Roman"/>
          <w:szCs w:val="20"/>
          <w:lang w:eastAsia="en-GB"/>
        </w:rPr>
        <w:t xml:space="preserve">using NHS Pathways </w:t>
      </w:r>
      <w:r w:rsidR="00553936">
        <w:rPr>
          <w:rFonts w:cs="Times New Roman"/>
          <w:szCs w:val="20"/>
          <w:lang w:eastAsia="en-GB"/>
        </w:rPr>
        <w:t xml:space="preserve">in 2015-16 and 2016-17 were </w:t>
      </w:r>
      <w:r w:rsidR="00B45C8F">
        <w:rPr>
          <w:rFonts w:cs="Times New Roman"/>
          <w:szCs w:val="20"/>
          <w:lang w:eastAsia="en-GB"/>
        </w:rPr>
        <w:t xml:space="preserve">both </w:t>
      </w:r>
      <w:r w:rsidR="00553936">
        <w:rPr>
          <w:rFonts w:cs="Times New Roman"/>
          <w:szCs w:val="20"/>
          <w:lang w:eastAsia="en-GB"/>
        </w:rPr>
        <w:t>22%</w:t>
      </w:r>
      <w:r w:rsidR="00B45C8F">
        <w:rPr>
          <w:rFonts w:cs="Times New Roman"/>
          <w:szCs w:val="20"/>
          <w:lang w:eastAsia="en-GB"/>
        </w:rPr>
        <w:t>, with a rate between 21% and 23% in every month</w:t>
      </w:r>
      <w:r w:rsidR="00991A2A">
        <w:rPr>
          <w:rFonts w:cs="Times New Roman"/>
          <w:szCs w:val="20"/>
          <w:lang w:eastAsia="en-GB"/>
        </w:rPr>
        <w:t>.</w:t>
      </w:r>
      <w:r w:rsidR="009A58C6">
        <w:rPr>
          <w:rFonts w:cs="Times New Roman"/>
          <w:szCs w:val="20"/>
          <w:lang w:eastAsia="en-GB"/>
        </w:rPr>
        <w:t xml:space="preserve"> </w:t>
      </w:r>
    </w:p>
    <w:p w:rsidR="005F564D" w:rsidRDefault="00C36A4D" w:rsidP="00236BF2">
      <w:pPr>
        <w:spacing w:after="240"/>
        <w:rPr>
          <w:rFonts w:cs="Times New Roman"/>
          <w:color w:val="FF0000"/>
          <w:szCs w:val="20"/>
          <w:lang w:eastAsia="en-GB"/>
        </w:rPr>
      </w:pPr>
      <w:r>
        <w:rPr>
          <w:rFonts w:cs="Times New Roman"/>
          <w:szCs w:val="20"/>
          <w:lang w:eastAsia="en-GB"/>
        </w:rPr>
        <w:t>In 201</w:t>
      </w:r>
      <w:r w:rsidR="00B131A7">
        <w:rPr>
          <w:rFonts w:cs="Times New Roman"/>
          <w:szCs w:val="20"/>
          <w:lang w:eastAsia="en-GB"/>
        </w:rPr>
        <w:t>5</w:t>
      </w:r>
      <w:r>
        <w:rPr>
          <w:rFonts w:cs="Times New Roman"/>
          <w:szCs w:val="20"/>
          <w:lang w:eastAsia="en-GB"/>
        </w:rPr>
        <w:t>-1</w:t>
      </w:r>
      <w:r w:rsidR="00B131A7">
        <w:rPr>
          <w:rFonts w:cs="Times New Roman"/>
          <w:szCs w:val="20"/>
          <w:lang w:eastAsia="en-GB"/>
        </w:rPr>
        <w:t>6</w:t>
      </w:r>
      <w:r>
        <w:rPr>
          <w:rFonts w:cs="Times New Roman"/>
          <w:szCs w:val="20"/>
          <w:lang w:eastAsia="en-GB"/>
        </w:rPr>
        <w:t xml:space="preserve">, the </w:t>
      </w:r>
      <w:r w:rsidR="00D961A1">
        <w:rPr>
          <w:rFonts w:cs="Times New Roman"/>
          <w:szCs w:val="20"/>
          <w:lang w:eastAsia="en-GB"/>
        </w:rPr>
        <w:t>average</w:t>
      </w:r>
      <w:r w:rsidR="00BB0B14">
        <w:rPr>
          <w:rFonts w:cs="Times New Roman"/>
          <w:szCs w:val="20"/>
          <w:lang w:eastAsia="en-GB"/>
        </w:rPr>
        <w:t xml:space="preserve"> mean</w:t>
      </w:r>
      <w:r w:rsidR="00D961A1">
        <w:rPr>
          <w:rFonts w:cs="Times New Roman"/>
          <w:szCs w:val="20"/>
          <w:lang w:eastAsia="en-GB"/>
        </w:rPr>
        <w:t xml:space="preserve"> length</w:t>
      </w:r>
      <w:r>
        <w:rPr>
          <w:rFonts w:cs="Times New Roman"/>
          <w:szCs w:val="20"/>
          <w:lang w:eastAsia="en-GB"/>
        </w:rPr>
        <w:t xml:space="preserve"> of all calls answered </w:t>
      </w:r>
      <w:r w:rsidR="00B131A7">
        <w:rPr>
          <w:rFonts w:cs="Times New Roman"/>
          <w:szCs w:val="20"/>
          <w:lang w:eastAsia="en-GB"/>
        </w:rPr>
        <w:t xml:space="preserve">was 15 minutes and 58 seconds. This </w:t>
      </w:r>
      <w:r w:rsidR="00B04F38">
        <w:rPr>
          <w:rFonts w:cs="Times New Roman"/>
          <w:szCs w:val="20"/>
          <w:lang w:eastAsia="en-GB"/>
        </w:rPr>
        <w:t>increased slightly to</w:t>
      </w:r>
      <w:r w:rsidR="00E1112D" w:rsidRPr="00710CED">
        <w:rPr>
          <w:rFonts w:cs="Times New Roman"/>
          <w:szCs w:val="20"/>
          <w:lang w:eastAsia="en-GB"/>
        </w:rPr>
        <w:t xml:space="preserve"> 16 minutes and 28 seconds</w:t>
      </w:r>
      <w:r w:rsidR="00B04F38">
        <w:rPr>
          <w:rFonts w:cs="Times New Roman"/>
          <w:szCs w:val="20"/>
          <w:lang w:eastAsia="en-GB"/>
        </w:rPr>
        <w:t xml:space="preserve"> in 2016-17.</w:t>
      </w:r>
    </w:p>
    <w:p w:rsidR="00692C97" w:rsidRDefault="00553936" w:rsidP="00553936">
      <w:pPr>
        <w:spacing w:after="240"/>
        <w:rPr>
          <w:rFonts w:cs="Times New Roman"/>
          <w:szCs w:val="20"/>
          <w:lang w:eastAsia="en-GB"/>
        </w:rPr>
      </w:pPr>
      <w:r>
        <w:rPr>
          <w:rFonts w:cs="Times New Roman"/>
          <w:szCs w:val="20"/>
          <w:lang w:eastAsia="en-GB"/>
        </w:rPr>
        <w:t xml:space="preserve">In 2015-16, 11.3% of all calls triaged had ambulances dispatched, 8.2% were advised to attend A&amp;E, 61.9% were recommended to attend primary care, 3.7% were advised to attend another service and 14.9% were not referred to another service. </w:t>
      </w:r>
      <w:r w:rsidR="00F2076B">
        <w:rPr>
          <w:rFonts w:cs="Times New Roman"/>
          <w:szCs w:val="20"/>
          <w:lang w:eastAsia="en-GB"/>
        </w:rPr>
        <w:t>In 2016-17, ambulance dispatch</w:t>
      </w:r>
      <w:r w:rsidR="00B04F38">
        <w:rPr>
          <w:rFonts w:cs="Times New Roman"/>
          <w:szCs w:val="20"/>
          <w:lang w:eastAsia="en-GB"/>
        </w:rPr>
        <w:t>es increased</w:t>
      </w:r>
      <w:r w:rsidR="00F2076B">
        <w:rPr>
          <w:rFonts w:cs="Times New Roman"/>
          <w:szCs w:val="20"/>
          <w:lang w:eastAsia="en-GB"/>
        </w:rPr>
        <w:t xml:space="preserve"> 1</w:t>
      </w:r>
      <w:r w:rsidR="00B04F38">
        <w:rPr>
          <w:rFonts w:cs="Times New Roman"/>
          <w:szCs w:val="20"/>
          <w:lang w:eastAsia="en-GB"/>
        </w:rPr>
        <w:t>.5 percentage points while</w:t>
      </w:r>
      <w:r w:rsidR="00F2076B">
        <w:rPr>
          <w:rFonts w:cs="Times New Roman"/>
          <w:szCs w:val="20"/>
          <w:lang w:eastAsia="en-GB"/>
        </w:rPr>
        <w:t xml:space="preserve"> recommendation</w:t>
      </w:r>
      <w:r w:rsidR="00B04F38">
        <w:rPr>
          <w:rFonts w:cs="Times New Roman"/>
          <w:szCs w:val="20"/>
          <w:lang w:eastAsia="en-GB"/>
        </w:rPr>
        <w:t>s</w:t>
      </w:r>
      <w:r w:rsidR="00F2076B">
        <w:rPr>
          <w:rFonts w:cs="Times New Roman"/>
          <w:szCs w:val="20"/>
          <w:lang w:eastAsia="en-GB"/>
        </w:rPr>
        <w:t xml:space="preserve"> to primary care </w:t>
      </w:r>
      <w:r w:rsidR="00B04F38">
        <w:rPr>
          <w:rFonts w:cs="Times New Roman"/>
          <w:szCs w:val="20"/>
          <w:lang w:eastAsia="en-GB"/>
        </w:rPr>
        <w:t xml:space="preserve">decreased </w:t>
      </w:r>
      <w:r w:rsidR="00F2076B">
        <w:rPr>
          <w:rFonts w:cs="Times New Roman"/>
          <w:szCs w:val="20"/>
          <w:lang w:eastAsia="en-GB"/>
        </w:rPr>
        <w:t>1</w:t>
      </w:r>
      <w:r w:rsidR="00B04F38">
        <w:rPr>
          <w:rFonts w:cs="Times New Roman"/>
          <w:szCs w:val="20"/>
          <w:lang w:eastAsia="en-GB"/>
        </w:rPr>
        <w:t>.7 percentage points</w:t>
      </w:r>
      <w:r>
        <w:rPr>
          <w:rFonts w:cs="Times New Roman"/>
          <w:szCs w:val="20"/>
          <w:lang w:eastAsia="en-GB"/>
        </w:rPr>
        <w:t>.</w:t>
      </w:r>
    </w:p>
    <w:p w:rsidR="009B4590" w:rsidRDefault="009B4590" w:rsidP="00553936">
      <w:pPr>
        <w:spacing w:after="240"/>
        <w:rPr>
          <w:rFonts w:cs="Times New Roman"/>
          <w:szCs w:val="20"/>
          <w:lang w:eastAsia="en-GB"/>
        </w:rPr>
      </w:pPr>
      <w:r>
        <w:rPr>
          <w:rFonts w:cs="Times New Roman"/>
          <w:szCs w:val="20"/>
          <w:lang w:eastAsia="en-GB"/>
        </w:rPr>
        <w:br w:type="page"/>
      </w:r>
    </w:p>
    <w:p w:rsidR="00553936" w:rsidRDefault="00A73938" w:rsidP="00553936">
      <w:pPr>
        <w:spacing w:after="240"/>
        <w:rPr>
          <w:rFonts w:cs="Times New Roman"/>
          <w:szCs w:val="20"/>
          <w:lang w:eastAsia="en-GB"/>
        </w:rPr>
      </w:pPr>
      <w:r>
        <w:rPr>
          <w:rFonts w:cs="Times New Roman"/>
          <w:szCs w:val="20"/>
          <w:lang w:eastAsia="en-GB"/>
        </w:rPr>
        <w:lastRenderedPageBreak/>
        <w:t xml:space="preserve">The distribution of values for dispositions across the last two years is </w:t>
      </w:r>
      <w:r w:rsidR="009B4590">
        <w:rPr>
          <w:rFonts w:cs="Times New Roman"/>
          <w:szCs w:val="20"/>
          <w:lang w:eastAsia="en-GB"/>
        </w:rPr>
        <w:t>as follows</w:t>
      </w:r>
      <w:r>
        <w:rPr>
          <w:rFonts w:cs="Times New Roman"/>
          <w:szCs w:val="20"/>
          <w:lang w:eastAsia="en-GB"/>
        </w:rPr>
        <w:t>:</w:t>
      </w:r>
    </w:p>
    <w:tbl>
      <w:tblPr>
        <w:tblW w:w="8789" w:type="dxa"/>
        <w:tblInd w:w="108" w:type="dxa"/>
        <w:tblLayout w:type="fixed"/>
        <w:tblLook w:val="04A0" w:firstRow="1" w:lastRow="0" w:firstColumn="1" w:lastColumn="0" w:noHBand="0" w:noVBand="1"/>
      </w:tblPr>
      <w:tblGrid>
        <w:gridCol w:w="3686"/>
        <w:gridCol w:w="1984"/>
        <w:gridCol w:w="1134"/>
        <w:gridCol w:w="1985"/>
      </w:tblGrid>
      <w:tr w:rsidR="009B4590" w:rsidRPr="00692C97" w:rsidTr="00F6131F">
        <w:trPr>
          <w:cantSplit/>
          <w:trHeight w:val="567"/>
        </w:trPr>
        <w:tc>
          <w:tcPr>
            <w:tcW w:w="3686" w:type="dxa"/>
            <w:tcBorders>
              <w:bottom w:val="single" w:sz="4" w:space="0" w:color="auto"/>
              <w:right w:val="single" w:sz="4" w:space="0" w:color="auto"/>
            </w:tcBorders>
            <w:shd w:val="clear" w:color="auto" w:fill="auto"/>
            <w:vAlign w:val="center"/>
          </w:tcPr>
          <w:p w:rsidR="009B4590" w:rsidRPr="00692C97" w:rsidRDefault="009B4590" w:rsidP="009B4590">
            <w:pPr>
              <w:pStyle w:val="Heading4"/>
            </w:pPr>
            <w:r w:rsidRPr="00692C97">
              <w:t>2015-16</w:t>
            </w:r>
          </w:p>
        </w:tc>
        <w:tc>
          <w:tcPr>
            <w:tcW w:w="1984" w:type="dxa"/>
            <w:tcBorders>
              <w:left w:val="single" w:sz="4" w:space="0" w:color="auto"/>
              <w:bottom w:val="single" w:sz="4" w:space="0" w:color="auto"/>
              <w:right w:val="single" w:sz="4" w:space="0" w:color="auto"/>
            </w:tcBorders>
            <w:shd w:val="clear" w:color="auto" w:fill="auto"/>
            <w:noWrap/>
            <w:vAlign w:val="center"/>
          </w:tcPr>
          <w:p w:rsidR="009B4590" w:rsidRPr="00692C97" w:rsidRDefault="009B4590" w:rsidP="002D2CCC">
            <w:pPr>
              <w:jc w:val="center"/>
              <w:rPr>
                <w:lang w:eastAsia="en-GB"/>
              </w:rPr>
            </w:pPr>
            <w:r w:rsidRPr="00692C97">
              <w:rPr>
                <w:lang w:eastAsia="en-GB"/>
              </w:rPr>
              <w:t>Minimum</w:t>
            </w:r>
          </w:p>
        </w:tc>
        <w:tc>
          <w:tcPr>
            <w:tcW w:w="1134" w:type="dxa"/>
            <w:tcBorders>
              <w:left w:val="single" w:sz="4" w:space="0" w:color="auto"/>
              <w:bottom w:val="single" w:sz="4" w:space="0" w:color="auto"/>
              <w:right w:val="single" w:sz="4" w:space="0" w:color="auto"/>
            </w:tcBorders>
            <w:shd w:val="clear" w:color="auto" w:fill="auto"/>
            <w:noWrap/>
            <w:vAlign w:val="center"/>
          </w:tcPr>
          <w:p w:rsidR="009B4590" w:rsidRPr="00692C97" w:rsidRDefault="009B4590" w:rsidP="002D2CCC">
            <w:pPr>
              <w:jc w:val="center"/>
              <w:rPr>
                <w:lang w:eastAsia="en-GB"/>
              </w:rPr>
            </w:pPr>
            <w:r w:rsidRPr="00692C97">
              <w:rPr>
                <w:lang w:eastAsia="en-GB"/>
              </w:rPr>
              <w:t>Average (Mean)</w:t>
            </w:r>
          </w:p>
        </w:tc>
        <w:tc>
          <w:tcPr>
            <w:tcW w:w="1985" w:type="dxa"/>
            <w:tcBorders>
              <w:left w:val="single" w:sz="4" w:space="0" w:color="auto"/>
              <w:bottom w:val="single" w:sz="4" w:space="0" w:color="auto"/>
            </w:tcBorders>
            <w:shd w:val="clear" w:color="auto" w:fill="auto"/>
            <w:noWrap/>
            <w:vAlign w:val="center"/>
          </w:tcPr>
          <w:p w:rsidR="009B4590" w:rsidRPr="00692C97" w:rsidRDefault="009B4590" w:rsidP="002D2CCC">
            <w:pPr>
              <w:jc w:val="center"/>
              <w:rPr>
                <w:lang w:eastAsia="en-GB"/>
              </w:rPr>
            </w:pPr>
            <w:r w:rsidRPr="00692C97">
              <w:rPr>
                <w:lang w:eastAsia="en-GB"/>
              </w:rPr>
              <w:t>Maximum</w:t>
            </w:r>
          </w:p>
        </w:tc>
      </w:tr>
      <w:tr w:rsidR="009B4590" w:rsidRPr="00692C97" w:rsidTr="00F6131F">
        <w:trPr>
          <w:cantSplit/>
          <w:trHeight w:val="567"/>
        </w:trPr>
        <w:tc>
          <w:tcPr>
            <w:tcW w:w="3686" w:type="dxa"/>
            <w:tcBorders>
              <w:top w:val="single" w:sz="4" w:space="0" w:color="auto"/>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Ambulance dispatched</w:t>
            </w:r>
          </w:p>
        </w:tc>
        <w:tc>
          <w:tcPr>
            <w:tcW w:w="1984" w:type="dxa"/>
            <w:tcBorders>
              <w:top w:val="single" w:sz="4" w:space="0" w:color="auto"/>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9.9% </w:t>
            </w:r>
            <w:r>
              <w:rPr>
                <w:lang w:eastAsia="en-GB"/>
              </w:rPr>
              <w:t>(</w:t>
            </w:r>
            <w:r w:rsidRPr="00692C97">
              <w:rPr>
                <w:lang w:eastAsia="en-GB"/>
              </w:rPr>
              <w:t>May</w:t>
            </w:r>
            <w:r>
              <w:rPr>
                <w:lang w:eastAsia="en-GB"/>
              </w:rPr>
              <w:t>)</w:t>
            </w:r>
          </w:p>
        </w:tc>
        <w:tc>
          <w:tcPr>
            <w:tcW w:w="1134" w:type="dxa"/>
            <w:tcBorders>
              <w:top w:val="single" w:sz="4" w:space="0" w:color="auto"/>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11.3%</w:t>
            </w:r>
          </w:p>
        </w:tc>
        <w:tc>
          <w:tcPr>
            <w:tcW w:w="1985" w:type="dxa"/>
            <w:tcBorders>
              <w:top w:val="single" w:sz="4" w:space="0" w:color="auto"/>
              <w:lef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12.2% </w:t>
            </w:r>
            <w:r>
              <w:rPr>
                <w:lang w:eastAsia="en-GB"/>
              </w:rPr>
              <w:t>(</w:t>
            </w:r>
            <w:r w:rsidRPr="00692C97">
              <w:rPr>
                <w:lang w:eastAsia="en-GB"/>
              </w:rPr>
              <w:t>Feb</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A&amp;E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7.5% </w:t>
            </w:r>
            <w:r>
              <w:rPr>
                <w:lang w:eastAsia="en-GB"/>
              </w:rPr>
              <w:t>(</w:t>
            </w:r>
            <w:r w:rsidRPr="00692C97">
              <w:rPr>
                <w:lang w:eastAsia="en-GB"/>
              </w:rPr>
              <w:t>Dec</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8.2%</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9.2% </w:t>
            </w:r>
            <w:r>
              <w:rPr>
                <w:lang w:eastAsia="en-GB"/>
              </w:rPr>
              <w:t>(</w:t>
            </w:r>
            <w:r w:rsidRPr="00692C97">
              <w:rPr>
                <w:lang w:eastAsia="en-GB"/>
              </w:rPr>
              <w:t>Jul</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Primary Care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60.0% </w:t>
            </w:r>
            <w:r>
              <w:rPr>
                <w:lang w:eastAsia="en-GB"/>
              </w:rPr>
              <w:t>(</w:t>
            </w:r>
            <w:r w:rsidRPr="00692C97">
              <w:rPr>
                <w:lang w:eastAsia="en-GB"/>
              </w:rPr>
              <w:t>Jul</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61.9%</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63.4% </w:t>
            </w:r>
            <w:r>
              <w:rPr>
                <w:lang w:eastAsia="en-GB"/>
              </w:rPr>
              <w:t>(</w:t>
            </w:r>
            <w:r w:rsidRPr="00692C97">
              <w:rPr>
                <w:lang w:eastAsia="en-GB"/>
              </w:rPr>
              <w:t>Apr</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Another Service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3.5%</w:t>
            </w:r>
            <w:r>
              <w:rPr>
                <w:lang w:eastAsia="en-GB"/>
              </w:rPr>
              <w:br/>
              <w:t>(</w:t>
            </w:r>
            <w:r w:rsidRPr="00692C97">
              <w:rPr>
                <w:lang w:eastAsia="en-GB"/>
              </w:rPr>
              <w:t>Apr &amp; Jun</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3.7%</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3.9%</w:t>
            </w:r>
            <w:r>
              <w:rPr>
                <w:lang w:eastAsia="en-GB"/>
              </w:rPr>
              <w:br/>
              <w:t>(</w:t>
            </w:r>
            <w:r w:rsidRPr="00692C97">
              <w:rPr>
                <w:lang w:eastAsia="en-GB"/>
              </w:rPr>
              <w:t>Dec &amp; Jan</w:t>
            </w:r>
            <w:r>
              <w:rPr>
                <w:lang w:eastAsia="en-GB"/>
              </w:rPr>
              <w:t>)</w:t>
            </w:r>
          </w:p>
        </w:tc>
      </w:tr>
      <w:tr w:rsidR="009B4590" w:rsidRPr="00692C97" w:rsidTr="00F6131F">
        <w:trPr>
          <w:cantSplit/>
          <w:trHeight w:val="567"/>
        </w:trPr>
        <w:tc>
          <w:tcPr>
            <w:tcW w:w="3686" w:type="dxa"/>
            <w:tcBorders>
              <w:bottom w:val="single" w:sz="4" w:space="0" w:color="auto"/>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Do Not Attend Another Service</w:t>
            </w:r>
          </w:p>
        </w:tc>
        <w:tc>
          <w:tcPr>
            <w:tcW w:w="1984" w:type="dxa"/>
            <w:tcBorders>
              <w:left w:val="single" w:sz="4" w:space="0" w:color="auto"/>
              <w:bottom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14.0% </w:t>
            </w:r>
            <w:r>
              <w:rPr>
                <w:lang w:eastAsia="en-GB"/>
              </w:rPr>
              <w:t>(</w:t>
            </w:r>
            <w:r w:rsidRPr="00692C97">
              <w:rPr>
                <w:lang w:eastAsia="en-GB"/>
              </w:rPr>
              <w:t>Jan</w:t>
            </w:r>
            <w:r>
              <w:rPr>
                <w:lang w:eastAsia="en-GB"/>
              </w:rPr>
              <w:t>)</w:t>
            </w:r>
          </w:p>
        </w:tc>
        <w:tc>
          <w:tcPr>
            <w:tcW w:w="1134" w:type="dxa"/>
            <w:tcBorders>
              <w:left w:val="single" w:sz="4" w:space="0" w:color="auto"/>
              <w:bottom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14.9%</w:t>
            </w:r>
          </w:p>
        </w:tc>
        <w:tc>
          <w:tcPr>
            <w:tcW w:w="1985" w:type="dxa"/>
            <w:tcBorders>
              <w:left w:val="single" w:sz="4" w:space="0" w:color="auto"/>
              <w:bottom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16.0%</w:t>
            </w:r>
            <w:r>
              <w:rPr>
                <w:lang w:eastAsia="en-GB"/>
              </w:rPr>
              <w:br/>
              <w:t>(</w:t>
            </w:r>
            <w:r w:rsidRPr="00692C97">
              <w:rPr>
                <w:lang w:eastAsia="en-GB"/>
              </w:rPr>
              <w:t>Jun &amp; Jul</w:t>
            </w:r>
            <w:r>
              <w:rPr>
                <w:lang w:eastAsia="en-GB"/>
              </w:rPr>
              <w:t>)</w:t>
            </w:r>
          </w:p>
        </w:tc>
      </w:tr>
      <w:tr w:rsidR="009B4590" w:rsidRPr="00692C97" w:rsidTr="00F6131F">
        <w:trPr>
          <w:cantSplit/>
          <w:trHeight w:val="567"/>
        </w:trPr>
        <w:tc>
          <w:tcPr>
            <w:tcW w:w="3686" w:type="dxa"/>
            <w:tcBorders>
              <w:top w:val="single" w:sz="4" w:space="0" w:color="auto"/>
              <w:bottom w:val="single" w:sz="4" w:space="0" w:color="auto"/>
            </w:tcBorders>
            <w:shd w:val="clear" w:color="auto" w:fill="auto"/>
            <w:noWrap/>
            <w:vAlign w:val="bottom"/>
            <w:hideMark/>
          </w:tcPr>
          <w:p w:rsidR="009B4590" w:rsidRPr="00692C97" w:rsidRDefault="009B4590" w:rsidP="009B4590">
            <w:pPr>
              <w:pStyle w:val="Heading4"/>
            </w:pPr>
            <w:r w:rsidRPr="00692C97">
              <w:t>2016-17</w:t>
            </w:r>
          </w:p>
        </w:tc>
        <w:tc>
          <w:tcPr>
            <w:tcW w:w="1984" w:type="dxa"/>
            <w:tcBorders>
              <w:top w:val="single" w:sz="4" w:space="0" w:color="auto"/>
              <w:bottom w:val="single" w:sz="4" w:space="0" w:color="auto"/>
            </w:tcBorders>
            <w:shd w:val="clear" w:color="auto" w:fill="auto"/>
            <w:vAlign w:val="bottom"/>
          </w:tcPr>
          <w:p w:rsidR="009B4590" w:rsidRPr="00692C97" w:rsidRDefault="009B4590" w:rsidP="009B4590">
            <w:pPr>
              <w:jc w:val="center"/>
              <w:rPr>
                <w:lang w:eastAsia="en-GB"/>
              </w:rPr>
            </w:pPr>
          </w:p>
        </w:tc>
        <w:tc>
          <w:tcPr>
            <w:tcW w:w="1134" w:type="dxa"/>
            <w:tcBorders>
              <w:top w:val="single" w:sz="4" w:space="0" w:color="auto"/>
              <w:bottom w:val="single" w:sz="4" w:space="0" w:color="auto"/>
            </w:tcBorders>
            <w:shd w:val="clear" w:color="auto" w:fill="auto"/>
            <w:vAlign w:val="bottom"/>
          </w:tcPr>
          <w:p w:rsidR="009B4590" w:rsidRPr="00692C97" w:rsidRDefault="009B4590" w:rsidP="009B4590">
            <w:pPr>
              <w:jc w:val="center"/>
              <w:rPr>
                <w:lang w:eastAsia="en-GB"/>
              </w:rPr>
            </w:pPr>
          </w:p>
        </w:tc>
        <w:tc>
          <w:tcPr>
            <w:tcW w:w="1985" w:type="dxa"/>
            <w:tcBorders>
              <w:top w:val="single" w:sz="4" w:space="0" w:color="auto"/>
              <w:bottom w:val="single" w:sz="4" w:space="0" w:color="auto"/>
            </w:tcBorders>
            <w:shd w:val="clear" w:color="auto" w:fill="auto"/>
            <w:noWrap/>
            <w:vAlign w:val="center"/>
          </w:tcPr>
          <w:p w:rsidR="009B4590" w:rsidRPr="00692C97" w:rsidRDefault="009B4590" w:rsidP="009B4590">
            <w:pPr>
              <w:jc w:val="center"/>
              <w:rPr>
                <w:b/>
                <w:bCs/>
                <w:lang w:eastAsia="en-GB"/>
              </w:rPr>
            </w:pPr>
          </w:p>
        </w:tc>
      </w:tr>
      <w:tr w:rsidR="009B4590" w:rsidRPr="00692C97" w:rsidTr="00F6131F">
        <w:trPr>
          <w:cantSplit/>
          <w:trHeight w:val="567"/>
        </w:trPr>
        <w:tc>
          <w:tcPr>
            <w:tcW w:w="3686" w:type="dxa"/>
            <w:tcBorders>
              <w:top w:val="single" w:sz="4" w:space="0" w:color="auto"/>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Ambulance dispatched</w:t>
            </w:r>
          </w:p>
        </w:tc>
        <w:tc>
          <w:tcPr>
            <w:tcW w:w="1984" w:type="dxa"/>
            <w:tcBorders>
              <w:top w:val="single" w:sz="4" w:space="0" w:color="auto"/>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11.8% </w:t>
            </w:r>
            <w:r>
              <w:rPr>
                <w:lang w:eastAsia="en-GB"/>
              </w:rPr>
              <w:t>(</w:t>
            </w:r>
            <w:r w:rsidRPr="00692C97">
              <w:rPr>
                <w:lang w:eastAsia="en-GB"/>
              </w:rPr>
              <w:t>Apr &amp; May</w:t>
            </w:r>
            <w:r>
              <w:rPr>
                <w:lang w:eastAsia="en-GB"/>
              </w:rPr>
              <w:t>)</w:t>
            </w:r>
          </w:p>
        </w:tc>
        <w:tc>
          <w:tcPr>
            <w:tcW w:w="1134" w:type="dxa"/>
            <w:tcBorders>
              <w:top w:val="single" w:sz="4" w:space="0" w:color="auto"/>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12.7%</w:t>
            </w:r>
          </w:p>
        </w:tc>
        <w:tc>
          <w:tcPr>
            <w:tcW w:w="1985" w:type="dxa"/>
            <w:tcBorders>
              <w:top w:val="single" w:sz="4" w:space="0" w:color="auto"/>
              <w:lef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13.5% </w:t>
            </w:r>
            <w:r>
              <w:rPr>
                <w:lang w:eastAsia="en-GB"/>
              </w:rPr>
              <w:t>(</w:t>
            </w:r>
            <w:r w:rsidRPr="00692C97">
              <w:rPr>
                <w:lang w:eastAsia="en-GB"/>
              </w:rPr>
              <w:t>Nov</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A&amp;E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7.6% </w:t>
            </w:r>
            <w:r>
              <w:rPr>
                <w:lang w:eastAsia="en-GB"/>
              </w:rPr>
              <w:t>(</w:t>
            </w:r>
            <w:r w:rsidRPr="00692C97">
              <w:rPr>
                <w:lang w:eastAsia="en-GB"/>
              </w:rPr>
              <w:t>Dec</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8.6%</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9.2% </w:t>
            </w:r>
            <w:r>
              <w:rPr>
                <w:lang w:eastAsia="en-GB"/>
              </w:rPr>
              <w:t>(</w:t>
            </w:r>
            <w:r w:rsidRPr="00692C97">
              <w:rPr>
                <w:lang w:eastAsia="en-GB"/>
              </w:rPr>
              <w:t>Sep</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Primary Care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59.3% </w:t>
            </w:r>
            <w:r>
              <w:rPr>
                <w:lang w:eastAsia="en-GB"/>
              </w:rPr>
              <w:t>(</w:t>
            </w:r>
            <w:r w:rsidRPr="00692C97">
              <w:rPr>
                <w:lang w:eastAsia="en-GB"/>
              </w:rPr>
              <w:t>Sep</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60.2%</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61.5%</w:t>
            </w:r>
            <w:r>
              <w:rPr>
                <w:lang w:eastAsia="en-GB"/>
              </w:rPr>
              <w:br/>
              <w:t>(</w:t>
            </w:r>
            <w:r w:rsidRPr="00692C97">
              <w:rPr>
                <w:lang w:eastAsia="en-GB"/>
              </w:rPr>
              <w:t>Apr &amp; May</w:t>
            </w:r>
            <w:r>
              <w:rPr>
                <w:lang w:eastAsia="en-GB"/>
              </w:rPr>
              <w:t>)</w:t>
            </w:r>
          </w:p>
        </w:tc>
      </w:tr>
      <w:tr w:rsidR="009B4590" w:rsidRPr="00692C97" w:rsidTr="00F6131F">
        <w:trPr>
          <w:cantSplit/>
          <w:trHeight w:val="567"/>
        </w:trPr>
        <w:tc>
          <w:tcPr>
            <w:tcW w:w="3686" w:type="dxa"/>
            <w:tcBorders>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Attend Another Service</w:t>
            </w:r>
          </w:p>
        </w:tc>
        <w:tc>
          <w:tcPr>
            <w:tcW w:w="198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3.6%</w:t>
            </w:r>
            <w:r>
              <w:rPr>
                <w:lang w:eastAsia="en-GB"/>
              </w:rPr>
              <w:br/>
              <w:t>(</w:t>
            </w:r>
            <w:r w:rsidRPr="00692C97">
              <w:rPr>
                <w:lang w:eastAsia="en-GB"/>
              </w:rPr>
              <w:t>Apr &amp; Jun</w:t>
            </w:r>
            <w:r>
              <w:rPr>
                <w:lang w:eastAsia="en-GB"/>
              </w:rPr>
              <w:t>)</w:t>
            </w:r>
          </w:p>
        </w:tc>
        <w:tc>
          <w:tcPr>
            <w:tcW w:w="1134" w:type="dxa"/>
            <w:tcBorders>
              <w:left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4.1%</w:t>
            </w:r>
          </w:p>
        </w:tc>
        <w:tc>
          <w:tcPr>
            <w:tcW w:w="1985" w:type="dxa"/>
            <w:tcBorders>
              <w:left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4.6%</w:t>
            </w:r>
            <w:r>
              <w:rPr>
                <w:lang w:eastAsia="en-GB"/>
              </w:rPr>
              <w:br/>
              <w:t>(</w:t>
            </w:r>
            <w:r w:rsidRPr="00692C97">
              <w:rPr>
                <w:lang w:eastAsia="en-GB"/>
              </w:rPr>
              <w:t>Jan &amp; Mar</w:t>
            </w:r>
            <w:r>
              <w:rPr>
                <w:lang w:eastAsia="en-GB"/>
              </w:rPr>
              <w:t>)</w:t>
            </w:r>
          </w:p>
        </w:tc>
      </w:tr>
      <w:tr w:rsidR="009B4590" w:rsidRPr="00692C97" w:rsidTr="00F6131F">
        <w:trPr>
          <w:cantSplit/>
          <w:trHeight w:val="567"/>
        </w:trPr>
        <w:tc>
          <w:tcPr>
            <w:tcW w:w="3686" w:type="dxa"/>
            <w:tcBorders>
              <w:bottom w:val="single" w:sz="4" w:space="0" w:color="auto"/>
              <w:right w:val="single" w:sz="4" w:space="0" w:color="auto"/>
            </w:tcBorders>
            <w:shd w:val="clear" w:color="auto" w:fill="auto"/>
            <w:vAlign w:val="center"/>
            <w:hideMark/>
          </w:tcPr>
          <w:p w:rsidR="009B4590" w:rsidRPr="00692C97" w:rsidRDefault="009B4590" w:rsidP="009B4590">
            <w:pPr>
              <w:rPr>
                <w:lang w:eastAsia="en-GB"/>
              </w:rPr>
            </w:pPr>
            <w:r w:rsidRPr="00692C97">
              <w:rPr>
                <w:lang w:eastAsia="en-GB"/>
              </w:rPr>
              <w:t>Do Not Attend Another Service</w:t>
            </w:r>
          </w:p>
        </w:tc>
        <w:tc>
          <w:tcPr>
            <w:tcW w:w="1984" w:type="dxa"/>
            <w:tcBorders>
              <w:left w:val="single" w:sz="4" w:space="0" w:color="auto"/>
              <w:bottom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 xml:space="preserve">13.8% </w:t>
            </w:r>
            <w:r>
              <w:rPr>
                <w:lang w:eastAsia="en-GB"/>
              </w:rPr>
              <w:t>(</w:t>
            </w:r>
            <w:r w:rsidRPr="00692C97">
              <w:rPr>
                <w:lang w:eastAsia="en-GB"/>
              </w:rPr>
              <w:t>Jan</w:t>
            </w:r>
            <w:r>
              <w:rPr>
                <w:lang w:eastAsia="en-GB"/>
              </w:rPr>
              <w:t>)</w:t>
            </w:r>
          </w:p>
        </w:tc>
        <w:tc>
          <w:tcPr>
            <w:tcW w:w="1134" w:type="dxa"/>
            <w:tcBorders>
              <w:left w:val="single" w:sz="4" w:space="0" w:color="auto"/>
              <w:bottom w:val="single" w:sz="4" w:space="0" w:color="auto"/>
              <w:right w:val="single" w:sz="4" w:space="0" w:color="auto"/>
            </w:tcBorders>
            <w:shd w:val="clear" w:color="auto" w:fill="auto"/>
            <w:noWrap/>
            <w:vAlign w:val="center"/>
            <w:hideMark/>
          </w:tcPr>
          <w:p w:rsidR="009B4590" w:rsidRPr="00692C97" w:rsidRDefault="009B4590" w:rsidP="009B4590">
            <w:pPr>
              <w:jc w:val="center"/>
              <w:rPr>
                <w:lang w:eastAsia="en-GB"/>
              </w:rPr>
            </w:pPr>
            <w:r w:rsidRPr="00692C97">
              <w:rPr>
                <w:lang w:eastAsia="en-GB"/>
              </w:rPr>
              <w:t>14.4%</w:t>
            </w:r>
          </w:p>
        </w:tc>
        <w:tc>
          <w:tcPr>
            <w:tcW w:w="1985" w:type="dxa"/>
            <w:tcBorders>
              <w:left w:val="single" w:sz="4" w:space="0" w:color="auto"/>
              <w:bottom w:val="single" w:sz="4" w:space="0" w:color="auto"/>
            </w:tcBorders>
            <w:shd w:val="clear" w:color="auto" w:fill="auto"/>
            <w:noWrap/>
            <w:vAlign w:val="center"/>
            <w:hideMark/>
          </w:tcPr>
          <w:p w:rsidR="009B4590" w:rsidRPr="00692C97" w:rsidRDefault="009B4590" w:rsidP="009B4590">
            <w:pPr>
              <w:jc w:val="center"/>
              <w:rPr>
                <w:lang w:eastAsia="en-GB"/>
              </w:rPr>
            </w:pPr>
            <w:r>
              <w:rPr>
                <w:lang w:eastAsia="en-GB"/>
              </w:rPr>
              <w:t>14.8%</w:t>
            </w:r>
            <w:r>
              <w:rPr>
                <w:lang w:eastAsia="en-GB"/>
              </w:rPr>
              <w:br/>
              <w:t>(</w:t>
            </w:r>
            <w:r w:rsidRPr="00692C97">
              <w:rPr>
                <w:lang w:eastAsia="en-GB"/>
              </w:rPr>
              <w:t>Jun &amp; Sep</w:t>
            </w:r>
            <w:r>
              <w:rPr>
                <w:lang w:eastAsia="en-GB"/>
              </w:rPr>
              <w:t>)</w:t>
            </w:r>
          </w:p>
        </w:tc>
      </w:tr>
    </w:tbl>
    <w:p w:rsidR="00553936" w:rsidRPr="00133FC5" w:rsidRDefault="00553936" w:rsidP="00236BF2">
      <w:pPr>
        <w:spacing w:after="240"/>
        <w:rPr>
          <w:rFonts w:cs="Times New Roman"/>
          <w:szCs w:val="20"/>
          <w:lang w:eastAsia="en-GB"/>
        </w:rPr>
        <w:sectPr w:rsidR="00553936" w:rsidRPr="00133FC5" w:rsidSect="00746333">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p w:rsidR="00E567D1" w:rsidRPr="000F6DA4" w:rsidRDefault="00F300E5" w:rsidP="00E5245B">
      <w:pPr>
        <w:rPr>
          <w:rFonts w:cs="Arial"/>
          <w:b/>
          <w:sz w:val="36"/>
          <w:szCs w:val="36"/>
          <w:u w:val="single"/>
        </w:rPr>
      </w:pPr>
      <w:r w:rsidRPr="00F300E5">
        <w:rPr>
          <w:noProof/>
          <w:lang w:eastAsia="en-GB"/>
        </w:rPr>
        <w:lastRenderedPageBreak/>
        <w:drawing>
          <wp:inline distT="0" distB="0" distL="0" distR="0" wp14:anchorId="52115A9F" wp14:editId="7ECE6A9D">
            <wp:extent cx="8658225" cy="568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8225" cy="5686425"/>
                    </a:xfrm>
                    <a:prstGeom prst="rect">
                      <a:avLst/>
                    </a:prstGeom>
                    <a:noFill/>
                    <a:ln>
                      <a:noFill/>
                    </a:ln>
                  </pic:spPr>
                </pic:pic>
              </a:graphicData>
            </a:graphic>
          </wp:inline>
        </w:drawing>
      </w:r>
    </w:p>
    <w:p w:rsidR="00CB5F09" w:rsidRPr="0029608D" w:rsidRDefault="00F300E5" w:rsidP="0029608D">
      <w:pPr>
        <w:ind w:firstLine="142"/>
        <w:rPr>
          <w:rFonts w:cs="Arial"/>
          <w:b/>
          <w:noProof/>
          <w:sz w:val="28"/>
          <w:lang w:eastAsia="en-GB"/>
        </w:rPr>
      </w:pPr>
      <w:r>
        <w:rPr>
          <w:rFonts w:cs="Arial"/>
          <w:b/>
          <w:noProof/>
          <w:sz w:val="28"/>
          <w:lang w:eastAsia="en-GB"/>
        </w:rPr>
        <w:lastRenderedPageBreak/>
        <w:drawing>
          <wp:inline distT="0" distB="0" distL="0" distR="0" wp14:anchorId="52378C3B" wp14:editId="380B8388">
            <wp:extent cx="9211945" cy="562102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1C7768" w:rsidRDefault="00F300E5" w:rsidP="00F425E4">
      <w:pPr>
        <w:ind w:firstLine="142"/>
        <w:rPr>
          <w:rFonts w:cs="Arial"/>
          <w:b/>
          <w:noProof/>
          <w:sz w:val="28"/>
          <w:lang w:eastAsia="en-GB"/>
        </w:rPr>
      </w:pPr>
      <w:r w:rsidRPr="00F300E5">
        <w:rPr>
          <w:noProof/>
          <w:lang w:eastAsia="en-GB"/>
        </w:rPr>
        <w:lastRenderedPageBreak/>
        <w:drawing>
          <wp:inline distT="0" distB="0" distL="0" distR="0" wp14:anchorId="34912B81" wp14:editId="403ECA55">
            <wp:extent cx="8658225" cy="5819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8225" cy="5819775"/>
                    </a:xfrm>
                    <a:prstGeom prst="rect">
                      <a:avLst/>
                    </a:prstGeom>
                    <a:noFill/>
                    <a:ln>
                      <a:noFill/>
                    </a:ln>
                  </pic:spPr>
                </pic:pic>
              </a:graphicData>
            </a:graphic>
          </wp:inline>
        </w:drawing>
      </w:r>
    </w:p>
    <w:p w:rsidR="009D6A47" w:rsidRPr="00BF1BA4" w:rsidRDefault="00F300E5" w:rsidP="00BF1BA4">
      <w:pPr>
        <w:ind w:firstLine="142"/>
        <w:rPr>
          <w:rFonts w:cs="Arial"/>
          <w:b/>
          <w:noProof/>
          <w:sz w:val="28"/>
          <w:lang w:eastAsia="en-GB"/>
        </w:rPr>
      </w:pPr>
      <w:r w:rsidRPr="00F300E5">
        <w:rPr>
          <w:noProof/>
          <w:lang w:eastAsia="en-GB"/>
        </w:rPr>
        <w:lastRenderedPageBreak/>
        <w:drawing>
          <wp:inline distT="0" distB="0" distL="0" distR="0" wp14:anchorId="24F597E0" wp14:editId="7CD033A1">
            <wp:extent cx="8658225" cy="5724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8225" cy="5724525"/>
                    </a:xfrm>
                    <a:prstGeom prst="rect">
                      <a:avLst/>
                    </a:prstGeom>
                    <a:noFill/>
                    <a:ln>
                      <a:noFill/>
                    </a:ln>
                  </pic:spPr>
                </pic:pic>
              </a:graphicData>
            </a:graphic>
          </wp:inline>
        </w:drawing>
      </w:r>
    </w:p>
    <w:p w:rsidR="002B1B4F" w:rsidRDefault="00F300E5" w:rsidP="00BE2611">
      <w:pPr>
        <w:pStyle w:val="Heading4"/>
        <w:sectPr w:rsidR="002B1B4F" w:rsidSect="002D6FB2">
          <w:footerReference w:type="default" r:id="rId17"/>
          <w:pgSz w:w="16838" w:h="11906" w:orient="landscape"/>
          <w:pgMar w:top="1440" w:right="1440" w:bottom="1276" w:left="1440" w:header="708" w:footer="708" w:gutter="0"/>
          <w:cols w:space="708"/>
          <w:docGrid w:linePitch="360"/>
        </w:sectPr>
      </w:pPr>
      <w:r>
        <w:rPr>
          <w:noProof/>
        </w:rPr>
        <w:lastRenderedPageBreak/>
        <w:drawing>
          <wp:inline distT="0" distB="0" distL="0" distR="0" wp14:anchorId="27AF6D50" wp14:editId="10016411">
            <wp:extent cx="9217660" cy="565785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r w:rsidR="005718A8">
        <w:rPr>
          <w:rFonts w:cs="Arial"/>
          <w:color w:val="000000"/>
          <w:szCs w:val="24"/>
        </w:rPr>
        <w:t>www.england.nhs.uk/statistics/statistical-work-areas/nhs-111-minimum-data-set</w:t>
      </w:r>
      <w:hyperlink r:id="rId19" w:history="1"/>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20" w:history="1">
        <w:r w:rsidRPr="002E066E">
          <w:rPr>
            <w:rStyle w:val="Hyperlink"/>
            <w:rFonts w:cs="Arial"/>
            <w:szCs w:val="24"/>
          </w:rPr>
          <w:t>www.gov.uk/government/statistics</w:t>
        </w:r>
      </w:hyperlink>
      <w:r>
        <w:rPr>
          <w:rFonts w:cs="Arial"/>
          <w:szCs w:val="24"/>
        </w:rPr>
        <w:t>.</w:t>
      </w:r>
    </w:p>
    <w:p w:rsidR="00AB4B37"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1"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w:t>
      </w:r>
      <w:r w:rsidR="00DB45AB">
        <w:t>Central</w:t>
      </w:r>
      <w:r>
        <w:t>)</w:t>
      </w:r>
    </w:p>
    <w:p w:rsidR="00FC691B" w:rsidRDefault="00FC691B" w:rsidP="00FC691B">
      <w:pPr>
        <w:pStyle w:val="NoSpacing"/>
      </w:pPr>
      <w:r>
        <w:t>Room 5E24, Quarry House, Leeds LS2 7UE</w:t>
      </w:r>
    </w:p>
    <w:p w:rsidR="00FC691B" w:rsidRDefault="00F6131F" w:rsidP="00FC691B">
      <w:pPr>
        <w:pStyle w:val="NoSpacing"/>
      </w:pPr>
      <w:hyperlink r:id="rId22"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sectPr w:rsidR="00196745"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F6131F" w:rsidP="00056A17">
    <w:pPr>
      <w:pStyle w:val="Footer"/>
    </w:pPr>
    <w:sdt>
      <w:sdtPr>
        <w:id w:val="1623267476"/>
        <w:docPartObj>
          <w:docPartGallery w:val="Page Numbers (Bottom of Page)"/>
          <w:docPartUnique/>
        </w:docPartObj>
      </w:sdtPr>
      <w:sdtEndPr>
        <w:rPr>
          <w:noProof/>
        </w:rPr>
      </w:sdtEndPr>
      <w:sdtContent>
        <w:r w:rsidR="00BF5D76">
          <w:t xml:space="preserve">NHS 111 MDS Statistical Note, </w:t>
        </w:r>
        <w:r w:rsidR="005718A8">
          <w:t>11 May</w:t>
        </w:r>
        <w:r w:rsidR="0025300A">
          <w:t xml:space="preserve"> 2017</w:t>
        </w:r>
        <w:r w:rsidR="00883A46">
          <w:tab/>
        </w:r>
        <w:r w:rsidR="00BF5D76">
          <w:tab/>
          <w:t xml:space="preserve">Page </w:t>
        </w:r>
        <w:r w:rsidR="00BF5D76">
          <w:fldChar w:fldCharType="begin"/>
        </w:r>
        <w:r w:rsidR="00BF5D76">
          <w:instrText xml:space="preserve"> PAGE   \* MERGEFORMAT </w:instrText>
        </w:r>
        <w:r w:rsidR="00BF5D76">
          <w:fldChar w:fldCharType="separate"/>
        </w:r>
        <w:r>
          <w:rPr>
            <w:noProof/>
          </w:rPr>
          <w:t>2</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Pr>
        <w:noProof/>
      </w:rPr>
      <w:t>9</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F6131F">
    <w:pPr>
      <w:pStyle w:val="Footer"/>
    </w:pPr>
    <w:sdt>
      <w:sdtPr>
        <w:id w:val="1032762759"/>
        <w:docPartObj>
          <w:docPartGallery w:val="Page Numbers (Bottom of Page)"/>
          <w:docPartUnique/>
        </w:docPartObj>
      </w:sdtPr>
      <w:sdtEndPr>
        <w:rPr>
          <w:noProof/>
        </w:rPr>
      </w:sdtEndPr>
      <w:sdtContent>
        <w:r w:rsidR="00746333">
          <w:t xml:space="preserve">NHS 111 MDS Statistical Note, </w:t>
        </w:r>
        <w:r w:rsidR="005718A8">
          <w:t>11 May</w:t>
        </w:r>
        <w:r w:rsidR="00746333">
          <w:t xml:space="preserve"> 2017</w:t>
        </w:r>
        <w:r w:rsidR="00746333">
          <w:tab/>
        </w:r>
        <w:r w:rsidR="00746333">
          <w:tab/>
          <w:t xml:space="preserve">Page </w:t>
        </w:r>
        <w:r w:rsidR="00746333">
          <w:fldChar w:fldCharType="begin"/>
        </w:r>
        <w:r w:rsidR="00746333">
          <w:instrText xml:space="preserve"> PAGE   \* MERGEFORMAT </w:instrText>
        </w:r>
        <w:r w:rsidR="00746333">
          <w:fldChar w:fldCharType="separate"/>
        </w:r>
        <w:r>
          <w:rPr>
            <w:noProof/>
          </w:rPr>
          <w:t>1</w:t>
        </w:r>
        <w:r w:rsidR="00746333">
          <w:rPr>
            <w:noProof/>
          </w:rPr>
          <w:fldChar w:fldCharType="end"/>
        </w:r>
        <w:r w:rsidR="00746333">
          <w:rPr>
            <w:noProof/>
          </w:rPr>
          <w:t xml:space="preserve"> </w:t>
        </w:r>
      </w:sdtContent>
    </w:sdt>
    <w:r w:rsidR="00746333">
      <w:t xml:space="preserve">of </w:t>
    </w:r>
    <w:fldSimple w:instr=" NUMPAGES   \* MERGEFORMAT ">
      <w:r>
        <w:rPr>
          <w:noProof/>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F6131F"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5718A8">
          <w:t>11 May</w:t>
        </w:r>
        <w:r w:rsidR="0025300A">
          <w:t xml:space="preserve"> 2017</w:t>
        </w:r>
        <w:r w:rsidR="00746333">
          <w:tab/>
        </w:r>
        <w:r w:rsidR="009A58C6">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9</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 w:id="1">
    <w:p w:rsidR="00C04E7E" w:rsidRPr="008D3957" w:rsidRDefault="00C04E7E" w:rsidP="00C04E7E">
      <w:pPr>
        <w:spacing w:after="240"/>
        <w:rPr>
          <w:rFonts w:cs="Times New Roman"/>
          <w:sz w:val="20"/>
          <w:szCs w:val="20"/>
          <w:lang w:eastAsia="en-GB"/>
        </w:rPr>
      </w:pPr>
      <w:r w:rsidRPr="008D3957">
        <w:rPr>
          <w:rStyle w:val="FootnoteReference"/>
          <w:sz w:val="22"/>
        </w:rPr>
        <w:footnoteRef/>
      </w:r>
      <w:r w:rsidRPr="008D3957">
        <w:rPr>
          <w:sz w:val="22"/>
        </w:rPr>
        <w:t xml:space="preserve"> </w:t>
      </w:r>
      <w:r w:rsidRPr="008D3957">
        <w:rPr>
          <w:rFonts w:cs="Times New Roman"/>
          <w:sz w:val="20"/>
          <w:szCs w:val="20"/>
          <w:lang w:eastAsia="en-GB"/>
        </w:rPr>
        <w:t xml:space="preserve">This data item is an experimental statistic and may change markedly as providers develop their calculation methods. The specification is in data item 5.22 on the guidance document v0.901 at the NHS 111 MDS landing page, </w:t>
      </w:r>
      <w:hyperlink r:id="rId1" w:history="1">
        <w:r w:rsidRPr="008D3957">
          <w:rPr>
            <w:rStyle w:val="Hyperlink"/>
            <w:rFonts w:cs="Times New Roman"/>
            <w:sz w:val="20"/>
            <w:szCs w:val="20"/>
            <w:lang w:eastAsia="en-GB"/>
          </w:rPr>
          <w:t>www.england.nhs.uk/statistics/statistical-work-areas/nhs-111-minimum-data-set</w:t>
        </w:r>
      </w:hyperlink>
      <w:r w:rsidRPr="008D3957">
        <w:rPr>
          <w:rFonts w:cs="Times New Roman"/>
          <w:sz w:val="20"/>
          <w:szCs w:val="20"/>
          <w:lang w:eastAsia="en-GB"/>
        </w:rPr>
        <w:t>.</w:t>
      </w:r>
    </w:p>
    <w:p w:rsidR="00C04E7E" w:rsidRDefault="00C04E7E" w:rsidP="00C04E7E">
      <w:pPr>
        <w:pStyle w:val="FootnoteText"/>
      </w:pPr>
      <w:r w:rsidRPr="008D3957">
        <w:rPr>
          <w:rFonts w:eastAsia="Times New Roman" w:cs="Arial"/>
          <w:lang w:eastAsia="en-GB"/>
        </w:rPr>
        <w:t>More information o</w:t>
      </w:r>
      <w:r>
        <w:rPr>
          <w:rFonts w:eastAsia="Times New Roman" w:cs="Arial"/>
          <w:lang w:eastAsia="en-GB"/>
        </w:rPr>
        <w:t xml:space="preserve">n experimental statistics is at: </w:t>
      </w:r>
      <w:hyperlink r:id="rId2" w:history="1">
        <w:r w:rsidRPr="008D3957">
          <w:rPr>
            <w:rStyle w:val="Hyperlink"/>
            <w:rFonts w:eastAsia="Times New Roman" w:cs="Arial"/>
            <w:lang w:eastAsia="en-GB"/>
          </w:rPr>
          <w:t>www.ons.gov.uk/methodology/methodologytopicsandstatisticalconcepts/guidetoexperimentalstatistics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rsidP="007463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pPr>
      <w:pStyle w:val="Header"/>
    </w:pPr>
    <w:r>
      <w:rPr>
        <w:noProof/>
        <w:lang w:eastAsia="en-GB"/>
      </w:rPr>
      <w:drawing>
        <wp:anchor distT="0" distB="0" distL="114300" distR="114300" simplePos="0" relativeHeight="251659264" behindDoc="0" locked="0" layoutInCell="1" allowOverlap="1" wp14:anchorId="558D62D7" wp14:editId="2C15C233">
          <wp:simplePos x="0" y="0"/>
          <wp:positionH relativeFrom="page">
            <wp:posOffset>6297295</wp:posOffset>
          </wp:positionH>
          <wp:positionV relativeFrom="page">
            <wp:posOffset>360045</wp:posOffset>
          </wp:positionV>
          <wp:extent cx="903600" cy="5724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57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05F40"/>
    <w:rsid w:val="00016A99"/>
    <w:rsid w:val="00016B8C"/>
    <w:rsid w:val="00016D49"/>
    <w:rsid w:val="0002454A"/>
    <w:rsid w:val="00032611"/>
    <w:rsid w:val="00032F6C"/>
    <w:rsid w:val="000336BF"/>
    <w:rsid w:val="00033FCB"/>
    <w:rsid w:val="00035089"/>
    <w:rsid w:val="00040677"/>
    <w:rsid w:val="0004120C"/>
    <w:rsid w:val="00045C6E"/>
    <w:rsid w:val="00054FF7"/>
    <w:rsid w:val="00056A17"/>
    <w:rsid w:val="00060C39"/>
    <w:rsid w:val="00064BAB"/>
    <w:rsid w:val="000666AC"/>
    <w:rsid w:val="00067326"/>
    <w:rsid w:val="00072AB5"/>
    <w:rsid w:val="00073D99"/>
    <w:rsid w:val="000749D9"/>
    <w:rsid w:val="00083396"/>
    <w:rsid w:val="000837E6"/>
    <w:rsid w:val="000871A7"/>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5A3"/>
    <w:rsid w:val="000E5781"/>
    <w:rsid w:val="000F0D14"/>
    <w:rsid w:val="000F4C2D"/>
    <w:rsid w:val="000F6DA4"/>
    <w:rsid w:val="00101B1D"/>
    <w:rsid w:val="00105464"/>
    <w:rsid w:val="00111C95"/>
    <w:rsid w:val="00113705"/>
    <w:rsid w:val="00114524"/>
    <w:rsid w:val="0011686F"/>
    <w:rsid w:val="00121350"/>
    <w:rsid w:val="0012190C"/>
    <w:rsid w:val="0012718B"/>
    <w:rsid w:val="00127234"/>
    <w:rsid w:val="0013207F"/>
    <w:rsid w:val="001332BC"/>
    <w:rsid w:val="00133FC5"/>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A0B"/>
    <w:rsid w:val="001C6D25"/>
    <w:rsid w:val="001C7768"/>
    <w:rsid w:val="001C7A0A"/>
    <w:rsid w:val="001D589E"/>
    <w:rsid w:val="001E0595"/>
    <w:rsid w:val="001E1FE1"/>
    <w:rsid w:val="001E2675"/>
    <w:rsid w:val="001E35E2"/>
    <w:rsid w:val="001E62E7"/>
    <w:rsid w:val="001F0CEA"/>
    <w:rsid w:val="001F1BD7"/>
    <w:rsid w:val="001F49D4"/>
    <w:rsid w:val="001F5A4E"/>
    <w:rsid w:val="00204221"/>
    <w:rsid w:val="00207681"/>
    <w:rsid w:val="002113F2"/>
    <w:rsid w:val="0021179F"/>
    <w:rsid w:val="002229B9"/>
    <w:rsid w:val="00223ED2"/>
    <w:rsid w:val="0023101C"/>
    <w:rsid w:val="002320E0"/>
    <w:rsid w:val="00232F6A"/>
    <w:rsid w:val="00233650"/>
    <w:rsid w:val="002338AD"/>
    <w:rsid w:val="0023564C"/>
    <w:rsid w:val="00236BF2"/>
    <w:rsid w:val="00237CA7"/>
    <w:rsid w:val="0024672D"/>
    <w:rsid w:val="00250013"/>
    <w:rsid w:val="0025053B"/>
    <w:rsid w:val="00252466"/>
    <w:rsid w:val="0025300A"/>
    <w:rsid w:val="00253CB5"/>
    <w:rsid w:val="0026292D"/>
    <w:rsid w:val="002635B4"/>
    <w:rsid w:val="0027072F"/>
    <w:rsid w:val="002725F7"/>
    <w:rsid w:val="00272DF2"/>
    <w:rsid w:val="00274F38"/>
    <w:rsid w:val="00275542"/>
    <w:rsid w:val="00275D0C"/>
    <w:rsid w:val="00276BF4"/>
    <w:rsid w:val="002860FD"/>
    <w:rsid w:val="00290F1B"/>
    <w:rsid w:val="00291A11"/>
    <w:rsid w:val="00293205"/>
    <w:rsid w:val="00295132"/>
    <w:rsid w:val="0029608D"/>
    <w:rsid w:val="002A0971"/>
    <w:rsid w:val="002B0BFF"/>
    <w:rsid w:val="002B11BA"/>
    <w:rsid w:val="002B1B4F"/>
    <w:rsid w:val="002C0367"/>
    <w:rsid w:val="002C1B3A"/>
    <w:rsid w:val="002C5928"/>
    <w:rsid w:val="002D2136"/>
    <w:rsid w:val="002D6FB2"/>
    <w:rsid w:val="002E3283"/>
    <w:rsid w:val="002E4C57"/>
    <w:rsid w:val="002F1EFE"/>
    <w:rsid w:val="003044F4"/>
    <w:rsid w:val="00304AB0"/>
    <w:rsid w:val="003059E3"/>
    <w:rsid w:val="00314BAE"/>
    <w:rsid w:val="0032476D"/>
    <w:rsid w:val="00326078"/>
    <w:rsid w:val="003320A9"/>
    <w:rsid w:val="003322E2"/>
    <w:rsid w:val="0033385E"/>
    <w:rsid w:val="003362DD"/>
    <w:rsid w:val="00341124"/>
    <w:rsid w:val="003611E5"/>
    <w:rsid w:val="003660AE"/>
    <w:rsid w:val="00371667"/>
    <w:rsid w:val="003749EB"/>
    <w:rsid w:val="00381179"/>
    <w:rsid w:val="00383F45"/>
    <w:rsid w:val="003850CD"/>
    <w:rsid w:val="00387B60"/>
    <w:rsid w:val="00392B99"/>
    <w:rsid w:val="00394319"/>
    <w:rsid w:val="0039444C"/>
    <w:rsid w:val="0039518A"/>
    <w:rsid w:val="003971C8"/>
    <w:rsid w:val="003A20C4"/>
    <w:rsid w:val="003A21AF"/>
    <w:rsid w:val="003A21E8"/>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634A"/>
    <w:rsid w:val="0040670E"/>
    <w:rsid w:val="00406954"/>
    <w:rsid w:val="00414109"/>
    <w:rsid w:val="00422AEC"/>
    <w:rsid w:val="0042386C"/>
    <w:rsid w:val="004241DE"/>
    <w:rsid w:val="0042481B"/>
    <w:rsid w:val="0042635F"/>
    <w:rsid w:val="00437324"/>
    <w:rsid w:val="004378CB"/>
    <w:rsid w:val="004414DC"/>
    <w:rsid w:val="00447F3F"/>
    <w:rsid w:val="00452DFB"/>
    <w:rsid w:val="00453DF3"/>
    <w:rsid w:val="00457D4B"/>
    <w:rsid w:val="00460C5D"/>
    <w:rsid w:val="004664D6"/>
    <w:rsid w:val="00470362"/>
    <w:rsid w:val="0047437A"/>
    <w:rsid w:val="00474BAB"/>
    <w:rsid w:val="00480F77"/>
    <w:rsid w:val="00481594"/>
    <w:rsid w:val="00482DF8"/>
    <w:rsid w:val="00485044"/>
    <w:rsid w:val="00494944"/>
    <w:rsid w:val="004971A3"/>
    <w:rsid w:val="00497A31"/>
    <w:rsid w:val="004A0EDF"/>
    <w:rsid w:val="004A3F48"/>
    <w:rsid w:val="004A520B"/>
    <w:rsid w:val="004B259E"/>
    <w:rsid w:val="004B6D7B"/>
    <w:rsid w:val="004C2731"/>
    <w:rsid w:val="004C5D41"/>
    <w:rsid w:val="004C69BC"/>
    <w:rsid w:val="004D5EBB"/>
    <w:rsid w:val="004D65C0"/>
    <w:rsid w:val="004D73AE"/>
    <w:rsid w:val="004E1514"/>
    <w:rsid w:val="004E1FF5"/>
    <w:rsid w:val="004E5FD9"/>
    <w:rsid w:val="004F0538"/>
    <w:rsid w:val="004F76BE"/>
    <w:rsid w:val="004F7F40"/>
    <w:rsid w:val="005079EF"/>
    <w:rsid w:val="00517A13"/>
    <w:rsid w:val="0053386F"/>
    <w:rsid w:val="00533DEA"/>
    <w:rsid w:val="0053656B"/>
    <w:rsid w:val="00536FBF"/>
    <w:rsid w:val="00537A11"/>
    <w:rsid w:val="00542AA0"/>
    <w:rsid w:val="00550714"/>
    <w:rsid w:val="005537B2"/>
    <w:rsid w:val="00553936"/>
    <w:rsid w:val="00557C0B"/>
    <w:rsid w:val="00560325"/>
    <w:rsid w:val="0056253E"/>
    <w:rsid w:val="00562A86"/>
    <w:rsid w:val="005631C6"/>
    <w:rsid w:val="005718A8"/>
    <w:rsid w:val="005722EC"/>
    <w:rsid w:val="00573AF0"/>
    <w:rsid w:val="00573B69"/>
    <w:rsid w:val="00574985"/>
    <w:rsid w:val="005749FD"/>
    <w:rsid w:val="00577AC8"/>
    <w:rsid w:val="005808E2"/>
    <w:rsid w:val="00580C64"/>
    <w:rsid w:val="00580FF4"/>
    <w:rsid w:val="0058379B"/>
    <w:rsid w:val="005845F8"/>
    <w:rsid w:val="005868C2"/>
    <w:rsid w:val="00587267"/>
    <w:rsid w:val="005903CC"/>
    <w:rsid w:val="00592180"/>
    <w:rsid w:val="0059514C"/>
    <w:rsid w:val="005B06D8"/>
    <w:rsid w:val="005B0CE2"/>
    <w:rsid w:val="005B22B8"/>
    <w:rsid w:val="005B29B2"/>
    <w:rsid w:val="005B7105"/>
    <w:rsid w:val="005C4FAD"/>
    <w:rsid w:val="005C70E9"/>
    <w:rsid w:val="005D0043"/>
    <w:rsid w:val="005D061B"/>
    <w:rsid w:val="005D3753"/>
    <w:rsid w:val="005D62C9"/>
    <w:rsid w:val="005D73B8"/>
    <w:rsid w:val="005E3E88"/>
    <w:rsid w:val="005F05C3"/>
    <w:rsid w:val="005F0654"/>
    <w:rsid w:val="005F0705"/>
    <w:rsid w:val="005F3535"/>
    <w:rsid w:val="005F564D"/>
    <w:rsid w:val="005F65B3"/>
    <w:rsid w:val="0060129C"/>
    <w:rsid w:val="00601A9A"/>
    <w:rsid w:val="006026DB"/>
    <w:rsid w:val="006034DE"/>
    <w:rsid w:val="00604C24"/>
    <w:rsid w:val="006071C0"/>
    <w:rsid w:val="00615628"/>
    <w:rsid w:val="00616F6A"/>
    <w:rsid w:val="00617551"/>
    <w:rsid w:val="00617C7A"/>
    <w:rsid w:val="0062003F"/>
    <w:rsid w:val="006207FD"/>
    <w:rsid w:val="00627A28"/>
    <w:rsid w:val="00630334"/>
    <w:rsid w:val="00631CB7"/>
    <w:rsid w:val="006329D5"/>
    <w:rsid w:val="00633509"/>
    <w:rsid w:val="0063598E"/>
    <w:rsid w:val="0063709F"/>
    <w:rsid w:val="00641246"/>
    <w:rsid w:val="006419FF"/>
    <w:rsid w:val="006446B9"/>
    <w:rsid w:val="00650592"/>
    <w:rsid w:val="00651CE0"/>
    <w:rsid w:val="00655B54"/>
    <w:rsid w:val="00655DF5"/>
    <w:rsid w:val="00657C26"/>
    <w:rsid w:val="00657E31"/>
    <w:rsid w:val="006625DA"/>
    <w:rsid w:val="00663343"/>
    <w:rsid w:val="00663E41"/>
    <w:rsid w:val="00664FCE"/>
    <w:rsid w:val="006651F1"/>
    <w:rsid w:val="006678E9"/>
    <w:rsid w:val="006751BC"/>
    <w:rsid w:val="006753B9"/>
    <w:rsid w:val="00676125"/>
    <w:rsid w:val="0067787B"/>
    <w:rsid w:val="0067790E"/>
    <w:rsid w:val="00684660"/>
    <w:rsid w:val="00687350"/>
    <w:rsid w:val="00687C8C"/>
    <w:rsid w:val="00692C97"/>
    <w:rsid w:val="00695166"/>
    <w:rsid w:val="006A07E5"/>
    <w:rsid w:val="006A254F"/>
    <w:rsid w:val="006A4BB7"/>
    <w:rsid w:val="006A4CAE"/>
    <w:rsid w:val="006A53ED"/>
    <w:rsid w:val="006A5C2D"/>
    <w:rsid w:val="006A7027"/>
    <w:rsid w:val="006B0A9F"/>
    <w:rsid w:val="006B18EB"/>
    <w:rsid w:val="006B2062"/>
    <w:rsid w:val="006B7FEC"/>
    <w:rsid w:val="006C03D1"/>
    <w:rsid w:val="006C204A"/>
    <w:rsid w:val="006C21C2"/>
    <w:rsid w:val="006C275E"/>
    <w:rsid w:val="006C3BBD"/>
    <w:rsid w:val="006C635F"/>
    <w:rsid w:val="006D2259"/>
    <w:rsid w:val="006D7001"/>
    <w:rsid w:val="006D7A2D"/>
    <w:rsid w:val="006E1CD2"/>
    <w:rsid w:val="006F111C"/>
    <w:rsid w:val="006F257B"/>
    <w:rsid w:val="006F58E3"/>
    <w:rsid w:val="00703E51"/>
    <w:rsid w:val="00710CED"/>
    <w:rsid w:val="00711382"/>
    <w:rsid w:val="0071188E"/>
    <w:rsid w:val="007151F5"/>
    <w:rsid w:val="0072294A"/>
    <w:rsid w:val="00724AB1"/>
    <w:rsid w:val="00724EC6"/>
    <w:rsid w:val="007439FD"/>
    <w:rsid w:val="0074537E"/>
    <w:rsid w:val="00746333"/>
    <w:rsid w:val="00752F5D"/>
    <w:rsid w:val="007605A8"/>
    <w:rsid w:val="00761181"/>
    <w:rsid w:val="00765148"/>
    <w:rsid w:val="0077042E"/>
    <w:rsid w:val="00770D1B"/>
    <w:rsid w:val="00785005"/>
    <w:rsid w:val="007879C7"/>
    <w:rsid w:val="00791F65"/>
    <w:rsid w:val="00797590"/>
    <w:rsid w:val="007A0050"/>
    <w:rsid w:val="007A370A"/>
    <w:rsid w:val="007A6A82"/>
    <w:rsid w:val="007B270A"/>
    <w:rsid w:val="007B2C9D"/>
    <w:rsid w:val="007B3B21"/>
    <w:rsid w:val="007B4920"/>
    <w:rsid w:val="007B55C8"/>
    <w:rsid w:val="007C2E32"/>
    <w:rsid w:val="007C639E"/>
    <w:rsid w:val="007D3637"/>
    <w:rsid w:val="007D6AA1"/>
    <w:rsid w:val="007D75E6"/>
    <w:rsid w:val="007E0E82"/>
    <w:rsid w:val="007E5523"/>
    <w:rsid w:val="007E5C14"/>
    <w:rsid w:val="007E691F"/>
    <w:rsid w:val="007F1156"/>
    <w:rsid w:val="007F662D"/>
    <w:rsid w:val="0080308A"/>
    <w:rsid w:val="00803817"/>
    <w:rsid w:val="00810AFA"/>
    <w:rsid w:val="00813E8B"/>
    <w:rsid w:val="00815B0C"/>
    <w:rsid w:val="00817A7B"/>
    <w:rsid w:val="00820C4B"/>
    <w:rsid w:val="0082219C"/>
    <w:rsid w:val="008226AA"/>
    <w:rsid w:val="00822957"/>
    <w:rsid w:val="00827BA7"/>
    <w:rsid w:val="0083171B"/>
    <w:rsid w:val="0083419A"/>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3A46"/>
    <w:rsid w:val="008850DE"/>
    <w:rsid w:val="008B5967"/>
    <w:rsid w:val="008B649B"/>
    <w:rsid w:val="008B6876"/>
    <w:rsid w:val="008B701F"/>
    <w:rsid w:val="008C1D4A"/>
    <w:rsid w:val="008C2BCF"/>
    <w:rsid w:val="008D0263"/>
    <w:rsid w:val="008D138A"/>
    <w:rsid w:val="008D1664"/>
    <w:rsid w:val="008D1F78"/>
    <w:rsid w:val="008D27FF"/>
    <w:rsid w:val="008D3957"/>
    <w:rsid w:val="008D5501"/>
    <w:rsid w:val="008D681E"/>
    <w:rsid w:val="008D6BAA"/>
    <w:rsid w:val="008E0B01"/>
    <w:rsid w:val="008E1FA2"/>
    <w:rsid w:val="008E228B"/>
    <w:rsid w:val="008E4850"/>
    <w:rsid w:val="008E5DC3"/>
    <w:rsid w:val="008F12A2"/>
    <w:rsid w:val="008F1680"/>
    <w:rsid w:val="008F1AFD"/>
    <w:rsid w:val="008F22E3"/>
    <w:rsid w:val="008F312F"/>
    <w:rsid w:val="008F4DD2"/>
    <w:rsid w:val="008F551C"/>
    <w:rsid w:val="00904B5A"/>
    <w:rsid w:val="00904C37"/>
    <w:rsid w:val="009053AF"/>
    <w:rsid w:val="009108FC"/>
    <w:rsid w:val="00911070"/>
    <w:rsid w:val="00912303"/>
    <w:rsid w:val="0091237B"/>
    <w:rsid w:val="00912FDF"/>
    <w:rsid w:val="00915ED0"/>
    <w:rsid w:val="00916502"/>
    <w:rsid w:val="009226AD"/>
    <w:rsid w:val="00925290"/>
    <w:rsid w:val="00926723"/>
    <w:rsid w:val="00927154"/>
    <w:rsid w:val="0093392A"/>
    <w:rsid w:val="00940D9E"/>
    <w:rsid w:val="0094134B"/>
    <w:rsid w:val="00942618"/>
    <w:rsid w:val="00943629"/>
    <w:rsid w:val="00944F25"/>
    <w:rsid w:val="00951065"/>
    <w:rsid w:val="00952197"/>
    <w:rsid w:val="009539D4"/>
    <w:rsid w:val="009544C5"/>
    <w:rsid w:val="009549D4"/>
    <w:rsid w:val="00956581"/>
    <w:rsid w:val="00956704"/>
    <w:rsid w:val="00957A15"/>
    <w:rsid w:val="0096505D"/>
    <w:rsid w:val="00965A3A"/>
    <w:rsid w:val="00975FA8"/>
    <w:rsid w:val="0097717F"/>
    <w:rsid w:val="0097761D"/>
    <w:rsid w:val="00983C0B"/>
    <w:rsid w:val="00991A2A"/>
    <w:rsid w:val="00992481"/>
    <w:rsid w:val="009946BD"/>
    <w:rsid w:val="00994CA9"/>
    <w:rsid w:val="00995344"/>
    <w:rsid w:val="009959B2"/>
    <w:rsid w:val="009978B4"/>
    <w:rsid w:val="009A1AA3"/>
    <w:rsid w:val="009A48F6"/>
    <w:rsid w:val="009A58C6"/>
    <w:rsid w:val="009B0D4C"/>
    <w:rsid w:val="009B3E24"/>
    <w:rsid w:val="009B4590"/>
    <w:rsid w:val="009B6BB7"/>
    <w:rsid w:val="009C038F"/>
    <w:rsid w:val="009C041E"/>
    <w:rsid w:val="009C1E18"/>
    <w:rsid w:val="009C4F7F"/>
    <w:rsid w:val="009C5DEF"/>
    <w:rsid w:val="009C5EEE"/>
    <w:rsid w:val="009D3DD6"/>
    <w:rsid w:val="009D5674"/>
    <w:rsid w:val="009D6105"/>
    <w:rsid w:val="009D6A47"/>
    <w:rsid w:val="009E62BE"/>
    <w:rsid w:val="009E7909"/>
    <w:rsid w:val="009F4257"/>
    <w:rsid w:val="009F6FE4"/>
    <w:rsid w:val="00A0465A"/>
    <w:rsid w:val="00A0575C"/>
    <w:rsid w:val="00A06609"/>
    <w:rsid w:val="00A0769F"/>
    <w:rsid w:val="00A07866"/>
    <w:rsid w:val="00A07D53"/>
    <w:rsid w:val="00A323CF"/>
    <w:rsid w:val="00A34C81"/>
    <w:rsid w:val="00A37B79"/>
    <w:rsid w:val="00A40262"/>
    <w:rsid w:val="00A461F3"/>
    <w:rsid w:val="00A52EA5"/>
    <w:rsid w:val="00A54B5A"/>
    <w:rsid w:val="00A54E65"/>
    <w:rsid w:val="00A566D9"/>
    <w:rsid w:val="00A6024D"/>
    <w:rsid w:val="00A643FB"/>
    <w:rsid w:val="00A64C4C"/>
    <w:rsid w:val="00A6781D"/>
    <w:rsid w:val="00A71446"/>
    <w:rsid w:val="00A73938"/>
    <w:rsid w:val="00A757FF"/>
    <w:rsid w:val="00A777D2"/>
    <w:rsid w:val="00A81E22"/>
    <w:rsid w:val="00A828E4"/>
    <w:rsid w:val="00A97CB1"/>
    <w:rsid w:val="00AA6617"/>
    <w:rsid w:val="00AB4B37"/>
    <w:rsid w:val="00AC19E7"/>
    <w:rsid w:val="00AC2611"/>
    <w:rsid w:val="00AC3865"/>
    <w:rsid w:val="00AC39C3"/>
    <w:rsid w:val="00AC46AC"/>
    <w:rsid w:val="00AD0457"/>
    <w:rsid w:val="00AE2A71"/>
    <w:rsid w:val="00AE3527"/>
    <w:rsid w:val="00AE360D"/>
    <w:rsid w:val="00AE4AF0"/>
    <w:rsid w:val="00AE4C4B"/>
    <w:rsid w:val="00AE6D2E"/>
    <w:rsid w:val="00AF2A04"/>
    <w:rsid w:val="00AF3781"/>
    <w:rsid w:val="00AF44D3"/>
    <w:rsid w:val="00AF5AC4"/>
    <w:rsid w:val="00B004EA"/>
    <w:rsid w:val="00B02760"/>
    <w:rsid w:val="00B02FFB"/>
    <w:rsid w:val="00B03EC7"/>
    <w:rsid w:val="00B04F38"/>
    <w:rsid w:val="00B06FDD"/>
    <w:rsid w:val="00B07BC5"/>
    <w:rsid w:val="00B07D80"/>
    <w:rsid w:val="00B11E39"/>
    <w:rsid w:val="00B1306D"/>
    <w:rsid w:val="00B131A7"/>
    <w:rsid w:val="00B25241"/>
    <w:rsid w:val="00B25AA0"/>
    <w:rsid w:val="00B307F8"/>
    <w:rsid w:val="00B365BC"/>
    <w:rsid w:val="00B3786C"/>
    <w:rsid w:val="00B42337"/>
    <w:rsid w:val="00B4267E"/>
    <w:rsid w:val="00B440D0"/>
    <w:rsid w:val="00B45C8F"/>
    <w:rsid w:val="00B462A8"/>
    <w:rsid w:val="00B513BC"/>
    <w:rsid w:val="00B51E53"/>
    <w:rsid w:val="00B54E90"/>
    <w:rsid w:val="00B57BC6"/>
    <w:rsid w:val="00B6171A"/>
    <w:rsid w:val="00B61A1B"/>
    <w:rsid w:val="00B654EF"/>
    <w:rsid w:val="00B712B2"/>
    <w:rsid w:val="00B71FBE"/>
    <w:rsid w:val="00B734D2"/>
    <w:rsid w:val="00B73BCA"/>
    <w:rsid w:val="00B82576"/>
    <w:rsid w:val="00B8477A"/>
    <w:rsid w:val="00B84CBE"/>
    <w:rsid w:val="00B84FA0"/>
    <w:rsid w:val="00B96F27"/>
    <w:rsid w:val="00BA172F"/>
    <w:rsid w:val="00BA2FB0"/>
    <w:rsid w:val="00BB0B14"/>
    <w:rsid w:val="00BB35E7"/>
    <w:rsid w:val="00BB6300"/>
    <w:rsid w:val="00BB699F"/>
    <w:rsid w:val="00BC016C"/>
    <w:rsid w:val="00BC5D70"/>
    <w:rsid w:val="00BC6DD4"/>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04E7E"/>
    <w:rsid w:val="00C1274B"/>
    <w:rsid w:val="00C16025"/>
    <w:rsid w:val="00C16C07"/>
    <w:rsid w:val="00C178EA"/>
    <w:rsid w:val="00C2058D"/>
    <w:rsid w:val="00C240E9"/>
    <w:rsid w:val="00C30B76"/>
    <w:rsid w:val="00C36A4D"/>
    <w:rsid w:val="00C42118"/>
    <w:rsid w:val="00C4727C"/>
    <w:rsid w:val="00C621C6"/>
    <w:rsid w:val="00C66C7D"/>
    <w:rsid w:val="00C67A31"/>
    <w:rsid w:val="00C7520B"/>
    <w:rsid w:val="00C8037F"/>
    <w:rsid w:val="00C97232"/>
    <w:rsid w:val="00CA5F1B"/>
    <w:rsid w:val="00CA6D1A"/>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2D51"/>
    <w:rsid w:val="00D23754"/>
    <w:rsid w:val="00D26FB2"/>
    <w:rsid w:val="00D27384"/>
    <w:rsid w:val="00D30DBA"/>
    <w:rsid w:val="00D30EDC"/>
    <w:rsid w:val="00D32D50"/>
    <w:rsid w:val="00D34BA3"/>
    <w:rsid w:val="00D34EFE"/>
    <w:rsid w:val="00D377A5"/>
    <w:rsid w:val="00D42338"/>
    <w:rsid w:val="00D42AFA"/>
    <w:rsid w:val="00D42D3C"/>
    <w:rsid w:val="00D44517"/>
    <w:rsid w:val="00D46E39"/>
    <w:rsid w:val="00D46FEF"/>
    <w:rsid w:val="00D511EC"/>
    <w:rsid w:val="00D52D99"/>
    <w:rsid w:val="00D532AA"/>
    <w:rsid w:val="00D56A9D"/>
    <w:rsid w:val="00D61011"/>
    <w:rsid w:val="00D64809"/>
    <w:rsid w:val="00D67210"/>
    <w:rsid w:val="00D724D9"/>
    <w:rsid w:val="00D74A87"/>
    <w:rsid w:val="00D862D9"/>
    <w:rsid w:val="00D878D3"/>
    <w:rsid w:val="00D953EC"/>
    <w:rsid w:val="00D961A1"/>
    <w:rsid w:val="00DA0A53"/>
    <w:rsid w:val="00DA1595"/>
    <w:rsid w:val="00DA1752"/>
    <w:rsid w:val="00DA295C"/>
    <w:rsid w:val="00DA3FEF"/>
    <w:rsid w:val="00DA443C"/>
    <w:rsid w:val="00DA5498"/>
    <w:rsid w:val="00DA5774"/>
    <w:rsid w:val="00DA5B0D"/>
    <w:rsid w:val="00DA6B2C"/>
    <w:rsid w:val="00DA6CC0"/>
    <w:rsid w:val="00DA7373"/>
    <w:rsid w:val="00DB45AB"/>
    <w:rsid w:val="00DB6E20"/>
    <w:rsid w:val="00DC3F47"/>
    <w:rsid w:val="00DC6081"/>
    <w:rsid w:val="00DD2C49"/>
    <w:rsid w:val="00DD4F36"/>
    <w:rsid w:val="00DD51D8"/>
    <w:rsid w:val="00DD69A4"/>
    <w:rsid w:val="00DD6D96"/>
    <w:rsid w:val="00DE59BF"/>
    <w:rsid w:val="00DF4526"/>
    <w:rsid w:val="00DF5C09"/>
    <w:rsid w:val="00DF6D87"/>
    <w:rsid w:val="00E032A7"/>
    <w:rsid w:val="00E03725"/>
    <w:rsid w:val="00E03861"/>
    <w:rsid w:val="00E059BC"/>
    <w:rsid w:val="00E10067"/>
    <w:rsid w:val="00E1112D"/>
    <w:rsid w:val="00E12564"/>
    <w:rsid w:val="00E14491"/>
    <w:rsid w:val="00E158B0"/>
    <w:rsid w:val="00E202E5"/>
    <w:rsid w:val="00E25AED"/>
    <w:rsid w:val="00E26191"/>
    <w:rsid w:val="00E265CE"/>
    <w:rsid w:val="00E27D4D"/>
    <w:rsid w:val="00E31588"/>
    <w:rsid w:val="00E32D53"/>
    <w:rsid w:val="00E33BE2"/>
    <w:rsid w:val="00E356A9"/>
    <w:rsid w:val="00E3783F"/>
    <w:rsid w:val="00E400D5"/>
    <w:rsid w:val="00E407A0"/>
    <w:rsid w:val="00E4250C"/>
    <w:rsid w:val="00E44382"/>
    <w:rsid w:val="00E5245B"/>
    <w:rsid w:val="00E536AD"/>
    <w:rsid w:val="00E54443"/>
    <w:rsid w:val="00E567D1"/>
    <w:rsid w:val="00E56A4E"/>
    <w:rsid w:val="00E60203"/>
    <w:rsid w:val="00E6419D"/>
    <w:rsid w:val="00E677BD"/>
    <w:rsid w:val="00E770BB"/>
    <w:rsid w:val="00E8589E"/>
    <w:rsid w:val="00E87483"/>
    <w:rsid w:val="00E93E64"/>
    <w:rsid w:val="00EA0786"/>
    <w:rsid w:val="00EA0922"/>
    <w:rsid w:val="00EA3535"/>
    <w:rsid w:val="00EA7C72"/>
    <w:rsid w:val="00EB4BA3"/>
    <w:rsid w:val="00EB4FFD"/>
    <w:rsid w:val="00EB7742"/>
    <w:rsid w:val="00EC0258"/>
    <w:rsid w:val="00EC1FD2"/>
    <w:rsid w:val="00ED18BD"/>
    <w:rsid w:val="00ED24F7"/>
    <w:rsid w:val="00ED5AB8"/>
    <w:rsid w:val="00ED7AD8"/>
    <w:rsid w:val="00EE08B5"/>
    <w:rsid w:val="00EE26C3"/>
    <w:rsid w:val="00EF11A9"/>
    <w:rsid w:val="00EF136C"/>
    <w:rsid w:val="00EF5F3A"/>
    <w:rsid w:val="00EF6A15"/>
    <w:rsid w:val="00F00A97"/>
    <w:rsid w:val="00F025C5"/>
    <w:rsid w:val="00F11C39"/>
    <w:rsid w:val="00F15970"/>
    <w:rsid w:val="00F2076B"/>
    <w:rsid w:val="00F24569"/>
    <w:rsid w:val="00F2764A"/>
    <w:rsid w:val="00F27A64"/>
    <w:rsid w:val="00F300E5"/>
    <w:rsid w:val="00F35202"/>
    <w:rsid w:val="00F37B8F"/>
    <w:rsid w:val="00F37E78"/>
    <w:rsid w:val="00F406E9"/>
    <w:rsid w:val="00F40786"/>
    <w:rsid w:val="00F425E4"/>
    <w:rsid w:val="00F50275"/>
    <w:rsid w:val="00F50325"/>
    <w:rsid w:val="00F55B8A"/>
    <w:rsid w:val="00F55C30"/>
    <w:rsid w:val="00F568C6"/>
    <w:rsid w:val="00F57EC4"/>
    <w:rsid w:val="00F6131F"/>
    <w:rsid w:val="00F66A33"/>
    <w:rsid w:val="00F70A3F"/>
    <w:rsid w:val="00F74E82"/>
    <w:rsid w:val="00F75998"/>
    <w:rsid w:val="00F81E15"/>
    <w:rsid w:val="00F83DC2"/>
    <w:rsid w:val="00F87ABE"/>
    <w:rsid w:val="00F90B5B"/>
    <w:rsid w:val="00F947EF"/>
    <w:rsid w:val="00F977C7"/>
    <w:rsid w:val="00FA0612"/>
    <w:rsid w:val="00FA173E"/>
    <w:rsid w:val="00FA31B1"/>
    <w:rsid w:val="00FA3A60"/>
    <w:rsid w:val="00FB085C"/>
    <w:rsid w:val="00FB2239"/>
    <w:rsid w:val="00FB3511"/>
    <w:rsid w:val="00FB3F55"/>
    <w:rsid w:val="00FB57B8"/>
    <w:rsid w:val="00FB62FE"/>
    <w:rsid w:val="00FB6A14"/>
    <w:rsid w:val="00FC3A67"/>
    <w:rsid w:val="00FC691B"/>
    <w:rsid w:val="00FD56BC"/>
    <w:rsid w:val="00FE1959"/>
    <w:rsid w:val="00FF0AA5"/>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90"/>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90"/>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42225556">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1396180">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963659405">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67087067">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739399612">
      <w:bodyDiv w:val="1"/>
      <w:marLeft w:val="0"/>
      <w:marRight w:val="0"/>
      <w:marTop w:val="0"/>
      <w:marBottom w:val="0"/>
      <w:divBdr>
        <w:top w:val="none" w:sz="0" w:space="0" w:color="auto"/>
        <w:left w:val="none" w:sz="0" w:space="0" w:color="auto"/>
        <w:bottom w:val="none" w:sz="0" w:space="0" w:color="auto"/>
        <w:right w:val="none" w:sz="0" w:space="0" w:color="auto"/>
      </w:divBdr>
    </w:div>
    <w:div w:id="1774935267">
      <w:bodyDiv w:val="1"/>
      <w:marLeft w:val="0"/>
      <w:marRight w:val="0"/>
      <w:marTop w:val="0"/>
      <w:marBottom w:val="0"/>
      <w:divBdr>
        <w:top w:val="none" w:sz="0" w:space="0" w:color="auto"/>
        <w:left w:val="none" w:sz="0" w:space="0" w:color="auto"/>
        <w:bottom w:val="none" w:sz="0" w:space="0" w:color="auto"/>
        <w:right w:val="none" w:sz="0" w:space="0" w:color="auto"/>
      </w:divBdr>
    </w:div>
    <w:div w:id="1865442407">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nhsengland.media@nhs.ne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gov.uk/government/stati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ngland.nhs.uk/statistics/statistical-work-areas/nhs-111-minimum-data-s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methodology/methodologytopicsandstatisticalconcepts/guidetoexperimentalstatistics" TargetMode="External"/><Relationship Id="rId1" Type="http://schemas.openxmlformats.org/officeDocument/2006/relationships/hyperlink" Target="http://www.england.nhs.uk/statistics/statistical-work-areas/nhs-111-minimum-data-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4F13-E813-4D3B-B61E-AC167848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Ian</dc:creator>
  <cp:lastModifiedBy>Kay, I</cp:lastModifiedBy>
  <cp:revision>10</cp:revision>
  <cp:lastPrinted>2016-09-06T12:44:00Z</cp:lastPrinted>
  <dcterms:created xsi:type="dcterms:W3CDTF">2017-05-05T15:21:00Z</dcterms:created>
  <dcterms:modified xsi:type="dcterms:W3CDTF">2017-05-10T08:04:00Z</dcterms:modified>
</cp:coreProperties>
</file>