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7505F" w:rsidRDefault="00C21149" w:rsidP="00F7505F">
      <w:pPr>
        <w:pStyle w:val="Heading1"/>
      </w:pPr>
      <w:bookmarkStart w:id="0" w:name="_GoBack"/>
      <w:bookmarkEnd w:id="0"/>
      <w:r w:rsidRPr="00F7505F">
        <w:t xml:space="preserve">Statistical Note: </w:t>
      </w:r>
      <w:r w:rsidR="00340492" w:rsidRPr="00F7505F">
        <w:t>Ambulance Quality Indicators</w:t>
      </w:r>
      <w:r w:rsidR="002C522F" w:rsidRPr="00F7505F">
        <w:t xml:space="preserve"> (AQI</w:t>
      </w:r>
      <w:r w:rsidR="00DC4BF3" w:rsidRPr="00F7505F">
        <w:t>)</w:t>
      </w:r>
    </w:p>
    <w:p w:rsidR="00B75E75" w:rsidRPr="00F7505F" w:rsidRDefault="00B75E75" w:rsidP="00E859D9">
      <w:r w:rsidRPr="00F7505F">
        <w:t>The latest Systems In</w:t>
      </w:r>
      <w:r w:rsidR="003F1BB3" w:rsidRPr="00F7505F">
        <w:t>d</w:t>
      </w:r>
      <w:r w:rsidRPr="00F7505F">
        <w:t xml:space="preserve">icators for </w:t>
      </w:r>
      <w:r w:rsidR="00014FE0">
        <w:t>June</w:t>
      </w:r>
      <w:r w:rsidR="00506143" w:rsidRPr="00F7505F">
        <w:t xml:space="preserve"> 2017</w:t>
      </w:r>
      <w:r w:rsidRPr="00F7505F">
        <w:t xml:space="preserve"> for Ambulance Services in England</w:t>
      </w:r>
      <w:r w:rsidR="000E6F7C" w:rsidRPr="00F7505F">
        <w:t xml:space="preserve"> </w:t>
      </w:r>
      <w:r w:rsidRPr="00F7505F">
        <w:t>showed</w:t>
      </w:r>
      <w:r w:rsidR="00230F4C" w:rsidRPr="00F7505F">
        <w:t xml:space="preserve"> </w:t>
      </w:r>
      <w:r w:rsidRPr="00F7505F">
        <w:t>the standards in the Handbook</w:t>
      </w:r>
      <w:r w:rsidRPr="00F7505F">
        <w:rPr>
          <w:vertAlign w:val="superscript"/>
        </w:rPr>
        <w:footnoteReference w:id="1"/>
      </w:r>
      <w:r w:rsidRPr="00F7505F">
        <w:t xml:space="preserve"> to the NHS constitution were not met</w:t>
      </w:r>
      <w:r w:rsidR="00014FE0">
        <w:t>.</w:t>
      </w:r>
    </w:p>
    <w:p w:rsidR="00881B17" w:rsidRPr="00F7505F" w:rsidRDefault="00881B17" w:rsidP="00E859D9">
      <w:r w:rsidRPr="00F7505F">
        <w:t>The latest Clinical Outcomes data</w:t>
      </w:r>
      <w:r w:rsidR="00230F4C" w:rsidRPr="00F7505F">
        <w:t xml:space="preserve"> for</w:t>
      </w:r>
      <w:r w:rsidRPr="00F7505F">
        <w:t xml:space="preserve"> </w:t>
      </w:r>
      <w:r w:rsidR="00014FE0">
        <w:t>March</w:t>
      </w:r>
      <w:r w:rsidR="00230F4C" w:rsidRPr="00F7505F">
        <w:t xml:space="preserve"> 2017 </w:t>
      </w:r>
      <w:r w:rsidR="001D02E9" w:rsidRPr="00F7505F">
        <w:t>show</w:t>
      </w:r>
      <w:r w:rsidR="00230F4C" w:rsidRPr="00F7505F">
        <w:t>,</w:t>
      </w:r>
      <w:r w:rsidR="001D02E9" w:rsidRPr="00F7505F">
        <w:t xml:space="preserve"> </w:t>
      </w:r>
      <w:r w:rsidR="00D95AE2" w:rsidRPr="00F7505F">
        <w:t xml:space="preserve">for </w:t>
      </w:r>
      <w:r w:rsidR="00AC6F44">
        <w:t xml:space="preserve">stroke </w:t>
      </w:r>
      <w:r w:rsidR="001D02E9" w:rsidRPr="00F7505F">
        <w:t>patients</w:t>
      </w:r>
      <w:r w:rsidR="00AC6F44" w:rsidRPr="00AC6F44">
        <w:t xml:space="preserve"> assessed face to face</w:t>
      </w:r>
      <w:r w:rsidR="001D02E9" w:rsidRPr="00F7505F">
        <w:t xml:space="preserve">, </w:t>
      </w:r>
      <w:r w:rsidR="00AC6F44">
        <w:t>a significantly</w:t>
      </w:r>
      <w:r w:rsidR="00AC6F44">
        <w:rPr>
          <w:rStyle w:val="FootnoteReference"/>
        </w:rPr>
        <w:footnoteReference w:id="2"/>
      </w:r>
      <w:r w:rsidR="00AC6F44" w:rsidRPr="00F7505F">
        <w:t xml:space="preserve"> </w:t>
      </w:r>
      <w:r w:rsidR="00AC6F44">
        <w:t xml:space="preserve">higher proportion </w:t>
      </w:r>
      <w:r w:rsidR="00AC6F44" w:rsidRPr="00AC6F44">
        <w:t>received an appropriate care bundle</w:t>
      </w:r>
      <w:r w:rsidR="00230F4C" w:rsidRPr="00F7505F">
        <w:t>.</w:t>
      </w:r>
    </w:p>
    <w:p w:rsidR="002C522F" w:rsidRPr="00F7505F" w:rsidRDefault="00C3443F" w:rsidP="00B376CF">
      <w:pPr>
        <w:pStyle w:val="Heading2"/>
      </w:pPr>
      <w:r w:rsidRPr="00F7505F">
        <w:t xml:space="preserve">Systems </w:t>
      </w:r>
      <w:r w:rsidR="00465847" w:rsidRPr="00F7505F">
        <w:t>Indicators</w:t>
      </w:r>
    </w:p>
    <w:p w:rsidR="00C3443F" w:rsidRPr="00F7505F" w:rsidRDefault="00D3262A" w:rsidP="00F7505F">
      <w:pPr>
        <w:pStyle w:val="Heading3"/>
      </w:pPr>
      <w:r w:rsidRPr="00F7505F">
        <w:t xml:space="preserve">Emergency </w:t>
      </w:r>
      <w:r w:rsidR="0089121D" w:rsidRPr="00F7505F">
        <w:t>response</w:t>
      </w:r>
      <w:r w:rsidRPr="00F7505F">
        <w:t xml:space="preserve"> in 8 minutes</w:t>
      </w:r>
      <w:r w:rsidR="00774123" w:rsidRPr="00F7505F">
        <w:t xml:space="preserve"> (Figure 1)</w:t>
      </w:r>
    </w:p>
    <w:p w:rsidR="008D271B" w:rsidRPr="001E7928" w:rsidRDefault="008D271B" w:rsidP="008D271B">
      <w:r w:rsidRPr="00E5297B">
        <w:t xml:space="preserve">In </w:t>
      </w:r>
      <w:r>
        <w:t>June 2017</w:t>
      </w:r>
      <w:r w:rsidRPr="00E5297B">
        <w:t>, of Category</w:t>
      </w:r>
      <w:r>
        <w:t xml:space="preserve"> A</w:t>
      </w:r>
      <w:r w:rsidRPr="00E5297B">
        <w:rPr>
          <w:rStyle w:val="FootnoteReference"/>
        </w:rPr>
        <w:footnoteReference w:id="3"/>
      </w:r>
      <w:r w:rsidRPr="00E5297B">
        <w:t xml:space="preserve"> Red 1 calls in England, resulting in an emergency </w:t>
      </w:r>
      <w:r w:rsidRPr="001E7928">
        <w:t>response, the proportion arriving within 8 minutes</w:t>
      </w:r>
      <w:r>
        <w:t xml:space="preserve"> was 68.8</w:t>
      </w:r>
      <w:r w:rsidRPr="001E7928">
        <w:t>%.</w:t>
      </w:r>
    </w:p>
    <w:p w:rsidR="008D271B" w:rsidRDefault="008D271B" w:rsidP="008D271B">
      <w:r w:rsidRPr="001E7928">
        <w:t xml:space="preserve">In </w:t>
      </w:r>
      <w:r>
        <w:t>June</w:t>
      </w:r>
      <w:r w:rsidRPr="001E7928">
        <w:t xml:space="preserve"> 2017, of Category</w:t>
      </w:r>
      <w:r>
        <w:t xml:space="preserve"> A</w:t>
      </w:r>
      <w:r>
        <w:rPr>
          <w:vertAlign w:val="superscript"/>
        </w:rPr>
        <w:t>3</w:t>
      </w:r>
      <w:r w:rsidRPr="001E7928">
        <w:t xml:space="preserve"> Red 2 calls in England</w:t>
      </w:r>
      <w:r>
        <w:t>,</w:t>
      </w:r>
      <w:r w:rsidRPr="001E7928">
        <w:t xml:space="preserve"> resulting in an emergency response, the proportion arriving within 8 minutes was </w:t>
      </w:r>
      <w:r>
        <w:t>61.8%.</w:t>
      </w:r>
    </w:p>
    <w:p w:rsidR="006045C4" w:rsidRPr="00F7505F" w:rsidRDefault="00CC13D4" w:rsidP="0032185E">
      <w:pPr>
        <w:pStyle w:val="NoSpacing"/>
      </w:pPr>
      <w:r>
        <w:rPr>
          <w:noProof/>
        </w:rPr>
        <w:drawing>
          <wp:inline distT="0" distB="0" distL="0" distR="0" wp14:anchorId="3C5716D3">
            <wp:extent cx="5773420" cy="3255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3255645"/>
                    </a:xfrm>
                    <a:prstGeom prst="rect">
                      <a:avLst/>
                    </a:prstGeom>
                    <a:noFill/>
                  </pic:spPr>
                </pic:pic>
              </a:graphicData>
            </a:graphic>
          </wp:inline>
        </w:drawing>
      </w:r>
    </w:p>
    <w:p w:rsidR="002406AD" w:rsidRDefault="002406AD" w:rsidP="002406AD">
      <w:r w:rsidRPr="00F26F2F">
        <w:lastRenderedPageBreak/>
        <w:t xml:space="preserve">The standard for Ambulance Services is to send an emergency response, with a defibrillator, within 8 minutes to 75% of Category </w:t>
      </w:r>
      <w:proofErr w:type="gramStart"/>
      <w:r w:rsidRPr="00F26F2F">
        <w:t>A</w:t>
      </w:r>
      <w:proofErr w:type="gramEnd"/>
      <w:r>
        <w:t xml:space="preserve"> calls. </w:t>
      </w:r>
      <w:r w:rsidRPr="00F26F2F">
        <w:t xml:space="preserve">Figure 1 </w:t>
      </w:r>
      <w:proofErr w:type="gramStart"/>
      <w:r w:rsidR="00A5491C" w:rsidRPr="00F26F2F">
        <w:t>show</w:t>
      </w:r>
      <w:r w:rsidR="00A5491C">
        <w:t>s</w:t>
      </w:r>
      <w:proofErr w:type="gramEnd"/>
      <w:r w:rsidRPr="00F26F2F">
        <w:t xml:space="preserve"> that for England</w:t>
      </w:r>
      <w:r>
        <w:rPr>
          <w:rStyle w:val="FootnoteReference"/>
        </w:rPr>
        <w:footnoteReference w:id="4"/>
      </w:r>
      <w:r>
        <w:t>,</w:t>
      </w:r>
      <w:r>
        <w:rPr>
          <w:vertAlign w:val="superscript"/>
        </w:rPr>
        <w:t xml:space="preserve"> </w:t>
      </w:r>
      <w:r w:rsidRPr="001E7928">
        <w:t xml:space="preserve">in </w:t>
      </w:r>
      <w:r>
        <w:t>June</w:t>
      </w:r>
      <w:r w:rsidRPr="001E7928">
        <w:t xml:space="preserve"> 2017</w:t>
      </w:r>
      <w:r>
        <w:t>,</w:t>
      </w:r>
      <w:r w:rsidRPr="001E7928">
        <w:t xml:space="preserve"> </w:t>
      </w:r>
      <w:r w:rsidRPr="00F26F2F">
        <w:t xml:space="preserve">Red 1 </w:t>
      </w:r>
      <w:r w:rsidRPr="001E7928">
        <w:t>performance</w:t>
      </w:r>
      <w:r>
        <w:t xml:space="preserve"> </w:t>
      </w:r>
      <w:r w:rsidR="00283AFF">
        <w:t>decreased</w:t>
      </w:r>
      <w:r>
        <w:t xml:space="preserve"> for the second month in a </w:t>
      </w:r>
      <w:r w:rsidR="00A5491C">
        <w:t>row</w:t>
      </w:r>
      <w:r w:rsidR="00CC13D4">
        <w:t>, although a</w:t>
      </w:r>
      <w:r w:rsidR="0032185E">
        <w:t xml:space="preserve">t 68.8%, it </w:t>
      </w:r>
      <w:r>
        <w:t xml:space="preserve">was </w:t>
      </w:r>
      <w:r w:rsidR="0032185E">
        <w:t xml:space="preserve">very close to </w:t>
      </w:r>
      <w:r>
        <w:t>the 2016-17 average of 68.7%</w:t>
      </w:r>
      <w:r w:rsidRPr="001E7928">
        <w:t>.</w:t>
      </w:r>
    </w:p>
    <w:p w:rsidR="002406AD" w:rsidRDefault="002406AD" w:rsidP="002406AD">
      <w:r w:rsidRPr="001E7928">
        <w:t xml:space="preserve">For Red 1, out of the eight </w:t>
      </w:r>
      <w:r>
        <w:t xml:space="preserve">Services </w:t>
      </w:r>
      <w:r w:rsidRPr="001E7928">
        <w:t>where Category A still applie</w:t>
      </w:r>
      <w:r>
        <w:t>s</w:t>
      </w:r>
      <w:r w:rsidRPr="001E7928">
        <w:t xml:space="preserve">, </w:t>
      </w:r>
      <w:r>
        <w:t xml:space="preserve">only </w:t>
      </w:r>
      <w:r w:rsidR="007C301D">
        <w:t>North East</w:t>
      </w:r>
      <w:r>
        <w:t xml:space="preserve"> (</w:t>
      </w:r>
      <w:r w:rsidR="007C301D">
        <w:t>NEAS</w:t>
      </w:r>
      <w:r>
        <w:t>, 75.</w:t>
      </w:r>
      <w:r w:rsidR="007C301D">
        <w:t>4</w:t>
      </w:r>
      <w:r>
        <w:t xml:space="preserve">%) met </w:t>
      </w:r>
      <w:r w:rsidRPr="001E7928">
        <w:t xml:space="preserve">the 75% standard in </w:t>
      </w:r>
      <w:r w:rsidR="007C301D">
        <w:t>June</w:t>
      </w:r>
      <w:r>
        <w:t xml:space="preserve"> </w:t>
      </w:r>
      <w:r w:rsidRPr="001E7928">
        <w:t>2017</w:t>
      </w:r>
      <w:r>
        <w:t xml:space="preserve">. </w:t>
      </w:r>
      <w:r w:rsidRPr="00A74420">
        <w:t xml:space="preserve">North West (NWAS, </w:t>
      </w:r>
      <w:r w:rsidR="000506EC">
        <w:t>62.5</w:t>
      </w:r>
      <w:r w:rsidRPr="00A74420">
        <w:t>%)</w:t>
      </w:r>
      <w:r w:rsidR="000506EC">
        <w:t xml:space="preserve">, </w:t>
      </w:r>
      <w:r w:rsidRPr="00A74420">
        <w:t xml:space="preserve">South East Coast (SECAmb, </w:t>
      </w:r>
      <w:r w:rsidR="000506EC">
        <w:t>63.9</w:t>
      </w:r>
      <w:r w:rsidRPr="00A74420">
        <w:t>%)</w:t>
      </w:r>
      <w:r w:rsidR="0032185E">
        <w:t>,</w:t>
      </w:r>
      <w:r w:rsidRPr="00A74420">
        <w:t xml:space="preserve"> </w:t>
      </w:r>
      <w:r w:rsidR="000506EC">
        <w:t xml:space="preserve">and Isle of Wight (IoW, 65.9%) </w:t>
      </w:r>
      <w:r w:rsidRPr="00A74420">
        <w:t>Ambulance Services had fewer tha</w:t>
      </w:r>
      <w:r>
        <w:t>n 70%.</w:t>
      </w:r>
    </w:p>
    <w:p w:rsidR="00C54B5E" w:rsidRPr="00F7505F" w:rsidRDefault="00BF1134" w:rsidP="00C54B5E">
      <w:pPr>
        <w:pStyle w:val="Heading3"/>
      </w:pPr>
      <w:r w:rsidRPr="00F7505F">
        <w:t>Dispatch on Disposition</w:t>
      </w:r>
      <w:r w:rsidR="007B6A11">
        <w:t xml:space="preserve"> (</w:t>
      </w:r>
      <w:proofErr w:type="gramStart"/>
      <w:r w:rsidR="007B6A11">
        <w:t>DoD</w:t>
      </w:r>
      <w:proofErr w:type="gramEnd"/>
      <w:r w:rsidR="007B6A11">
        <w:t>)</w:t>
      </w:r>
    </w:p>
    <w:p w:rsidR="00703378" w:rsidRPr="00F7505F" w:rsidRDefault="00003FCB" w:rsidP="00703378">
      <w:r>
        <w:t>From February 2017</w:t>
      </w:r>
      <w:r w:rsidR="00703378" w:rsidRPr="00F7505F">
        <w:t xml:space="preserve">, other than for Red 1 </w:t>
      </w:r>
      <w:r>
        <w:t xml:space="preserve">and Category 1 </w:t>
      </w:r>
      <w:r w:rsidR="00703378" w:rsidRPr="00F7505F">
        <w:t xml:space="preserve">calls, the start time </w:t>
      </w:r>
      <w:r>
        <w:t>is</w:t>
      </w:r>
      <w:r w:rsidR="00703378" w:rsidRPr="00F7505F">
        <w:t xml:space="preserve"> the earliest of</w:t>
      </w:r>
      <w:r w:rsidR="00703378">
        <w:t xml:space="preserve"> the following three possible trigger points</w:t>
      </w:r>
      <w:r w:rsidR="00703378" w:rsidRPr="00F7505F">
        <w:t>:</w:t>
      </w:r>
    </w:p>
    <w:p w:rsidR="00703378" w:rsidRPr="00F7505F" w:rsidRDefault="00703378" w:rsidP="00703378">
      <w:pPr>
        <w:pStyle w:val="ListNumber"/>
      </w:pPr>
      <w:r w:rsidRPr="00F7505F">
        <w:t>chief complaint or NHS Pathways initial disposition (Dx) code obtained;</w:t>
      </w:r>
    </w:p>
    <w:p w:rsidR="00703378" w:rsidRPr="00F7505F" w:rsidRDefault="00703378" w:rsidP="00703378">
      <w:pPr>
        <w:pStyle w:val="ListNumber"/>
      </w:pPr>
      <w:r w:rsidRPr="00F7505F">
        <w:t>first vehicle assigned;</w:t>
      </w:r>
    </w:p>
    <w:p w:rsidR="00703378" w:rsidRPr="00F7505F" w:rsidRDefault="00003FCB" w:rsidP="00703378">
      <w:pPr>
        <w:pStyle w:val="ListNumber"/>
      </w:pPr>
      <w:r>
        <w:t>24</w:t>
      </w:r>
      <w:r w:rsidR="00703378" w:rsidRPr="00F7505F">
        <w:t>0 seconds after call connect.</w:t>
      </w:r>
    </w:p>
    <w:p w:rsidR="00CC13D4" w:rsidRDefault="00003FCB" w:rsidP="000E6F7C">
      <w:r>
        <w:t xml:space="preserve">Before February 2015, when </w:t>
      </w:r>
      <w:proofErr w:type="gramStart"/>
      <w:r>
        <w:t>DoD</w:t>
      </w:r>
      <w:proofErr w:type="gramEnd"/>
      <w:r>
        <w:t xml:space="preserve"> started, the</w:t>
      </w:r>
      <w:r w:rsidR="00703378">
        <w:t xml:space="preserve"> third trigger point</w:t>
      </w:r>
      <w:r>
        <w:t xml:space="preserve"> was 60 seconds after call connect. </w:t>
      </w:r>
      <w:proofErr w:type="gramStart"/>
      <w:r>
        <w:t>DoD</w:t>
      </w:r>
      <w:proofErr w:type="gramEnd"/>
      <w:r>
        <w:t xml:space="preserve"> tested</w:t>
      </w:r>
      <w:r w:rsidR="00703378">
        <w:t xml:space="preserve"> alternatives of 180, 240 and 300 seconds in various Ambulance Services.</w:t>
      </w:r>
      <w:r w:rsidR="00703378" w:rsidRPr="00F7505F">
        <w:t xml:space="preserve"> </w:t>
      </w:r>
    </w:p>
    <w:p w:rsidR="00703378" w:rsidRDefault="00703378" w:rsidP="000E6F7C">
      <w:r>
        <w:t xml:space="preserve">In </w:t>
      </w:r>
      <w:r w:rsidRPr="00F7505F">
        <w:t xml:space="preserve">October 2016, all Ambulance Services in England were aligned with a </w:t>
      </w:r>
      <w:r w:rsidR="00003FCB">
        <w:t xml:space="preserve">third trigger point </w:t>
      </w:r>
      <w:r w:rsidRPr="00F7505F">
        <w:t>of 240</w:t>
      </w:r>
      <w:r w:rsidR="00003FCB">
        <w:t xml:space="preserve"> seconds</w:t>
      </w:r>
      <w:r>
        <w:t>, except for Isle of Wight</w:t>
      </w:r>
      <w:r w:rsidR="00CC13D4">
        <w:t>,</w:t>
      </w:r>
      <w:r>
        <w:t xml:space="preserve"> which aligned in February 2017.</w:t>
      </w:r>
      <w:r w:rsidR="007B6A11">
        <w:t xml:space="preserve"> </w:t>
      </w:r>
    </w:p>
    <w:p w:rsidR="007B6A11" w:rsidRDefault="00295C36" w:rsidP="000E6F7C">
      <w:r w:rsidRPr="00F7505F">
        <w:t xml:space="preserve">NWAS, </w:t>
      </w:r>
      <w:r w:rsidR="000617A5" w:rsidRPr="00F7505F">
        <w:t>SECAmb</w:t>
      </w:r>
      <w:r w:rsidR="000617A5">
        <w:t xml:space="preserve">, </w:t>
      </w:r>
      <w:r w:rsidRPr="00F7505F">
        <w:t>East Midlands (EMAS)</w:t>
      </w:r>
      <w:r>
        <w:t xml:space="preserve">, </w:t>
      </w:r>
      <w:r w:rsidR="000617A5">
        <w:t>and East of England (EastAmb)</w:t>
      </w:r>
      <w:r>
        <w:t xml:space="preserve"> Ambulance Services, </w:t>
      </w:r>
      <w:r w:rsidRPr="00F7505F">
        <w:t xml:space="preserve">always </w:t>
      </w:r>
      <w:r>
        <w:t>changed their clock start in the same months. Therefore, their response times remain comparable with each other.</w:t>
      </w:r>
    </w:p>
    <w:p w:rsidR="00295C36" w:rsidRDefault="00295C36" w:rsidP="000E6F7C">
      <w:r>
        <w:t xml:space="preserve">However, all </w:t>
      </w:r>
      <w:r w:rsidRPr="00F7505F">
        <w:t xml:space="preserve">other Ambulance Services </w:t>
      </w:r>
      <w:r>
        <w:t>tested</w:t>
      </w:r>
      <w:r w:rsidRPr="00F7505F">
        <w:t xml:space="preserve"> </w:t>
      </w:r>
      <w:proofErr w:type="gramStart"/>
      <w:r w:rsidRPr="00F7505F">
        <w:t>DoD</w:t>
      </w:r>
      <w:proofErr w:type="gramEnd"/>
      <w:r w:rsidRPr="00F7505F">
        <w:t xml:space="preserve"> according to a unique timetable</w:t>
      </w:r>
      <w:r w:rsidR="007B6A11">
        <w:t xml:space="preserve">, so each Service has a point between February 2015 and October 2016 when they become incomparable with other Services </w:t>
      </w:r>
      <w:r>
        <w:t xml:space="preserve">for Red 2 </w:t>
      </w:r>
      <w:r w:rsidR="0068308C">
        <w:t>and</w:t>
      </w:r>
      <w:r>
        <w:t xml:space="preserve"> Category A response times.</w:t>
      </w:r>
      <w:r w:rsidR="00CC13D4" w:rsidRPr="00CC13D4">
        <w:t xml:space="preserve"> </w:t>
      </w:r>
      <w:r w:rsidR="00CC13D4">
        <w:t xml:space="preserve">All change dates are </w:t>
      </w:r>
      <w:r w:rsidR="00CC13D4" w:rsidRPr="00F7505F">
        <w:t>listed in the 8 December 2016 AQI Statistical Note</w:t>
      </w:r>
      <w:r w:rsidR="00CC13D4">
        <w:t>.</w:t>
      </w:r>
    </w:p>
    <w:p w:rsidR="0044613C" w:rsidRDefault="0044613C" w:rsidP="00BD1B48">
      <w:pPr>
        <w:pStyle w:val="Heading3"/>
      </w:pPr>
      <w:r>
        <w:t>Ambulance Response Programme (ARP)</w:t>
      </w:r>
    </w:p>
    <w:p w:rsidR="0068308C" w:rsidRDefault="000617A5" w:rsidP="000E6F7C">
      <w:proofErr w:type="gramStart"/>
      <w:r>
        <w:t>DoD</w:t>
      </w:r>
      <w:proofErr w:type="gramEnd"/>
      <w:r>
        <w:t xml:space="preserve"> was </w:t>
      </w:r>
      <w:r w:rsidR="0044613C">
        <w:t xml:space="preserve">Phase 1 of the ARP. Phase 2 </w:t>
      </w:r>
      <w:r>
        <w:t xml:space="preserve">of the ARP </w:t>
      </w:r>
      <w:r w:rsidR="0044613C">
        <w:t xml:space="preserve">was the </w:t>
      </w:r>
      <w:r w:rsidR="00BD1B48" w:rsidRPr="00F7505F">
        <w:t>Clinical Coding Review</w:t>
      </w:r>
      <w:r w:rsidR="007B6A11">
        <w:t xml:space="preserve"> (CCR)</w:t>
      </w:r>
      <w:r w:rsidR="0044613C">
        <w:t xml:space="preserve">. </w:t>
      </w:r>
      <w:r w:rsidR="00295C36">
        <w:t xml:space="preserve">On </w:t>
      </w:r>
      <w:r w:rsidR="00295C36" w:rsidRPr="00F7505F">
        <w:t>19 April, 21 April and 8 June 2016</w:t>
      </w:r>
      <w:r w:rsidR="00295C36">
        <w:t>, in</w:t>
      </w:r>
      <w:r w:rsidR="00295C36" w:rsidRPr="00F7505F">
        <w:t xml:space="preserve"> </w:t>
      </w:r>
      <w:r w:rsidR="00295C36">
        <w:t>South Western (</w:t>
      </w:r>
      <w:r w:rsidR="00295C36" w:rsidRPr="00F7505F">
        <w:t>SWAS</w:t>
      </w:r>
      <w:r w:rsidR="00295C36">
        <w:t>)</w:t>
      </w:r>
      <w:r w:rsidR="00295C36" w:rsidRPr="00F7505F">
        <w:t>, Yorkshire (YAS)</w:t>
      </w:r>
      <w:r w:rsidR="00295C36">
        <w:t>,</w:t>
      </w:r>
      <w:r w:rsidR="00295C36" w:rsidRPr="00F7505F">
        <w:t xml:space="preserve"> and West Midlands (WMAS) respectively</w:t>
      </w:r>
      <w:r w:rsidR="00295C36">
        <w:t>, th</w:t>
      </w:r>
      <w:r w:rsidR="006722F3" w:rsidRPr="00F7505F">
        <w:t>e existi</w:t>
      </w:r>
      <w:r w:rsidR="003D2F4E" w:rsidRPr="00F7505F">
        <w:t>ng Category A (Red 1 and Red 2) and Category C (</w:t>
      </w:r>
      <w:r w:rsidR="006722F3" w:rsidRPr="00F7505F">
        <w:t xml:space="preserve">Green </w:t>
      </w:r>
      <w:r w:rsidR="003D2F4E" w:rsidRPr="00F7505F">
        <w:t xml:space="preserve">1, Green 2, Green 3, and Green 4) </w:t>
      </w:r>
      <w:r w:rsidR="009214EE" w:rsidRPr="00F7505F">
        <w:t>were</w:t>
      </w:r>
      <w:r w:rsidR="006431BB" w:rsidRPr="00F7505F">
        <w:t xml:space="preserve"> replaced </w:t>
      </w:r>
      <w:r w:rsidR="00CC13D4">
        <w:t>by</w:t>
      </w:r>
      <w:r w:rsidR="006431BB" w:rsidRPr="00F7505F">
        <w:t xml:space="preserve"> new </w:t>
      </w:r>
      <w:r w:rsidR="001248DF">
        <w:t xml:space="preserve">CCR </w:t>
      </w:r>
      <w:r w:rsidR="006431BB" w:rsidRPr="00F7505F">
        <w:t>categories</w:t>
      </w:r>
      <w:r w:rsidR="00CC13D4">
        <w:t>,</w:t>
      </w:r>
      <w:r w:rsidR="00E809A6" w:rsidRPr="00F7505F">
        <w:t xml:space="preserve"> </w:t>
      </w:r>
      <w:r w:rsidR="00CC13D4">
        <w:t xml:space="preserve">C1 to C4, </w:t>
      </w:r>
      <w:r w:rsidR="00E809A6" w:rsidRPr="00F7505F">
        <w:t xml:space="preserve">that </w:t>
      </w:r>
      <w:r w:rsidR="00CC13D4">
        <w:t>a</w:t>
      </w:r>
      <w:r w:rsidR="00E809A6" w:rsidRPr="00F7505F">
        <w:t>re not comparable with those used previously.</w:t>
      </w:r>
    </w:p>
    <w:p w:rsidR="000E6F7C" w:rsidRDefault="000E6F7C" w:rsidP="000E6F7C">
      <w:r w:rsidRPr="00F7505F">
        <w:t>Therefore</w:t>
      </w:r>
      <w:r w:rsidR="00255659" w:rsidRPr="00F7505F">
        <w:t>,</w:t>
      </w:r>
      <w:r w:rsidRPr="00F7505F">
        <w:t xml:space="preserve"> from these dates, </w:t>
      </w:r>
      <w:r w:rsidR="0068308C" w:rsidRPr="00F7505F">
        <w:t>for these Trusts</w:t>
      </w:r>
      <w:r w:rsidR="0068308C">
        <w:t>,</w:t>
      </w:r>
      <w:r w:rsidR="0068308C" w:rsidRPr="00F7505F">
        <w:t xml:space="preserve"> data </w:t>
      </w:r>
      <w:r w:rsidR="0068308C">
        <w:t xml:space="preserve">for </w:t>
      </w:r>
      <w:r w:rsidRPr="00F7505F">
        <w:t>Red 1, Red 2</w:t>
      </w:r>
      <w:r w:rsidR="00DB3900" w:rsidRPr="00F7505F">
        <w:t>,</w:t>
      </w:r>
      <w:r w:rsidRPr="00F7505F">
        <w:t xml:space="preserve"> and Category A are no longer available.</w:t>
      </w:r>
    </w:p>
    <w:p w:rsidR="00295C36" w:rsidRDefault="00F7505F" w:rsidP="00295C36">
      <w:r w:rsidRPr="00F7505F">
        <w:t xml:space="preserve">On 13 July 2017, NHS England </w:t>
      </w:r>
      <w:r w:rsidR="007B6A11">
        <w:t>published the University of Sheffield evaluation report of Phase 1 (</w:t>
      </w:r>
      <w:proofErr w:type="gramStart"/>
      <w:r w:rsidR="007B6A11">
        <w:t>DoD</w:t>
      </w:r>
      <w:proofErr w:type="gramEnd"/>
      <w:r w:rsidR="007B6A11">
        <w:t xml:space="preserve">) and Phase 2 (CCR) of the </w:t>
      </w:r>
      <w:r w:rsidR="0054633F">
        <w:t>Ambulance Response Programme (</w:t>
      </w:r>
      <w:r w:rsidR="007B6A11">
        <w:t>ARP</w:t>
      </w:r>
      <w:r w:rsidR="0054633F">
        <w:t>)</w:t>
      </w:r>
      <w:r w:rsidR="007B6A11">
        <w:t xml:space="preserve">, and </w:t>
      </w:r>
      <w:r w:rsidRPr="00F7505F">
        <w:t xml:space="preserve">announced </w:t>
      </w:r>
      <w:r w:rsidR="00CC13D4" w:rsidRPr="00F7505F">
        <w:t>standards</w:t>
      </w:r>
      <w:r w:rsidR="00CC13D4">
        <w:t xml:space="preserve"> </w:t>
      </w:r>
      <w:r w:rsidR="00CC13D4">
        <w:t xml:space="preserve">for the new </w:t>
      </w:r>
      <w:r w:rsidRPr="00F7505F">
        <w:t xml:space="preserve">ambulance </w:t>
      </w:r>
      <w:r w:rsidR="00CC13D4">
        <w:t xml:space="preserve">categories C1 to C4 </w:t>
      </w:r>
      <w:r w:rsidR="007B6A11">
        <w:t>at</w:t>
      </w:r>
      <w:r w:rsidR="00295C36" w:rsidRPr="00F7505F">
        <w:t xml:space="preserve"> </w:t>
      </w:r>
      <w:hyperlink r:id="rId10" w:history="1">
        <w:r w:rsidR="00295C36" w:rsidRPr="00F7505F">
          <w:rPr>
            <w:rStyle w:val="Hyperlink"/>
          </w:rPr>
          <w:t>www.england.nhs.uk/urgent-emergency-care/arp</w:t>
        </w:r>
      </w:hyperlink>
      <w:r w:rsidR="007B6A11">
        <w:t>.</w:t>
      </w:r>
    </w:p>
    <w:p w:rsidR="00911D61" w:rsidRDefault="0054633F" w:rsidP="00295C36">
      <w:r>
        <w:lastRenderedPageBreak/>
        <w:t>Phase 3 of the ARP</w:t>
      </w:r>
      <w:r w:rsidR="0044613C">
        <w:t xml:space="preserve"> is </w:t>
      </w:r>
      <w:r>
        <w:t>a review of the AQI</w:t>
      </w:r>
      <w:r w:rsidR="0044613C">
        <w:t>.</w:t>
      </w:r>
      <w:r w:rsidR="000617A5">
        <w:t xml:space="preserve"> </w:t>
      </w:r>
      <w:r w:rsidR="007B42ED">
        <w:t xml:space="preserve">We will phase out or redefine </w:t>
      </w:r>
      <w:r w:rsidR="0044613C">
        <w:t xml:space="preserve">Systems Indicators </w:t>
      </w:r>
      <w:r w:rsidR="007B42ED">
        <w:t>(SIs) in section 1.</w:t>
      </w:r>
      <w:r w:rsidR="00911D61">
        <w:t>5</w:t>
      </w:r>
      <w:r w:rsidR="007B42ED">
        <w:t>, and we will collect the new SIs listed in section 1.</w:t>
      </w:r>
      <w:r w:rsidR="00911D61">
        <w:t>6</w:t>
      </w:r>
      <w:r w:rsidR="007B42ED">
        <w:t>.</w:t>
      </w:r>
    </w:p>
    <w:p w:rsidR="0054633F" w:rsidRDefault="00911D61" w:rsidP="00911D61">
      <w:pPr>
        <w:pStyle w:val="Heading3"/>
      </w:pPr>
      <w:r>
        <w:t>Dates of collecting new SIs</w:t>
      </w:r>
      <w:r w:rsidR="007B42ED">
        <w:t xml:space="preserve"> </w:t>
      </w:r>
    </w:p>
    <w:p w:rsidR="000617A5" w:rsidRDefault="007B42ED" w:rsidP="00295C36">
      <w:r>
        <w:t>Starting i</w:t>
      </w:r>
      <w:r w:rsidR="000617A5">
        <w:t xml:space="preserve">n August 2017, </w:t>
      </w:r>
      <w:r w:rsidR="00911D61">
        <w:t xml:space="preserve">for publication on 12 October, </w:t>
      </w:r>
      <w:r>
        <w:t xml:space="preserve">we will collect the </w:t>
      </w:r>
      <w:r w:rsidR="000617A5">
        <w:t xml:space="preserve">new </w:t>
      </w:r>
      <w:r>
        <w:t xml:space="preserve">SIs </w:t>
      </w:r>
      <w:r w:rsidR="000617A5">
        <w:t>from the trusts who implement</w:t>
      </w:r>
      <w:r>
        <w:t>ed</w:t>
      </w:r>
      <w:r w:rsidR="000617A5">
        <w:t xml:space="preserve"> the CCR in summer 2017: NWAS and EMAS.</w:t>
      </w:r>
    </w:p>
    <w:p w:rsidR="000617A5" w:rsidRDefault="007B42ED" w:rsidP="00295C36">
      <w:r>
        <w:t>Starting i</w:t>
      </w:r>
      <w:r w:rsidR="000617A5">
        <w:t xml:space="preserve">n September 2017, </w:t>
      </w:r>
      <w:r w:rsidR="00911D61">
        <w:t xml:space="preserve">for publication on 9 November, </w:t>
      </w:r>
      <w:r>
        <w:t xml:space="preserve">we will collect the new SIs from </w:t>
      </w:r>
      <w:r w:rsidR="000617A5">
        <w:t>the trusts that implemented the CCR in 2016: YAS, WMAS and SWAS.</w:t>
      </w:r>
    </w:p>
    <w:p w:rsidR="000617A5" w:rsidRDefault="007B42ED" w:rsidP="00295C36">
      <w:r>
        <w:t xml:space="preserve">We will collect the new SIs from the other six trusts in the month that they implement the CCR. This will be </w:t>
      </w:r>
      <w:r w:rsidR="00CC13D4">
        <w:t>during</w:t>
      </w:r>
      <w:r>
        <w:t xml:space="preserve"> 2017 for </w:t>
      </w:r>
      <w:r w:rsidR="00CC13D4">
        <w:t xml:space="preserve">most of these, but not for </w:t>
      </w:r>
      <w:r>
        <w:t>IOW.</w:t>
      </w:r>
    </w:p>
    <w:p w:rsidR="007B42ED" w:rsidRDefault="007B42ED" w:rsidP="00295C36">
      <w:r>
        <w:t xml:space="preserve">From the month when new SIs are collected, </w:t>
      </w:r>
      <w:r w:rsidR="00CC13D4">
        <w:t xml:space="preserve">we will stop collecting </w:t>
      </w:r>
      <w:r>
        <w:t xml:space="preserve">existing SIs, except </w:t>
      </w:r>
      <w:r w:rsidR="00911D61">
        <w:t xml:space="preserve">for </w:t>
      </w:r>
      <w:r w:rsidRPr="00F719EE">
        <w:t>SQU03_1_1_2</w:t>
      </w:r>
      <w:proofErr w:type="gramStart"/>
      <w:r>
        <w:t xml:space="preserve">,  </w:t>
      </w:r>
      <w:r w:rsidRPr="00F719EE">
        <w:t>SQU03</w:t>
      </w:r>
      <w:proofErr w:type="gramEnd"/>
      <w:r w:rsidRPr="00F719EE">
        <w:t>_10_2_1</w:t>
      </w:r>
      <w:r>
        <w:t>, and SQU03_10_2_2</w:t>
      </w:r>
      <w:r w:rsidR="00CC13D4">
        <w:t xml:space="preserve">. We will collect these for three months </w:t>
      </w:r>
      <w:r>
        <w:t>t</w:t>
      </w:r>
      <w:r w:rsidR="00CC13D4">
        <w:t>o help measure the discontinuities</w:t>
      </w:r>
      <w:r>
        <w:t xml:space="preserve"> </w:t>
      </w:r>
      <w:r w:rsidR="00CC13D4">
        <w:t xml:space="preserve">due to the </w:t>
      </w:r>
      <w:r>
        <w:t>new definitions.</w:t>
      </w:r>
    </w:p>
    <w:p w:rsidR="00911D61" w:rsidRDefault="00911D61" w:rsidP="00911D61">
      <w:r>
        <w:t xml:space="preserve">On 12 October, we will publish a separate spreadsheet with C1-C4 response time centiles for YAS, WMAS and SWAS, </w:t>
      </w:r>
      <w:r w:rsidR="00FE4D88">
        <w:t>with data</w:t>
      </w:r>
      <w:r>
        <w:t xml:space="preserve"> from </w:t>
      </w:r>
      <w:r w:rsidR="00CC13D4">
        <w:t>October 2016</w:t>
      </w:r>
      <w:r w:rsidR="00CC13D4">
        <w:t xml:space="preserve">, </w:t>
      </w:r>
      <w:r>
        <w:t xml:space="preserve">when they implemented CCR. We will annotate this file to describe </w:t>
      </w:r>
      <w:r w:rsidRPr="004123F7">
        <w:t xml:space="preserve">differences in the way this monitoring data was collected to the </w:t>
      </w:r>
      <w:r>
        <w:t>new SIs.</w:t>
      </w:r>
    </w:p>
    <w:p w:rsidR="00911D61" w:rsidRDefault="00911D61" w:rsidP="00911D61">
      <w:r>
        <w:t xml:space="preserve">We usually publish revisions to SIs in November, but we will delay collection of revisions for a few months, so </w:t>
      </w:r>
      <w:r w:rsidR="007B3D34">
        <w:t xml:space="preserve">that </w:t>
      </w:r>
      <w:r>
        <w:t>the last revisions to the existing SIs</w:t>
      </w:r>
      <w:r w:rsidRPr="001F1D24">
        <w:t xml:space="preserve"> </w:t>
      </w:r>
      <w:r>
        <w:t>of 2017-18</w:t>
      </w:r>
      <w:r w:rsidR="007B3D34">
        <w:t xml:space="preserve"> will all be in the same publication</w:t>
      </w:r>
      <w:r w:rsidR="00FE4D88">
        <w:t>.</w:t>
      </w:r>
    </w:p>
    <w:p w:rsidR="00911D61" w:rsidRDefault="00911D61" w:rsidP="00911D61">
      <w:r w:rsidRPr="004123F7">
        <w:t>Clinical Outcome</w:t>
      </w:r>
      <w:r w:rsidR="00FE4D88">
        <w:t>s will also be reviewed in 2017</w:t>
      </w:r>
      <w:r w:rsidR="007B3D34">
        <w:t>,</w:t>
      </w:r>
      <w:r w:rsidR="00FE4D88">
        <w:t xml:space="preserve"> for collection </w:t>
      </w:r>
      <w:r w:rsidRPr="004123F7">
        <w:t>from April 2018</w:t>
      </w:r>
      <w:r>
        <w:t>.</w:t>
      </w:r>
    </w:p>
    <w:p w:rsidR="0044613C" w:rsidRDefault="001248DF" w:rsidP="0044613C">
      <w:pPr>
        <w:pStyle w:val="Heading3"/>
      </w:pPr>
      <w:r>
        <w:t>Systems Indicators</w:t>
      </w:r>
      <w:r w:rsidR="000617A5">
        <w:t xml:space="preserve"> to be phased out</w:t>
      </w:r>
    </w:p>
    <w:tbl>
      <w:tblPr>
        <w:tblW w:w="9298" w:type="dxa"/>
        <w:tblLayout w:type="fixed"/>
        <w:tblCellMar>
          <w:left w:w="85" w:type="dxa"/>
          <w:right w:w="85" w:type="dxa"/>
        </w:tblCellMar>
        <w:tblLook w:val="01E0" w:firstRow="1" w:lastRow="1" w:firstColumn="1" w:lastColumn="1" w:noHBand="0" w:noVBand="0"/>
      </w:tblPr>
      <w:tblGrid>
        <w:gridCol w:w="1644"/>
        <w:gridCol w:w="7654"/>
      </w:tblGrid>
      <w:tr w:rsidR="00460BAA" w:rsidRPr="00DD7098" w:rsidTr="00F719EE">
        <w:trPr>
          <w:cantSplit/>
          <w:trHeight w:val="227"/>
        </w:trPr>
        <w:tc>
          <w:tcPr>
            <w:tcW w:w="1644" w:type="dxa"/>
            <w:vAlign w:val="bottom"/>
          </w:tcPr>
          <w:p w:rsidR="00460BAA" w:rsidRPr="00FD174B" w:rsidRDefault="00460BAA" w:rsidP="00553616">
            <w:pPr>
              <w:pStyle w:val="Footer"/>
            </w:pPr>
            <w:r w:rsidRPr="00FD174B">
              <w:t>HQU03_1_1_3</w:t>
            </w:r>
          </w:p>
        </w:tc>
        <w:tc>
          <w:tcPr>
            <w:tcW w:w="7654" w:type="dxa"/>
            <w:shd w:val="clear" w:color="auto" w:fill="auto"/>
            <w:vAlign w:val="bottom"/>
          </w:tcPr>
          <w:p w:rsidR="00460BAA" w:rsidRPr="0023451E" w:rsidRDefault="00460BAA" w:rsidP="00553616">
            <w:pPr>
              <w:pStyle w:val="Footer"/>
            </w:pPr>
            <w:r w:rsidRPr="0023451E">
              <w:t xml:space="preserve">Red 1 calls </w:t>
            </w:r>
            <w:r>
              <w:t>with emergency response on</w:t>
            </w:r>
            <w:r w:rsidRPr="0023451E">
              <w:t xml:space="preserve"> scene within 8 minutes</w:t>
            </w:r>
          </w:p>
        </w:tc>
      </w:tr>
      <w:tr w:rsidR="00460BAA" w:rsidRPr="00DD7098" w:rsidTr="00F719EE">
        <w:trPr>
          <w:cantSplit/>
          <w:trHeight w:val="227"/>
        </w:trPr>
        <w:tc>
          <w:tcPr>
            <w:tcW w:w="1644" w:type="dxa"/>
            <w:vAlign w:val="bottom"/>
          </w:tcPr>
          <w:p w:rsidR="00460BAA" w:rsidRPr="00FD174B" w:rsidRDefault="00460BAA" w:rsidP="00553616">
            <w:pPr>
              <w:pStyle w:val="Footer"/>
            </w:pPr>
            <w:r w:rsidRPr="00FD174B">
              <w:t>HQU03_1_1_4</w:t>
            </w:r>
          </w:p>
        </w:tc>
        <w:tc>
          <w:tcPr>
            <w:tcW w:w="7654" w:type="dxa"/>
            <w:shd w:val="clear" w:color="auto" w:fill="auto"/>
            <w:vAlign w:val="bottom"/>
          </w:tcPr>
          <w:p w:rsidR="00460BAA" w:rsidRPr="0023451E" w:rsidRDefault="00460BAA" w:rsidP="00553616">
            <w:pPr>
              <w:pStyle w:val="Footer"/>
            </w:pPr>
            <w:r w:rsidRPr="0023451E">
              <w:t xml:space="preserve">Red 1 calls </w:t>
            </w:r>
            <w:r>
              <w:t>with emergency response</w:t>
            </w:r>
            <w:r w:rsidRPr="0023451E">
              <w:t xml:space="preserve"> </w:t>
            </w:r>
            <w:r>
              <w:t xml:space="preserve">on </w:t>
            </w:r>
            <w:r w:rsidRPr="0023451E">
              <w:t>scene</w:t>
            </w:r>
          </w:p>
        </w:tc>
      </w:tr>
      <w:tr w:rsidR="00460BAA" w:rsidRPr="00DD7098" w:rsidTr="00F719EE">
        <w:trPr>
          <w:cantSplit/>
          <w:trHeight w:val="340"/>
        </w:trPr>
        <w:tc>
          <w:tcPr>
            <w:tcW w:w="1644" w:type="dxa"/>
            <w:vAlign w:val="bottom"/>
          </w:tcPr>
          <w:p w:rsidR="00460BAA" w:rsidRPr="00FD174B" w:rsidRDefault="00460BAA" w:rsidP="00553616">
            <w:pPr>
              <w:pStyle w:val="Footer"/>
            </w:pPr>
            <w:r w:rsidRPr="00FD174B">
              <w:t>HQU03_1_1_5</w:t>
            </w:r>
          </w:p>
        </w:tc>
        <w:tc>
          <w:tcPr>
            <w:tcW w:w="7654" w:type="dxa"/>
            <w:shd w:val="clear" w:color="auto" w:fill="auto"/>
            <w:vAlign w:val="bottom"/>
          </w:tcPr>
          <w:p w:rsidR="00460BAA" w:rsidRPr="0023451E" w:rsidDel="00E85F31" w:rsidRDefault="00460BAA" w:rsidP="00553616">
            <w:pPr>
              <w:pStyle w:val="Footer"/>
            </w:pPr>
            <w:r>
              <w:t>Red 1 t</w:t>
            </w:r>
            <w:r w:rsidRPr="0023451E">
              <w:t xml:space="preserve">ime from Call Connect </w:t>
            </w:r>
            <w:r>
              <w:t>to emergency response on scene: 95th centile</w:t>
            </w:r>
          </w:p>
        </w:tc>
      </w:tr>
      <w:tr w:rsidR="00460BAA" w:rsidRPr="00DD7098" w:rsidTr="00F719EE">
        <w:trPr>
          <w:cantSplit/>
          <w:trHeight w:val="340"/>
        </w:trPr>
        <w:tc>
          <w:tcPr>
            <w:tcW w:w="1644" w:type="dxa"/>
            <w:vAlign w:val="bottom"/>
          </w:tcPr>
          <w:p w:rsidR="00460BAA" w:rsidRPr="00FD174B" w:rsidRDefault="00460BAA" w:rsidP="00553616">
            <w:pPr>
              <w:pStyle w:val="Footer"/>
            </w:pPr>
            <w:r w:rsidRPr="00FD174B">
              <w:t>HQU03_1_1_6</w:t>
            </w:r>
          </w:p>
        </w:tc>
        <w:tc>
          <w:tcPr>
            <w:tcW w:w="7654" w:type="dxa"/>
            <w:shd w:val="clear" w:color="auto" w:fill="auto"/>
            <w:vAlign w:val="bottom"/>
          </w:tcPr>
          <w:p w:rsidR="00460BAA" w:rsidRPr="0023451E" w:rsidDel="00E85F31" w:rsidRDefault="00460BAA" w:rsidP="00553616">
            <w:pPr>
              <w:pStyle w:val="Footer"/>
            </w:pPr>
            <w:r w:rsidRPr="0023451E">
              <w:t xml:space="preserve">Red </w:t>
            </w:r>
            <w:r>
              <w:t xml:space="preserve">2 </w:t>
            </w:r>
            <w:r w:rsidRPr="0023451E">
              <w:t xml:space="preserve">calls </w:t>
            </w:r>
            <w:r>
              <w:t>with emergency response</w:t>
            </w:r>
            <w:r w:rsidRPr="0023451E">
              <w:t xml:space="preserve"> </w:t>
            </w:r>
            <w:r>
              <w:t xml:space="preserve">on </w:t>
            </w:r>
            <w:r w:rsidRPr="0023451E">
              <w:t>scene within 8 minutes</w:t>
            </w:r>
          </w:p>
        </w:tc>
      </w:tr>
      <w:tr w:rsidR="00460BAA" w:rsidRPr="00DD7098" w:rsidTr="00F719EE">
        <w:trPr>
          <w:cantSplit/>
          <w:trHeight w:val="227"/>
        </w:trPr>
        <w:tc>
          <w:tcPr>
            <w:tcW w:w="1644" w:type="dxa"/>
            <w:vAlign w:val="bottom"/>
          </w:tcPr>
          <w:p w:rsidR="00460BAA" w:rsidRPr="00FD174B" w:rsidRDefault="00460BAA" w:rsidP="00553616">
            <w:pPr>
              <w:pStyle w:val="Footer"/>
            </w:pPr>
            <w:r w:rsidRPr="00FD174B">
              <w:t>HQU03_1_1_7</w:t>
            </w:r>
          </w:p>
        </w:tc>
        <w:tc>
          <w:tcPr>
            <w:tcW w:w="7654" w:type="dxa"/>
            <w:shd w:val="clear" w:color="auto" w:fill="auto"/>
            <w:vAlign w:val="bottom"/>
          </w:tcPr>
          <w:p w:rsidR="00460BAA" w:rsidRPr="0023451E" w:rsidDel="00E85F31" w:rsidRDefault="00460BAA" w:rsidP="00553616">
            <w:pPr>
              <w:pStyle w:val="Footer"/>
            </w:pPr>
            <w:r w:rsidRPr="0023451E">
              <w:t xml:space="preserve">Red </w:t>
            </w:r>
            <w:r>
              <w:t>2</w:t>
            </w:r>
            <w:r w:rsidRPr="0023451E">
              <w:t xml:space="preserve"> calls </w:t>
            </w:r>
            <w:r>
              <w:t>with emergency response</w:t>
            </w:r>
            <w:r w:rsidRPr="0023451E">
              <w:t xml:space="preserve"> </w:t>
            </w:r>
            <w:r>
              <w:t xml:space="preserve">on </w:t>
            </w:r>
            <w:r w:rsidRPr="0023451E">
              <w:t>scene</w:t>
            </w:r>
          </w:p>
        </w:tc>
      </w:tr>
      <w:tr w:rsidR="00460BAA" w:rsidRPr="00DD7098" w:rsidTr="00F719EE">
        <w:trPr>
          <w:cantSplit/>
          <w:trHeight w:val="340"/>
        </w:trPr>
        <w:tc>
          <w:tcPr>
            <w:tcW w:w="1644" w:type="dxa"/>
            <w:vAlign w:val="bottom"/>
          </w:tcPr>
          <w:p w:rsidR="00460BAA" w:rsidRPr="00FD174B" w:rsidRDefault="00460BAA" w:rsidP="00553616">
            <w:pPr>
              <w:pStyle w:val="Footer"/>
            </w:pPr>
            <w:r w:rsidRPr="00FD174B">
              <w:t>HQU03_1_2_1</w:t>
            </w:r>
          </w:p>
        </w:tc>
        <w:tc>
          <w:tcPr>
            <w:tcW w:w="7654" w:type="dxa"/>
            <w:shd w:val="clear" w:color="auto" w:fill="auto"/>
            <w:vAlign w:val="bottom"/>
          </w:tcPr>
          <w:p w:rsidR="00460BAA" w:rsidRPr="0023451E" w:rsidRDefault="00460BAA" w:rsidP="00553616">
            <w:pPr>
              <w:pStyle w:val="Footer"/>
            </w:pPr>
            <w:r>
              <w:t xml:space="preserve">Category A calls with ambulance response on </w:t>
            </w:r>
            <w:r w:rsidRPr="0023451E">
              <w:t>scene within 19 minutes</w:t>
            </w:r>
          </w:p>
        </w:tc>
      </w:tr>
      <w:tr w:rsidR="00460BAA" w:rsidRPr="00DD7098" w:rsidTr="00F719EE">
        <w:trPr>
          <w:cantSplit/>
          <w:trHeight w:val="227"/>
        </w:trPr>
        <w:tc>
          <w:tcPr>
            <w:tcW w:w="1644" w:type="dxa"/>
            <w:vAlign w:val="bottom"/>
          </w:tcPr>
          <w:p w:rsidR="00460BAA" w:rsidRPr="00FD174B" w:rsidRDefault="00460BAA" w:rsidP="00553616">
            <w:pPr>
              <w:pStyle w:val="Footer"/>
            </w:pPr>
            <w:r w:rsidRPr="00FD174B">
              <w:t>HQU03_1_2_2</w:t>
            </w:r>
          </w:p>
        </w:tc>
        <w:tc>
          <w:tcPr>
            <w:tcW w:w="7654" w:type="dxa"/>
            <w:shd w:val="clear" w:color="auto" w:fill="auto"/>
            <w:vAlign w:val="bottom"/>
          </w:tcPr>
          <w:p w:rsidR="00460BAA" w:rsidRPr="0023451E" w:rsidRDefault="00460BAA" w:rsidP="00553616">
            <w:pPr>
              <w:pStyle w:val="Footer"/>
            </w:pPr>
            <w:r>
              <w:t xml:space="preserve">Category A calls with ambulance response on </w:t>
            </w:r>
            <w:r w:rsidRPr="0023451E">
              <w:t>scene</w:t>
            </w:r>
          </w:p>
        </w:tc>
      </w:tr>
      <w:tr w:rsidR="00460BAA" w:rsidRPr="00DD7098" w:rsidTr="00F719EE">
        <w:trPr>
          <w:cantSplit/>
          <w:trHeight w:val="340"/>
        </w:trPr>
        <w:tc>
          <w:tcPr>
            <w:tcW w:w="1644" w:type="dxa"/>
            <w:vAlign w:val="bottom"/>
          </w:tcPr>
          <w:p w:rsidR="00460BAA" w:rsidRPr="00FD174B" w:rsidRDefault="00460BAA" w:rsidP="00553616">
            <w:pPr>
              <w:pStyle w:val="Footer"/>
            </w:pPr>
            <w:r w:rsidRPr="00FD174B">
              <w:t>SQU03_1_1_1</w:t>
            </w:r>
          </w:p>
        </w:tc>
        <w:tc>
          <w:tcPr>
            <w:tcW w:w="7654" w:type="dxa"/>
            <w:shd w:val="clear" w:color="auto" w:fill="auto"/>
            <w:vAlign w:val="bottom"/>
          </w:tcPr>
          <w:p w:rsidR="00460BAA" w:rsidRPr="0023451E" w:rsidRDefault="00460BAA" w:rsidP="00553616">
            <w:pPr>
              <w:pStyle w:val="Footer"/>
            </w:pPr>
            <w:r w:rsidRPr="0023451E">
              <w:t>Number of emergency and urgent calls abandoned before being answered</w:t>
            </w:r>
          </w:p>
        </w:tc>
      </w:tr>
      <w:tr w:rsidR="00460BAA" w:rsidRPr="00DD7098" w:rsidTr="00F719EE">
        <w:trPr>
          <w:cantSplit/>
          <w:trHeight w:val="227"/>
        </w:trPr>
        <w:tc>
          <w:tcPr>
            <w:tcW w:w="1644" w:type="dxa"/>
            <w:vAlign w:val="bottom"/>
          </w:tcPr>
          <w:p w:rsidR="00460BAA" w:rsidRPr="00FD174B" w:rsidRDefault="00460BAA" w:rsidP="00553616">
            <w:pPr>
              <w:pStyle w:val="Footer"/>
            </w:pPr>
            <w:r w:rsidRPr="00FD174B">
              <w:t>SQU03_1_1_2</w:t>
            </w:r>
          </w:p>
        </w:tc>
        <w:tc>
          <w:tcPr>
            <w:tcW w:w="7654" w:type="dxa"/>
            <w:shd w:val="clear" w:color="auto" w:fill="auto"/>
            <w:vAlign w:val="bottom"/>
          </w:tcPr>
          <w:p w:rsidR="00460BAA" w:rsidRPr="0023451E" w:rsidRDefault="00460BAA" w:rsidP="00553616">
            <w:pPr>
              <w:pStyle w:val="Footer"/>
            </w:pPr>
            <w:r w:rsidRPr="0023451E">
              <w:t>Total number of emergency and urgent calls presented to switchboard</w:t>
            </w:r>
          </w:p>
        </w:tc>
      </w:tr>
      <w:tr w:rsidR="00460BAA" w:rsidRPr="00DD7098" w:rsidTr="00F719EE">
        <w:trPr>
          <w:cantSplit/>
          <w:trHeight w:val="340"/>
        </w:trPr>
        <w:tc>
          <w:tcPr>
            <w:tcW w:w="1644" w:type="dxa"/>
            <w:vAlign w:val="bottom"/>
          </w:tcPr>
          <w:p w:rsidR="00460BAA" w:rsidRPr="00FD174B" w:rsidRDefault="00460BAA" w:rsidP="00553616">
            <w:pPr>
              <w:pStyle w:val="Footer"/>
            </w:pPr>
            <w:r w:rsidRPr="00FD174B">
              <w:t>SQU03_2_1_1</w:t>
            </w:r>
          </w:p>
        </w:tc>
        <w:tc>
          <w:tcPr>
            <w:tcW w:w="7654" w:type="dxa"/>
            <w:shd w:val="clear" w:color="auto" w:fill="auto"/>
            <w:vAlign w:val="bottom"/>
          </w:tcPr>
          <w:p w:rsidR="00460BAA" w:rsidRPr="0023451E" w:rsidRDefault="00460BAA" w:rsidP="00553616">
            <w:pPr>
              <w:pStyle w:val="Footer"/>
            </w:pPr>
            <w:r w:rsidRPr="0023451E">
              <w:t>Emergency cal</w:t>
            </w:r>
            <w:r>
              <w:t xml:space="preserve">ls closed with telephone advice with </w:t>
            </w:r>
            <w:r w:rsidRPr="0023451E">
              <w:t>re-contact within 24 hours</w:t>
            </w:r>
          </w:p>
        </w:tc>
      </w:tr>
      <w:tr w:rsidR="00460BAA" w:rsidRPr="00DD7098" w:rsidTr="00F719EE">
        <w:trPr>
          <w:cantSplit/>
          <w:trHeight w:val="227"/>
        </w:trPr>
        <w:tc>
          <w:tcPr>
            <w:tcW w:w="1644" w:type="dxa"/>
            <w:vAlign w:val="bottom"/>
          </w:tcPr>
          <w:p w:rsidR="00460BAA" w:rsidRPr="00FD174B" w:rsidRDefault="00460BAA" w:rsidP="00553616">
            <w:pPr>
              <w:pStyle w:val="Footer"/>
            </w:pPr>
            <w:r w:rsidRPr="00FD174B">
              <w:t>SQU03_2_1_2</w:t>
            </w:r>
          </w:p>
        </w:tc>
        <w:tc>
          <w:tcPr>
            <w:tcW w:w="7654" w:type="dxa"/>
            <w:shd w:val="clear" w:color="auto" w:fill="auto"/>
            <w:vAlign w:val="bottom"/>
          </w:tcPr>
          <w:p w:rsidR="00460BAA" w:rsidRPr="0023451E" w:rsidRDefault="00460BAA" w:rsidP="00553616">
            <w:pPr>
              <w:pStyle w:val="Footer"/>
            </w:pPr>
            <w:r w:rsidRPr="0023451E">
              <w:t>Emergency cal</w:t>
            </w:r>
            <w:r>
              <w:t>ls closed with telephone advice</w:t>
            </w:r>
          </w:p>
        </w:tc>
      </w:tr>
      <w:tr w:rsidR="00460BAA" w:rsidRPr="00DD7098" w:rsidTr="00F719EE">
        <w:trPr>
          <w:cantSplit/>
          <w:trHeight w:val="340"/>
        </w:trPr>
        <w:tc>
          <w:tcPr>
            <w:tcW w:w="1644" w:type="dxa"/>
            <w:vAlign w:val="bottom"/>
          </w:tcPr>
          <w:p w:rsidR="00460BAA" w:rsidRPr="00FD174B" w:rsidRDefault="00460BAA" w:rsidP="00553616">
            <w:pPr>
              <w:pStyle w:val="Footer"/>
            </w:pPr>
            <w:r w:rsidRPr="00FD174B">
              <w:t>SQU03_2_2_1</w:t>
            </w:r>
          </w:p>
        </w:tc>
        <w:tc>
          <w:tcPr>
            <w:tcW w:w="7654" w:type="dxa"/>
            <w:shd w:val="clear" w:color="auto" w:fill="auto"/>
            <w:vAlign w:val="bottom"/>
          </w:tcPr>
          <w:p w:rsidR="00460BAA" w:rsidRPr="0023451E" w:rsidRDefault="00460BAA" w:rsidP="00553616">
            <w:pPr>
              <w:pStyle w:val="Footer"/>
            </w:pPr>
            <w:r w:rsidRPr="0023451E">
              <w:t xml:space="preserve">Patients </w:t>
            </w:r>
            <w:r>
              <w:t xml:space="preserve">treated and discharged on scene with </w:t>
            </w:r>
            <w:r w:rsidRPr="0023451E">
              <w:t>re-contact within 24 hours</w:t>
            </w:r>
          </w:p>
        </w:tc>
      </w:tr>
      <w:tr w:rsidR="00460BAA" w:rsidRPr="00DD7098" w:rsidTr="00F719EE">
        <w:trPr>
          <w:cantSplit/>
          <w:trHeight w:val="227"/>
        </w:trPr>
        <w:tc>
          <w:tcPr>
            <w:tcW w:w="1644" w:type="dxa"/>
            <w:vAlign w:val="bottom"/>
          </w:tcPr>
          <w:p w:rsidR="00460BAA" w:rsidRPr="00FD174B" w:rsidRDefault="00460BAA" w:rsidP="00553616">
            <w:pPr>
              <w:pStyle w:val="Footer"/>
            </w:pPr>
            <w:r w:rsidRPr="00FD174B">
              <w:t>SQU03_2_2_2</w:t>
            </w:r>
          </w:p>
        </w:tc>
        <w:tc>
          <w:tcPr>
            <w:tcW w:w="7654" w:type="dxa"/>
            <w:shd w:val="clear" w:color="auto" w:fill="auto"/>
            <w:vAlign w:val="bottom"/>
          </w:tcPr>
          <w:p w:rsidR="00460BAA" w:rsidRPr="00DD7098" w:rsidRDefault="00460BAA" w:rsidP="00553616">
            <w:pPr>
              <w:pStyle w:val="Footer"/>
            </w:pPr>
            <w:r w:rsidRPr="00DD7098">
              <w:t>Patients treated and discharged on scene</w:t>
            </w:r>
          </w:p>
        </w:tc>
      </w:tr>
      <w:tr w:rsidR="00460BAA" w:rsidRPr="00DD7098" w:rsidTr="00F719EE">
        <w:trPr>
          <w:cantSplit/>
          <w:trHeight w:val="340"/>
        </w:trPr>
        <w:tc>
          <w:tcPr>
            <w:tcW w:w="1644" w:type="dxa"/>
            <w:vAlign w:val="bottom"/>
          </w:tcPr>
          <w:p w:rsidR="00460BAA" w:rsidRPr="00FD174B" w:rsidRDefault="00460BAA" w:rsidP="00553616">
            <w:pPr>
              <w:pStyle w:val="Footer"/>
            </w:pPr>
            <w:r w:rsidRPr="00FD174B">
              <w:t>SQU03_2_3_1</w:t>
            </w:r>
          </w:p>
        </w:tc>
        <w:tc>
          <w:tcPr>
            <w:tcW w:w="7654" w:type="dxa"/>
            <w:shd w:val="clear" w:color="auto" w:fill="auto"/>
            <w:vAlign w:val="bottom"/>
          </w:tcPr>
          <w:p w:rsidR="00460BAA" w:rsidRPr="00DD7098" w:rsidRDefault="00460BAA" w:rsidP="00553616">
            <w:pPr>
              <w:pStyle w:val="Footer"/>
            </w:pPr>
            <w:r>
              <w:t xml:space="preserve">Calls from patients </w:t>
            </w:r>
            <w:r w:rsidRPr="00DD7098">
              <w:t>for whom a locally agreed frequent caller procedure is in place</w:t>
            </w:r>
          </w:p>
        </w:tc>
      </w:tr>
      <w:tr w:rsidR="00460BAA" w:rsidRPr="00DD7098" w:rsidTr="00F719EE">
        <w:trPr>
          <w:cantSplit/>
          <w:trHeight w:val="227"/>
        </w:trPr>
        <w:tc>
          <w:tcPr>
            <w:tcW w:w="1644" w:type="dxa"/>
            <w:vAlign w:val="bottom"/>
          </w:tcPr>
          <w:p w:rsidR="00460BAA" w:rsidRPr="00FD174B" w:rsidRDefault="00460BAA" w:rsidP="00553616">
            <w:pPr>
              <w:pStyle w:val="Footer"/>
            </w:pPr>
            <w:r w:rsidRPr="00FD174B">
              <w:t>SQU03_2_3_2</w:t>
            </w:r>
          </w:p>
        </w:tc>
        <w:tc>
          <w:tcPr>
            <w:tcW w:w="7654" w:type="dxa"/>
            <w:shd w:val="clear" w:color="auto" w:fill="auto"/>
            <w:vAlign w:val="bottom"/>
          </w:tcPr>
          <w:p w:rsidR="00460BAA" w:rsidRPr="00DD7098" w:rsidRDefault="00460BAA" w:rsidP="00553616">
            <w:pPr>
              <w:pStyle w:val="Footer"/>
            </w:pPr>
            <w:r w:rsidRPr="00DD7098">
              <w:t xml:space="preserve">Total number of emergency </w:t>
            </w:r>
            <w:r>
              <w:t xml:space="preserve">and urgent </w:t>
            </w:r>
            <w:r w:rsidRPr="00DD7098">
              <w:t>calls presented to switchboard</w:t>
            </w:r>
          </w:p>
        </w:tc>
      </w:tr>
      <w:tr w:rsidR="00460BAA" w:rsidRPr="00DD7098" w:rsidTr="00F719EE">
        <w:trPr>
          <w:cantSplit/>
          <w:trHeight w:val="340"/>
        </w:trPr>
        <w:tc>
          <w:tcPr>
            <w:tcW w:w="1644" w:type="dxa"/>
            <w:vAlign w:val="bottom"/>
          </w:tcPr>
          <w:p w:rsidR="00460BAA" w:rsidRPr="00FD174B" w:rsidRDefault="00460BAA" w:rsidP="00553616">
            <w:pPr>
              <w:pStyle w:val="Footer"/>
            </w:pPr>
            <w:r w:rsidRPr="00FD174B">
              <w:t>SQU03_8_1_1</w:t>
            </w:r>
          </w:p>
        </w:tc>
        <w:tc>
          <w:tcPr>
            <w:tcW w:w="7654" w:type="dxa"/>
            <w:shd w:val="clear" w:color="auto" w:fill="auto"/>
            <w:vAlign w:val="bottom"/>
          </w:tcPr>
          <w:p w:rsidR="00460BAA" w:rsidRPr="00DD7098" w:rsidRDefault="00460BAA" w:rsidP="00553616">
            <w:pPr>
              <w:pStyle w:val="Footer"/>
            </w:pPr>
            <w:r w:rsidRPr="00DD7098">
              <w:t>Time to answe</w:t>
            </w:r>
            <w:r>
              <w:t xml:space="preserve">r calls (emergency and urgent): </w:t>
            </w:r>
            <w:r w:rsidRPr="00DD7098">
              <w:t xml:space="preserve">median, 95th </w:t>
            </w:r>
            <w:r>
              <w:t>centi</w:t>
            </w:r>
            <w:r w:rsidRPr="00DD7098">
              <w:t xml:space="preserve">le and 99th </w:t>
            </w:r>
            <w:r>
              <w:t>centi</w:t>
            </w:r>
            <w:r w:rsidRPr="00DD7098">
              <w:t>le</w:t>
            </w:r>
          </w:p>
        </w:tc>
      </w:tr>
      <w:tr w:rsidR="00460BAA" w:rsidRPr="00DD7098" w:rsidTr="00F719EE">
        <w:trPr>
          <w:cantSplit/>
          <w:trHeight w:val="227"/>
        </w:trPr>
        <w:tc>
          <w:tcPr>
            <w:tcW w:w="1644" w:type="dxa"/>
            <w:vAlign w:val="bottom"/>
          </w:tcPr>
          <w:p w:rsidR="00460BAA" w:rsidRPr="00FD174B" w:rsidRDefault="00460BAA" w:rsidP="00553616">
            <w:pPr>
              <w:pStyle w:val="Footer"/>
            </w:pPr>
            <w:r w:rsidRPr="00FD174B">
              <w:t>SQU03_9_1_1</w:t>
            </w:r>
          </w:p>
        </w:tc>
        <w:tc>
          <w:tcPr>
            <w:tcW w:w="7654" w:type="dxa"/>
            <w:shd w:val="clear" w:color="auto" w:fill="auto"/>
            <w:vAlign w:val="bottom"/>
          </w:tcPr>
          <w:p w:rsidR="00460BAA" w:rsidRPr="00DD7098" w:rsidRDefault="00460BAA" w:rsidP="00553616">
            <w:pPr>
              <w:pStyle w:val="Footer"/>
            </w:pPr>
            <w:r w:rsidRPr="00DD7098">
              <w:t xml:space="preserve">Time to arrival </w:t>
            </w:r>
            <w:r>
              <w:t>on scene for Category A:</w:t>
            </w:r>
            <w:r w:rsidRPr="00DD7098">
              <w:t xml:space="preserve"> median, 95th </w:t>
            </w:r>
            <w:r>
              <w:t>centi</w:t>
            </w:r>
            <w:r w:rsidRPr="00DD7098">
              <w:t xml:space="preserve">le and 99th </w:t>
            </w:r>
            <w:r>
              <w:t>centi</w:t>
            </w:r>
            <w:r w:rsidRPr="00DD7098">
              <w:t>le</w:t>
            </w:r>
          </w:p>
        </w:tc>
      </w:tr>
      <w:tr w:rsidR="00F719EE" w:rsidRPr="00DD7098" w:rsidTr="00F719EE">
        <w:trPr>
          <w:cantSplit/>
          <w:trHeight w:val="340"/>
        </w:trPr>
        <w:tc>
          <w:tcPr>
            <w:tcW w:w="1644" w:type="dxa"/>
            <w:vAlign w:val="bottom"/>
          </w:tcPr>
          <w:p w:rsidR="00F719EE" w:rsidRPr="00FD174B" w:rsidRDefault="00F719EE" w:rsidP="00A5491C">
            <w:pPr>
              <w:pStyle w:val="Footer"/>
            </w:pPr>
            <w:r w:rsidRPr="00FD174B">
              <w:t>SQU03_10_1_1</w:t>
            </w:r>
          </w:p>
        </w:tc>
        <w:tc>
          <w:tcPr>
            <w:tcW w:w="7654" w:type="dxa"/>
            <w:shd w:val="clear" w:color="auto" w:fill="auto"/>
            <w:vAlign w:val="bottom"/>
          </w:tcPr>
          <w:p w:rsidR="00F719EE" w:rsidRPr="00DD7098" w:rsidRDefault="00F719EE" w:rsidP="00A5491C">
            <w:pPr>
              <w:pStyle w:val="Footer"/>
            </w:pPr>
            <w:r>
              <w:t>C</w:t>
            </w:r>
            <w:r w:rsidRPr="00DD7098">
              <w:t>alls</w:t>
            </w:r>
            <w:r>
              <w:t xml:space="preserve"> </w:t>
            </w:r>
            <w:r w:rsidRPr="00DD7098">
              <w:t>resolved by telephone advice</w:t>
            </w:r>
            <w:r>
              <w:t xml:space="preserve"> </w:t>
            </w:r>
          </w:p>
        </w:tc>
      </w:tr>
      <w:tr w:rsidR="00F719EE" w:rsidRPr="00DD7098" w:rsidTr="00F719EE">
        <w:trPr>
          <w:cantSplit/>
          <w:trHeight w:val="227"/>
        </w:trPr>
        <w:tc>
          <w:tcPr>
            <w:tcW w:w="1644" w:type="dxa"/>
            <w:vAlign w:val="bottom"/>
          </w:tcPr>
          <w:p w:rsidR="00F719EE" w:rsidRPr="00FD174B" w:rsidRDefault="00F719EE" w:rsidP="00A5491C">
            <w:pPr>
              <w:pStyle w:val="Footer"/>
            </w:pPr>
            <w:r w:rsidRPr="00FD174B">
              <w:t>SQU03_10_1_2</w:t>
            </w:r>
          </w:p>
        </w:tc>
        <w:tc>
          <w:tcPr>
            <w:tcW w:w="7654" w:type="dxa"/>
            <w:shd w:val="clear" w:color="auto" w:fill="auto"/>
            <w:vAlign w:val="bottom"/>
          </w:tcPr>
          <w:p w:rsidR="00F719EE" w:rsidRPr="00DD7098" w:rsidRDefault="00F719EE" w:rsidP="00A5491C">
            <w:pPr>
              <w:pStyle w:val="Footer"/>
            </w:pPr>
            <w:r>
              <w:t>C</w:t>
            </w:r>
            <w:r w:rsidRPr="00DD7098">
              <w:t>alls that receive a telephone or face-to-face response</w:t>
            </w:r>
            <w:r>
              <w:t xml:space="preserve"> </w:t>
            </w:r>
            <w:r w:rsidRPr="00DD7098">
              <w:t>from the ambulance service</w:t>
            </w:r>
          </w:p>
        </w:tc>
      </w:tr>
      <w:tr w:rsidR="00F719EE" w:rsidRPr="00DD7098" w:rsidTr="00F719EE">
        <w:trPr>
          <w:cantSplit/>
          <w:trHeight w:val="340"/>
        </w:trPr>
        <w:tc>
          <w:tcPr>
            <w:tcW w:w="1644" w:type="dxa"/>
            <w:vAlign w:val="bottom"/>
          </w:tcPr>
          <w:p w:rsidR="00F719EE" w:rsidRPr="00FD174B" w:rsidRDefault="00F719EE" w:rsidP="00A5491C">
            <w:pPr>
              <w:pStyle w:val="Footer"/>
            </w:pPr>
            <w:r w:rsidRPr="00FD174B">
              <w:t>SQU03_10_2_1</w:t>
            </w:r>
          </w:p>
        </w:tc>
        <w:tc>
          <w:tcPr>
            <w:tcW w:w="7654" w:type="dxa"/>
            <w:shd w:val="clear" w:color="auto" w:fill="auto"/>
            <w:vAlign w:val="bottom"/>
          </w:tcPr>
          <w:p w:rsidR="00F719EE" w:rsidRPr="00DD7098" w:rsidRDefault="00F719EE" w:rsidP="00A5491C">
            <w:pPr>
              <w:pStyle w:val="Footer"/>
            </w:pPr>
            <w:r>
              <w:t xml:space="preserve">Calls resolved without transport to </w:t>
            </w:r>
            <w:r w:rsidRPr="00DD7098">
              <w:t xml:space="preserve">Type 1 </w:t>
            </w:r>
            <w:r>
              <w:t xml:space="preserve">or Type </w:t>
            </w:r>
            <w:r w:rsidRPr="00DD7098">
              <w:t>2 A&amp;E</w:t>
            </w:r>
          </w:p>
        </w:tc>
      </w:tr>
      <w:tr w:rsidR="00F719EE" w:rsidRPr="00DD7098" w:rsidTr="00F719EE">
        <w:trPr>
          <w:cantSplit/>
          <w:trHeight w:val="227"/>
        </w:trPr>
        <w:tc>
          <w:tcPr>
            <w:tcW w:w="1644" w:type="dxa"/>
            <w:vAlign w:val="bottom"/>
          </w:tcPr>
          <w:p w:rsidR="00F719EE" w:rsidRPr="00FD174B" w:rsidRDefault="00F719EE" w:rsidP="00A5491C">
            <w:pPr>
              <w:pStyle w:val="Footer"/>
            </w:pPr>
            <w:r w:rsidRPr="00FD174B">
              <w:t>SQU03_10_2_2</w:t>
            </w:r>
          </w:p>
        </w:tc>
        <w:tc>
          <w:tcPr>
            <w:tcW w:w="7654" w:type="dxa"/>
            <w:shd w:val="clear" w:color="auto" w:fill="auto"/>
            <w:vAlign w:val="bottom"/>
          </w:tcPr>
          <w:p w:rsidR="00F719EE" w:rsidRPr="00DD7098" w:rsidRDefault="00F719EE" w:rsidP="00A5491C">
            <w:pPr>
              <w:pStyle w:val="Footer"/>
            </w:pPr>
            <w:r>
              <w:t xml:space="preserve">Calls </w:t>
            </w:r>
            <w:r w:rsidRPr="00DD7098">
              <w:t>that receive a face-to-face response from the ambulance service</w:t>
            </w:r>
          </w:p>
        </w:tc>
      </w:tr>
      <w:tr w:rsidR="00F719EE" w:rsidRPr="00DD7098" w:rsidTr="00F719EE">
        <w:trPr>
          <w:cantSplit/>
          <w:trHeight w:val="340"/>
        </w:trPr>
        <w:tc>
          <w:tcPr>
            <w:tcW w:w="1644" w:type="dxa"/>
            <w:vAlign w:val="bottom"/>
          </w:tcPr>
          <w:p w:rsidR="00F719EE" w:rsidRDefault="00F719EE" w:rsidP="00A5491C">
            <w:pPr>
              <w:pStyle w:val="Footer"/>
            </w:pPr>
            <w:r w:rsidRPr="00FD174B">
              <w:t>SRS17_1_1_1</w:t>
            </w:r>
          </w:p>
        </w:tc>
        <w:tc>
          <w:tcPr>
            <w:tcW w:w="7654" w:type="dxa"/>
            <w:shd w:val="clear" w:color="auto" w:fill="auto"/>
            <w:vAlign w:val="bottom"/>
          </w:tcPr>
          <w:p w:rsidR="00F719EE" w:rsidRPr="00DD7098" w:rsidRDefault="00F719EE" w:rsidP="00A5491C">
            <w:pPr>
              <w:pStyle w:val="Footer"/>
            </w:pPr>
            <w:r w:rsidRPr="00DD7098">
              <w:t xml:space="preserve">Number of </w:t>
            </w:r>
            <w:r>
              <w:t>transported incidents</w:t>
            </w:r>
          </w:p>
        </w:tc>
      </w:tr>
    </w:tbl>
    <w:p w:rsidR="00F719EE" w:rsidRDefault="000E22AD" w:rsidP="000E22AD">
      <w:r>
        <w:lastRenderedPageBreak/>
        <w:t xml:space="preserve">The Red 1, Red 2 and Category </w:t>
      </w:r>
      <w:proofErr w:type="gramStart"/>
      <w:r>
        <w:t>A</w:t>
      </w:r>
      <w:proofErr w:type="gramEnd"/>
      <w:r w:rsidR="00FE4D88">
        <w:t xml:space="preserve"> data</w:t>
      </w:r>
      <w:r>
        <w:t xml:space="preserve"> items </w:t>
      </w:r>
      <w:r w:rsidR="0068308C">
        <w:t xml:space="preserve">that </w:t>
      </w:r>
      <w:r w:rsidR="00FE4D88">
        <w:t xml:space="preserve">are </w:t>
      </w:r>
      <w:r>
        <w:t xml:space="preserve">longer </w:t>
      </w:r>
      <w:r w:rsidR="001248DF">
        <w:t>appl</w:t>
      </w:r>
      <w:r w:rsidR="00FE4D88">
        <w:t xml:space="preserve">icable </w:t>
      </w:r>
      <w:r>
        <w:t xml:space="preserve">will be </w:t>
      </w:r>
      <w:r w:rsidR="00F719EE">
        <w:t xml:space="preserve">superseded </w:t>
      </w:r>
      <w:r>
        <w:t xml:space="preserve">by response times for the new Categories </w:t>
      </w:r>
      <w:r w:rsidR="00342EAE">
        <w:t>C</w:t>
      </w:r>
      <w:r>
        <w:t>1-</w:t>
      </w:r>
      <w:r w:rsidR="00342EAE">
        <w:t>C</w:t>
      </w:r>
      <w:r>
        <w:t>4.</w:t>
      </w:r>
    </w:p>
    <w:p w:rsidR="000E22AD" w:rsidRDefault="0068308C" w:rsidP="000E22AD">
      <w:r>
        <w:t xml:space="preserve">Response times will be measured with means and centiles, replacing the previous binary </w:t>
      </w:r>
      <w:r w:rsidR="00F719EE">
        <w:t xml:space="preserve">measures of Red 1 and Red 2, </w:t>
      </w:r>
      <w:r>
        <w:t xml:space="preserve">where a response </w:t>
      </w:r>
      <w:r w:rsidR="00F719EE">
        <w:t>of 7 minutes 59 seconds was a success, and a response of 8 minutes 1 second was not.</w:t>
      </w:r>
    </w:p>
    <w:p w:rsidR="00F719EE" w:rsidRDefault="001F1D24" w:rsidP="000E22AD">
      <w:r>
        <w:t>We will redefine calls resolved on the telephone / on scene</w:t>
      </w:r>
      <w:r w:rsidR="00024DF5">
        <w:t>,</w:t>
      </w:r>
      <w:r>
        <w:t xml:space="preserve"> and collect more detailed breakdowns. </w:t>
      </w:r>
      <w:r w:rsidR="000E22AD">
        <w:t xml:space="preserve">Other indicators </w:t>
      </w:r>
      <w:r w:rsidR="001248DF">
        <w:t>will be replaced by indicators in section 1.</w:t>
      </w:r>
      <w:r w:rsidR="00FE4D88">
        <w:t>6</w:t>
      </w:r>
      <w:r w:rsidR="001248DF">
        <w:t xml:space="preserve"> to better reflect the clinical needs of patients, and any changes </w:t>
      </w:r>
      <w:r>
        <w:t xml:space="preserve">caused by the </w:t>
      </w:r>
      <w:r w:rsidR="001248DF">
        <w:t>ARP.</w:t>
      </w:r>
    </w:p>
    <w:p w:rsidR="0054633F" w:rsidRDefault="000E22AD" w:rsidP="000E22AD">
      <w:pPr>
        <w:pStyle w:val="Heading3"/>
      </w:pPr>
      <w:r>
        <w:t xml:space="preserve">New </w:t>
      </w:r>
      <w:r w:rsidR="001248DF">
        <w:t>Systems Indicators</w:t>
      </w:r>
    </w:p>
    <w:p w:rsidR="00342EAE" w:rsidRDefault="00342EAE" w:rsidP="00342EAE">
      <w:pPr>
        <w:pStyle w:val="ListBullet"/>
      </w:pPr>
      <w:r>
        <w:t>Telephone call counts and answer times (mean, median, 95th, 99th centile);</w:t>
      </w:r>
    </w:p>
    <w:p w:rsidR="00342EAE" w:rsidRDefault="00283AFF" w:rsidP="00342EAE">
      <w:pPr>
        <w:pStyle w:val="ListBullet"/>
      </w:pPr>
      <w:r>
        <w:t>I</w:t>
      </w:r>
      <w:r w:rsidR="00342EAE">
        <w:t>ncident</w:t>
      </w:r>
      <w:r w:rsidR="00911D61">
        <w:t xml:space="preserve"> counts, r</w:t>
      </w:r>
      <w:r w:rsidR="00342EAE">
        <w:t>esponse times (mean</w:t>
      </w:r>
      <w:r w:rsidR="00911D61">
        <w:t xml:space="preserve"> and </w:t>
      </w:r>
      <w:r w:rsidR="00342EAE">
        <w:t>90th centile)</w:t>
      </w:r>
      <w:r w:rsidR="00911D61">
        <w:t>, and resources allocated</w:t>
      </w:r>
      <w:r w:rsidR="008400AC">
        <w:t>,</w:t>
      </w:r>
      <w:r>
        <w:t xml:space="preserve"> for C1, C1 with transport (C1T), C2, C3, and C4 incidents;</w:t>
      </w:r>
    </w:p>
    <w:p w:rsidR="00342EAE" w:rsidRDefault="00342EAE" w:rsidP="00342EAE">
      <w:pPr>
        <w:pStyle w:val="ListBullet"/>
      </w:pPr>
      <w:r>
        <w:t xml:space="preserve">Count of C1 incidents identified </w:t>
      </w:r>
      <w:r w:rsidR="00A14845">
        <w:t>by</w:t>
      </w:r>
      <w:r>
        <w:t xml:space="preserve"> Nature of Call / Pre-Triage questions;</w:t>
      </w:r>
    </w:p>
    <w:p w:rsidR="00342EAE" w:rsidRDefault="00342EAE" w:rsidP="00342EAE">
      <w:pPr>
        <w:pStyle w:val="ListBullet"/>
      </w:pPr>
      <w:r>
        <w:t>Incidents with no face-to-face response</w:t>
      </w:r>
      <w:r w:rsidR="00A14845" w:rsidRPr="00A14845">
        <w:t xml:space="preserve"> </w:t>
      </w:r>
      <w:r w:rsidR="00A14845">
        <w:t>referred to other services, or closed</w:t>
      </w:r>
      <w:r>
        <w:t>;</w:t>
      </w:r>
    </w:p>
    <w:p w:rsidR="00342EAE" w:rsidRDefault="00342EAE" w:rsidP="00342EAE">
      <w:pPr>
        <w:pStyle w:val="ListBullet"/>
      </w:pPr>
      <w:r>
        <w:t>Incidents with face-to-face response transported to ED, or elsewhere, or closed.</w:t>
      </w:r>
    </w:p>
    <w:p w:rsidR="001F1D24" w:rsidRDefault="001F1D24" w:rsidP="000E6F7C">
      <w:r>
        <w:t xml:space="preserve">In August, we will put the specification document for the new Systems Indicators on </w:t>
      </w:r>
      <w:hyperlink r:id="rId11" w:history="1">
        <w:r w:rsidRPr="00D8548A">
          <w:rPr>
            <w:rStyle w:val="Hyperlink"/>
          </w:rPr>
          <w:t>www.england.nhs.uk/statistics/statistical-work-areas/ambulance-quality-indicators</w:t>
        </w:r>
      </w:hyperlink>
      <w:r>
        <w:t>.</w:t>
      </w:r>
    </w:p>
    <w:p w:rsidR="00D91BAE" w:rsidRDefault="00D91BAE" w:rsidP="00D91BAE">
      <w:pPr>
        <w:pStyle w:val="Heading3"/>
      </w:pPr>
      <w:r w:rsidRPr="00F7505F">
        <w:t>Emergency Response in 8 minutes for Red 2 (Figure 2)</w:t>
      </w:r>
    </w:p>
    <w:p w:rsidR="000506EC" w:rsidRDefault="000506EC" w:rsidP="000506EC">
      <w:r w:rsidRPr="001E7928">
        <w:t xml:space="preserve">Figure 2 shows that in </w:t>
      </w:r>
      <w:r w:rsidR="00A87AA7">
        <w:t>June</w:t>
      </w:r>
      <w:r w:rsidRPr="001E7928">
        <w:t xml:space="preserve"> 2017</w:t>
      </w:r>
      <w:r w:rsidR="006A01CA">
        <w:t>,</w:t>
      </w:r>
      <w:r w:rsidRPr="001E7928">
        <w:t xml:space="preserve"> the Red 2 measure for England</w:t>
      </w:r>
      <w:r w:rsidRPr="001E7928">
        <w:rPr>
          <w:rStyle w:val="FootnoteReference"/>
        </w:rPr>
        <w:footnoteReference w:id="5"/>
      </w:r>
      <w:r w:rsidRPr="001E7928">
        <w:t xml:space="preserve"> was </w:t>
      </w:r>
      <w:r w:rsidR="00A87AA7">
        <w:t>61.8</w:t>
      </w:r>
      <w:r w:rsidRPr="001E7928">
        <w:t>%</w:t>
      </w:r>
      <w:r>
        <w:t>,</w:t>
      </w:r>
      <w:r w:rsidR="00FE4D88">
        <w:t xml:space="preserve"> less than in </w:t>
      </w:r>
      <w:r w:rsidR="00A87AA7">
        <w:t xml:space="preserve">May 2017 (63.5%) and </w:t>
      </w:r>
      <w:r>
        <w:t xml:space="preserve">the 2016-17 average </w:t>
      </w:r>
      <w:r w:rsidR="008400AC">
        <w:t>(</w:t>
      </w:r>
      <w:r>
        <w:t>62.5%</w:t>
      </w:r>
      <w:r w:rsidR="008400AC">
        <w:t>)</w:t>
      </w:r>
      <w:r>
        <w:t xml:space="preserve">. </w:t>
      </w:r>
      <w:r w:rsidR="00A87AA7">
        <w:t>T</w:t>
      </w:r>
      <w:r w:rsidRPr="001E7928">
        <w:t xml:space="preserve">he 75% standard </w:t>
      </w:r>
      <w:r>
        <w:t>has not been</w:t>
      </w:r>
      <w:r w:rsidRPr="001E7928">
        <w:t xml:space="preserve"> met </w:t>
      </w:r>
      <w:r>
        <w:t>since</w:t>
      </w:r>
      <w:r w:rsidRPr="001E7928">
        <w:t xml:space="preserve"> </w:t>
      </w:r>
      <w:r>
        <w:t>January</w:t>
      </w:r>
      <w:r w:rsidRPr="001E7928">
        <w:t xml:space="preserve"> 2014</w:t>
      </w:r>
      <w:r>
        <w:t xml:space="preserve"> and </w:t>
      </w:r>
      <w:r w:rsidR="00FE4D88">
        <w:t>this proportion</w:t>
      </w:r>
      <w:r>
        <w:t xml:space="preserve"> has been below 70% since August 2015</w:t>
      </w:r>
      <w:r w:rsidRPr="001E7928">
        <w:t>.</w:t>
      </w:r>
    </w:p>
    <w:p w:rsidR="002E3688" w:rsidRDefault="002E3688" w:rsidP="000506EC">
      <w:r>
        <w:t>Figure 2 shows that the</w:t>
      </w:r>
      <w:r w:rsidRPr="003D2F4E">
        <w:t xml:space="preserve"> </w:t>
      </w:r>
      <w:r>
        <w:t>trend for England</w:t>
      </w:r>
      <w:r w:rsidR="00283AFF" w:rsidRPr="00283AFF">
        <w:rPr>
          <w:vertAlign w:val="superscript"/>
        </w:rPr>
        <w:t>5</w:t>
      </w:r>
      <w:r>
        <w:t xml:space="preserve"> is similar to the trend for the four Services where the Red 2 measure is comparable, indicating that the trend for England is reliable, despite its discontinuities.</w:t>
      </w:r>
    </w:p>
    <w:p w:rsidR="000506EC" w:rsidRDefault="002E3688" w:rsidP="000506EC">
      <w:r>
        <w:rPr>
          <w:noProof/>
        </w:rPr>
        <w:drawing>
          <wp:inline distT="0" distB="0" distL="0" distR="0" wp14:anchorId="113E7E08">
            <wp:extent cx="5773420" cy="28409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420" cy="2840990"/>
                    </a:xfrm>
                    <a:prstGeom prst="rect">
                      <a:avLst/>
                    </a:prstGeom>
                    <a:noFill/>
                  </pic:spPr>
                </pic:pic>
              </a:graphicData>
            </a:graphic>
          </wp:inline>
        </w:drawing>
      </w:r>
    </w:p>
    <w:p w:rsidR="00FE4D88" w:rsidRDefault="00FE4D88" w:rsidP="00FE4D88">
      <w:r>
        <w:lastRenderedPageBreak/>
        <w:t>Out</w:t>
      </w:r>
      <w:r w:rsidRPr="001E7928">
        <w:t xml:space="preserve"> of the eight </w:t>
      </w:r>
      <w:r>
        <w:t xml:space="preserve">Services </w:t>
      </w:r>
      <w:r w:rsidRPr="001E7928">
        <w:t>where Category A still applie</w:t>
      </w:r>
      <w:r>
        <w:t>s</w:t>
      </w:r>
      <w:r w:rsidRPr="001E7928">
        <w:t xml:space="preserve">, </w:t>
      </w:r>
      <w:r>
        <w:t xml:space="preserve">none met </w:t>
      </w:r>
      <w:r w:rsidRPr="001E7928">
        <w:t xml:space="preserve">the </w:t>
      </w:r>
      <w:r>
        <w:t>Red 2 s</w:t>
      </w:r>
      <w:r w:rsidRPr="001E7928">
        <w:t xml:space="preserve">tandard </w:t>
      </w:r>
      <w:r>
        <w:t xml:space="preserve">of 75% </w:t>
      </w:r>
      <w:r w:rsidRPr="001E7928">
        <w:t xml:space="preserve">in </w:t>
      </w:r>
      <w:r>
        <w:t xml:space="preserve">June </w:t>
      </w:r>
      <w:r w:rsidRPr="001E7928">
        <w:t>2017</w:t>
      </w:r>
      <w:r>
        <w:t>. SECAmb had the lowest proportion at 46.4%.</w:t>
      </w:r>
    </w:p>
    <w:p w:rsidR="00EA23A9" w:rsidRPr="00F7505F" w:rsidRDefault="00C94BBC" w:rsidP="00EA23A9">
      <w:pPr>
        <w:pStyle w:val="Heading3"/>
      </w:pPr>
      <w:r w:rsidRPr="00F7505F">
        <w:t xml:space="preserve">Category </w:t>
      </w:r>
      <w:proofErr w:type="spellStart"/>
      <w:proofErr w:type="gramStart"/>
      <w:r w:rsidRPr="00F7505F">
        <w:t>A</w:t>
      </w:r>
      <w:proofErr w:type="spellEnd"/>
      <w:proofErr w:type="gramEnd"/>
      <w:r w:rsidRPr="00F7505F">
        <w:t xml:space="preserve"> </w:t>
      </w:r>
      <w:r w:rsidR="00EA23A9" w:rsidRPr="00F7505F">
        <w:t>Ambulance response in 19 minutes</w:t>
      </w:r>
      <w:r w:rsidR="000A00D6" w:rsidRPr="00F7505F">
        <w:t xml:space="preserve"> (Figure 3)</w:t>
      </w:r>
    </w:p>
    <w:p w:rsidR="006A01CA" w:rsidRDefault="00DA2024" w:rsidP="00132DDA">
      <w:r w:rsidRPr="00F7505F">
        <w:t xml:space="preserve">The </w:t>
      </w:r>
      <w:r w:rsidR="00F47AF6" w:rsidRPr="00F7505F">
        <w:t>second</w:t>
      </w:r>
      <w:r w:rsidRPr="00F7505F">
        <w:t xml:space="preserve"> ambulance standard in the Handbook to the NHS Constitution is for trusts to send, within 19 minutes, a fully-equipped ambulance vehicle, able to transport the patient in a clinically safe manner, to 95% of Category A calls. For England</w:t>
      </w:r>
      <w:r w:rsidR="006A01CA" w:rsidRPr="001E7928">
        <w:rPr>
          <w:rStyle w:val="FootnoteReference"/>
        </w:rPr>
        <w:footnoteReference w:id="6"/>
      </w:r>
      <w:r w:rsidR="00390FA3" w:rsidRPr="00F7505F">
        <w:t>,</w:t>
      </w:r>
      <w:r w:rsidR="00F47AF6" w:rsidRPr="00F7505F">
        <w:t xml:space="preserve"> i</w:t>
      </w:r>
      <w:r w:rsidR="00CB5042" w:rsidRPr="00F7505F">
        <w:t xml:space="preserve">n </w:t>
      </w:r>
      <w:r w:rsidR="00A42A81">
        <w:t xml:space="preserve">June </w:t>
      </w:r>
      <w:r w:rsidR="00506143" w:rsidRPr="00F7505F">
        <w:t>2017</w:t>
      </w:r>
      <w:r w:rsidR="00D10557" w:rsidRPr="00F7505F">
        <w:t>,</w:t>
      </w:r>
      <w:r w:rsidR="00CB5042" w:rsidRPr="00F7505F">
        <w:t xml:space="preserve"> performance </w:t>
      </w:r>
      <w:r w:rsidR="00A42A81">
        <w:t>was</w:t>
      </w:r>
      <w:r w:rsidR="00CB5042" w:rsidRPr="00F7505F">
        <w:t xml:space="preserve"> </w:t>
      </w:r>
      <w:r w:rsidR="003E3D58" w:rsidRPr="00F7505F">
        <w:t>9</w:t>
      </w:r>
      <w:r w:rsidR="00A42A81">
        <w:t>0</w:t>
      </w:r>
      <w:r w:rsidR="003E3D58" w:rsidRPr="00F7505F">
        <w:t>.</w:t>
      </w:r>
      <w:r w:rsidR="00A42A81">
        <w:t>0%</w:t>
      </w:r>
      <w:r w:rsidR="00FE4D88">
        <w:t xml:space="preserve">, a little less than in </w:t>
      </w:r>
      <w:r w:rsidR="00A42A81">
        <w:t>May</w:t>
      </w:r>
      <w:r w:rsidR="00A42A81" w:rsidRPr="00A42A81">
        <w:t xml:space="preserve"> 2017 (9</w:t>
      </w:r>
      <w:r w:rsidR="00A42A81">
        <w:t>0</w:t>
      </w:r>
      <w:r w:rsidR="00A42A81" w:rsidRPr="00A42A81">
        <w:t>.</w:t>
      </w:r>
      <w:r w:rsidR="00A42A81">
        <w:t>8</w:t>
      </w:r>
      <w:r w:rsidR="00A42A81" w:rsidRPr="00A42A81">
        <w:t xml:space="preserve">%) </w:t>
      </w:r>
      <w:r w:rsidR="00FE4D88">
        <w:t xml:space="preserve">and </w:t>
      </w:r>
      <w:r w:rsidR="00A42A81" w:rsidRPr="00A42A81">
        <w:t xml:space="preserve">the 2016-17 average </w:t>
      </w:r>
      <w:r w:rsidR="00FE4D88">
        <w:t>(</w:t>
      </w:r>
      <w:r w:rsidR="00A42A81" w:rsidRPr="00A42A81">
        <w:t>90.4%</w:t>
      </w:r>
      <w:r w:rsidR="00FE4D88">
        <w:t>)</w:t>
      </w:r>
      <w:r w:rsidR="006A01CA">
        <w:t>.</w:t>
      </w:r>
    </w:p>
    <w:p w:rsidR="00132DDA" w:rsidRDefault="008025F9" w:rsidP="00132DDA">
      <w:r w:rsidRPr="00F7505F">
        <w:t xml:space="preserve">Figure 3 shows that, as </w:t>
      </w:r>
      <w:r w:rsidR="00390FA3" w:rsidRPr="00F7505F">
        <w:t>with</w:t>
      </w:r>
      <w:r w:rsidRPr="00F7505F">
        <w:t xml:space="preserve"> the Red 2 measure, the trend for England</w:t>
      </w:r>
      <w:r w:rsidR="00283AFF" w:rsidRPr="00283AFF">
        <w:rPr>
          <w:vertAlign w:val="superscript"/>
        </w:rPr>
        <w:t>6</w:t>
      </w:r>
      <w:r w:rsidRPr="00F7505F">
        <w:t xml:space="preserve"> is similar to that for </w:t>
      </w:r>
      <w:r w:rsidR="00DA2024" w:rsidRPr="00F7505F">
        <w:t>the four trusts with the sa</w:t>
      </w:r>
      <w:r w:rsidRPr="00F7505F">
        <w:t xml:space="preserve">me </w:t>
      </w:r>
      <w:proofErr w:type="gramStart"/>
      <w:r w:rsidRPr="00F7505F">
        <w:t>DoD</w:t>
      </w:r>
      <w:proofErr w:type="gramEnd"/>
      <w:r w:rsidRPr="00F7505F">
        <w:t xml:space="preserve"> implementation timetable</w:t>
      </w:r>
      <w:r w:rsidR="00DA2024" w:rsidRPr="00F7505F">
        <w:rPr>
          <w:noProof/>
        </w:rPr>
        <w:t>.</w:t>
      </w:r>
    </w:p>
    <w:p w:rsidR="00132DDA" w:rsidRPr="00F7505F" w:rsidRDefault="00132DDA" w:rsidP="00132DDA">
      <w:r w:rsidRPr="00F7505F">
        <w:t xml:space="preserve">The numerators and denominators for Figures 2 and 3 are on the “DoD R2” and “DoD A19” tab respectively, in the Systems Indicators Time Series spreadsheet at </w:t>
      </w:r>
      <w:hyperlink r:id="rId13" w:history="1">
        <w:r w:rsidRPr="00F7505F">
          <w:rPr>
            <w:rStyle w:val="Hyperlink"/>
          </w:rPr>
          <w:t>http://bit.ly/NHSAQI</w:t>
        </w:r>
      </w:hyperlink>
      <w:r w:rsidRPr="00F7505F">
        <w:t>.</w:t>
      </w:r>
    </w:p>
    <w:p w:rsidR="00DA2024" w:rsidRPr="00F7505F" w:rsidRDefault="00FE4D88" w:rsidP="00DA2024">
      <w:r>
        <w:rPr>
          <w:noProof/>
        </w:rPr>
        <w:drawing>
          <wp:inline distT="0" distB="0" distL="0" distR="0" wp14:anchorId="7EF738FB">
            <wp:extent cx="5773420" cy="396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968750"/>
                    </a:xfrm>
                    <a:prstGeom prst="rect">
                      <a:avLst/>
                    </a:prstGeom>
                    <a:noFill/>
                  </pic:spPr>
                </pic:pic>
              </a:graphicData>
            </a:graphic>
          </wp:inline>
        </w:drawing>
      </w:r>
    </w:p>
    <w:p w:rsidR="009C3513" w:rsidRPr="00F7505F" w:rsidRDefault="009C3513" w:rsidP="00774123">
      <w:r w:rsidRPr="00F7505F">
        <w:t xml:space="preserve">In the trusts where Category A still applies, </w:t>
      </w:r>
      <w:r w:rsidR="00B406B8">
        <w:t xml:space="preserve">no ambulance service </w:t>
      </w:r>
      <w:r w:rsidR="0042742C" w:rsidRPr="00F7505F">
        <w:t xml:space="preserve">met </w:t>
      </w:r>
      <w:r w:rsidR="008025F9" w:rsidRPr="00F7505F">
        <w:t xml:space="preserve">the </w:t>
      </w:r>
      <w:r w:rsidRPr="00F7505F">
        <w:t>19 minute Category A</w:t>
      </w:r>
      <w:r w:rsidR="00B07477" w:rsidRPr="00F7505F">
        <w:t xml:space="preserve"> standard of 95%</w:t>
      </w:r>
      <w:r w:rsidRPr="00F7505F">
        <w:t xml:space="preserve">. EMAS </w:t>
      </w:r>
      <w:r w:rsidR="00FE4D88" w:rsidRPr="00F7505F">
        <w:t>had the lowest proportion</w:t>
      </w:r>
      <w:r w:rsidR="00FE4D88">
        <w:t xml:space="preserve">, </w:t>
      </w:r>
      <w:r w:rsidR="00B406B8">
        <w:t>85.0</w:t>
      </w:r>
      <w:r w:rsidR="00FE4D88">
        <w:t>%</w:t>
      </w:r>
      <w:r w:rsidRPr="00F7505F">
        <w:t>.</w:t>
      </w:r>
    </w:p>
    <w:p w:rsidR="000E6F7C" w:rsidRPr="00F7505F" w:rsidRDefault="000E6F7C" w:rsidP="000E6F7C">
      <w:r w:rsidRPr="00F7505F">
        <w:t xml:space="preserve">For other Systems Indicators, </w:t>
      </w:r>
      <w:proofErr w:type="gramStart"/>
      <w:r w:rsidRPr="00F7505F">
        <w:t>DoD</w:t>
      </w:r>
      <w:proofErr w:type="gramEnd"/>
      <w:r w:rsidRPr="00F7505F">
        <w:t xml:space="preserve"> and the CCR do not affect comparability, but may lead to changes in levels. For example, </w:t>
      </w:r>
      <w:r w:rsidR="00F47AF6" w:rsidRPr="00F7505F">
        <w:t xml:space="preserve">a </w:t>
      </w:r>
      <w:r w:rsidRPr="00F7505F">
        <w:t>longer triage time may mean more calls are closed on the telephone</w:t>
      </w:r>
      <w:r w:rsidR="00F47AF6" w:rsidRPr="00F7505F">
        <w:t>, but the data for this measure remain comparable</w:t>
      </w:r>
      <w:r w:rsidRPr="00F7505F">
        <w:t>.</w:t>
      </w:r>
      <w:r w:rsidR="00F47AF6" w:rsidRPr="00F7505F">
        <w:t xml:space="preserve"> Such changes</w:t>
      </w:r>
      <w:r w:rsidRPr="00F7505F">
        <w:t xml:space="preserve"> may be difficult to detect within the habitual variation of the many </w:t>
      </w:r>
      <w:r w:rsidR="00C71429" w:rsidRPr="00F7505F">
        <w:t>AQI</w:t>
      </w:r>
      <w:r w:rsidRPr="00F7505F">
        <w:t>.</w:t>
      </w:r>
    </w:p>
    <w:p w:rsidR="003A0D0C" w:rsidRPr="00F7505F" w:rsidRDefault="003A0D0C" w:rsidP="003A0D0C">
      <w:pPr>
        <w:pStyle w:val="Heading3"/>
      </w:pPr>
      <w:r w:rsidRPr="00F7505F">
        <w:lastRenderedPageBreak/>
        <w:t xml:space="preserve">Systems Indicators: Ambulance volumes (Figure </w:t>
      </w:r>
      <w:r w:rsidR="00AC1EF7" w:rsidRPr="00F7505F">
        <w:t>4</w:t>
      </w:r>
      <w:r w:rsidRPr="00F7505F">
        <w:t>)</w:t>
      </w:r>
    </w:p>
    <w:p w:rsidR="00B21828" w:rsidRPr="00F7505F" w:rsidRDefault="00191AB9" w:rsidP="00191AB9">
      <w:r w:rsidRPr="00F7505F">
        <w:t>The number</w:t>
      </w:r>
      <w:r w:rsidRPr="00F7505F">
        <w:rPr>
          <w:rStyle w:val="FootnoteReference"/>
        </w:rPr>
        <w:footnoteReference w:id="7"/>
      </w:r>
      <w:r w:rsidRPr="00F7505F">
        <w:t xml:space="preserve"> of emergency telephone calls presented to </w:t>
      </w:r>
      <w:r w:rsidR="00E8576D" w:rsidRPr="00F7505F">
        <w:t xml:space="preserve">the </w:t>
      </w:r>
      <w:r w:rsidRPr="00F7505F">
        <w:t xml:space="preserve">switchboard in </w:t>
      </w:r>
      <w:r w:rsidR="0001026F">
        <w:t>June</w:t>
      </w:r>
      <w:r w:rsidR="00506143" w:rsidRPr="00F7505F">
        <w:t xml:space="preserve"> 2017</w:t>
      </w:r>
      <w:r w:rsidR="00781110" w:rsidRPr="00F7505F">
        <w:t xml:space="preserve"> </w:t>
      </w:r>
      <w:r w:rsidRPr="00F7505F">
        <w:t>was</w:t>
      </w:r>
      <w:r w:rsidR="004855AA" w:rsidRPr="00F7505F">
        <w:t xml:space="preserve"> </w:t>
      </w:r>
      <w:r w:rsidR="0001026F">
        <w:t>845,473</w:t>
      </w:r>
      <w:r w:rsidR="009141A4" w:rsidRPr="00F7505F">
        <w:t xml:space="preserve">, </w:t>
      </w:r>
      <w:r w:rsidR="00177CDB" w:rsidRPr="00F7505F">
        <w:t>an average of</w:t>
      </w:r>
      <w:r w:rsidRPr="00F7505F">
        <w:t xml:space="preserve"> </w:t>
      </w:r>
      <w:r w:rsidR="0001026F">
        <w:t>28.2</w:t>
      </w:r>
      <w:r w:rsidR="00AB0008" w:rsidRPr="00F7505F">
        <w:t xml:space="preserve"> thousand</w:t>
      </w:r>
      <w:r w:rsidR="00C2676B" w:rsidRPr="00F7505F">
        <w:t xml:space="preserve"> </w:t>
      </w:r>
      <w:r w:rsidR="007240EC" w:rsidRPr="00F7505F">
        <w:t>per day</w:t>
      </w:r>
      <w:r w:rsidR="00AD2980" w:rsidRPr="00F7505F">
        <w:t>.</w:t>
      </w:r>
    </w:p>
    <w:p w:rsidR="001F1D24" w:rsidRPr="00F7505F" w:rsidRDefault="001F1D24" w:rsidP="001F1D24">
      <w:r w:rsidRPr="00F7505F">
        <w:t xml:space="preserve">There were </w:t>
      </w:r>
      <w:r w:rsidR="0001026F">
        <w:t>576,108</w:t>
      </w:r>
      <w:r w:rsidRPr="00F7505F">
        <w:t xml:space="preserve"> emergency calls that received a face-to-face response from the ambulance service in </w:t>
      </w:r>
      <w:r w:rsidR="0001026F">
        <w:t>June</w:t>
      </w:r>
      <w:r w:rsidRPr="00F7505F">
        <w:t xml:space="preserve"> 2017, an average of 1</w:t>
      </w:r>
      <w:r w:rsidR="0001026F">
        <w:t>9</w:t>
      </w:r>
      <w:r w:rsidRPr="00F7505F">
        <w:t>.</w:t>
      </w:r>
      <w:r w:rsidR="0001026F">
        <w:t>2</w:t>
      </w:r>
      <w:r w:rsidRPr="00F7505F">
        <w:t xml:space="preserve"> thousand per day.</w:t>
      </w:r>
    </w:p>
    <w:p w:rsidR="001F1D24" w:rsidRPr="00F7505F" w:rsidRDefault="001F1D24" w:rsidP="001F1D24">
      <w:pPr>
        <w:widowControl w:val="0"/>
      </w:pPr>
      <w:r w:rsidRPr="00F7505F">
        <w:t xml:space="preserve">In </w:t>
      </w:r>
      <w:r w:rsidR="0001026F">
        <w:t>June</w:t>
      </w:r>
      <w:r w:rsidRPr="00F7505F">
        <w:t xml:space="preserve"> 2017, there were </w:t>
      </w:r>
      <w:r w:rsidR="0001026F">
        <w:t xml:space="preserve">400,759 </w:t>
      </w:r>
      <w:r w:rsidRPr="00F7505F">
        <w:t>incidents with a patient transported to Type 1 or Type 2 A&amp;E</w:t>
      </w:r>
      <w:r w:rsidRPr="00F7505F">
        <w:rPr>
          <w:rStyle w:val="FootnoteReference"/>
        </w:rPr>
        <w:footnoteReference w:id="8"/>
      </w:r>
      <w:r w:rsidRPr="00F7505F">
        <w:t xml:space="preserve">, </w:t>
      </w:r>
      <w:proofErr w:type="gramStart"/>
      <w:r w:rsidRPr="00F7505F">
        <w:t>a</w:t>
      </w:r>
      <w:proofErr w:type="gramEnd"/>
      <w:r w:rsidRPr="00F7505F">
        <w:t xml:space="preserve"> average of 13.</w:t>
      </w:r>
      <w:r w:rsidR="0001026F">
        <w:t>4</w:t>
      </w:r>
      <w:r w:rsidRPr="00F7505F">
        <w:t xml:space="preserve"> thousand</w:t>
      </w:r>
      <w:r w:rsidR="002D0D09">
        <w:t xml:space="preserve"> per day</w:t>
      </w:r>
      <w:r w:rsidRPr="00F7505F">
        <w:t>.</w:t>
      </w:r>
    </w:p>
    <w:p w:rsidR="001F1D24" w:rsidRDefault="001F1D24" w:rsidP="001F1D24">
      <w:r w:rsidRPr="00F7505F">
        <w:t>Figure 4 shows that each measure habitually reduces</w:t>
      </w:r>
      <w:r w:rsidR="002D0D09">
        <w:t xml:space="preserve"> after the annual December peak. </w:t>
      </w:r>
      <w:r w:rsidR="008400AC">
        <w:t>Figure 4</w:t>
      </w:r>
      <w:r w:rsidR="002D0D09">
        <w:t xml:space="preserve"> also shows</w:t>
      </w:r>
      <w:r w:rsidRPr="00F7505F">
        <w:t xml:space="preserve"> a </w:t>
      </w:r>
      <w:r w:rsidR="002D0D09">
        <w:t xml:space="preserve">gradual increase </w:t>
      </w:r>
      <w:r w:rsidRPr="00F7505F">
        <w:t xml:space="preserve">in </w:t>
      </w:r>
      <w:r w:rsidR="002D0D09">
        <w:t xml:space="preserve">telephone calls, </w:t>
      </w:r>
      <w:r w:rsidRPr="00F7505F">
        <w:t xml:space="preserve">and </w:t>
      </w:r>
      <w:r w:rsidR="002D0D09">
        <w:t xml:space="preserve">in </w:t>
      </w:r>
      <w:r w:rsidRPr="00F7505F">
        <w:t xml:space="preserve">face-to-face responses, but </w:t>
      </w:r>
      <w:r w:rsidR="002D0D09">
        <w:t xml:space="preserve">not </w:t>
      </w:r>
      <w:r w:rsidRPr="00F7505F">
        <w:t xml:space="preserve">so </w:t>
      </w:r>
      <w:r w:rsidR="002D0D09">
        <w:t xml:space="preserve">much </w:t>
      </w:r>
      <w:r w:rsidRPr="00F7505F">
        <w:t>for incidents where a patient was transported.</w:t>
      </w:r>
    </w:p>
    <w:p w:rsidR="00FE4D88" w:rsidRPr="00F7505F" w:rsidRDefault="00FE4D88" w:rsidP="001F1D24">
      <w:r>
        <w:rPr>
          <w:noProof/>
        </w:rPr>
        <w:drawing>
          <wp:inline distT="0" distB="0" distL="0" distR="0" wp14:anchorId="74186621">
            <wp:extent cx="5773420" cy="43345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420" cy="4334510"/>
                    </a:xfrm>
                    <a:prstGeom prst="rect">
                      <a:avLst/>
                    </a:prstGeom>
                    <a:noFill/>
                  </pic:spPr>
                </pic:pic>
              </a:graphicData>
            </a:graphic>
          </wp:inline>
        </w:drawing>
      </w:r>
    </w:p>
    <w:p w:rsidR="003A0D0C" w:rsidRPr="00F7505F" w:rsidRDefault="003C24D1" w:rsidP="003A0D0C">
      <w:pPr>
        <w:pStyle w:val="Heading3"/>
      </w:pPr>
      <w:r w:rsidRPr="00F7505F">
        <w:lastRenderedPageBreak/>
        <w:t xml:space="preserve">Latest monthly data </w:t>
      </w:r>
      <w:r w:rsidR="003A0D0C" w:rsidRPr="00F7505F">
        <w:t xml:space="preserve">for </w:t>
      </w:r>
      <w:r w:rsidRPr="00F7505F">
        <w:t xml:space="preserve">other </w:t>
      </w:r>
      <w:r w:rsidR="003A0D0C" w:rsidRPr="00F7505F">
        <w:t>System</w:t>
      </w:r>
      <w:r w:rsidRPr="00F7505F">
        <w:t>s</w:t>
      </w:r>
      <w:r w:rsidR="003A0D0C" w:rsidRPr="00F7505F">
        <w:t xml:space="preserve"> Indicators</w:t>
      </w:r>
      <w:r w:rsidR="000D7762" w:rsidRPr="00F7505F">
        <w:t xml:space="preserve">, </w:t>
      </w:r>
      <w:r w:rsidR="00A5491C">
        <w:t>June</w:t>
      </w:r>
      <w:r w:rsidR="00506143" w:rsidRPr="00F7505F">
        <w:t xml:space="preserve"> 2017</w:t>
      </w:r>
      <w:r w:rsidR="003A0D0C" w:rsidRPr="00F7505F">
        <w:t xml:space="preserve"> </w:t>
      </w:r>
    </w:p>
    <w:p w:rsidR="0001026F" w:rsidRPr="00531906" w:rsidRDefault="0001026F" w:rsidP="0001026F">
      <w:r w:rsidRPr="00531906">
        <w:t>All other Systems Indicators</w:t>
      </w:r>
      <w:r>
        <w:t>, not already covered, wer</w:t>
      </w:r>
      <w:r w:rsidRPr="00531906">
        <w:t xml:space="preserve">e </w:t>
      </w:r>
      <w:r>
        <w:t xml:space="preserve">stable in June 2017 and </w:t>
      </w:r>
      <w:r w:rsidRPr="00531906">
        <w:t xml:space="preserve">within their ranges from </w:t>
      </w:r>
      <w:r>
        <w:t>the previous twelve months:</w:t>
      </w:r>
    </w:p>
    <w:tbl>
      <w:tblPr>
        <w:tblW w:w="9271" w:type="dxa"/>
        <w:tblBorders>
          <w:bottom w:val="single" w:sz="4" w:space="0" w:color="auto"/>
        </w:tblBorders>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277"/>
        <w:gridCol w:w="991"/>
        <w:gridCol w:w="1277"/>
        <w:gridCol w:w="992"/>
      </w:tblGrid>
      <w:tr w:rsidR="003A0D0C" w:rsidRPr="00F7505F" w:rsidTr="00D10557">
        <w:trPr>
          <w:cantSplit/>
          <w:trHeight w:val="340"/>
          <w:tblHeader/>
        </w:trPr>
        <w:tc>
          <w:tcPr>
            <w:tcW w:w="3600" w:type="dxa"/>
            <w:tcBorders>
              <w:bottom w:val="single" w:sz="4" w:space="0" w:color="auto"/>
              <w:right w:val="single" w:sz="4" w:space="0" w:color="auto"/>
            </w:tcBorders>
            <w:shd w:val="clear" w:color="auto" w:fill="auto"/>
            <w:vAlign w:val="center"/>
            <w:hideMark/>
          </w:tcPr>
          <w:p w:rsidR="003A0D0C" w:rsidRPr="00F7505F" w:rsidRDefault="003A0D0C" w:rsidP="008B512A">
            <w:pPr>
              <w:pStyle w:val="Heading4"/>
            </w:pPr>
            <w:r w:rsidRPr="00F7505F">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F7505F" w:rsidRDefault="003A0D0C" w:rsidP="008B512A">
            <w:pPr>
              <w:pStyle w:val="Heading4"/>
            </w:pPr>
            <w:r w:rsidRPr="00F7505F">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F7505F" w:rsidRDefault="003A0D0C" w:rsidP="00E65E27">
            <w:pPr>
              <w:pStyle w:val="Heading4"/>
            </w:pPr>
            <w:r w:rsidRPr="00F7505F">
              <w:t>Lowest Trust</w:t>
            </w:r>
            <w:r w:rsidR="00E65E27">
              <w:rPr>
                <w:rStyle w:val="FootnoteReference"/>
              </w:rPr>
              <w:footnoteReference w:id="9"/>
            </w:r>
          </w:p>
        </w:tc>
        <w:tc>
          <w:tcPr>
            <w:tcW w:w="2269" w:type="dxa"/>
            <w:gridSpan w:val="2"/>
            <w:tcBorders>
              <w:left w:val="single" w:sz="4" w:space="0" w:color="auto"/>
              <w:bottom w:val="single" w:sz="4" w:space="0" w:color="auto"/>
            </w:tcBorders>
            <w:shd w:val="clear" w:color="auto" w:fill="auto"/>
            <w:vAlign w:val="center"/>
            <w:hideMark/>
          </w:tcPr>
          <w:p w:rsidR="003A0D0C" w:rsidRPr="00F7505F" w:rsidRDefault="003A0D0C" w:rsidP="00DD33B2">
            <w:pPr>
              <w:pStyle w:val="Heading4"/>
            </w:pPr>
            <w:r w:rsidRPr="00F7505F">
              <w:t>Highest Trust</w:t>
            </w:r>
            <w:r w:rsidR="00DD33B2" w:rsidRPr="00DD33B2">
              <w:rPr>
                <w:vertAlign w:val="superscript"/>
              </w:rPr>
              <w:t>9</w:t>
            </w:r>
          </w:p>
        </w:tc>
      </w:tr>
      <w:tr w:rsidR="0037489E" w:rsidRPr="00F7505F" w:rsidTr="00003FCB">
        <w:trPr>
          <w:cantSplit/>
          <w:trHeight w:val="624"/>
        </w:trPr>
        <w:tc>
          <w:tcPr>
            <w:tcW w:w="3600" w:type="dxa"/>
            <w:tcBorders>
              <w:top w:val="single" w:sz="4" w:space="0" w:color="auto"/>
              <w:right w:val="single" w:sz="4" w:space="0" w:color="auto"/>
            </w:tcBorders>
            <w:shd w:val="clear" w:color="000000" w:fill="FFFFFF"/>
            <w:vAlign w:val="center"/>
            <w:hideMark/>
          </w:tcPr>
          <w:p w:rsidR="0032599C" w:rsidRPr="00F7505F" w:rsidRDefault="0032599C" w:rsidP="009E4593">
            <w:pPr>
              <w:pStyle w:val="NoSpacing"/>
            </w:pPr>
            <w:r w:rsidRPr="00F7505F">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F7505F" w:rsidRDefault="00A5491C" w:rsidP="008C250F">
            <w:pPr>
              <w:pStyle w:val="NoSpacing"/>
              <w:jc w:val="right"/>
              <w:rPr>
                <w:sz w:val="22"/>
                <w:szCs w:val="22"/>
              </w:rPr>
            </w:pPr>
            <w:r>
              <w:rPr>
                <w:szCs w:val="22"/>
              </w:rPr>
              <w:t>1</w:t>
            </w:r>
            <w:r w:rsidR="00B12AC5" w:rsidRPr="00F7505F">
              <w:rPr>
                <w:szCs w:val="22"/>
              </w:rPr>
              <w:t>.</w:t>
            </w:r>
            <w:r w:rsidR="008C250F" w:rsidRPr="00F7505F">
              <w:rPr>
                <w:szCs w:val="22"/>
              </w:rPr>
              <w:t>7</w:t>
            </w:r>
            <w:r w:rsidR="00AE7B02" w:rsidRPr="00F7505F">
              <w:rPr>
                <w:szCs w:val="22"/>
              </w:rPr>
              <w:t>%</w:t>
            </w:r>
          </w:p>
        </w:tc>
        <w:tc>
          <w:tcPr>
            <w:tcW w:w="1277" w:type="dxa"/>
            <w:tcBorders>
              <w:top w:val="single" w:sz="4" w:space="0" w:color="auto"/>
              <w:left w:val="single" w:sz="4" w:space="0" w:color="auto"/>
            </w:tcBorders>
            <w:shd w:val="clear" w:color="000000" w:fill="FFFFFF"/>
            <w:vAlign w:val="center"/>
            <w:hideMark/>
          </w:tcPr>
          <w:p w:rsidR="0032599C" w:rsidRPr="00003FCB" w:rsidRDefault="00A5491C" w:rsidP="00003FCB">
            <w:pPr>
              <w:pStyle w:val="NoSpacing"/>
              <w:jc w:val="right"/>
            </w:pPr>
            <w:r w:rsidRPr="00003FCB">
              <w:t>YAS</w:t>
            </w:r>
          </w:p>
        </w:tc>
        <w:tc>
          <w:tcPr>
            <w:tcW w:w="991" w:type="dxa"/>
            <w:tcBorders>
              <w:top w:val="single" w:sz="4" w:space="0" w:color="auto"/>
              <w:right w:val="single" w:sz="4" w:space="0" w:color="auto"/>
            </w:tcBorders>
            <w:shd w:val="clear" w:color="000000" w:fill="FFFFFF"/>
            <w:vAlign w:val="center"/>
          </w:tcPr>
          <w:p w:rsidR="0032599C" w:rsidRPr="00F7505F" w:rsidRDefault="0032599C" w:rsidP="008C250F">
            <w:pPr>
              <w:pStyle w:val="NoSpacing"/>
              <w:jc w:val="right"/>
              <w:rPr>
                <w:sz w:val="22"/>
                <w:szCs w:val="22"/>
              </w:rPr>
            </w:pPr>
            <w:r w:rsidRPr="00F7505F">
              <w:rPr>
                <w:szCs w:val="22"/>
              </w:rPr>
              <w:t>0.</w:t>
            </w:r>
            <w:r w:rsidR="008C250F" w:rsidRPr="00F7505F">
              <w:rPr>
                <w:szCs w:val="22"/>
              </w:rPr>
              <w:t>2</w:t>
            </w:r>
            <w:r w:rsidRPr="00F7505F">
              <w:rPr>
                <w:szCs w:val="22"/>
              </w:rPr>
              <w:t>%</w:t>
            </w:r>
          </w:p>
        </w:tc>
        <w:tc>
          <w:tcPr>
            <w:tcW w:w="1277" w:type="dxa"/>
            <w:tcBorders>
              <w:top w:val="single" w:sz="4" w:space="0" w:color="auto"/>
              <w:left w:val="single" w:sz="4" w:space="0" w:color="auto"/>
            </w:tcBorders>
            <w:shd w:val="clear" w:color="000000" w:fill="FFFFFF"/>
            <w:vAlign w:val="center"/>
            <w:hideMark/>
          </w:tcPr>
          <w:p w:rsidR="0032599C" w:rsidRPr="00F7505F" w:rsidRDefault="00A5491C" w:rsidP="00003FCB">
            <w:pPr>
              <w:pStyle w:val="NoSpacing"/>
              <w:jc w:val="right"/>
            </w:pPr>
            <w:r>
              <w:t>N</w:t>
            </w:r>
            <w:r w:rsidR="005F7778" w:rsidRPr="00F7505F">
              <w:t>WAS</w:t>
            </w:r>
          </w:p>
        </w:tc>
        <w:tc>
          <w:tcPr>
            <w:tcW w:w="992" w:type="dxa"/>
            <w:tcBorders>
              <w:top w:val="single" w:sz="4" w:space="0" w:color="auto"/>
            </w:tcBorders>
            <w:shd w:val="clear" w:color="000000" w:fill="FFFFFF"/>
            <w:vAlign w:val="center"/>
          </w:tcPr>
          <w:p w:rsidR="0032599C" w:rsidRPr="00F7505F" w:rsidRDefault="00A5491C" w:rsidP="008C250F">
            <w:pPr>
              <w:pStyle w:val="NoSpacing"/>
              <w:jc w:val="right"/>
              <w:rPr>
                <w:sz w:val="22"/>
                <w:szCs w:val="22"/>
              </w:rPr>
            </w:pPr>
            <w:r>
              <w:rPr>
                <w:szCs w:val="22"/>
              </w:rPr>
              <w:t>4.5</w:t>
            </w:r>
            <w:r w:rsidR="007D2560" w:rsidRPr="00F7505F">
              <w:rPr>
                <w:szCs w:val="22"/>
              </w:rPr>
              <w:t>%</w:t>
            </w:r>
          </w:p>
        </w:tc>
      </w:tr>
      <w:tr w:rsidR="0037489E" w:rsidRPr="00F7505F" w:rsidTr="00003FCB">
        <w:trPr>
          <w:cantSplit/>
          <w:trHeight w:val="624"/>
        </w:trPr>
        <w:tc>
          <w:tcPr>
            <w:tcW w:w="3600" w:type="dxa"/>
            <w:tcBorders>
              <w:right w:val="single" w:sz="4" w:space="0" w:color="auto"/>
            </w:tcBorders>
            <w:shd w:val="clear" w:color="000000" w:fill="FFFFFF"/>
            <w:vAlign w:val="center"/>
            <w:hideMark/>
          </w:tcPr>
          <w:p w:rsidR="0032599C" w:rsidRPr="00F7505F" w:rsidRDefault="0032599C" w:rsidP="009E4593">
            <w:pPr>
              <w:pStyle w:val="NoSpacing"/>
            </w:pPr>
            <w:r w:rsidRPr="00F7505F">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F7505F" w:rsidRDefault="00A5491C" w:rsidP="008C250F">
            <w:pPr>
              <w:pStyle w:val="NoSpacing"/>
              <w:jc w:val="right"/>
              <w:rPr>
                <w:rFonts w:cs="Arial"/>
              </w:rPr>
            </w:pPr>
            <w:r>
              <w:rPr>
                <w:rFonts w:cs="Arial"/>
              </w:rPr>
              <w:t>10.4</w:t>
            </w:r>
            <w:r w:rsidR="001F27E7" w:rsidRPr="00F7505F">
              <w:rPr>
                <w:rFonts w:cs="Arial"/>
              </w:rPr>
              <w:t>%</w:t>
            </w:r>
          </w:p>
        </w:tc>
        <w:tc>
          <w:tcPr>
            <w:tcW w:w="1277" w:type="dxa"/>
            <w:tcBorders>
              <w:left w:val="single" w:sz="4" w:space="0" w:color="auto"/>
            </w:tcBorders>
            <w:shd w:val="clear" w:color="000000" w:fill="FFFFFF"/>
            <w:vAlign w:val="center"/>
            <w:hideMark/>
          </w:tcPr>
          <w:p w:rsidR="0032599C" w:rsidRPr="00003FCB" w:rsidRDefault="003B2F18" w:rsidP="00003FCB">
            <w:pPr>
              <w:pStyle w:val="NoSpacing"/>
              <w:jc w:val="right"/>
            </w:pPr>
            <w:r w:rsidRPr="00003FCB">
              <w:t>WMAS</w:t>
            </w:r>
          </w:p>
        </w:tc>
        <w:tc>
          <w:tcPr>
            <w:tcW w:w="991" w:type="dxa"/>
            <w:tcBorders>
              <w:right w:val="single" w:sz="4" w:space="0" w:color="auto"/>
            </w:tcBorders>
            <w:shd w:val="clear" w:color="000000" w:fill="FFFFFF"/>
            <w:vAlign w:val="center"/>
          </w:tcPr>
          <w:p w:rsidR="0032599C" w:rsidRPr="00F7505F" w:rsidRDefault="008C250F" w:rsidP="00A5491C">
            <w:pPr>
              <w:pStyle w:val="NoSpacing"/>
              <w:jc w:val="right"/>
              <w:rPr>
                <w:sz w:val="22"/>
                <w:szCs w:val="22"/>
              </w:rPr>
            </w:pPr>
            <w:r w:rsidRPr="00F7505F">
              <w:rPr>
                <w:szCs w:val="22"/>
              </w:rPr>
              <w:t>4.</w:t>
            </w:r>
            <w:r w:rsidR="00A5491C">
              <w:rPr>
                <w:szCs w:val="22"/>
              </w:rPr>
              <w:t>7</w:t>
            </w:r>
            <w:r w:rsidR="00E02284" w:rsidRPr="00F7505F">
              <w:rPr>
                <w:szCs w:val="22"/>
              </w:rPr>
              <w:t>%</w:t>
            </w:r>
          </w:p>
        </w:tc>
        <w:tc>
          <w:tcPr>
            <w:tcW w:w="1277" w:type="dxa"/>
            <w:tcBorders>
              <w:left w:val="single" w:sz="4" w:space="0" w:color="auto"/>
            </w:tcBorders>
            <w:shd w:val="clear" w:color="000000" w:fill="FFFFFF"/>
            <w:vAlign w:val="center"/>
            <w:hideMark/>
          </w:tcPr>
          <w:p w:rsidR="0032599C" w:rsidRPr="00F7505F" w:rsidRDefault="003B2F18" w:rsidP="00003FCB">
            <w:pPr>
              <w:pStyle w:val="NoSpacing"/>
              <w:jc w:val="right"/>
            </w:pPr>
            <w:r w:rsidRPr="00F7505F">
              <w:t>EMAS</w:t>
            </w:r>
          </w:p>
        </w:tc>
        <w:tc>
          <w:tcPr>
            <w:tcW w:w="992" w:type="dxa"/>
            <w:shd w:val="clear" w:color="000000" w:fill="FFFFFF"/>
            <w:vAlign w:val="center"/>
          </w:tcPr>
          <w:p w:rsidR="0032599C" w:rsidRPr="00F7505F" w:rsidRDefault="005F7778" w:rsidP="00A5491C">
            <w:pPr>
              <w:pStyle w:val="NoSpacing"/>
              <w:jc w:val="right"/>
              <w:rPr>
                <w:sz w:val="22"/>
                <w:szCs w:val="22"/>
              </w:rPr>
            </w:pPr>
            <w:r w:rsidRPr="00F7505F">
              <w:rPr>
                <w:szCs w:val="22"/>
              </w:rPr>
              <w:t>18.</w:t>
            </w:r>
            <w:r w:rsidR="00A5491C">
              <w:rPr>
                <w:szCs w:val="22"/>
              </w:rPr>
              <w:t>4</w:t>
            </w:r>
            <w:r w:rsidR="0037489E" w:rsidRPr="00F7505F">
              <w:rPr>
                <w:szCs w:val="22"/>
              </w:rPr>
              <w:t>%</w:t>
            </w:r>
          </w:p>
        </w:tc>
      </w:tr>
      <w:tr w:rsidR="0037489E" w:rsidRPr="00F7505F" w:rsidTr="00003FCB">
        <w:trPr>
          <w:cantSplit/>
          <w:trHeight w:val="624"/>
        </w:trPr>
        <w:tc>
          <w:tcPr>
            <w:tcW w:w="3600" w:type="dxa"/>
            <w:tcBorders>
              <w:right w:val="single" w:sz="4" w:space="0" w:color="auto"/>
            </w:tcBorders>
            <w:shd w:val="clear" w:color="000000" w:fill="FFFFFF"/>
            <w:vAlign w:val="center"/>
            <w:hideMark/>
          </w:tcPr>
          <w:p w:rsidR="0032599C" w:rsidRPr="00F7505F" w:rsidRDefault="0032599C" w:rsidP="00AB70A4">
            <w:pPr>
              <w:pStyle w:val="NoSpacing"/>
              <w:rPr>
                <w:vertAlign w:val="superscript"/>
              </w:rPr>
            </w:pPr>
            <w:r w:rsidRPr="00F7505F">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F7505F" w:rsidRDefault="00487E1C" w:rsidP="00A5491C">
            <w:pPr>
              <w:pStyle w:val="NoSpacing"/>
              <w:jc w:val="right"/>
              <w:rPr>
                <w:sz w:val="22"/>
                <w:szCs w:val="22"/>
              </w:rPr>
            </w:pPr>
            <w:r w:rsidRPr="00F7505F">
              <w:rPr>
                <w:szCs w:val="22"/>
              </w:rPr>
              <w:t>37</w:t>
            </w:r>
            <w:r w:rsidR="005F7778" w:rsidRPr="00F7505F">
              <w:rPr>
                <w:szCs w:val="22"/>
              </w:rPr>
              <w:t>.</w:t>
            </w:r>
            <w:r w:rsidR="00A5491C">
              <w:rPr>
                <w:szCs w:val="22"/>
              </w:rPr>
              <w:t>6</w:t>
            </w:r>
            <w:r w:rsidR="0032599C" w:rsidRPr="00F7505F">
              <w:rPr>
                <w:szCs w:val="22"/>
              </w:rPr>
              <w:t>%</w:t>
            </w:r>
          </w:p>
        </w:tc>
        <w:tc>
          <w:tcPr>
            <w:tcW w:w="1277" w:type="dxa"/>
            <w:tcBorders>
              <w:left w:val="single" w:sz="4" w:space="0" w:color="auto"/>
            </w:tcBorders>
            <w:shd w:val="clear" w:color="000000" w:fill="FFFFFF"/>
            <w:vAlign w:val="center"/>
            <w:hideMark/>
          </w:tcPr>
          <w:p w:rsidR="0032599C" w:rsidRPr="00003FCB" w:rsidRDefault="003B2F18" w:rsidP="00003FCB">
            <w:pPr>
              <w:pStyle w:val="NoSpacing"/>
              <w:jc w:val="right"/>
            </w:pPr>
            <w:r w:rsidRPr="00003FCB">
              <w:t>EMAS</w:t>
            </w:r>
          </w:p>
        </w:tc>
        <w:tc>
          <w:tcPr>
            <w:tcW w:w="991" w:type="dxa"/>
            <w:tcBorders>
              <w:right w:val="single" w:sz="4" w:space="0" w:color="auto"/>
            </w:tcBorders>
            <w:shd w:val="clear" w:color="000000" w:fill="FFFFFF"/>
            <w:vAlign w:val="center"/>
          </w:tcPr>
          <w:p w:rsidR="0032599C" w:rsidRPr="00F7505F" w:rsidRDefault="00A5491C" w:rsidP="008C250F">
            <w:pPr>
              <w:pStyle w:val="NoSpacing"/>
              <w:jc w:val="right"/>
              <w:rPr>
                <w:sz w:val="22"/>
                <w:szCs w:val="22"/>
              </w:rPr>
            </w:pPr>
            <w:r>
              <w:rPr>
                <w:szCs w:val="22"/>
              </w:rPr>
              <w:t>23.6</w:t>
            </w:r>
            <w:r w:rsidR="0037489E" w:rsidRPr="00F7505F">
              <w:rPr>
                <w:szCs w:val="22"/>
              </w:rPr>
              <w:t>%</w:t>
            </w:r>
          </w:p>
        </w:tc>
        <w:tc>
          <w:tcPr>
            <w:tcW w:w="1277" w:type="dxa"/>
            <w:tcBorders>
              <w:left w:val="single" w:sz="4" w:space="0" w:color="auto"/>
            </w:tcBorders>
            <w:shd w:val="clear" w:color="000000" w:fill="FFFFFF"/>
            <w:vAlign w:val="center"/>
            <w:hideMark/>
          </w:tcPr>
          <w:p w:rsidR="00330CA6" w:rsidRPr="00F7505F" w:rsidRDefault="003B2F18" w:rsidP="00003FCB">
            <w:pPr>
              <w:pStyle w:val="NoSpacing"/>
              <w:jc w:val="right"/>
              <w:rPr>
                <w:szCs w:val="22"/>
              </w:rPr>
            </w:pPr>
            <w:r w:rsidRPr="00F7505F">
              <w:rPr>
                <w:szCs w:val="22"/>
              </w:rPr>
              <w:t>SWAS</w:t>
            </w:r>
          </w:p>
        </w:tc>
        <w:tc>
          <w:tcPr>
            <w:tcW w:w="992" w:type="dxa"/>
            <w:shd w:val="clear" w:color="000000" w:fill="FFFFFF"/>
            <w:vAlign w:val="center"/>
          </w:tcPr>
          <w:p w:rsidR="0032599C" w:rsidRPr="00F7505F" w:rsidRDefault="008C250F" w:rsidP="00A5491C">
            <w:pPr>
              <w:pStyle w:val="NoSpacing"/>
              <w:jc w:val="right"/>
              <w:rPr>
                <w:szCs w:val="22"/>
              </w:rPr>
            </w:pPr>
            <w:r w:rsidRPr="00F7505F">
              <w:rPr>
                <w:szCs w:val="22"/>
              </w:rPr>
              <w:t>49.</w:t>
            </w:r>
            <w:r w:rsidR="00A5491C">
              <w:rPr>
                <w:szCs w:val="22"/>
              </w:rPr>
              <w:t>7</w:t>
            </w:r>
            <w:r w:rsidR="0037489E" w:rsidRPr="00F7505F">
              <w:rPr>
                <w:szCs w:val="22"/>
              </w:rPr>
              <w:t>%</w:t>
            </w:r>
          </w:p>
        </w:tc>
      </w:tr>
      <w:tr w:rsidR="0037489E" w:rsidRPr="00F7505F" w:rsidTr="00003FCB">
        <w:trPr>
          <w:cantSplit/>
          <w:trHeight w:val="624"/>
        </w:trPr>
        <w:tc>
          <w:tcPr>
            <w:tcW w:w="3600" w:type="dxa"/>
            <w:tcBorders>
              <w:right w:val="single" w:sz="4" w:space="0" w:color="auto"/>
            </w:tcBorders>
            <w:shd w:val="clear" w:color="000000" w:fill="FFFFFF"/>
            <w:vAlign w:val="center"/>
            <w:hideMark/>
          </w:tcPr>
          <w:p w:rsidR="0032599C" w:rsidRPr="00F7505F" w:rsidRDefault="0032599C" w:rsidP="009E4593">
            <w:pPr>
              <w:pStyle w:val="NoSpacing"/>
            </w:pPr>
            <w:bookmarkStart w:id="1" w:name="RANGE!A22"/>
            <w:r w:rsidRPr="00F7505F">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F7505F" w:rsidRDefault="0038191A" w:rsidP="00A5491C">
            <w:pPr>
              <w:pStyle w:val="NoSpacing"/>
              <w:jc w:val="right"/>
              <w:rPr>
                <w:sz w:val="22"/>
                <w:szCs w:val="22"/>
              </w:rPr>
            </w:pPr>
            <w:r w:rsidRPr="00F7505F">
              <w:rPr>
                <w:szCs w:val="22"/>
              </w:rPr>
              <w:t>6.</w:t>
            </w:r>
            <w:r w:rsidR="00A5491C">
              <w:rPr>
                <w:szCs w:val="22"/>
              </w:rPr>
              <w:t>1</w:t>
            </w:r>
            <w:r w:rsidR="001F27E7" w:rsidRPr="00F7505F">
              <w:rPr>
                <w:szCs w:val="22"/>
              </w:rPr>
              <w:t>%</w:t>
            </w:r>
          </w:p>
        </w:tc>
        <w:tc>
          <w:tcPr>
            <w:tcW w:w="1277" w:type="dxa"/>
            <w:tcBorders>
              <w:left w:val="single" w:sz="4" w:space="0" w:color="auto"/>
            </w:tcBorders>
            <w:shd w:val="clear" w:color="000000" w:fill="FFFFFF"/>
            <w:vAlign w:val="center"/>
            <w:hideMark/>
          </w:tcPr>
          <w:p w:rsidR="0032599C" w:rsidRPr="00003FCB" w:rsidRDefault="00F97208" w:rsidP="00003FCB">
            <w:pPr>
              <w:pStyle w:val="NoSpacing"/>
              <w:jc w:val="right"/>
            </w:pPr>
            <w:r w:rsidRPr="00003FCB">
              <w:t>EMAS</w:t>
            </w:r>
          </w:p>
        </w:tc>
        <w:tc>
          <w:tcPr>
            <w:tcW w:w="991" w:type="dxa"/>
            <w:tcBorders>
              <w:right w:val="single" w:sz="4" w:space="0" w:color="auto"/>
            </w:tcBorders>
            <w:shd w:val="clear" w:color="000000" w:fill="FFFFFF"/>
            <w:vAlign w:val="center"/>
          </w:tcPr>
          <w:p w:rsidR="0032599C" w:rsidRPr="00F7505F" w:rsidRDefault="00A5491C" w:rsidP="005F7778">
            <w:pPr>
              <w:pStyle w:val="NoSpacing"/>
              <w:jc w:val="right"/>
              <w:rPr>
                <w:sz w:val="22"/>
                <w:szCs w:val="22"/>
              </w:rPr>
            </w:pPr>
            <w:r>
              <w:rPr>
                <w:szCs w:val="22"/>
              </w:rPr>
              <w:t>1.1</w:t>
            </w:r>
            <w:r w:rsidR="002D0D09">
              <w:rPr>
                <w:szCs w:val="22"/>
              </w:rPr>
              <w:t>%</w:t>
            </w:r>
          </w:p>
        </w:tc>
        <w:tc>
          <w:tcPr>
            <w:tcW w:w="1277" w:type="dxa"/>
            <w:tcBorders>
              <w:left w:val="single" w:sz="4" w:space="0" w:color="auto"/>
            </w:tcBorders>
            <w:shd w:val="clear" w:color="000000" w:fill="FFFFFF"/>
            <w:vAlign w:val="center"/>
            <w:hideMark/>
          </w:tcPr>
          <w:p w:rsidR="0032599C" w:rsidRPr="00F7505F" w:rsidRDefault="003B2F18" w:rsidP="00003FCB">
            <w:pPr>
              <w:pStyle w:val="NoSpacing"/>
              <w:jc w:val="right"/>
              <w:rPr>
                <w:sz w:val="22"/>
                <w:szCs w:val="22"/>
              </w:rPr>
            </w:pPr>
            <w:r w:rsidRPr="00F7505F">
              <w:rPr>
                <w:szCs w:val="22"/>
              </w:rPr>
              <w:t>WMAS</w:t>
            </w:r>
          </w:p>
        </w:tc>
        <w:tc>
          <w:tcPr>
            <w:tcW w:w="992" w:type="dxa"/>
            <w:shd w:val="clear" w:color="000000" w:fill="FFFFFF"/>
            <w:vAlign w:val="center"/>
          </w:tcPr>
          <w:p w:rsidR="0032599C" w:rsidRPr="00F7505F" w:rsidRDefault="00A5491C" w:rsidP="003B2F18">
            <w:pPr>
              <w:pStyle w:val="NoSpacing"/>
              <w:jc w:val="right"/>
              <w:rPr>
                <w:sz w:val="22"/>
                <w:szCs w:val="22"/>
              </w:rPr>
            </w:pPr>
            <w:r>
              <w:rPr>
                <w:szCs w:val="22"/>
              </w:rPr>
              <w:t>14.5</w:t>
            </w:r>
            <w:r w:rsidR="0037489E" w:rsidRPr="00F7505F">
              <w:rPr>
                <w:szCs w:val="22"/>
              </w:rPr>
              <w:t>%</w:t>
            </w:r>
          </w:p>
        </w:tc>
      </w:tr>
      <w:tr w:rsidR="0037489E" w:rsidRPr="00F7505F" w:rsidTr="00003FCB">
        <w:trPr>
          <w:cantSplit/>
          <w:trHeight w:val="624"/>
        </w:trPr>
        <w:tc>
          <w:tcPr>
            <w:tcW w:w="3600" w:type="dxa"/>
            <w:tcBorders>
              <w:right w:val="single" w:sz="4" w:space="0" w:color="auto"/>
            </w:tcBorders>
            <w:shd w:val="clear" w:color="000000" w:fill="FFFFFF"/>
            <w:vAlign w:val="center"/>
            <w:hideMark/>
          </w:tcPr>
          <w:p w:rsidR="0032599C" w:rsidRPr="00F7505F" w:rsidRDefault="0032599C" w:rsidP="00B376CF">
            <w:pPr>
              <w:pStyle w:val="NoSpacing"/>
            </w:pPr>
            <w:r w:rsidRPr="00F7505F">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F7505F" w:rsidRDefault="00166DF4" w:rsidP="00654C29">
            <w:pPr>
              <w:pStyle w:val="NoSpacing"/>
              <w:jc w:val="right"/>
              <w:rPr>
                <w:sz w:val="22"/>
                <w:szCs w:val="22"/>
              </w:rPr>
            </w:pPr>
            <w:r w:rsidRPr="00F7505F">
              <w:rPr>
                <w:szCs w:val="22"/>
              </w:rPr>
              <w:t>5.</w:t>
            </w:r>
            <w:r w:rsidR="00654C29">
              <w:rPr>
                <w:szCs w:val="22"/>
              </w:rPr>
              <w:t>2</w:t>
            </w:r>
            <w:r w:rsidR="0032599C" w:rsidRPr="00F7505F">
              <w:rPr>
                <w:szCs w:val="22"/>
              </w:rPr>
              <w:t>%</w:t>
            </w:r>
          </w:p>
        </w:tc>
        <w:tc>
          <w:tcPr>
            <w:tcW w:w="1277" w:type="dxa"/>
            <w:tcBorders>
              <w:left w:val="single" w:sz="4" w:space="0" w:color="auto"/>
            </w:tcBorders>
            <w:shd w:val="clear" w:color="000000" w:fill="FFFFFF"/>
            <w:vAlign w:val="center"/>
            <w:hideMark/>
          </w:tcPr>
          <w:p w:rsidR="0032599C" w:rsidRPr="00003FCB" w:rsidRDefault="003B2F18" w:rsidP="00003FCB">
            <w:pPr>
              <w:pStyle w:val="NoSpacing"/>
              <w:jc w:val="right"/>
            </w:pPr>
            <w:r w:rsidRPr="00003FCB">
              <w:t>YAS</w:t>
            </w:r>
          </w:p>
        </w:tc>
        <w:tc>
          <w:tcPr>
            <w:tcW w:w="991" w:type="dxa"/>
            <w:tcBorders>
              <w:right w:val="single" w:sz="4" w:space="0" w:color="auto"/>
            </w:tcBorders>
            <w:shd w:val="clear" w:color="000000" w:fill="FFFFFF"/>
            <w:vAlign w:val="center"/>
          </w:tcPr>
          <w:p w:rsidR="0032599C" w:rsidRPr="00F7505F" w:rsidRDefault="003B2F18" w:rsidP="00654C29">
            <w:pPr>
              <w:pStyle w:val="NoSpacing"/>
              <w:jc w:val="right"/>
              <w:rPr>
                <w:sz w:val="22"/>
                <w:szCs w:val="22"/>
              </w:rPr>
            </w:pPr>
            <w:r w:rsidRPr="00F7505F">
              <w:rPr>
                <w:szCs w:val="22"/>
              </w:rPr>
              <w:t>1</w:t>
            </w:r>
            <w:r w:rsidR="005F7778" w:rsidRPr="00F7505F">
              <w:rPr>
                <w:szCs w:val="22"/>
              </w:rPr>
              <w:t>.</w:t>
            </w:r>
            <w:r w:rsidR="00654C29">
              <w:rPr>
                <w:szCs w:val="22"/>
              </w:rPr>
              <w:t>3</w:t>
            </w:r>
            <w:r w:rsidR="0032599C" w:rsidRPr="00F7505F">
              <w:rPr>
                <w:szCs w:val="22"/>
              </w:rPr>
              <w:t>%</w:t>
            </w:r>
          </w:p>
        </w:tc>
        <w:tc>
          <w:tcPr>
            <w:tcW w:w="1277" w:type="dxa"/>
            <w:tcBorders>
              <w:left w:val="single" w:sz="4" w:space="0" w:color="auto"/>
            </w:tcBorders>
            <w:shd w:val="clear" w:color="000000" w:fill="FFFFFF"/>
            <w:vAlign w:val="center"/>
            <w:hideMark/>
          </w:tcPr>
          <w:p w:rsidR="0032599C" w:rsidRPr="00F7505F" w:rsidRDefault="003B2F18" w:rsidP="00003FCB">
            <w:pPr>
              <w:pStyle w:val="NoSpacing"/>
              <w:jc w:val="right"/>
              <w:rPr>
                <w:sz w:val="22"/>
                <w:szCs w:val="22"/>
              </w:rPr>
            </w:pPr>
            <w:r w:rsidRPr="00F7505F">
              <w:rPr>
                <w:szCs w:val="22"/>
              </w:rPr>
              <w:t>LAS</w:t>
            </w:r>
          </w:p>
        </w:tc>
        <w:tc>
          <w:tcPr>
            <w:tcW w:w="992" w:type="dxa"/>
            <w:shd w:val="clear" w:color="000000" w:fill="FFFFFF"/>
            <w:vAlign w:val="center"/>
          </w:tcPr>
          <w:p w:rsidR="0032599C" w:rsidRPr="00F7505F" w:rsidRDefault="00654C29" w:rsidP="00104D7F">
            <w:pPr>
              <w:pStyle w:val="NoSpacing"/>
              <w:jc w:val="right"/>
              <w:rPr>
                <w:sz w:val="22"/>
                <w:szCs w:val="22"/>
              </w:rPr>
            </w:pPr>
            <w:r>
              <w:rPr>
                <w:szCs w:val="22"/>
              </w:rPr>
              <w:t>9.1</w:t>
            </w:r>
            <w:r w:rsidR="00D6205D" w:rsidRPr="00F7505F">
              <w:rPr>
                <w:szCs w:val="22"/>
              </w:rPr>
              <w:t>%</w:t>
            </w:r>
          </w:p>
        </w:tc>
      </w:tr>
      <w:tr w:rsidR="0037489E" w:rsidRPr="00F7505F" w:rsidTr="00003FCB">
        <w:trPr>
          <w:cantSplit/>
          <w:trHeight w:val="624"/>
        </w:trPr>
        <w:tc>
          <w:tcPr>
            <w:tcW w:w="3600" w:type="dxa"/>
            <w:tcBorders>
              <w:bottom w:val="single" w:sz="4" w:space="0" w:color="auto"/>
              <w:right w:val="single" w:sz="4" w:space="0" w:color="auto"/>
            </w:tcBorders>
            <w:shd w:val="clear" w:color="auto" w:fill="auto"/>
            <w:vAlign w:val="center"/>
            <w:hideMark/>
          </w:tcPr>
          <w:p w:rsidR="0032599C" w:rsidRPr="00F7505F" w:rsidRDefault="008006FA" w:rsidP="00F0288C">
            <w:pPr>
              <w:pStyle w:val="NoSpacing"/>
            </w:pPr>
            <w:r w:rsidRPr="00F7505F">
              <w:t xml:space="preserve">Incidents </w:t>
            </w:r>
            <w:r w:rsidR="00F0288C" w:rsidRPr="00F7505F">
              <w:t>where a</w:t>
            </w:r>
            <w:r w:rsidRPr="00F7505F">
              <w:t xml:space="preserve"> patient </w:t>
            </w:r>
            <w:r w:rsidR="00F0288C" w:rsidRPr="00F7505F">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F7505F" w:rsidRDefault="00654C29" w:rsidP="00B376CF">
            <w:pPr>
              <w:pStyle w:val="NoSpacing"/>
              <w:jc w:val="right"/>
              <w:rPr>
                <w:rFonts w:cs="Arial"/>
              </w:rPr>
            </w:pPr>
            <w:r>
              <w:rPr>
                <w:rFonts w:cs="Arial"/>
              </w:rPr>
              <w:t>400,759</w:t>
            </w:r>
          </w:p>
        </w:tc>
        <w:tc>
          <w:tcPr>
            <w:tcW w:w="1277" w:type="dxa"/>
            <w:tcBorders>
              <w:left w:val="single" w:sz="4" w:space="0" w:color="auto"/>
              <w:bottom w:val="single" w:sz="4" w:space="0" w:color="auto"/>
            </w:tcBorders>
            <w:shd w:val="clear" w:color="auto" w:fill="auto"/>
            <w:noWrap/>
            <w:vAlign w:val="center"/>
          </w:tcPr>
          <w:p w:rsidR="0032599C" w:rsidRPr="00003FCB" w:rsidRDefault="00F97208" w:rsidP="00003FCB">
            <w:pPr>
              <w:pStyle w:val="NoSpacing"/>
              <w:jc w:val="right"/>
            </w:pPr>
            <w:r w:rsidRPr="00003FCB">
              <w:t>NEA</w:t>
            </w:r>
            <w:r w:rsidR="005F7778" w:rsidRPr="00003FCB">
              <w:t>S</w:t>
            </w:r>
          </w:p>
        </w:tc>
        <w:tc>
          <w:tcPr>
            <w:tcW w:w="991" w:type="dxa"/>
            <w:tcBorders>
              <w:bottom w:val="single" w:sz="4" w:space="0" w:color="auto"/>
              <w:right w:val="single" w:sz="4" w:space="0" w:color="auto"/>
            </w:tcBorders>
            <w:shd w:val="clear" w:color="auto" w:fill="auto"/>
            <w:vAlign w:val="center"/>
          </w:tcPr>
          <w:p w:rsidR="00A75E1A" w:rsidRPr="00F7505F" w:rsidRDefault="00104D7F" w:rsidP="00654C29">
            <w:pPr>
              <w:pStyle w:val="NoSpacing"/>
              <w:jc w:val="right"/>
              <w:rPr>
                <w:rFonts w:cs="Arial"/>
              </w:rPr>
            </w:pPr>
            <w:r w:rsidRPr="00F7505F">
              <w:rPr>
                <w:rFonts w:cs="Arial"/>
              </w:rPr>
              <w:t>19,</w:t>
            </w:r>
            <w:r w:rsidR="00654C29">
              <w:rPr>
                <w:rFonts w:cs="Arial"/>
              </w:rPr>
              <w:t>318</w:t>
            </w:r>
          </w:p>
        </w:tc>
        <w:tc>
          <w:tcPr>
            <w:tcW w:w="1277" w:type="dxa"/>
            <w:tcBorders>
              <w:left w:val="single" w:sz="4" w:space="0" w:color="auto"/>
              <w:bottom w:val="single" w:sz="4" w:space="0" w:color="auto"/>
            </w:tcBorders>
            <w:shd w:val="clear" w:color="auto" w:fill="auto"/>
            <w:noWrap/>
            <w:vAlign w:val="center"/>
          </w:tcPr>
          <w:p w:rsidR="0032599C" w:rsidRPr="00F7505F" w:rsidRDefault="00F97208" w:rsidP="00003FCB">
            <w:pPr>
              <w:pStyle w:val="NoSpacing"/>
              <w:jc w:val="right"/>
              <w:rPr>
                <w:sz w:val="22"/>
                <w:szCs w:val="22"/>
              </w:rPr>
            </w:pPr>
            <w:r w:rsidRPr="00F7505F">
              <w:rPr>
                <w:szCs w:val="22"/>
              </w:rPr>
              <w:t>LAS</w:t>
            </w:r>
          </w:p>
        </w:tc>
        <w:tc>
          <w:tcPr>
            <w:tcW w:w="992" w:type="dxa"/>
            <w:shd w:val="clear" w:color="auto" w:fill="auto"/>
            <w:vAlign w:val="center"/>
          </w:tcPr>
          <w:p w:rsidR="0032599C" w:rsidRPr="00F7505F" w:rsidRDefault="00104D7F" w:rsidP="00654C29">
            <w:pPr>
              <w:pStyle w:val="NoSpacing"/>
              <w:jc w:val="right"/>
              <w:rPr>
                <w:rFonts w:cs="Arial"/>
              </w:rPr>
            </w:pPr>
            <w:r w:rsidRPr="00F7505F">
              <w:rPr>
                <w:rFonts w:cs="Arial"/>
              </w:rPr>
              <w:t>6</w:t>
            </w:r>
            <w:r w:rsidR="00654C29">
              <w:rPr>
                <w:rFonts w:cs="Arial"/>
              </w:rPr>
              <w:t>6,258</w:t>
            </w:r>
          </w:p>
        </w:tc>
      </w:tr>
    </w:tbl>
    <w:p w:rsidR="003A0D0C" w:rsidRDefault="003A0D0C" w:rsidP="003A0D0C">
      <w:pPr>
        <w:pStyle w:val="Heading2"/>
      </w:pPr>
      <w:r w:rsidRPr="00F7505F">
        <w:t>Clinical Outcomes</w:t>
      </w:r>
    </w:p>
    <w:p w:rsidR="00572137" w:rsidRPr="00572137" w:rsidRDefault="00572137" w:rsidP="00572137">
      <w:r>
        <w:t>This month’s publication contains Clinical Outcomes for March 2017, completing the data for 2016-17, and so we compare Clinical Outcomes for the latest year with those for earlier years.</w:t>
      </w:r>
    </w:p>
    <w:p w:rsidR="003A0D0C" w:rsidRPr="00F7505F" w:rsidRDefault="003A0D0C" w:rsidP="003A0D0C">
      <w:pPr>
        <w:pStyle w:val="Heading3"/>
      </w:pPr>
      <w:r w:rsidRPr="00F7505F">
        <w:t>Cardiac arrest: return of spontaneous circulation (ROSC</w:t>
      </w:r>
      <w:r w:rsidR="00C814F1" w:rsidRPr="00F7505F">
        <w:t>)</w:t>
      </w:r>
    </w:p>
    <w:p w:rsidR="00DD33B2" w:rsidRDefault="00DD33B2" w:rsidP="00DD33B2">
      <w:pPr>
        <w:pStyle w:val="NoSpacing"/>
      </w:pPr>
      <w:r>
        <w:rPr>
          <w:noProof/>
        </w:rPr>
        <w:drawing>
          <wp:inline distT="0" distB="0" distL="0" distR="0" wp14:anchorId="629B8E5D">
            <wp:extent cx="5773420" cy="31089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3420" cy="3108960"/>
                    </a:xfrm>
                    <a:prstGeom prst="rect">
                      <a:avLst/>
                    </a:prstGeom>
                    <a:noFill/>
                  </pic:spPr>
                </pic:pic>
              </a:graphicData>
            </a:graphic>
          </wp:inline>
        </w:drawing>
      </w:r>
    </w:p>
    <w:p w:rsidR="000A5F85" w:rsidRPr="00F7505F" w:rsidRDefault="00044185" w:rsidP="00DD33B2">
      <w:r w:rsidRPr="00F7505F">
        <w:lastRenderedPageBreak/>
        <w:t xml:space="preserve">Patients in cardiac arrest will typically have no pulse and will not be breathing. </w:t>
      </w:r>
      <w:r w:rsidR="0032599C" w:rsidRPr="00F7505F">
        <w:t xml:space="preserve">In </w:t>
      </w:r>
      <w:r w:rsidR="00CC4D42">
        <w:t>March</w:t>
      </w:r>
      <w:r w:rsidR="00506143" w:rsidRPr="00F7505F">
        <w:t xml:space="preserve"> 201</w:t>
      </w:r>
      <w:r w:rsidR="00A527D6" w:rsidRPr="00F7505F">
        <w:t>7</w:t>
      </w:r>
      <w:r w:rsidR="00752540" w:rsidRPr="00F7505F">
        <w:t>,</w:t>
      </w:r>
      <w:r w:rsidRPr="00F7505F">
        <w:t xml:space="preserve"> in England</w:t>
      </w:r>
      <w:r w:rsidR="0032599C" w:rsidRPr="00F7505F">
        <w:t xml:space="preserve">, </w:t>
      </w:r>
      <w:r w:rsidRPr="00F7505F">
        <w:t xml:space="preserve">resuscitation was commenced or continued by ambulance staff out-of-hospital for </w:t>
      </w:r>
      <w:r w:rsidR="00CC4D42">
        <w:t>2,672</w:t>
      </w:r>
      <w:r w:rsidR="00592C3C" w:rsidRPr="00F7505F">
        <w:t xml:space="preserve"> </w:t>
      </w:r>
      <w:r w:rsidRPr="00F7505F">
        <w:t xml:space="preserve">such </w:t>
      </w:r>
      <w:r w:rsidR="0032599C" w:rsidRPr="00F7505F">
        <w:t xml:space="preserve">patients. Of these, </w:t>
      </w:r>
      <w:r w:rsidR="00CC4D42">
        <w:t>808</w:t>
      </w:r>
      <w:r w:rsidR="00AC1EF7" w:rsidRPr="00F7505F">
        <w:t xml:space="preserve"> </w:t>
      </w:r>
      <w:r w:rsidR="0032599C" w:rsidRPr="00F7505F">
        <w:t>(</w:t>
      </w:r>
      <w:r w:rsidR="00CC4D42">
        <w:t>30</w:t>
      </w:r>
      <w:r w:rsidR="00FB6B88" w:rsidRPr="00F7505F">
        <w:t>%)</w:t>
      </w:r>
      <w:r w:rsidR="0032599C" w:rsidRPr="00F7505F">
        <w:t xml:space="preserve"> had ROSC</w:t>
      </w:r>
      <w:r w:rsidRPr="00F7505F">
        <w:t xml:space="preserve">, with a pulse, </w:t>
      </w:r>
      <w:r w:rsidR="0032599C" w:rsidRPr="00F7505F">
        <w:t>on arrival at hospital</w:t>
      </w:r>
      <w:r w:rsidR="00EC03AC" w:rsidRPr="00F7505F">
        <w:t xml:space="preserve"> (Figure </w:t>
      </w:r>
      <w:r w:rsidR="00A527D6" w:rsidRPr="00F7505F">
        <w:t>5</w:t>
      </w:r>
      <w:r w:rsidR="00C814F1" w:rsidRPr="00F7505F">
        <w:t>)</w:t>
      </w:r>
      <w:r w:rsidR="00E41E8F" w:rsidRPr="00F7505F">
        <w:t xml:space="preserve">, </w:t>
      </w:r>
      <w:r w:rsidR="00E65E27">
        <w:t>similar to</w:t>
      </w:r>
      <w:r w:rsidR="004749C8">
        <w:t xml:space="preserve"> </w:t>
      </w:r>
      <w:r w:rsidR="006336E6">
        <w:t xml:space="preserve">the </w:t>
      </w:r>
      <w:r w:rsidR="00D24A42" w:rsidRPr="00F7505F">
        <w:t>2016</w:t>
      </w:r>
      <w:r w:rsidR="004749C8">
        <w:t xml:space="preserve">-17 </w:t>
      </w:r>
      <w:r w:rsidR="00953331">
        <w:t>average</w:t>
      </w:r>
      <w:r w:rsidR="00FB6B88" w:rsidRPr="00F7505F">
        <w:t xml:space="preserve"> (</w:t>
      </w:r>
      <w:r w:rsidR="004749C8">
        <w:t>28</w:t>
      </w:r>
      <w:r w:rsidR="00FB6B88" w:rsidRPr="00F7505F">
        <w:t>%)</w:t>
      </w:r>
      <w:r w:rsidR="0032599C" w:rsidRPr="00F7505F">
        <w:t>.</w:t>
      </w:r>
    </w:p>
    <w:p w:rsidR="00F36218" w:rsidRPr="00F7505F" w:rsidRDefault="003A0D0C" w:rsidP="00DD33B2">
      <w:pPr>
        <w:rPr>
          <w:rFonts w:cs="Arial"/>
        </w:rPr>
      </w:pPr>
      <w:r w:rsidRPr="00F7505F">
        <w:t>The Utstein group</w:t>
      </w:r>
      <w:r w:rsidR="007E28DC" w:rsidRPr="00F7505F">
        <w:rPr>
          <w:rStyle w:val="FootnoteReference"/>
        </w:rPr>
        <w:footnoteReference w:id="10"/>
      </w:r>
      <w:r w:rsidRPr="00F7505F">
        <w:t xml:space="preserve"> comprises patients who had resuscitation commenced or continued by the Ambulance Services, following an out-of-hospital cardiac arrest of presumed cardiac origin, where the arrest was bystander witnessed, and the initial rhythm was </w:t>
      </w:r>
      <w:r w:rsidRPr="00F7505F">
        <w:rPr>
          <w:rFonts w:cs="Arial"/>
        </w:rPr>
        <w:t>Ventricular Fibrillation or Ventricular Tachycardia.</w:t>
      </w:r>
      <w:r w:rsidR="00CB58C3" w:rsidRPr="00F7505F">
        <w:rPr>
          <w:rFonts w:cs="Arial"/>
        </w:rPr>
        <w:t xml:space="preserve"> </w:t>
      </w:r>
      <w:r w:rsidR="002221E6" w:rsidRPr="00F7505F">
        <w:rPr>
          <w:rFonts w:cs="Arial"/>
        </w:rPr>
        <w:t>The Utstein group therefore ha</w:t>
      </w:r>
      <w:r w:rsidR="00CB58C3" w:rsidRPr="00F7505F">
        <w:rPr>
          <w:rFonts w:cs="Arial"/>
        </w:rPr>
        <w:t>ve a better chance of survival.</w:t>
      </w:r>
    </w:p>
    <w:p w:rsidR="00BE0BD9" w:rsidRPr="00F7505F" w:rsidRDefault="00F8461F" w:rsidP="0032599C">
      <w:pPr>
        <w:rPr>
          <w:rFonts w:cs="Arial"/>
        </w:rPr>
      </w:pPr>
      <w:r w:rsidRPr="00F7505F">
        <w:rPr>
          <w:rFonts w:cs="Arial"/>
        </w:rPr>
        <w:t>There were</w:t>
      </w:r>
      <w:r w:rsidR="0032599C" w:rsidRPr="00F7505F">
        <w:rPr>
          <w:rFonts w:cs="Arial"/>
        </w:rPr>
        <w:t xml:space="preserve"> </w:t>
      </w:r>
      <w:r w:rsidR="004A5D9E" w:rsidRPr="00F7505F">
        <w:rPr>
          <w:rFonts w:cs="Arial"/>
        </w:rPr>
        <w:t>4</w:t>
      </w:r>
      <w:r w:rsidR="004749C8">
        <w:rPr>
          <w:rFonts w:cs="Arial"/>
        </w:rPr>
        <w:t>10</w:t>
      </w:r>
      <w:r w:rsidR="00022C19" w:rsidRPr="00F7505F">
        <w:rPr>
          <w:rFonts w:cs="Arial"/>
        </w:rPr>
        <w:t xml:space="preserve"> </w:t>
      </w:r>
      <w:r w:rsidR="00CB58C3" w:rsidRPr="00F7505F">
        <w:rPr>
          <w:rFonts w:cs="Arial"/>
        </w:rPr>
        <w:t>such</w:t>
      </w:r>
      <w:r w:rsidR="0032599C" w:rsidRPr="00F7505F">
        <w:rPr>
          <w:rFonts w:cs="Arial"/>
        </w:rPr>
        <w:t xml:space="preserve"> patients </w:t>
      </w:r>
      <w:r w:rsidR="0032599C" w:rsidRPr="00F7505F">
        <w:t>in England</w:t>
      </w:r>
      <w:r w:rsidR="0032599C" w:rsidRPr="00F7505F">
        <w:rPr>
          <w:rFonts w:cs="Arial"/>
        </w:rPr>
        <w:t xml:space="preserve"> in</w:t>
      </w:r>
      <w:r w:rsidR="00C570ED" w:rsidRPr="00F7505F">
        <w:rPr>
          <w:rFonts w:cs="Arial"/>
        </w:rPr>
        <w:t xml:space="preserve"> </w:t>
      </w:r>
      <w:r w:rsidR="004749C8">
        <w:rPr>
          <w:rFonts w:cs="Arial"/>
        </w:rPr>
        <w:t>March</w:t>
      </w:r>
      <w:r w:rsidR="00506143" w:rsidRPr="00F7505F">
        <w:rPr>
          <w:rFonts w:cs="Arial"/>
        </w:rPr>
        <w:t xml:space="preserve"> 201</w:t>
      </w:r>
      <w:r w:rsidR="004A5D9E" w:rsidRPr="00F7505F">
        <w:rPr>
          <w:rFonts w:cs="Arial"/>
        </w:rPr>
        <w:t>7</w:t>
      </w:r>
      <w:r w:rsidR="0032599C" w:rsidRPr="00F7505F">
        <w:rPr>
          <w:rFonts w:cs="Arial"/>
        </w:rPr>
        <w:t xml:space="preserve">, </w:t>
      </w:r>
      <w:r w:rsidRPr="00F7505F">
        <w:rPr>
          <w:rFonts w:cs="Arial"/>
        </w:rPr>
        <w:t xml:space="preserve">of which </w:t>
      </w:r>
      <w:r w:rsidR="004A5D9E" w:rsidRPr="00F7505F">
        <w:rPr>
          <w:rFonts w:cs="Arial"/>
        </w:rPr>
        <w:t>21</w:t>
      </w:r>
      <w:r w:rsidR="004749C8">
        <w:rPr>
          <w:rFonts w:cs="Arial"/>
        </w:rPr>
        <w:t>6</w:t>
      </w:r>
      <w:r w:rsidRPr="00F7505F">
        <w:rPr>
          <w:rFonts w:cs="Arial"/>
        </w:rPr>
        <w:t xml:space="preserve"> (</w:t>
      </w:r>
      <w:r w:rsidR="004A5D9E" w:rsidRPr="00F7505F">
        <w:rPr>
          <w:rFonts w:cs="Arial"/>
        </w:rPr>
        <w:t>5</w:t>
      </w:r>
      <w:r w:rsidR="004749C8">
        <w:rPr>
          <w:rFonts w:cs="Arial"/>
        </w:rPr>
        <w:t>3</w:t>
      </w:r>
      <w:r w:rsidR="00BB43BC" w:rsidRPr="00F7505F">
        <w:rPr>
          <w:rFonts w:cs="Arial"/>
        </w:rPr>
        <w:t>%</w:t>
      </w:r>
      <w:r w:rsidRPr="00F7505F">
        <w:rPr>
          <w:rFonts w:cs="Arial"/>
        </w:rPr>
        <w:t>)</w:t>
      </w:r>
      <w:r w:rsidR="0032599C" w:rsidRPr="00F7505F">
        <w:rPr>
          <w:rFonts w:cs="Arial"/>
        </w:rPr>
        <w:t xml:space="preserve"> had ROSC on arrival at hospital</w:t>
      </w:r>
      <w:r w:rsidR="002368DF" w:rsidRPr="00F7505F">
        <w:rPr>
          <w:rFonts w:cs="Arial"/>
        </w:rPr>
        <w:t xml:space="preserve"> (Figure </w:t>
      </w:r>
      <w:r w:rsidR="004A5D9E" w:rsidRPr="00F7505F">
        <w:rPr>
          <w:rFonts w:cs="Arial"/>
        </w:rPr>
        <w:t>5</w:t>
      </w:r>
      <w:r w:rsidR="00C814F1" w:rsidRPr="00F7505F">
        <w:rPr>
          <w:rFonts w:cs="Arial"/>
        </w:rPr>
        <w:t>)</w:t>
      </w:r>
      <w:r w:rsidR="00E023B6" w:rsidRPr="00F7505F">
        <w:rPr>
          <w:rFonts w:cs="Arial"/>
        </w:rPr>
        <w:t>,</w:t>
      </w:r>
      <w:r w:rsidR="00877024" w:rsidRPr="00F7505F">
        <w:rPr>
          <w:rFonts w:cs="Arial"/>
        </w:rPr>
        <w:t xml:space="preserve"> </w:t>
      </w:r>
      <w:r w:rsidR="00953331">
        <w:rPr>
          <w:rFonts w:cs="Arial"/>
        </w:rPr>
        <w:t xml:space="preserve">also similar to </w:t>
      </w:r>
      <w:r w:rsidR="004749C8">
        <w:rPr>
          <w:rFonts w:cs="Arial"/>
        </w:rPr>
        <w:t xml:space="preserve">the 2016-17 </w:t>
      </w:r>
      <w:r w:rsidR="00953331">
        <w:rPr>
          <w:rFonts w:cs="Arial"/>
        </w:rPr>
        <w:t xml:space="preserve">average </w:t>
      </w:r>
      <w:r w:rsidR="00FB6B88" w:rsidRPr="00F7505F">
        <w:t>(51%).</w:t>
      </w:r>
    </w:p>
    <w:p w:rsidR="00572137" w:rsidRDefault="00572137" w:rsidP="00572137">
      <w:r>
        <w:t xml:space="preserve">Over recent years, Figure 6 shows that for all </w:t>
      </w:r>
      <w:r w:rsidR="008F6482">
        <w:t xml:space="preserve">patients in </w:t>
      </w:r>
      <w:r>
        <w:t xml:space="preserve">England, </w:t>
      </w:r>
      <w:r w:rsidR="008F6482">
        <w:t>ROSC</w:t>
      </w:r>
      <w:r>
        <w:t xml:space="preserve"> has increased from 23% in 2011-12 to 28% in 2016-17. In 2016-17, NWAS had the largest proportion with 36%, and the lowest proportion was 25% for EMAS, NEAS and SWAS. </w:t>
      </w:r>
    </w:p>
    <w:p w:rsidR="00BA0F66" w:rsidRDefault="00BA0F66" w:rsidP="00BA0F66">
      <w:pPr>
        <w:pStyle w:val="Heading5"/>
      </w:pPr>
      <w:r>
        <w:t>Figure 6: ROSC following cardiac arrest: annual trust-level data, all patients</w:t>
      </w:r>
    </w:p>
    <w:p w:rsidR="00DD33B2" w:rsidRPr="00DD33B2" w:rsidRDefault="00DD33B2" w:rsidP="00DD33B2">
      <w:r>
        <w:rPr>
          <w:noProof/>
        </w:rPr>
        <w:drawing>
          <wp:inline distT="0" distB="0" distL="0" distR="0" wp14:anchorId="15AB4CCE">
            <wp:extent cx="5736590" cy="2219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6590" cy="2219325"/>
                    </a:xfrm>
                    <a:prstGeom prst="rect">
                      <a:avLst/>
                    </a:prstGeom>
                    <a:noFill/>
                  </pic:spPr>
                </pic:pic>
              </a:graphicData>
            </a:graphic>
          </wp:inline>
        </w:drawing>
      </w:r>
    </w:p>
    <w:p w:rsidR="00BA0F66" w:rsidRDefault="00BA0F66" w:rsidP="00BA0F66">
      <w:pPr>
        <w:pStyle w:val="Heading5"/>
      </w:pPr>
      <w:r>
        <w:t>Figure 7: ROSC following cardiac arrest: annual trust-level data, Utstein group</w:t>
      </w:r>
    </w:p>
    <w:p w:rsidR="0057309E" w:rsidRPr="0057309E" w:rsidRDefault="0057309E" w:rsidP="0057309E">
      <w:r>
        <w:rPr>
          <w:noProof/>
        </w:rPr>
        <w:drawing>
          <wp:inline distT="0" distB="0" distL="0" distR="0" wp14:anchorId="2E4AAA57">
            <wp:extent cx="5761355" cy="21761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2176145"/>
                    </a:xfrm>
                    <a:prstGeom prst="rect">
                      <a:avLst/>
                    </a:prstGeom>
                    <a:noFill/>
                  </pic:spPr>
                </pic:pic>
              </a:graphicData>
            </a:graphic>
          </wp:inline>
        </w:drawing>
      </w:r>
    </w:p>
    <w:p w:rsidR="0057309E" w:rsidRDefault="0057309E" w:rsidP="0057309E">
      <w:r>
        <w:lastRenderedPageBreak/>
        <w:t>For the</w:t>
      </w:r>
      <w:r w:rsidRPr="007E350C">
        <w:t xml:space="preserve"> Utstein comparator group</w:t>
      </w:r>
      <w:r>
        <w:t xml:space="preserve">, Figure 7 shows that the England proportion </w:t>
      </w:r>
      <w:r w:rsidR="00D20847">
        <w:t xml:space="preserve">increased gradually </w:t>
      </w:r>
      <w:r>
        <w:t>from 43% in 2011-12 to 51% in 2016-17.</w:t>
      </w:r>
      <w:r w:rsidRPr="008F6482">
        <w:t xml:space="preserve"> </w:t>
      </w:r>
      <w:r w:rsidRPr="00604305">
        <w:t>In 201</w:t>
      </w:r>
      <w:r>
        <w:t>6</w:t>
      </w:r>
      <w:r w:rsidRPr="00604305">
        <w:t>-1</w:t>
      </w:r>
      <w:r>
        <w:t>7</w:t>
      </w:r>
      <w:r w:rsidRPr="00604305">
        <w:t xml:space="preserve">, </w:t>
      </w:r>
      <w:r>
        <w:t>NEAS</w:t>
      </w:r>
      <w:r w:rsidRPr="00604305">
        <w:t xml:space="preserve"> had the largest proportion with 5</w:t>
      </w:r>
      <w:r>
        <w:t xml:space="preserve">9%, and SCAS </w:t>
      </w:r>
      <w:r w:rsidRPr="00604305">
        <w:t xml:space="preserve">had the lowest proportion with </w:t>
      </w:r>
      <w:r>
        <w:t>40</w:t>
      </w:r>
      <w:r w:rsidRPr="00604305">
        <w:t>%</w:t>
      </w:r>
      <w:r>
        <w:t>.</w:t>
      </w:r>
    </w:p>
    <w:p w:rsidR="003A0D0C" w:rsidRPr="00F7505F" w:rsidRDefault="003A0D0C" w:rsidP="003A0D0C">
      <w:pPr>
        <w:pStyle w:val="Heading3"/>
      </w:pPr>
      <w:r w:rsidRPr="00F7505F">
        <w:t>Cardiac arrest: survival to discharge</w:t>
      </w:r>
      <w:r w:rsidR="00D4605E" w:rsidRPr="00F7505F">
        <w:rPr>
          <w:noProof/>
        </w:rPr>
        <w:t xml:space="preserve"> </w:t>
      </w:r>
    </w:p>
    <w:p w:rsidR="00132DDA" w:rsidRDefault="00BA0F66" w:rsidP="0077014B">
      <w:r>
        <w:t>Figure 8 shows that t</w:t>
      </w:r>
      <w:r w:rsidR="0077014B" w:rsidRPr="00F7505F">
        <w:t xml:space="preserve">he proportion of cardiac arrest patients in England discharged from hospital alive was </w:t>
      </w:r>
      <w:r w:rsidR="002759F4">
        <w:t>9</w:t>
      </w:r>
      <w:r w:rsidR="0077014B" w:rsidRPr="00F7505F">
        <w:t xml:space="preserve">% in </w:t>
      </w:r>
      <w:r w:rsidR="002759F4">
        <w:t>March</w:t>
      </w:r>
      <w:r>
        <w:t xml:space="preserve"> 2017</w:t>
      </w:r>
      <w:r w:rsidR="0077014B" w:rsidRPr="00F7505F">
        <w:t xml:space="preserve">, </w:t>
      </w:r>
      <w:r w:rsidR="00953331">
        <w:t xml:space="preserve">similar to the </w:t>
      </w:r>
      <w:r w:rsidR="0077014B" w:rsidRPr="00F7505F">
        <w:t>2016</w:t>
      </w:r>
      <w:r w:rsidR="002759F4">
        <w:t>-17</w:t>
      </w:r>
      <w:r w:rsidR="0077014B" w:rsidRPr="00F7505F">
        <w:t xml:space="preserve"> </w:t>
      </w:r>
      <w:r w:rsidR="00953331">
        <w:t xml:space="preserve">average </w:t>
      </w:r>
      <w:r w:rsidR="0077014B" w:rsidRPr="00F7505F">
        <w:t>(8%).</w:t>
      </w:r>
      <w:r w:rsidR="00953331">
        <w:t xml:space="preserve"> </w:t>
      </w:r>
      <w:r w:rsidR="0077014B" w:rsidRPr="00F7505F">
        <w:t xml:space="preserve">For the Utstein group, survival to discharge in </w:t>
      </w:r>
      <w:r w:rsidR="002759F4">
        <w:t>March</w:t>
      </w:r>
      <w:r w:rsidR="0077014B" w:rsidRPr="00F7505F">
        <w:t xml:space="preserve"> 2017 was 2</w:t>
      </w:r>
      <w:r w:rsidR="002759F4">
        <w:t>9</w:t>
      </w:r>
      <w:r w:rsidR="0077014B" w:rsidRPr="00F7505F">
        <w:t xml:space="preserve">%, </w:t>
      </w:r>
      <w:r w:rsidR="00953331">
        <w:t xml:space="preserve">also similar to the </w:t>
      </w:r>
      <w:r w:rsidR="00953331" w:rsidRPr="00F7505F">
        <w:t>2016</w:t>
      </w:r>
      <w:r w:rsidR="00953331">
        <w:t>-17</w:t>
      </w:r>
      <w:r w:rsidR="00953331" w:rsidRPr="00F7505F">
        <w:t xml:space="preserve"> </w:t>
      </w:r>
      <w:r w:rsidR="00953331">
        <w:t xml:space="preserve">average </w:t>
      </w:r>
      <w:r w:rsidR="0077014B" w:rsidRPr="00F7505F">
        <w:t>(27%).</w:t>
      </w:r>
    </w:p>
    <w:p w:rsidR="00C42312" w:rsidRDefault="0070601D" w:rsidP="0077014B">
      <w:pPr>
        <w:rPr>
          <w:noProof/>
        </w:rPr>
      </w:pPr>
      <w:r>
        <w:rPr>
          <w:noProof/>
        </w:rPr>
        <w:drawing>
          <wp:inline distT="0" distB="0" distL="0" distR="0" wp14:anchorId="02D2DECF">
            <wp:extent cx="5773420" cy="41579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3420" cy="4157980"/>
                    </a:xfrm>
                    <a:prstGeom prst="rect">
                      <a:avLst/>
                    </a:prstGeom>
                    <a:noFill/>
                  </pic:spPr>
                </pic:pic>
              </a:graphicData>
            </a:graphic>
          </wp:inline>
        </w:drawing>
      </w:r>
    </w:p>
    <w:p w:rsidR="00BA0F66" w:rsidRDefault="00BA0F66" w:rsidP="00BA0F66">
      <w:pPr>
        <w:pStyle w:val="Heading5"/>
      </w:pPr>
      <w:r>
        <w:t>Figure 9: survival following cardiac arrest: annual trust-level data, all patients</w:t>
      </w:r>
    </w:p>
    <w:p w:rsidR="0070601D" w:rsidRDefault="00C42312" w:rsidP="0070601D">
      <w:pPr>
        <w:pStyle w:val="NoSpacing"/>
      </w:pPr>
      <w:r>
        <w:rPr>
          <w:noProof/>
        </w:rPr>
        <w:drawing>
          <wp:inline distT="0" distB="0" distL="0" distR="0" wp14:anchorId="06278C76" wp14:editId="36443BCC">
            <wp:extent cx="5755005" cy="21761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5005" cy="2176145"/>
                    </a:xfrm>
                    <a:prstGeom prst="rect">
                      <a:avLst/>
                    </a:prstGeom>
                    <a:noFill/>
                  </pic:spPr>
                </pic:pic>
              </a:graphicData>
            </a:graphic>
          </wp:inline>
        </w:drawing>
      </w:r>
    </w:p>
    <w:p w:rsidR="00C42312" w:rsidRDefault="00C42312" w:rsidP="00C42312">
      <w:r>
        <w:lastRenderedPageBreak/>
        <w:t xml:space="preserve">Figure 9 shows that for all patients in England, survival to discharge increased from 7% in 2011-12 to 8% in 2016-17. SCAS had the largest proportion </w:t>
      </w:r>
      <w:r w:rsidR="00D20847">
        <w:t xml:space="preserve">in </w:t>
      </w:r>
      <w:r>
        <w:t xml:space="preserve">the last </w:t>
      </w:r>
      <w:r w:rsidR="00D20847">
        <w:t xml:space="preserve">four </w:t>
      </w:r>
      <w:r>
        <w:t>years. The lowest proportion in 2016-17 was 6% in EMAS.</w:t>
      </w:r>
    </w:p>
    <w:p w:rsidR="00C42312" w:rsidRDefault="00C42312" w:rsidP="00C42312">
      <w:r>
        <w:t>Figure 10 shows that for the Utstein group, survival across England increased from 22% in 2011-12 to 27% in 2016-17. In 2016-17, YAS had the largest proportion with 37%, and EMAS had the lowest proportion with 21%.</w:t>
      </w:r>
    </w:p>
    <w:p w:rsidR="00BA0F66" w:rsidRDefault="00BA0F66" w:rsidP="00BA0F66">
      <w:pPr>
        <w:pStyle w:val="Heading5"/>
      </w:pPr>
      <w:r>
        <w:t>Figure 10: survival following cardiac arrest: trust-level data, Utstein group</w:t>
      </w:r>
    </w:p>
    <w:p w:rsidR="00C42312" w:rsidRPr="00C42312" w:rsidRDefault="00C42312" w:rsidP="00C42312">
      <w:r>
        <w:rPr>
          <w:noProof/>
        </w:rPr>
        <w:drawing>
          <wp:inline distT="0" distB="0" distL="0" distR="0" wp14:anchorId="390DEB57">
            <wp:extent cx="5761355" cy="21704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2170430"/>
                    </a:xfrm>
                    <a:prstGeom prst="rect">
                      <a:avLst/>
                    </a:prstGeom>
                    <a:noFill/>
                  </pic:spPr>
                </pic:pic>
              </a:graphicData>
            </a:graphic>
          </wp:inline>
        </w:drawing>
      </w:r>
    </w:p>
    <w:p w:rsidR="003A0D0C" w:rsidRPr="00F7505F" w:rsidRDefault="003A0D0C" w:rsidP="003A0D0C">
      <w:pPr>
        <w:pStyle w:val="Heading3"/>
      </w:pPr>
      <w:r w:rsidRPr="00F7505F">
        <w:t>ST-Elevation myocardial infarction</w:t>
      </w:r>
    </w:p>
    <w:p w:rsidR="003A0D0C" w:rsidRPr="00F7505F" w:rsidRDefault="003A0D0C" w:rsidP="003A0D0C">
      <w:r w:rsidRPr="00F7505F">
        <w:rPr>
          <w:rFonts w:cs="Arial"/>
        </w:rPr>
        <w:t xml:space="preserve">ST-segment elevation myocardial infarction </w:t>
      </w:r>
      <w:r w:rsidR="00CD037E" w:rsidRPr="00F7505F">
        <w:rPr>
          <w:rFonts w:cs="Arial"/>
        </w:rPr>
        <w:t xml:space="preserve">(STEMI) </w:t>
      </w:r>
      <w:r w:rsidRPr="00F7505F">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B770F8" w:rsidRPr="00F7505F" w:rsidRDefault="00665CD5" w:rsidP="00B770F8">
      <w:r w:rsidRPr="00F7505F">
        <w:t>1,0</w:t>
      </w:r>
      <w:r w:rsidR="004B3DCB">
        <w:t>51</w:t>
      </w:r>
      <w:r w:rsidR="00B770F8" w:rsidRPr="00F7505F">
        <w:t xml:space="preserve"> STEMI patients </w:t>
      </w:r>
      <w:r w:rsidR="00A7650D" w:rsidRPr="00F7505F">
        <w:t xml:space="preserve">in England </w:t>
      </w:r>
      <w:r w:rsidR="00B770F8" w:rsidRPr="00F7505F">
        <w:t xml:space="preserve">received primary angioplasty in </w:t>
      </w:r>
      <w:r w:rsidR="004B3DCB">
        <w:t>March</w:t>
      </w:r>
      <w:r w:rsidR="008B7A8F" w:rsidRPr="00F7505F">
        <w:t xml:space="preserve"> 2017</w:t>
      </w:r>
      <w:r w:rsidR="00B770F8" w:rsidRPr="00F7505F">
        <w:t xml:space="preserve">. Of these patients, </w:t>
      </w:r>
      <w:r w:rsidR="004B3DCB">
        <w:t>906</w:t>
      </w:r>
      <w:r w:rsidR="00B770F8" w:rsidRPr="00F7505F">
        <w:t xml:space="preserve"> (8</w:t>
      </w:r>
      <w:r w:rsidR="004B3DCB">
        <w:t>6</w:t>
      </w:r>
      <w:r w:rsidR="00B770F8" w:rsidRPr="00F7505F">
        <w:t xml:space="preserve">%) of them received it within 150 minutes of the call being connected to the ambulance service (Figure </w:t>
      </w:r>
      <w:r w:rsidR="00BA0F66">
        <w:t>11</w:t>
      </w:r>
      <w:r w:rsidR="00B770F8" w:rsidRPr="00F7505F">
        <w:t xml:space="preserve">), </w:t>
      </w:r>
      <w:r w:rsidR="004B3DCB">
        <w:t xml:space="preserve">the same as </w:t>
      </w:r>
      <w:r w:rsidR="00953331">
        <w:t xml:space="preserve">the </w:t>
      </w:r>
      <w:r w:rsidR="00953331" w:rsidRPr="00F7505F">
        <w:t>2016</w:t>
      </w:r>
      <w:r w:rsidR="00953331">
        <w:t>-17</w:t>
      </w:r>
      <w:r w:rsidR="00953331" w:rsidRPr="00F7505F">
        <w:t xml:space="preserve"> </w:t>
      </w:r>
      <w:r w:rsidR="00953331">
        <w:t>average</w:t>
      </w:r>
      <w:r w:rsidR="00B770F8" w:rsidRPr="00F7505F">
        <w:t>.</w:t>
      </w:r>
    </w:p>
    <w:p w:rsidR="006F3605" w:rsidRDefault="0070601D" w:rsidP="006F3605">
      <w:r>
        <w:rPr>
          <w:noProof/>
        </w:rPr>
        <w:drawing>
          <wp:inline distT="0" distB="0" distL="0" distR="0" wp14:anchorId="06505F8A">
            <wp:extent cx="5773420" cy="31337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3420" cy="3133725"/>
                    </a:xfrm>
                    <a:prstGeom prst="rect">
                      <a:avLst/>
                    </a:prstGeom>
                    <a:noFill/>
                  </pic:spPr>
                </pic:pic>
              </a:graphicData>
            </a:graphic>
          </wp:inline>
        </w:drawing>
      </w:r>
    </w:p>
    <w:p w:rsidR="006F3605" w:rsidRDefault="006F3605" w:rsidP="006F3605">
      <w:r w:rsidRPr="00F7505F">
        <w:lastRenderedPageBreak/>
        <w:t xml:space="preserve">In </w:t>
      </w:r>
      <w:r>
        <w:t>March</w:t>
      </w:r>
      <w:r w:rsidRPr="00F7505F">
        <w:t xml:space="preserve"> 2017, of 1,</w:t>
      </w:r>
      <w:r>
        <w:t>632</w:t>
      </w:r>
      <w:r w:rsidRPr="00F7505F">
        <w:t xml:space="preserve"> patients with an acute STEMI in England, 1,</w:t>
      </w:r>
      <w:r>
        <w:t>284</w:t>
      </w:r>
      <w:r w:rsidRPr="00F7505F">
        <w:t xml:space="preserve"> (7</w:t>
      </w:r>
      <w:r>
        <w:t>9</w:t>
      </w:r>
      <w:r w:rsidRPr="00F7505F">
        <w:t>%) received the appropriate care bundle</w:t>
      </w:r>
      <w:r w:rsidRPr="00F7505F">
        <w:rPr>
          <w:rStyle w:val="FootnoteReference"/>
        </w:rPr>
        <w:footnoteReference w:id="11"/>
      </w:r>
      <w:r>
        <w:t xml:space="preserve"> </w:t>
      </w:r>
      <w:r w:rsidR="0070601D">
        <w:t xml:space="preserve">(Figure 11), </w:t>
      </w:r>
      <w:r>
        <w:t xml:space="preserve">also the same as the </w:t>
      </w:r>
      <w:r w:rsidRPr="00F7505F">
        <w:t>2016</w:t>
      </w:r>
      <w:r>
        <w:t>-17</w:t>
      </w:r>
      <w:r w:rsidRPr="00F7505F">
        <w:t xml:space="preserve"> </w:t>
      </w:r>
      <w:r>
        <w:t>average.</w:t>
      </w:r>
      <w:r w:rsidR="0070601D">
        <w:t xml:space="preserve"> </w:t>
      </w:r>
    </w:p>
    <w:p w:rsidR="006F3605" w:rsidRDefault="00BA0F66" w:rsidP="00BA0F66">
      <w:r>
        <w:t>Figure 12 shows the p</w:t>
      </w:r>
      <w:r w:rsidRPr="00A977E7">
        <w:t xml:space="preserve">roportion </w:t>
      </w:r>
      <w:r>
        <w:t xml:space="preserve">of patients </w:t>
      </w:r>
      <w:r w:rsidRPr="00A977E7">
        <w:t>receiving primary angioplasty within 150 minutes</w:t>
      </w:r>
      <w:r>
        <w:t xml:space="preserve"> </w:t>
      </w:r>
      <w:r w:rsidR="00283AFF">
        <w:t>decreased</w:t>
      </w:r>
      <w:r>
        <w:t xml:space="preserve"> from 90% in 2011-12 to 86% in 2016-17</w:t>
      </w:r>
      <w:r w:rsidR="004E4B7F">
        <w:t xml:space="preserve"> across England.</w:t>
      </w:r>
    </w:p>
    <w:p w:rsidR="00BA0F66" w:rsidRDefault="00BA0F66" w:rsidP="00BA0F66">
      <w:r>
        <w:t>In 2016-17, NEAS had t</w:t>
      </w:r>
      <w:r w:rsidR="004E4B7F">
        <w:t xml:space="preserve">he largest proportion with 93%, and </w:t>
      </w:r>
      <w:r>
        <w:t>SWAS had the lowest proportion with 73%.</w:t>
      </w:r>
    </w:p>
    <w:p w:rsidR="006F3605" w:rsidRDefault="006F3605" w:rsidP="006F3605">
      <w:pPr>
        <w:pStyle w:val="Heading5"/>
      </w:pPr>
      <w:r w:rsidRPr="00A9686B">
        <w:t>Figure 12: angioplasty within 150 minutes of STEMI: annual trust-level data</w:t>
      </w:r>
    </w:p>
    <w:p w:rsidR="006F3605" w:rsidRPr="006F3605" w:rsidRDefault="006F3605" w:rsidP="006F3605">
      <w:r>
        <w:rPr>
          <w:noProof/>
        </w:rPr>
        <w:drawing>
          <wp:inline distT="0" distB="0" distL="0" distR="0" wp14:anchorId="4EA0D504">
            <wp:extent cx="5694045" cy="2182495"/>
            <wp:effectExtent l="0" t="0" r="190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4045" cy="2182495"/>
                    </a:xfrm>
                    <a:prstGeom prst="rect">
                      <a:avLst/>
                    </a:prstGeom>
                    <a:noFill/>
                  </pic:spPr>
                </pic:pic>
              </a:graphicData>
            </a:graphic>
          </wp:inline>
        </w:drawing>
      </w:r>
    </w:p>
    <w:p w:rsidR="00BA0F66" w:rsidRDefault="00BA0F66" w:rsidP="00BA0F66">
      <w:r>
        <w:t>Figure 13 shows the p</w:t>
      </w:r>
      <w:r w:rsidRPr="00CF12AE">
        <w:t xml:space="preserve">roportion </w:t>
      </w:r>
      <w:r w:rsidR="004E4B7F">
        <w:t xml:space="preserve">of STEMI patients </w:t>
      </w:r>
      <w:r w:rsidR="0070601D">
        <w:t>in England</w:t>
      </w:r>
      <w:r w:rsidR="0070601D" w:rsidRPr="00CF12AE">
        <w:t xml:space="preserve"> </w:t>
      </w:r>
      <w:r w:rsidRPr="00CF12AE">
        <w:t>who received an appropriate care bundle</w:t>
      </w:r>
      <w:r>
        <w:t xml:space="preserve"> increased from 74% in 2011-12 to </w:t>
      </w:r>
      <w:r w:rsidR="004E4B7F">
        <w:t>80% in 2013-14</w:t>
      </w:r>
      <w:r w:rsidR="0070601D">
        <w:t xml:space="preserve">, and was </w:t>
      </w:r>
      <w:r>
        <w:t>79% in 2016-17.</w:t>
      </w:r>
    </w:p>
    <w:p w:rsidR="00BA0F66" w:rsidRDefault="00BA0F66" w:rsidP="00BA0F66">
      <w:r>
        <w:t xml:space="preserve">In 2016-17, EastAmb had the largest proportion with 91%. SECAmb had the lowest proportion with 67% of those </w:t>
      </w:r>
      <w:r w:rsidRPr="00CF12AE">
        <w:t>with ST-elev</w:t>
      </w:r>
      <w:r>
        <w:t>ation myocardial infarction receiving</w:t>
      </w:r>
      <w:r w:rsidRPr="00CF12AE">
        <w:t xml:space="preserve"> an appropriate care bundle</w:t>
      </w:r>
      <w:r>
        <w:t>.</w:t>
      </w:r>
    </w:p>
    <w:p w:rsidR="00BA0F66" w:rsidRDefault="00BA0F66" w:rsidP="00BA0F66">
      <w:pPr>
        <w:pStyle w:val="Heading5"/>
      </w:pPr>
      <w:r w:rsidRPr="00A9686B">
        <w:t>Figure 13: Care bundle after STEMI: annual trust-level data</w:t>
      </w:r>
    </w:p>
    <w:p w:rsidR="006F3605" w:rsidRPr="006F3605" w:rsidRDefault="006F3605" w:rsidP="006F3605">
      <w:r>
        <w:rPr>
          <w:noProof/>
        </w:rPr>
        <w:drawing>
          <wp:inline distT="0" distB="0" distL="0" distR="0" wp14:anchorId="77C873B9">
            <wp:extent cx="5749290" cy="217614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9290" cy="2176145"/>
                    </a:xfrm>
                    <a:prstGeom prst="rect">
                      <a:avLst/>
                    </a:prstGeom>
                    <a:noFill/>
                  </pic:spPr>
                </pic:pic>
              </a:graphicData>
            </a:graphic>
          </wp:inline>
        </w:drawing>
      </w:r>
    </w:p>
    <w:p w:rsidR="003A0D0C" w:rsidRPr="00F7505F" w:rsidRDefault="003A0D0C" w:rsidP="003A0D0C">
      <w:pPr>
        <w:pStyle w:val="Heading3"/>
      </w:pPr>
      <w:r w:rsidRPr="00F7505F">
        <w:lastRenderedPageBreak/>
        <w:t xml:space="preserve">Stroke </w:t>
      </w:r>
    </w:p>
    <w:p w:rsidR="003A0D0C" w:rsidRPr="00F7505F" w:rsidRDefault="003A0D0C" w:rsidP="003A0D0C">
      <w:pPr>
        <w:pStyle w:val="NoSpacing"/>
      </w:pPr>
      <w:r w:rsidRPr="00F7505F">
        <w:t>The FAST procedure helps assess whether someone has suffered a stroke:</w:t>
      </w:r>
    </w:p>
    <w:p w:rsidR="003A0D0C" w:rsidRPr="00F7505F" w:rsidRDefault="003A0D0C" w:rsidP="003A0D0C">
      <w:pPr>
        <w:pStyle w:val="ListBullet"/>
      </w:pPr>
      <w:r w:rsidRPr="00F7505F">
        <w:rPr>
          <w:b/>
        </w:rPr>
        <w:t>F</w:t>
      </w:r>
      <w:r w:rsidRPr="00F7505F">
        <w:t>acial weakness: can the person smile? Has their mouth or eye drooped?</w:t>
      </w:r>
    </w:p>
    <w:p w:rsidR="003A0D0C" w:rsidRPr="00F7505F" w:rsidRDefault="003A0D0C" w:rsidP="003A0D0C">
      <w:pPr>
        <w:pStyle w:val="ListBullet"/>
      </w:pPr>
      <w:r w:rsidRPr="00F7505F">
        <w:rPr>
          <w:b/>
        </w:rPr>
        <w:t>A</w:t>
      </w:r>
      <w:r w:rsidRPr="00F7505F">
        <w:t>rm weakness: can the person raise both arms?</w:t>
      </w:r>
    </w:p>
    <w:p w:rsidR="003A0D0C" w:rsidRPr="00F7505F" w:rsidRDefault="003A0D0C" w:rsidP="003A0D0C">
      <w:pPr>
        <w:pStyle w:val="ListBullet"/>
      </w:pPr>
      <w:r w:rsidRPr="00F7505F">
        <w:rPr>
          <w:b/>
        </w:rPr>
        <w:t>S</w:t>
      </w:r>
      <w:r w:rsidRPr="00F7505F">
        <w:t>peech problems: can the person speak clearly and understand what you say?</w:t>
      </w:r>
    </w:p>
    <w:p w:rsidR="002759F4" w:rsidRDefault="003A0D0C" w:rsidP="002759F4">
      <w:pPr>
        <w:pStyle w:val="ListBullet"/>
      </w:pPr>
      <w:r w:rsidRPr="00F7505F">
        <w:rPr>
          <w:b/>
        </w:rPr>
        <w:t>T</w:t>
      </w:r>
      <w:r w:rsidRPr="00F7505F">
        <w:t>ime to call 999 for an ambulance if you spot any one of these signs.</w:t>
      </w:r>
    </w:p>
    <w:p w:rsidR="00312B69" w:rsidRPr="00F7505F" w:rsidRDefault="0032599C" w:rsidP="00312B69">
      <w:r w:rsidRPr="00F7505F">
        <w:t xml:space="preserve">In </w:t>
      </w:r>
      <w:r w:rsidR="006336E6">
        <w:t>March</w:t>
      </w:r>
      <w:r w:rsidR="008B7A8F" w:rsidRPr="00F7505F">
        <w:t xml:space="preserve"> 2017</w:t>
      </w:r>
      <w:r w:rsidRPr="00F7505F">
        <w:t xml:space="preserve">, of </w:t>
      </w:r>
      <w:r w:rsidR="00730D71" w:rsidRPr="00F7505F">
        <w:t>3,</w:t>
      </w:r>
      <w:r w:rsidR="006336E6">
        <w:t>966</w:t>
      </w:r>
      <w:r w:rsidR="00B855BA" w:rsidRPr="00F7505F">
        <w:t xml:space="preserve"> </w:t>
      </w:r>
      <w:r w:rsidRPr="00F7505F">
        <w:t xml:space="preserve">FAST positive patients in England, assessed face to face, and potentially eligible for stroke thrombolysis within agreed local guidelines, </w:t>
      </w:r>
      <w:r w:rsidR="006336E6">
        <w:t>2,191</w:t>
      </w:r>
      <w:r w:rsidR="005F1582" w:rsidRPr="00F7505F">
        <w:t xml:space="preserve"> </w:t>
      </w:r>
      <w:r w:rsidRPr="00F7505F">
        <w:t>(</w:t>
      </w:r>
      <w:r w:rsidR="006336E6">
        <w:t>55</w:t>
      </w:r>
      <w:r w:rsidRPr="00F7505F">
        <w:t>%) arrived at hospitals with a hyperacute stroke unit within 60 minutes of an emergency call connecting to the ambulanc</w:t>
      </w:r>
      <w:r w:rsidR="00881BB4" w:rsidRPr="00F7505F">
        <w:t>e service</w:t>
      </w:r>
      <w:r w:rsidR="00D31F6C" w:rsidRPr="00F7505F">
        <w:t xml:space="preserve"> (Figure </w:t>
      </w:r>
      <w:r w:rsidR="00BA0F66">
        <w:t>14</w:t>
      </w:r>
      <w:r w:rsidR="00D31F6C" w:rsidRPr="00F7505F">
        <w:t>)</w:t>
      </w:r>
      <w:r w:rsidR="00CC3F8E" w:rsidRPr="00F7505F">
        <w:t xml:space="preserve">, </w:t>
      </w:r>
      <w:r w:rsidR="00953331">
        <w:t xml:space="preserve">similar to the </w:t>
      </w:r>
      <w:r w:rsidR="00953331" w:rsidRPr="00F7505F">
        <w:t>2016</w:t>
      </w:r>
      <w:r w:rsidR="00953331">
        <w:t>-17</w:t>
      </w:r>
      <w:r w:rsidR="00953331" w:rsidRPr="00F7505F">
        <w:t xml:space="preserve"> </w:t>
      </w:r>
      <w:r w:rsidR="00953331">
        <w:t xml:space="preserve">average </w:t>
      </w:r>
      <w:r w:rsidR="00A06052" w:rsidRPr="00F7505F">
        <w:t>(5</w:t>
      </w:r>
      <w:r w:rsidR="00F53D9E" w:rsidRPr="00F7505F">
        <w:t>4</w:t>
      </w:r>
      <w:r w:rsidR="00A06052" w:rsidRPr="00F7505F">
        <w:t>%).</w:t>
      </w:r>
    </w:p>
    <w:p w:rsidR="002E3688" w:rsidRDefault="00132DDA" w:rsidP="00132DDA">
      <w:bookmarkStart w:id="2" w:name="OLE_LINK3"/>
      <w:r w:rsidRPr="00F7505F">
        <w:t>There were 7,</w:t>
      </w:r>
      <w:r w:rsidR="007362A5">
        <w:t>932</w:t>
      </w:r>
      <w:r w:rsidRPr="00F7505F">
        <w:t xml:space="preserve"> stroke patients assessed face to face in </w:t>
      </w:r>
      <w:r w:rsidR="007362A5">
        <w:t xml:space="preserve">March </w:t>
      </w:r>
      <w:r w:rsidRPr="00F7505F">
        <w:t>2017 in England, of which 7,</w:t>
      </w:r>
      <w:r w:rsidR="007362A5">
        <w:t>783</w:t>
      </w:r>
      <w:r w:rsidRPr="00F7505F">
        <w:t xml:space="preserve"> (98</w:t>
      </w:r>
      <w:r w:rsidR="007362A5">
        <w:t>.1</w:t>
      </w:r>
      <w:r w:rsidRPr="00F7505F">
        <w:t>%) received the appropriate care bundle</w:t>
      </w:r>
      <w:r w:rsidR="00953331">
        <w:t>.</w:t>
      </w:r>
    </w:p>
    <w:p w:rsidR="00132DDA" w:rsidRDefault="00953331" w:rsidP="00132DDA">
      <w:r>
        <w:t>Although this was</w:t>
      </w:r>
      <w:r w:rsidRPr="00953331">
        <w:t xml:space="preserve"> </w:t>
      </w:r>
      <w:r>
        <w:t xml:space="preserve">close to the </w:t>
      </w:r>
      <w:r w:rsidRPr="00F7505F">
        <w:t>2016</w:t>
      </w:r>
      <w:r>
        <w:t>-17</w:t>
      </w:r>
      <w:r w:rsidRPr="00F7505F">
        <w:t xml:space="preserve"> </w:t>
      </w:r>
      <w:r>
        <w:t xml:space="preserve">average of 97.6%, the March 2017 </w:t>
      </w:r>
      <w:r w:rsidR="006E69C5">
        <w:t xml:space="preserve">proportion </w:t>
      </w:r>
      <w:r>
        <w:t>was actually</w:t>
      </w:r>
      <w:r w:rsidR="00132DDA" w:rsidRPr="00F7505F">
        <w:t xml:space="preserve"> </w:t>
      </w:r>
      <w:bookmarkEnd w:id="2"/>
      <w:r w:rsidR="007362A5">
        <w:t xml:space="preserve">a significant </w:t>
      </w:r>
      <w:r w:rsidR="00283AFF">
        <w:t>increase</w:t>
      </w:r>
      <w:r>
        <w:t>.</w:t>
      </w:r>
    </w:p>
    <w:p w:rsidR="002E3688" w:rsidRDefault="002E3688" w:rsidP="00132DDA">
      <w:r>
        <w:rPr>
          <w:noProof/>
        </w:rPr>
        <w:drawing>
          <wp:inline distT="0" distB="0" distL="0" distR="0" wp14:anchorId="36CDF5A2">
            <wp:extent cx="5773420" cy="4145915"/>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3420" cy="4145915"/>
                    </a:xfrm>
                    <a:prstGeom prst="rect">
                      <a:avLst/>
                    </a:prstGeom>
                    <a:noFill/>
                  </pic:spPr>
                </pic:pic>
              </a:graphicData>
            </a:graphic>
          </wp:inline>
        </w:drawing>
      </w:r>
    </w:p>
    <w:p w:rsidR="002E3688" w:rsidRDefault="002E3688" w:rsidP="00CC4D42">
      <w:r>
        <w:br w:type="page"/>
      </w:r>
    </w:p>
    <w:p w:rsidR="006E69C5" w:rsidRDefault="00CC4D42" w:rsidP="00CC4D42">
      <w:r>
        <w:lastRenderedPageBreak/>
        <w:t>Figure 1</w:t>
      </w:r>
      <w:r w:rsidR="00BA0F66">
        <w:t>5</w:t>
      </w:r>
      <w:r>
        <w:t xml:space="preserve"> shows</w:t>
      </w:r>
      <w:r w:rsidR="006E69C5">
        <w:t xml:space="preserve"> that</w:t>
      </w:r>
      <w:r>
        <w:t xml:space="preserve"> </w:t>
      </w:r>
      <w:r w:rsidR="006E69C5">
        <w:t xml:space="preserve">in England, </w:t>
      </w:r>
      <w:r>
        <w:t>the p</w:t>
      </w:r>
      <w:r w:rsidRPr="00CF12AE">
        <w:t xml:space="preserve">roportion </w:t>
      </w:r>
      <w:r w:rsidR="006E69C5">
        <w:t xml:space="preserve">of patients </w:t>
      </w:r>
      <w:r w:rsidRPr="00CF12AE">
        <w:t>arriving at a hyperacute stroke unit within 60 minutes</w:t>
      </w:r>
      <w:r>
        <w:t xml:space="preserve"> </w:t>
      </w:r>
      <w:r w:rsidR="006E69C5">
        <w:t>decreased</w:t>
      </w:r>
      <w:r>
        <w:t xml:space="preserve"> </w:t>
      </w:r>
      <w:r w:rsidR="00283AFF">
        <w:t xml:space="preserve">steadily </w:t>
      </w:r>
      <w:r>
        <w:t>from 65% in 2011-12 to 5</w:t>
      </w:r>
      <w:r w:rsidR="00176BAA">
        <w:t>4</w:t>
      </w:r>
      <w:r>
        <w:t>% in 201</w:t>
      </w:r>
      <w:r w:rsidR="00176BAA">
        <w:t>6</w:t>
      </w:r>
      <w:r>
        <w:t>-1</w:t>
      </w:r>
      <w:r w:rsidR="00176BAA">
        <w:t>7</w:t>
      </w:r>
      <w:r w:rsidR="006E69C5">
        <w:t>.</w:t>
      </w:r>
    </w:p>
    <w:p w:rsidR="00CC4D42" w:rsidRDefault="00CC4D42" w:rsidP="00CC4D42">
      <w:r>
        <w:t>In 201</w:t>
      </w:r>
      <w:r w:rsidR="006E69C5">
        <w:t>6</w:t>
      </w:r>
      <w:r>
        <w:t>-1</w:t>
      </w:r>
      <w:r w:rsidR="006E69C5">
        <w:t>7</w:t>
      </w:r>
      <w:r>
        <w:t xml:space="preserve">, </w:t>
      </w:r>
      <w:r w:rsidR="00176BAA">
        <w:t>SECAmb</w:t>
      </w:r>
      <w:r>
        <w:t xml:space="preserve"> had the largest proportion </w:t>
      </w:r>
      <w:r w:rsidR="00AC4F40">
        <w:t xml:space="preserve">(62%) arriving within 60 minutes, </w:t>
      </w:r>
      <w:r w:rsidR="006E69C5">
        <w:t xml:space="preserve">and </w:t>
      </w:r>
      <w:r w:rsidR="00176BAA">
        <w:t xml:space="preserve">SWAS </w:t>
      </w:r>
      <w:r>
        <w:t xml:space="preserve">had the lowest </w:t>
      </w:r>
      <w:r w:rsidR="00AC4F40">
        <w:t>(</w:t>
      </w:r>
      <w:r w:rsidR="00176BAA">
        <w:t>37</w:t>
      </w:r>
      <w:r>
        <w:t>%</w:t>
      </w:r>
      <w:r w:rsidR="00AC4F40">
        <w:t>).</w:t>
      </w:r>
    </w:p>
    <w:p w:rsidR="00BA0F66" w:rsidRDefault="00BA0F66" w:rsidP="00BA0F66">
      <w:pPr>
        <w:pStyle w:val="Heading5"/>
      </w:pPr>
      <w:r w:rsidRPr="00A9686B">
        <w:t>Figure 15: thrombolysis within 60 minutes of stroke: annual trust-level data</w:t>
      </w:r>
    </w:p>
    <w:p w:rsidR="006E69C5" w:rsidRPr="006E69C5" w:rsidRDefault="002E3688" w:rsidP="006E69C5">
      <w:r>
        <w:rPr>
          <w:noProof/>
        </w:rPr>
        <w:drawing>
          <wp:inline distT="0" distB="0" distL="0" distR="0" wp14:anchorId="73644ACD">
            <wp:extent cx="5755005" cy="21761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5005" cy="2176145"/>
                    </a:xfrm>
                    <a:prstGeom prst="rect">
                      <a:avLst/>
                    </a:prstGeom>
                    <a:noFill/>
                  </pic:spPr>
                </pic:pic>
              </a:graphicData>
            </a:graphic>
          </wp:inline>
        </w:drawing>
      </w:r>
    </w:p>
    <w:p w:rsidR="002E3688" w:rsidRDefault="002E3688" w:rsidP="002E3688">
      <w:r>
        <w:t>Figure 16 shows that in England, the p</w:t>
      </w:r>
      <w:r w:rsidRPr="00120442">
        <w:t>roportion of patients who received an appropriate care bundle</w:t>
      </w:r>
      <w:r>
        <w:t xml:space="preserve"> increased every year from 94% in 2011-12 to 98% in 2016-17.</w:t>
      </w:r>
      <w:r w:rsidR="00283AFF">
        <w:t xml:space="preserve"> T</w:t>
      </w:r>
      <w:r>
        <w:t>his proportion has the least variation of the Clin</w:t>
      </w:r>
      <w:r w:rsidR="00283AFF">
        <w:t>ical Outcomes, with more than 95% in every Ambulance Service in the last two years.</w:t>
      </w:r>
    </w:p>
    <w:p w:rsidR="00BA0F66" w:rsidRDefault="00BA0F66" w:rsidP="00BA0F66">
      <w:pPr>
        <w:pStyle w:val="Heading5"/>
      </w:pPr>
      <w:r w:rsidRPr="00A9686B">
        <w:t>Figure 16: Care bundle after stroke: annual trust-level data</w:t>
      </w:r>
    </w:p>
    <w:p w:rsidR="00CC4D42" w:rsidRDefault="002E3688" w:rsidP="00CC4D42">
      <w:r>
        <w:rPr>
          <w:noProof/>
        </w:rPr>
        <w:drawing>
          <wp:inline distT="0" distB="0" distL="0" distR="0" wp14:anchorId="52436986">
            <wp:extent cx="5749290" cy="2176145"/>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9290" cy="2176145"/>
                    </a:xfrm>
                    <a:prstGeom prst="rect">
                      <a:avLst/>
                    </a:prstGeom>
                    <a:noFill/>
                  </pic:spPr>
                </pic:pic>
              </a:graphicData>
            </a:graphic>
          </wp:inline>
        </w:drawing>
      </w:r>
    </w:p>
    <w:p w:rsidR="002E3688" w:rsidRDefault="002E3688" w:rsidP="002E3688">
      <w:r>
        <w:br w:type="page"/>
      </w:r>
    </w:p>
    <w:p w:rsidR="003A0D0C" w:rsidRPr="00F7505F" w:rsidRDefault="003A0D0C" w:rsidP="00CC4D42">
      <w:pPr>
        <w:pStyle w:val="Heading2"/>
      </w:pPr>
      <w:r w:rsidRPr="00F7505F">
        <w:lastRenderedPageBreak/>
        <w:t>Further information on AQI</w:t>
      </w:r>
    </w:p>
    <w:p w:rsidR="003A0D0C" w:rsidRPr="00F7505F" w:rsidRDefault="003A0D0C" w:rsidP="003A0D0C">
      <w:pPr>
        <w:pStyle w:val="Heading3"/>
      </w:pPr>
      <w:r w:rsidRPr="00F7505F">
        <w:t>The AQI landing page and Quality Statement</w:t>
      </w:r>
    </w:p>
    <w:p w:rsidR="003A0D0C" w:rsidRPr="00F7505F" w:rsidRDefault="00E24BF5" w:rsidP="003A0D0C">
      <w:pPr>
        <w:rPr>
          <w:rFonts w:cs="Arial"/>
        </w:rPr>
      </w:pPr>
      <w:hyperlink r:id="rId28" w:history="1">
        <w:r w:rsidR="003A0D0C" w:rsidRPr="00F7505F">
          <w:rPr>
            <w:rStyle w:val="Hyperlink"/>
            <w:rFonts w:cs="Arial"/>
          </w:rPr>
          <w:t>www.england.nhs.uk/statistics/statistical-work-areas/ambulance-quality-indicators</w:t>
        </w:r>
      </w:hyperlink>
      <w:r w:rsidR="003A0D0C" w:rsidRPr="00F7505F">
        <w:rPr>
          <w:rFonts w:cs="Arial"/>
        </w:rPr>
        <w:t xml:space="preserve">, or </w:t>
      </w:r>
      <w:hyperlink r:id="rId29" w:history="1">
        <w:r w:rsidR="003A0D0C" w:rsidRPr="00F7505F">
          <w:rPr>
            <w:rStyle w:val="Hyperlink"/>
            <w:rFonts w:cs="Arial"/>
          </w:rPr>
          <w:t>http://bit.ly/NHSAQI</w:t>
        </w:r>
      </w:hyperlink>
      <w:r w:rsidR="003A0D0C" w:rsidRPr="00F7505F">
        <w:rPr>
          <w:rFonts w:cs="Arial"/>
        </w:rPr>
        <w:t xml:space="preserve">, is the </w:t>
      </w:r>
      <w:r w:rsidR="003A0D0C" w:rsidRPr="00F7505F">
        <w:t xml:space="preserve">AQI </w:t>
      </w:r>
      <w:r w:rsidR="003A0D0C" w:rsidRPr="00F7505F">
        <w:rPr>
          <w:rFonts w:cs="Arial"/>
        </w:rPr>
        <w:t>landing page, and it holds:</w:t>
      </w:r>
    </w:p>
    <w:p w:rsidR="003A0D0C" w:rsidRPr="00F7505F" w:rsidRDefault="003A0D0C" w:rsidP="003A0D0C">
      <w:pPr>
        <w:pStyle w:val="ListBullet"/>
      </w:pPr>
      <w:r w:rsidRPr="00F7505F">
        <w:t>a Quality Statement for these statistics, which includes information on relevance, accuracy, timeliness, coherence, and user engagement</w:t>
      </w:r>
      <w:r w:rsidR="00145BE4" w:rsidRPr="00F7505F">
        <w:t>;</w:t>
      </w:r>
    </w:p>
    <w:p w:rsidR="003A0D0C" w:rsidRPr="00F7505F" w:rsidRDefault="003A0D0C" w:rsidP="003A0D0C">
      <w:pPr>
        <w:pStyle w:val="ListBullet"/>
      </w:pPr>
      <w:r w:rsidRPr="00F7505F">
        <w:t xml:space="preserve">the specification guidance </w:t>
      </w:r>
      <w:r w:rsidR="00E446B4" w:rsidRPr="00F7505F">
        <w:t xml:space="preserve">document </w:t>
      </w:r>
      <w:r w:rsidRPr="00F7505F">
        <w:t>for those who supply the data;</w:t>
      </w:r>
    </w:p>
    <w:p w:rsidR="003A0D0C" w:rsidRPr="00F7505F" w:rsidRDefault="003A0D0C" w:rsidP="003A0D0C">
      <w:pPr>
        <w:pStyle w:val="ListBullet"/>
      </w:pPr>
      <w:r w:rsidRPr="00F7505F">
        <w:t>timetables for data collection and publication;</w:t>
      </w:r>
    </w:p>
    <w:p w:rsidR="003A0D0C" w:rsidRPr="00F7505F" w:rsidRDefault="003A0D0C" w:rsidP="003A0D0C">
      <w:pPr>
        <w:pStyle w:val="ListBullet"/>
      </w:pPr>
      <w:r w:rsidRPr="00F7505F">
        <w:t xml:space="preserve">time series spreadsheets </w:t>
      </w:r>
      <w:r w:rsidR="00D20847">
        <w:t xml:space="preserve">and csv files </w:t>
      </w:r>
      <w:r w:rsidRPr="00F7505F">
        <w:t>from April 2011 up to the latest month;</w:t>
      </w:r>
    </w:p>
    <w:p w:rsidR="00D20847" w:rsidRDefault="003A0D0C" w:rsidP="003A0D0C">
      <w:pPr>
        <w:pStyle w:val="ListBullet"/>
      </w:pPr>
      <w:r w:rsidRPr="00F7505F">
        <w:t xml:space="preserve">links to individual </w:t>
      </w:r>
      <w:r w:rsidR="00145BE4" w:rsidRPr="00F7505F">
        <w:t xml:space="preserve">web </w:t>
      </w:r>
      <w:r w:rsidRPr="00F7505F">
        <w:t>pages for each financial year</w:t>
      </w:r>
      <w:r w:rsidR="00D20847">
        <w:t>;</w:t>
      </w:r>
    </w:p>
    <w:p w:rsidR="003A0D0C" w:rsidRPr="00F7505F" w:rsidRDefault="00D20847" w:rsidP="003A0D0C">
      <w:pPr>
        <w:pStyle w:val="ListBullet"/>
      </w:pPr>
      <w:proofErr w:type="gramStart"/>
      <w:r>
        <w:t>contact</w:t>
      </w:r>
      <w:proofErr w:type="gramEnd"/>
      <w:r>
        <w:t xml:space="preserve"> details for the responsible statistician (also in </w:t>
      </w:r>
      <w:r w:rsidR="00E24BF5">
        <w:t>3.6 below).</w:t>
      </w:r>
    </w:p>
    <w:p w:rsidR="003A0D0C" w:rsidRPr="00F7505F" w:rsidRDefault="003A0D0C" w:rsidP="003A0D0C">
      <w:r w:rsidRPr="00F7505F">
        <w:t xml:space="preserve">The </w:t>
      </w:r>
      <w:r w:rsidR="00145BE4" w:rsidRPr="00F7505F">
        <w:t xml:space="preserve">web </w:t>
      </w:r>
      <w:r w:rsidRPr="00F7505F">
        <w:t>pages for each financial year hold:</w:t>
      </w:r>
    </w:p>
    <w:p w:rsidR="003A0D0C" w:rsidRPr="00F7505F" w:rsidRDefault="003A0D0C" w:rsidP="003A0D0C">
      <w:pPr>
        <w:pStyle w:val="ListBullet"/>
      </w:pPr>
      <w:r w:rsidRPr="00F7505F">
        <w:t>separate spreadsheets of each month’s data;</w:t>
      </w:r>
    </w:p>
    <w:p w:rsidR="003A0D0C" w:rsidRPr="00F7505F" w:rsidRDefault="003A0D0C" w:rsidP="003A0D0C">
      <w:pPr>
        <w:pStyle w:val="ListBullet"/>
      </w:pPr>
      <w:r w:rsidRPr="00F7505F">
        <w:t>this Statistical Note, and equivalent versions from previous months;</w:t>
      </w:r>
    </w:p>
    <w:p w:rsidR="003A0D0C" w:rsidRPr="00F7505F" w:rsidRDefault="003A0D0C" w:rsidP="003A0D0C">
      <w:pPr>
        <w:pStyle w:val="ListBullet"/>
      </w:pPr>
      <w:proofErr w:type="gramStart"/>
      <w:r w:rsidRPr="00F7505F">
        <w:t>the</w:t>
      </w:r>
      <w:proofErr w:type="gramEnd"/>
      <w:r w:rsidRPr="00F7505F">
        <w:t xml:space="preserve"> list of people with pre-release access to the data.</w:t>
      </w:r>
    </w:p>
    <w:p w:rsidR="00E6125B" w:rsidRPr="00F7505F" w:rsidRDefault="0036736E" w:rsidP="00A66D79">
      <w:r w:rsidRPr="00F7505F">
        <w:t xml:space="preserve">Publication dates are also at </w:t>
      </w:r>
      <w:hyperlink r:id="rId30" w:history="1">
        <w:r w:rsidR="001E75EA" w:rsidRPr="00F7505F">
          <w:rPr>
            <w:rStyle w:val="Hyperlink"/>
          </w:rPr>
          <w:t>www.gov.uk/government/statistics/announcements</w:t>
        </w:r>
      </w:hyperlink>
      <w:r w:rsidRPr="00F7505F">
        <w:t>.</w:t>
      </w:r>
    </w:p>
    <w:p w:rsidR="003A0D0C" w:rsidRPr="00F7505F" w:rsidRDefault="003A0D0C" w:rsidP="003A0D0C">
      <w:pPr>
        <w:pStyle w:val="Heading3"/>
      </w:pPr>
      <w:r w:rsidRPr="00F7505F">
        <w:t>Revisions</w:t>
      </w:r>
      <w:r w:rsidR="00AF32CD" w:rsidRPr="00F7505F">
        <w:t xml:space="preserve"> Timetable</w:t>
      </w:r>
    </w:p>
    <w:p w:rsidR="003A0D0C" w:rsidRPr="00F7505F" w:rsidRDefault="003A0D0C" w:rsidP="003A0D0C">
      <w:r w:rsidRPr="00F7505F">
        <w:t xml:space="preserve">Revisions usually follow a six-monthly cycle. The dates for past and future AQI </w:t>
      </w:r>
      <w:r w:rsidR="00006295" w:rsidRPr="00F7505F">
        <w:t xml:space="preserve">Systems Indicators (SI) and Clinical Outcomes (CO) </w:t>
      </w:r>
      <w:r w:rsidR="0016743F" w:rsidRPr="00F7505F">
        <w:t xml:space="preserve">scheduled </w:t>
      </w:r>
      <w:r w:rsidRPr="00F7505F">
        <w:t xml:space="preserve">revisions are </w:t>
      </w:r>
      <w:r w:rsidR="0032599C" w:rsidRPr="00F7505F">
        <w:t>below</w:t>
      </w:r>
      <w:r w:rsidRPr="00F7505F">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RPr="00F7505F" w:rsidTr="00454B3C">
        <w:trPr>
          <w:cantSplit/>
          <w:tblHeader/>
        </w:trPr>
        <w:tc>
          <w:tcPr>
            <w:tcW w:w="1418" w:type="dxa"/>
            <w:tcBorders>
              <w:top w:val="nil"/>
              <w:bottom w:val="single" w:sz="4" w:space="0" w:color="auto"/>
            </w:tcBorders>
            <w:tcMar>
              <w:left w:w="0" w:type="dxa"/>
              <w:right w:w="0" w:type="dxa"/>
            </w:tcMar>
          </w:tcPr>
          <w:p w:rsidR="00454B3C" w:rsidRPr="00F7505F" w:rsidRDefault="00454B3C" w:rsidP="006A351E">
            <w:pPr>
              <w:pStyle w:val="Heading6"/>
            </w:pPr>
            <w:r w:rsidRPr="00F7505F">
              <w:t>Publication</w:t>
            </w:r>
          </w:p>
        </w:tc>
        <w:tc>
          <w:tcPr>
            <w:tcW w:w="142" w:type="dxa"/>
            <w:tcBorders>
              <w:top w:val="nil"/>
              <w:bottom w:val="nil"/>
            </w:tcBorders>
            <w:tcMar>
              <w:left w:w="0" w:type="dxa"/>
              <w:right w:w="0" w:type="dxa"/>
            </w:tcMar>
          </w:tcPr>
          <w:p w:rsidR="00454B3C" w:rsidRPr="00F7505F" w:rsidRDefault="00454B3C" w:rsidP="006A351E">
            <w:pPr>
              <w:pStyle w:val="Heading6"/>
            </w:pPr>
          </w:p>
        </w:tc>
        <w:tc>
          <w:tcPr>
            <w:tcW w:w="713" w:type="dxa"/>
            <w:tcBorders>
              <w:top w:val="nil"/>
              <w:bottom w:val="single" w:sz="4" w:space="0" w:color="auto"/>
            </w:tcBorders>
            <w:tcMar>
              <w:left w:w="0" w:type="dxa"/>
              <w:right w:w="0" w:type="dxa"/>
            </w:tcMar>
          </w:tcPr>
          <w:p w:rsidR="00454B3C" w:rsidRPr="00F7505F" w:rsidRDefault="00454B3C" w:rsidP="006A351E">
            <w:pPr>
              <w:pStyle w:val="Heading6"/>
            </w:pPr>
            <w:r w:rsidRPr="00F7505F">
              <w:t xml:space="preserve">Data </w:t>
            </w:r>
          </w:p>
        </w:tc>
        <w:tc>
          <w:tcPr>
            <w:tcW w:w="142" w:type="dxa"/>
            <w:tcBorders>
              <w:top w:val="nil"/>
              <w:bottom w:val="nil"/>
            </w:tcBorders>
            <w:tcMar>
              <w:left w:w="0" w:type="dxa"/>
              <w:right w:w="0" w:type="dxa"/>
            </w:tcMar>
          </w:tcPr>
          <w:p w:rsidR="00454B3C" w:rsidRPr="00F7505F" w:rsidRDefault="00454B3C" w:rsidP="006A351E">
            <w:pPr>
              <w:pStyle w:val="Heading6"/>
            </w:pPr>
          </w:p>
        </w:tc>
        <w:tc>
          <w:tcPr>
            <w:tcW w:w="1696" w:type="dxa"/>
            <w:tcBorders>
              <w:top w:val="nil"/>
              <w:bottom w:val="single" w:sz="4" w:space="0" w:color="auto"/>
            </w:tcBorders>
          </w:tcPr>
          <w:p w:rsidR="00454B3C" w:rsidRPr="00F7505F" w:rsidRDefault="00454B3C" w:rsidP="006A351E">
            <w:pPr>
              <w:pStyle w:val="Heading6"/>
            </w:pPr>
            <w:r w:rsidRPr="00F7505F">
              <w:t>Months affected</w:t>
            </w:r>
          </w:p>
        </w:tc>
        <w:tc>
          <w:tcPr>
            <w:tcW w:w="215" w:type="dxa"/>
            <w:tcBorders>
              <w:top w:val="nil"/>
              <w:bottom w:val="nil"/>
              <w:right w:val="nil"/>
            </w:tcBorders>
          </w:tcPr>
          <w:p w:rsidR="00454B3C" w:rsidRPr="00F7505F" w:rsidRDefault="00454B3C" w:rsidP="006A351E">
            <w:pPr>
              <w:pStyle w:val="Heading6"/>
            </w:pPr>
          </w:p>
        </w:tc>
        <w:tc>
          <w:tcPr>
            <w:tcW w:w="215" w:type="dxa"/>
            <w:tcBorders>
              <w:top w:val="nil"/>
              <w:left w:val="nil"/>
              <w:bottom w:val="nil"/>
            </w:tcBorders>
          </w:tcPr>
          <w:p w:rsidR="00454B3C" w:rsidRPr="00F7505F" w:rsidRDefault="00454B3C" w:rsidP="006A351E">
            <w:pPr>
              <w:pStyle w:val="Heading6"/>
            </w:pPr>
          </w:p>
        </w:tc>
        <w:tc>
          <w:tcPr>
            <w:tcW w:w="1418" w:type="dxa"/>
            <w:tcBorders>
              <w:top w:val="nil"/>
              <w:bottom w:val="single" w:sz="4" w:space="0" w:color="auto"/>
            </w:tcBorders>
          </w:tcPr>
          <w:p w:rsidR="00454B3C" w:rsidRPr="00F7505F" w:rsidRDefault="00454B3C" w:rsidP="006A351E">
            <w:pPr>
              <w:pStyle w:val="Heading6"/>
            </w:pPr>
            <w:r w:rsidRPr="00F7505F">
              <w:t>Publication</w:t>
            </w:r>
          </w:p>
        </w:tc>
        <w:tc>
          <w:tcPr>
            <w:tcW w:w="142" w:type="dxa"/>
            <w:tcBorders>
              <w:top w:val="nil"/>
              <w:bottom w:val="nil"/>
            </w:tcBorders>
          </w:tcPr>
          <w:p w:rsidR="00454B3C" w:rsidRPr="00F7505F" w:rsidRDefault="00454B3C" w:rsidP="006A351E">
            <w:pPr>
              <w:pStyle w:val="Heading6"/>
            </w:pPr>
          </w:p>
        </w:tc>
        <w:tc>
          <w:tcPr>
            <w:tcW w:w="850" w:type="dxa"/>
            <w:tcBorders>
              <w:top w:val="nil"/>
              <w:bottom w:val="single" w:sz="4" w:space="0" w:color="auto"/>
            </w:tcBorders>
          </w:tcPr>
          <w:p w:rsidR="00454B3C" w:rsidRPr="00F7505F" w:rsidRDefault="00454B3C" w:rsidP="006A351E">
            <w:pPr>
              <w:pStyle w:val="Heading6"/>
            </w:pPr>
            <w:r w:rsidRPr="00F7505F">
              <w:t xml:space="preserve">Data </w:t>
            </w:r>
          </w:p>
        </w:tc>
        <w:tc>
          <w:tcPr>
            <w:tcW w:w="142" w:type="dxa"/>
            <w:tcBorders>
              <w:top w:val="nil"/>
              <w:bottom w:val="nil"/>
            </w:tcBorders>
          </w:tcPr>
          <w:p w:rsidR="00454B3C" w:rsidRPr="00F7505F" w:rsidRDefault="00454B3C" w:rsidP="006A351E">
            <w:pPr>
              <w:pStyle w:val="Heading6"/>
            </w:pPr>
          </w:p>
        </w:tc>
        <w:tc>
          <w:tcPr>
            <w:tcW w:w="1843" w:type="dxa"/>
            <w:tcBorders>
              <w:top w:val="nil"/>
              <w:bottom w:val="single" w:sz="4" w:space="0" w:color="auto"/>
            </w:tcBorders>
          </w:tcPr>
          <w:p w:rsidR="00454B3C" w:rsidRPr="00F7505F" w:rsidRDefault="00454B3C" w:rsidP="006A351E">
            <w:pPr>
              <w:pStyle w:val="Heading6"/>
            </w:pPr>
            <w:r w:rsidRPr="00F7505F">
              <w:t>Months affected</w:t>
            </w:r>
          </w:p>
        </w:tc>
      </w:tr>
      <w:tr w:rsidR="00454B3C" w:rsidRPr="00F7505F" w:rsidTr="00454B3C">
        <w:tc>
          <w:tcPr>
            <w:tcW w:w="1418" w:type="dxa"/>
            <w:tcBorders>
              <w:top w:val="single" w:sz="4" w:space="0" w:color="auto"/>
            </w:tcBorders>
            <w:tcMar>
              <w:left w:w="57" w:type="dxa"/>
              <w:right w:w="57" w:type="dxa"/>
            </w:tcMar>
          </w:tcPr>
          <w:p w:rsidR="00454B3C" w:rsidRPr="00F7505F" w:rsidRDefault="00BA587A" w:rsidP="00454B3C">
            <w:pPr>
              <w:pStyle w:val="Footer"/>
              <w:jc w:val="right"/>
            </w:pPr>
            <w:r w:rsidRPr="00F7505F">
              <w:t>14 Sep 2017</w:t>
            </w:r>
          </w:p>
        </w:tc>
        <w:tc>
          <w:tcPr>
            <w:tcW w:w="142" w:type="dxa"/>
            <w:tcBorders>
              <w:top w:val="nil"/>
            </w:tcBorders>
            <w:tcMar>
              <w:left w:w="57" w:type="dxa"/>
              <w:right w:w="57" w:type="dxa"/>
            </w:tcMar>
          </w:tcPr>
          <w:p w:rsidR="00454B3C" w:rsidRPr="00F7505F" w:rsidRDefault="00454B3C" w:rsidP="00454B3C">
            <w:pPr>
              <w:pStyle w:val="Footer"/>
            </w:pPr>
          </w:p>
        </w:tc>
        <w:tc>
          <w:tcPr>
            <w:tcW w:w="713" w:type="dxa"/>
            <w:tcBorders>
              <w:top w:val="single" w:sz="4" w:space="0" w:color="auto"/>
            </w:tcBorders>
            <w:tcMar>
              <w:left w:w="57" w:type="dxa"/>
              <w:right w:w="57" w:type="dxa"/>
            </w:tcMar>
          </w:tcPr>
          <w:p w:rsidR="00454B3C" w:rsidRPr="00F7505F" w:rsidRDefault="00BA587A" w:rsidP="00454B3C">
            <w:pPr>
              <w:pStyle w:val="Footer"/>
              <w:jc w:val="center"/>
            </w:pPr>
            <w:r w:rsidRPr="00F7505F">
              <w:t>CO</w:t>
            </w:r>
          </w:p>
        </w:tc>
        <w:tc>
          <w:tcPr>
            <w:tcW w:w="142" w:type="dxa"/>
            <w:tcBorders>
              <w:top w:val="nil"/>
            </w:tcBorders>
            <w:tcMar>
              <w:left w:w="57" w:type="dxa"/>
              <w:right w:w="57" w:type="dxa"/>
            </w:tcMar>
          </w:tcPr>
          <w:p w:rsidR="00454B3C" w:rsidRPr="00F7505F" w:rsidRDefault="00454B3C" w:rsidP="00454B3C">
            <w:pPr>
              <w:pStyle w:val="Footer"/>
            </w:pPr>
          </w:p>
        </w:tc>
        <w:tc>
          <w:tcPr>
            <w:tcW w:w="1696" w:type="dxa"/>
            <w:tcBorders>
              <w:top w:val="single" w:sz="4" w:space="0" w:color="auto"/>
            </w:tcBorders>
          </w:tcPr>
          <w:p w:rsidR="00454B3C" w:rsidRPr="00F7505F" w:rsidRDefault="00BA587A" w:rsidP="00454B3C">
            <w:pPr>
              <w:pStyle w:val="Footer"/>
            </w:pPr>
            <w:r w:rsidRPr="00F7505F">
              <w:t>Apr ’16 - Mar ‘17</w:t>
            </w:r>
          </w:p>
        </w:tc>
        <w:tc>
          <w:tcPr>
            <w:tcW w:w="215" w:type="dxa"/>
            <w:tcBorders>
              <w:top w:val="nil"/>
              <w:right w:val="single" w:sz="4" w:space="0" w:color="auto"/>
            </w:tcBorders>
          </w:tcPr>
          <w:p w:rsidR="00454B3C" w:rsidRPr="00F7505F" w:rsidRDefault="00454B3C" w:rsidP="00454B3C">
            <w:pPr>
              <w:pStyle w:val="Footer"/>
            </w:pPr>
          </w:p>
        </w:tc>
        <w:tc>
          <w:tcPr>
            <w:tcW w:w="215" w:type="dxa"/>
            <w:tcBorders>
              <w:top w:val="nil"/>
              <w:left w:val="single" w:sz="4" w:space="0" w:color="auto"/>
            </w:tcBorders>
          </w:tcPr>
          <w:p w:rsidR="00454B3C" w:rsidRPr="00F7505F" w:rsidRDefault="00454B3C" w:rsidP="00454B3C">
            <w:pPr>
              <w:pStyle w:val="Footer"/>
            </w:pPr>
          </w:p>
        </w:tc>
        <w:tc>
          <w:tcPr>
            <w:tcW w:w="1418" w:type="dxa"/>
            <w:tcBorders>
              <w:top w:val="single" w:sz="4" w:space="0" w:color="auto"/>
            </w:tcBorders>
          </w:tcPr>
          <w:p w:rsidR="00454B3C" w:rsidRPr="00F7505F" w:rsidRDefault="00454B3C" w:rsidP="00454B3C">
            <w:pPr>
              <w:pStyle w:val="Footer"/>
              <w:jc w:val="right"/>
            </w:pPr>
            <w:r w:rsidRPr="00F7505F">
              <w:t>6 Nov 2014</w:t>
            </w:r>
          </w:p>
        </w:tc>
        <w:tc>
          <w:tcPr>
            <w:tcW w:w="142" w:type="dxa"/>
            <w:tcBorders>
              <w:top w:val="nil"/>
            </w:tcBorders>
          </w:tcPr>
          <w:p w:rsidR="00454B3C" w:rsidRPr="00F7505F" w:rsidRDefault="00454B3C" w:rsidP="00454B3C">
            <w:pPr>
              <w:pStyle w:val="Footer"/>
            </w:pPr>
          </w:p>
        </w:tc>
        <w:tc>
          <w:tcPr>
            <w:tcW w:w="850" w:type="dxa"/>
            <w:tcBorders>
              <w:top w:val="single" w:sz="4" w:space="0" w:color="auto"/>
            </w:tcBorders>
          </w:tcPr>
          <w:p w:rsidR="00454B3C" w:rsidRPr="00F7505F" w:rsidRDefault="00454B3C" w:rsidP="00454B3C">
            <w:pPr>
              <w:pStyle w:val="Footer"/>
              <w:jc w:val="center"/>
            </w:pPr>
            <w:r w:rsidRPr="00F7505F">
              <w:t>SI</w:t>
            </w:r>
          </w:p>
        </w:tc>
        <w:tc>
          <w:tcPr>
            <w:tcW w:w="142" w:type="dxa"/>
            <w:tcBorders>
              <w:top w:val="nil"/>
            </w:tcBorders>
          </w:tcPr>
          <w:p w:rsidR="00454B3C" w:rsidRPr="00F7505F" w:rsidRDefault="00454B3C" w:rsidP="00454B3C">
            <w:pPr>
              <w:pStyle w:val="Footer"/>
            </w:pPr>
          </w:p>
        </w:tc>
        <w:tc>
          <w:tcPr>
            <w:tcW w:w="1843" w:type="dxa"/>
            <w:tcBorders>
              <w:top w:val="single" w:sz="4" w:space="0" w:color="auto"/>
            </w:tcBorders>
          </w:tcPr>
          <w:p w:rsidR="00454B3C" w:rsidRPr="00F7505F" w:rsidRDefault="00454B3C" w:rsidP="00454B3C">
            <w:pPr>
              <w:pStyle w:val="Footer"/>
            </w:pPr>
            <w:r w:rsidRPr="00F7505F">
              <w:t>Apr ‘13 - Aug ‘14</w:t>
            </w:r>
          </w:p>
        </w:tc>
      </w:tr>
      <w:tr w:rsidR="00BA587A" w:rsidRPr="00F7505F" w:rsidTr="00454B3C">
        <w:tc>
          <w:tcPr>
            <w:tcW w:w="1418" w:type="dxa"/>
            <w:tcMar>
              <w:left w:w="57" w:type="dxa"/>
              <w:right w:w="57" w:type="dxa"/>
            </w:tcMar>
          </w:tcPr>
          <w:p w:rsidR="00BA587A" w:rsidRPr="00F7505F" w:rsidRDefault="00BA587A" w:rsidP="00460BAA">
            <w:pPr>
              <w:pStyle w:val="Footer"/>
              <w:jc w:val="right"/>
            </w:pPr>
            <w:r w:rsidRPr="00F7505F">
              <w:t>11 May 2017</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SI</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‘15 - Feb ‘17</w:t>
            </w:r>
          </w:p>
        </w:tc>
        <w:tc>
          <w:tcPr>
            <w:tcW w:w="215" w:type="dxa"/>
            <w:tcBorders>
              <w:right w:val="single" w:sz="4" w:space="0" w:color="auto"/>
            </w:tcBorders>
          </w:tcPr>
          <w:p w:rsidR="00BA587A" w:rsidRPr="00F7505F" w:rsidRDefault="00BA587A" w:rsidP="00454B3C">
            <w:pPr>
              <w:pStyle w:val="Footer"/>
            </w:pPr>
          </w:p>
        </w:tc>
        <w:tc>
          <w:tcPr>
            <w:tcW w:w="215" w:type="dxa"/>
            <w:tcBorders>
              <w:left w:val="single" w:sz="4" w:space="0" w:color="auto"/>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5 Sep 2014</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CO</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‘13 - Mar ‘14</w:t>
            </w:r>
          </w:p>
        </w:tc>
      </w:tr>
      <w:tr w:rsidR="00BA587A" w:rsidRPr="00F7505F" w:rsidTr="00454B3C">
        <w:tc>
          <w:tcPr>
            <w:tcW w:w="1418" w:type="dxa"/>
            <w:tcMar>
              <w:left w:w="57" w:type="dxa"/>
              <w:right w:w="57" w:type="dxa"/>
            </w:tcMar>
          </w:tcPr>
          <w:p w:rsidR="00BA587A" w:rsidRPr="00F7505F" w:rsidRDefault="00BA587A" w:rsidP="00460BAA">
            <w:pPr>
              <w:pStyle w:val="Footer"/>
              <w:jc w:val="right"/>
            </w:pPr>
            <w:r w:rsidRPr="00F7505F">
              <w:t>9 Mar 2017</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CO</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‘16 - Sep ‘16</w:t>
            </w:r>
          </w:p>
        </w:tc>
        <w:tc>
          <w:tcPr>
            <w:tcW w:w="215" w:type="dxa"/>
            <w:tcBorders>
              <w:right w:val="single" w:sz="4" w:space="0" w:color="auto"/>
            </w:tcBorders>
          </w:tcPr>
          <w:p w:rsidR="00BA587A" w:rsidRPr="00F7505F" w:rsidRDefault="00BA587A" w:rsidP="00454B3C">
            <w:pPr>
              <w:pStyle w:val="Footer"/>
            </w:pPr>
          </w:p>
        </w:tc>
        <w:tc>
          <w:tcPr>
            <w:tcW w:w="215" w:type="dxa"/>
            <w:tcBorders>
              <w:left w:val="single" w:sz="4" w:space="0" w:color="auto"/>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2 May 2014</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SI</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‘13 - Feb ‘14</w:t>
            </w:r>
          </w:p>
        </w:tc>
      </w:tr>
      <w:tr w:rsidR="00BA587A" w:rsidRPr="00F7505F" w:rsidTr="00454B3C">
        <w:tc>
          <w:tcPr>
            <w:tcW w:w="1418" w:type="dxa"/>
            <w:tcMar>
              <w:left w:w="57" w:type="dxa"/>
              <w:right w:w="57" w:type="dxa"/>
            </w:tcMar>
          </w:tcPr>
          <w:p w:rsidR="00BA587A" w:rsidRPr="00F7505F" w:rsidRDefault="00BA587A" w:rsidP="00460BAA">
            <w:pPr>
              <w:pStyle w:val="Footer"/>
              <w:jc w:val="right"/>
            </w:pPr>
            <w:r w:rsidRPr="00F7505F">
              <w:t>10 Nov 2016</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SI</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‘16 - Aug ‘16</w:t>
            </w:r>
          </w:p>
        </w:tc>
        <w:tc>
          <w:tcPr>
            <w:tcW w:w="215" w:type="dxa"/>
            <w:tcBorders>
              <w:right w:val="single" w:sz="4" w:space="0" w:color="auto"/>
            </w:tcBorders>
          </w:tcPr>
          <w:p w:rsidR="00BA587A" w:rsidRPr="00F7505F" w:rsidRDefault="00BA587A" w:rsidP="00454B3C">
            <w:pPr>
              <w:pStyle w:val="Footer"/>
            </w:pPr>
          </w:p>
        </w:tc>
        <w:tc>
          <w:tcPr>
            <w:tcW w:w="215" w:type="dxa"/>
            <w:tcBorders>
              <w:left w:val="single" w:sz="4" w:space="0" w:color="auto"/>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7 Mar 2014</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CO</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‘13 - Sep ‘13</w:t>
            </w:r>
          </w:p>
        </w:tc>
      </w:tr>
      <w:tr w:rsidR="00BA587A" w:rsidRPr="00F7505F" w:rsidTr="00454B3C">
        <w:tc>
          <w:tcPr>
            <w:tcW w:w="1418" w:type="dxa"/>
            <w:tcMar>
              <w:left w:w="57" w:type="dxa"/>
              <w:right w:w="57" w:type="dxa"/>
            </w:tcMar>
          </w:tcPr>
          <w:p w:rsidR="00BA587A" w:rsidRPr="00F7505F" w:rsidRDefault="00BA587A" w:rsidP="00460BAA">
            <w:pPr>
              <w:pStyle w:val="Footer"/>
              <w:jc w:val="right"/>
            </w:pPr>
            <w:r w:rsidRPr="00F7505F">
              <w:t>8 Sep 2016</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CO</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‘15 - Apr ‘16</w:t>
            </w:r>
          </w:p>
        </w:tc>
        <w:tc>
          <w:tcPr>
            <w:tcW w:w="215" w:type="dxa"/>
            <w:tcBorders>
              <w:right w:val="single" w:sz="4" w:space="0" w:color="auto"/>
            </w:tcBorders>
          </w:tcPr>
          <w:p w:rsidR="00BA587A" w:rsidRPr="00F7505F" w:rsidRDefault="00BA587A" w:rsidP="00454B3C">
            <w:pPr>
              <w:pStyle w:val="Footer"/>
            </w:pPr>
          </w:p>
        </w:tc>
        <w:tc>
          <w:tcPr>
            <w:tcW w:w="215" w:type="dxa"/>
            <w:tcBorders>
              <w:left w:val="single" w:sz="4" w:space="0" w:color="auto"/>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1 Nov 2013</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SI</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‘13 - Aug ‘13</w:t>
            </w:r>
          </w:p>
        </w:tc>
      </w:tr>
      <w:tr w:rsidR="00BA587A" w:rsidRPr="00F7505F" w:rsidTr="00454B3C">
        <w:trPr>
          <w:trHeight w:val="143"/>
        </w:trPr>
        <w:tc>
          <w:tcPr>
            <w:tcW w:w="1418" w:type="dxa"/>
            <w:tcMar>
              <w:left w:w="57" w:type="dxa"/>
              <w:right w:w="57" w:type="dxa"/>
            </w:tcMar>
          </w:tcPr>
          <w:p w:rsidR="00BA587A" w:rsidRPr="00F7505F" w:rsidRDefault="00BA587A" w:rsidP="00460BAA">
            <w:pPr>
              <w:pStyle w:val="Footer"/>
              <w:jc w:val="right"/>
            </w:pPr>
            <w:r w:rsidRPr="00F7505F">
              <w:t>12 May 2016</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SI</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‘15 - Feb ‘16</w:t>
            </w:r>
          </w:p>
        </w:tc>
        <w:tc>
          <w:tcPr>
            <w:tcW w:w="215" w:type="dxa"/>
            <w:tcBorders>
              <w:right w:val="single" w:sz="4" w:space="0" w:color="auto"/>
            </w:tcBorders>
          </w:tcPr>
          <w:p w:rsidR="00BA587A" w:rsidRPr="00F7505F" w:rsidRDefault="00BA587A" w:rsidP="00454B3C">
            <w:pPr>
              <w:pStyle w:val="Footer"/>
            </w:pPr>
          </w:p>
        </w:tc>
        <w:tc>
          <w:tcPr>
            <w:tcW w:w="215" w:type="dxa"/>
            <w:tcBorders>
              <w:left w:val="single" w:sz="4" w:space="0" w:color="auto"/>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2 Aug 2013</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CO</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‘12 - Mar ‘13</w:t>
            </w:r>
          </w:p>
        </w:tc>
      </w:tr>
      <w:tr w:rsidR="00BA587A" w:rsidRPr="00F7505F" w:rsidTr="00454B3C">
        <w:trPr>
          <w:trHeight w:val="80"/>
        </w:trPr>
        <w:tc>
          <w:tcPr>
            <w:tcW w:w="1418" w:type="dxa"/>
            <w:tcMar>
              <w:left w:w="57" w:type="dxa"/>
              <w:right w:w="57" w:type="dxa"/>
            </w:tcMar>
          </w:tcPr>
          <w:p w:rsidR="00BA587A" w:rsidRPr="00F7505F" w:rsidRDefault="00BA587A" w:rsidP="00460BAA">
            <w:pPr>
              <w:pStyle w:val="Footer"/>
              <w:jc w:val="right"/>
            </w:pPr>
            <w:r w:rsidRPr="00F7505F">
              <w:t>10 Apr 2016</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CO</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‘15 - Sep ‘15</w:t>
            </w:r>
          </w:p>
        </w:tc>
        <w:tc>
          <w:tcPr>
            <w:tcW w:w="215" w:type="dxa"/>
            <w:tcBorders>
              <w:right w:val="single" w:sz="4" w:space="0" w:color="auto"/>
            </w:tcBorders>
          </w:tcPr>
          <w:p w:rsidR="00BA587A" w:rsidRPr="00F7505F" w:rsidRDefault="00BA587A" w:rsidP="00454B3C">
            <w:pPr>
              <w:pStyle w:val="Footer"/>
            </w:pPr>
          </w:p>
        </w:tc>
        <w:tc>
          <w:tcPr>
            <w:tcW w:w="215" w:type="dxa"/>
            <w:tcBorders>
              <w:left w:val="single" w:sz="4" w:space="0" w:color="auto"/>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3 May 2013</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SI</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‘12 - Mar ‘13</w:t>
            </w:r>
          </w:p>
        </w:tc>
      </w:tr>
      <w:tr w:rsidR="00BA587A" w:rsidRPr="00F7505F" w:rsidTr="00454B3C">
        <w:trPr>
          <w:trHeight w:val="80"/>
        </w:trPr>
        <w:tc>
          <w:tcPr>
            <w:tcW w:w="1418" w:type="dxa"/>
            <w:tcMar>
              <w:left w:w="57" w:type="dxa"/>
              <w:right w:w="57" w:type="dxa"/>
            </w:tcMar>
          </w:tcPr>
          <w:p w:rsidR="00BA587A" w:rsidRPr="00F7505F" w:rsidRDefault="00BA587A" w:rsidP="00460BAA">
            <w:pPr>
              <w:pStyle w:val="Footer"/>
              <w:jc w:val="right"/>
            </w:pPr>
            <w:r w:rsidRPr="00F7505F">
              <w:t>10 Sep 2015</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CO</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‘14 - Mar ‘15</w:t>
            </w:r>
          </w:p>
        </w:tc>
        <w:tc>
          <w:tcPr>
            <w:tcW w:w="215" w:type="dxa"/>
            <w:tcBorders>
              <w:right w:val="single" w:sz="4" w:space="0" w:color="auto"/>
            </w:tcBorders>
          </w:tcPr>
          <w:p w:rsidR="00BA587A" w:rsidRPr="00F7505F" w:rsidRDefault="00BA587A" w:rsidP="00454B3C">
            <w:pPr>
              <w:pStyle w:val="Footer"/>
            </w:pPr>
          </w:p>
        </w:tc>
        <w:tc>
          <w:tcPr>
            <w:tcW w:w="215" w:type="dxa"/>
            <w:tcBorders>
              <w:left w:val="single" w:sz="4" w:space="0" w:color="auto"/>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1 Feb 2013</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CO</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‘12 - Aug ‘12</w:t>
            </w:r>
          </w:p>
        </w:tc>
      </w:tr>
      <w:tr w:rsidR="00BA587A" w:rsidRPr="00F7505F" w:rsidTr="00454B3C">
        <w:trPr>
          <w:trHeight w:val="80"/>
        </w:trPr>
        <w:tc>
          <w:tcPr>
            <w:tcW w:w="1418" w:type="dxa"/>
            <w:tcMar>
              <w:left w:w="57" w:type="dxa"/>
              <w:right w:w="57" w:type="dxa"/>
            </w:tcMar>
          </w:tcPr>
          <w:p w:rsidR="00BA587A" w:rsidRPr="00F7505F" w:rsidRDefault="00BA587A" w:rsidP="00460BAA">
            <w:pPr>
              <w:pStyle w:val="Footer"/>
              <w:jc w:val="right"/>
            </w:pPr>
            <w:r w:rsidRPr="00F7505F">
              <w:t>4 Jun 2015</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SI</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‘14 - Feb ‘15</w:t>
            </w:r>
          </w:p>
        </w:tc>
        <w:tc>
          <w:tcPr>
            <w:tcW w:w="215" w:type="dxa"/>
            <w:tcBorders>
              <w:right w:val="single" w:sz="4" w:space="0" w:color="auto"/>
            </w:tcBorders>
          </w:tcPr>
          <w:p w:rsidR="00BA587A" w:rsidRPr="00F7505F" w:rsidRDefault="00BA587A" w:rsidP="00454B3C">
            <w:pPr>
              <w:pStyle w:val="Footer"/>
            </w:pPr>
          </w:p>
        </w:tc>
        <w:tc>
          <w:tcPr>
            <w:tcW w:w="215" w:type="dxa"/>
            <w:tcBorders>
              <w:left w:val="single" w:sz="4" w:space="0" w:color="auto"/>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11 Jan 2013</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SI</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‘11 - Oct ‘12</w:t>
            </w:r>
          </w:p>
        </w:tc>
      </w:tr>
      <w:tr w:rsidR="00BA587A" w:rsidRPr="00F7505F" w:rsidTr="00454B3C">
        <w:trPr>
          <w:trHeight w:val="80"/>
        </w:trPr>
        <w:tc>
          <w:tcPr>
            <w:tcW w:w="1418" w:type="dxa"/>
            <w:tcMar>
              <w:left w:w="57" w:type="dxa"/>
              <w:right w:w="57" w:type="dxa"/>
            </w:tcMar>
          </w:tcPr>
          <w:p w:rsidR="00BA587A" w:rsidRPr="00F7505F" w:rsidRDefault="00BA587A" w:rsidP="00460BAA">
            <w:pPr>
              <w:pStyle w:val="Footer"/>
              <w:jc w:val="right"/>
            </w:pPr>
            <w:r w:rsidRPr="00F7505F">
              <w:t>30 Apr 2015</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SI</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‘14 - Feb ‘15</w:t>
            </w:r>
          </w:p>
        </w:tc>
        <w:tc>
          <w:tcPr>
            <w:tcW w:w="215" w:type="dxa"/>
            <w:tcBorders>
              <w:bottom w:val="nil"/>
              <w:right w:val="single" w:sz="4" w:space="0" w:color="auto"/>
            </w:tcBorders>
          </w:tcPr>
          <w:p w:rsidR="00BA587A" w:rsidRPr="00F7505F" w:rsidRDefault="00BA587A" w:rsidP="00454B3C">
            <w:pPr>
              <w:pStyle w:val="Footer"/>
            </w:pPr>
          </w:p>
        </w:tc>
        <w:tc>
          <w:tcPr>
            <w:tcW w:w="215" w:type="dxa"/>
            <w:tcBorders>
              <w:left w:val="single" w:sz="4" w:space="0" w:color="auto"/>
              <w:bottom w:val="nil"/>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31 Aug 2012</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CO</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‘11 - Mar ‘12</w:t>
            </w:r>
          </w:p>
        </w:tc>
      </w:tr>
      <w:tr w:rsidR="00BA587A" w:rsidRPr="00F7505F" w:rsidTr="00454B3C">
        <w:trPr>
          <w:trHeight w:val="137"/>
        </w:trPr>
        <w:tc>
          <w:tcPr>
            <w:tcW w:w="1418" w:type="dxa"/>
            <w:tcMar>
              <w:left w:w="57" w:type="dxa"/>
              <w:right w:w="57" w:type="dxa"/>
            </w:tcMar>
          </w:tcPr>
          <w:p w:rsidR="00BA587A" w:rsidRPr="00F7505F" w:rsidRDefault="00BA587A" w:rsidP="00460BAA">
            <w:pPr>
              <w:pStyle w:val="Footer"/>
              <w:jc w:val="right"/>
            </w:pPr>
            <w:r w:rsidRPr="00F7505F">
              <w:t>5 Mar 2015</w:t>
            </w:r>
          </w:p>
        </w:tc>
        <w:tc>
          <w:tcPr>
            <w:tcW w:w="142" w:type="dxa"/>
            <w:tcMar>
              <w:left w:w="57" w:type="dxa"/>
              <w:right w:w="57" w:type="dxa"/>
            </w:tcMar>
          </w:tcPr>
          <w:p w:rsidR="00BA587A" w:rsidRPr="00F7505F" w:rsidRDefault="00BA587A" w:rsidP="00460BAA">
            <w:pPr>
              <w:pStyle w:val="Footer"/>
            </w:pPr>
          </w:p>
        </w:tc>
        <w:tc>
          <w:tcPr>
            <w:tcW w:w="713" w:type="dxa"/>
            <w:tcMar>
              <w:left w:w="57" w:type="dxa"/>
              <w:right w:w="57" w:type="dxa"/>
            </w:tcMar>
          </w:tcPr>
          <w:p w:rsidR="00BA587A" w:rsidRPr="00F7505F" w:rsidRDefault="00BA587A" w:rsidP="00460BAA">
            <w:pPr>
              <w:pStyle w:val="Footer"/>
              <w:jc w:val="center"/>
            </w:pPr>
            <w:r w:rsidRPr="00F7505F">
              <w:t>CO</w:t>
            </w:r>
          </w:p>
        </w:tc>
        <w:tc>
          <w:tcPr>
            <w:tcW w:w="142" w:type="dxa"/>
            <w:tcMar>
              <w:left w:w="57" w:type="dxa"/>
              <w:right w:w="57" w:type="dxa"/>
            </w:tcMar>
          </w:tcPr>
          <w:p w:rsidR="00BA587A" w:rsidRPr="00F7505F" w:rsidRDefault="00BA587A" w:rsidP="00460BAA">
            <w:pPr>
              <w:pStyle w:val="Footer"/>
            </w:pPr>
          </w:p>
        </w:tc>
        <w:tc>
          <w:tcPr>
            <w:tcW w:w="1696" w:type="dxa"/>
          </w:tcPr>
          <w:p w:rsidR="00BA587A" w:rsidRPr="00F7505F" w:rsidRDefault="00BA587A" w:rsidP="00460BAA">
            <w:pPr>
              <w:pStyle w:val="Footer"/>
            </w:pPr>
            <w:r w:rsidRPr="00F7505F">
              <w:t>Apr ‘14 - Sep ‘14</w:t>
            </w:r>
          </w:p>
        </w:tc>
        <w:tc>
          <w:tcPr>
            <w:tcW w:w="215" w:type="dxa"/>
            <w:tcBorders>
              <w:bottom w:val="nil"/>
              <w:right w:val="single" w:sz="4" w:space="0" w:color="auto"/>
            </w:tcBorders>
          </w:tcPr>
          <w:p w:rsidR="00BA587A" w:rsidRPr="00F7505F" w:rsidRDefault="00BA587A" w:rsidP="00454B3C">
            <w:pPr>
              <w:pStyle w:val="Footer"/>
            </w:pPr>
          </w:p>
        </w:tc>
        <w:tc>
          <w:tcPr>
            <w:tcW w:w="215" w:type="dxa"/>
            <w:tcBorders>
              <w:left w:val="single" w:sz="4" w:space="0" w:color="auto"/>
              <w:bottom w:val="nil"/>
            </w:tcBorders>
          </w:tcPr>
          <w:p w:rsidR="00BA587A" w:rsidRPr="00F7505F" w:rsidRDefault="00BA587A" w:rsidP="00454B3C">
            <w:pPr>
              <w:pStyle w:val="Footer"/>
            </w:pPr>
          </w:p>
        </w:tc>
        <w:tc>
          <w:tcPr>
            <w:tcW w:w="1418" w:type="dxa"/>
          </w:tcPr>
          <w:p w:rsidR="00BA587A" w:rsidRPr="00F7505F" w:rsidRDefault="00BA587A" w:rsidP="00454B3C">
            <w:pPr>
              <w:pStyle w:val="Footer"/>
              <w:jc w:val="right"/>
            </w:pPr>
            <w:r w:rsidRPr="00F7505F">
              <w:t>4 May 2012</w:t>
            </w:r>
          </w:p>
        </w:tc>
        <w:tc>
          <w:tcPr>
            <w:tcW w:w="142" w:type="dxa"/>
          </w:tcPr>
          <w:p w:rsidR="00BA587A" w:rsidRPr="00F7505F" w:rsidRDefault="00BA587A" w:rsidP="00454B3C">
            <w:pPr>
              <w:pStyle w:val="Footer"/>
            </w:pPr>
          </w:p>
        </w:tc>
        <w:tc>
          <w:tcPr>
            <w:tcW w:w="850" w:type="dxa"/>
          </w:tcPr>
          <w:p w:rsidR="00BA587A" w:rsidRPr="00F7505F" w:rsidRDefault="00BA587A" w:rsidP="00454B3C">
            <w:pPr>
              <w:pStyle w:val="Footer"/>
              <w:jc w:val="center"/>
            </w:pPr>
            <w:r w:rsidRPr="00F7505F">
              <w:t>SI &amp; CO</w:t>
            </w:r>
          </w:p>
        </w:tc>
        <w:tc>
          <w:tcPr>
            <w:tcW w:w="142" w:type="dxa"/>
          </w:tcPr>
          <w:p w:rsidR="00BA587A" w:rsidRPr="00F7505F" w:rsidRDefault="00BA587A" w:rsidP="00454B3C">
            <w:pPr>
              <w:pStyle w:val="Footer"/>
            </w:pPr>
          </w:p>
        </w:tc>
        <w:tc>
          <w:tcPr>
            <w:tcW w:w="1843" w:type="dxa"/>
          </w:tcPr>
          <w:p w:rsidR="00BA587A" w:rsidRPr="00F7505F" w:rsidRDefault="00BA587A" w:rsidP="00454B3C">
            <w:pPr>
              <w:pStyle w:val="Footer"/>
            </w:pPr>
            <w:r w:rsidRPr="00F7505F">
              <w:t>Apr ‘11 - Mar ‘12</w:t>
            </w:r>
          </w:p>
        </w:tc>
      </w:tr>
    </w:tbl>
    <w:p w:rsidR="003A0D0C" w:rsidRPr="00F7505F" w:rsidRDefault="003A0D0C" w:rsidP="003A0D0C">
      <w:pPr>
        <w:pStyle w:val="Heading3"/>
      </w:pPr>
      <w:r w:rsidRPr="00F7505F">
        <w:t>AQI Scope</w:t>
      </w:r>
    </w:p>
    <w:p w:rsidR="003A0D0C" w:rsidRPr="00F7505F" w:rsidRDefault="003A0D0C" w:rsidP="003A0D0C">
      <w:r w:rsidRPr="00F7505F">
        <w:t xml:space="preserve">The AQI include calls made by dialling either the usual UK-wide number 999 or its </w:t>
      </w:r>
      <w:r w:rsidR="004058D7" w:rsidRPr="00F7505F">
        <w:t xml:space="preserve">international </w:t>
      </w:r>
      <w:r w:rsidRPr="00F7505F">
        <w:t>equivalent 112.</w:t>
      </w:r>
    </w:p>
    <w:p w:rsidR="003A0D0C" w:rsidRPr="00F7505F" w:rsidRDefault="003A0D0C" w:rsidP="003A0D0C">
      <w:r w:rsidRPr="00F7505F">
        <w:t>As described in the specification guidance</w:t>
      </w:r>
      <w:r w:rsidR="006F5FC5" w:rsidRPr="00F7505F">
        <w:t xml:space="preserve"> mentioned</w:t>
      </w:r>
      <w:r w:rsidRPr="00F7505F">
        <w:t xml:space="preserve"> </w:t>
      </w:r>
      <w:r w:rsidR="00E446B4" w:rsidRPr="00F7505F">
        <w:t xml:space="preserve">in section </w:t>
      </w:r>
      <w:r w:rsidR="00056629">
        <w:t>3.</w:t>
      </w:r>
      <w:r w:rsidR="00E446B4" w:rsidRPr="00F7505F">
        <w:t>1</w:t>
      </w:r>
      <w:r w:rsidRPr="00F7505F">
        <w:t xml:space="preserve">, calls made to NHS 111 are not included in the </w:t>
      </w:r>
      <w:r w:rsidR="00054D5D" w:rsidRPr="00F7505F">
        <w:t xml:space="preserve">AQI </w:t>
      </w:r>
      <w:r w:rsidR="00B870E5" w:rsidRPr="00F7505F">
        <w:t>measures for calls abandoned, re-contacts, frequent callers, time to answer calls</w:t>
      </w:r>
      <w:r w:rsidR="006F5FC5" w:rsidRPr="00F7505F">
        <w:t>,</w:t>
      </w:r>
      <w:r w:rsidR="00B870E5" w:rsidRPr="00F7505F">
        <w:t xml:space="preserve"> </w:t>
      </w:r>
      <w:r w:rsidR="006F5FC5" w:rsidRPr="00F7505F">
        <w:t xml:space="preserve">or </w:t>
      </w:r>
      <w:r w:rsidRPr="00F7505F">
        <w:t>call</w:t>
      </w:r>
      <w:r w:rsidR="00B870E5" w:rsidRPr="00F7505F">
        <w:t>s resolved by telephone advice.</w:t>
      </w:r>
    </w:p>
    <w:p w:rsidR="003A0D0C" w:rsidRPr="00F7505F" w:rsidRDefault="003A0D0C" w:rsidP="003A0D0C">
      <w:r w:rsidRPr="00F7505F">
        <w:t>All other Systems Indicators involve the dispatch of an ambulance, and include ambulances dispatched as a result of a call to NHS 111, as well as 999 or 112</w:t>
      </w:r>
      <w:r w:rsidR="00E6125B" w:rsidRPr="00F7505F">
        <w:t>.</w:t>
      </w:r>
    </w:p>
    <w:p w:rsidR="003A0D0C" w:rsidRPr="00F7505F" w:rsidRDefault="003A0D0C" w:rsidP="003A0D0C">
      <w:pPr>
        <w:pStyle w:val="Heading3"/>
      </w:pPr>
      <w:r w:rsidRPr="00F7505F">
        <w:lastRenderedPageBreak/>
        <w:t>Related statistics in England</w:t>
      </w:r>
    </w:p>
    <w:p w:rsidR="00784424" w:rsidRPr="00F7505F" w:rsidRDefault="008C5874" w:rsidP="00784424">
      <w:r w:rsidRPr="00F7505F">
        <w:t>A</w:t>
      </w:r>
      <w:r w:rsidR="003A0D0C" w:rsidRPr="00F7505F">
        <w:t xml:space="preserve"> </w:t>
      </w:r>
      <w:r w:rsidR="00E24BF5">
        <w:t>d</w:t>
      </w:r>
      <w:r w:rsidR="003A0D0C" w:rsidRPr="00F7505F">
        <w:t>ashboard</w:t>
      </w:r>
      <w:r w:rsidRPr="00F7505F">
        <w:t xml:space="preserve"> on </w:t>
      </w:r>
      <w:r w:rsidR="003A0D0C" w:rsidRPr="00F7505F">
        <w:t>the AQI landing page</w:t>
      </w:r>
      <w:r w:rsidRPr="00F7505F">
        <w:t xml:space="preserve"> </w:t>
      </w:r>
      <w:r w:rsidR="006F5FC5" w:rsidRPr="00F7505F">
        <w:t xml:space="preserve">presents an alternative layout for the </w:t>
      </w:r>
      <w:r w:rsidRPr="00F7505F">
        <w:t>AQI data</w:t>
      </w:r>
      <w:r w:rsidR="003A0D0C" w:rsidRPr="00F7505F">
        <w:t>.</w:t>
      </w:r>
      <w:r w:rsidR="00784424" w:rsidRPr="00F7505F">
        <w:t xml:space="preserve"> </w:t>
      </w:r>
      <w:r w:rsidR="006F5FC5" w:rsidRPr="00F7505F">
        <w:t xml:space="preserve">Because of the </w:t>
      </w:r>
      <w:r w:rsidRPr="00F7505F">
        <w:t>lack of comparability due to the Ambulance Response Programme (</w:t>
      </w:r>
      <w:r w:rsidR="006F5FC5" w:rsidRPr="00F7505F">
        <w:t xml:space="preserve">section </w:t>
      </w:r>
      <w:r w:rsidR="00056629">
        <w:t>1.3</w:t>
      </w:r>
      <w:r w:rsidRPr="00F7505F">
        <w:t>)</w:t>
      </w:r>
      <w:r w:rsidR="006F5FC5" w:rsidRPr="00F7505F">
        <w:t xml:space="preserve">, </w:t>
      </w:r>
      <w:r w:rsidR="00784424" w:rsidRPr="00F7505F">
        <w:t xml:space="preserve">NHS England </w:t>
      </w:r>
      <w:r w:rsidRPr="00F7505F">
        <w:t>last</w:t>
      </w:r>
      <w:r w:rsidR="00A06052" w:rsidRPr="00F7505F">
        <w:t xml:space="preserve"> updat</w:t>
      </w:r>
      <w:r w:rsidRPr="00F7505F">
        <w:t>ed the dashboard</w:t>
      </w:r>
      <w:r w:rsidR="00784424" w:rsidRPr="00F7505F">
        <w:t xml:space="preserve"> </w:t>
      </w:r>
      <w:r w:rsidR="00A06052" w:rsidRPr="00F7505F">
        <w:t>in April 2016</w:t>
      </w:r>
      <w:r w:rsidR="00784424" w:rsidRPr="00F7505F">
        <w:t>.</w:t>
      </w:r>
    </w:p>
    <w:p w:rsidR="003A0D0C" w:rsidRPr="00F7505F" w:rsidRDefault="00784424" w:rsidP="003A0D0C">
      <w:r w:rsidRPr="00F7505F">
        <w:t>The AQI were also used in the “Ambulance Services” publications</w:t>
      </w:r>
      <w:r w:rsidR="001671E7" w:rsidRPr="00F7505F">
        <w:rPr>
          <w:rStyle w:val="FootnoteReference"/>
        </w:rPr>
        <w:footnoteReference w:id="12"/>
      </w:r>
      <w:r w:rsidRPr="00F7505F">
        <w:t xml:space="preserve"> by NHS Digital, which included additional annual analysis and commentary</w:t>
      </w:r>
      <w:r w:rsidR="001671E7" w:rsidRPr="00F7505F">
        <w:t xml:space="preserve">, up to and including 2014-15 data. </w:t>
      </w:r>
      <w:r w:rsidR="003A0D0C" w:rsidRPr="00F7505F">
        <w:t xml:space="preserve">The Quality Statement described in section </w:t>
      </w:r>
      <w:r w:rsidR="00E24BF5">
        <w:t>3</w:t>
      </w:r>
      <w:r w:rsidR="00056629">
        <w:t>.</w:t>
      </w:r>
      <w:r w:rsidR="003A0D0C" w:rsidRPr="00F7505F">
        <w:t xml:space="preserve">1 </w:t>
      </w:r>
      <w:r w:rsidR="001671E7" w:rsidRPr="00F7505F">
        <w:t xml:space="preserve">has </w:t>
      </w:r>
      <w:r w:rsidR="003A0D0C" w:rsidRPr="00F7505F">
        <w:t>more information on</w:t>
      </w:r>
      <w:r w:rsidR="001671E7" w:rsidRPr="00F7505F">
        <w:t xml:space="preserve"> this</w:t>
      </w:r>
      <w:r w:rsidR="0068308C">
        <w:t xml:space="preserve"> publication.</w:t>
      </w:r>
      <w:r w:rsidR="005B65FB">
        <w:t xml:space="preserve"> </w:t>
      </w:r>
      <w:r w:rsidR="0068308C">
        <w:t xml:space="preserve">The Quality Statement </w:t>
      </w:r>
      <w:r w:rsidR="003A0D0C" w:rsidRPr="00F7505F">
        <w:t>also contains details of weekly ambulance situation reports that NHS England collected for six months from November 2010.</w:t>
      </w:r>
    </w:p>
    <w:p w:rsidR="006F5FC5" w:rsidRPr="00F7505F" w:rsidRDefault="006F5FC5" w:rsidP="006F5FC5">
      <w:r w:rsidRPr="00F7505F">
        <w:t xml:space="preserve">Ambulance handover delays of over 30 minutes at each Emergency Department were collected and published by NHS England </w:t>
      </w:r>
      <w:r w:rsidR="0068308C">
        <w:t xml:space="preserve">for </w:t>
      </w:r>
      <w:r w:rsidRPr="00F7505F">
        <w:t xml:space="preserve">winter </w:t>
      </w:r>
      <w:r w:rsidR="0068308C">
        <w:t xml:space="preserve">2012-13, 2013-14 and </w:t>
      </w:r>
      <w:r w:rsidRPr="00F7505F">
        <w:t xml:space="preserve">2014-15: </w:t>
      </w:r>
      <w:hyperlink r:id="rId31" w:history="1">
        <w:r w:rsidRPr="00F7505F">
          <w:rPr>
            <w:rStyle w:val="Hyperlink"/>
          </w:rPr>
          <w:t>www.england.nhs.uk/statistics/statistical-work-areas/winter-daily-sitreps</w:t>
        </w:r>
      </w:hyperlink>
      <w:r w:rsidR="0068308C">
        <w:rPr>
          <w:rStyle w:val="Hyperlink"/>
        </w:rPr>
        <w:t>.</w:t>
      </w:r>
    </w:p>
    <w:p w:rsidR="003A0D0C" w:rsidRPr="00F7505F" w:rsidRDefault="003A0D0C" w:rsidP="003A0D0C">
      <w:pPr>
        <w:pStyle w:val="Heading3"/>
      </w:pPr>
      <w:r w:rsidRPr="00F7505F">
        <w:t xml:space="preserve">Rest of </w:t>
      </w:r>
      <w:r w:rsidR="00D124B3" w:rsidRPr="00F7505F">
        <w:t>United Kingdom</w:t>
      </w:r>
    </w:p>
    <w:p w:rsidR="003A0D0C" w:rsidRPr="00F7505F" w:rsidRDefault="003A0D0C" w:rsidP="003A0D0C">
      <w:pPr>
        <w:rPr>
          <w:rFonts w:cs="Arial"/>
        </w:rPr>
      </w:pPr>
      <w:r w:rsidRPr="00F7505F">
        <w:rPr>
          <w:rFonts w:cs="Arial"/>
        </w:rPr>
        <w:t xml:space="preserve">Ambulance statistics for other countries of the UK can be found at the following websites. The Quality Statement described in section </w:t>
      </w:r>
      <w:r w:rsidR="00E24BF5">
        <w:rPr>
          <w:rFonts w:cs="Arial"/>
        </w:rPr>
        <w:t>3</w:t>
      </w:r>
      <w:r w:rsidR="00056629">
        <w:rPr>
          <w:rFonts w:cs="Arial"/>
        </w:rPr>
        <w:t>.</w:t>
      </w:r>
      <w:r w:rsidRPr="00F7505F">
        <w:rPr>
          <w:rFonts w:cs="Arial"/>
        </w:rPr>
        <w:t>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RPr="00F7505F" w:rsidTr="008C5874">
        <w:trPr>
          <w:trHeight w:val="454"/>
        </w:trPr>
        <w:tc>
          <w:tcPr>
            <w:tcW w:w="1242" w:type="dxa"/>
          </w:tcPr>
          <w:p w:rsidR="003A0D0C" w:rsidRPr="00F7505F" w:rsidRDefault="003A0D0C" w:rsidP="002221E6">
            <w:pPr>
              <w:pStyle w:val="NoSpacing"/>
            </w:pPr>
            <w:r w:rsidRPr="00F7505F">
              <w:t>Wales:</w:t>
            </w:r>
          </w:p>
        </w:tc>
        <w:tc>
          <w:tcPr>
            <w:tcW w:w="7280" w:type="dxa"/>
          </w:tcPr>
          <w:p w:rsidR="003A0D0C" w:rsidRPr="00F7505F" w:rsidRDefault="00E24BF5" w:rsidP="00A06052">
            <w:pPr>
              <w:pStyle w:val="NoSpacing"/>
            </w:pPr>
            <w:hyperlink r:id="rId32" w:history="1">
              <w:r w:rsidR="00A06052" w:rsidRPr="00F7505F">
                <w:rPr>
                  <w:rStyle w:val="Hyperlink"/>
                </w:rPr>
                <w:t>http://wales.g</w:t>
              </w:r>
              <w:r w:rsidR="00A06052" w:rsidRPr="00F7505F">
                <w:rPr>
                  <w:rStyle w:val="Hyperlink"/>
                </w:rPr>
                <w:t>o</w:t>
              </w:r>
              <w:r w:rsidR="00A06052" w:rsidRPr="00F7505F">
                <w:rPr>
                  <w:rStyle w:val="Hyperlink"/>
                </w:rPr>
                <w:t>v.uk/statistics-and-research/ambulance-services</w:t>
              </w:r>
            </w:hyperlink>
          </w:p>
        </w:tc>
      </w:tr>
      <w:tr w:rsidR="003A0D0C" w:rsidRPr="00F7505F" w:rsidTr="008C5874">
        <w:trPr>
          <w:trHeight w:val="680"/>
        </w:trPr>
        <w:tc>
          <w:tcPr>
            <w:tcW w:w="1242" w:type="dxa"/>
          </w:tcPr>
          <w:p w:rsidR="003A0D0C" w:rsidRPr="00F7505F" w:rsidRDefault="003A0D0C" w:rsidP="002221E6">
            <w:pPr>
              <w:pStyle w:val="NoSpacing"/>
            </w:pPr>
            <w:r w:rsidRPr="00F7505F">
              <w:t>Scotland:</w:t>
            </w:r>
          </w:p>
        </w:tc>
        <w:tc>
          <w:tcPr>
            <w:tcW w:w="7280" w:type="dxa"/>
          </w:tcPr>
          <w:p w:rsidR="003A0D0C" w:rsidRPr="00F7505F" w:rsidRDefault="003A0D0C" w:rsidP="002221E6">
            <w:pPr>
              <w:pStyle w:val="NoSpacing"/>
            </w:pPr>
            <w:r w:rsidRPr="00F7505F">
              <w:t xml:space="preserve">See </w:t>
            </w:r>
            <w:r w:rsidRPr="00F7505F">
              <w:rPr>
                <w:lang w:eastAsia="en-US"/>
              </w:rPr>
              <w:t>Quality Improvement Indicators (QII) documents at</w:t>
            </w:r>
            <w:r w:rsidRPr="00F7505F">
              <w:t xml:space="preserve"> </w:t>
            </w:r>
            <w:hyperlink r:id="rId33" w:history="1">
              <w:r w:rsidRPr="00F7505F">
                <w:rPr>
                  <w:rStyle w:val="Hyperlink"/>
                  <w:lang w:eastAsia="en-US"/>
                </w:rPr>
                <w:t>www.scottish</w:t>
              </w:r>
              <w:r w:rsidRPr="00F7505F">
                <w:rPr>
                  <w:rStyle w:val="Hyperlink"/>
                  <w:lang w:eastAsia="en-US"/>
                </w:rPr>
                <w:t>a</w:t>
              </w:r>
              <w:r w:rsidRPr="00F7505F">
                <w:rPr>
                  <w:rStyle w:val="Hyperlink"/>
                  <w:lang w:eastAsia="en-US"/>
                </w:rPr>
                <w:t>mbulance.com/TheService/BoardPapers.aspx</w:t>
              </w:r>
            </w:hyperlink>
          </w:p>
        </w:tc>
      </w:tr>
      <w:tr w:rsidR="003A0D0C" w:rsidRPr="00F7505F" w:rsidTr="008C5874">
        <w:trPr>
          <w:trHeight w:val="567"/>
        </w:trPr>
        <w:tc>
          <w:tcPr>
            <w:tcW w:w="1242" w:type="dxa"/>
          </w:tcPr>
          <w:p w:rsidR="003A0D0C" w:rsidRPr="00F7505F" w:rsidRDefault="003A0D0C" w:rsidP="002221E6">
            <w:pPr>
              <w:pStyle w:val="NoSpacing"/>
            </w:pPr>
            <w:r w:rsidRPr="00F7505F">
              <w:t>Northern Ireland:</w:t>
            </w:r>
          </w:p>
        </w:tc>
        <w:tc>
          <w:tcPr>
            <w:tcW w:w="7280" w:type="dxa"/>
          </w:tcPr>
          <w:p w:rsidR="003A0D0C" w:rsidRPr="00F7505F" w:rsidRDefault="00E24BF5" w:rsidP="008C5874">
            <w:pPr>
              <w:pStyle w:val="NoSpacing"/>
              <w:rPr>
                <w:lang w:eastAsia="en-US"/>
              </w:rPr>
            </w:pPr>
            <w:hyperlink r:id="rId34" w:history="1">
              <w:r w:rsidR="00DA2ABF" w:rsidRPr="00F7505F">
                <w:rPr>
                  <w:rStyle w:val="Hyperlink"/>
                </w:rPr>
                <w:t>www.health-ni.g</w:t>
              </w:r>
              <w:r w:rsidR="00DA2ABF" w:rsidRPr="00F7505F">
                <w:rPr>
                  <w:rStyle w:val="Hyperlink"/>
                </w:rPr>
                <w:t>o</w:t>
              </w:r>
              <w:r w:rsidR="00DA2ABF" w:rsidRPr="00F7505F">
                <w:rPr>
                  <w:rStyle w:val="Hyperlink"/>
                </w:rPr>
                <w:t>v.uk/articles/emergency-care-and-ambulance-statistics</w:t>
              </w:r>
            </w:hyperlink>
          </w:p>
        </w:tc>
      </w:tr>
    </w:tbl>
    <w:p w:rsidR="00E11703" w:rsidRPr="00F7505F" w:rsidRDefault="00E11703" w:rsidP="00E11703">
      <w:pPr>
        <w:pStyle w:val="Heading3"/>
      </w:pPr>
      <w:r w:rsidRPr="00F7505F">
        <w:t>Contact information</w:t>
      </w:r>
    </w:p>
    <w:p w:rsidR="00E11703" w:rsidRPr="00F7505F" w:rsidRDefault="0068308C" w:rsidP="00E11703">
      <w:pPr>
        <w:autoSpaceDE w:val="0"/>
        <w:autoSpaceDN w:val="0"/>
        <w:adjustRightInd w:val="0"/>
        <w:rPr>
          <w:rFonts w:cs="Arial"/>
        </w:rPr>
      </w:pPr>
      <w:r>
        <w:rPr>
          <w:rFonts w:cs="Arial"/>
        </w:rPr>
        <w:t>P</w:t>
      </w:r>
      <w:r w:rsidR="00E11703" w:rsidRPr="00F7505F">
        <w:rPr>
          <w:rFonts w:cs="Arial"/>
        </w:rPr>
        <w:t>ress</w:t>
      </w:r>
      <w:r>
        <w:rPr>
          <w:rFonts w:cs="Arial"/>
        </w:rPr>
        <w:t>: NHS England press office,</w:t>
      </w:r>
      <w:r w:rsidR="00E11703" w:rsidRPr="00F7505F">
        <w:rPr>
          <w:rFonts w:cs="Arial"/>
        </w:rPr>
        <w:t xml:space="preserve"> </w:t>
      </w:r>
      <w:hyperlink r:id="rId35" w:history="1">
        <w:r w:rsidR="00E11703" w:rsidRPr="00F7505F">
          <w:rPr>
            <w:rStyle w:val="Hyperlink"/>
            <w:rFonts w:cs="Arial"/>
          </w:rPr>
          <w:t>nhsengland.media@nhs.net</w:t>
        </w:r>
      </w:hyperlink>
      <w:r>
        <w:rPr>
          <w:rStyle w:val="Hyperlink"/>
          <w:rFonts w:cs="Arial"/>
        </w:rPr>
        <w:t>,</w:t>
      </w:r>
      <w:r w:rsidRPr="0068308C">
        <w:rPr>
          <w:rFonts w:cs="Arial"/>
        </w:rPr>
        <w:t xml:space="preserve"> </w:t>
      </w:r>
      <w:r w:rsidRPr="00F7505F">
        <w:rPr>
          <w:rFonts w:cs="Arial"/>
        </w:rPr>
        <w:t>0113 825 0958</w:t>
      </w:r>
      <w:r>
        <w:rPr>
          <w:rFonts w:cs="Arial"/>
        </w:rPr>
        <w:t>.</w:t>
      </w:r>
    </w:p>
    <w:p w:rsidR="00E11703" w:rsidRPr="00F7505F" w:rsidRDefault="00E11703" w:rsidP="00E11703">
      <w:pPr>
        <w:autoSpaceDE w:val="0"/>
        <w:autoSpaceDN w:val="0"/>
        <w:adjustRightInd w:val="0"/>
        <w:rPr>
          <w:rFonts w:cs="Arial"/>
        </w:rPr>
      </w:pPr>
      <w:r w:rsidRPr="00F7505F">
        <w:rPr>
          <w:rFonts w:cs="Arial"/>
        </w:rPr>
        <w:t>The</w:t>
      </w:r>
      <w:r w:rsidR="001E75EA" w:rsidRPr="00F7505F">
        <w:rPr>
          <w:rFonts w:cs="Arial"/>
        </w:rPr>
        <w:t xml:space="preserve"> </w:t>
      </w:r>
      <w:r w:rsidR="00501034" w:rsidRPr="00F7505F">
        <w:rPr>
          <w:rFonts w:cs="Arial"/>
        </w:rPr>
        <w:t>person</w:t>
      </w:r>
      <w:r w:rsidRPr="00F7505F">
        <w:rPr>
          <w:rFonts w:cs="Arial"/>
        </w:rPr>
        <w:t xml:space="preserve"> responsible for producing </w:t>
      </w:r>
      <w:r w:rsidR="001E75EA" w:rsidRPr="00F7505F">
        <w:rPr>
          <w:rFonts w:cs="Arial"/>
        </w:rPr>
        <w:t xml:space="preserve">this publication </w:t>
      </w:r>
      <w:r w:rsidRPr="00F7505F">
        <w:rPr>
          <w:rFonts w:cs="Arial"/>
        </w:rPr>
        <w:t>is:</w:t>
      </w:r>
    </w:p>
    <w:p w:rsidR="00B26DEC" w:rsidRPr="00F7505F" w:rsidRDefault="00033D02" w:rsidP="00B26DEC">
      <w:pPr>
        <w:pStyle w:val="NoSpacing"/>
      </w:pPr>
      <w:r w:rsidRPr="00F7505F">
        <w:t>Ian Kay</w:t>
      </w:r>
      <w:r w:rsidR="00E11703" w:rsidRPr="00F7505F">
        <w:t xml:space="preserve">, </w:t>
      </w:r>
      <w:r w:rsidR="001E75EA" w:rsidRPr="00F7505F">
        <w:t xml:space="preserve">Operational Information for Commissioning </w:t>
      </w:r>
      <w:r w:rsidR="00E11703" w:rsidRPr="00F7505F">
        <w:t>(</w:t>
      </w:r>
      <w:r w:rsidR="009C348D" w:rsidRPr="00F7505F">
        <w:t>Central</w:t>
      </w:r>
      <w:r w:rsidR="00E11703" w:rsidRPr="00F7505F">
        <w:t>), NHS England</w:t>
      </w:r>
    </w:p>
    <w:p w:rsidR="00E11703" w:rsidRPr="00F7505F" w:rsidRDefault="00E11703" w:rsidP="00E11703">
      <w:r w:rsidRPr="00F7505F">
        <w:t xml:space="preserve">Room 5E24, Quarry House, Leeds, LS2 7UE; </w:t>
      </w:r>
      <w:r w:rsidR="00033D02" w:rsidRPr="00F7505F">
        <w:t>0113 825 4606</w:t>
      </w:r>
      <w:r w:rsidRPr="00F7505F">
        <w:t>;</w:t>
      </w:r>
      <w:r w:rsidR="00501034" w:rsidRPr="00F7505F">
        <w:t xml:space="preserve"> </w:t>
      </w:r>
      <w:hyperlink r:id="rId36" w:history="1">
        <w:r w:rsidR="00033D02" w:rsidRPr="00F7505F">
          <w:rPr>
            <w:rStyle w:val="Hyperlink"/>
          </w:rPr>
          <w:t>i.kay@nhs.net</w:t>
        </w:r>
      </w:hyperlink>
      <w:r w:rsidR="00501034" w:rsidRPr="00F7505F">
        <w:t xml:space="preserve"> </w:t>
      </w:r>
    </w:p>
    <w:p w:rsidR="00E11703" w:rsidRPr="00F7505F" w:rsidRDefault="00E11703" w:rsidP="003A0D0C">
      <w:pPr>
        <w:pStyle w:val="Heading3"/>
      </w:pPr>
      <w:r w:rsidRPr="00F7505F">
        <w:t>National Statistics</w:t>
      </w:r>
    </w:p>
    <w:p w:rsidR="00E11703" w:rsidRPr="00F7505F" w:rsidRDefault="00E204F2" w:rsidP="00E11703">
      <w:r w:rsidRPr="00F7505F">
        <w:t>The UK Statistics Authority has designated these statistics as National Statistics, in accordance with the Statistics and Registration Service Act 2007 and signifying compliance with the Code of Practice for Official Statistics</w:t>
      </w:r>
      <w:r w:rsidR="00E11703" w:rsidRPr="00F7505F">
        <w:t>.</w:t>
      </w:r>
    </w:p>
    <w:p w:rsidR="00E11703" w:rsidRPr="00F7505F" w:rsidRDefault="00E11703" w:rsidP="00E57244">
      <w:pPr>
        <w:pStyle w:val="NoSpacing"/>
      </w:pPr>
      <w:r w:rsidRPr="00F7505F">
        <w:t>Designation can be broadly interpreted to mean that the statistics:</w:t>
      </w:r>
    </w:p>
    <w:p w:rsidR="00E11703" w:rsidRPr="00F7505F" w:rsidRDefault="00E11703" w:rsidP="00E11703">
      <w:pPr>
        <w:pStyle w:val="ListBullet"/>
      </w:pPr>
      <w:r w:rsidRPr="00F7505F">
        <w:t>meet identified user needs;</w:t>
      </w:r>
    </w:p>
    <w:p w:rsidR="00E11703" w:rsidRPr="00F7505F" w:rsidRDefault="00E11703" w:rsidP="00E11703">
      <w:pPr>
        <w:pStyle w:val="ListBullet"/>
      </w:pPr>
      <w:r w:rsidRPr="00F7505F">
        <w:t>are well explained and readily accessible;</w:t>
      </w:r>
    </w:p>
    <w:p w:rsidR="00E11703" w:rsidRPr="00F7505F" w:rsidRDefault="00E11703" w:rsidP="00E11703">
      <w:pPr>
        <w:pStyle w:val="ListBullet"/>
      </w:pPr>
      <w:r w:rsidRPr="00F7505F">
        <w:t>are produced according to sound methods; and</w:t>
      </w:r>
    </w:p>
    <w:p w:rsidR="00E11703" w:rsidRPr="00F7505F" w:rsidRDefault="00E11703" w:rsidP="00E11703">
      <w:pPr>
        <w:pStyle w:val="ListBullet"/>
      </w:pPr>
      <w:proofErr w:type="gramStart"/>
      <w:r w:rsidRPr="00F7505F">
        <w:t>are</w:t>
      </w:r>
      <w:proofErr w:type="gramEnd"/>
      <w:r w:rsidRPr="00F7505F">
        <w:t xml:space="preserve"> managed impartially and objectively in the public interest.</w:t>
      </w:r>
    </w:p>
    <w:p w:rsidR="00E11703" w:rsidRDefault="00E11703" w:rsidP="00E61830">
      <w:r w:rsidRPr="00F7505F">
        <w:t>Once statistics have been designated as National Statistics it is a statutory requirement that the Code of Practice shall continue to be observed.</w:t>
      </w:r>
    </w:p>
    <w:sectPr w:rsidR="00E11703" w:rsidSect="002E3688">
      <w:headerReference w:type="default" r:id="rId37"/>
      <w:footerReference w:type="default" r:id="rId38"/>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37" w:rsidRDefault="00572137" w:rsidP="008C63D3">
      <w:r>
        <w:separator/>
      </w:r>
    </w:p>
  </w:endnote>
  <w:endnote w:type="continuationSeparator" w:id="0">
    <w:p w:rsidR="00572137" w:rsidRDefault="00572137"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37" w:rsidRDefault="00572137" w:rsidP="00E924D4">
    <w:pPr>
      <w:pStyle w:val="Footer"/>
      <w:tabs>
        <w:tab w:val="clear" w:pos="9026"/>
        <w:tab w:val="left" w:pos="5025"/>
        <w:tab w:val="right" w:pos="8364"/>
      </w:tabs>
    </w:pPr>
    <w:r>
      <w:t>NHS England AQI Statistical Note, 10 August 2017.</w:t>
    </w:r>
    <w:r>
      <w:tab/>
    </w:r>
    <w:r>
      <w:tab/>
      <w:t xml:space="preserve">Page </w:t>
    </w:r>
    <w:r>
      <w:fldChar w:fldCharType="begin"/>
    </w:r>
    <w:r>
      <w:instrText xml:space="preserve"> PAGE   \* MERGEFORMAT </w:instrText>
    </w:r>
    <w:r>
      <w:fldChar w:fldCharType="separate"/>
    </w:r>
    <w:r w:rsidR="00E24BF5">
      <w:rPr>
        <w:noProof/>
      </w:rPr>
      <w:t>2</w:t>
    </w:r>
    <w:r>
      <w:rPr>
        <w:noProof/>
      </w:rPr>
      <w:fldChar w:fldCharType="end"/>
    </w:r>
    <w:r>
      <w:rPr>
        <w:noProof/>
      </w:rPr>
      <w:t xml:space="preserve"> of </w:t>
    </w:r>
    <w:r w:rsidR="00E24BF5">
      <w:fldChar w:fldCharType="begin"/>
    </w:r>
    <w:r w:rsidR="00E24BF5">
      <w:instrText xml:space="preserve"> NUMPAGES   \* MERGEFORMAT </w:instrText>
    </w:r>
    <w:r w:rsidR="00E24BF5">
      <w:fldChar w:fldCharType="separate"/>
    </w:r>
    <w:r w:rsidR="00E24BF5">
      <w:rPr>
        <w:noProof/>
      </w:rPr>
      <w:t>15</w:t>
    </w:r>
    <w:r w:rsidR="00E24BF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37" w:rsidRDefault="00572137" w:rsidP="008C63D3">
      <w:r>
        <w:separator/>
      </w:r>
    </w:p>
  </w:footnote>
  <w:footnote w:type="continuationSeparator" w:id="0">
    <w:p w:rsidR="00572137" w:rsidRDefault="00572137" w:rsidP="008C63D3">
      <w:r>
        <w:continuationSeparator/>
      </w:r>
    </w:p>
  </w:footnote>
  <w:footnote w:id="1">
    <w:p w:rsidR="00572137" w:rsidRDefault="00572137" w:rsidP="00E65E27">
      <w:pPr>
        <w:pStyle w:val="Footer"/>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572137" w:rsidRPr="00E65E27" w:rsidRDefault="00572137" w:rsidP="00E65E27">
      <w:pPr>
        <w:pStyle w:val="Footer"/>
      </w:pPr>
    </w:p>
  </w:footnote>
  <w:footnote w:id="2">
    <w:p w:rsidR="00572137" w:rsidRDefault="00572137" w:rsidP="00E65E27">
      <w:pPr>
        <w:pStyle w:val="Footer"/>
      </w:pPr>
      <w:r>
        <w:rPr>
          <w:rStyle w:val="FootnoteReference"/>
        </w:rPr>
        <w:footnoteRef/>
      </w:r>
      <w:r>
        <w:t xml:space="preserve"> Significance calculations in this document are Student’s t-test w</w:t>
      </w:r>
      <w:r w:rsidR="00CC13D4">
        <w:t>ith 95% significance, comparing the latest month with the latest financial year.</w:t>
      </w:r>
    </w:p>
    <w:p w:rsidR="00572137" w:rsidRDefault="00572137" w:rsidP="00E65E27">
      <w:pPr>
        <w:pStyle w:val="Footer"/>
      </w:pPr>
    </w:p>
  </w:footnote>
  <w:footnote w:id="3">
    <w:p w:rsidR="00CC13D4" w:rsidRDefault="00572137" w:rsidP="00E65E27">
      <w:pPr>
        <w:pStyle w:val="Footer"/>
      </w:pPr>
      <w:r>
        <w:rPr>
          <w:rStyle w:val="FootnoteReference"/>
        </w:rPr>
        <w:footnoteRef/>
      </w:r>
      <w:r>
        <w:t xml:space="preserve"> </w:t>
      </w:r>
      <w:r w:rsidR="00CC13D4">
        <w:t>Af</w:t>
      </w:r>
      <w:r w:rsidR="00CC13D4" w:rsidRPr="0024538A">
        <w:t xml:space="preserve">ter June 2016, Category </w:t>
      </w:r>
      <w:proofErr w:type="gramStart"/>
      <w:r w:rsidR="00CC13D4" w:rsidRPr="0024538A">
        <w:t>A</w:t>
      </w:r>
      <w:proofErr w:type="gramEnd"/>
      <w:r w:rsidR="00CC13D4" w:rsidRPr="0024538A">
        <w:t xml:space="preserve"> only applies to 8 of the 11 Ambulance Services</w:t>
      </w:r>
      <w:r w:rsidR="00CC13D4">
        <w:t xml:space="preserve"> in England, so Red 1 and Red 2 </w:t>
      </w:r>
      <w:r w:rsidR="00CC13D4" w:rsidRPr="0024538A">
        <w:t>response data are not avai</w:t>
      </w:r>
      <w:r w:rsidR="00CC13D4">
        <w:t>lable for the other 3; see section 1.3 on the Clinical Coding Review. Also, from February 2015, changes in operational practice meant that Red 2 response data are still available but not always comparable; see section 1.2 on Dispatch on Disposition</w:t>
      </w:r>
      <w:r w:rsidR="00CC13D4">
        <w:t>.</w:t>
      </w:r>
    </w:p>
    <w:p w:rsidR="00CC13D4" w:rsidRDefault="00CC13D4" w:rsidP="00E65E27">
      <w:pPr>
        <w:pStyle w:val="Footer"/>
      </w:pPr>
    </w:p>
    <w:p w:rsidR="00572137" w:rsidRDefault="00CC13D4" w:rsidP="00E65E27">
      <w:pPr>
        <w:pStyle w:val="Footer"/>
      </w:pPr>
      <w:r>
        <w:t>The Red 1 and Red 2 divisions of</w:t>
      </w:r>
      <w:r w:rsidR="0032185E">
        <w:t xml:space="preserve"> </w:t>
      </w:r>
      <w:r w:rsidR="0032185E" w:rsidRPr="00340492">
        <w:t xml:space="preserve">Category </w:t>
      </w:r>
      <w:proofErr w:type="gramStart"/>
      <w:r w:rsidR="0032185E" w:rsidRPr="00340492">
        <w:t>A</w:t>
      </w:r>
      <w:proofErr w:type="gramEnd"/>
      <w:r w:rsidR="0032185E" w:rsidRPr="00340492">
        <w:t xml:space="preserve"> (immediately life-threatening)</w:t>
      </w:r>
      <w:r w:rsidR="0032185E">
        <w:t xml:space="preserve"> calls were </w:t>
      </w:r>
      <w:r>
        <w:t>created on 1 June 2012</w:t>
      </w:r>
      <w:r w:rsidR="0032185E">
        <w:t xml:space="preserve">. </w:t>
      </w:r>
      <w:r w:rsidR="0032185E"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rsidR="0032185E">
        <w:t xml:space="preserve">. </w:t>
      </w:r>
      <w:hyperlink r:id="rId2" w:history="1">
        <w:r w:rsidR="0032185E" w:rsidRPr="00340492">
          <w:rPr>
            <w:rStyle w:val="Hyperlink"/>
            <w:rFonts w:cs="Arial"/>
            <w:szCs w:val="20"/>
          </w:rPr>
          <w:t>www.gov.uk/government/news/changes-to-ambulance-response-time-categories</w:t>
        </w:r>
      </w:hyperlink>
      <w:r w:rsidR="00572137">
        <w:t>.</w:t>
      </w:r>
    </w:p>
  </w:footnote>
  <w:footnote w:id="4">
    <w:p w:rsidR="00572137" w:rsidRDefault="00572137" w:rsidP="00E65E27">
      <w:pPr>
        <w:pStyle w:val="Footer"/>
      </w:pPr>
      <w:r>
        <w:rPr>
          <w:rStyle w:val="FootnoteReference"/>
        </w:rPr>
        <w:footnoteRef/>
      </w:r>
      <w:r>
        <w:t xml:space="preserve"> England excludes YAS and SWAS after April 2016, and WMAS</w:t>
      </w:r>
      <w:r w:rsidRPr="00DA2024">
        <w:t xml:space="preserve"> </w:t>
      </w:r>
      <w:r>
        <w:t xml:space="preserve">after June 2016. See section </w:t>
      </w:r>
      <w:r w:rsidR="0032185E">
        <w:t>1.</w:t>
      </w:r>
      <w:r>
        <w:t>3.</w:t>
      </w:r>
    </w:p>
    <w:p w:rsidR="00572137" w:rsidRDefault="00572137" w:rsidP="002406AD"/>
  </w:footnote>
  <w:footnote w:id="5">
    <w:p w:rsidR="00572137" w:rsidRDefault="00572137" w:rsidP="00E65E27">
      <w:pPr>
        <w:pStyle w:val="Footer"/>
      </w:pPr>
      <w:r>
        <w:rPr>
          <w:rStyle w:val="FootnoteReference"/>
        </w:rPr>
        <w:footnoteRef/>
      </w:r>
      <w:r>
        <w:t xml:space="preserve"> England excludes YAS and SWAS after April 2016, and WMAS</w:t>
      </w:r>
      <w:r w:rsidRPr="00DA2024">
        <w:t xml:space="preserve"> </w:t>
      </w:r>
      <w:r>
        <w:t xml:space="preserve">after June 2016. See section </w:t>
      </w:r>
      <w:r w:rsidR="00FE4D88">
        <w:t>1.3</w:t>
      </w:r>
      <w:r>
        <w:t>.</w:t>
      </w:r>
    </w:p>
  </w:footnote>
  <w:footnote w:id="6">
    <w:p w:rsidR="006A01CA" w:rsidRDefault="006A01CA" w:rsidP="006A01CA">
      <w:pPr>
        <w:pStyle w:val="Footer"/>
      </w:pPr>
      <w:r>
        <w:rPr>
          <w:rStyle w:val="FootnoteReference"/>
        </w:rPr>
        <w:footnoteRef/>
      </w:r>
      <w:r>
        <w:t xml:space="preserve"> England excludes YAS and SWAS after April 2016, and WMAS</w:t>
      </w:r>
      <w:r w:rsidRPr="00DA2024">
        <w:t xml:space="preserve"> </w:t>
      </w:r>
      <w:r>
        <w:t>after June 2016. See section 1.3.</w:t>
      </w:r>
    </w:p>
  </w:footnote>
  <w:footnote w:id="7">
    <w:p w:rsidR="00572137" w:rsidRPr="00E65E27" w:rsidRDefault="00572137" w:rsidP="00E65E27">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numbers of emergency calls presented to switchboard.</w:t>
      </w:r>
    </w:p>
    <w:p w:rsidR="00572137" w:rsidRPr="00E65E27" w:rsidRDefault="00572137" w:rsidP="00E65E27">
      <w:pPr>
        <w:pStyle w:val="Footer"/>
      </w:pPr>
    </w:p>
  </w:footnote>
  <w:footnote w:id="8">
    <w:p w:rsidR="00572137" w:rsidRDefault="00572137" w:rsidP="00E65E27">
      <w:pPr>
        <w:pStyle w:val="Footer"/>
      </w:pPr>
      <w:r>
        <w:rPr>
          <w:rStyle w:val="FootnoteReference"/>
        </w:rPr>
        <w:footnoteRef/>
      </w:r>
      <w:r>
        <w:t xml:space="preserve"> </w:t>
      </w:r>
      <w:proofErr w:type="gramStart"/>
      <w:r>
        <w:t>Type 1 are</w:t>
      </w:r>
      <w:proofErr w:type="gramEnd"/>
      <w:r>
        <w:t xml:space="preserve"> consultant-led 24 hour emergency </w:t>
      </w:r>
      <w:r w:rsidRPr="00E65E27">
        <w:t>departments</w:t>
      </w:r>
      <w:r>
        <w:t xml:space="preserve"> with full resuscitation facilities. </w:t>
      </w:r>
    </w:p>
    <w:p w:rsidR="00572137" w:rsidRDefault="00572137" w:rsidP="001F1D24">
      <w:pPr>
        <w:pStyle w:val="Footer"/>
      </w:pPr>
      <w:r>
        <w:t>Type 2 offer a consultant-led speciality A&amp;E service such as ophthalmology or dental.</w:t>
      </w:r>
    </w:p>
    <w:p w:rsidR="00572137" w:rsidRDefault="00572137" w:rsidP="001F1D24">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572137" w:rsidRDefault="00572137" w:rsidP="001F1D24">
      <w:pPr>
        <w:pStyle w:val="Footer"/>
      </w:pPr>
      <w:proofErr w:type="gramStart"/>
      <w:r>
        <w:t>Type 4 are</w:t>
      </w:r>
      <w:proofErr w:type="gramEnd"/>
      <w:r>
        <w:t xml:space="preserve"> NHS walk-in centres. (</w:t>
      </w:r>
      <w:hyperlink r:id="rId3" w:history="1">
        <w:r w:rsidRPr="005239BD">
          <w:rPr>
            <w:rStyle w:val="Hyperlink"/>
          </w:rPr>
          <w:t>www.datadictionary.nhs.uk/data_dictionary/attributes/a/acc/</w:t>
        </w:r>
      </w:hyperlink>
      <w:r>
        <w:br/>
      </w:r>
      <w:hyperlink r:id="rId4" w:history="1">
        <w:r w:rsidRPr="005239BD">
          <w:rPr>
            <w:rStyle w:val="Hyperlink"/>
          </w:rPr>
          <w:t>accident_and_emergency_department_type_de.asp</w:t>
        </w:r>
      </w:hyperlink>
      <w:r>
        <w:rPr>
          <w:rStyle w:val="Hyperlink"/>
        </w:rPr>
        <w:t>)</w:t>
      </w:r>
    </w:p>
  </w:footnote>
  <w:footnote w:id="9">
    <w:p w:rsidR="00572137" w:rsidRDefault="00572137">
      <w:pPr>
        <w:pStyle w:val="FootnoteText"/>
      </w:pPr>
      <w:r>
        <w:rPr>
          <w:rStyle w:val="FootnoteReference"/>
        </w:rPr>
        <w:footnoteRef/>
      </w:r>
      <w:r>
        <w:t xml:space="preserve"> The Isle of Wight (IOW) contains 0.3% of the resident population of England</w:t>
      </w:r>
      <w:r w:rsidR="0070601D">
        <w:t>.</w:t>
      </w:r>
      <w:r>
        <w:t xml:space="preserve"> Its data</w:t>
      </w:r>
      <w:r w:rsidR="00D20847">
        <w:t xml:space="preserve">, </w:t>
      </w:r>
      <w:r>
        <w:t xml:space="preserve">available in the accompanying spreadsheets, </w:t>
      </w:r>
      <w:r w:rsidR="0070601D" w:rsidRPr="00A44168">
        <w:t>vary more than other trusts</w:t>
      </w:r>
      <w:r w:rsidR="0070601D">
        <w:t xml:space="preserve"> due to its </w:t>
      </w:r>
      <w:r w:rsidR="00D20847">
        <w:t xml:space="preserve">small </w:t>
      </w:r>
      <w:r w:rsidR="0070601D">
        <w:t xml:space="preserve">size. In </w:t>
      </w:r>
      <w:r>
        <w:t>this document, i</w:t>
      </w:r>
      <w:r w:rsidRPr="00A44168">
        <w:t xml:space="preserve">f </w:t>
      </w:r>
      <w:r>
        <w:t>IOW</w:t>
      </w:r>
      <w:r w:rsidRPr="00A44168">
        <w:t xml:space="preserve"> has</w:t>
      </w:r>
      <w:r>
        <w:t xml:space="preserve"> the largest or smallest value, we report the second largest or smallest value instead</w:t>
      </w:r>
      <w:r w:rsidR="0070601D">
        <w:t>.</w:t>
      </w:r>
    </w:p>
  </w:footnote>
  <w:footnote w:id="10">
    <w:p w:rsidR="00572137" w:rsidRDefault="00572137" w:rsidP="00E65E27">
      <w:pPr>
        <w:pStyle w:val="Footer"/>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5" w:history="1">
        <w:r w:rsidRPr="000B169C">
          <w:rPr>
            <w:rStyle w:val="Hyperlink"/>
          </w:rPr>
          <w:t>http://circ.ahajournals.org/content/110/21/3385</w:t>
        </w:r>
      </w:hyperlink>
    </w:p>
  </w:footnote>
  <w:footnote w:id="11">
    <w:p w:rsidR="006F3605" w:rsidRDefault="006F3605" w:rsidP="006F3605">
      <w:pPr>
        <w:pStyle w:val="Footer"/>
      </w:pPr>
      <w:r>
        <w:rPr>
          <w:rStyle w:val="FootnoteReference"/>
        </w:rPr>
        <w:footnoteRef/>
      </w:r>
      <w:r>
        <w:t xml:space="preserve"> Pages 27 to 30 </w:t>
      </w:r>
      <w:r w:rsidRPr="00E65E27">
        <w:t>of</w:t>
      </w:r>
      <w:r>
        <w:t xml:space="preserve"> the specification guidance for data suppliers on the AQI landing page at </w:t>
      </w:r>
      <w:hyperlink r:id="rId6"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2">
    <w:p w:rsidR="00572137" w:rsidRDefault="00572137" w:rsidP="00E65E27">
      <w:pPr>
        <w:pStyle w:val="Footer"/>
      </w:pPr>
      <w:r>
        <w:rPr>
          <w:rStyle w:val="FootnoteReference"/>
        </w:rPr>
        <w:footnoteRef/>
      </w:r>
      <w:r>
        <w:t xml:space="preserve"> NHS Digital </w:t>
      </w:r>
      <w:r w:rsidRPr="001671E7">
        <w:rPr>
          <w:i/>
        </w:rPr>
        <w:t>Ambulance Services</w:t>
      </w:r>
      <w:r>
        <w:t xml:space="preserve">: </w:t>
      </w:r>
      <w:hyperlink r:id="rId7" w:history="1">
        <w:r w:rsidRPr="000B169C">
          <w:rPr>
            <w:rStyle w:val="Hyperlink"/>
          </w:rPr>
          <w:t>http://content.digital.nhs.uk/article/2021/Website-Search?q=ka34</w:t>
        </w:r>
      </w:hyperlink>
      <w:hyperlink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37" w:rsidRDefault="0070601D" w:rsidP="00003FCB">
    <w:pPr>
      <w:tabs>
        <w:tab w:val="left" w:pos="3255"/>
        <w:tab w:val="right" w:pos="9923"/>
      </w:tabs>
      <w:ind w:right="-238" w:hanging="851"/>
    </w:pPr>
    <w:r>
      <w:rPr>
        <w:noProof/>
      </w:rPr>
      <w:drawing>
        <wp:anchor distT="0" distB="0" distL="114300" distR="114300" simplePos="0" relativeHeight="251658240" behindDoc="0" locked="0" layoutInCell="1" allowOverlap="1" wp14:anchorId="42C242ED" wp14:editId="318E5251">
          <wp:simplePos x="0" y="0"/>
          <wp:positionH relativeFrom="column">
            <wp:posOffset>5148580</wp:posOffset>
          </wp:positionH>
          <wp:positionV relativeFrom="paragraph">
            <wp:posOffset>0</wp:posOffset>
          </wp:positionV>
          <wp:extent cx="1155600" cy="720000"/>
          <wp:effectExtent l="0" t="0" r="6985" b="4445"/>
          <wp:wrapSquare wrapText="bothSides"/>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600" cy="720000"/>
                  </a:xfrm>
                  <a:prstGeom prst="rect">
                    <a:avLst/>
                  </a:prstGeom>
                </pic:spPr>
              </pic:pic>
            </a:graphicData>
          </a:graphic>
          <wp14:sizeRelH relativeFrom="margin">
            <wp14:pctWidth>0</wp14:pctWidth>
          </wp14:sizeRelH>
          <wp14:sizeRelV relativeFrom="margin">
            <wp14:pctHeight>0</wp14:pctHeight>
          </wp14:sizeRelV>
        </wp:anchor>
      </w:drawing>
    </w:r>
    <w:r w:rsidR="00572137">
      <w:rPr>
        <w:noProof/>
      </w:rPr>
      <w:drawing>
        <wp:inline distT="0" distB="0" distL="0" distR="0" wp14:anchorId="4228CADC" wp14:editId="31FB3F87">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572137">
      <w:tab/>
    </w:r>
    <w:r w:rsidR="0057213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ED48DBA"/>
    <w:lvl w:ilvl="0">
      <w:start w:val="1"/>
      <w:numFmt w:val="decimal"/>
      <w:lvlText w:val="%1."/>
      <w:lvlJc w:val="left"/>
      <w:pPr>
        <w:tabs>
          <w:tab w:val="num" w:pos="643"/>
        </w:tabs>
        <w:ind w:left="643" w:hanging="360"/>
      </w:pPr>
    </w:lvl>
  </w:abstractNum>
  <w:abstractNum w:abstractNumId="1">
    <w:nsid w:val="FFFFFF83"/>
    <w:multiLevelType w:val="singleLevel"/>
    <w:tmpl w:val="B32C441A"/>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C10C4D"/>
    <w:multiLevelType w:val="multilevel"/>
    <w:tmpl w:val="31AE31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264FB3"/>
    <w:multiLevelType w:val="multilevel"/>
    <w:tmpl w:val="0ACC791A"/>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12"/>
  </w:num>
  <w:num w:numId="4">
    <w:abstractNumId w:val="13"/>
  </w:num>
  <w:num w:numId="5">
    <w:abstractNumId w:val="11"/>
  </w:num>
  <w:num w:numId="6">
    <w:abstractNumId w:val="15"/>
  </w:num>
  <w:num w:numId="7">
    <w:abstractNumId w:val="18"/>
  </w:num>
  <w:num w:numId="8">
    <w:abstractNumId w:val="6"/>
  </w:num>
  <w:num w:numId="9">
    <w:abstractNumId w:val="3"/>
  </w:num>
  <w:num w:numId="10">
    <w:abstractNumId w:val="1"/>
  </w:num>
  <w:num w:numId="11">
    <w:abstractNumId w:val="0"/>
  </w:num>
  <w:num w:numId="12">
    <w:abstractNumId w:val="2"/>
  </w:num>
  <w:num w:numId="13">
    <w:abstractNumId w:val="17"/>
  </w:num>
  <w:num w:numId="14">
    <w:abstractNumId w:val="8"/>
  </w:num>
  <w:num w:numId="15">
    <w:abstractNumId w:val="10"/>
  </w:num>
  <w:num w:numId="16">
    <w:abstractNumId w:val="9"/>
  </w:num>
  <w:num w:numId="17">
    <w:abstractNumId w:val="14"/>
  </w:num>
  <w:num w:numId="18">
    <w:abstractNumId w:val="7"/>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416"/>
    <w:rsid w:val="00002502"/>
    <w:rsid w:val="00002EFA"/>
    <w:rsid w:val="00003216"/>
    <w:rsid w:val="00003FCB"/>
    <w:rsid w:val="0000427B"/>
    <w:rsid w:val="0000477A"/>
    <w:rsid w:val="00004858"/>
    <w:rsid w:val="00006295"/>
    <w:rsid w:val="00007EAE"/>
    <w:rsid w:val="0001026F"/>
    <w:rsid w:val="00012199"/>
    <w:rsid w:val="00014432"/>
    <w:rsid w:val="00014FE0"/>
    <w:rsid w:val="000162BC"/>
    <w:rsid w:val="00017E64"/>
    <w:rsid w:val="00017EE8"/>
    <w:rsid w:val="00020F43"/>
    <w:rsid w:val="00022061"/>
    <w:rsid w:val="00022C19"/>
    <w:rsid w:val="00022C9A"/>
    <w:rsid w:val="00022DAC"/>
    <w:rsid w:val="00023720"/>
    <w:rsid w:val="000237A9"/>
    <w:rsid w:val="00024821"/>
    <w:rsid w:val="00024DF5"/>
    <w:rsid w:val="000267E5"/>
    <w:rsid w:val="000274BA"/>
    <w:rsid w:val="0003046C"/>
    <w:rsid w:val="00030749"/>
    <w:rsid w:val="0003113C"/>
    <w:rsid w:val="00032244"/>
    <w:rsid w:val="00033CF1"/>
    <w:rsid w:val="00033D02"/>
    <w:rsid w:val="00035B25"/>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06EC"/>
    <w:rsid w:val="00051663"/>
    <w:rsid w:val="000517B6"/>
    <w:rsid w:val="000534B8"/>
    <w:rsid w:val="0005385F"/>
    <w:rsid w:val="0005401E"/>
    <w:rsid w:val="000543A2"/>
    <w:rsid w:val="00054879"/>
    <w:rsid w:val="0005497C"/>
    <w:rsid w:val="000549C2"/>
    <w:rsid w:val="00054D5D"/>
    <w:rsid w:val="0005588D"/>
    <w:rsid w:val="0005599E"/>
    <w:rsid w:val="00055BFC"/>
    <w:rsid w:val="00056629"/>
    <w:rsid w:val="0006032A"/>
    <w:rsid w:val="000609DB"/>
    <w:rsid w:val="00060FA5"/>
    <w:rsid w:val="000610E8"/>
    <w:rsid w:val="000617A5"/>
    <w:rsid w:val="00061E60"/>
    <w:rsid w:val="00063229"/>
    <w:rsid w:val="00063BB2"/>
    <w:rsid w:val="00064B43"/>
    <w:rsid w:val="00064EA6"/>
    <w:rsid w:val="00065110"/>
    <w:rsid w:val="00065321"/>
    <w:rsid w:val="000655B4"/>
    <w:rsid w:val="00065771"/>
    <w:rsid w:val="000670B6"/>
    <w:rsid w:val="0007000F"/>
    <w:rsid w:val="00070143"/>
    <w:rsid w:val="0007019A"/>
    <w:rsid w:val="000726E8"/>
    <w:rsid w:val="00072DE5"/>
    <w:rsid w:val="00075A31"/>
    <w:rsid w:val="000768E8"/>
    <w:rsid w:val="000776AF"/>
    <w:rsid w:val="0007786F"/>
    <w:rsid w:val="00077876"/>
    <w:rsid w:val="000801E2"/>
    <w:rsid w:val="0008051C"/>
    <w:rsid w:val="00081437"/>
    <w:rsid w:val="00082855"/>
    <w:rsid w:val="000842F7"/>
    <w:rsid w:val="00085A95"/>
    <w:rsid w:val="00085AC3"/>
    <w:rsid w:val="00085B01"/>
    <w:rsid w:val="000871A7"/>
    <w:rsid w:val="00087A96"/>
    <w:rsid w:val="0009007C"/>
    <w:rsid w:val="000908B7"/>
    <w:rsid w:val="00091724"/>
    <w:rsid w:val="00092393"/>
    <w:rsid w:val="00092785"/>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13BF"/>
    <w:rsid w:val="000C2092"/>
    <w:rsid w:val="000C3202"/>
    <w:rsid w:val="000C7FCE"/>
    <w:rsid w:val="000D0AE3"/>
    <w:rsid w:val="000D14CB"/>
    <w:rsid w:val="000D3C15"/>
    <w:rsid w:val="000D3E20"/>
    <w:rsid w:val="000D3E6B"/>
    <w:rsid w:val="000D3FB5"/>
    <w:rsid w:val="000D48F7"/>
    <w:rsid w:val="000D4CAE"/>
    <w:rsid w:val="000D52EC"/>
    <w:rsid w:val="000D6BA7"/>
    <w:rsid w:val="000D71FF"/>
    <w:rsid w:val="000D7762"/>
    <w:rsid w:val="000E0E23"/>
    <w:rsid w:val="000E11CB"/>
    <w:rsid w:val="000E166D"/>
    <w:rsid w:val="000E22AD"/>
    <w:rsid w:val="000E3164"/>
    <w:rsid w:val="000E335D"/>
    <w:rsid w:val="000E3B6E"/>
    <w:rsid w:val="000E3E4B"/>
    <w:rsid w:val="000E4408"/>
    <w:rsid w:val="000E4972"/>
    <w:rsid w:val="000E4B6E"/>
    <w:rsid w:val="000E4D36"/>
    <w:rsid w:val="000E519E"/>
    <w:rsid w:val="000E6163"/>
    <w:rsid w:val="000E66BF"/>
    <w:rsid w:val="000E6F7C"/>
    <w:rsid w:val="000E78DB"/>
    <w:rsid w:val="000F027D"/>
    <w:rsid w:val="000F0D83"/>
    <w:rsid w:val="000F0EE3"/>
    <w:rsid w:val="000F18C2"/>
    <w:rsid w:val="000F2505"/>
    <w:rsid w:val="000F2BCC"/>
    <w:rsid w:val="000F30E2"/>
    <w:rsid w:val="000F37BB"/>
    <w:rsid w:val="000F3EC8"/>
    <w:rsid w:val="000F4631"/>
    <w:rsid w:val="000F537D"/>
    <w:rsid w:val="000F5B3F"/>
    <w:rsid w:val="000F5FB4"/>
    <w:rsid w:val="000F6221"/>
    <w:rsid w:val="001000B2"/>
    <w:rsid w:val="00104812"/>
    <w:rsid w:val="00104D7F"/>
    <w:rsid w:val="0010506D"/>
    <w:rsid w:val="0010634A"/>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242C"/>
    <w:rsid w:val="001248DF"/>
    <w:rsid w:val="001251FA"/>
    <w:rsid w:val="00125BBB"/>
    <w:rsid w:val="00126146"/>
    <w:rsid w:val="0012724F"/>
    <w:rsid w:val="001275F2"/>
    <w:rsid w:val="00127A5B"/>
    <w:rsid w:val="00127E1D"/>
    <w:rsid w:val="00127FD0"/>
    <w:rsid w:val="00130EBD"/>
    <w:rsid w:val="001313F0"/>
    <w:rsid w:val="00132DDA"/>
    <w:rsid w:val="00133520"/>
    <w:rsid w:val="00135475"/>
    <w:rsid w:val="001359EC"/>
    <w:rsid w:val="00136E8B"/>
    <w:rsid w:val="0013777A"/>
    <w:rsid w:val="001405FE"/>
    <w:rsid w:val="001407C4"/>
    <w:rsid w:val="00140B7B"/>
    <w:rsid w:val="0014147C"/>
    <w:rsid w:val="001417C4"/>
    <w:rsid w:val="00143579"/>
    <w:rsid w:val="00144A92"/>
    <w:rsid w:val="00144FE3"/>
    <w:rsid w:val="00145910"/>
    <w:rsid w:val="00145BE4"/>
    <w:rsid w:val="00146165"/>
    <w:rsid w:val="00146D12"/>
    <w:rsid w:val="001476C3"/>
    <w:rsid w:val="00151236"/>
    <w:rsid w:val="0015128C"/>
    <w:rsid w:val="00151567"/>
    <w:rsid w:val="00151AF2"/>
    <w:rsid w:val="0015216C"/>
    <w:rsid w:val="00153FA6"/>
    <w:rsid w:val="00155E50"/>
    <w:rsid w:val="00156A47"/>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47C9"/>
    <w:rsid w:val="00174FF6"/>
    <w:rsid w:val="00175513"/>
    <w:rsid w:val="0017577C"/>
    <w:rsid w:val="00175B12"/>
    <w:rsid w:val="00175B50"/>
    <w:rsid w:val="00175E6C"/>
    <w:rsid w:val="00175F86"/>
    <w:rsid w:val="00176BAA"/>
    <w:rsid w:val="00176BC0"/>
    <w:rsid w:val="00176F43"/>
    <w:rsid w:val="0017739F"/>
    <w:rsid w:val="00177CDB"/>
    <w:rsid w:val="00181692"/>
    <w:rsid w:val="00182614"/>
    <w:rsid w:val="00182E71"/>
    <w:rsid w:val="001847B2"/>
    <w:rsid w:val="00184E60"/>
    <w:rsid w:val="001857AC"/>
    <w:rsid w:val="00186446"/>
    <w:rsid w:val="001876F0"/>
    <w:rsid w:val="0019011B"/>
    <w:rsid w:val="00190332"/>
    <w:rsid w:val="00190BCC"/>
    <w:rsid w:val="001911D8"/>
    <w:rsid w:val="00191AB9"/>
    <w:rsid w:val="00191EA9"/>
    <w:rsid w:val="00193CB9"/>
    <w:rsid w:val="0019434B"/>
    <w:rsid w:val="001945C7"/>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2E9"/>
    <w:rsid w:val="001D06FD"/>
    <w:rsid w:val="001D2162"/>
    <w:rsid w:val="001D2B28"/>
    <w:rsid w:val="001D3157"/>
    <w:rsid w:val="001D341A"/>
    <w:rsid w:val="001D492A"/>
    <w:rsid w:val="001D4F10"/>
    <w:rsid w:val="001D5DCC"/>
    <w:rsid w:val="001D60BD"/>
    <w:rsid w:val="001D60F5"/>
    <w:rsid w:val="001D731A"/>
    <w:rsid w:val="001E0C96"/>
    <w:rsid w:val="001E1B0A"/>
    <w:rsid w:val="001E2906"/>
    <w:rsid w:val="001E30CD"/>
    <w:rsid w:val="001E3296"/>
    <w:rsid w:val="001E4A7F"/>
    <w:rsid w:val="001E5191"/>
    <w:rsid w:val="001E522B"/>
    <w:rsid w:val="001E6DC6"/>
    <w:rsid w:val="001E734D"/>
    <w:rsid w:val="001E75A3"/>
    <w:rsid w:val="001E75EA"/>
    <w:rsid w:val="001E7928"/>
    <w:rsid w:val="001F1181"/>
    <w:rsid w:val="001F1305"/>
    <w:rsid w:val="001F1D24"/>
    <w:rsid w:val="001F27E7"/>
    <w:rsid w:val="001F48A8"/>
    <w:rsid w:val="001F634A"/>
    <w:rsid w:val="001F7230"/>
    <w:rsid w:val="001F7F72"/>
    <w:rsid w:val="00201654"/>
    <w:rsid w:val="00201D5B"/>
    <w:rsid w:val="002029B2"/>
    <w:rsid w:val="00203093"/>
    <w:rsid w:val="0020340B"/>
    <w:rsid w:val="00203B4C"/>
    <w:rsid w:val="002055F7"/>
    <w:rsid w:val="002067E2"/>
    <w:rsid w:val="002108EC"/>
    <w:rsid w:val="00210E7E"/>
    <w:rsid w:val="00214510"/>
    <w:rsid w:val="00214A55"/>
    <w:rsid w:val="00215414"/>
    <w:rsid w:val="002179D8"/>
    <w:rsid w:val="0022110E"/>
    <w:rsid w:val="00221702"/>
    <w:rsid w:val="002221E6"/>
    <w:rsid w:val="002226D7"/>
    <w:rsid w:val="00222A8A"/>
    <w:rsid w:val="00222B38"/>
    <w:rsid w:val="002247A6"/>
    <w:rsid w:val="00224998"/>
    <w:rsid w:val="00225C13"/>
    <w:rsid w:val="0022733B"/>
    <w:rsid w:val="00230B2D"/>
    <w:rsid w:val="00230F4C"/>
    <w:rsid w:val="0023382F"/>
    <w:rsid w:val="002346FC"/>
    <w:rsid w:val="002350ED"/>
    <w:rsid w:val="002368DF"/>
    <w:rsid w:val="002406AD"/>
    <w:rsid w:val="00240F81"/>
    <w:rsid w:val="00241092"/>
    <w:rsid w:val="0024134C"/>
    <w:rsid w:val="002415BE"/>
    <w:rsid w:val="00241F79"/>
    <w:rsid w:val="002420D7"/>
    <w:rsid w:val="00243B32"/>
    <w:rsid w:val="00244F63"/>
    <w:rsid w:val="00246AFD"/>
    <w:rsid w:val="00246B80"/>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3695"/>
    <w:rsid w:val="00274008"/>
    <w:rsid w:val="002759F4"/>
    <w:rsid w:val="00275C0B"/>
    <w:rsid w:val="002760F7"/>
    <w:rsid w:val="00276BB6"/>
    <w:rsid w:val="00277342"/>
    <w:rsid w:val="0028035E"/>
    <w:rsid w:val="00280386"/>
    <w:rsid w:val="0028118E"/>
    <w:rsid w:val="00282930"/>
    <w:rsid w:val="00283AFF"/>
    <w:rsid w:val="002862A9"/>
    <w:rsid w:val="002869F1"/>
    <w:rsid w:val="00291297"/>
    <w:rsid w:val="00291664"/>
    <w:rsid w:val="0029257D"/>
    <w:rsid w:val="002929F3"/>
    <w:rsid w:val="0029364B"/>
    <w:rsid w:val="002941E6"/>
    <w:rsid w:val="002956C9"/>
    <w:rsid w:val="00295C36"/>
    <w:rsid w:val="00296E05"/>
    <w:rsid w:val="00297264"/>
    <w:rsid w:val="002A0119"/>
    <w:rsid w:val="002A0982"/>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6FC"/>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0D09"/>
    <w:rsid w:val="002D10A5"/>
    <w:rsid w:val="002D195D"/>
    <w:rsid w:val="002D2035"/>
    <w:rsid w:val="002D4D8D"/>
    <w:rsid w:val="002D58CE"/>
    <w:rsid w:val="002D5C5D"/>
    <w:rsid w:val="002D6186"/>
    <w:rsid w:val="002D7845"/>
    <w:rsid w:val="002E3688"/>
    <w:rsid w:val="002E3DEA"/>
    <w:rsid w:val="002E4181"/>
    <w:rsid w:val="002E4F29"/>
    <w:rsid w:val="002E6965"/>
    <w:rsid w:val="002F09FA"/>
    <w:rsid w:val="002F0FDA"/>
    <w:rsid w:val="002F1115"/>
    <w:rsid w:val="002F23C6"/>
    <w:rsid w:val="002F3C5E"/>
    <w:rsid w:val="002F5002"/>
    <w:rsid w:val="002F5385"/>
    <w:rsid w:val="002F606C"/>
    <w:rsid w:val="002F6A2B"/>
    <w:rsid w:val="002F7555"/>
    <w:rsid w:val="00300176"/>
    <w:rsid w:val="00300551"/>
    <w:rsid w:val="003005B7"/>
    <w:rsid w:val="00300B2C"/>
    <w:rsid w:val="0030111A"/>
    <w:rsid w:val="00302797"/>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85E"/>
    <w:rsid w:val="00321DF8"/>
    <w:rsid w:val="00322346"/>
    <w:rsid w:val="003224D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2EAE"/>
    <w:rsid w:val="003448EC"/>
    <w:rsid w:val="00346087"/>
    <w:rsid w:val="00346103"/>
    <w:rsid w:val="00346392"/>
    <w:rsid w:val="00347494"/>
    <w:rsid w:val="003479E2"/>
    <w:rsid w:val="003507AC"/>
    <w:rsid w:val="003518B6"/>
    <w:rsid w:val="00352975"/>
    <w:rsid w:val="00356847"/>
    <w:rsid w:val="00356BD0"/>
    <w:rsid w:val="003602C0"/>
    <w:rsid w:val="00360AFD"/>
    <w:rsid w:val="0036294E"/>
    <w:rsid w:val="003635DF"/>
    <w:rsid w:val="00363C6A"/>
    <w:rsid w:val="00364091"/>
    <w:rsid w:val="0036445B"/>
    <w:rsid w:val="003651F5"/>
    <w:rsid w:val="00365726"/>
    <w:rsid w:val="003663E1"/>
    <w:rsid w:val="003670C9"/>
    <w:rsid w:val="0036736E"/>
    <w:rsid w:val="0036742F"/>
    <w:rsid w:val="003674CA"/>
    <w:rsid w:val="00367988"/>
    <w:rsid w:val="003708E7"/>
    <w:rsid w:val="00371D33"/>
    <w:rsid w:val="003723D5"/>
    <w:rsid w:val="0037489E"/>
    <w:rsid w:val="00376AE1"/>
    <w:rsid w:val="00377786"/>
    <w:rsid w:val="00377FF6"/>
    <w:rsid w:val="00380E72"/>
    <w:rsid w:val="0038191A"/>
    <w:rsid w:val="00381D32"/>
    <w:rsid w:val="00381D71"/>
    <w:rsid w:val="00383D0F"/>
    <w:rsid w:val="00384DC4"/>
    <w:rsid w:val="003863EC"/>
    <w:rsid w:val="0038780E"/>
    <w:rsid w:val="00387879"/>
    <w:rsid w:val="003909BA"/>
    <w:rsid w:val="00390FA3"/>
    <w:rsid w:val="0039160E"/>
    <w:rsid w:val="0039176A"/>
    <w:rsid w:val="00391832"/>
    <w:rsid w:val="0039219A"/>
    <w:rsid w:val="00393F68"/>
    <w:rsid w:val="00394711"/>
    <w:rsid w:val="003955C2"/>
    <w:rsid w:val="00395D9D"/>
    <w:rsid w:val="00396552"/>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789"/>
    <w:rsid w:val="003E540C"/>
    <w:rsid w:val="003E5931"/>
    <w:rsid w:val="003E59EE"/>
    <w:rsid w:val="003E6081"/>
    <w:rsid w:val="003E62E5"/>
    <w:rsid w:val="003F017B"/>
    <w:rsid w:val="003F040F"/>
    <w:rsid w:val="003F13A0"/>
    <w:rsid w:val="003F17A5"/>
    <w:rsid w:val="003F1BB3"/>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0810"/>
    <w:rsid w:val="004123F7"/>
    <w:rsid w:val="0041364F"/>
    <w:rsid w:val="00413F2F"/>
    <w:rsid w:val="004140F7"/>
    <w:rsid w:val="00416B95"/>
    <w:rsid w:val="0041753D"/>
    <w:rsid w:val="00417AB4"/>
    <w:rsid w:val="004200FF"/>
    <w:rsid w:val="00421AE3"/>
    <w:rsid w:val="00421E46"/>
    <w:rsid w:val="0042297F"/>
    <w:rsid w:val="0042340C"/>
    <w:rsid w:val="00423892"/>
    <w:rsid w:val="0042443A"/>
    <w:rsid w:val="004255DC"/>
    <w:rsid w:val="00426208"/>
    <w:rsid w:val="00426EE4"/>
    <w:rsid w:val="0042742C"/>
    <w:rsid w:val="00427B32"/>
    <w:rsid w:val="00430226"/>
    <w:rsid w:val="00432A29"/>
    <w:rsid w:val="00433F86"/>
    <w:rsid w:val="00435354"/>
    <w:rsid w:val="00435A7B"/>
    <w:rsid w:val="00436A36"/>
    <w:rsid w:val="004370AB"/>
    <w:rsid w:val="004379E9"/>
    <w:rsid w:val="00440EF3"/>
    <w:rsid w:val="00444612"/>
    <w:rsid w:val="004446CF"/>
    <w:rsid w:val="0044613C"/>
    <w:rsid w:val="004461C8"/>
    <w:rsid w:val="0044623C"/>
    <w:rsid w:val="00446F33"/>
    <w:rsid w:val="00447298"/>
    <w:rsid w:val="0044771F"/>
    <w:rsid w:val="00447E4F"/>
    <w:rsid w:val="00453F16"/>
    <w:rsid w:val="00454B3C"/>
    <w:rsid w:val="004550F1"/>
    <w:rsid w:val="00455AE3"/>
    <w:rsid w:val="00456108"/>
    <w:rsid w:val="00460B37"/>
    <w:rsid w:val="00460BAA"/>
    <w:rsid w:val="00462E4F"/>
    <w:rsid w:val="00463DA1"/>
    <w:rsid w:val="0046460A"/>
    <w:rsid w:val="004653C9"/>
    <w:rsid w:val="00465847"/>
    <w:rsid w:val="00465AA6"/>
    <w:rsid w:val="00465E3C"/>
    <w:rsid w:val="00465EBD"/>
    <w:rsid w:val="004671B5"/>
    <w:rsid w:val="00470805"/>
    <w:rsid w:val="00473BFA"/>
    <w:rsid w:val="00474314"/>
    <w:rsid w:val="00474435"/>
    <w:rsid w:val="004749C8"/>
    <w:rsid w:val="0047575F"/>
    <w:rsid w:val="004769D3"/>
    <w:rsid w:val="00480623"/>
    <w:rsid w:val="00480A45"/>
    <w:rsid w:val="004811E5"/>
    <w:rsid w:val="00483573"/>
    <w:rsid w:val="00483782"/>
    <w:rsid w:val="00483F77"/>
    <w:rsid w:val="004849F5"/>
    <w:rsid w:val="00484BDC"/>
    <w:rsid w:val="00484CF7"/>
    <w:rsid w:val="004855AA"/>
    <w:rsid w:val="00486866"/>
    <w:rsid w:val="0048733F"/>
    <w:rsid w:val="00487BB5"/>
    <w:rsid w:val="00487E1C"/>
    <w:rsid w:val="00490AAA"/>
    <w:rsid w:val="00491FB8"/>
    <w:rsid w:val="00493002"/>
    <w:rsid w:val="004949CB"/>
    <w:rsid w:val="004953E1"/>
    <w:rsid w:val="004955EE"/>
    <w:rsid w:val="004958EE"/>
    <w:rsid w:val="00496F34"/>
    <w:rsid w:val="004974FD"/>
    <w:rsid w:val="004A06B6"/>
    <w:rsid w:val="004A070C"/>
    <w:rsid w:val="004A1C61"/>
    <w:rsid w:val="004A2A45"/>
    <w:rsid w:val="004A463E"/>
    <w:rsid w:val="004A4C29"/>
    <w:rsid w:val="004A5D9E"/>
    <w:rsid w:val="004A6F8B"/>
    <w:rsid w:val="004A75D3"/>
    <w:rsid w:val="004B1694"/>
    <w:rsid w:val="004B32DC"/>
    <w:rsid w:val="004B3312"/>
    <w:rsid w:val="004B34E7"/>
    <w:rsid w:val="004B3DCB"/>
    <w:rsid w:val="004B406E"/>
    <w:rsid w:val="004B46D5"/>
    <w:rsid w:val="004B489E"/>
    <w:rsid w:val="004B592C"/>
    <w:rsid w:val="004B7035"/>
    <w:rsid w:val="004B77EC"/>
    <w:rsid w:val="004C0349"/>
    <w:rsid w:val="004C0D17"/>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170E"/>
    <w:rsid w:val="004E47A2"/>
    <w:rsid w:val="004E49AE"/>
    <w:rsid w:val="004E4B7F"/>
    <w:rsid w:val="004F2D5D"/>
    <w:rsid w:val="004F34AD"/>
    <w:rsid w:val="004F37AE"/>
    <w:rsid w:val="004F3810"/>
    <w:rsid w:val="004F3C16"/>
    <w:rsid w:val="004F3ED3"/>
    <w:rsid w:val="004F47C7"/>
    <w:rsid w:val="004F55E8"/>
    <w:rsid w:val="004F6290"/>
    <w:rsid w:val="004F6A66"/>
    <w:rsid w:val="005005D8"/>
    <w:rsid w:val="00500BA6"/>
    <w:rsid w:val="00500D19"/>
    <w:rsid w:val="00500FB1"/>
    <w:rsid w:val="00501034"/>
    <w:rsid w:val="005012E3"/>
    <w:rsid w:val="00503D8A"/>
    <w:rsid w:val="005040C4"/>
    <w:rsid w:val="00504B11"/>
    <w:rsid w:val="00505BBA"/>
    <w:rsid w:val="00506143"/>
    <w:rsid w:val="0051070B"/>
    <w:rsid w:val="00511984"/>
    <w:rsid w:val="00511E6D"/>
    <w:rsid w:val="00513897"/>
    <w:rsid w:val="00513C73"/>
    <w:rsid w:val="005143A4"/>
    <w:rsid w:val="00514DC2"/>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310C"/>
    <w:rsid w:val="00533D03"/>
    <w:rsid w:val="005347A4"/>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633F"/>
    <w:rsid w:val="0054766B"/>
    <w:rsid w:val="005507A2"/>
    <w:rsid w:val="00550D56"/>
    <w:rsid w:val="005513E1"/>
    <w:rsid w:val="00551D2D"/>
    <w:rsid w:val="00551DDC"/>
    <w:rsid w:val="00552E5E"/>
    <w:rsid w:val="00553616"/>
    <w:rsid w:val="005538AF"/>
    <w:rsid w:val="00553B53"/>
    <w:rsid w:val="00554203"/>
    <w:rsid w:val="0055496A"/>
    <w:rsid w:val="00555D91"/>
    <w:rsid w:val="00560F71"/>
    <w:rsid w:val="005612D9"/>
    <w:rsid w:val="005614D3"/>
    <w:rsid w:val="00562BCB"/>
    <w:rsid w:val="005639DF"/>
    <w:rsid w:val="005718F6"/>
    <w:rsid w:val="005719BB"/>
    <w:rsid w:val="00572137"/>
    <w:rsid w:val="00572500"/>
    <w:rsid w:val="0057309E"/>
    <w:rsid w:val="005731CE"/>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B8"/>
    <w:rsid w:val="005946BA"/>
    <w:rsid w:val="005950EE"/>
    <w:rsid w:val="005954D8"/>
    <w:rsid w:val="00595542"/>
    <w:rsid w:val="0059638C"/>
    <w:rsid w:val="00597ACE"/>
    <w:rsid w:val="005A176C"/>
    <w:rsid w:val="005A1F8F"/>
    <w:rsid w:val="005A314A"/>
    <w:rsid w:val="005A3958"/>
    <w:rsid w:val="005A3AC4"/>
    <w:rsid w:val="005A3FF9"/>
    <w:rsid w:val="005A491D"/>
    <w:rsid w:val="005A6A3C"/>
    <w:rsid w:val="005A79AD"/>
    <w:rsid w:val="005B0A25"/>
    <w:rsid w:val="005B18AD"/>
    <w:rsid w:val="005B2160"/>
    <w:rsid w:val="005B26C0"/>
    <w:rsid w:val="005B4A17"/>
    <w:rsid w:val="005B5438"/>
    <w:rsid w:val="005B5932"/>
    <w:rsid w:val="005B6117"/>
    <w:rsid w:val="005B65FB"/>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E52"/>
    <w:rsid w:val="005D348F"/>
    <w:rsid w:val="005D383B"/>
    <w:rsid w:val="005D40B0"/>
    <w:rsid w:val="005D4F68"/>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3159"/>
    <w:rsid w:val="0061323C"/>
    <w:rsid w:val="006154B4"/>
    <w:rsid w:val="006157C7"/>
    <w:rsid w:val="006161DE"/>
    <w:rsid w:val="006201BE"/>
    <w:rsid w:val="00620FE6"/>
    <w:rsid w:val="006211E3"/>
    <w:rsid w:val="00621A41"/>
    <w:rsid w:val="00624EB5"/>
    <w:rsid w:val="00624FF8"/>
    <w:rsid w:val="00626DA9"/>
    <w:rsid w:val="006272D8"/>
    <w:rsid w:val="006303F7"/>
    <w:rsid w:val="006306D8"/>
    <w:rsid w:val="00631E87"/>
    <w:rsid w:val="00632BC8"/>
    <w:rsid w:val="00632CBA"/>
    <w:rsid w:val="006336E6"/>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4C29"/>
    <w:rsid w:val="00655F0D"/>
    <w:rsid w:val="006561AF"/>
    <w:rsid w:val="00656C83"/>
    <w:rsid w:val="00657C57"/>
    <w:rsid w:val="00660400"/>
    <w:rsid w:val="006606D4"/>
    <w:rsid w:val="0066320C"/>
    <w:rsid w:val="006633A4"/>
    <w:rsid w:val="006653DB"/>
    <w:rsid w:val="00665CD5"/>
    <w:rsid w:val="00667CEB"/>
    <w:rsid w:val="00670741"/>
    <w:rsid w:val="00671D38"/>
    <w:rsid w:val="006722F3"/>
    <w:rsid w:val="0067269D"/>
    <w:rsid w:val="00675D24"/>
    <w:rsid w:val="00676BD5"/>
    <w:rsid w:val="006817AD"/>
    <w:rsid w:val="0068308C"/>
    <w:rsid w:val="00684097"/>
    <w:rsid w:val="006870EE"/>
    <w:rsid w:val="006875C7"/>
    <w:rsid w:val="006918AA"/>
    <w:rsid w:val="00691D18"/>
    <w:rsid w:val="00694D98"/>
    <w:rsid w:val="00694FB2"/>
    <w:rsid w:val="00695304"/>
    <w:rsid w:val="006959C7"/>
    <w:rsid w:val="006A01CA"/>
    <w:rsid w:val="006A341E"/>
    <w:rsid w:val="006A34AB"/>
    <w:rsid w:val="006A351E"/>
    <w:rsid w:val="006A3DB1"/>
    <w:rsid w:val="006A4A06"/>
    <w:rsid w:val="006A55B4"/>
    <w:rsid w:val="006A5D4A"/>
    <w:rsid w:val="006A5F54"/>
    <w:rsid w:val="006A61BC"/>
    <w:rsid w:val="006A6856"/>
    <w:rsid w:val="006B0792"/>
    <w:rsid w:val="006B172D"/>
    <w:rsid w:val="006B2BEA"/>
    <w:rsid w:val="006B3E8A"/>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5EDF"/>
    <w:rsid w:val="006E0078"/>
    <w:rsid w:val="006E0760"/>
    <w:rsid w:val="006E1CDF"/>
    <w:rsid w:val="006E2C05"/>
    <w:rsid w:val="006E55BB"/>
    <w:rsid w:val="006E58F5"/>
    <w:rsid w:val="006E69C5"/>
    <w:rsid w:val="006E6FAF"/>
    <w:rsid w:val="006E7B5C"/>
    <w:rsid w:val="006F0DF6"/>
    <w:rsid w:val="006F200A"/>
    <w:rsid w:val="006F2263"/>
    <w:rsid w:val="006F2389"/>
    <w:rsid w:val="006F26D8"/>
    <w:rsid w:val="006F3605"/>
    <w:rsid w:val="006F3AD0"/>
    <w:rsid w:val="006F4168"/>
    <w:rsid w:val="006F4482"/>
    <w:rsid w:val="006F459F"/>
    <w:rsid w:val="006F4E6D"/>
    <w:rsid w:val="006F5FC5"/>
    <w:rsid w:val="006F6411"/>
    <w:rsid w:val="00700863"/>
    <w:rsid w:val="007012EC"/>
    <w:rsid w:val="00701404"/>
    <w:rsid w:val="007017DC"/>
    <w:rsid w:val="00701D5C"/>
    <w:rsid w:val="0070276C"/>
    <w:rsid w:val="007027B5"/>
    <w:rsid w:val="00702DCC"/>
    <w:rsid w:val="00703378"/>
    <w:rsid w:val="00704807"/>
    <w:rsid w:val="00705187"/>
    <w:rsid w:val="00705C9E"/>
    <w:rsid w:val="00705EA9"/>
    <w:rsid w:val="0070601D"/>
    <w:rsid w:val="00706C80"/>
    <w:rsid w:val="00706F94"/>
    <w:rsid w:val="00707E84"/>
    <w:rsid w:val="00710213"/>
    <w:rsid w:val="00711FE9"/>
    <w:rsid w:val="00712AAC"/>
    <w:rsid w:val="00713BE2"/>
    <w:rsid w:val="007154E1"/>
    <w:rsid w:val="007155C3"/>
    <w:rsid w:val="0071673C"/>
    <w:rsid w:val="00717328"/>
    <w:rsid w:val="007177B5"/>
    <w:rsid w:val="007177FD"/>
    <w:rsid w:val="00720377"/>
    <w:rsid w:val="00720B11"/>
    <w:rsid w:val="00721C10"/>
    <w:rsid w:val="00723160"/>
    <w:rsid w:val="007240EC"/>
    <w:rsid w:val="00724971"/>
    <w:rsid w:val="00724E90"/>
    <w:rsid w:val="00725432"/>
    <w:rsid w:val="00725439"/>
    <w:rsid w:val="00727CC5"/>
    <w:rsid w:val="0073041B"/>
    <w:rsid w:val="00730D71"/>
    <w:rsid w:val="007310F1"/>
    <w:rsid w:val="00732D3C"/>
    <w:rsid w:val="00732ECD"/>
    <w:rsid w:val="00733A34"/>
    <w:rsid w:val="00735077"/>
    <w:rsid w:val="007362A5"/>
    <w:rsid w:val="007369DA"/>
    <w:rsid w:val="00737724"/>
    <w:rsid w:val="0074090B"/>
    <w:rsid w:val="00740D50"/>
    <w:rsid w:val="00741E8A"/>
    <w:rsid w:val="007427F9"/>
    <w:rsid w:val="007428C3"/>
    <w:rsid w:val="00742B0B"/>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014B"/>
    <w:rsid w:val="00771043"/>
    <w:rsid w:val="007731E4"/>
    <w:rsid w:val="00774123"/>
    <w:rsid w:val="007744F8"/>
    <w:rsid w:val="00775632"/>
    <w:rsid w:val="00775DE6"/>
    <w:rsid w:val="0077674C"/>
    <w:rsid w:val="007804B7"/>
    <w:rsid w:val="00780F7F"/>
    <w:rsid w:val="00781110"/>
    <w:rsid w:val="00781452"/>
    <w:rsid w:val="00784424"/>
    <w:rsid w:val="00790D02"/>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3D34"/>
    <w:rsid w:val="007B42ED"/>
    <w:rsid w:val="007B5740"/>
    <w:rsid w:val="007B5B41"/>
    <w:rsid w:val="007B5BA2"/>
    <w:rsid w:val="007B5C09"/>
    <w:rsid w:val="007B5C1B"/>
    <w:rsid w:val="007B6A11"/>
    <w:rsid w:val="007B7EAE"/>
    <w:rsid w:val="007C0DA8"/>
    <w:rsid w:val="007C0F9B"/>
    <w:rsid w:val="007C0FC7"/>
    <w:rsid w:val="007C298F"/>
    <w:rsid w:val="007C301D"/>
    <w:rsid w:val="007C393E"/>
    <w:rsid w:val="007C3B46"/>
    <w:rsid w:val="007C4492"/>
    <w:rsid w:val="007C6125"/>
    <w:rsid w:val="007C6985"/>
    <w:rsid w:val="007C7FEC"/>
    <w:rsid w:val="007D1A84"/>
    <w:rsid w:val="007D2560"/>
    <w:rsid w:val="007D2957"/>
    <w:rsid w:val="007D68B6"/>
    <w:rsid w:val="007D6F1C"/>
    <w:rsid w:val="007E152B"/>
    <w:rsid w:val="007E1D16"/>
    <w:rsid w:val="007E273F"/>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1C1"/>
    <w:rsid w:val="00801E3F"/>
    <w:rsid w:val="008025F9"/>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2803"/>
    <w:rsid w:val="00833D65"/>
    <w:rsid w:val="008340D3"/>
    <w:rsid w:val="0083501F"/>
    <w:rsid w:val="0083552B"/>
    <w:rsid w:val="00836E49"/>
    <w:rsid w:val="00837B74"/>
    <w:rsid w:val="008400AC"/>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428"/>
    <w:rsid w:val="008577B6"/>
    <w:rsid w:val="008602D9"/>
    <w:rsid w:val="00860631"/>
    <w:rsid w:val="00861B67"/>
    <w:rsid w:val="00862969"/>
    <w:rsid w:val="00863776"/>
    <w:rsid w:val="00863CD6"/>
    <w:rsid w:val="00864978"/>
    <w:rsid w:val="00864BBA"/>
    <w:rsid w:val="00865E6C"/>
    <w:rsid w:val="00867D59"/>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B6B"/>
    <w:rsid w:val="00884B4D"/>
    <w:rsid w:val="0088528E"/>
    <w:rsid w:val="008862A6"/>
    <w:rsid w:val="008879DA"/>
    <w:rsid w:val="00887DBB"/>
    <w:rsid w:val="00887F76"/>
    <w:rsid w:val="008911F6"/>
    <w:rsid w:val="0089121D"/>
    <w:rsid w:val="00891640"/>
    <w:rsid w:val="008919A4"/>
    <w:rsid w:val="00892170"/>
    <w:rsid w:val="00892F48"/>
    <w:rsid w:val="008932A0"/>
    <w:rsid w:val="00893655"/>
    <w:rsid w:val="008961C1"/>
    <w:rsid w:val="008969B0"/>
    <w:rsid w:val="008A271E"/>
    <w:rsid w:val="008A31D5"/>
    <w:rsid w:val="008A503B"/>
    <w:rsid w:val="008A5115"/>
    <w:rsid w:val="008A5185"/>
    <w:rsid w:val="008A5626"/>
    <w:rsid w:val="008A58CE"/>
    <w:rsid w:val="008A6950"/>
    <w:rsid w:val="008A71C0"/>
    <w:rsid w:val="008A7838"/>
    <w:rsid w:val="008B512A"/>
    <w:rsid w:val="008B579C"/>
    <w:rsid w:val="008B6070"/>
    <w:rsid w:val="008B72FB"/>
    <w:rsid w:val="008B7A8F"/>
    <w:rsid w:val="008C250F"/>
    <w:rsid w:val="008C3945"/>
    <w:rsid w:val="008C4A29"/>
    <w:rsid w:val="008C4B8B"/>
    <w:rsid w:val="008C5874"/>
    <w:rsid w:val="008C5A76"/>
    <w:rsid w:val="008C63D3"/>
    <w:rsid w:val="008D0611"/>
    <w:rsid w:val="008D188E"/>
    <w:rsid w:val="008D1CF1"/>
    <w:rsid w:val="008D271B"/>
    <w:rsid w:val="008D2F54"/>
    <w:rsid w:val="008D50FB"/>
    <w:rsid w:val="008D522C"/>
    <w:rsid w:val="008D61DF"/>
    <w:rsid w:val="008D69BA"/>
    <w:rsid w:val="008D71A9"/>
    <w:rsid w:val="008E01BD"/>
    <w:rsid w:val="008E07CC"/>
    <w:rsid w:val="008E2FEE"/>
    <w:rsid w:val="008E3542"/>
    <w:rsid w:val="008E3FCB"/>
    <w:rsid w:val="008E41D7"/>
    <w:rsid w:val="008E44F8"/>
    <w:rsid w:val="008E4F65"/>
    <w:rsid w:val="008E5931"/>
    <w:rsid w:val="008E5DE6"/>
    <w:rsid w:val="008E63CD"/>
    <w:rsid w:val="008E6B23"/>
    <w:rsid w:val="008E7272"/>
    <w:rsid w:val="008E76CC"/>
    <w:rsid w:val="008E78E8"/>
    <w:rsid w:val="008F0771"/>
    <w:rsid w:val="008F1385"/>
    <w:rsid w:val="008F1FAB"/>
    <w:rsid w:val="008F22AB"/>
    <w:rsid w:val="008F333A"/>
    <w:rsid w:val="008F3CD2"/>
    <w:rsid w:val="008F3E74"/>
    <w:rsid w:val="008F51D9"/>
    <w:rsid w:val="008F51F0"/>
    <w:rsid w:val="008F5EE8"/>
    <w:rsid w:val="008F63D2"/>
    <w:rsid w:val="008F6482"/>
    <w:rsid w:val="008F6541"/>
    <w:rsid w:val="008F7386"/>
    <w:rsid w:val="008F7441"/>
    <w:rsid w:val="008F746E"/>
    <w:rsid w:val="008F78EA"/>
    <w:rsid w:val="008F7A33"/>
    <w:rsid w:val="0090071E"/>
    <w:rsid w:val="00900AD0"/>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1D61"/>
    <w:rsid w:val="00912200"/>
    <w:rsid w:val="00912C9E"/>
    <w:rsid w:val="009132F3"/>
    <w:rsid w:val="0091337E"/>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34B8"/>
    <w:rsid w:val="00924E3D"/>
    <w:rsid w:val="00925910"/>
    <w:rsid w:val="00927612"/>
    <w:rsid w:val="0092770A"/>
    <w:rsid w:val="009317A9"/>
    <w:rsid w:val="009332EB"/>
    <w:rsid w:val="0093457E"/>
    <w:rsid w:val="0093477A"/>
    <w:rsid w:val="00935299"/>
    <w:rsid w:val="00936DF8"/>
    <w:rsid w:val="00940957"/>
    <w:rsid w:val="00940A61"/>
    <w:rsid w:val="00940ADF"/>
    <w:rsid w:val="009416A0"/>
    <w:rsid w:val="009421E6"/>
    <w:rsid w:val="00943577"/>
    <w:rsid w:val="009455B2"/>
    <w:rsid w:val="00947505"/>
    <w:rsid w:val="00947BDB"/>
    <w:rsid w:val="009506D7"/>
    <w:rsid w:val="00950A7E"/>
    <w:rsid w:val="0095326B"/>
    <w:rsid w:val="00953331"/>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C38"/>
    <w:rsid w:val="0097213E"/>
    <w:rsid w:val="0097321C"/>
    <w:rsid w:val="00974797"/>
    <w:rsid w:val="00975403"/>
    <w:rsid w:val="00975BA9"/>
    <w:rsid w:val="00975DDD"/>
    <w:rsid w:val="00977271"/>
    <w:rsid w:val="0097746A"/>
    <w:rsid w:val="00980036"/>
    <w:rsid w:val="00980342"/>
    <w:rsid w:val="00981224"/>
    <w:rsid w:val="00983F79"/>
    <w:rsid w:val="00984A60"/>
    <w:rsid w:val="00984ACC"/>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362"/>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72C4"/>
    <w:rsid w:val="009C067D"/>
    <w:rsid w:val="009C0C33"/>
    <w:rsid w:val="009C1908"/>
    <w:rsid w:val="009C1A30"/>
    <w:rsid w:val="009C268C"/>
    <w:rsid w:val="009C348D"/>
    <w:rsid w:val="009C3513"/>
    <w:rsid w:val="009C501B"/>
    <w:rsid w:val="009C6170"/>
    <w:rsid w:val="009C74A5"/>
    <w:rsid w:val="009D0185"/>
    <w:rsid w:val="009D0C4D"/>
    <w:rsid w:val="009D0DA1"/>
    <w:rsid w:val="009D2C79"/>
    <w:rsid w:val="009D34C0"/>
    <w:rsid w:val="009D3CA2"/>
    <w:rsid w:val="009D46E5"/>
    <w:rsid w:val="009D5946"/>
    <w:rsid w:val="009E0AC6"/>
    <w:rsid w:val="009E0B41"/>
    <w:rsid w:val="009E1EA4"/>
    <w:rsid w:val="009E31EF"/>
    <w:rsid w:val="009E4593"/>
    <w:rsid w:val="009E4E86"/>
    <w:rsid w:val="009E5CA6"/>
    <w:rsid w:val="009E6DA1"/>
    <w:rsid w:val="009E7B1E"/>
    <w:rsid w:val="009E7D07"/>
    <w:rsid w:val="009F060C"/>
    <w:rsid w:val="009F0F7A"/>
    <w:rsid w:val="009F1FA7"/>
    <w:rsid w:val="009F215E"/>
    <w:rsid w:val="009F3761"/>
    <w:rsid w:val="009F3BDF"/>
    <w:rsid w:val="009F4CA7"/>
    <w:rsid w:val="009F620F"/>
    <w:rsid w:val="009F7F26"/>
    <w:rsid w:val="00A00519"/>
    <w:rsid w:val="00A01634"/>
    <w:rsid w:val="00A039C6"/>
    <w:rsid w:val="00A03F51"/>
    <w:rsid w:val="00A0462D"/>
    <w:rsid w:val="00A06052"/>
    <w:rsid w:val="00A064FC"/>
    <w:rsid w:val="00A06FBD"/>
    <w:rsid w:val="00A07542"/>
    <w:rsid w:val="00A107A5"/>
    <w:rsid w:val="00A10CA9"/>
    <w:rsid w:val="00A10CE7"/>
    <w:rsid w:val="00A12A11"/>
    <w:rsid w:val="00A13D6C"/>
    <w:rsid w:val="00A14845"/>
    <w:rsid w:val="00A15B5A"/>
    <w:rsid w:val="00A1696C"/>
    <w:rsid w:val="00A16F11"/>
    <w:rsid w:val="00A17A58"/>
    <w:rsid w:val="00A22978"/>
    <w:rsid w:val="00A244B1"/>
    <w:rsid w:val="00A249AF"/>
    <w:rsid w:val="00A256EF"/>
    <w:rsid w:val="00A2578D"/>
    <w:rsid w:val="00A26372"/>
    <w:rsid w:val="00A26CA7"/>
    <w:rsid w:val="00A27D02"/>
    <w:rsid w:val="00A30C2A"/>
    <w:rsid w:val="00A3104B"/>
    <w:rsid w:val="00A31BC8"/>
    <w:rsid w:val="00A32B3E"/>
    <w:rsid w:val="00A32CDF"/>
    <w:rsid w:val="00A33BDB"/>
    <w:rsid w:val="00A33EB4"/>
    <w:rsid w:val="00A34C09"/>
    <w:rsid w:val="00A34CB7"/>
    <w:rsid w:val="00A35491"/>
    <w:rsid w:val="00A37B33"/>
    <w:rsid w:val="00A4253D"/>
    <w:rsid w:val="00A42A6B"/>
    <w:rsid w:val="00A42A81"/>
    <w:rsid w:val="00A44168"/>
    <w:rsid w:val="00A458E0"/>
    <w:rsid w:val="00A45DDA"/>
    <w:rsid w:val="00A4662B"/>
    <w:rsid w:val="00A4673D"/>
    <w:rsid w:val="00A46C32"/>
    <w:rsid w:val="00A46CDB"/>
    <w:rsid w:val="00A520B5"/>
    <w:rsid w:val="00A527D6"/>
    <w:rsid w:val="00A53626"/>
    <w:rsid w:val="00A54078"/>
    <w:rsid w:val="00A5413F"/>
    <w:rsid w:val="00A5491C"/>
    <w:rsid w:val="00A56831"/>
    <w:rsid w:val="00A56A04"/>
    <w:rsid w:val="00A575B0"/>
    <w:rsid w:val="00A575F5"/>
    <w:rsid w:val="00A619E5"/>
    <w:rsid w:val="00A61D98"/>
    <w:rsid w:val="00A621ED"/>
    <w:rsid w:val="00A642A6"/>
    <w:rsid w:val="00A64EB2"/>
    <w:rsid w:val="00A65D0F"/>
    <w:rsid w:val="00A65D7A"/>
    <w:rsid w:val="00A66836"/>
    <w:rsid w:val="00A66D79"/>
    <w:rsid w:val="00A718FA"/>
    <w:rsid w:val="00A7265B"/>
    <w:rsid w:val="00A72E13"/>
    <w:rsid w:val="00A733D7"/>
    <w:rsid w:val="00A755DE"/>
    <w:rsid w:val="00A75E1A"/>
    <w:rsid w:val="00A7650D"/>
    <w:rsid w:val="00A76C6D"/>
    <w:rsid w:val="00A778EA"/>
    <w:rsid w:val="00A81454"/>
    <w:rsid w:val="00A831DC"/>
    <w:rsid w:val="00A854AD"/>
    <w:rsid w:val="00A855BD"/>
    <w:rsid w:val="00A862EE"/>
    <w:rsid w:val="00A86E59"/>
    <w:rsid w:val="00A87AA7"/>
    <w:rsid w:val="00A90C28"/>
    <w:rsid w:val="00A914E9"/>
    <w:rsid w:val="00A91618"/>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F6D"/>
    <w:rsid w:val="00AB6C35"/>
    <w:rsid w:val="00AB70A4"/>
    <w:rsid w:val="00AC071F"/>
    <w:rsid w:val="00AC1EF7"/>
    <w:rsid w:val="00AC23EC"/>
    <w:rsid w:val="00AC2996"/>
    <w:rsid w:val="00AC2B2D"/>
    <w:rsid w:val="00AC2C68"/>
    <w:rsid w:val="00AC3DAD"/>
    <w:rsid w:val="00AC4F40"/>
    <w:rsid w:val="00AC53E1"/>
    <w:rsid w:val="00AC597D"/>
    <w:rsid w:val="00AC5F6B"/>
    <w:rsid w:val="00AC617A"/>
    <w:rsid w:val="00AC6F44"/>
    <w:rsid w:val="00AC730A"/>
    <w:rsid w:val="00AD0455"/>
    <w:rsid w:val="00AD051D"/>
    <w:rsid w:val="00AD056A"/>
    <w:rsid w:val="00AD0D55"/>
    <w:rsid w:val="00AD1B9C"/>
    <w:rsid w:val="00AD2980"/>
    <w:rsid w:val="00AD5BDC"/>
    <w:rsid w:val="00AD6F90"/>
    <w:rsid w:val="00AD775B"/>
    <w:rsid w:val="00AD77D3"/>
    <w:rsid w:val="00AD7C90"/>
    <w:rsid w:val="00AE0B3F"/>
    <w:rsid w:val="00AE110A"/>
    <w:rsid w:val="00AE15EE"/>
    <w:rsid w:val="00AE2AEE"/>
    <w:rsid w:val="00AE33C1"/>
    <w:rsid w:val="00AE3B24"/>
    <w:rsid w:val="00AE3D64"/>
    <w:rsid w:val="00AE4993"/>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105F7"/>
    <w:rsid w:val="00B10ECF"/>
    <w:rsid w:val="00B117F9"/>
    <w:rsid w:val="00B11E4B"/>
    <w:rsid w:val="00B12AC5"/>
    <w:rsid w:val="00B143DF"/>
    <w:rsid w:val="00B14409"/>
    <w:rsid w:val="00B1524C"/>
    <w:rsid w:val="00B176FE"/>
    <w:rsid w:val="00B2170B"/>
    <w:rsid w:val="00B21828"/>
    <w:rsid w:val="00B21E1C"/>
    <w:rsid w:val="00B26298"/>
    <w:rsid w:val="00B2640B"/>
    <w:rsid w:val="00B267AF"/>
    <w:rsid w:val="00B26DEC"/>
    <w:rsid w:val="00B26EC8"/>
    <w:rsid w:val="00B27201"/>
    <w:rsid w:val="00B274C6"/>
    <w:rsid w:val="00B316A5"/>
    <w:rsid w:val="00B33B28"/>
    <w:rsid w:val="00B33BAE"/>
    <w:rsid w:val="00B370F1"/>
    <w:rsid w:val="00B376CF"/>
    <w:rsid w:val="00B406B8"/>
    <w:rsid w:val="00B4084D"/>
    <w:rsid w:val="00B40C2F"/>
    <w:rsid w:val="00B412D1"/>
    <w:rsid w:val="00B41F06"/>
    <w:rsid w:val="00B430AD"/>
    <w:rsid w:val="00B43524"/>
    <w:rsid w:val="00B43FD3"/>
    <w:rsid w:val="00B441CC"/>
    <w:rsid w:val="00B45B8D"/>
    <w:rsid w:val="00B4687B"/>
    <w:rsid w:val="00B477EF"/>
    <w:rsid w:val="00B500C7"/>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770F8"/>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0F66"/>
    <w:rsid w:val="00BA3204"/>
    <w:rsid w:val="00BA587A"/>
    <w:rsid w:val="00BA610C"/>
    <w:rsid w:val="00BB12B3"/>
    <w:rsid w:val="00BB35BC"/>
    <w:rsid w:val="00BB43BC"/>
    <w:rsid w:val="00BB5041"/>
    <w:rsid w:val="00BC03EF"/>
    <w:rsid w:val="00BC05C3"/>
    <w:rsid w:val="00BC10E3"/>
    <w:rsid w:val="00BC4356"/>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693C"/>
    <w:rsid w:val="00BE72B7"/>
    <w:rsid w:val="00BE741D"/>
    <w:rsid w:val="00BE7809"/>
    <w:rsid w:val="00BE7849"/>
    <w:rsid w:val="00BE79C9"/>
    <w:rsid w:val="00BE7E30"/>
    <w:rsid w:val="00BF1103"/>
    <w:rsid w:val="00BF1134"/>
    <w:rsid w:val="00BF2054"/>
    <w:rsid w:val="00BF249B"/>
    <w:rsid w:val="00BF2C50"/>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2312"/>
    <w:rsid w:val="00C445E6"/>
    <w:rsid w:val="00C44A45"/>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57FC5"/>
    <w:rsid w:val="00C60553"/>
    <w:rsid w:val="00C611A3"/>
    <w:rsid w:val="00C61A40"/>
    <w:rsid w:val="00C61AF0"/>
    <w:rsid w:val="00C624D8"/>
    <w:rsid w:val="00C62E09"/>
    <w:rsid w:val="00C63DFD"/>
    <w:rsid w:val="00C64019"/>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57AB"/>
    <w:rsid w:val="00C75B8F"/>
    <w:rsid w:val="00C75DDB"/>
    <w:rsid w:val="00C7779C"/>
    <w:rsid w:val="00C77B03"/>
    <w:rsid w:val="00C814F1"/>
    <w:rsid w:val="00C835FB"/>
    <w:rsid w:val="00C846B1"/>
    <w:rsid w:val="00C84BD0"/>
    <w:rsid w:val="00C8550E"/>
    <w:rsid w:val="00C85A38"/>
    <w:rsid w:val="00C85B68"/>
    <w:rsid w:val="00C90D22"/>
    <w:rsid w:val="00C90FB6"/>
    <w:rsid w:val="00C9265E"/>
    <w:rsid w:val="00C92E4C"/>
    <w:rsid w:val="00C934B2"/>
    <w:rsid w:val="00C93A2D"/>
    <w:rsid w:val="00C9489C"/>
    <w:rsid w:val="00C94BBC"/>
    <w:rsid w:val="00C957A6"/>
    <w:rsid w:val="00C95B24"/>
    <w:rsid w:val="00C95F10"/>
    <w:rsid w:val="00C96A98"/>
    <w:rsid w:val="00C973AE"/>
    <w:rsid w:val="00C9746F"/>
    <w:rsid w:val="00CA0353"/>
    <w:rsid w:val="00CA1266"/>
    <w:rsid w:val="00CA1AE1"/>
    <w:rsid w:val="00CA3CDC"/>
    <w:rsid w:val="00CA3E7B"/>
    <w:rsid w:val="00CA4EFF"/>
    <w:rsid w:val="00CA53CE"/>
    <w:rsid w:val="00CA5B86"/>
    <w:rsid w:val="00CB2E00"/>
    <w:rsid w:val="00CB31D2"/>
    <w:rsid w:val="00CB4069"/>
    <w:rsid w:val="00CB5042"/>
    <w:rsid w:val="00CB545E"/>
    <w:rsid w:val="00CB58C3"/>
    <w:rsid w:val="00CB6B4A"/>
    <w:rsid w:val="00CB758D"/>
    <w:rsid w:val="00CB7A0D"/>
    <w:rsid w:val="00CC13D4"/>
    <w:rsid w:val="00CC3F8E"/>
    <w:rsid w:val="00CC4553"/>
    <w:rsid w:val="00CC4D42"/>
    <w:rsid w:val="00CC5539"/>
    <w:rsid w:val="00CC5650"/>
    <w:rsid w:val="00CC5B89"/>
    <w:rsid w:val="00CD037E"/>
    <w:rsid w:val="00CD14DF"/>
    <w:rsid w:val="00CD22C6"/>
    <w:rsid w:val="00CD369E"/>
    <w:rsid w:val="00CD4C4C"/>
    <w:rsid w:val="00CD5263"/>
    <w:rsid w:val="00CD58BB"/>
    <w:rsid w:val="00CD5F1A"/>
    <w:rsid w:val="00CD624A"/>
    <w:rsid w:val="00CD785E"/>
    <w:rsid w:val="00CE0C83"/>
    <w:rsid w:val="00CE2692"/>
    <w:rsid w:val="00CE2AB5"/>
    <w:rsid w:val="00CE6D54"/>
    <w:rsid w:val="00CE6F95"/>
    <w:rsid w:val="00CF061B"/>
    <w:rsid w:val="00CF0D21"/>
    <w:rsid w:val="00CF0E9F"/>
    <w:rsid w:val="00CF0FEA"/>
    <w:rsid w:val="00CF12AE"/>
    <w:rsid w:val="00CF1DB8"/>
    <w:rsid w:val="00CF22D9"/>
    <w:rsid w:val="00CF2301"/>
    <w:rsid w:val="00CF6C2B"/>
    <w:rsid w:val="00CF71D9"/>
    <w:rsid w:val="00D01436"/>
    <w:rsid w:val="00D028C8"/>
    <w:rsid w:val="00D02FA8"/>
    <w:rsid w:val="00D02FAE"/>
    <w:rsid w:val="00D03A3C"/>
    <w:rsid w:val="00D04006"/>
    <w:rsid w:val="00D04686"/>
    <w:rsid w:val="00D05B8F"/>
    <w:rsid w:val="00D064D4"/>
    <w:rsid w:val="00D10557"/>
    <w:rsid w:val="00D10647"/>
    <w:rsid w:val="00D1102E"/>
    <w:rsid w:val="00D11CB6"/>
    <w:rsid w:val="00D12038"/>
    <w:rsid w:val="00D124B3"/>
    <w:rsid w:val="00D13275"/>
    <w:rsid w:val="00D1660D"/>
    <w:rsid w:val="00D166D9"/>
    <w:rsid w:val="00D16AE3"/>
    <w:rsid w:val="00D20847"/>
    <w:rsid w:val="00D22260"/>
    <w:rsid w:val="00D24700"/>
    <w:rsid w:val="00D24A42"/>
    <w:rsid w:val="00D2535D"/>
    <w:rsid w:val="00D25C49"/>
    <w:rsid w:val="00D25CD8"/>
    <w:rsid w:val="00D26C0F"/>
    <w:rsid w:val="00D26D7A"/>
    <w:rsid w:val="00D2754C"/>
    <w:rsid w:val="00D30055"/>
    <w:rsid w:val="00D30DAF"/>
    <w:rsid w:val="00D31D0D"/>
    <w:rsid w:val="00D31F6C"/>
    <w:rsid w:val="00D3262A"/>
    <w:rsid w:val="00D33852"/>
    <w:rsid w:val="00D33D33"/>
    <w:rsid w:val="00D348E4"/>
    <w:rsid w:val="00D35203"/>
    <w:rsid w:val="00D36D46"/>
    <w:rsid w:val="00D379EC"/>
    <w:rsid w:val="00D37FEA"/>
    <w:rsid w:val="00D40138"/>
    <w:rsid w:val="00D4130A"/>
    <w:rsid w:val="00D41D8A"/>
    <w:rsid w:val="00D427DF"/>
    <w:rsid w:val="00D43749"/>
    <w:rsid w:val="00D44880"/>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D65"/>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52D"/>
    <w:rsid w:val="00DC72B2"/>
    <w:rsid w:val="00DD0661"/>
    <w:rsid w:val="00DD0D8B"/>
    <w:rsid w:val="00DD0F78"/>
    <w:rsid w:val="00DD21E6"/>
    <w:rsid w:val="00DD280D"/>
    <w:rsid w:val="00DD33B2"/>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4BF5"/>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09D2"/>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6125B"/>
    <w:rsid w:val="00E61830"/>
    <w:rsid w:val="00E61B94"/>
    <w:rsid w:val="00E62026"/>
    <w:rsid w:val="00E6306E"/>
    <w:rsid w:val="00E639AA"/>
    <w:rsid w:val="00E65E27"/>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E54"/>
    <w:rsid w:val="00E91079"/>
    <w:rsid w:val="00E924D4"/>
    <w:rsid w:val="00E9274F"/>
    <w:rsid w:val="00E940EF"/>
    <w:rsid w:val="00E94351"/>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0818"/>
    <w:rsid w:val="00EC40B1"/>
    <w:rsid w:val="00EC40BA"/>
    <w:rsid w:val="00EC587E"/>
    <w:rsid w:val="00EC590B"/>
    <w:rsid w:val="00EC60F1"/>
    <w:rsid w:val="00EC629A"/>
    <w:rsid w:val="00EC6346"/>
    <w:rsid w:val="00EC65C3"/>
    <w:rsid w:val="00ED0DBD"/>
    <w:rsid w:val="00ED0E97"/>
    <w:rsid w:val="00ED1702"/>
    <w:rsid w:val="00ED218A"/>
    <w:rsid w:val="00ED237F"/>
    <w:rsid w:val="00ED2A07"/>
    <w:rsid w:val="00ED2DED"/>
    <w:rsid w:val="00ED3292"/>
    <w:rsid w:val="00ED39A0"/>
    <w:rsid w:val="00ED3F78"/>
    <w:rsid w:val="00ED429A"/>
    <w:rsid w:val="00ED4AE1"/>
    <w:rsid w:val="00ED6214"/>
    <w:rsid w:val="00ED6D61"/>
    <w:rsid w:val="00ED7532"/>
    <w:rsid w:val="00EE0F1A"/>
    <w:rsid w:val="00EE146F"/>
    <w:rsid w:val="00EE3FA0"/>
    <w:rsid w:val="00EE570E"/>
    <w:rsid w:val="00EE6901"/>
    <w:rsid w:val="00EE6BE8"/>
    <w:rsid w:val="00EE7507"/>
    <w:rsid w:val="00EE7FE4"/>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D35"/>
    <w:rsid w:val="00F07E5A"/>
    <w:rsid w:val="00F10AC3"/>
    <w:rsid w:val="00F11CDA"/>
    <w:rsid w:val="00F12B5D"/>
    <w:rsid w:val="00F14A46"/>
    <w:rsid w:val="00F16D7A"/>
    <w:rsid w:val="00F16EE8"/>
    <w:rsid w:val="00F21945"/>
    <w:rsid w:val="00F232CC"/>
    <w:rsid w:val="00F2364E"/>
    <w:rsid w:val="00F23C98"/>
    <w:rsid w:val="00F23D7E"/>
    <w:rsid w:val="00F23E6F"/>
    <w:rsid w:val="00F24177"/>
    <w:rsid w:val="00F2516A"/>
    <w:rsid w:val="00F2562E"/>
    <w:rsid w:val="00F263FC"/>
    <w:rsid w:val="00F266D4"/>
    <w:rsid w:val="00F26900"/>
    <w:rsid w:val="00F26ABE"/>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71F1"/>
    <w:rsid w:val="00F37244"/>
    <w:rsid w:val="00F37F1D"/>
    <w:rsid w:val="00F40B3B"/>
    <w:rsid w:val="00F42D71"/>
    <w:rsid w:val="00F43A0A"/>
    <w:rsid w:val="00F43D58"/>
    <w:rsid w:val="00F4584A"/>
    <w:rsid w:val="00F471D3"/>
    <w:rsid w:val="00F47AF6"/>
    <w:rsid w:val="00F5098B"/>
    <w:rsid w:val="00F5150D"/>
    <w:rsid w:val="00F51851"/>
    <w:rsid w:val="00F53D9E"/>
    <w:rsid w:val="00F55DB5"/>
    <w:rsid w:val="00F55F4C"/>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19EE"/>
    <w:rsid w:val="00F72AB0"/>
    <w:rsid w:val="00F735BC"/>
    <w:rsid w:val="00F74799"/>
    <w:rsid w:val="00F7505F"/>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0CDA"/>
    <w:rsid w:val="00FA13CC"/>
    <w:rsid w:val="00FA2CEC"/>
    <w:rsid w:val="00FA64C9"/>
    <w:rsid w:val="00FA68E8"/>
    <w:rsid w:val="00FB225C"/>
    <w:rsid w:val="00FB353C"/>
    <w:rsid w:val="00FB3C59"/>
    <w:rsid w:val="00FB42A2"/>
    <w:rsid w:val="00FB5A5C"/>
    <w:rsid w:val="00FB6294"/>
    <w:rsid w:val="00FB6979"/>
    <w:rsid w:val="00FB6A17"/>
    <w:rsid w:val="00FB6B88"/>
    <w:rsid w:val="00FB7D9D"/>
    <w:rsid w:val="00FC33FF"/>
    <w:rsid w:val="00FC38C0"/>
    <w:rsid w:val="00FC44C3"/>
    <w:rsid w:val="00FC495B"/>
    <w:rsid w:val="00FC53E3"/>
    <w:rsid w:val="00FC6239"/>
    <w:rsid w:val="00FC70D2"/>
    <w:rsid w:val="00FD01DA"/>
    <w:rsid w:val="00FD06F7"/>
    <w:rsid w:val="00FD1B03"/>
    <w:rsid w:val="00FD1F53"/>
    <w:rsid w:val="00FD3168"/>
    <w:rsid w:val="00FD3C35"/>
    <w:rsid w:val="00FD4A85"/>
    <w:rsid w:val="00FD58E1"/>
    <w:rsid w:val="00FD5E5F"/>
    <w:rsid w:val="00FD7DC4"/>
    <w:rsid w:val="00FE0936"/>
    <w:rsid w:val="00FE12CD"/>
    <w:rsid w:val="00FE438D"/>
    <w:rsid w:val="00FE4D88"/>
    <w:rsid w:val="00FE502E"/>
    <w:rsid w:val="00FE5BB0"/>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F7505F"/>
    <w:pPr>
      <w:keepNext/>
      <w:keepLines/>
      <w:numPr>
        <w:numId w:val="19"/>
      </w:numPr>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F7505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A0F66"/>
    <w:pPr>
      <w:spacing w:after="120"/>
    </w:pPr>
    <w:rPr>
      <w:rFonts w:ascii="Arial" w:hAnsi="Arial"/>
      <w:sz w:val="24"/>
      <w:szCs w:val="24"/>
    </w:rPr>
  </w:style>
  <w:style w:type="paragraph" w:styleId="Heading1">
    <w:name w:val="heading 1"/>
    <w:basedOn w:val="Normal"/>
    <w:next w:val="Normal"/>
    <w:link w:val="Heading1Char"/>
    <w:uiPriority w:val="9"/>
    <w:qFormat/>
    <w:rsid w:val="00F7505F"/>
    <w:pPr>
      <w:keepNext/>
      <w:keepLines/>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F7505F"/>
    <w:pPr>
      <w:keepNext/>
      <w:keepLines/>
      <w:numPr>
        <w:numId w:val="19"/>
      </w:numPr>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numPr>
        <w:ilvl w:val="1"/>
        <w:numId w:val="19"/>
      </w:numPr>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Heading4"/>
    <w:next w:val="Normal"/>
    <w:link w:val="Heading5Char"/>
    <w:uiPriority w:val="9"/>
    <w:qFormat/>
    <w:rsid w:val="00BA0F66"/>
    <w:pPr>
      <w:jc w:val="left"/>
      <w:outlineLvl w:val="4"/>
    </w:p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65E27"/>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E65E27"/>
    <w:pPr>
      <w:tabs>
        <w:tab w:val="center" w:pos="4513"/>
        <w:tab w:val="right" w:pos="9026"/>
      </w:tabs>
      <w:spacing w:after="0"/>
    </w:pPr>
    <w:rPr>
      <w:sz w:val="20"/>
    </w:rPr>
  </w:style>
  <w:style w:type="character" w:customStyle="1" w:styleId="FooterChar">
    <w:name w:val="Footer Char"/>
    <w:link w:val="Footer"/>
    <w:uiPriority w:val="99"/>
    <w:rsid w:val="00E65E27"/>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F7505F"/>
    <w:rPr>
      <w:rFonts w:ascii="Arial" w:eastAsiaTheme="majorEastAsia" w:hAnsi="Arial" w:cstheme="majorBidi"/>
      <w:b/>
      <w:bCs/>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F7505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003FCB"/>
    <w:pPr>
      <w:tabs>
        <w:tab w:val="center" w:pos="4513"/>
        <w:tab w:val="right" w:pos="9026"/>
      </w:tabs>
      <w:spacing w:after="0"/>
    </w:pPr>
  </w:style>
  <w:style w:type="character" w:customStyle="1" w:styleId="HeaderChar">
    <w:name w:val="Header Char"/>
    <w:basedOn w:val="DefaultParagraphFont"/>
    <w:link w:val="Header"/>
    <w:uiPriority w:val="99"/>
    <w:rsid w:val="00003FCB"/>
    <w:rPr>
      <w:rFonts w:ascii="Arial" w:hAnsi="Arial"/>
      <w:sz w:val="24"/>
      <w:szCs w:val="24"/>
    </w:rPr>
  </w:style>
  <w:style w:type="character" w:customStyle="1" w:styleId="FootnoteTextChar">
    <w:name w:val="Footnote Text Char"/>
    <w:basedOn w:val="DefaultParagraphFont"/>
    <w:link w:val="FootnoteText"/>
    <w:semiHidden/>
    <w:rsid w:val="00E65E27"/>
    <w:rPr>
      <w:rFonts w:ascii="Arial" w:hAnsi="Arial"/>
    </w:r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BA0F66"/>
    <w:rPr>
      <w:rFonts w:ascii="Arial" w:eastAsiaTheme="majorEastAsia" w:hAnsi="Arial" w:cstheme="majorBidi"/>
      <w:b/>
      <w:bCs/>
      <w:iCs/>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 w:type="paragraph" w:styleId="BodyText3">
    <w:name w:val="Body Text 3"/>
    <w:basedOn w:val="Normal"/>
    <w:link w:val="BodyText3Char"/>
    <w:uiPriority w:val="99"/>
    <w:semiHidden/>
    <w:unhideWhenUsed/>
    <w:rsid w:val="00460BAA"/>
    <w:rPr>
      <w:sz w:val="16"/>
      <w:szCs w:val="16"/>
    </w:rPr>
  </w:style>
  <w:style w:type="character" w:customStyle="1" w:styleId="BodyText3Char">
    <w:name w:val="Body Text 3 Char"/>
    <w:basedOn w:val="DefaultParagraphFont"/>
    <w:link w:val="BodyText3"/>
    <w:uiPriority w:val="99"/>
    <w:semiHidden/>
    <w:rsid w:val="00460BAA"/>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NHSAQI"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www.health-ni.gov.uk/articles/emergency-care-and-ambulance-statistic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www.scottishambulance.com/TheService/BoardPapers.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bit.ly/NHSAQ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and.nhs.uk/statistics/statistical-work-areas/ambulance-quality-indicators" TargetMode="External"/><Relationship Id="rId24" Type="http://schemas.openxmlformats.org/officeDocument/2006/relationships/image" Target="media/image13.png"/><Relationship Id="rId32" Type="http://schemas.openxmlformats.org/officeDocument/2006/relationships/hyperlink" Target="http://wales.gov.uk/statistics-and-research/ambulance-servic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www.england.nhs.uk/statistics/statistical-work-areas/ambulance-quality-indicators" TargetMode="External"/><Relationship Id="rId36" Type="http://schemas.openxmlformats.org/officeDocument/2006/relationships/hyperlink" Target="mailto:i.kay@nhs.net" TargetMode="External"/><Relationship Id="rId10" Type="http://schemas.openxmlformats.org/officeDocument/2006/relationships/hyperlink" Target="http://www.england.nhs.uk/urgent-emergency-care/arp" TargetMode="External"/><Relationship Id="rId19" Type="http://schemas.openxmlformats.org/officeDocument/2006/relationships/image" Target="media/image8.png"/><Relationship Id="rId31" Type="http://schemas.openxmlformats.org/officeDocument/2006/relationships/hyperlink" Target="http://www.england.nhs.uk/statistics/statistical-work-areas/winter-daily-sitrep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www.gov.uk/government/statistics/announcements" TargetMode="External"/><Relationship Id="rId35" Type="http://schemas.openxmlformats.org/officeDocument/2006/relationships/hyperlink" Target="mailto:nhsengland.media@nh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atadictionary.nhs.uk/data_dictionary/attributes/a/acc/accident_and_emergency_department_type_de.asp" TargetMode="External"/><Relationship Id="rId7" Type="http://schemas.openxmlformats.org/officeDocument/2006/relationships/hyperlink" Target="http://content.digital.nhs.uk/article/2021/Website-Search?q=ka34"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england.nhs.uk/statistics/statistical-work-areas/ambulance-quality-indicators" TargetMode="External"/><Relationship Id="rId5" Type="http://schemas.openxmlformats.org/officeDocument/2006/relationships/hyperlink" Target="http://circ.ahajournals.org/content/110/21/3385" TargetMode="External"/><Relationship Id="rId4" Type="http://schemas.openxmlformats.org/officeDocument/2006/relationships/hyperlink" Target="http://www.datadictionary.nhs.uk/data_dictionary/attributes/a/acc/accident_and_emergency_department_type_de.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D9558-0358-462A-9E1A-D821869F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3515</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22661</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3</cp:revision>
  <cp:lastPrinted>2016-09-06T08:48:00Z</cp:lastPrinted>
  <dcterms:created xsi:type="dcterms:W3CDTF">2017-08-07T08:29:00Z</dcterms:created>
  <dcterms:modified xsi:type="dcterms:W3CDTF">2017-08-07T09:01:00Z</dcterms:modified>
</cp:coreProperties>
</file>