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7505F" w:rsidRDefault="00C21149" w:rsidP="00CC3F51">
      <w:pPr>
        <w:pStyle w:val="Heading1"/>
      </w:pPr>
      <w:r w:rsidRPr="00F7505F">
        <w:t xml:space="preserve">Statistical </w:t>
      </w:r>
      <w:r w:rsidRPr="00CC3F51">
        <w:t>Note</w:t>
      </w:r>
      <w:r w:rsidRPr="00F7505F">
        <w:t xml:space="preserve">: </w:t>
      </w:r>
      <w:r w:rsidR="00340492" w:rsidRPr="00F7505F">
        <w:t>Ambulance Quality Indicators</w:t>
      </w:r>
      <w:r w:rsidR="002C522F" w:rsidRPr="00F7505F">
        <w:t xml:space="preserve"> (AQI</w:t>
      </w:r>
      <w:r w:rsidR="00DC4BF3" w:rsidRPr="00F7505F">
        <w:t>)</w:t>
      </w:r>
    </w:p>
    <w:p w:rsidR="00B75E75" w:rsidRDefault="00B75E75" w:rsidP="00E859D9">
      <w:r w:rsidRPr="005619E4">
        <w:t>The latest Systems In</w:t>
      </w:r>
      <w:r w:rsidR="003F1BB3" w:rsidRPr="005619E4">
        <w:t>d</w:t>
      </w:r>
      <w:r w:rsidRPr="005619E4">
        <w:t xml:space="preserve">icators for </w:t>
      </w:r>
      <w:r w:rsidR="004217EA" w:rsidRPr="005619E4">
        <w:t>October</w:t>
      </w:r>
      <w:r w:rsidR="00386F2D" w:rsidRPr="005619E4">
        <w:t xml:space="preserve"> </w:t>
      </w:r>
      <w:r w:rsidR="00506143" w:rsidRPr="005619E4">
        <w:t>2017</w:t>
      </w:r>
      <w:r w:rsidRPr="005619E4">
        <w:t xml:space="preserve"> for Ambulance Services in England</w:t>
      </w:r>
      <w:r w:rsidR="000E6F7C" w:rsidRPr="005619E4">
        <w:t xml:space="preserve"> </w:t>
      </w:r>
      <w:r w:rsidRPr="005619E4">
        <w:t>showed</w:t>
      </w:r>
      <w:r w:rsidR="00230F4C" w:rsidRPr="005619E4">
        <w:t xml:space="preserve"> </w:t>
      </w:r>
      <w:r w:rsidR="00AD2A09" w:rsidRPr="005619E4">
        <w:t>previous</w:t>
      </w:r>
      <w:r w:rsidRPr="005619E4">
        <w:t xml:space="preserve"> standards in the Handbook</w:t>
      </w:r>
      <w:r w:rsidRPr="005619E4">
        <w:rPr>
          <w:vertAlign w:val="superscript"/>
        </w:rPr>
        <w:footnoteReference w:id="1"/>
      </w:r>
      <w:r w:rsidRPr="005619E4">
        <w:t xml:space="preserve"> to the NHS constitution were not met</w:t>
      </w:r>
      <w:r w:rsidR="00014FE0" w:rsidRPr="005619E4">
        <w:t>.</w:t>
      </w:r>
    </w:p>
    <w:p w:rsidR="005619E4" w:rsidRDefault="005619E4" w:rsidP="00E859D9">
      <w:r>
        <w:t xml:space="preserve">As stated last month, we continue to publish spreadsheets with the latest Clinical Outcomes data, but because of the volatility due to small numbers, we will </w:t>
      </w:r>
      <w:r w:rsidR="00B4573B">
        <w:t xml:space="preserve">now </w:t>
      </w:r>
      <w:r>
        <w:t>only summarise them in this Note once every three months.</w:t>
      </w:r>
    </w:p>
    <w:p w:rsidR="002C522F" w:rsidRPr="00F7505F" w:rsidRDefault="00C3443F" w:rsidP="00B376CF">
      <w:pPr>
        <w:pStyle w:val="Heading2"/>
      </w:pPr>
      <w:r w:rsidRPr="00F7505F">
        <w:t xml:space="preserve">Systems </w:t>
      </w:r>
      <w:r w:rsidR="00465847" w:rsidRPr="00F7505F">
        <w:t>Indicators</w:t>
      </w:r>
    </w:p>
    <w:p w:rsidR="00C3443F" w:rsidRPr="00F7505F" w:rsidRDefault="00D3262A" w:rsidP="00F7505F">
      <w:pPr>
        <w:pStyle w:val="Heading3"/>
      </w:pPr>
      <w:r w:rsidRPr="00F7505F">
        <w:t xml:space="preserve">Emergency </w:t>
      </w:r>
      <w:r w:rsidR="0089121D" w:rsidRPr="00F7505F">
        <w:t>response</w:t>
      </w:r>
      <w:r w:rsidRPr="00F7505F">
        <w:t xml:space="preserve"> in 8 minutes</w:t>
      </w:r>
      <w:r w:rsidR="00774123" w:rsidRPr="00F7505F">
        <w:t xml:space="preserve"> (Figure 1)</w:t>
      </w:r>
    </w:p>
    <w:p w:rsidR="008D271B" w:rsidRPr="005619E4" w:rsidRDefault="008D271B" w:rsidP="008D271B">
      <w:r w:rsidRPr="005619E4">
        <w:t xml:space="preserve">In </w:t>
      </w:r>
      <w:r w:rsidR="004217EA" w:rsidRPr="005619E4">
        <w:t>October</w:t>
      </w:r>
      <w:r w:rsidRPr="005619E4">
        <w:t xml:space="preserve"> 2017, of Category </w:t>
      </w:r>
      <w:proofErr w:type="gramStart"/>
      <w:r w:rsidRPr="005619E4">
        <w:t>A</w:t>
      </w:r>
      <w:r w:rsidRPr="005619E4">
        <w:rPr>
          <w:rStyle w:val="FootnoteReference"/>
        </w:rPr>
        <w:footnoteReference w:id="2"/>
      </w:r>
      <w:proofErr w:type="gramEnd"/>
      <w:r w:rsidRPr="005619E4">
        <w:t xml:space="preserve"> Red 1 calls in England, resulting in an emergency response, the proportion arriving within 8 minutes was </w:t>
      </w:r>
      <w:r w:rsidR="004217EA" w:rsidRPr="005619E4">
        <w:t>68.0</w:t>
      </w:r>
      <w:r w:rsidRPr="005619E4">
        <w:t>%.</w:t>
      </w:r>
    </w:p>
    <w:p w:rsidR="008D271B" w:rsidRDefault="008D271B" w:rsidP="008D271B">
      <w:r w:rsidRPr="005619E4">
        <w:t xml:space="preserve">In </w:t>
      </w:r>
      <w:r w:rsidR="004217EA" w:rsidRPr="005619E4">
        <w:t xml:space="preserve">October </w:t>
      </w:r>
      <w:r w:rsidRPr="005619E4">
        <w:t>2017, of Category A</w:t>
      </w:r>
      <w:r w:rsidR="008B2425" w:rsidRPr="005619E4">
        <w:rPr>
          <w:vertAlign w:val="superscript"/>
        </w:rPr>
        <w:t>2</w:t>
      </w:r>
      <w:r w:rsidRPr="005619E4">
        <w:t xml:space="preserve"> Red 2 calls in England, resulting in an emergency response, the proportion arriving within 8 minutes was </w:t>
      </w:r>
      <w:r w:rsidR="004217EA" w:rsidRPr="005619E4">
        <w:t>58.9</w:t>
      </w:r>
      <w:r w:rsidRPr="005619E4">
        <w:t>%.</w:t>
      </w:r>
    </w:p>
    <w:p w:rsidR="004217EA" w:rsidRDefault="003E46EC" w:rsidP="008D271B">
      <w:r>
        <w:rPr>
          <w:noProof/>
        </w:rPr>
        <w:drawing>
          <wp:inline distT="0" distB="0" distL="0" distR="0" wp14:anchorId="5A90855B">
            <wp:extent cx="5773420" cy="31032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420" cy="3103245"/>
                    </a:xfrm>
                    <a:prstGeom prst="rect">
                      <a:avLst/>
                    </a:prstGeom>
                    <a:noFill/>
                  </pic:spPr>
                </pic:pic>
              </a:graphicData>
            </a:graphic>
          </wp:inline>
        </w:drawing>
      </w:r>
    </w:p>
    <w:p w:rsidR="00B23A7D" w:rsidRDefault="00B23A7D" w:rsidP="00B23A7D">
      <w:r w:rsidRPr="003E46EC">
        <w:lastRenderedPageBreak/>
        <w:t xml:space="preserve">The standard for Ambulance Services </w:t>
      </w:r>
      <w:r w:rsidR="00AD2A09" w:rsidRPr="003E46EC">
        <w:t>wa</w:t>
      </w:r>
      <w:r w:rsidRPr="003E46EC">
        <w:t xml:space="preserve">s to send an emergency response, with a defibrillator, within 8 minutes to 75% of Category </w:t>
      </w:r>
      <w:proofErr w:type="gramStart"/>
      <w:r w:rsidRPr="003E46EC">
        <w:t>A</w:t>
      </w:r>
      <w:proofErr w:type="gramEnd"/>
      <w:r w:rsidRPr="003E46EC">
        <w:t xml:space="preserve"> calls. </w:t>
      </w:r>
      <w:r w:rsidR="003E46EC" w:rsidRPr="003E46EC">
        <w:t>Figure 1 shows that f</w:t>
      </w:r>
      <w:r w:rsidRPr="003E46EC">
        <w:t xml:space="preserve">or the six Trusts </w:t>
      </w:r>
      <w:r w:rsidR="004217EA" w:rsidRPr="003E46EC">
        <w:t>that used</w:t>
      </w:r>
      <w:r w:rsidRPr="003E46EC">
        <w:t xml:space="preserve"> </w:t>
      </w:r>
      <w:r w:rsidR="003E46EC" w:rsidRPr="003E46EC">
        <w:t>Red 1</w:t>
      </w:r>
      <w:r w:rsidRPr="003E46EC">
        <w:t xml:space="preserve"> </w:t>
      </w:r>
      <w:r w:rsidR="004217EA" w:rsidRPr="003E46EC">
        <w:t>in</w:t>
      </w:r>
      <w:r w:rsidRPr="003E46EC">
        <w:t xml:space="preserve"> </w:t>
      </w:r>
      <w:r w:rsidR="003E46EC" w:rsidRPr="003E46EC">
        <w:t xml:space="preserve">October 2017, </w:t>
      </w:r>
      <w:r w:rsidR="003E46EC">
        <w:t xml:space="preserve">combined </w:t>
      </w:r>
      <w:r w:rsidR="003E46EC" w:rsidRPr="003E46EC">
        <w:t>performance was not as low as in early 2016. However, no Trusts</w:t>
      </w:r>
      <w:r w:rsidR="003E46EC" w:rsidRPr="003E46EC">
        <w:rPr>
          <w:rStyle w:val="FootnoteReference"/>
        </w:rPr>
        <w:footnoteReference w:id="3"/>
      </w:r>
      <w:r w:rsidR="0040209A" w:rsidRPr="003E46EC">
        <w:t xml:space="preserve"> met the standard</w:t>
      </w:r>
      <w:r w:rsidR="003E46EC" w:rsidRPr="003E46EC">
        <w:t xml:space="preserve"> in October 2017, ranging from 73% for </w:t>
      </w:r>
      <w:r w:rsidR="00573C65" w:rsidRPr="003E46EC">
        <w:t xml:space="preserve">London </w:t>
      </w:r>
      <w:r w:rsidR="003E46EC" w:rsidRPr="003E46EC">
        <w:t>(LAS) and South Central (SCAS) Ambulance Services to 54% for</w:t>
      </w:r>
      <w:r w:rsidRPr="003E46EC">
        <w:t xml:space="preserve"> East Coast Ambulance Service (SECAmb).</w:t>
      </w:r>
    </w:p>
    <w:p w:rsidR="00200942" w:rsidRDefault="00200942" w:rsidP="00200942">
      <w:pPr>
        <w:pStyle w:val="Heading3"/>
      </w:pPr>
      <w:r>
        <w:t>Publication contents</w:t>
      </w:r>
    </w:p>
    <w:p w:rsidR="00200942" w:rsidRDefault="00200942" w:rsidP="00200942">
      <w:r>
        <w:t xml:space="preserve">The 11 January 2018 publication will see a change to the reporting timetable as we will publish data for December 2017 as well as November 2017. After that we will continue to publish data for the last full month, </w:t>
      </w:r>
      <w:r w:rsidR="003E46EC">
        <w:t>rather than</w:t>
      </w:r>
      <w:r>
        <w:t xml:space="preserve"> the penultimate full month.</w:t>
      </w:r>
    </w:p>
    <w:p w:rsidR="00200942" w:rsidRDefault="00200942" w:rsidP="00200942">
      <w:r>
        <w:t xml:space="preserve">This shortened timetable may result in fewer validation checks by Ambulance Services before they supply data to us. We will </w:t>
      </w:r>
      <w:r w:rsidR="009B65B6">
        <w:t xml:space="preserve">work with Ambulance Services to assess the quality of the data, and consider publishing </w:t>
      </w:r>
      <w:r>
        <w:t>revisi</w:t>
      </w:r>
      <w:r w:rsidR="009B65B6">
        <w:t>ons</w:t>
      </w:r>
      <w:r>
        <w:t xml:space="preserve"> more frequently.</w:t>
      </w:r>
    </w:p>
    <w:p w:rsidR="00841AAD" w:rsidRDefault="00AD2A09" w:rsidP="00B23A7D">
      <w:r>
        <w:t xml:space="preserve">This is </w:t>
      </w:r>
      <w:r w:rsidR="00200942">
        <w:t xml:space="preserve">also </w:t>
      </w:r>
      <w:r>
        <w:t xml:space="preserve">the last Statistical Note in which we will describe the previous </w:t>
      </w:r>
      <w:r w:rsidR="00200942">
        <w:t xml:space="preserve">Handbook </w:t>
      </w:r>
      <w:r>
        <w:t>standards</w:t>
      </w:r>
      <w:r w:rsidR="00841AAD">
        <w:t xml:space="preserve"> and Systems Indicators in specification v3.0 on our landing page </w:t>
      </w:r>
      <w:hyperlink r:id="rId10" w:history="1">
        <w:r w:rsidR="00841AAD" w:rsidRPr="007554EE">
          <w:rPr>
            <w:rStyle w:val="Hyperlink"/>
          </w:rPr>
          <w:t>www.england.nhs.uk/statistics/statistical-work-areas/ambulance-quality-indicators</w:t>
        </w:r>
      </w:hyperlink>
      <w:r>
        <w:t>.</w:t>
      </w:r>
    </w:p>
    <w:p w:rsidR="00841AAD" w:rsidRDefault="003E46EC" w:rsidP="00B23A7D">
      <w:r>
        <w:t>In 2018, w</w:t>
      </w:r>
      <w:r w:rsidR="009B65B6">
        <w:t>e will continue to update</w:t>
      </w:r>
      <w:r w:rsidR="007252F3">
        <w:t xml:space="preserve"> </w:t>
      </w:r>
      <w:r w:rsidR="009B65B6">
        <w:t>the interactive Time Series spreadsheet</w:t>
      </w:r>
      <w:r w:rsidR="007252F3">
        <w:t xml:space="preserve"> on this website</w:t>
      </w:r>
      <w:r>
        <w:t xml:space="preserve"> with all these data items in specification v3.0 </w:t>
      </w:r>
      <w:r w:rsidR="007252F3">
        <w:t>for Isle of Wight</w:t>
      </w:r>
      <w:r>
        <w:t xml:space="preserve"> (IOW)</w:t>
      </w:r>
      <w:r w:rsidR="007252F3">
        <w:t xml:space="preserve">, which is due to </w:t>
      </w:r>
      <w:proofErr w:type="gramStart"/>
      <w:r w:rsidR="007252F3">
        <w:t>switch</w:t>
      </w:r>
      <w:proofErr w:type="gramEnd"/>
      <w:r w:rsidR="007252F3">
        <w:t xml:space="preserve"> from that specification in spring 2018</w:t>
      </w:r>
      <w:r>
        <w:t xml:space="preserve">. We will also include data </w:t>
      </w:r>
      <w:r w:rsidR="007252F3">
        <w:t xml:space="preserve">items </w:t>
      </w:r>
      <w:r w:rsidR="007252F3" w:rsidRPr="007252F3">
        <w:t>SQU03_1_1_2</w:t>
      </w:r>
      <w:r w:rsidR="007252F3">
        <w:t xml:space="preserve"> (calls received), </w:t>
      </w:r>
      <w:r w:rsidR="007252F3" w:rsidRPr="007252F3">
        <w:t xml:space="preserve">SQU03_10_2_1 </w:t>
      </w:r>
      <w:r w:rsidR="007252F3">
        <w:t>and SQU03_10_2_2 (face-to-face incidents not transported to A&amp;E), to measure discontinuities between ol</w:t>
      </w:r>
      <w:r>
        <w:t>d and new data item definitions, for three months after Trusts start to report against the new specification.</w:t>
      </w:r>
    </w:p>
    <w:p w:rsidR="00AD2A09" w:rsidRDefault="00841AAD" w:rsidP="00B23A7D">
      <w:r>
        <w:t>However, the 11 January publication will contain new Systems Indicators from all Ambulance Services</w:t>
      </w:r>
      <w:r w:rsidR="003E46EC">
        <w:t xml:space="preserve"> except IOW</w:t>
      </w:r>
      <w:r>
        <w:t xml:space="preserve">, for December </w:t>
      </w:r>
      <w:r w:rsidR="007252F3">
        <w:t>2017</w:t>
      </w:r>
      <w:r w:rsidR="003E46EC">
        <w:t>,</w:t>
      </w:r>
      <w:r w:rsidR="007252F3">
        <w:t xml:space="preserve"> </w:t>
      </w:r>
      <w:r>
        <w:t>and at least part of November</w:t>
      </w:r>
      <w:r w:rsidR="007252F3">
        <w:t xml:space="preserve"> 2017</w:t>
      </w:r>
      <w:r>
        <w:t xml:space="preserve">. The </w:t>
      </w:r>
      <w:r w:rsidR="00AD2A09">
        <w:t xml:space="preserve">11 January </w:t>
      </w:r>
      <w:r w:rsidR="00200942">
        <w:t xml:space="preserve">Statistical </w:t>
      </w:r>
      <w:r w:rsidR="00AD2A09">
        <w:t xml:space="preserve">Note will </w:t>
      </w:r>
      <w:r w:rsidR="009B65B6">
        <w:t xml:space="preserve">only </w:t>
      </w:r>
      <w:r w:rsidR="00AD2A09">
        <w:t xml:space="preserve">describe </w:t>
      </w:r>
      <w:r w:rsidR="009B65B6">
        <w:t>the data in the 20170926 specification document on</w:t>
      </w:r>
      <w:r>
        <w:t xml:space="preserve"> the above landing page (also </w:t>
      </w:r>
      <w:r w:rsidR="003E46EC">
        <w:t xml:space="preserve">at </w:t>
      </w:r>
      <w:hyperlink r:id="rId11" w:history="1">
        <w:r w:rsidRPr="000D46CC">
          <w:rPr>
            <w:rStyle w:val="Hyperlink"/>
          </w:rPr>
          <w:t>http://bit.ly/NHSAQI</w:t>
        </w:r>
      </w:hyperlink>
      <w:r>
        <w:rPr>
          <w:rStyle w:val="Hyperlink"/>
        </w:rPr>
        <w:t>)</w:t>
      </w:r>
      <w:r w:rsidR="009B65B6">
        <w:t>, and the standards in the September 2017 Addendum of the Handbook to the NHS Constitution (see footnote 1 above), resulting from the A</w:t>
      </w:r>
      <w:r w:rsidR="007252F3">
        <w:t>mbulance Response Programme</w:t>
      </w:r>
      <w:r w:rsidR="00AD2A09">
        <w:t>.</w:t>
      </w:r>
    </w:p>
    <w:p w:rsidR="00B23A7D" w:rsidRDefault="007252F3" w:rsidP="007252F3">
      <w:pPr>
        <w:pStyle w:val="Heading3"/>
      </w:pPr>
      <w:r w:rsidRPr="007252F3">
        <w:t>Ambulance Response Programme (ARP</w:t>
      </w:r>
      <w:r>
        <w:t>)</w:t>
      </w:r>
    </w:p>
    <w:p w:rsidR="00B23A7D" w:rsidRDefault="00B23A7D" w:rsidP="00B23A7D">
      <w:r>
        <w:t>The ARP has altered the activities of Ambulance Services and, consequently, these statistics, in several ways.</w:t>
      </w:r>
    </w:p>
    <w:p w:rsidR="00B23A7D" w:rsidRPr="00F7505F" w:rsidRDefault="00B23A7D" w:rsidP="00B23A7D">
      <w:r>
        <w:t>In February 2015, Phase 1 o</w:t>
      </w:r>
      <w:r w:rsidR="00841AAD">
        <w:t>f</w:t>
      </w:r>
      <w:r>
        <w:t xml:space="preserve"> ARP started: </w:t>
      </w:r>
      <w:r w:rsidRPr="00F7505F">
        <w:t>Dispatch on Disposition</w:t>
      </w:r>
      <w:r>
        <w:t xml:space="preserve"> (</w:t>
      </w:r>
      <w:proofErr w:type="gramStart"/>
      <w:r>
        <w:t>DoD</w:t>
      </w:r>
      <w:proofErr w:type="gramEnd"/>
      <w:r>
        <w:t>)</w:t>
      </w:r>
      <w:r>
        <w:rPr>
          <w:rStyle w:val="FootnoteReference"/>
        </w:rPr>
        <w:footnoteReference w:id="4"/>
      </w:r>
      <w:r>
        <w:t xml:space="preserve">. </w:t>
      </w:r>
      <w:r w:rsidR="003E46EC">
        <w:t xml:space="preserve">Other than </w:t>
      </w:r>
      <w:r w:rsidR="003E46EC" w:rsidRPr="00F7505F">
        <w:t xml:space="preserve">Red 1 </w:t>
      </w:r>
      <w:r w:rsidR="003E46EC">
        <w:t>incidents</w:t>
      </w:r>
      <w:r w:rsidR="000E01B0">
        <w:t xml:space="preserve">, the start time before </w:t>
      </w:r>
      <w:proofErr w:type="gramStart"/>
      <w:r w:rsidR="000E01B0">
        <w:t>DoD</w:t>
      </w:r>
      <w:proofErr w:type="gramEnd"/>
      <w:r w:rsidRPr="00F7505F">
        <w:t xml:space="preserve"> </w:t>
      </w:r>
      <w:r>
        <w:t>was</w:t>
      </w:r>
      <w:r w:rsidRPr="00F7505F">
        <w:t xml:space="preserve"> the earliest of</w:t>
      </w:r>
      <w:r>
        <w:t xml:space="preserve"> the following three possible trigger points</w:t>
      </w:r>
      <w:r w:rsidRPr="00F7505F">
        <w:t>:</w:t>
      </w:r>
    </w:p>
    <w:p w:rsidR="00B23A7D" w:rsidRPr="00F7505F" w:rsidRDefault="00B23A7D" w:rsidP="00B23A7D">
      <w:pPr>
        <w:pStyle w:val="ListNumber"/>
      </w:pPr>
      <w:r w:rsidRPr="00F7505F">
        <w:t>chief complaint or NHS Pathways initial disposition (Dx) code obtained;</w:t>
      </w:r>
    </w:p>
    <w:p w:rsidR="00B23A7D" w:rsidRPr="00F7505F" w:rsidRDefault="00B23A7D" w:rsidP="00B23A7D">
      <w:pPr>
        <w:pStyle w:val="ListNumber"/>
      </w:pPr>
      <w:r w:rsidRPr="00F7505F">
        <w:lastRenderedPageBreak/>
        <w:t>first vehicle assigned;</w:t>
      </w:r>
    </w:p>
    <w:p w:rsidR="00B23A7D" w:rsidRPr="00F7505F" w:rsidRDefault="00B23A7D" w:rsidP="00B23A7D">
      <w:pPr>
        <w:pStyle w:val="ListNumber"/>
      </w:pPr>
      <w:r>
        <w:t>6</w:t>
      </w:r>
      <w:r w:rsidRPr="00F7505F">
        <w:t>0 seconds after call connect.</w:t>
      </w:r>
    </w:p>
    <w:p w:rsidR="00B23A7D" w:rsidRDefault="00B23A7D" w:rsidP="00B23A7D">
      <w:proofErr w:type="gramStart"/>
      <w:r>
        <w:t>DoD</w:t>
      </w:r>
      <w:proofErr w:type="gramEnd"/>
      <w:r>
        <w:t xml:space="preserve"> tested alternatives to the third trigger point of 180, 240 and 300 seconds in various Ambulance Services.</w:t>
      </w:r>
      <w:r w:rsidRPr="00F7505F">
        <w:t xml:space="preserve"> </w:t>
      </w:r>
      <w:r>
        <w:t xml:space="preserve">In </w:t>
      </w:r>
      <w:r w:rsidRPr="00F7505F">
        <w:t xml:space="preserve">October 2016, all Ambulance Services in England were aligned with a </w:t>
      </w:r>
      <w:r>
        <w:t xml:space="preserve">third trigger point </w:t>
      </w:r>
      <w:r w:rsidRPr="00F7505F">
        <w:t>of 240</w:t>
      </w:r>
      <w:r>
        <w:t xml:space="preserve"> seconds, except for IoW, which aligned in February 2017.</w:t>
      </w:r>
      <w:r w:rsidRPr="00BE5250">
        <w:t xml:space="preserve"> </w:t>
      </w:r>
      <w:r>
        <w:t xml:space="preserve">All change dates are </w:t>
      </w:r>
      <w:r w:rsidRPr="00F7505F">
        <w:t>in the 8 December 2016 AQI Statistical Note</w:t>
      </w:r>
      <w:r>
        <w:t>.</w:t>
      </w:r>
    </w:p>
    <w:p w:rsidR="00B23A7D" w:rsidRDefault="007252F3" w:rsidP="00B23A7D">
      <w:r>
        <w:t xml:space="preserve">Phase 2 of </w:t>
      </w:r>
      <w:r w:rsidR="00B23A7D">
        <w:t xml:space="preserve">ARP </w:t>
      </w:r>
      <w:r>
        <w:t>was t</w:t>
      </w:r>
      <w:r w:rsidR="00B23A7D">
        <w:t xml:space="preserve">he </w:t>
      </w:r>
      <w:r w:rsidR="00B23A7D" w:rsidRPr="00F7505F">
        <w:t>Clinical Coding Review</w:t>
      </w:r>
      <w:r w:rsidR="000E01B0">
        <w:t xml:space="preserve"> (CCR), introducing new Categories C1 to C4, </w:t>
      </w:r>
      <w:r w:rsidR="000E01B0" w:rsidRPr="00F7505F">
        <w:t>not comparable</w:t>
      </w:r>
      <w:r w:rsidR="000E01B0">
        <w:t xml:space="preserve"> with the previous </w:t>
      </w:r>
      <w:r w:rsidR="00B23A7D">
        <w:t>Category</w:t>
      </w:r>
      <w:r w:rsidR="00B23A7D" w:rsidRPr="00F7505F">
        <w:t xml:space="preserve"> A (Red 1 and Red 2) and Category C (Green 1, Green 2, Green 3, and Green 4)</w:t>
      </w:r>
      <w:r w:rsidR="00B23A7D">
        <w:t>.</w:t>
      </w:r>
    </w:p>
    <w:p w:rsidR="00B23A7D" w:rsidRDefault="008E09FA" w:rsidP="00B23A7D">
      <w:r>
        <w:t>F</w:t>
      </w:r>
      <w:r w:rsidR="00B23A7D" w:rsidRPr="00F7505F">
        <w:t>or these Trusts</w:t>
      </w:r>
      <w:r w:rsidR="00B23A7D">
        <w:t>,</w:t>
      </w:r>
      <w:r w:rsidR="00B23A7D" w:rsidRPr="00F7505F">
        <w:t xml:space="preserve"> </w:t>
      </w:r>
      <w:r w:rsidR="00B23A7D">
        <w:t xml:space="preserve">from these dates, </w:t>
      </w:r>
      <w:r w:rsidR="00B23A7D" w:rsidRPr="00F7505F">
        <w:t xml:space="preserve">data </w:t>
      </w:r>
      <w:r w:rsidR="00B23A7D">
        <w:t xml:space="preserve">for </w:t>
      </w:r>
      <w:r w:rsidR="00B23A7D" w:rsidRPr="00F7505F">
        <w:t>Red 1, Red 2, and Cat</w:t>
      </w:r>
      <w:r w:rsidR="00B23A7D">
        <w:t>egory A are no longer available: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530"/>
        <w:gridCol w:w="1530"/>
        <w:gridCol w:w="1530"/>
        <w:gridCol w:w="1530"/>
      </w:tblGrid>
      <w:tr w:rsidR="00573C65" w:rsidRPr="00386F2D" w:rsidTr="00573C65">
        <w:tc>
          <w:tcPr>
            <w:tcW w:w="1530" w:type="dxa"/>
            <w:vAlign w:val="bottom"/>
          </w:tcPr>
          <w:p w:rsidR="00573C65" w:rsidRPr="00386F2D" w:rsidRDefault="00573C65" w:rsidP="00104AED">
            <w:pPr>
              <w:pStyle w:val="NoSpacing"/>
              <w:jc w:val="center"/>
            </w:pPr>
            <w:r w:rsidRPr="00386F2D">
              <w:t>SWAS</w:t>
            </w:r>
          </w:p>
        </w:tc>
        <w:tc>
          <w:tcPr>
            <w:tcW w:w="1530" w:type="dxa"/>
            <w:vAlign w:val="bottom"/>
          </w:tcPr>
          <w:p w:rsidR="00573C65" w:rsidRPr="00386F2D" w:rsidRDefault="00573C65" w:rsidP="00104AED">
            <w:pPr>
              <w:pStyle w:val="NoSpacing"/>
              <w:jc w:val="center"/>
            </w:pPr>
            <w:r w:rsidRPr="00386F2D">
              <w:t>YAS</w:t>
            </w:r>
          </w:p>
        </w:tc>
        <w:tc>
          <w:tcPr>
            <w:tcW w:w="1530" w:type="dxa"/>
            <w:vAlign w:val="bottom"/>
          </w:tcPr>
          <w:p w:rsidR="00573C65" w:rsidRPr="00386F2D" w:rsidRDefault="00573C65" w:rsidP="00104AED">
            <w:pPr>
              <w:pStyle w:val="NoSpacing"/>
              <w:jc w:val="center"/>
            </w:pPr>
            <w:r w:rsidRPr="00386F2D">
              <w:t>WMAS</w:t>
            </w:r>
          </w:p>
        </w:tc>
        <w:tc>
          <w:tcPr>
            <w:tcW w:w="1530" w:type="dxa"/>
            <w:vAlign w:val="bottom"/>
          </w:tcPr>
          <w:p w:rsidR="00573C65" w:rsidRPr="00386F2D" w:rsidRDefault="00573C65" w:rsidP="00104AED">
            <w:pPr>
              <w:pStyle w:val="NoSpacing"/>
              <w:jc w:val="center"/>
            </w:pPr>
            <w:r w:rsidRPr="00386F2D">
              <w:t>EMAS</w:t>
            </w:r>
          </w:p>
        </w:tc>
        <w:tc>
          <w:tcPr>
            <w:tcW w:w="1530" w:type="dxa"/>
            <w:vAlign w:val="bottom"/>
          </w:tcPr>
          <w:p w:rsidR="00573C65" w:rsidRPr="00386F2D" w:rsidRDefault="00573C65" w:rsidP="00104AED">
            <w:pPr>
              <w:pStyle w:val="NoSpacing"/>
              <w:jc w:val="center"/>
            </w:pPr>
            <w:r w:rsidRPr="00386F2D">
              <w:t>NWAS</w:t>
            </w:r>
          </w:p>
        </w:tc>
        <w:tc>
          <w:tcPr>
            <w:tcW w:w="1530" w:type="dxa"/>
          </w:tcPr>
          <w:p w:rsidR="00573C65" w:rsidRPr="00841AAD" w:rsidRDefault="00573C65" w:rsidP="00104AED">
            <w:pPr>
              <w:pStyle w:val="NoSpacing"/>
              <w:jc w:val="center"/>
            </w:pPr>
            <w:r w:rsidRPr="00841AAD">
              <w:t>EastAmb</w:t>
            </w:r>
          </w:p>
        </w:tc>
      </w:tr>
      <w:tr w:rsidR="00573C65" w:rsidRPr="00386F2D" w:rsidTr="00573C65">
        <w:tc>
          <w:tcPr>
            <w:tcW w:w="1530" w:type="dxa"/>
            <w:vAlign w:val="bottom"/>
          </w:tcPr>
          <w:p w:rsidR="00573C65" w:rsidRPr="00386F2D" w:rsidRDefault="00573C65" w:rsidP="00104AED">
            <w:pPr>
              <w:pStyle w:val="NoSpacing"/>
              <w:jc w:val="center"/>
            </w:pPr>
            <w:r>
              <w:t>19 Apr</w:t>
            </w:r>
            <w:r w:rsidRPr="00386F2D">
              <w:t xml:space="preserve"> 2016</w:t>
            </w:r>
          </w:p>
        </w:tc>
        <w:tc>
          <w:tcPr>
            <w:tcW w:w="1530" w:type="dxa"/>
            <w:vAlign w:val="bottom"/>
          </w:tcPr>
          <w:p w:rsidR="00573C65" w:rsidRPr="00386F2D" w:rsidRDefault="00573C65" w:rsidP="00104AED">
            <w:pPr>
              <w:pStyle w:val="NoSpacing"/>
              <w:jc w:val="center"/>
            </w:pPr>
            <w:r>
              <w:t>21 Apr</w:t>
            </w:r>
            <w:r w:rsidRPr="00386F2D">
              <w:t xml:space="preserve"> 2016</w:t>
            </w:r>
          </w:p>
        </w:tc>
        <w:tc>
          <w:tcPr>
            <w:tcW w:w="1530" w:type="dxa"/>
            <w:vAlign w:val="bottom"/>
          </w:tcPr>
          <w:p w:rsidR="00573C65" w:rsidRPr="00386F2D" w:rsidRDefault="00573C65" w:rsidP="00104AED">
            <w:pPr>
              <w:pStyle w:val="NoSpacing"/>
              <w:jc w:val="center"/>
            </w:pPr>
            <w:r>
              <w:t>8 Jun</w:t>
            </w:r>
            <w:r w:rsidRPr="00386F2D">
              <w:t xml:space="preserve"> 2016</w:t>
            </w:r>
          </w:p>
        </w:tc>
        <w:tc>
          <w:tcPr>
            <w:tcW w:w="1530" w:type="dxa"/>
            <w:vAlign w:val="bottom"/>
          </w:tcPr>
          <w:p w:rsidR="00573C65" w:rsidRPr="00386F2D" w:rsidRDefault="00573C65" w:rsidP="00104AED">
            <w:pPr>
              <w:pStyle w:val="NoSpacing"/>
              <w:jc w:val="center"/>
            </w:pPr>
            <w:r>
              <w:t>19 Jul</w:t>
            </w:r>
            <w:r w:rsidRPr="00386F2D">
              <w:t xml:space="preserve"> 2017</w:t>
            </w:r>
          </w:p>
        </w:tc>
        <w:tc>
          <w:tcPr>
            <w:tcW w:w="1530" w:type="dxa"/>
            <w:vAlign w:val="bottom"/>
          </w:tcPr>
          <w:p w:rsidR="00573C65" w:rsidRPr="00386F2D" w:rsidRDefault="00573C65" w:rsidP="00104AED">
            <w:pPr>
              <w:pStyle w:val="NoSpacing"/>
              <w:jc w:val="center"/>
            </w:pPr>
            <w:r w:rsidRPr="00386F2D">
              <w:t>1</w:t>
            </w:r>
            <w:r>
              <w:t xml:space="preserve"> Aug</w:t>
            </w:r>
            <w:r w:rsidRPr="00386F2D">
              <w:t xml:space="preserve"> 2017</w:t>
            </w:r>
          </w:p>
        </w:tc>
        <w:tc>
          <w:tcPr>
            <w:tcW w:w="1530" w:type="dxa"/>
          </w:tcPr>
          <w:p w:rsidR="00573C65" w:rsidRPr="00841AAD" w:rsidRDefault="00573C65" w:rsidP="00104AED">
            <w:pPr>
              <w:pStyle w:val="NoSpacing"/>
              <w:jc w:val="center"/>
            </w:pPr>
            <w:r w:rsidRPr="00841AAD">
              <w:t>18 Oct 2017</w:t>
            </w:r>
          </w:p>
        </w:tc>
      </w:tr>
    </w:tbl>
    <w:p w:rsidR="00233249" w:rsidRDefault="006F4EA0" w:rsidP="00233249">
      <w:pPr>
        <w:pStyle w:val="Heading3"/>
      </w:pPr>
      <w:r>
        <w:t>R</w:t>
      </w:r>
      <w:r w:rsidR="00233249">
        <w:t>esponse times</w:t>
      </w:r>
      <w:r w:rsidRPr="006F4EA0">
        <w:t xml:space="preserve"> </w:t>
      </w:r>
      <w:r>
        <w:t>for new Categories</w:t>
      </w:r>
    </w:p>
    <w:p w:rsidR="00614D93" w:rsidRDefault="00614D93" w:rsidP="00F060C4">
      <w:r>
        <w:t>Comparable r</w:t>
      </w:r>
      <w:r w:rsidR="00E14639" w:rsidRPr="00E14639">
        <w:t xml:space="preserve">esponse times for October 2017 </w:t>
      </w:r>
      <w:r>
        <w:t>are</w:t>
      </w:r>
      <w:r w:rsidR="00E14639" w:rsidRPr="00E14639">
        <w:t xml:space="preserve"> available for YAS, WMAS, </w:t>
      </w:r>
      <w:r>
        <w:t>EMAS and NWAS.</w:t>
      </w:r>
    </w:p>
    <w:p w:rsidR="00F060C4" w:rsidRDefault="00E14639" w:rsidP="00F060C4">
      <w:r w:rsidRPr="00E14639">
        <w:t>The mean response time for the most acute Category, C1, ranged from 6 minutes and 41 seconds for WMAS to 9:29 for NWAS.</w:t>
      </w:r>
      <w:r w:rsidR="00614D93">
        <w:t xml:space="preserve"> </w:t>
      </w:r>
      <w:r w:rsidRPr="00E14639">
        <w:t>The mean response time for Category C2 ranged from 11:38 for WMAS to 29:08 for EMAS.</w:t>
      </w:r>
    </w:p>
    <w:p w:rsidR="00614D93" w:rsidRDefault="00614D93" w:rsidP="00F060C4">
      <w:r>
        <w:t>All C1 to C4 mean and 90th centile response times for YAS and WMAS were shorter in October than in September, but those for EMAS nearly all increased.</w:t>
      </w:r>
    </w:p>
    <w:p w:rsidR="00B23A7D" w:rsidRDefault="000245E2" w:rsidP="00B23A7D">
      <w:r w:rsidRPr="00614D93">
        <w:t>For October</w:t>
      </w:r>
      <w:r w:rsidR="00E14639" w:rsidRPr="00614D93">
        <w:t xml:space="preserve"> and November 2017</w:t>
      </w:r>
      <w:r w:rsidR="00614D93" w:rsidRPr="00614D93">
        <w:t>,</w:t>
      </w:r>
      <w:r w:rsidRPr="00614D93">
        <w:t xml:space="preserve"> SWAS still report</w:t>
      </w:r>
      <w:r w:rsidR="00E14639" w:rsidRPr="00614D93">
        <w:t>s</w:t>
      </w:r>
      <w:r w:rsidRPr="00614D93">
        <w:t xml:space="preserve"> </w:t>
      </w:r>
      <w:r w:rsidR="00E14639" w:rsidRPr="00614D93">
        <w:t xml:space="preserve">against specification v3.0 at </w:t>
      </w:r>
      <w:hyperlink r:id="rId12" w:history="1">
        <w:r w:rsidR="009D5004" w:rsidRPr="00872ECC">
          <w:rPr>
            <w:rStyle w:val="Hyperlink"/>
          </w:rPr>
          <w:t>http://bit.ly/NHSAQI</w:t>
        </w:r>
      </w:hyperlink>
      <w:r w:rsidR="009D5004" w:rsidRPr="009D5004">
        <w:t xml:space="preserve">. This includes </w:t>
      </w:r>
      <w:r w:rsidR="009D5004">
        <w:t xml:space="preserve">C1 to C4 </w:t>
      </w:r>
      <w:r w:rsidR="00E14639" w:rsidRPr="00614D93">
        <w:t>response times</w:t>
      </w:r>
      <w:r w:rsidR="00233249" w:rsidRPr="00614D93">
        <w:t xml:space="preserve"> based on </w:t>
      </w:r>
      <w:r w:rsidR="006F4EA0" w:rsidRPr="00614D93">
        <w:t xml:space="preserve">different </w:t>
      </w:r>
      <w:r w:rsidR="00233249" w:rsidRPr="00614D93">
        <w:t xml:space="preserve">clock start and </w:t>
      </w:r>
      <w:r w:rsidR="006F4EA0" w:rsidRPr="00614D93">
        <w:t xml:space="preserve">clock stop points, </w:t>
      </w:r>
      <w:r w:rsidR="00E14639" w:rsidRPr="00614D93">
        <w:t xml:space="preserve">which </w:t>
      </w:r>
      <w:r w:rsidR="006F4EA0" w:rsidRPr="00614D93">
        <w:t xml:space="preserve">are therefore </w:t>
      </w:r>
      <w:r w:rsidR="00233249" w:rsidRPr="00614D93">
        <w:t>not comparabl</w:t>
      </w:r>
      <w:r w:rsidR="002D5AB0" w:rsidRPr="00614D93">
        <w:t xml:space="preserve">e with </w:t>
      </w:r>
      <w:r w:rsidR="00E14639" w:rsidRPr="00614D93">
        <w:t xml:space="preserve">other </w:t>
      </w:r>
      <w:r w:rsidR="00614D93" w:rsidRPr="00614D93">
        <w:t>Trusts</w:t>
      </w:r>
      <w:r w:rsidR="00E14639" w:rsidRPr="00614D93">
        <w:t xml:space="preserve"> or the</w:t>
      </w:r>
      <w:r w:rsidR="002D5AB0" w:rsidRPr="00614D93">
        <w:t xml:space="preserve"> new standards in the Handbook to the NHS Constitution.</w:t>
      </w:r>
      <w:r w:rsidR="00B43075" w:rsidRPr="00614D93">
        <w:t xml:space="preserve"> </w:t>
      </w:r>
      <w:r w:rsidR="00614D93">
        <w:t xml:space="preserve">The </w:t>
      </w:r>
      <w:r w:rsidR="00A3738B" w:rsidRPr="00614D93">
        <w:t xml:space="preserve">mean </w:t>
      </w:r>
      <w:r w:rsidR="00614D93">
        <w:t xml:space="preserve">C1 </w:t>
      </w:r>
      <w:r w:rsidR="00A3738B" w:rsidRPr="00614D93">
        <w:t>response</w:t>
      </w:r>
      <w:r w:rsidR="00614D93">
        <w:t xml:space="preserve"> time for SWAS was 8:</w:t>
      </w:r>
      <w:r w:rsidR="004E7F0B" w:rsidRPr="00614D93">
        <w:t>48</w:t>
      </w:r>
      <w:r w:rsidR="00614D93">
        <w:t xml:space="preserve"> in </w:t>
      </w:r>
      <w:r w:rsidR="00614D93" w:rsidRPr="00614D93">
        <w:t>October 2017</w:t>
      </w:r>
      <w:r w:rsidR="00614D93">
        <w:t>.</w:t>
      </w:r>
    </w:p>
    <w:p w:rsidR="00D91BAE" w:rsidRDefault="00D91BAE" w:rsidP="00D91BAE">
      <w:pPr>
        <w:pStyle w:val="Heading3"/>
      </w:pPr>
      <w:r w:rsidRPr="00F7505F">
        <w:t>Emergency Response in 8 minutes for Red 2 (Figure 2)</w:t>
      </w:r>
    </w:p>
    <w:p w:rsidR="00B23A7D" w:rsidRDefault="00D6416C" w:rsidP="00B23A7D">
      <w:r>
        <w:rPr>
          <w:noProof/>
        </w:rPr>
        <w:drawing>
          <wp:inline distT="0" distB="0" distL="0" distR="0" wp14:anchorId="67863D3C">
            <wp:extent cx="5773420" cy="28168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3420" cy="2816860"/>
                    </a:xfrm>
                    <a:prstGeom prst="rect">
                      <a:avLst/>
                    </a:prstGeom>
                    <a:noFill/>
                  </pic:spPr>
                </pic:pic>
              </a:graphicData>
            </a:graphic>
          </wp:inline>
        </w:drawing>
      </w:r>
    </w:p>
    <w:p w:rsidR="00D6416C" w:rsidRDefault="00D6416C" w:rsidP="00D6416C">
      <w:r w:rsidRPr="00614D93">
        <w:lastRenderedPageBreak/>
        <w:t>For the six Trusts still using Red 2 in October 2017, the proportion of Red 2 incidents receiving an emergency response in 8 minutes was 58.9</w:t>
      </w:r>
      <w:r w:rsidR="00DD2A8F">
        <w:t>%. As with Red 1, t</w:t>
      </w:r>
      <w:r w:rsidRPr="00626F4E">
        <w:t xml:space="preserve">he </w:t>
      </w:r>
      <w:r w:rsidR="00DD2A8F">
        <w:t xml:space="preserve">largest proportion </w:t>
      </w:r>
      <w:r w:rsidRPr="00626F4E">
        <w:t xml:space="preserve">was </w:t>
      </w:r>
      <w:r w:rsidR="00DD2A8F">
        <w:t>for LAS and SCAS (69%)</w:t>
      </w:r>
      <w:r w:rsidR="00F446A1">
        <w:t>,</w:t>
      </w:r>
      <w:r w:rsidR="00DD2A8F">
        <w:t xml:space="preserve"> and the smallest was for SECAmb (41%).</w:t>
      </w:r>
    </w:p>
    <w:p w:rsidR="00DD2A8F" w:rsidRDefault="00DD2A8F" w:rsidP="00DD2A8F">
      <w:r>
        <w:t>F</w:t>
      </w:r>
      <w:r w:rsidRPr="00626F4E">
        <w:t xml:space="preserve">igure 2 shows </w:t>
      </w:r>
      <w:r>
        <w:t>the time series of this proportion for these six Trusts combined; October 2017 is only the sixth month in which it has been less than 60%.</w:t>
      </w:r>
    </w:p>
    <w:p w:rsidR="00EA23A9" w:rsidRPr="00F7505F" w:rsidRDefault="00C94BBC" w:rsidP="00EA23A9">
      <w:pPr>
        <w:pStyle w:val="Heading3"/>
      </w:pPr>
      <w:r w:rsidRPr="00F7505F">
        <w:t xml:space="preserve">Category </w:t>
      </w:r>
      <w:proofErr w:type="spellStart"/>
      <w:proofErr w:type="gramStart"/>
      <w:r w:rsidRPr="00F7505F">
        <w:t>A</w:t>
      </w:r>
      <w:proofErr w:type="spellEnd"/>
      <w:proofErr w:type="gramEnd"/>
      <w:r w:rsidRPr="00F7505F">
        <w:t xml:space="preserve"> </w:t>
      </w:r>
      <w:r w:rsidR="00EA23A9" w:rsidRPr="00F7505F">
        <w:t>Ambulance response in 19 minutes</w:t>
      </w:r>
      <w:r w:rsidR="000A00D6" w:rsidRPr="00F7505F">
        <w:t xml:space="preserve"> (Figure 3)</w:t>
      </w:r>
    </w:p>
    <w:p w:rsidR="009D5004" w:rsidRDefault="00B23A7D" w:rsidP="00B23A7D">
      <w:r w:rsidRPr="002A0575">
        <w:t xml:space="preserve">The second ambulance standard in the Handbook to the NHS Constitution is for </w:t>
      </w:r>
      <w:r w:rsidR="00626F4E" w:rsidRPr="002A0575">
        <w:t>Trusts</w:t>
      </w:r>
      <w:r w:rsidRPr="002A0575">
        <w:t xml:space="preserve"> to send, within 19 minutes, a fully-equipped ambulance vehicle, able to transport the patient in a clinically safe manner, to 95% of Category A calls.</w:t>
      </w:r>
    </w:p>
    <w:p w:rsidR="009D5004" w:rsidRDefault="002A0575" w:rsidP="00B23A7D">
      <w:proofErr w:type="gramStart"/>
      <w:r>
        <w:t xml:space="preserve">Figure 3 shows that for </w:t>
      </w:r>
      <w:r w:rsidR="00B23A7D" w:rsidRPr="002A0575">
        <w:t xml:space="preserve">the six </w:t>
      </w:r>
      <w:r w:rsidR="00626F4E" w:rsidRPr="002A0575">
        <w:t>Trusts</w:t>
      </w:r>
      <w:r w:rsidR="00B23A7D" w:rsidRPr="002A0575">
        <w:t xml:space="preserve"> </w:t>
      </w:r>
      <w:r w:rsidR="004E7F0B" w:rsidRPr="002A0575">
        <w:t>that used</w:t>
      </w:r>
      <w:r w:rsidR="00B23A7D" w:rsidRPr="002A0575">
        <w:t xml:space="preserve"> Category A </w:t>
      </w:r>
      <w:r w:rsidR="004E7F0B" w:rsidRPr="002A0575">
        <w:t>in</w:t>
      </w:r>
      <w:r w:rsidR="00B23A7D" w:rsidRPr="002A0575">
        <w:t xml:space="preserve"> </w:t>
      </w:r>
      <w:r w:rsidR="004E7F0B" w:rsidRPr="002A0575">
        <w:t>October</w:t>
      </w:r>
      <w:r w:rsidR="00B23A7D" w:rsidRPr="002A0575">
        <w:t xml:space="preserve"> 2017, </w:t>
      </w:r>
      <w:r>
        <w:t>the proportion of 90.3% in October was an increase on the se</w:t>
      </w:r>
      <w:r w:rsidR="009D5004">
        <w:t>ries low of 87.9% in September.</w:t>
      </w:r>
      <w:proofErr w:type="gramEnd"/>
    </w:p>
    <w:p w:rsidR="00626F4E" w:rsidRDefault="002A0575" w:rsidP="00B23A7D">
      <w:r>
        <w:t>P</w:t>
      </w:r>
      <w:r w:rsidRPr="002A0575">
        <w:t xml:space="preserve">erformance </w:t>
      </w:r>
      <w:r>
        <w:t>in October</w:t>
      </w:r>
      <w:r w:rsidRPr="002A0575">
        <w:t xml:space="preserve"> ranged from 94.9% for LAS to 84.8% for SECAmb.</w:t>
      </w:r>
    </w:p>
    <w:p w:rsidR="00B23A7D" w:rsidRDefault="009D5004" w:rsidP="00B23A7D">
      <w:pPr>
        <w:rPr>
          <w:highlight w:val="cyan"/>
        </w:rPr>
      </w:pPr>
      <w:r>
        <w:rPr>
          <w:noProof/>
        </w:rPr>
        <w:drawing>
          <wp:inline distT="0" distB="0" distL="0" distR="0" wp14:anchorId="67AC0884">
            <wp:extent cx="5773420" cy="3615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3615055"/>
                    </a:xfrm>
                    <a:prstGeom prst="rect">
                      <a:avLst/>
                    </a:prstGeom>
                    <a:noFill/>
                  </pic:spPr>
                </pic:pic>
              </a:graphicData>
            </a:graphic>
          </wp:inline>
        </w:drawing>
      </w:r>
    </w:p>
    <w:p w:rsidR="000E6F7C" w:rsidRDefault="000E6F7C" w:rsidP="000E6F7C">
      <w:r w:rsidRPr="00F7505F">
        <w:t xml:space="preserve">For other Systems Indicators, </w:t>
      </w:r>
      <w:proofErr w:type="gramStart"/>
      <w:r w:rsidRPr="00F7505F">
        <w:t>DoD</w:t>
      </w:r>
      <w:proofErr w:type="gramEnd"/>
      <w:r w:rsidRPr="00F7505F">
        <w:t xml:space="preserve"> and the CCR do not affect comparability, but may lead to changes in levels. For example, </w:t>
      </w:r>
      <w:r w:rsidR="00F47AF6" w:rsidRPr="00F7505F">
        <w:t xml:space="preserve">a </w:t>
      </w:r>
      <w:r w:rsidRPr="00F7505F">
        <w:t>longer triage time may mean more calls are closed on the telephone</w:t>
      </w:r>
      <w:r w:rsidR="00F47AF6" w:rsidRPr="00F7505F">
        <w:t>, but the data for this measure remain comparable</w:t>
      </w:r>
      <w:r w:rsidRPr="00F7505F">
        <w:t>.</w:t>
      </w:r>
      <w:r w:rsidR="00F47AF6" w:rsidRPr="00F7505F">
        <w:t xml:space="preserve"> Such changes</w:t>
      </w:r>
      <w:r w:rsidRPr="00F7505F">
        <w:t xml:space="preserve"> may be difficult to detect within the habitual variation of the many </w:t>
      </w:r>
      <w:r w:rsidR="00C71429" w:rsidRPr="00F7505F">
        <w:t>AQI</w:t>
      </w:r>
      <w:r w:rsidRPr="00F7505F">
        <w:t>.</w:t>
      </w:r>
    </w:p>
    <w:p w:rsidR="001E453D" w:rsidRDefault="0051617B" w:rsidP="000E6F7C">
      <w:r>
        <w:t xml:space="preserve">NWAS, YAS, EMAS, and WMAS, no longer provide the previous </w:t>
      </w:r>
      <w:r w:rsidRPr="000245E2">
        <w:t>Systems Indicators</w:t>
      </w:r>
      <w:r>
        <w:t xml:space="preserve">, except for </w:t>
      </w:r>
      <w:r w:rsidR="001E453D">
        <w:t>the numbers of calls receiving a face-to-face response, and of those</w:t>
      </w:r>
      <w:r>
        <w:t>,</w:t>
      </w:r>
      <w:r w:rsidR="001E453D">
        <w:t xml:space="preserve"> not transported to Type 1 / Type 2 A&amp;E</w:t>
      </w:r>
      <w:r>
        <w:t>;</w:t>
      </w:r>
      <w:r w:rsidR="001E453D">
        <w:t xml:space="preserve"> plus the numbers of telephone calls presented to switchboard.</w:t>
      </w:r>
    </w:p>
    <w:p w:rsidR="003A0D0C" w:rsidRDefault="003A0D0C" w:rsidP="002A0575">
      <w:pPr>
        <w:pStyle w:val="Heading3"/>
      </w:pPr>
      <w:r w:rsidRPr="00F7505F">
        <w:lastRenderedPageBreak/>
        <w:t>Systems Indicators: Ambulance volumes</w:t>
      </w:r>
      <w:r w:rsidR="00C62D2F">
        <w:rPr>
          <w:rStyle w:val="FootnoteReference"/>
        </w:rPr>
        <w:footnoteReference w:id="5"/>
      </w:r>
      <w:r w:rsidRPr="00F7505F">
        <w:t xml:space="preserve"> (Figure </w:t>
      </w:r>
      <w:r w:rsidR="00AC1EF7" w:rsidRPr="00F7505F">
        <w:t>4</w:t>
      </w:r>
      <w:r w:rsidRPr="00F7505F">
        <w:t>)</w:t>
      </w:r>
    </w:p>
    <w:p w:rsidR="00B21828" w:rsidRPr="00F7505F" w:rsidRDefault="00191AB9" w:rsidP="00191AB9">
      <w:r w:rsidRPr="002A0575">
        <w:t>The number</w:t>
      </w:r>
      <w:r w:rsidRPr="002A0575">
        <w:rPr>
          <w:rStyle w:val="FootnoteReference"/>
        </w:rPr>
        <w:footnoteReference w:id="6"/>
      </w:r>
      <w:r w:rsidRPr="002A0575">
        <w:t xml:space="preserve"> of emergency telephone calls presented to </w:t>
      </w:r>
      <w:r w:rsidR="00E8576D" w:rsidRPr="002A0575">
        <w:t xml:space="preserve">the </w:t>
      </w:r>
      <w:r w:rsidRPr="002A0575">
        <w:t xml:space="preserve">switchboard in </w:t>
      </w:r>
      <w:r w:rsidR="00F428EB" w:rsidRPr="002A0575">
        <w:t>October</w:t>
      </w:r>
      <w:r w:rsidR="00C62D2F" w:rsidRPr="002A0575">
        <w:t xml:space="preserve"> </w:t>
      </w:r>
      <w:r w:rsidR="00506143" w:rsidRPr="002A0575">
        <w:t>2017</w:t>
      </w:r>
      <w:r w:rsidR="00781110" w:rsidRPr="002A0575">
        <w:t xml:space="preserve"> </w:t>
      </w:r>
      <w:r w:rsidRPr="002A0575">
        <w:t>was</w:t>
      </w:r>
      <w:r w:rsidR="004855AA" w:rsidRPr="002A0575">
        <w:t xml:space="preserve"> </w:t>
      </w:r>
      <w:r w:rsidR="00F428EB" w:rsidRPr="002A0575">
        <w:t>896,464</w:t>
      </w:r>
      <w:r w:rsidR="009141A4" w:rsidRPr="002A0575">
        <w:t xml:space="preserve">, </w:t>
      </w:r>
      <w:r w:rsidR="00177CDB" w:rsidRPr="002A0575">
        <w:t>an average of</w:t>
      </w:r>
      <w:r w:rsidRPr="002A0575">
        <w:t xml:space="preserve"> </w:t>
      </w:r>
      <w:r w:rsidR="00F428EB" w:rsidRPr="002A0575">
        <w:t>28.9</w:t>
      </w:r>
      <w:r w:rsidR="00AB0008" w:rsidRPr="002A0575">
        <w:t xml:space="preserve"> thousand</w:t>
      </w:r>
      <w:r w:rsidR="00C2676B" w:rsidRPr="002A0575">
        <w:t xml:space="preserve"> </w:t>
      </w:r>
      <w:r w:rsidR="007240EC" w:rsidRPr="002A0575">
        <w:t>per day</w:t>
      </w:r>
      <w:r w:rsidR="00AD2980" w:rsidRPr="002A0575">
        <w:t>.</w:t>
      </w:r>
    </w:p>
    <w:p w:rsidR="001F1D24" w:rsidRPr="00F7505F" w:rsidRDefault="001F1D24" w:rsidP="001F1D24">
      <w:r w:rsidRPr="002A0575">
        <w:t xml:space="preserve">There were </w:t>
      </w:r>
      <w:r w:rsidR="00F428EB" w:rsidRPr="002A0575">
        <w:t>598,512</w:t>
      </w:r>
      <w:r w:rsidR="00C62D2F" w:rsidRPr="002A0575">
        <w:t xml:space="preserve"> </w:t>
      </w:r>
      <w:r w:rsidRPr="002A0575">
        <w:t xml:space="preserve">emergency calls that received a face-to-face response from the ambulance service in </w:t>
      </w:r>
      <w:r w:rsidR="009D5004">
        <w:t>October</w:t>
      </w:r>
      <w:r w:rsidR="00C62D2F" w:rsidRPr="002A0575">
        <w:t xml:space="preserve"> </w:t>
      </w:r>
      <w:r w:rsidRPr="002A0575">
        <w:t xml:space="preserve">2017, an average of </w:t>
      </w:r>
      <w:r w:rsidR="00F428EB" w:rsidRPr="002A0575">
        <w:t>19.3</w:t>
      </w:r>
      <w:r w:rsidR="00A12CF5" w:rsidRPr="002A0575">
        <w:t xml:space="preserve"> </w:t>
      </w:r>
      <w:r w:rsidRPr="002A0575">
        <w:t>thousand per day.</w:t>
      </w:r>
    </w:p>
    <w:p w:rsidR="001F1D24" w:rsidRDefault="001F1D24" w:rsidP="001F1D24">
      <w:r w:rsidRPr="00F7505F">
        <w:t xml:space="preserve">Figure 4 shows </w:t>
      </w:r>
      <w:r w:rsidR="000871A5">
        <w:t>these</w:t>
      </w:r>
      <w:r w:rsidRPr="00F7505F">
        <w:t xml:space="preserve"> measure</w:t>
      </w:r>
      <w:r w:rsidR="000871A5">
        <w:t>s</w:t>
      </w:r>
      <w:r w:rsidRPr="00F7505F">
        <w:t xml:space="preserve"> </w:t>
      </w:r>
      <w:r w:rsidR="000871A5">
        <w:t>usually revert to average</w:t>
      </w:r>
      <w:r w:rsidR="002D0D09">
        <w:t xml:space="preserve"> after </w:t>
      </w:r>
      <w:r w:rsidR="00C62D2F">
        <w:t xml:space="preserve">a high in </w:t>
      </w:r>
      <w:r w:rsidR="002D0D09">
        <w:t xml:space="preserve">December </w:t>
      </w:r>
      <w:r w:rsidR="00C62D2F">
        <w:t xml:space="preserve">and </w:t>
      </w:r>
      <w:r w:rsidR="000871A5">
        <w:t xml:space="preserve">a </w:t>
      </w:r>
      <w:r w:rsidR="00C62D2F">
        <w:t>low in August</w:t>
      </w:r>
      <w:r w:rsidR="002D0D09">
        <w:t xml:space="preserve">. </w:t>
      </w:r>
      <w:r w:rsidR="00C62D2F">
        <w:t xml:space="preserve">It </w:t>
      </w:r>
      <w:r w:rsidR="002D0D09">
        <w:t>also shows</w:t>
      </w:r>
      <w:r w:rsidRPr="00F7505F">
        <w:t xml:space="preserve"> a </w:t>
      </w:r>
      <w:r w:rsidR="002D0D09">
        <w:t xml:space="preserve">gradual increase </w:t>
      </w:r>
      <w:r w:rsidRPr="00F7505F">
        <w:t xml:space="preserve">in </w:t>
      </w:r>
      <w:r w:rsidR="002D0D09">
        <w:t xml:space="preserve">telephone calls, </w:t>
      </w:r>
      <w:r w:rsidRPr="00F7505F">
        <w:t xml:space="preserve">and </w:t>
      </w:r>
      <w:r w:rsidR="002D0D09">
        <w:t xml:space="preserve">in </w:t>
      </w:r>
      <w:r w:rsidRPr="00F7505F">
        <w:t xml:space="preserve">face-to-face responses, but </w:t>
      </w:r>
      <w:r w:rsidR="002D0D09">
        <w:t xml:space="preserve">not </w:t>
      </w:r>
      <w:r w:rsidRPr="00F7505F">
        <w:t xml:space="preserve">so </w:t>
      </w:r>
      <w:r w:rsidR="002D0D09">
        <w:t xml:space="preserve">much </w:t>
      </w:r>
      <w:r w:rsidRPr="00F7505F">
        <w:t xml:space="preserve">for incidents </w:t>
      </w:r>
      <w:r w:rsidR="002A0575">
        <w:t xml:space="preserve">where a patient was transported, although the latter is no longer </w:t>
      </w:r>
      <w:r w:rsidR="009D5004">
        <w:t xml:space="preserve">supplied comprehensively </w:t>
      </w:r>
      <w:r w:rsidR="002A0575">
        <w:t>after June 2017.</w:t>
      </w:r>
    </w:p>
    <w:p w:rsidR="003C5A70" w:rsidRDefault="002A0575" w:rsidP="00CC3F51">
      <w:pPr>
        <w:rPr>
          <w:rFonts w:eastAsiaTheme="majorEastAsia"/>
        </w:rPr>
      </w:pPr>
      <w:r>
        <w:rPr>
          <w:rFonts w:eastAsiaTheme="majorEastAsia"/>
          <w:noProof/>
        </w:rPr>
        <w:drawing>
          <wp:inline distT="0" distB="0" distL="0" distR="0" wp14:anchorId="6A209C33">
            <wp:extent cx="5773420" cy="5414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3420" cy="5414010"/>
                    </a:xfrm>
                    <a:prstGeom prst="rect">
                      <a:avLst/>
                    </a:prstGeom>
                    <a:noFill/>
                  </pic:spPr>
                </pic:pic>
              </a:graphicData>
            </a:graphic>
          </wp:inline>
        </w:drawing>
      </w:r>
    </w:p>
    <w:p w:rsidR="003A0D0C" w:rsidRPr="00F7505F" w:rsidRDefault="003C24D1" w:rsidP="003A0D0C">
      <w:pPr>
        <w:pStyle w:val="Heading3"/>
      </w:pPr>
      <w:r w:rsidRPr="00F7505F">
        <w:lastRenderedPageBreak/>
        <w:t xml:space="preserve">Latest monthly data </w:t>
      </w:r>
      <w:r w:rsidR="003A0D0C" w:rsidRPr="00F7505F">
        <w:t xml:space="preserve">for </w:t>
      </w:r>
      <w:r w:rsidRPr="00F7505F">
        <w:t xml:space="preserve">other </w:t>
      </w:r>
      <w:r w:rsidR="003A0D0C" w:rsidRPr="00F7505F">
        <w:t>System</w:t>
      </w:r>
      <w:r w:rsidRPr="00F7505F">
        <w:t>s</w:t>
      </w:r>
      <w:r w:rsidR="003A0D0C" w:rsidRPr="00F7505F">
        <w:t xml:space="preserve"> Indicators</w:t>
      </w:r>
      <w:r w:rsidR="000D7762" w:rsidRPr="00F7505F">
        <w:t xml:space="preserve">, </w:t>
      </w:r>
      <w:r w:rsidR="00983459">
        <w:t>October</w:t>
      </w:r>
      <w:r w:rsidR="00B573A2">
        <w:t xml:space="preserve"> 2</w:t>
      </w:r>
      <w:r w:rsidR="00506143" w:rsidRPr="00F7505F">
        <w:t>017</w:t>
      </w:r>
      <w:r w:rsidR="003A0D0C" w:rsidRPr="00F7505F">
        <w:t xml:space="preserve"> </w:t>
      </w:r>
    </w:p>
    <w:tbl>
      <w:tblPr>
        <w:tblW w:w="9271" w:type="dxa"/>
        <w:tblBorders>
          <w:bottom w:val="single" w:sz="4" w:space="0" w:color="auto"/>
        </w:tblBorders>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277"/>
        <w:gridCol w:w="1134"/>
        <w:gridCol w:w="991"/>
        <w:gridCol w:w="1277"/>
        <w:gridCol w:w="992"/>
      </w:tblGrid>
      <w:tr w:rsidR="003A0D0C" w:rsidRPr="003C5A70" w:rsidTr="00CC3F51">
        <w:trPr>
          <w:cantSplit/>
          <w:trHeight w:val="340"/>
          <w:tblHeader/>
        </w:trPr>
        <w:tc>
          <w:tcPr>
            <w:tcW w:w="3600" w:type="dxa"/>
            <w:tcBorders>
              <w:bottom w:val="single" w:sz="4" w:space="0" w:color="auto"/>
              <w:right w:val="single" w:sz="4" w:space="0" w:color="auto"/>
            </w:tcBorders>
            <w:shd w:val="clear" w:color="auto" w:fill="auto"/>
            <w:vAlign w:val="center"/>
            <w:hideMark/>
          </w:tcPr>
          <w:p w:rsidR="003A0D0C" w:rsidRPr="003C5A70" w:rsidRDefault="003A0D0C" w:rsidP="00CC3F51">
            <w:pPr>
              <w:pStyle w:val="Heading4"/>
            </w:pPr>
            <w:r w:rsidRPr="00CC3F51">
              <w:t>Indicator</w:t>
            </w:r>
          </w:p>
        </w:tc>
        <w:tc>
          <w:tcPr>
            <w:tcW w:w="1277" w:type="dxa"/>
            <w:tcBorders>
              <w:left w:val="single" w:sz="4" w:space="0" w:color="auto"/>
              <w:bottom w:val="single" w:sz="4" w:space="0" w:color="auto"/>
              <w:right w:val="single" w:sz="4" w:space="0" w:color="auto"/>
            </w:tcBorders>
            <w:shd w:val="clear" w:color="auto" w:fill="auto"/>
            <w:vAlign w:val="center"/>
            <w:hideMark/>
          </w:tcPr>
          <w:p w:rsidR="003A0D0C" w:rsidRPr="00CC3F51" w:rsidRDefault="003A0D0C" w:rsidP="00CC3F51">
            <w:pPr>
              <w:pStyle w:val="Heading4"/>
            </w:pPr>
            <w:r w:rsidRPr="00CC3F51">
              <w:t>England</w:t>
            </w:r>
            <w:r w:rsidR="00CC3F51">
              <w:rPr>
                <w:rStyle w:val="FootnoteReference"/>
              </w:rPr>
              <w:footnoteReference w:id="7"/>
            </w:r>
          </w:p>
        </w:tc>
        <w:tc>
          <w:tcPr>
            <w:tcW w:w="2125" w:type="dxa"/>
            <w:gridSpan w:val="2"/>
            <w:tcBorders>
              <w:left w:val="single" w:sz="4" w:space="0" w:color="auto"/>
              <w:bottom w:val="single" w:sz="4" w:space="0" w:color="auto"/>
              <w:right w:val="single" w:sz="4" w:space="0" w:color="auto"/>
            </w:tcBorders>
            <w:shd w:val="clear" w:color="auto" w:fill="auto"/>
            <w:vAlign w:val="center"/>
            <w:hideMark/>
          </w:tcPr>
          <w:p w:rsidR="003A0D0C" w:rsidRPr="00CC3F51" w:rsidRDefault="003A0D0C" w:rsidP="00CC3F51">
            <w:pPr>
              <w:pStyle w:val="Heading4"/>
            </w:pPr>
            <w:r w:rsidRPr="00CC3F51">
              <w:t>Lowest Trust</w:t>
            </w:r>
          </w:p>
        </w:tc>
        <w:tc>
          <w:tcPr>
            <w:tcW w:w="2269" w:type="dxa"/>
            <w:gridSpan w:val="2"/>
            <w:tcBorders>
              <w:left w:val="single" w:sz="4" w:space="0" w:color="auto"/>
              <w:bottom w:val="single" w:sz="4" w:space="0" w:color="auto"/>
            </w:tcBorders>
            <w:shd w:val="clear" w:color="auto" w:fill="auto"/>
            <w:vAlign w:val="center"/>
            <w:hideMark/>
          </w:tcPr>
          <w:p w:rsidR="003A0D0C" w:rsidRPr="00CC3F51" w:rsidRDefault="003A0D0C" w:rsidP="00CC3F51">
            <w:pPr>
              <w:pStyle w:val="Heading4"/>
            </w:pPr>
            <w:r w:rsidRPr="00CC3F51">
              <w:t>Highest Trust</w:t>
            </w:r>
          </w:p>
        </w:tc>
      </w:tr>
      <w:tr w:rsidR="0037489E" w:rsidRPr="00523140" w:rsidTr="00223080">
        <w:trPr>
          <w:cantSplit/>
          <w:trHeight w:val="680"/>
        </w:trPr>
        <w:tc>
          <w:tcPr>
            <w:tcW w:w="3600" w:type="dxa"/>
            <w:tcBorders>
              <w:top w:val="single" w:sz="4" w:space="0" w:color="auto"/>
              <w:right w:val="single" w:sz="4" w:space="0" w:color="auto"/>
            </w:tcBorders>
            <w:shd w:val="clear" w:color="000000" w:fill="FFFFFF"/>
            <w:vAlign w:val="center"/>
            <w:hideMark/>
          </w:tcPr>
          <w:p w:rsidR="0032599C" w:rsidRPr="006354D2" w:rsidRDefault="0032599C" w:rsidP="009E4593">
            <w:pPr>
              <w:pStyle w:val="NoSpacing"/>
            </w:pPr>
            <w:r w:rsidRPr="006354D2">
              <w:t>Calls abandoned before being answered</w:t>
            </w:r>
          </w:p>
        </w:tc>
        <w:tc>
          <w:tcPr>
            <w:tcW w:w="1277" w:type="dxa"/>
            <w:tcBorders>
              <w:top w:val="single" w:sz="4" w:space="0" w:color="auto"/>
              <w:left w:val="single" w:sz="4" w:space="0" w:color="auto"/>
              <w:right w:val="single" w:sz="4" w:space="0" w:color="auto"/>
            </w:tcBorders>
            <w:shd w:val="clear" w:color="000000" w:fill="FFFFFF"/>
            <w:vAlign w:val="center"/>
            <w:hideMark/>
          </w:tcPr>
          <w:p w:rsidR="0032599C" w:rsidRPr="00523140" w:rsidRDefault="00523140" w:rsidP="00C62D2F">
            <w:pPr>
              <w:pStyle w:val="NoSpacing"/>
              <w:jc w:val="right"/>
              <w:rPr>
                <w:sz w:val="22"/>
                <w:szCs w:val="22"/>
                <w:highlight w:val="cyan"/>
              </w:rPr>
            </w:pPr>
            <w:r w:rsidRPr="002557A0">
              <w:rPr>
                <w:szCs w:val="22"/>
              </w:rPr>
              <w:t>2.1</w:t>
            </w:r>
            <w:r w:rsidR="00AE7B02" w:rsidRPr="002557A0">
              <w:rPr>
                <w:szCs w:val="22"/>
              </w:rPr>
              <w:t>%</w:t>
            </w:r>
          </w:p>
        </w:tc>
        <w:tc>
          <w:tcPr>
            <w:tcW w:w="1134" w:type="dxa"/>
            <w:tcBorders>
              <w:top w:val="single" w:sz="4" w:space="0" w:color="auto"/>
              <w:left w:val="single" w:sz="4" w:space="0" w:color="auto"/>
            </w:tcBorders>
            <w:shd w:val="clear" w:color="000000" w:fill="FFFFFF"/>
            <w:vAlign w:val="center"/>
            <w:hideMark/>
          </w:tcPr>
          <w:p w:rsidR="0032599C" w:rsidRPr="00523140" w:rsidRDefault="00405528" w:rsidP="00003FCB">
            <w:pPr>
              <w:pStyle w:val="NoSpacing"/>
              <w:jc w:val="right"/>
              <w:rPr>
                <w:highlight w:val="cyan"/>
              </w:rPr>
            </w:pPr>
            <w:r w:rsidRPr="002557A0">
              <w:t>SC</w:t>
            </w:r>
            <w:r w:rsidR="00A5491C" w:rsidRPr="002557A0">
              <w:t>AS</w:t>
            </w:r>
          </w:p>
        </w:tc>
        <w:tc>
          <w:tcPr>
            <w:tcW w:w="991" w:type="dxa"/>
            <w:tcBorders>
              <w:top w:val="single" w:sz="4" w:space="0" w:color="auto"/>
              <w:right w:val="single" w:sz="4" w:space="0" w:color="auto"/>
            </w:tcBorders>
            <w:shd w:val="clear" w:color="000000" w:fill="FFFFFF"/>
            <w:vAlign w:val="center"/>
          </w:tcPr>
          <w:p w:rsidR="0032599C" w:rsidRPr="00523140" w:rsidRDefault="0032599C" w:rsidP="008C250F">
            <w:pPr>
              <w:pStyle w:val="NoSpacing"/>
              <w:jc w:val="right"/>
              <w:rPr>
                <w:sz w:val="22"/>
                <w:szCs w:val="22"/>
                <w:highlight w:val="cyan"/>
              </w:rPr>
            </w:pPr>
            <w:r w:rsidRPr="002557A0">
              <w:rPr>
                <w:szCs w:val="22"/>
              </w:rPr>
              <w:t>0.</w:t>
            </w:r>
            <w:r w:rsidR="00405528" w:rsidRPr="002557A0">
              <w:rPr>
                <w:szCs w:val="22"/>
              </w:rPr>
              <w:t>5</w:t>
            </w:r>
            <w:r w:rsidRPr="002557A0">
              <w:rPr>
                <w:szCs w:val="22"/>
              </w:rPr>
              <w:t>%</w:t>
            </w:r>
          </w:p>
        </w:tc>
        <w:tc>
          <w:tcPr>
            <w:tcW w:w="1277" w:type="dxa"/>
            <w:tcBorders>
              <w:top w:val="single" w:sz="4" w:space="0" w:color="auto"/>
              <w:left w:val="single" w:sz="4" w:space="0" w:color="auto"/>
            </w:tcBorders>
            <w:shd w:val="clear" w:color="000000" w:fill="FFFFFF"/>
            <w:vAlign w:val="center"/>
            <w:hideMark/>
          </w:tcPr>
          <w:p w:rsidR="0032599C" w:rsidRPr="00523140" w:rsidRDefault="00C62D2F" w:rsidP="00003FCB">
            <w:pPr>
              <w:pStyle w:val="NoSpacing"/>
              <w:jc w:val="right"/>
              <w:rPr>
                <w:highlight w:val="cyan"/>
              </w:rPr>
            </w:pPr>
            <w:r w:rsidRPr="002557A0">
              <w:t>SECAmb</w:t>
            </w:r>
          </w:p>
        </w:tc>
        <w:tc>
          <w:tcPr>
            <w:tcW w:w="992" w:type="dxa"/>
            <w:tcBorders>
              <w:top w:val="single" w:sz="4" w:space="0" w:color="auto"/>
            </w:tcBorders>
            <w:shd w:val="clear" w:color="000000" w:fill="FFFFFF"/>
            <w:vAlign w:val="center"/>
          </w:tcPr>
          <w:p w:rsidR="0032599C" w:rsidRPr="00523140" w:rsidRDefault="00405528" w:rsidP="00C62D2F">
            <w:pPr>
              <w:pStyle w:val="NoSpacing"/>
              <w:jc w:val="right"/>
              <w:rPr>
                <w:sz w:val="22"/>
                <w:szCs w:val="22"/>
                <w:highlight w:val="cyan"/>
              </w:rPr>
            </w:pPr>
            <w:r w:rsidRPr="002557A0">
              <w:rPr>
                <w:szCs w:val="22"/>
              </w:rPr>
              <w:t>5.0</w:t>
            </w:r>
            <w:r w:rsidR="007D2560" w:rsidRPr="002557A0">
              <w:rPr>
                <w:szCs w:val="22"/>
              </w:rPr>
              <w:t>%</w:t>
            </w:r>
          </w:p>
        </w:tc>
      </w:tr>
      <w:tr w:rsidR="0037489E" w:rsidRPr="006354D2" w:rsidTr="00223080">
        <w:trPr>
          <w:cantSplit/>
          <w:trHeight w:val="680"/>
        </w:trPr>
        <w:tc>
          <w:tcPr>
            <w:tcW w:w="3600" w:type="dxa"/>
            <w:tcBorders>
              <w:right w:val="single" w:sz="4" w:space="0" w:color="auto"/>
            </w:tcBorders>
            <w:shd w:val="clear" w:color="000000" w:fill="FFFFFF"/>
            <w:vAlign w:val="center"/>
            <w:hideMark/>
          </w:tcPr>
          <w:p w:rsidR="0032599C" w:rsidRPr="006354D2" w:rsidRDefault="0032599C" w:rsidP="009E4593">
            <w:pPr>
              <w:pStyle w:val="NoSpacing"/>
            </w:pPr>
            <w:r w:rsidRPr="006354D2">
              <w:t>Calls resolved through telephone assessment</w:t>
            </w:r>
          </w:p>
        </w:tc>
        <w:tc>
          <w:tcPr>
            <w:tcW w:w="1277" w:type="dxa"/>
            <w:tcBorders>
              <w:left w:val="single" w:sz="4" w:space="0" w:color="auto"/>
              <w:right w:val="single" w:sz="4" w:space="0" w:color="auto"/>
            </w:tcBorders>
            <w:shd w:val="clear" w:color="000000" w:fill="FFFFFF"/>
            <w:vAlign w:val="center"/>
            <w:hideMark/>
          </w:tcPr>
          <w:p w:rsidR="0032599C" w:rsidRPr="00523140" w:rsidRDefault="00BF3822" w:rsidP="00E628A7">
            <w:pPr>
              <w:pStyle w:val="NoSpacing"/>
              <w:jc w:val="right"/>
              <w:rPr>
                <w:rFonts w:cs="Arial"/>
                <w:highlight w:val="cyan"/>
              </w:rPr>
            </w:pPr>
            <w:r w:rsidRPr="002557A0">
              <w:rPr>
                <w:rFonts w:cs="Arial"/>
              </w:rPr>
              <w:t>10.5</w:t>
            </w:r>
            <w:r w:rsidR="001F27E7" w:rsidRPr="002557A0">
              <w:rPr>
                <w:rFonts w:cs="Arial"/>
              </w:rPr>
              <w:t>%</w:t>
            </w:r>
          </w:p>
        </w:tc>
        <w:tc>
          <w:tcPr>
            <w:tcW w:w="1134" w:type="dxa"/>
            <w:tcBorders>
              <w:left w:val="single" w:sz="4" w:space="0" w:color="auto"/>
            </w:tcBorders>
            <w:shd w:val="clear" w:color="000000" w:fill="FFFFFF"/>
            <w:vAlign w:val="center"/>
            <w:hideMark/>
          </w:tcPr>
          <w:p w:rsidR="0032599C" w:rsidRPr="00523140" w:rsidRDefault="00523140" w:rsidP="00003FCB">
            <w:pPr>
              <w:pStyle w:val="NoSpacing"/>
              <w:jc w:val="right"/>
              <w:rPr>
                <w:highlight w:val="cyan"/>
              </w:rPr>
            </w:pPr>
            <w:r w:rsidRPr="002557A0">
              <w:t>SECAmb</w:t>
            </w:r>
          </w:p>
        </w:tc>
        <w:tc>
          <w:tcPr>
            <w:tcW w:w="991" w:type="dxa"/>
            <w:tcBorders>
              <w:right w:val="single" w:sz="4" w:space="0" w:color="auto"/>
            </w:tcBorders>
            <w:shd w:val="clear" w:color="000000" w:fill="FFFFFF"/>
            <w:vAlign w:val="center"/>
          </w:tcPr>
          <w:p w:rsidR="0032599C" w:rsidRPr="00523140" w:rsidRDefault="00405528" w:rsidP="00A5491C">
            <w:pPr>
              <w:pStyle w:val="NoSpacing"/>
              <w:jc w:val="right"/>
              <w:rPr>
                <w:sz w:val="22"/>
                <w:szCs w:val="22"/>
                <w:highlight w:val="cyan"/>
              </w:rPr>
            </w:pPr>
            <w:r w:rsidRPr="002557A0">
              <w:rPr>
                <w:szCs w:val="22"/>
              </w:rPr>
              <w:t>5.2</w:t>
            </w:r>
            <w:r w:rsidR="00E02284" w:rsidRPr="002557A0">
              <w:rPr>
                <w:szCs w:val="22"/>
              </w:rPr>
              <w:t>%</w:t>
            </w:r>
          </w:p>
        </w:tc>
        <w:tc>
          <w:tcPr>
            <w:tcW w:w="1277" w:type="dxa"/>
            <w:tcBorders>
              <w:left w:val="single" w:sz="4" w:space="0" w:color="auto"/>
            </w:tcBorders>
            <w:shd w:val="clear" w:color="000000" w:fill="FFFFFF"/>
            <w:vAlign w:val="center"/>
            <w:hideMark/>
          </w:tcPr>
          <w:p w:rsidR="0032599C" w:rsidRPr="00523140" w:rsidRDefault="00523140" w:rsidP="00405528">
            <w:pPr>
              <w:pStyle w:val="NoSpacing"/>
              <w:jc w:val="right"/>
              <w:rPr>
                <w:highlight w:val="cyan"/>
              </w:rPr>
            </w:pPr>
            <w:r w:rsidRPr="002557A0">
              <w:t>S</w:t>
            </w:r>
            <w:r w:rsidR="00405528" w:rsidRPr="002557A0">
              <w:t>W</w:t>
            </w:r>
            <w:r w:rsidR="00AD2938" w:rsidRPr="002557A0">
              <w:t>AS</w:t>
            </w:r>
          </w:p>
        </w:tc>
        <w:tc>
          <w:tcPr>
            <w:tcW w:w="992" w:type="dxa"/>
            <w:shd w:val="clear" w:color="000000" w:fill="FFFFFF"/>
            <w:vAlign w:val="center"/>
          </w:tcPr>
          <w:p w:rsidR="0032599C" w:rsidRPr="00523140" w:rsidRDefault="00405528" w:rsidP="00A5491C">
            <w:pPr>
              <w:pStyle w:val="NoSpacing"/>
              <w:jc w:val="right"/>
              <w:rPr>
                <w:sz w:val="22"/>
                <w:szCs w:val="22"/>
                <w:highlight w:val="cyan"/>
              </w:rPr>
            </w:pPr>
            <w:r w:rsidRPr="002557A0">
              <w:rPr>
                <w:szCs w:val="22"/>
              </w:rPr>
              <w:t>13.0</w:t>
            </w:r>
            <w:r w:rsidR="0037489E" w:rsidRPr="002557A0">
              <w:rPr>
                <w:szCs w:val="22"/>
              </w:rPr>
              <w:t>%</w:t>
            </w:r>
          </w:p>
        </w:tc>
      </w:tr>
      <w:tr w:rsidR="0037489E" w:rsidRPr="00433BFD" w:rsidTr="00223080">
        <w:trPr>
          <w:cantSplit/>
          <w:trHeight w:val="680"/>
        </w:trPr>
        <w:tc>
          <w:tcPr>
            <w:tcW w:w="3600" w:type="dxa"/>
            <w:tcBorders>
              <w:right w:val="single" w:sz="4" w:space="0" w:color="auto"/>
            </w:tcBorders>
            <w:shd w:val="clear" w:color="000000" w:fill="FFFFFF"/>
            <w:vAlign w:val="center"/>
            <w:hideMark/>
          </w:tcPr>
          <w:p w:rsidR="0032599C" w:rsidRPr="006354D2" w:rsidRDefault="0032599C" w:rsidP="00AB70A4">
            <w:pPr>
              <w:pStyle w:val="NoSpacing"/>
              <w:rPr>
                <w:vertAlign w:val="superscript"/>
              </w:rPr>
            </w:pPr>
            <w:r w:rsidRPr="006354D2">
              <w:t>Calls resolved without transport to Type 1 or Type 2 A&amp;E</w:t>
            </w:r>
          </w:p>
        </w:tc>
        <w:tc>
          <w:tcPr>
            <w:tcW w:w="1277" w:type="dxa"/>
            <w:tcBorders>
              <w:left w:val="single" w:sz="4" w:space="0" w:color="auto"/>
              <w:right w:val="single" w:sz="4" w:space="0" w:color="auto"/>
            </w:tcBorders>
            <w:shd w:val="clear" w:color="000000" w:fill="FFFFFF"/>
            <w:vAlign w:val="center"/>
            <w:hideMark/>
          </w:tcPr>
          <w:p w:rsidR="0032599C" w:rsidRPr="0047570F" w:rsidRDefault="00BF3822" w:rsidP="00A5491C">
            <w:pPr>
              <w:pStyle w:val="NoSpacing"/>
              <w:jc w:val="right"/>
              <w:rPr>
                <w:sz w:val="22"/>
                <w:szCs w:val="22"/>
                <w:highlight w:val="cyan"/>
              </w:rPr>
            </w:pPr>
            <w:r w:rsidRPr="002557A0">
              <w:rPr>
                <w:szCs w:val="22"/>
              </w:rPr>
              <w:t>36.8</w:t>
            </w:r>
            <w:r w:rsidR="0032599C" w:rsidRPr="002557A0">
              <w:rPr>
                <w:szCs w:val="22"/>
              </w:rPr>
              <w:t>%</w:t>
            </w:r>
          </w:p>
        </w:tc>
        <w:tc>
          <w:tcPr>
            <w:tcW w:w="1134" w:type="dxa"/>
            <w:tcBorders>
              <w:left w:val="single" w:sz="4" w:space="0" w:color="auto"/>
            </w:tcBorders>
            <w:shd w:val="clear" w:color="000000" w:fill="FFFFFF"/>
            <w:vAlign w:val="center"/>
            <w:hideMark/>
          </w:tcPr>
          <w:p w:rsidR="0032599C" w:rsidRPr="0047570F" w:rsidRDefault="006E5731" w:rsidP="00003FCB">
            <w:pPr>
              <w:pStyle w:val="NoSpacing"/>
              <w:jc w:val="right"/>
              <w:rPr>
                <w:highlight w:val="cyan"/>
              </w:rPr>
            </w:pPr>
            <w:r w:rsidRPr="002557A0">
              <w:t>EMAS</w:t>
            </w:r>
          </w:p>
        </w:tc>
        <w:tc>
          <w:tcPr>
            <w:tcW w:w="991" w:type="dxa"/>
            <w:tcBorders>
              <w:right w:val="single" w:sz="4" w:space="0" w:color="auto"/>
            </w:tcBorders>
            <w:shd w:val="clear" w:color="000000" w:fill="FFFFFF"/>
            <w:vAlign w:val="center"/>
          </w:tcPr>
          <w:p w:rsidR="0032599C" w:rsidRPr="0047570F" w:rsidRDefault="006E5731" w:rsidP="00722CCE">
            <w:pPr>
              <w:pStyle w:val="NoSpacing"/>
              <w:jc w:val="right"/>
              <w:rPr>
                <w:sz w:val="22"/>
                <w:szCs w:val="22"/>
                <w:highlight w:val="cyan"/>
              </w:rPr>
            </w:pPr>
            <w:r w:rsidRPr="002557A0">
              <w:rPr>
                <w:szCs w:val="22"/>
              </w:rPr>
              <w:t>20.3</w:t>
            </w:r>
            <w:r w:rsidR="0037489E" w:rsidRPr="002557A0">
              <w:rPr>
                <w:szCs w:val="22"/>
              </w:rPr>
              <w:t>%</w:t>
            </w:r>
          </w:p>
        </w:tc>
        <w:tc>
          <w:tcPr>
            <w:tcW w:w="1277" w:type="dxa"/>
            <w:tcBorders>
              <w:left w:val="single" w:sz="4" w:space="0" w:color="auto"/>
            </w:tcBorders>
            <w:shd w:val="clear" w:color="000000" w:fill="FFFFFF"/>
            <w:vAlign w:val="center"/>
            <w:hideMark/>
          </w:tcPr>
          <w:p w:rsidR="00330CA6" w:rsidRPr="0047570F" w:rsidRDefault="006E5731" w:rsidP="00523140">
            <w:pPr>
              <w:pStyle w:val="NoSpacing"/>
              <w:jc w:val="right"/>
              <w:rPr>
                <w:szCs w:val="22"/>
                <w:highlight w:val="cyan"/>
              </w:rPr>
            </w:pPr>
            <w:r w:rsidRPr="002557A0">
              <w:rPr>
                <w:szCs w:val="22"/>
              </w:rPr>
              <w:t>SWAS</w:t>
            </w:r>
          </w:p>
        </w:tc>
        <w:tc>
          <w:tcPr>
            <w:tcW w:w="992" w:type="dxa"/>
            <w:shd w:val="clear" w:color="000000" w:fill="FFFFFF"/>
            <w:vAlign w:val="center"/>
          </w:tcPr>
          <w:p w:rsidR="0032599C" w:rsidRPr="0047570F" w:rsidRDefault="006E5731" w:rsidP="00722CCE">
            <w:pPr>
              <w:pStyle w:val="NoSpacing"/>
              <w:jc w:val="right"/>
              <w:rPr>
                <w:szCs w:val="22"/>
                <w:highlight w:val="cyan"/>
              </w:rPr>
            </w:pPr>
            <w:r w:rsidRPr="002557A0">
              <w:rPr>
                <w:szCs w:val="22"/>
              </w:rPr>
              <w:t>48.9</w:t>
            </w:r>
            <w:r w:rsidR="0037489E" w:rsidRPr="002557A0">
              <w:rPr>
                <w:szCs w:val="22"/>
              </w:rPr>
              <w:t>%</w:t>
            </w:r>
          </w:p>
        </w:tc>
      </w:tr>
      <w:tr w:rsidR="0037489E" w:rsidRPr="0047570F" w:rsidTr="00223080">
        <w:trPr>
          <w:cantSplit/>
          <w:trHeight w:val="680"/>
        </w:trPr>
        <w:tc>
          <w:tcPr>
            <w:tcW w:w="3600" w:type="dxa"/>
            <w:tcBorders>
              <w:right w:val="single" w:sz="4" w:space="0" w:color="auto"/>
            </w:tcBorders>
            <w:shd w:val="clear" w:color="000000" w:fill="FFFFFF"/>
            <w:vAlign w:val="center"/>
            <w:hideMark/>
          </w:tcPr>
          <w:p w:rsidR="0032599C" w:rsidRPr="006354D2" w:rsidRDefault="0032599C" w:rsidP="009E4593">
            <w:pPr>
              <w:pStyle w:val="NoSpacing"/>
            </w:pPr>
            <w:bookmarkStart w:id="1" w:name="RANGE!A22"/>
            <w:r w:rsidRPr="006354D2">
              <w:t>Recontact rate following discharge by telephone advice</w:t>
            </w:r>
            <w:bookmarkEnd w:id="1"/>
          </w:p>
        </w:tc>
        <w:tc>
          <w:tcPr>
            <w:tcW w:w="1277" w:type="dxa"/>
            <w:tcBorders>
              <w:left w:val="single" w:sz="4" w:space="0" w:color="auto"/>
              <w:right w:val="single" w:sz="4" w:space="0" w:color="auto"/>
            </w:tcBorders>
            <w:shd w:val="clear" w:color="000000" w:fill="FFFFFF"/>
            <w:vAlign w:val="center"/>
            <w:hideMark/>
          </w:tcPr>
          <w:p w:rsidR="0032599C" w:rsidRPr="0047570F" w:rsidRDefault="00BF3822" w:rsidP="00722CCE">
            <w:pPr>
              <w:pStyle w:val="NoSpacing"/>
              <w:jc w:val="right"/>
              <w:rPr>
                <w:sz w:val="22"/>
                <w:szCs w:val="22"/>
                <w:highlight w:val="cyan"/>
              </w:rPr>
            </w:pPr>
            <w:r w:rsidRPr="002557A0">
              <w:rPr>
                <w:szCs w:val="22"/>
              </w:rPr>
              <w:t>7.8</w:t>
            </w:r>
            <w:r w:rsidR="001F27E7" w:rsidRPr="002557A0">
              <w:rPr>
                <w:szCs w:val="22"/>
              </w:rPr>
              <w:t>%</w:t>
            </w:r>
          </w:p>
        </w:tc>
        <w:tc>
          <w:tcPr>
            <w:tcW w:w="1134" w:type="dxa"/>
            <w:tcBorders>
              <w:left w:val="single" w:sz="4" w:space="0" w:color="auto"/>
            </w:tcBorders>
            <w:shd w:val="clear" w:color="000000" w:fill="FFFFFF"/>
            <w:vAlign w:val="center"/>
            <w:hideMark/>
          </w:tcPr>
          <w:p w:rsidR="0032599C" w:rsidRPr="0047570F" w:rsidRDefault="0047570F" w:rsidP="00003FCB">
            <w:pPr>
              <w:pStyle w:val="NoSpacing"/>
              <w:jc w:val="right"/>
              <w:rPr>
                <w:highlight w:val="cyan"/>
              </w:rPr>
            </w:pPr>
            <w:r w:rsidRPr="002557A0">
              <w:t>L</w:t>
            </w:r>
            <w:r w:rsidR="00F97208" w:rsidRPr="002557A0">
              <w:t>AS</w:t>
            </w:r>
          </w:p>
        </w:tc>
        <w:tc>
          <w:tcPr>
            <w:tcW w:w="991" w:type="dxa"/>
            <w:tcBorders>
              <w:right w:val="single" w:sz="4" w:space="0" w:color="auto"/>
            </w:tcBorders>
            <w:shd w:val="clear" w:color="000000" w:fill="FFFFFF"/>
            <w:vAlign w:val="center"/>
          </w:tcPr>
          <w:p w:rsidR="0032599C" w:rsidRPr="0047570F" w:rsidRDefault="00405528" w:rsidP="00722CCE">
            <w:pPr>
              <w:pStyle w:val="NoSpacing"/>
              <w:jc w:val="right"/>
              <w:rPr>
                <w:sz w:val="22"/>
                <w:szCs w:val="22"/>
                <w:highlight w:val="cyan"/>
              </w:rPr>
            </w:pPr>
            <w:r w:rsidRPr="002557A0">
              <w:rPr>
                <w:szCs w:val="22"/>
              </w:rPr>
              <w:t>3.5</w:t>
            </w:r>
            <w:r w:rsidR="002D0D09" w:rsidRPr="002557A0">
              <w:rPr>
                <w:szCs w:val="22"/>
              </w:rPr>
              <w:t>%</w:t>
            </w:r>
          </w:p>
        </w:tc>
        <w:tc>
          <w:tcPr>
            <w:tcW w:w="1277" w:type="dxa"/>
            <w:tcBorders>
              <w:left w:val="single" w:sz="4" w:space="0" w:color="auto"/>
            </w:tcBorders>
            <w:shd w:val="clear" w:color="000000" w:fill="FFFFFF"/>
            <w:vAlign w:val="center"/>
            <w:hideMark/>
          </w:tcPr>
          <w:p w:rsidR="0032599C" w:rsidRPr="0047570F" w:rsidRDefault="0047570F" w:rsidP="00003FCB">
            <w:pPr>
              <w:pStyle w:val="NoSpacing"/>
              <w:jc w:val="right"/>
              <w:rPr>
                <w:sz w:val="22"/>
                <w:szCs w:val="22"/>
                <w:highlight w:val="cyan"/>
              </w:rPr>
            </w:pPr>
            <w:r w:rsidRPr="002557A0">
              <w:rPr>
                <w:szCs w:val="22"/>
              </w:rPr>
              <w:t>S</w:t>
            </w:r>
            <w:r w:rsidR="00405528" w:rsidRPr="002557A0">
              <w:rPr>
                <w:szCs w:val="22"/>
              </w:rPr>
              <w:t>ECAmb</w:t>
            </w:r>
          </w:p>
        </w:tc>
        <w:tc>
          <w:tcPr>
            <w:tcW w:w="992" w:type="dxa"/>
            <w:shd w:val="clear" w:color="000000" w:fill="FFFFFF"/>
            <w:vAlign w:val="center"/>
          </w:tcPr>
          <w:p w:rsidR="0032599C" w:rsidRPr="0047570F" w:rsidRDefault="00405528" w:rsidP="00722CCE">
            <w:pPr>
              <w:pStyle w:val="NoSpacing"/>
              <w:jc w:val="right"/>
              <w:rPr>
                <w:sz w:val="22"/>
                <w:szCs w:val="22"/>
                <w:highlight w:val="cyan"/>
              </w:rPr>
            </w:pPr>
            <w:r w:rsidRPr="002557A0">
              <w:rPr>
                <w:szCs w:val="22"/>
              </w:rPr>
              <w:t>13.3</w:t>
            </w:r>
            <w:r w:rsidR="0037489E" w:rsidRPr="002557A0">
              <w:rPr>
                <w:szCs w:val="22"/>
              </w:rPr>
              <w:t>%</w:t>
            </w:r>
          </w:p>
        </w:tc>
      </w:tr>
      <w:tr w:rsidR="0037489E" w:rsidRPr="0047570F" w:rsidTr="00223080">
        <w:trPr>
          <w:cantSplit/>
          <w:trHeight w:val="680"/>
        </w:trPr>
        <w:tc>
          <w:tcPr>
            <w:tcW w:w="3600" w:type="dxa"/>
            <w:tcBorders>
              <w:right w:val="single" w:sz="4" w:space="0" w:color="auto"/>
            </w:tcBorders>
            <w:shd w:val="clear" w:color="000000" w:fill="FFFFFF"/>
            <w:vAlign w:val="center"/>
            <w:hideMark/>
          </w:tcPr>
          <w:p w:rsidR="0032599C" w:rsidRPr="006354D2" w:rsidRDefault="0032599C" w:rsidP="00B376CF">
            <w:pPr>
              <w:pStyle w:val="NoSpacing"/>
            </w:pPr>
            <w:r w:rsidRPr="006354D2">
              <w:t>Recontact rate following face-to-face treatment at scene</w:t>
            </w:r>
          </w:p>
        </w:tc>
        <w:tc>
          <w:tcPr>
            <w:tcW w:w="1277" w:type="dxa"/>
            <w:tcBorders>
              <w:left w:val="single" w:sz="4" w:space="0" w:color="auto"/>
              <w:right w:val="single" w:sz="4" w:space="0" w:color="auto"/>
            </w:tcBorders>
            <w:shd w:val="clear" w:color="000000" w:fill="FFFFFF"/>
            <w:vAlign w:val="center"/>
            <w:hideMark/>
          </w:tcPr>
          <w:p w:rsidR="0032599C" w:rsidRPr="0047570F" w:rsidRDefault="00BF3822" w:rsidP="00722CCE">
            <w:pPr>
              <w:pStyle w:val="NoSpacing"/>
              <w:jc w:val="right"/>
              <w:rPr>
                <w:sz w:val="22"/>
                <w:szCs w:val="22"/>
                <w:highlight w:val="cyan"/>
              </w:rPr>
            </w:pPr>
            <w:r w:rsidRPr="002557A0">
              <w:rPr>
                <w:szCs w:val="22"/>
              </w:rPr>
              <w:t>6.6</w:t>
            </w:r>
            <w:r w:rsidR="0032599C" w:rsidRPr="002557A0">
              <w:rPr>
                <w:szCs w:val="22"/>
              </w:rPr>
              <w:t>%</w:t>
            </w:r>
          </w:p>
        </w:tc>
        <w:tc>
          <w:tcPr>
            <w:tcW w:w="1134" w:type="dxa"/>
            <w:tcBorders>
              <w:left w:val="single" w:sz="4" w:space="0" w:color="auto"/>
            </w:tcBorders>
            <w:shd w:val="clear" w:color="000000" w:fill="FFFFFF"/>
            <w:vAlign w:val="center"/>
            <w:hideMark/>
          </w:tcPr>
          <w:p w:rsidR="0032599C" w:rsidRPr="0047570F" w:rsidRDefault="00405528" w:rsidP="00003FCB">
            <w:pPr>
              <w:pStyle w:val="NoSpacing"/>
              <w:jc w:val="right"/>
              <w:rPr>
                <w:highlight w:val="cyan"/>
              </w:rPr>
            </w:pPr>
            <w:r w:rsidRPr="002557A0">
              <w:t>SWAS</w:t>
            </w:r>
          </w:p>
        </w:tc>
        <w:tc>
          <w:tcPr>
            <w:tcW w:w="991" w:type="dxa"/>
            <w:tcBorders>
              <w:right w:val="single" w:sz="4" w:space="0" w:color="auto"/>
            </w:tcBorders>
            <w:shd w:val="clear" w:color="000000" w:fill="FFFFFF"/>
            <w:vAlign w:val="center"/>
          </w:tcPr>
          <w:p w:rsidR="0032599C" w:rsidRPr="0047570F" w:rsidRDefault="0047570F" w:rsidP="00722CCE">
            <w:pPr>
              <w:pStyle w:val="NoSpacing"/>
              <w:jc w:val="right"/>
              <w:rPr>
                <w:sz w:val="22"/>
                <w:szCs w:val="22"/>
                <w:highlight w:val="cyan"/>
              </w:rPr>
            </w:pPr>
            <w:r w:rsidRPr="002557A0">
              <w:rPr>
                <w:szCs w:val="22"/>
              </w:rPr>
              <w:t>4</w:t>
            </w:r>
            <w:r w:rsidR="005F7778" w:rsidRPr="002557A0">
              <w:rPr>
                <w:szCs w:val="22"/>
              </w:rPr>
              <w:t>.</w:t>
            </w:r>
            <w:r w:rsidR="00405528" w:rsidRPr="002557A0">
              <w:rPr>
                <w:szCs w:val="22"/>
              </w:rPr>
              <w:t>7</w:t>
            </w:r>
            <w:r w:rsidR="0032599C" w:rsidRPr="002557A0">
              <w:rPr>
                <w:szCs w:val="22"/>
              </w:rPr>
              <w:t>%</w:t>
            </w:r>
          </w:p>
        </w:tc>
        <w:tc>
          <w:tcPr>
            <w:tcW w:w="1277" w:type="dxa"/>
            <w:tcBorders>
              <w:left w:val="single" w:sz="4" w:space="0" w:color="auto"/>
            </w:tcBorders>
            <w:shd w:val="clear" w:color="000000" w:fill="FFFFFF"/>
            <w:vAlign w:val="center"/>
            <w:hideMark/>
          </w:tcPr>
          <w:p w:rsidR="0032599C" w:rsidRPr="0047570F" w:rsidRDefault="00405528" w:rsidP="00003FCB">
            <w:pPr>
              <w:pStyle w:val="NoSpacing"/>
              <w:jc w:val="right"/>
              <w:rPr>
                <w:sz w:val="22"/>
                <w:szCs w:val="22"/>
                <w:highlight w:val="cyan"/>
              </w:rPr>
            </w:pPr>
            <w:r w:rsidRPr="002557A0">
              <w:rPr>
                <w:szCs w:val="22"/>
              </w:rPr>
              <w:t>LAS</w:t>
            </w:r>
          </w:p>
        </w:tc>
        <w:tc>
          <w:tcPr>
            <w:tcW w:w="992" w:type="dxa"/>
            <w:shd w:val="clear" w:color="000000" w:fill="FFFFFF"/>
            <w:vAlign w:val="center"/>
          </w:tcPr>
          <w:p w:rsidR="0032599C" w:rsidRPr="0047570F" w:rsidRDefault="00405528" w:rsidP="00104D7F">
            <w:pPr>
              <w:pStyle w:val="NoSpacing"/>
              <w:jc w:val="right"/>
              <w:rPr>
                <w:sz w:val="22"/>
                <w:szCs w:val="22"/>
                <w:highlight w:val="cyan"/>
              </w:rPr>
            </w:pPr>
            <w:r w:rsidRPr="002557A0">
              <w:rPr>
                <w:szCs w:val="22"/>
              </w:rPr>
              <w:t>9.0</w:t>
            </w:r>
            <w:r w:rsidR="00D6205D" w:rsidRPr="002557A0">
              <w:rPr>
                <w:szCs w:val="22"/>
              </w:rPr>
              <w:t>%</w:t>
            </w:r>
          </w:p>
        </w:tc>
      </w:tr>
      <w:tr w:rsidR="0037489E" w:rsidRPr="0047570F" w:rsidTr="00223080">
        <w:trPr>
          <w:cantSplit/>
          <w:trHeight w:val="680"/>
        </w:trPr>
        <w:tc>
          <w:tcPr>
            <w:tcW w:w="3600" w:type="dxa"/>
            <w:tcBorders>
              <w:bottom w:val="single" w:sz="4" w:space="0" w:color="auto"/>
              <w:right w:val="single" w:sz="4" w:space="0" w:color="auto"/>
            </w:tcBorders>
            <w:shd w:val="clear" w:color="auto" w:fill="auto"/>
            <w:vAlign w:val="center"/>
            <w:hideMark/>
          </w:tcPr>
          <w:p w:rsidR="0032599C" w:rsidRPr="006354D2" w:rsidRDefault="008006FA" w:rsidP="00F0288C">
            <w:pPr>
              <w:pStyle w:val="NoSpacing"/>
            </w:pPr>
            <w:r w:rsidRPr="006354D2">
              <w:t xml:space="preserve">Incidents </w:t>
            </w:r>
            <w:r w:rsidR="00F0288C" w:rsidRPr="006354D2">
              <w:t>where a</w:t>
            </w:r>
            <w:r w:rsidRPr="006354D2">
              <w:t xml:space="preserve"> patient </w:t>
            </w:r>
            <w:r w:rsidR="00F0288C" w:rsidRPr="006354D2">
              <w:t>was transported</w:t>
            </w:r>
          </w:p>
        </w:tc>
        <w:tc>
          <w:tcPr>
            <w:tcW w:w="1277" w:type="dxa"/>
            <w:tcBorders>
              <w:left w:val="single" w:sz="4" w:space="0" w:color="auto"/>
              <w:bottom w:val="single" w:sz="4" w:space="0" w:color="auto"/>
              <w:right w:val="single" w:sz="4" w:space="0" w:color="auto"/>
            </w:tcBorders>
            <w:shd w:val="clear" w:color="auto" w:fill="auto"/>
            <w:vAlign w:val="center"/>
            <w:hideMark/>
          </w:tcPr>
          <w:p w:rsidR="0032599C" w:rsidRPr="0047570F" w:rsidRDefault="001577CC" w:rsidP="00B376CF">
            <w:pPr>
              <w:pStyle w:val="NoSpacing"/>
              <w:jc w:val="right"/>
              <w:rPr>
                <w:rFonts w:cs="Arial"/>
                <w:highlight w:val="cyan"/>
              </w:rPr>
            </w:pPr>
            <w:r w:rsidRPr="002557A0">
              <w:rPr>
                <w:rFonts w:cs="Arial"/>
              </w:rPr>
              <w:t>184,819</w:t>
            </w:r>
          </w:p>
        </w:tc>
        <w:tc>
          <w:tcPr>
            <w:tcW w:w="1134" w:type="dxa"/>
            <w:tcBorders>
              <w:left w:val="single" w:sz="4" w:space="0" w:color="auto"/>
              <w:bottom w:val="single" w:sz="4" w:space="0" w:color="auto"/>
            </w:tcBorders>
            <w:shd w:val="clear" w:color="auto" w:fill="auto"/>
            <w:noWrap/>
            <w:vAlign w:val="center"/>
          </w:tcPr>
          <w:p w:rsidR="0032599C" w:rsidRPr="0047570F" w:rsidRDefault="00F97208" w:rsidP="00003FCB">
            <w:pPr>
              <w:pStyle w:val="NoSpacing"/>
              <w:jc w:val="right"/>
              <w:rPr>
                <w:highlight w:val="cyan"/>
              </w:rPr>
            </w:pPr>
            <w:r w:rsidRPr="002557A0">
              <w:t>NEA</w:t>
            </w:r>
            <w:r w:rsidR="005F7778" w:rsidRPr="002557A0">
              <w:t>S</w:t>
            </w:r>
          </w:p>
        </w:tc>
        <w:tc>
          <w:tcPr>
            <w:tcW w:w="991" w:type="dxa"/>
            <w:tcBorders>
              <w:bottom w:val="single" w:sz="4" w:space="0" w:color="auto"/>
              <w:right w:val="single" w:sz="4" w:space="0" w:color="auto"/>
            </w:tcBorders>
            <w:shd w:val="clear" w:color="auto" w:fill="auto"/>
            <w:vAlign w:val="center"/>
          </w:tcPr>
          <w:p w:rsidR="00A75E1A" w:rsidRPr="0047570F" w:rsidRDefault="00104D7F" w:rsidP="0047570F">
            <w:pPr>
              <w:pStyle w:val="NoSpacing"/>
              <w:jc w:val="right"/>
              <w:rPr>
                <w:rFonts w:cs="Arial"/>
                <w:highlight w:val="cyan"/>
              </w:rPr>
            </w:pPr>
            <w:r w:rsidRPr="002557A0">
              <w:rPr>
                <w:rFonts w:cs="Arial"/>
              </w:rPr>
              <w:t>19,</w:t>
            </w:r>
            <w:r w:rsidR="00405528" w:rsidRPr="002557A0">
              <w:rPr>
                <w:rFonts w:cs="Arial"/>
              </w:rPr>
              <w:t>188</w:t>
            </w:r>
          </w:p>
        </w:tc>
        <w:tc>
          <w:tcPr>
            <w:tcW w:w="1277" w:type="dxa"/>
            <w:tcBorders>
              <w:left w:val="single" w:sz="4" w:space="0" w:color="auto"/>
              <w:bottom w:val="single" w:sz="4" w:space="0" w:color="auto"/>
            </w:tcBorders>
            <w:shd w:val="clear" w:color="auto" w:fill="auto"/>
            <w:noWrap/>
            <w:vAlign w:val="center"/>
          </w:tcPr>
          <w:p w:rsidR="0032599C" w:rsidRPr="0047570F" w:rsidRDefault="00F97208" w:rsidP="00003FCB">
            <w:pPr>
              <w:pStyle w:val="NoSpacing"/>
              <w:jc w:val="right"/>
              <w:rPr>
                <w:sz w:val="22"/>
                <w:szCs w:val="22"/>
                <w:highlight w:val="cyan"/>
              </w:rPr>
            </w:pPr>
            <w:r w:rsidRPr="002557A0">
              <w:rPr>
                <w:szCs w:val="22"/>
              </w:rPr>
              <w:t>LAS</w:t>
            </w:r>
          </w:p>
        </w:tc>
        <w:tc>
          <w:tcPr>
            <w:tcW w:w="992" w:type="dxa"/>
            <w:shd w:val="clear" w:color="auto" w:fill="auto"/>
            <w:vAlign w:val="center"/>
          </w:tcPr>
          <w:p w:rsidR="0032599C" w:rsidRPr="0047570F" w:rsidRDefault="0047570F" w:rsidP="00654C29">
            <w:pPr>
              <w:pStyle w:val="NoSpacing"/>
              <w:jc w:val="right"/>
              <w:rPr>
                <w:rFonts w:cs="Arial"/>
                <w:highlight w:val="cyan"/>
              </w:rPr>
            </w:pPr>
            <w:r w:rsidRPr="002557A0">
              <w:rPr>
                <w:rFonts w:cs="Arial"/>
              </w:rPr>
              <w:t>6</w:t>
            </w:r>
            <w:r w:rsidR="00405528" w:rsidRPr="002557A0">
              <w:rPr>
                <w:rFonts w:cs="Arial"/>
              </w:rPr>
              <w:t>9,684</w:t>
            </w:r>
          </w:p>
        </w:tc>
      </w:tr>
    </w:tbl>
    <w:p w:rsidR="003A0D0C" w:rsidRPr="00F7505F" w:rsidRDefault="003A0D0C" w:rsidP="00962B03">
      <w:pPr>
        <w:pStyle w:val="Heading2"/>
      </w:pPr>
      <w:r w:rsidRPr="00F7505F">
        <w:t>Further information on AQI</w:t>
      </w:r>
    </w:p>
    <w:p w:rsidR="003A0D0C" w:rsidRPr="00F7505F" w:rsidRDefault="003A0D0C" w:rsidP="003A0D0C">
      <w:pPr>
        <w:pStyle w:val="Heading3"/>
      </w:pPr>
      <w:r w:rsidRPr="00F7505F">
        <w:t>The AQI landing page and Quality Statement</w:t>
      </w:r>
    </w:p>
    <w:p w:rsidR="003A0D0C" w:rsidRPr="00F7505F" w:rsidRDefault="009D5004" w:rsidP="003A0D0C">
      <w:pPr>
        <w:rPr>
          <w:rFonts w:cs="Arial"/>
        </w:rPr>
      </w:pPr>
      <w:hyperlink r:id="rId16" w:history="1">
        <w:r w:rsidR="003A0D0C" w:rsidRPr="00F7505F">
          <w:rPr>
            <w:rStyle w:val="Hyperlink"/>
            <w:rFonts w:cs="Arial"/>
          </w:rPr>
          <w:t>www.england.nhs.uk/statistics/statistical-work-areas/ambulance-quality-indicators</w:t>
        </w:r>
      </w:hyperlink>
      <w:r w:rsidR="003A0D0C" w:rsidRPr="00F7505F">
        <w:rPr>
          <w:rFonts w:cs="Arial"/>
        </w:rPr>
        <w:t xml:space="preserve">, or </w:t>
      </w:r>
      <w:hyperlink r:id="rId17" w:history="1">
        <w:r w:rsidR="003A0D0C" w:rsidRPr="00F7505F">
          <w:rPr>
            <w:rStyle w:val="Hyperlink"/>
            <w:rFonts w:cs="Arial"/>
          </w:rPr>
          <w:t>http://bit.ly/NHSAQI</w:t>
        </w:r>
      </w:hyperlink>
      <w:r w:rsidR="003A0D0C" w:rsidRPr="00F7505F">
        <w:rPr>
          <w:rFonts w:cs="Arial"/>
        </w:rPr>
        <w:t xml:space="preserve">, is the </w:t>
      </w:r>
      <w:r w:rsidR="003A0D0C" w:rsidRPr="00F7505F">
        <w:t xml:space="preserve">AQI </w:t>
      </w:r>
      <w:r w:rsidR="003A0D0C" w:rsidRPr="00F7505F">
        <w:rPr>
          <w:rFonts w:cs="Arial"/>
        </w:rPr>
        <w:t>landing page, and it holds:</w:t>
      </w:r>
    </w:p>
    <w:p w:rsidR="003A0D0C" w:rsidRPr="00F7505F" w:rsidRDefault="003A0D0C" w:rsidP="003A0D0C">
      <w:pPr>
        <w:pStyle w:val="ListBullet"/>
      </w:pPr>
      <w:r w:rsidRPr="00F7505F">
        <w:t>a Quality Statement for these statistics, which includes information on relevance, accuracy, timeliness, coherence, and user engagement</w:t>
      </w:r>
      <w:r w:rsidR="00145BE4" w:rsidRPr="00F7505F">
        <w:t>;</w:t>
      </w:r>
    </w:p>
    <w:p w:rsidR="003A0D0C" w:rsidRPr="00F7505F" w:rsidRDefault="003A0D0C" w:rsidP="003A0D0C">
      <w:pPr>
        <w:pStyle w:val="ListBullet"/>
      </w:pPr>
      <w:r w:rsidRPr="00F7505F">
        <w:t xml:space="preserve">the specification guidance </w:t>
      </w:r>
      <w:r w:rsidR="00E446B4" w:rsidRPr="00F7505F">
        <w:t xml:space="preserve">document </w:t>
      </w:r>
      <w:r w:rsidRPr="00F7505F">
        <w:t>for those who supply the data;</w:t>
      </w:r>
    </w:p>
    <w:p w:rsidR="003A0D0C" w:rsidRPr="00F7505F" w:rsidRDefault="003A0D0C" w:rsidP="003A0D0C">
      <w:pPr>
        <w:pStyle w:val="ListBullet"/>
      </w:pPr>
      <w:r w:rsidRPr="00F7505F">
        <w:t>timetables for data collection and publication;</w:t>
      </w:r>
    </w:p>
    <w:p w:rsidR="003A0D0C" w:rsidRPr="00F7505F" w:rsidRDefault="003A0D0C" w:rsidP="003A0D0C">
      <w:pPr>
        <w:pStyle w:val="ListBullet"/>
      </w:pPr>
      <w:r w:rsidRPr="00F7505F">
        <w:t xml:space="preserve">time series spreadsheets </w:t>
      </w:r>
      <w:r w:rsidR="00D20847">
        <w:t xml:space="preserve">and csv files </w:t>
      </w:r>
      <w:r w:rsidRPr="00F7505F">
        <w:t>from April 2011 up to the latest month;</w:t>
      </w:r>
    </w:p>
    <w:p w:rsidR="00D20847" w:rsidRDefault="003A0D0C" w:rsidP="003A0D0C">
      <w:pPr>
        <w:pStyle w:val="ListBullet"/>
      </w:pPr>
      <w:r w:rsidRPr="00F7505F">
        <w:t xml:space="preserve">links to individual </w:t>
      </w:r>
      <w:r w:rsidR="00145BE4" w:rsidRPr="00F7505F">
        <w:t xml:space="preserve">web </w:t>
      </w:r>
      <w:r w:rsidRPr="00F7505F">
        <w:t>pages for each financial year</w:t>
      </w:r>
      <w:r w:rsidR="00D20847">
        <w:t>;</w:t>
      </w:r>
    </w:p>
    <w:p w:rsidR="003A0D0C" w:rsidRPr="00F7505F" w:rsidRDefault="00D20847" w:rsidP="003A0D0C">
      <w:pPr>
        <w:pStyle w:val="ListBullet"/>
      </w:pPr>
      <w:proofErr w:type="gramStart"/>
      <w:r>
        <w:t>contact</w:t>
      </w:r>
      <w:proofErr w:type="gramEnd"/>
      <w:r>
        <w:t xml:space="preserve"> details for the responsible statistician (also in </w:t>
      </w:r>
      <w:r w:rsidR="00B4573B">
        <w:t>2</w:t>
      </w:r>
      <w:r w:rsidR="00E24BF5">
        <w:t>.6 below).</w:t>
      </w:r>
    </w:p>
    <w:p w:rsidR="003A0D0C" w:rsidRPr="00F7505F" w:rsidRDefault="003A0D0C" w:rsidP="003A0D0C">
      <w:r w:rsidRPr="00F7505F">
        <w:t xml:space="preserve">The </w:t>
      </w:r>
      <w:r w:rsidR="00145BE4" w:rsidRPr="00F7505F">
        <w:t xml:space="preserve">web </w:t>
      </w:r>
      <w:r w:rsidRPr="00F7505F">
        <w:t>pages for each financial year hold:</w:t>
      </w:r>
    </w:p>
    <w:p w:rsidR="003A0D0C" w:rsidRPr="00F7505F" w:rsidRDefault="003A0D0C" w:rsidP="003A0D0C">
      <w:pPr>
        <w:pStyle w:val="ListBullet"/>
      </w:pPr>
      <w:r w:rsidRPr="00F7505F">
        <w:t>separate spreadsheets of each month’s data;</w:t>
      </w:r>
    </w:p>
    <w:p w:rsidR="003A0D0C" w:rsidRPr="00F7505F" w:rsidRDefault="003A0D0C" w:rsidP="003A0D0C">
      <w:pPr>
        <w:pStyle w:val="ListBullet"/>
      </w:pPr>
      <w:r w:rsidRPr="00F7505F">
        <w:t>this Statistical Note, and equivalent versions from previous months;</w:t>
      </w:r>
    </w:p>
    <w:p w:rsidR="003A0D0C" w:rsidRPr="00F7505F" w:rsidRDefault="003A0D0C" w:rsidP="003A0D0C">
      <w:pPr>
        <w:pStyle w:val="ListBullet"/>
      </w:pPr>
      <w:proofErr w:type="gramStart"/>
      <w:r w:rsidRPr="00F7505F">
        <w:t>the</w:t>
      </w:r>
      <w:proofErr w:type="gramEnd"/>
      <w:r w:rsidRPr="00F7505F">
        <w:t xml:space="preserve"> list of people with pre-release access to the data.</w:t>
      </w:r>
    </w:p>
    <w:p w:rsidR="00E6125B" w:rsidRPr="00F7505F" w:rsidRDefault="0036736E" w:rsidP="00A66D79">
      <w:r w:rsidRPr="00F7505F">
        <w:t xml:space="preserve">Publication dates are also at </w:t>
      </w:r>
      <w:hyperlink r:id="rId18" w:history="1">
        <w:r w:rsidR="001E75EA" w:rsidRPr="00F7505F">
          <w:rPr>
            <w:rStyle w:val="Hyperlink"/>
          </w:rPr>
          <w:t>www.gov.uk/government/statistics/announcements</w:t>
        </w:r>
      </w:hyperlink>
      <w:r w:rsidRPr="00F7505F">
        <w:t>.</w:t>
      </w:r>
    </w:p>
    <w:p w:rsidR="003A0D0C" w:rsidRPr="00F7505F" w:rsidRDefault="003A0D0C" w:rsidP="003A0D0C">
      <w:pPr>
        <w:pStyle w:val="Heading3"/>
      </w:pPr>
      <w:r w:rsidRPr="00F7505F">
        <w:t>Revisions</w:t>
      </w:r>
      <w:r w:rsidR="00AF32CD" w:rsidRPr="00F7505F">
        <w:t xml:space="preserve"> Timetable</w:t>
      </w:r>
    </w:p>
    <w:p w:rsidR="003A0D0C" w:rsidRPr="00F7505F" w:rsidRDefault="003A0D0C" w:rsidP="003A0D0C">
      <w:r w:rsidRPr="00F7505F">
        <w:t>Revisions usually follow a six-monthly cycle</w:t>
      </w:r>
      <w:r w:rsidR="00276BC5">
        <w:t>, but this will change in 2017-18 after the ARP review of indicators</w:t>
      </w:r>
      <w:r w:rsidRPr="00F7505F">
        <w:t xml:space="preserve">. The dates for past AQI </w:t>
      </w:r>
      <w:r w:rsidR="00006295" w:rsidRPr="00F7505F">
        <w:t xml:space="preserve">Systems Indicators (SI) and Clinical Outcomes (CO) </w:t>
      </w:r>
      <w:r w:rsidR="0016743F" w:rsidRPr="00F7505F">
        <w:t xml:space="preserve">scheduled </w:t>
      </w:r>
      <w:r w:rsidRPr="00F7505F">
        <w:t xml:space="preserve">revisions are </w:t>
      </w:r>
      <w:r w:rsidR="0032599C" w:rsidRPr="00F7505F">
        <w:t>below</w:t>
      </w:r>
      <w:r w:rsidRPr="00F7505F">
        <w:t>. The AQI Quality Statement above contains a more detailed revisions policy.</w:t>
      </w:r>
    </w:p>
    <w:tbl>
      <w:tblPr>
        <w:tblStyle w:val="TableGrid"/>
        <w:tblW w:w="8936"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1418"/>
        <w:gridCol w:w="142"/>
        <w:gridCol w:w="713"/>
        <w:gridCol w:w="142"/>
        <w:gridCol w:w="1696"/>
        <w:gridCol w:w="215"/>
        <w:gridCol w:w="215"/>
        <w:gridCol w:w="1418"/>
        <w:gridCol w:w="142"/>
        <w:gridCol w:w="850"/>
        <w:gridCol w:w="142"/>
        <w:gridCol w:w="1843"/>
      </w:tblGrid>
      <w:tr w:rsidR="00454B3C" w:rsidRPr="00F7505F" w:rsidTr="00594596">
        <w:trPr>
          <w:cantSplit/>
          <w:tblHeader/>
        </w:trPr>
        <w:tc>
          <w:tcPr>
            <w:tcW w:w="1418" w:type="dxa"/>
            <w:tcBorders>
              <w:top w:val="nil"/>
              <w:bottom w:val="single" w:sz="4" w:space="0" w:color="auto"/>
            </w:tcBorders>
            <w:tcMar>
              <w:left w:w="0" w:type="dxa"/>
              <w:right w:w="0" w:type="dxa"/>
            </w:tcMar>
          </w:tcPr>
          <w:p w:rsidR="00454B3C" w:rsidRPr="00F7505F" w:rsidRDefault="00454B3C" w:rsidP="006A351E">
            <w:pPr>
              <w:pStyle w:val="Heading6"/>
            </w:pPr>
            <w:r w:rsidRPr="00F7505F">
              <w:lastRenderedPageBreak/>
              <w:t>Publication</w:t>
            </w:r>
          </w:p>
        </w:tc>
        <w:tc>
          <w:tcPr>
            <w:tcW w:w="142" w:type="dxa"/>
            <w:tcBorders>
              <w:top w:val="nil"/>
              <w:bottom w:val="single" w:sz="4" w:space="0" w:color="auto"/>
            </w:tcBorders>
            <w:tcMar>
              <w:left w:w="0" w:type="dxa"/>
              <w:right w:w="0" w:type="dxa"/>
            </w:tcMar>
          </w:tcPr>
          <w:p w:rsidR="00454B3C" w:rsidRPr="00F7505F" w:rsidRDefault="00454B3C" w:rsidP="006A351E">
            <w:pPr>
              <w:pStyle w:val="Heading6"/>
            </w:pPr>
          </w:p>
        </w:tc>
        <w:tc>
          <w:tcPr>
            <w:tcW w:w="713" w:type="dxa"/>
            <w:tcBorders>
              <w:top w:val="nil"/>
              <w:bottom w:val="single" w:sz="4" w:space="0" w:color="auto"/>
            </w:tcBorders>
            <w:tcMar>
              <w:left w:w="0" w:type="dxa"/>
              <w:right w:w="0" w:type="dxa"/>
            </w:tcMar>
          </w:tcPr>
          <w:p w:rsidR="00454B3C" w:rsidRPr="00F7505F" w:rsidRDefault="00454B3C" w:rsidP="006A351E">
            <w:pPr>
              <w:pStyle w:val="Heading6"/>
            </w:pPr>
            <w:r w:rsidRPr="00F7505F">
              <w:t xml:space="preserve">Data </w:t>
            </w:r>
          </w:p>
        </w:tc>
        <w:tc>
          <w:tcPr>
            <w:tcW w:w="142" w:type="dxa"/>
            <w:tcBorders>
              <w:top w:val="nil"/>
              <w:bottom w:val="single" w:sz="4" w:space="0" w:color="auto"/>
            </w:tcBorders>
            <w:tcMar>
              <w:left w:w="0" w:type="dxa"/>
              <w:right w:w="0" w:type="dxa"/>
            </w:tcMar>
          </w:tcPr>
          <w:p w:rsidR="00454B3C" w:rsidRPr="00F7505F" w:rsidRDefault="00454B3C" w:rsidP="006A351E">
            <w:pPr>
              <w:pStyle w:val="Heading6"/>
            </w:pPr>
          </w:p>
        </w:tc>
        <w:tc>
          <w:tcPr>
            <w:tcW w:w="1696" w:type="dxa"/>
            <w:tcBorders>
              <w:top w:val="nil"/>
              <w:bottom w:val="single" w:sz="4" w:space="0" w:color="auto"/>
            </w:tcBorders>
          </w:tcPr>
          <w:p w:rsidR="00454B3C" w:rsidRPr="00F7505F" w:rsidRDefault="00454B3C" w:rsidP="006A351E">
            <w:pPr>
              <w:pStyle w:val="Heading6"/>
            </w:pPr>
            <w:r w:rsidRPr="00F7505F">
              <w:t>Months affected</w:t>
            </w:r>
          </w:p>
        </w:tc>
        <w:tc>
          <w:tcPr>
            <w:tcW w:w="215" w:type="dxa"/>
            <w:tcBorders>
              <w:top w:val="nil"/>
              <w:bottom w:val="nil"/>
              <w:right w:val="nil"/>
            </w:tcBorders>
          </w:tcPr>
          <w:p w:rsidR="00454B3C" w:rsidRPr="00F7505F" w:rsidRDefault="00454B3C" w:rsidP="006A351E">
            <w:pPr>
              <w:pStyle w:val="Heading6"/>
            </w:pPr>
          </w:p>
        </w:tc>
        <w:tc>
          <w:tcPr>
            <w:tcW w:w="215" w:type="dxa"/>
            <w:tcBorders>
              <w:top w:val="nil"/>
              <w:left w:val="nil"/>
              <w:bottom w:val="nil"/>
            </w:tcBorders>
          </w:tcPr>
          <w:p w:rsidR="00454B3C" w:rsidRPr="00F7505F" w:rsidRDefault="00454B3C" w:rsidP="006A351E">
            <w:pPr>
              <w:pStyle w:val="Heading6"/>
            </w:pPr>
          </w:p>
        </w:tc>
        <w:tc>
          <w:tcPr>
            <w:tcW w:w="1418" w:type="dxa"/>
            <w:tcBorders>
              <w:top w:val="nil"/>
              <w:bottom w:val="single" w:sz="4" w:space="0" w:color="auto"/>
            </w:tcBorders>
          </w:tcPr>
          <w:p w:rsidR="00454B3C" w:rsidRPr="00F7505F" w:rsidRDefault="00454B3C" w:rsidP="006A351E">
            <w:pPr>
              <w:pStyle w:val="Heading6"/>
            </w:pPr>
            <w:r w:rsidRPr="00F7505F">
              <w:t>Publication</w:t>
            </w:r>
          </w:p>
        </w:tc>
        <w:tc>
          <w:tcPr>
            <w:tcW w:w="142" w:type="dxa"/>
            <w:tcBorders>
              <w:top w:val="nil"/>
              <w:bottom w:val="single" w:sz="4" w:space="0" w:color="auto"/>
            </w:tcBorders>
          </w:tcPr>
          <w:p w:rsidR="00454B3C" w:rsidRPr="00F7505F" w:rsidRDefault="00454B3C" w:rsidP="006A351E">
            <w:pPr>
              <w:pStyle w:val="Heading6"/>
            </w:pPr>
          </w:p>
        </w:tc>
        <w:tc>
          <w:tcPr>
            <w:tcW w:w="850" w:type="dxa"/>
            <w:tcBorders>
              <w:top w:val="nil"/>
              <w:bottom w:val="single" w:sz="4" w:space="0" w:color="auto"/>
            </w:tcBorders>
          </w:tcPr>
          <w:p w:rsidR="00454B3C" w:rsidRPr="00F7505F" w:rsidRDefault="00454B3C" w:rsidP="006A351E">
            <w:pPr>
              <w:pStyle w:val="Heading6"/>
            </w:pPr>
            <w:r w:rsidRPr="00F7505F">
              <w:t xml:space="preserve">Data </w:t>
            </w:r>
          </w:p>
        </w:tc>
        <w:tc>
          <w:tcPr>
            <w:tcW w:w="142" w:type="dxa"/>
            <w:tcBorders>
              <w:top w:val="nil"/>
              <w:bottom w:val="single" w:sz="4" w:space="0" w:color="auto"/>
            </w:tcBorders>
          </w:tcPr>
          <w:p w:rsidR="00454B3C" w:rsidRPr="00F7505F" w:rsidRDefault="00454B3C" w:rsidP="006A351E">
            <w:pPr>
              <w:pStyle w:val="Heading6"/>
            </w:pPr>
          </w:p>
        </w:tc>
        <w:tc>
          <w:tcPr>
            <w:tcW w:w="1843" w:type="dxa"/>
            <w:tcBorders>
              <w:top w:val="nil"/>
              <w:bottom w:val="single" w:sz="4" w:space="0" w:color="auto"/>
            </w:tcBorders>
          </w:tcPr>
          <w:p w:rsidR="00454B3C" w:rsidRPr="00F7505F" w:rsidRDefault="00454B3C" w:rsidP="006A351E">
            <w:pPr>
              <w:pStyle w:val="Heading6"/>
            </w:pPr>
            <w:r w:rsidRPr="00F7505F">
              <w:t>Months affected</w:t>
            </w:r>
          </w:p>
        </w:tc>
      </w:tr>
      <w:tr w:rsidR="00276BC5" w:rsidRPr="00F7505F" w:rsidTr="00594596">
        <w:tc>
          <w:tcPr>
            <w:tcW w:w="1418" w:type="dxa"/>
            <w:tcBorders>
              <w:top w:val="single" w:sz="4" w:space="0" w:color="auto"/>
              <w:bottom w:val="nil"/>
              <w:right w:val="nil"/>
            </w:tcBorders>
            <w:tcMar>
              <w:left w:w="57" w:type="dxa"/>
              <w:right w:w="57" w:type="dxa"/>
            </w:tcMar>
          </w:tcPr>
          <w:p w:rsidR="00276BC5" w:rsidRPr="00F7505F" w:rsidRDefault="00276BC5" w:rsidP="007E11E0">
            <w:pPr>
              <w:pStyle w:val="Footer"/>
              <w:jc w:val="center"/>
            </w:pPr>
            <w:r w:rsidRPr="00F7505F">
              <w:t>14 Sep 2017</w:t>
            </w:r>
          </w:p>
        </w:tc>
        <w:tc>
          <w:tcPr>
            <w:tcW w:w="142" w:type="dxa"/>
            <w:tcBorders>
              <w:top w:val="single" w:sz="4" w:space="0" w:color="auto"/>
              <w:left w:val="nil"/>
              <w:bottom w:val="nil"/>
              <w:right w:val="nil"/>
            </w:tcBorders>
            <w:tcMar>
              <w:left w:w="57" w:type="dxa"/>
              <w:right w:w="57" w:type="dxa"/>
            </w:tcMar>
          </w:tcPr>
          <w:p w:rsidR="00276BC5" w:rsidRPr="00F7505F" w:rsidRDefault="00276BC5" w:rsidP="007E11E0">
            <w:pPr>
              <w:pStyle w:val="Footer"/>
              <w:jc w:val="center"/>
            </w:pPr>
          </w:p>
        </w:tc>
        <w:tc>
          <w:tcPr>
            <w:tcW w:w="713" w:type="dxa"/>
            <w:tcBorders>
              <w:top w:val="single" w:sz="4" w:space="0" w:color="auto"/>
              <w:left w:val="nil"/>
              <w:bottom w:val="nil"/>
              <w:right w:val="nil"/>
            </w:tcBorders>
            <w:tcMar>
              <w:left w:w="57" w:type="dxa"/>
              <w:right w:w="57" w:type="dxa"/>
            </w:tcMar>
          </w:tcPr>
          <w:p w:rsidR="00276BC5" w:rsidRPr="00F7505F" w:rsidRDefault="00276BC5" w:rsidP="007E11E0">
            <w:pPr>
              <w:pStyle w:val="Footer"/>
              <w:jc w:val="center"/>
            </w:pPr>
            <w:r w:rsidRPr="00F7505F">
              <w:t>CO</w:t>
            </w:r>
          </w:p>
        </w:tc>
        <w:tc>
          <w:tcPr>
            <w:tcW w:w="142" w:type="dxa"/>
            <w:tcBorders>
              <w:top w:val="single" w:sz="4" w:space="0" w:color="auto"/>
              <w:left w:val="nil"/>
              <w:bottom w:val="nil"/>
              <w:right w:val="nil"/>
            </w:tcBorders>
            <w:tcMar>
              <w:left w:w="57" w:type="dxa"/>
              <w:right w:w="57" w:type="dxa"/>
            </w:tcMar>
          </w:tcPr>
          <w:p w:rsidR="00276BC5" w:rsidRPr="00F7505F" w:rsidRDefault="00276BC5" w:rsidP="007E11E0">
            <w:pPr>
              <w:pStyle w:val="Footer"/>
              <w:jc w:val="center"/>
            </w:pPr>
          </w:p>
        </w:tc>
        <w:tc>
          <w:tcPr>
            <w:tcW w:w="1696" w:type="dxa"/>
            <w:tcBorders>
              <w:top w:val="single" w:sz="4" w:space="0" w:color="auto"/>
              <w:left w:val="nil"/>
              <w:bottom w:val="nil"/>
              <w:right w:val="nil"/>
            </w:tcBorders>
          </w:tcPr>
          <w:p w:rsidR="00276BC5" w:rsidRPr="00F7505F" w:rsidRDefault="00276BC5" w:rsidP="007E11E0">
            <w:pPr>
              <w:pStyle w:val="Footer"/>
              <w:jc w:val="center"/>
            </w:pPr>
            <w:r w:rsidRPr="00F7505F">
              <w:t>Apr ’16 - Mar ‘17</w:t>
            </w:r>
          </w:p>
        </w:tc>
        <w:tc>
          <w:tcPr>
            <w:tcW w:w="215" w:type="dxa"/>
            <w:tcBorders>
              <w:top w:val="nil"/>
              <w:left w:val="nil"/>
              <w:bottom w:val="nil"/>
              <w:right w:val="single" w:sz="4" w:space="0" w:color="auto"/>
            </w:tcBorders>
          </w:tcPr>
          <w:p w:rsidR="00276BC5" w:rsidRPr="00594596" w:rsidRDefault="00276BC5" w:rsidP="00454B3C">
            <w:pPr>
              <w:pStyle w:val="Footer"/>
              <w:rPr>
                <w:b/>
              </w:rPr>
            </w:pPr>
          </w:p>
        </w:tc>
        <w:tc>
          <w:tcPr>
            <w:tcW w:w="215" w:type="dxa"/>
            <w:tcBorders>
              <w:top w:val="nil"/>
              <w:left w:val="single" w:sz="4" w:space="0" w:color="auto"/>
              <w:bottom w:val="nil"/>
              <w:right w:val="nil"/>
            </w:tcBorders>
          </w:tcPr>
          <w:p w:rsidR="00276BC5" w:rsidRPr="00594596" w:rsidRDefault="00276BC5" w:rsidP="00454B3C">
            <w:pPr>
              <w:pStyle w:val="Footer"/>
              <w:rPr>
                <w:b/>
              </w:rPr>
            </w:pPr>
          </w:p>
        </w:tc>
        <w:tc>
          <w:tcPr>
            <w:tcW w:w="1418" w:type="dxa"/>
            <w:tcBorders>
              <w:top w:val="single" w:sz="4" w:space="0" w:color="auto"/>
              <w:left w:val="nil"/>
              <w:bottom w:val="nil"/>
              <w:right w:val="nil"/>
            </w:tcBorders>
          </w:tcPr>
          <w:p w:rsidR="00276BC5" w:rsidRPr="00F7505F" w:rsidRDefault="00276BC5" w:rsidP="002C550E">
            <w:pPr>
              <w:pStyle w:val="Footer"/>
              <w:jc w:val="center"/>
            </w:pPr>
            <w:r w:rsidRPr="00F7505F">
              <w:t>6 Nov 2014</w:t>
            </w:r>
          </w:p>
        </w:tc>
        <w:tc>
          <w:tcPr>
            <w:tcW w:w="142" w:type="dxa"/>
            <w:tcBorders>
              <w:top w:val="single" w:sz="4" w:space="0" w:color="auto"/>
              <w:left w:val="nil"/>
              <w:bottom w:val="nil"/>
              <w:right w:val="nil"/>
            </w:tcBorders>
          </w:tcPr>
          <w:p w:rsidR="00276BC5" w:rsidRPr="00F7505F" w:rsidRDefault="00276BC5" w:rsidP="002C550E">
            <w:pPr>
              <w:pStyle w:val="Footer"/>
              <w:jc w:val="center"/>
            </w:pPr>
          </w:p>
        </w:tc>
        <w:tc>
          <w:tcPr>
            <w:tcW w:w="850" w:type="dxa"/>
            <w:tcBorders>
              <w:top w:val="single" w:sz="4" w:space="0" w:color="auto"/>
              <w:left w:val="nil"/>
              <w:bottom w:val="nil"/>
              <w:right w:val="nil"/>
            </w:tcBorders>
          </w:tcPr>
          <w:p w:rsidR="00276BC5" w:rsidRPr="00F7505F" w:rsidRDefault="00276BC5" w:rsidP="002C550E">
            <w:pPr>
              <w:pStyle w:val="Footer"/>
              <w:jc w:val="center"/>
            </w:pPr>
            <w:r w:rsidRPr="00F7505F">
              <w:t>SI</w:t>
            </w:r>
          </w:p>
        </w:tc>
        <w:tc>
          <w:tcPr>
            <w:tcW w:w="142" w:type="dxa"/>
            <w:tcBorders>
              <w:top w:val="single" w:sz="4" w:space="0" w:color="auto"/>
              <w:left w:val="nil"/>
              <w:bottom w:val="nil"/>
              <w:right w:val="nil"/>
            </w:tcBorders>
          </w:tcPr>
          <w:p w:rsidR="00276BC5" w:rsidRPr="00F7505F" w:rsidRDefault="00276BC5" w:rsidP="002C550E">
            <w:pPr>
              <w:pStyle w:val="Footer"/>
              <w:jc w:val="center"/>
            </w:pPr>
          </w:p>
        </w:tc>
        <w:tc>
          <w:tcPr>
            <w:tcW w:w="1843" w:type="dxa"/>
            <w:tcBorders>
              <w:top w:val="single" w:sz="4" w:space="0" w:color="auto"/>
              <w:left w:val="nil"/>
              <w:bottom w:val="nil"/>
            </w:tcBorders>
          </w:tcPr>
          <w:p w:rsidR="00276BC5" w:rsidRPr="00F7505F" w:rsidRDefault="00276BC5" w:rsidP="002C550E">
            <w:pPr>
              <w:pStyle w:val="Footer"/>
              <w:jc w:val="center"/>
            </w:pPr>
            <w:r w:rsidRPr="00F7505F">
              <w:t>Apr ‘13 - Aug ‘14</w:t>
            </w:r>
          </w:p>
        </w:tc>
      </w:tr>
      <w:tr w:rsidR="00276BC5" w:rsidRPr="00F7505F" w:rsidTr="00594596">
        <w:tc>
          <w:tcPr>
            <w:tcW w:w="1418" w:type="dxa"/>
            <w:tcBorders>
              <w:top w:val="nil"/>
            </w:tcBorders>
            <w:tcMar>
              <w:left w:w="57" w:type="dxa"/>
              <w:right w:w="57" w:type="dxa"/>
            </w:tcMar>
          </w:tcPr>
          <w:p w:rsidR="00276BC5" w:rsidRPr="00F7505F" w:rsidRDefault="00276BC5" w:rsidP="007E11E0">
            <w:pPr>
              <w:pStyle w:val="Footer"/>
              <w:jc w:val="center"/>
            </w:pPr>
            <w:r w:rsidRPr="00F7505F">
              <w:t>11 May 2017</w:t>
            </w:r>
          </w:p>
        </w:tc>
        <w:tc>
          <w:tcPr>
            <w:tcW w:w="142" w:type="dxa"/>
            <w:tcBorders>
              <w:top w:val="nil"/>
            </w:tcBorders>
            <w:tcMar>
              <w:left w:w="57" w:type="dxa"/>
              <w:right w:w="57" w:type="dxa"/>
            </w:tcMar>
          </w:tcPr>
          <w:p w:rsidR="00276BC5" w:rsidRPr="00F7505F" w:rsidRDefault="00276BC5" w:rsidP="007E11E0">
            <w:pPr>
              <w:pStyle w:val="Footer"/>
              <w:jc w:val="center"/>
            </w:pPr>
          </w:p>
        </w:tc>
        <w:tc>
          <w:tcPr>
            <w:tcW w:w="713" w:type="dxa"/>
            <w:tcBorders>
              <w:top w:val="nil"/>
            </w:tcBorders>
            <w:tcMar>
              <w:left w:w="57" w:type="dxa"/>
              <w:right w:w="57" w:type="dxa"/>
            </w:tcMar>
          </w:tcPr>
          <w:p w:rsidR="00276BC5" w:rsidRPr="00F7505F" w:rsidRDefault="00276BC5" w:rsidP="007E11E0">
            <w:pPr>
              <w:pStyle w:val="Footer"/>
              <w:jc w:val="center"/>
            </w:pPr>
            <w:r w:rsidRPr="00F7505F">
              <w:t>SI</w:t>
            </w:r>
          </w:p>
        </w:tc>
        <w:tc>
          <w:tcPr>
            <w:tcW w:w="142" w:type="dxa"/>
            <w:tcBorders>
              <w:top w:val="nil"/>
            </w:tcBorders>
            <w:tcMar>
              <w:left w:w="57" w:type="dxa"/>
              <w:right w:w="57" w:type="dxa"/>
            </w:tcMar>
          </w:tcPr>
          <w:p w:rsidR="00276BC5" w:rsidRPr="00F7505F" w:rsidRDefault="00276BC5" w:rsidP="007E11E0">
            <w:pPr>
              <w:pStyle w:val="Footer"/>
              <w:jc w:val="center"/>
            </w:pPr>
          </w:p>
        </w:tc>
        <w:tc>
          <w:tcPr>
            <w:tcW w:w="1696" w:type="dxa"/>
            <w:tcBorders>
              <w:top w:val="nil"/>
            </w:tcBorders>
          </w:tcPr>
          <w:p w:rsidR="00276BC5" w:rsidRPr="00F7505F" w:rsidRDefault="00276BC5" w:rsidP="007E11E0">
            <w:pPr>
              <w:pStyle w:val="Footer"/>
              <w:jc w:val="center"/>
            </w:pPr>
            <w:r w:rsidRPr="00F7505F">
              <w:t>Apr ‘15 - Feb ‘17</w:t>
            </w:r>
          </w:p>
        </w:tc>
        <w:tc>
          <w:tcPr>
            <w:tcW w:w="215" w:type="dxa"/>
            <w:tcBorders>
              <w:top w:val="nil"/>
              <w:right w:val="single" w:sz="4" w:space="0" w:color="auto"/>
            </w:tcBorders>
          </w:tcPr>
          <w:p w:rsidR="00276BC5" w:rsidRPr="00F7505F" w:rsidRDefault="00276BC5" w:rsidP="00454B3C">
            <w:pPr>
              <w:pStyle w:val="Footer"/>
            </w:pPr>
          </w:p>
        </w:tc>
        <w:tc>
          <w:tcPr>
            <w:tcW w:w="215" w:type="dxa"/>
            <w:tcBorders>
              <w:top w:val="nil"/>
              <w:left w:val="single" w:sz="4" w:space="0" w:color="auto"/>
            </w:tcBorders>
          </w:tcPr>
          <w:p w:rsidR="00276BC5" w:rsidRPr="00594596" w:rsidRDefault="00276BC5" w:rsidP="00454B3C">
            <w:pPr>
              <w:pStyle w:val="Footer"/>
              <w:rPr>
                <w:b/>
              </w:rPr>
            </w:pPr>
          </w:p>
        </w:tc>
        <w:tc>
          <w:tcPr>
            <w:tcW w:w="1418" w:type="dxa"/>
            <w:tcBorders>
              <w:top w:val="nil"/>
            </w:tcBorders>
          </w:tcPr>
          <w:p w:rsidR="00276BC5" w:rsidRPr="00F7505F" w:rsidRDefault="00276BC5" w:rsidP="002C550E">
            <w:pPr>
              <w:pStyle w:val="Footer"/>
              <w:jc w:val="center"/>
            </w:pPr>
            <w:r w:rsidRPr="00F7505F">
              <w:t>5 Sep 2014</w:t>
            </w:r>
          </w:p>
        </w:tc>
        <w:tc>
          <w:tcPr>
            <w:tcW w:w="142" w:type="dxa"/>
            <w:tcBorders>
              <w:top w:val="nil"/>
            </w:tcBorders>
          </w:tcPr>
          <w:p w:rsidR="00276BC5" w:rsidRPr="00F7505F" w:rsidRDefault="00276BC5" w:rsidP="002C550E">
            <w:pPr>
              <w:pStyle w:val="Footer"/>
              <w:jc w:val="center"/>
            </w:pPr>
          </w:p>
        </w:tc>
        <w:tc>
          <w:tcPr>
            <w:tcW w:w="850" w:type="dxa"/>
            <w:tcBorders>
              <w:top w:val="nil"/>
            </w:tcBorders>
          </w:tcPr>
          <w:p w:rsidR="00276BC5" w:rsidRPr="00F7505F" w:rsidRDefault="00276BC5" w:rsidP="002C550E">
            <w:pPr>
              <w:pStyle w:val="Footer"/>
              <w:jc w:val="center"/>
            </w:pPr>
            <w:r w:rsidRPr="00F7505F">
              <w:t>CO</w:t>
            </w:r>
          </w:p>
        </w:tc>
        <w:tc>
          <w:tcPr>
            <w:tcW w:w="142" w:type="dxa"/>
            <w:tcBorders>
              <w:top w:val="nil"/>
            </w:tcBorders>
          </w:tcPr>
          <w:p w:rsidR="00276BC5" w:rsidRPr="00F7505F" w:rsidRDefault="00276BC5" w:rsidP="002C550E">
            <w:pPr>
              <w:pStyle w:val="Footer"/>
              <w:jc w:val="center"/>
            </w:pPr>
          </w:p>
        </w:tc>
        <w:tc>
          <w:tcPr>
            <w:tcW w:w="1843" w:type="dxa"/>
            <w:tcBorders>
              <w:top w:val="nil"/>
            </w:tcBorders>
          </w:tcPr>
          <w:p w:rsidR="00276BC5" w:rsidRPr="00F7505F" w:rsidRDefault="00276BC5" w:rsidP="002C550E">
            <w:pPr>
              <w:pStyle w:val="Footer"/>
              <w:jc w:val="center"/>
            </w:pPr>
            <w:r w:rsidRPr="00F7505F">
              <w:t>Apr ‘13 - Mar ‘14</w:t>
            </w:r>
          </w:p>
        </w:tc>
      </w:tr>
      <w:tr w:rsidR="00276BC5" w:rsidRPr="00F7505F" w:rsidTr="00454B3C">
        <w:tc>
          <w:tcPr>
            <w:tcW w:w="1418" w:type="dxa"/>
            <w:tcMar>
              <w:left w:w="57" w:type="dxa"/>
              <w:right w:w="57" w:type="dxa"/>
            </w:tcMar>
          </w:tcPr>
          <w:p w:rsidR="00276BC5" w:rsidRPr="00F7505F" w:rsidRDefault="00276BC5" w:rsidP="007E11E0">
            <w:pPr>
              <w:pStyle w:val="Footer"/>
              <w:jc w:val="center"/>
            </w:pPr>
            <w:r w:rsidRPr="00F7505F">
              <w:t>9 Mar 2017</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CO</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‘16 - Sep ‘16</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2 May 2014</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‘13 - Feb ‘14</w:t>
            </w:r>
          </w:p>
        </w:tc>
      </w:tr>
      <w:tr w:rsidR="00276BC5" w:rsidRPr="00F7505F" w:rsidTr="00454B3C">
        <w:tc>
          <w:tcPr>
            <w:tcW w:w="1418" w:type="dxa"/>
            <w:tcMar>
              <w:left w:w="57" w:type="dxa"/>
              <w:right w:w="57" w:type="dxa"/>
            </w:tcMar>
          </w:tcPr>
          <w:p w:rsidR="00276BC5" w:rsidRPr="00F7505F" w:rsidRDefault="00276BC5" w:rsidP="007E11E0">
            <w:pPr>
              <w:pStyle w:val="Footer"/>
              <w:jc w:val="center"/>
            </w:pPr>
            <w:r w:rsidRPr="00F7505F">
              <w:t>10 Nov 2016</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SI</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‘16 - Aug ‘16</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7 Mar 2014</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‘13 - Sep ‘13</w:t>
            </w:r>
          </w:p>
        </w:tc>
      </w:tr>
      <w:tr w:rsidR="00276BC5" w:rsidRPr="00F7505F" w:rsidTr="00454B3C">
        <w:tc>
          <w:tcPr>
            <w:tcW w:w="1418" w:type="dxa"/>
            <w:tcMar>
              <w:left w:w="57" w:type="dxa"/>
              <w:right w:w="57" w:type="dxa"/>
            </w:tcMar>
          </w:tcPr>
          <w:p w:rsidR="00276BC5" w:rsidRPr="00F7505F" w:rsidRDefault="00276BC5" w:rsidP="007E11E0">
            <w:pPr>
              <w:pStyle w:val="Footer"/>
              <w:jc w:val="center"/>
            </w:pPr>
            <w:r w:rsidRPr="00F7505F">
              <w:t>8 Sep 2016</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CO</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‘15 - Apr ‘16</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1 Nov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‘13 - Aug ‘13</w:t>
            </w:r>
          </w:p>
        </w:tc>
      </w:tr>
      <w:tr w:rsidR="00276BC5" w:rsidRPr="00F7505F" w:rsidTr="00454B3C">
        <w:tc>
          <w:tcPr>
            <w:tcW w:w="1418" w:type="dxa"/>
            <w:tcMar>
              <w:left w:w="57" w:type="dxa"/>
              <w:right w:w="57" w:type="dxa"/>
            </w:tcMar>
          </w:tcPr>
          <w:p w:rsidR="00276BC5" w:rsidRPr="00F7505F" w:rsidRDefault="00276BC5" w:rsidP="007E11E0">
            <w:pPr>
              <w:pStyle w:val="Footer"/>
              <w:jc w:val="center"/>
            </w:pPr>
            <w:r w:rsidRPr="00F7505F">
              <w:t>12 May 2016</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SI</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‘15 - Feb ‘16</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2 Aug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‘12 - Mar ‘13</w:t>
            </w:r>
          </w:p>
        </w:tc>
      </w:tr>
      <w:tr w:rsidR="00276BC5" w:rsidRPr="00F7505F" w:rsidTr="00454B3C">
        <w:trPr>
          <w:trHeight w:val="143"/>
        </w:trPr>
        <w:tc>
          <w:tcPr>
            <w:tcW w:w="1418" w:type="dxa"/>
            <w:tcMar>
              <w:left w:w="57" w:type="dxa"/>
              <w:right w:w="57" w:type="dxa"/>
            </w:tcMar>
          </w:tcPr>
          <w:p w:rsidR="00276BC5" w:rsidRPr="00F7505F" w:rsidRDefault="00276BC5" w:rsidP="007E11E0">
            <w:pPr>
              <w:pStyle w:val="Footer"/>
              <w:jc w:val="center"/>
            </w:pPr>
            <w:r w:rsidRPr="00F7505F">
              <w:t>10 Apr 2016</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CO</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‘15 - Sep ‘15</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3 May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‘12 - Mar ‘13</w:t>
            </w:r>
          </w:p>
        </w:tc>
      </w:tr>
      <w:tr w:rsidR="00276BC5" w:rsidRPr="00F7505F" w:rsidTr="00454B3C">
        <w:trPr>
          <w:trHeight w:val="80"/>
        </w:trPr>
        <w:tc>
          <w:tcPr>
            <w:tcW w:w="1418" w:type="dxa"/>
            <w:tcMar>
              <w:left w:w="57" w:type="dxa"/>
              <w:right w:w="57" w:type="dxa"/>
            </w:tcMar>
          </w:tcPr>
          <w:p w:rsidR="00276BC5" w:rsidRPr="00F7505F" w:rsidRDefault="00276BC5" w:rsidP="007E11E0">
            <w:pPr>
              <w:pStyle w:val="Footer"/>
              <w:jc w:val="center"/>
            </w:pPr>
            <w:r w:rsidRPr="00F7505F">
              <w:t>10 Sep 2015</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CO</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‘14 - Mar ‘15</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1 Feb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‘12 - Aug ‘12</w:t>
            </w:r>
          </w:p>
        </w:tc>
      </w:tr>
      <w:tr w:rsidR="00276BC5" w:rsidRPr="00F7505F" w:rsidTr="00454B3C">
        <w:trPr>
          <w:trHeight w:val="80"/>
        </w:trPr>
        <w:tc>
          <w:tcPr>
            <w:tcW w:w="1418" w:type="dxa"/>
            <w:tcMar>
              <w:left w:w="57" w:type="dxa"/>
              <w:right w:w="57" w:type="dxa"/>
            </w:tcMar>
          </w:tcPr>
          <w:p w:rsidR="00276BC5" w:rsidRPr="00F7505F" w:rsidRDefault="00276BC5" w:rsidP="007E11E0">
            <w:pPr>
              <w:pStyle w:val="Footer"/>
              <w:jc w:val="center"/>
            </w:pPr>
            <w:r w:rsidRPr="00F7505F">
              <w:t>4 Jun 2015</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SI</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‘14 - Feb ‘15</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11 Jan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‘11 - Oct ‘12</w:t>
            </w:r>
          </w:p>
        </w:tc>
      </w:tr>
      <w:tr w:rsidR="00276BC5" w:rsidRPr="00F7505F" w:rsidTr="00454B3C">
        <w:trPr>
          <w:trHeight w:val="80"/>
        </w:trPr>
        <w:tc>
          <w:tcPr>
            <w:tcW w:w="1418" w:type="dxa"/>
            <w:tcMar>
              <w:left w:w="57" w:type="dxa"/>
              <w:right w:w="57" w:type="dxa"/>
            </w:tcMar>
          </w:tcPr>
          <w:p w:rsidR="00276BC5" w:rsidRPr="00F7505F" w:rsidRDefault="00276BC5" w:rsidP="007E11E0">
            <w:pPr>
              <w:pStyle w:val="Footer"/>
              <w:jc w:val="center"/>
            </w:pPr>
            <w:r w:rsidRPr="00F7505F">
              <w:t>30 Apr 2015</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SI</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‘14 - Feb ‘15</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31 Aug 2012</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‘11 - Mar ‘12</w:t>
            </w:r>
          </w:p>
        </w:tc>
      </w:tr>
      <w:tr w:rsidR="00276BC5" w:rsidRPr="00F7505F" w:rsidTr="00454B3C">
        <w:trPr>
          <w:trHeight w:val="80"/>
        </w:trPr>
        <w:tc>
          <w:tcPr>
            <w:tcW w:w="1418" w:type="dxa"/>
            <w:tcMar>
              <w:left w:w="57" w:type="dxa"/>
              <w:right w:w="57" w:type="dxa"/>
            </w:tcMar>
          </w:tcPr>
          <w:p w:rsidR="00276BC5" w:rsidRPr="00F7505F" w:rsidRDefault="00276BC5" w:rsidP="000B14DC">
            <w:pPr>
              <w:pStyle w:val="Footer"/>
              <w:jc w:val="center"/>
            </w:pPr>
            <w:r w:rsidRPr="00F7505F">
              <w:t>5 Mar 2015</w:t>
            </w:r>
          </w:p>
        </w:tc>
        <w:tc>
          <w:tcPr>
            <w:tcW w:w="142" w:type="dxa"/>
            <w:tcMar>
              <w:left w:w="57" w:type="dxa"/>
              <w:right w:w="57" w:type="dxa"/>
            </w:tcMar>
          </w:tcPr>
          <w:p w:rsidR="00276BC5" w:rsidRPr="00F7505F" w:rsidRDefault="00276BC5" w:rsidP="000B14DC">
            <w:pPr>
              <w:pStyle w:val="Footer"/>
              <w:jc w:val="center"/>
            </w:pPr>
          </w:p>
        </w:tc>
        <w:tc>
          <w:tcPr>
            <w:tcW w:w="713" w:type="dxa"/>
            <w:tcMar>
              <w:left w:w="57" w:type="dxa"/>
              <w:right w:w="57" w:type="dxa"/>
            </w:tcMar>
          </w:tcPr>
          <w:p w:rsidR="00276BC5" w:rsidRPr="00F7505F" w:rsidRDefault="00276BC5" w:rsidP="000B14DC">
            <w:pPr>
              <w:pStyle w:val="Footer"/>
              <w:jc w:val="center"/>
            </w:pPr>
            <w:r w:rsidRPr="00F7505F">
              <w:t>CO</w:t>
            </w:r>
          </w:p>
        </w:tc>
        <w:tc>
          <w:tcPr>
            <w:tcW w:w="142" w:type="dxa"/>
            <w:tcMar>
              <w:left w:w="57" w:type="dxa"/>
              <w:right w:w="57" w:type="dxa"/>
            </w:tcMar>
          </w:tcPr>
          <w:p w:rsidR="00276BC5" w:rsidRPr="00F7505F" w:rsidRDefault="00276BC5" w:rsidP="000B14DC">
            <w:pPr>
              <w:pStyle w:val="Footer"/>
              <w:jc w:val="center"/>
            </w:pPr>
          </w:p>
        </w:tc>
        <w:tc>
          <w:tcPr>
            <w:tcW w:w="1696" w:type="dxa"/>
          </w:tcPr>
          <w:p w:rsidR="00276BC5" w:rsidRPr="00F7505F" w:rsidRDefault="00276BC5" w:rsidP="000B14DC">
            <w:pPr>
              <w:pStyle w:val="Footer"/>
              <w:jc w:val="center"/>
            </w:pPr>
            <w:r w:rsidRPr="00F7505F">
              <w:t>Apr ‘14 - Sep ‘14</w:t>
            </w:r>
          </w:p>
        </w:tc>
        <w:tc>
          <w:tcPr>
            <w:tcW w:w="215" w:type="dxa"/>
            <w:tcBorders>
              <w:bottom w:val="nil"/>
              <w:right w:val="single" w:sz="4" w:space="0" w:color="auto"/>
            </w:tcBorders>
          </w:tcPr>
          <w:p w:rsidR="00276BC5" w:rsidRPr="00F7505F" w:rsidRDefault="00276BC5" w:rsidP="00454B3C">
            <w:pPr>
              <w:pStyle w:val="Footer"/>
            </w:pPr>
          </w:p>
        </w:tc>
        <w:tc>
          <w:tcPr>
            <w:tcW w:w="215" w:type="dxa"/>
            <w:tcBorders>
              <w:left w:val="single" w:sz="4" w:space="0" w:color="auto"/>
              <w:bottom w:val="nil"/>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4 May 2012</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 &amp; 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‘11 - Mar ‘12</w:t>
            </w:r>
          </w:p>
        </w:tc>
      </w:tr>
    </w:tbl>
    <w:p w:rsidR="003A0D0C" w:rsidRPr="00F7505F" w:rsidRDefault="003A0D0C" w:rsidP="003A0D0C">
      <w:pPr>
        <w:pStyle w:val="Heading3"/>
      </w:pPr>
      <w:r w:rsidRPr="00F7505F">
        <w:t>AQI Scope</w:t>
      </w:r>
    </w:p>
    <w:p w:rsidR="003A0D0C" w:rsidRPr="00F7505F" w:rsidRDefault="003A0D0C" w:rsidP="003A0D0C">
      <w:r w:rsidRPr="00F7505F">
        <w:t xml:space="preserve">The AQI include calls made by dialling either the usual UK-wide number 999 or its </w:t>
      </w:r>
      <w:r w:rsidR="004058D7" w:rsidRPr="00F7505F">
        <w:t xml:space="preserve">international </w:t>
      </w:r>
      <w:r w:rsidRPr="00F7505F">
        <w:t>equivalent 112.</w:t>
      </w:r>
    </w:p>
    <w:p w:rsidR="003A0D0C" w:rsidRPr="00F7505F" w:rsidRDefault="003A0D0C" w:rsidP="003A0D0C">
      <w:r w:rsidRPr="00F7505F">
        <w:t>As described in the specification guidance</w:t>
      </w:r>
      <w:r w:rsidR="006F5FC5" w:rsidRPr="00F7505F">
        <w:t xml:space="preserve"> mentioned</w:t>
      </w:r>
      <w:r w:rsidRPr="00F7505F">
        <w:t xml:space="preserve"> </w:t>
      </w:r>
      <w:r w:rsidR="00E446B4" w:rsidRPr="00F7505F">
        <w:t xml:space="preserve">in section </w:t>
      </w:r>
      <w:r w:rsidR="009D5004">
        <w:t>2</w:t>
      </w:r>
      <w:r w:rsidR="00056629">
        <w:t>.</w:t>
      </w:r>
      <w:r w:rsidR="00E446B4" w:rsidRPr="00F7505F">
        <w:t>1</w:t>
      </w:r>
      <w:r w:rsidRPr="00F7505F">
        <w:t xml:space="preserve">, calls made to NHS 111 are not included in the </w:t>
      </w:r>
      <w:r w:rsidR="00054D5D" w:rsidRPr="00F7505F">
        <w:t xml:space="preserve">AQI </w:t>
      </w:r>
      <w:r w:rsidR="00B870E5" w:rsidRPr="00F7505F">
        <w:t>measures for calls abandoned, re-contacts, frequent callers, time to answer calls</w:t>
      </w:r>
      <w:r w:rsidR="006F5FC5" w:rsidRPr="00F7505F">
        <w:t>,</w:t>
      </w:r>
      <w:r w:rsidR="00B870E5" w:rsidRPr="00F7505F">
        <w:t xml:space="preserve"> </w:t>
      </w:r>
      <w:r w:rsidR="006F5FC5" w:rsidRPr="00F7505F">
        <w:t xml:space="preserve">or </w:t>
      </w:r>
      <w:r w:rsidRPr="00F7505F">
        <w:t>call</w:t>
      </w:r>
      <w:r w:rsidR="00B870E5" w:rsidRPr="00F7505F">
        <w:t>s resolved by telephone advice.</w:t>
      </w:r>
    </w:p>
    <w:p w:rsidR="003A0D0C" w:rsidRPr="00F7505F" w:rsidRDefault="003A0D0C" w:rsidP="003A0D0C">
      <w:r w:rsidRPr="00F7505F">
        <w:t>All other Systems Indicators involve the dispatch of an ambulance, and include ambulances dispatched as a result of a call to NHS 111, as well as 999 or 112</w:t>
      </w:r>
      <w:r w:rsidR="00E6125B" w:rsidRPr="00F7505F">
        <w:t>.</w:t>
      </w:r>
    </w:p>
    <w:p w:rsidR="003A0D0C" w:rsidRPr="00F7505F" w:rsidRDefault="003A0D0C" w:rsidP="003A0D0C">
      <w:pPr>
        <w:pStyle w:val="Heading3"/>
      </w:pPr>
      <w:r w:rsidRPr="00F7505F">
        <w:t>Related statistics in England</w:t>
      </w:r>
    </w:p>
    <w:p w:rsidR="00784424" w:rsidRPr="00F7505F" w:rsidRDefault="008C5874" w:rsidP="00784424">
      <w:r w:rsidRPr="00F7505F">
        <w:t>A</w:t>
      </w:r>
      <w:r w:rsidR="003A0D0C" w:rsidRPr="00F7505F">
        <w:t xml:space="preserve"> </w:t>
      </w:r>
      <w:r w:rsidR="00E24BF5">
        <w:t>d</w:t>
      </w:r>
      <w:r w:rsidR="003A0D0C" w:rsidRPr="00F7505F">
        <w:t>ashboard</w:t>
      </w:r>
      <w:r w:rsidRPr="00F7505F">
        <w:t xml:space="preserve"> on </w:t>
      </w:r>
      <w:r w:rsidR="003A0D0C" w:rsidRPr="00F7505F">
        <w:t>the AQI landing page</w:t>
      </w:r>
      <w:r w:rsidRPr="00F7505F">
        <w:t xml:space="preserve"> </w:t>
      </w:r>
      <w:r w:rsidR="006F5FC5" w:rsidRPr="00F7505F">
        <w:t xml:space="preserve">presents an alternative layout for the </w:t>
      </w:r>
      <w:r w:rsidRPr="00F7505F">
        <w:t>AQI data</w:t>
      </w:r>
      <w:r w:rsidR="003A0D0C" w:rsidRPr="00F7505F">
        <w:t>.</w:t>
      </w:r>
      <w:r w:rsidR="00784424" w:rsidRPr="00F7505F">
        <w:t xml:space="preserve"> </w:t>
      </w:r>
      <w:r w:rsidR="006F5FC5" w:rsidRPr="00F7505F">
        <w:t xml:space="preserve">Because of the </w:t>
      </w:r>
      <w:r w:rsidRPr="00F7505F">
        <w:t>lack of comparability due to the Ambulance Response Programme (</w:t>
      </w:r>
      <w:r w:rsidR="006F5FC5" w:rsidRPr="00F7505F">
        <w:t xml:space="preserve">section </w:t>
      </w:r>
      <w:r w:rsidR="00056629">
        <w:t>1.3</w:t>
      </w:r>
      <w:r w:rsidRPr="00F7505F">
        <w:t>)</w:t>
      </w:r>
      <w:r w:rsidR="006F5FC5" w:rsidRPr="00F7505F">
        <w:t xml:space="preserve">, </w:t>
      </w:r>
      <w:r w:rsidR="00784424" w:rsidRPr="00F7505F">
        <w:t xml:space="preserve">NHS England </w:t>
      </w:r>
      <w:r w:rsidRPr="00F7505F">
        <w:t>last</w:t>
      </w:r>
      <w:r w:rsidR="00A06052" w:rsidRPr="00F7505F">
        <w:t xml:space="preserve"> updat</w:t>
      </w:r>
      <w:r w:rsidRPr="00F7505F">
        <w:t>ed the dashboard</w:t>
      </w:r>
      <w:r w:rsidR="00784424" w:rsidRPr="00F7505F">
        <w:t xml:space="preserve"> </w:t>
      </w:r>
      <w:r w:rsidR="00A06052" w:rsidRPr="00F7505F">
        <w:t>in April 2016</w:t>
      </w:r>
      <w:r w:rsidR="00784424" w:rsidRPr="00F7505F">
        <w:t>.</w:t>
      </w:r>
    </w:p>
    <w:p w:rsidR="003A0D0C" w:rsidRPr="00F7505F" w:rsidRDefault="00784424" w:rsidP="003A0D0C">
      <w:r w:rsidRPr="00F7505F">
        <w:t>The AQI were also used in the “Ambulance Services” publications</w:t>
      </w:r>
      <w:r w:rsidR="001671E7" w:rsidRPr="00F7505F">
        <w:rPr>
          <w:rStyle w:val="FootnoteReference"/>
        </w:rPr>
        <w:footnoteReference w:id="8"/>
      </w:r>
      <w:r w:rsidRPr="00F7505F">
        <w:t xml:space="preserve"> by NHS Digital, which included additional annual analysis and commentary</w:t>
      </w:r>
      <w:r w:rsidR="001671E7" w:rsidRPr="00F7505F">
        <w:t xml:space="preserve">, up to and including 2014-15 data. </w:t>
      </w:r>
      <w:r w:rsidR="003A0D0C" w:rsidRPr="00F7505F">
        <w:t xml:space="preserve">The Quality Statement described in section </w:t>
      </w:r>
      <w:r w:rsidR="009D5004">
        <w:t>2</w:t>
      </w:r>
      <w:r w:rsidR="00056629">
        <w:t>.</w:t>
      </w:r>
      <w:r w:rsidR="003A0D0C" w:rsidRPr="00F7505F">
        <w:t xml:space="preserve">1 </w:t>
      </w:r>
      <w:r w:rsidR="001671E7" w:rsidRPr="00F7505F">
        <w:t xml:space="preserve">has </w:t>
      </w:r>
      <w:r w:rsidR="003A0D0C" w:rsidRPr="00F7505F">
        <w:t>more information on</w:t>
      </w:r>
      <w:r w:rsidR="001671E7" w:rsidRPr="00F7505F">
        <w:t xml:space="preserve"> this</w:t>
      </w:r>
      <w:r w:rsidR="0068308C">
        <w:t xml:space="preserve"> publication.</w:t>
      </w:r>
      <w:r w:rsidR="005B65FB">
        <w:t xml:space="preserve"> </w:t>
      </w:r>
      <w:r w:rsidR="0068308C">
        <w:t xml:space="preserve">The Quality Statement </w:t>
      </w:r>
      <w:r w:rsidR="003A0D0C" w:rsidRPr="00F7505F">
        <w:t>also contains details of weekly ambulance situation reports that NHS England collected for six months from November 2010.</w:t>
      </w:r>
    </w:p>
    <w:p w:rsidR="006F5FC5" w:rsidRPr="00F7505F" w:rsidRDefault="006F5FC5" w:rsidP="006F5FC5">
      <w:r w:rsidRPr="00F7505F">
        <w:t xml:space="preserve">Ambulance handover delays of over 30 minutes at each Emergency Department were collected and published by NHS England </w:t>
      </w:r>
      <w:r w:rsidR="0068308C">
        <w:t xml:space="preserve">for </w:t>
      </w:r>
      <w:r w:rsidRPr="00F7505F">
        <w:t xml:space="preserve">winter </w:t>
      </w:r>
      <w:r w:rsidR="0068308C">
        <w:t xml:space="preserve">2012-13, 2013-14 and </w:t>
      </w:r>
      <w:r w:rsidRPr="00F7505F">
        <w:t xml:space="preserve">2014-15: </w:t>
      </w:r>
      <w:hyperlink r:id="rId19" w:history="1">
        <w:r w:rsidRPr="00F7505F">
          <w:rPr>
            <w:rStyle w:val="Hyperlink"/>
          </w:rPr>
          <w:t>www.england.nhs.uk/statistics/statistical-work-areas/winter-daily-sitreps</w:t>
        </w:r>
      </w:hyperlink>
      <w:r w:rsidR="0068308C">
        <w:rPr>
          <w:rStyle w:val="Hyperlink"/>
        </w:rPr>
        <w:t>.</w:t>
      </w:r>
    </w:p>
    <w:p w:rsidR="003A0D0C" w:rsidRPr="00F7505F" w:rsidRDefault="003A0D0C" w:rsidP="003A0D0C">
      <w:pPr>
        <w:pStyle w:val="Heading3"/>
      </w:pPr>
      <w:r w:rsidRPr="00F7505F">
        <w:t xml:space="preserve">Rest of </w:t>
      </w:r>
      <w:r w:rsidR="00D124B3" w:rsidRPr="00F7505F">
        <w:t>United Kingdom</w:t>
      </w:r>
    </w:p>
    <w:p w:rsidR="003A0D0C" w:rsidRPr="00F7505F" w:rsidRDefault="003A0D0C" w:rsidP="003A0D0C">
      <w:pPr>
        <w:rPr>
          <w:rFonts w:cs="Arial"/>
        </w:rPr>
      </w:pPr>
      <w:r w:rsidRPr="00F7505F">
        <w:rPr>
          <w:rFonts w:cs="Arial"/>
        </w:rPr>
        <w:t xml:space="preserve">Ambulance statistics for other countries of the UK can be found at the following websites. The Quality Statement described in section </w:t>
      </w:r>
      <w:r w:rsidR="009D5004">
        <w:rPr>
          <w:rFonts w:cs="Arial"/>
        </w:rPr>
        <w:t>2</w:t>
      </w:r>
      <w:r w:rsidR="00056629">
        <w:rPr>
          <w:rFonts w:cs="Arial"/>
        </w:rPr>
        <w:t>.</w:t>
      </w:r>
      <w:r w:rsidRPr="00F7505F">
        <w:rPr>
          <w:rFonts w:cs="Arial"/>
        </w:rPr>
        <w:t>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RPr="00F7505F" w:rsidTr="008C5874">
        <w:trPr>
          <w:trHeight w:val="454"/>
        </w:trPr>
        <w:tc>
          <w:tcPr>
            <w:tcW w:w="1242" w:type="dxa"/>
          </w:tcPr>
          <w:p w:rsidR="003A0D0C" w:rsidRPr="00F7505F" w:rsidRDefault="003A0D0C" w:rsidP="002221E6">
            <w:pPr>
              <w:pStyle w:val="NoSpacing"/>
            </w:pPr>
            <w:r w:rsidRPr="00F7505F">
              <w:t>Wales:</w:t>
            </w:r>
          </w:p>
        </w:tc>
        <w:tc>
          <w:tcPr>
            <w:tcW w:w="7280" w:type="dxa"/>
          </w:tcPr>
          <w:p w:rsidR="003A0D0C" w:rsidRPr="00F7505F" w:rsidRDefault="009D5004" w:rsidP="00A06052">
            <w:pPr>
              <w:pStyle w:val="NoSpacing"/>
            </w:pPr>
            <w:hyperlink r:id="rId20" w:history="1">
              <w:r w:rsidR="00A06052" w:rsidRPr="00F7505F">
                <w:rPr>
                  <w:rStyle w:val="Hyperlink"/>
                </w:rPr>
                <w:t>http://wales.gov.uk/statistics-and-research/ambulance-services</w:t>
              </w:r>
            </w:hyperlink>
          </w:p>
        </w:tc>
      </w:tr>
      <w:tr w:rsidR="003A0D0C" w:rsidRPr="00F7505F" w:rsidTr="008C5874">
        <w:trPr>
          <w:trHeight w:val="680"/>
        </w:trPr>
        <w:tc>
          <w:tcPr>
            <w:tcW w:w="1242" w:type="dxa"/>
          </w:tcPr>
          <w:p w:rsidR="003A0D0C" w:rsidRPr="00F7505F" w:rsidRDefault="003A0D0C" w:rsidP="002221E6">
            <w:pPr>
              <w:pStyle w:val="NoSpacing"/>
            </w:pPr>
            <w:r w:rsidRPr="00F7505F">
              <w:t>Scotland:</w:t>
            </w:r>
          </w:p>
        </w:tc>
        <w:tc>
          <w:tcPr>
            <w:tcW w:w="7280" w:type="dxa"/>
          </w:tcPr>
          <w:p w:rsidR="003A0D0C" w:rsidRPr="00F7505F" w:rsidRDefault="003A0D0C" w:rsidP="002221E6">
            <w:pPr>
              <w:pStyle w:val="NoSpacing"/>
            </w:pPr>
            <w:r w:rsidRPr="00F7505F">
              <w:t xml:space="preserve">See </w:t>
            </w:r>
            <w:r w:rsidRPr="00F7505F">
              <w:rPr>
                <w:lang w:eastAsia="en-US"/>
              </w:rPr>
              <w:t>Quality Improvement Indicators (QII) documents at</w:t>
            </w:r>
            <w:r w:rsidRPr="00F7505F">
              <w:t xml:space="preserve"> </w:t>
            </w:r>
            <w:hyperlink r:id="rId21" w:history="1">
              <w:r w:rsidRPr="00F7505F">
                <w:rPr>
                  <w:rStyle w:val="Hyperlink"/>
                  <w:lang w:eastAsia="en-US"/>
                </w:rPr>
                <w:t>www.scottishambulance.com/TheService/BoardPapers.aspx</w:t>
              </w:r>
            </w:hyperlink>
          </w:p>
        </w:tc>
      </w:tr>
      <w:tr w:rsidR="003A0D0C" w:rsidRPr="00F7505F" w:rsidTr="008C5874">
        <w:trPr>
          <w:trHeight w:val="567"/>
        </w:trPr>
        <w:tc>
          <w:tcPr>
            <w:tcW w:w="1242" w:type="dxa"/>
          </w:tcPr>
          <w:p w:rsidR="003A0D0C" w:rsidRPr="00F7505F" w:rsidRDefault="003A0D0C" w:rsidP="002221E6">
            <w:pPr>
              <w:pStyle w:val="NoSpacing"/>
            </w:pPr>
            <w:r w:rsidRPr="00F7505F">
              <w:t>Northern Ireland:</w:t>
            </w:r>
          </w:p>
        </w:tc>
        <w:tc>
          <w:tcPr>
            <w:tcW w:w="7280" w:type="dxa"/>
          </w:tcPr>
          <w:p w:rsidR="003A0D0C" w:rsidRPr="00F7505F" w:rsidRDefault="009D5004" w:rsidP="008C5874">
            <w:pPr>
              <w:pStyle w:val="NoSpacing"/>
              <w:rPr>
                <w:lang w:eastAsia="en-US"/>
              </w:rPr>
            </w:pPr>
            <w:hyperlink r:id="rId22" w:history="1">
              <w:r w:rsidR="00DA2ABF" w:rsidRPr="00F7505F">
                <w:rPr>
                  <w:rStyle w:val="Hyperlink"/>
                </w:rPr>
                <w:t>www.health-ni.gov.uk/articles/emergency-care-and-ambulance-statistics</w:t>
              </w:r>
            </w:hyperlink>
          </w:p>
        </w:tc>
      </w:tr>
    </w:tbl>
    <w:p w:rsidR="00E11703" w:rsidRPr="00F7505F" w:rsidRDefault="00E11703" w:rsidP="00E11703">
      <w:pPr>
        <w:pStyle w:val="Heading3"/>
      </w:pPr>
      <w:r w:rsidRPr="00F7505F">
        <w:lastRenderedPageBreak/>
        <w:t>Contact information</w:t>
      </w:r>
    </w:p>
    <w:p w:rsidR="00E11703" w:rsidRPr="00F7505F" w:rsidRDefault="0068308C" w:rsidP="00E11703">
      <w:pPr>
        <w:autoSpaceDE w:val="0"/>
        <w:autoSpaceDN w:val="0"/>
        <w:adjustRightInd w:val="0"/>
        <w:rPr>
          <w:rFonts w:cs="Arial"/>
        </w:rPr>
      </w:pPr>
      <w:r>
        <w:rPr>
          <w:rFonts w:cs="Arial"/>
        </w:rPr>
        <w:t>P</w:t>
      </w:r>
      <w:r w:rsidR="00E11703" w:rsidRPr="00F7505F">
        <w:rPr>
          <w:rFonts w:cs="Arial"/>
        </w:rPr>
        <w:t>ress</w:t>
      </w:r>
      <w:r>
        <w:rPr>
          <w:rFonts w:cs="Arial"/>
        </w:rPr>
        <w:t>: NHS England press office,</w:t>
      </w:r>
      <w:r w:rsidR="00E11703" w:rsidRPr="00F7505F">
        <w:rPr>
          <w:rFonts w:cs="Arial"/>
        </w:rPr>
        <w:t xml:space="preserve"> </w:t>
      </w:r>
      <w:hyperlink r:id="rId23" w:history="1">
        <w:r w:rsidR="00E11703" w:rsidRPr="00F7505F">
          <w:rPr>
            <w:rStyle w:val="Hyperlink"/>
            <w:rFonts w:cs="Arial"/>
          </w:rPr>
          <w:t>nhsengland.media@nhs.net</w:t>
        </w:r>
      </w:hyperlink>
      <w:r>
        <w:rPr>
          <w:rStyle w:val="Hyperlink"/>
          <w:rFonts w:cs="Arial"/>
        </w:rPr>
        <w:t>,</w:t>
      </w:r>
      <w:r w:rsidRPr="0068308C">
        <w:rPr>
          <w:rFonts w:cs="Arial"/>
        </w:rPr>
        <w:t xml:space="preserve"> </w:t>
      </w:r>
      <w:r w:rsidRPr="00F7505F">
        <w:rPr>
          <w:rFonts w:cs="Arial"/>
        </w:rPr>
        <w:t>0113 825 0958</w:t>
      </w:r>
      <w:r>
        <w:rPr>
          <w:rFonts w:cs="Arial"/>
        </w:rPr>
        <w:t>.</w:t>
      </w:r>
    </w:p>
    <w:p w:rsidR="00E11703" w:rsidRPr="00F7505F" w:rsidRDefault="00E11703" w:rsidP="00E11703">
      <w:pPr>
        <w:autoSpaceDE w:val="0"/>
        <w:autoSpaceDN w:val="0"/>
        <w:adjustRightInd w:val="0"/>
        <w:rPr>
          <w:rFonts w:cs="Arial"/>
        </w:rPr>
      </w:pPr>
      <w:r w:rsidRPr="00F7505F">
        <w:rPr>
          <w:rFonts w:cs="Arial"/>
        </w:rPr>
        <w:t>The</w:t>
      </w:r>
      <w:r w:rsidR="001E75EA" w:rsidRPr="00F7505F">
        <w:rPr>
          <w:rFonts w:cs="Arial"/>
        </w:rPr>
        <w:t xml:space="preserve"> </w:t>
      </w:r>
      <w:r w:rsidR="00501034" w:rsidRPr="00F7505F">
        <w:rPr>
          <w:rFonts w:cs="Arial"/>
        </w:rPr>
        <w:t>person</w:t>
      </w:r>
      <w:r w:rsidRPr="00F7505F">
        <w:rPr>
          <w:rFonts w:cs="Arial"/>
        </w:rPr>
        <w:t xml:space="preserve"> responsible for producing </w:t>
      </w:r>
      <w:r w:rsidR="001E75EA" w:rsidRPr="00F7505F">
        <w:rPr>
          <w:rFonts w:cs="Arial"/>
        </w:rPr>
        <w:t xml:space="preserve">this publication </w:t>
      </w:r>
      <w:r w:rsidRPr="00F7505F">
        <w:rPr>
          <w:rFonts w:cs="Arial"/>
        </w:rPr>
        <w:t>is:</w:t>
      </w:r>
    </w:p>
    <w:p w:rsidR="00B26DEC" w:rsidRPr="00F7505F" w:rsidRDefault="00033D02" w:rsidP="00B26DEC">
      <w:pPr>
        <w:pStyle w:val="NoSpacing"/>
      </w:pPr>
      <w:r w:rsidRPr="00F7505F">
        <w:t>Ian Kay</w:t>
      </w:r>
      <w:r w:rsidR="00E11703" w:rsidRPr="00F7505F">
        <w:t xml:space="preserve">, </w:t>
      </w:r>
      <w:r w:rsidR="001E75EA" w:rsidRPr="00F7505F">
        <w:t xml:space="preserve">Operational Information for Commissioning </w:t>
      </w:r>
      <w:r w:rsidR="00E11703" w:rsidRPr="00F7505F">
        <w:t>(</w:t>
      </w:r>
      <w:r w:rsidR="009C348D" w:rsidRPr="00F7505F">
        <w:t>Central</w:t>
      </w:r>
      <w:r w:rsidR="00E11703" w:rsidRPr="00F7505F">
        <w:t>), NHS England</w:t>
      </w:r>
    </w:p>
    <w:p w:rsidR="00E11703" w:rsidRPr="00F7505F" w:rsidRDefault="00E11703" w:rsidP="00E11703">
      <w:r w:rsidRPr="00F7505F">
        <w:t xml:space="preserve">Room 5E24, Quarry House, Leeds, LS2 7UE; </w:t>
      </w:r>
      <w:r w:rsidR="00033D02" w:rsidRPr="00F7505F">
        <w:t>0113 825 4606</w:t>
      </w:r>
      <w:r w:rsidRPr="00F7505F">
        <w:t>;</w:t>
      </w:r>
      <w:r w:rsidR="00501034" w:rsidRPr="00F7505F">
        <w:t xml:space="preserve"> </w:t>
      </w:r>
      <w:hyperlink r:id="rId24" w:history="1">
        <w:r w:rsidR="00033D02" w:rsidRPr="00F7505F">
          <w:rPr>
            <w:rStyle w:val="Hyperlink"/>
          </w:rPr>
          <w:t>i.kay@nhs.net</w:t>
        </w:r>
      </w:hyperlink>
      <w:r w:rsidR="00501034" w:rsidRPr="00F7505F">
        <w:t xml:space="preserve"> </w:t>
      </w:r>
    </w:p>
    <w:p w:rsidR="00E11703" w:rsidRPr="00F7505F" w:rsidRDefault="00E11703" w:rsidP="003A0D0C">
      <w:pPr>
        <w:pStyle w:val="Heading3"/>
      </w:pPr>
      <w:r w:rsidRPr="00F7505F">
        <w:t>National Statistics</w:t>
      </w:r>
    </w:p>
    <w:p w:rsidR="00E11703" w:rsidRPr="00F7505F" w:rsidRDefault="00E204F2" w:rsidP="00E11703">
      <w:r w:rsidRPr="00F7505F">
        <w:t>The UK Statistics Authority has designated these statistics as National Statistics, in accordance with the Statistics and Registration Service Act 2007 and signifying compliance with the Code of Practice for Official Statistics</w:t>
      </w:r>
      <w:r w:rsidR="00E11703" w:rsidRPr="00F7505F">
        <w:t>.</w:t>
      </w:r>
    </w:p>
    <w:p w:rsidR="00E11703" w:rsidRPr="00F7505F" w:rsidRDefault="00E11703" w:rsidP="00E57244">
      <w:pPr>
        <w:pStyle w:val="NoSpacing"/>
      </w:pPr>
      <w:r w:rsidRPr="00F7505F">
        <w:t>Designation can be broadly interpreted to mean that the statistics:</w:t>
      </w:r>
    </w:p>
    <w:p w:rsidR="00E11703" w:rsidRPr="00F7505F" w:rsidRDefault="00E11703" w:rsidP="00E11703">
      <w:pPr>
        <w:pStyle w:val="ListBullet"/>
      </w:pPr>
      <w:r w:rsidRPr="00F7505F">
        <w:t>meet identified user needs;</w:t>
      </w:r>
    </w:p>
    <w:p w:rsidR="00E11703" w:rsidRPr="00F7505F" w:rsidRDefault="00E11703" w:rsidP="00E11703">
      <w:pPr>
        <w:pStyle w:val="ListBullet"/>
      </w:pPr>
      <w:r w:rsidRPr="00F7505F">
        <w:t>are well explained and readily accessible;</w:t>
      </w:r>
    </w:p>
    <w:p w:rsidR="00E11703" w:rsidRPr="00F7505F" w:rsidRDefault="00E11703" w:rsidP="00E11703">
      <w:pPr>
        <w:pStyle w:val="ListBullet"/>
      </w:pPr>
      <w:r w:rsidRPr="00F7505F">
        <w:t>are produced according to sound methods; and</w:t>
      </w:r>
    </w:p>
    <w:p w:rsidR="00E11703" w:rsidRPr="00F7505F" w:rsidRDefault="00E11703" w:rsidP="00E11703">
      <w:pPr>
        <w:pStyle w:val="ListBullet"/>
      </w:pPr>
      <w:proofErr w:type="gramStart"/>
      <w:r w:rsidRPr="00F7505F">
        <w:t>are</w:t>
      </w:r>
      <w:proofErr w:type="gramEnd"/>
      <w:r w:rsidRPr="00F7505F">
        <w:t xml:space="preserve"> managed impartially and objectively in the public interest.</w:t>
      </w:r>
    </w:p>
    <w:p w:rsidR="00E11703" w:rsidRDefault="00E11703" w:rsidP="00E61830">
      <w:r w:rsidRPr="00F7505F">
        <w:t>Once statistics have been designated as National Statistics it is a statutory requirement that the Code of Practice shall continue to be observed.</w:t>
      </w:r>
    </w:p>
    <w:sectPr w:rsidR="00E11703" w:rsidSect="002E3688">
      <w:headerReference w:type="default" r:id="rId25"/>
      <w:footerReference w:type="default" r:id="rId26"/>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0F" w:rsidRDefault="0039620F" w:rsidP="008C63D3">
      <w:r>
        <w:separator/>
      </w:r>
    </w:p>
  </w:endnote>
  <w:endnote w:type="continuationSeparator" w:id="0">
    <w:p w:rsidR="0039620F" w:rsidRDefault="0039620F"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0F" w:rsidRDefault="0039620F" w:rsidP="00E924D4">
    <w:pPr>
      <w:pStyle w:val="Footer"/>
      <w:tabs>
        <w:tab w:val="clear" w:pos="9026"/>
        <w:tab w:val="left" w:pos="5025"/>
        <w:tab w:val="right" w:pos="8364"/>
      </w:tabs>
    </w:pPr>
    <w:r>
      <w:t xml:space="preserve">NHS England AQI Statistical Note, </w:t>
    </w:r>
    <w:r w:rsidR="00ED2C8E">
      <w:t>14 December</w:t>
    </w:r>
    <w:r>
      <w:t xml:space="preserve"> 2017.</w:t>
    </w:r>
    <w:r>
      <w:tab/>
    </w:r>
    <w:r>
      <w:tab/>
      <w:t xml:space="preserve">Page </w:t>
    </w:r>
    <w:r>
      <w:fldChar w:fldCharType="begin"/>
    </w:r>
    <w:r>
      <w:instrText xml:space="preserve"> PAGE   \* MERGEFORMAT </w:instrText>
    </w:r>
    <w:r>
      <w:fldChar w:fldCharType="separate"/>
    </w:r>
    <w:r w:rsidR="009D5004">
      <w:rPr>
        <w:noProof/>
      </w:rPr>
      <w:t>6</w:t>
    </w:r>
    <w:r>
      <w:rPr>
        <w:noProof/>
      </w:rPr>
      <w:fldChar w:fldCharType="end"/>
    </w:r>
    <w:r>
      <w:rPr>
        <w:noProof/>
      </w:rPr>
      <w:t xml:space="preserve"> of </w:t>
    </w:r>
    <w:fldSimple w:instr=" NUMPAGES   \* MERGEFORMAT ">
      <w:r w:rsidR="009D5004">
        <w:rPr>
          <w:noProo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0F" w:rsidRDefault="0039620F" w:rsidP="008C63D3">
      <w:r>
        <w:separator/>
      </w:r>
    </w:p>
  </w:footnote>
  <w:footnote w:type="continuationSeparator" w:id="0">
    <w:p w:rsidR="0039620F" w:rsidRDefault="0039620F" w:rsidP="008C63D3">
      <w:r>
        <w:continuationSeparator/>
      </w:r>
    </w:p>
  </w:footnote>
  <w:footnote w:id="1">
    <w:p w:rsidR="0039620F" w:rsidRDefault="0039620F" w:rsidP="00E65E27">
      <w:pPr>
        <w:pStyle w:val="Footer"/>
      </w:pPr>
      <w:r>
        <w:rPr>
          <w:rStyle w:val="FootnoteReference"/>
        </w:rPr>
        <w:footnoteRef/>
      </w:r>
      <w:r>
        <w:t xml:space="preserve"> Page 34 of the July 2015 </w:t>
      </w:r>
      <w:r w:rsidRPr="000F3EC8">
        <w:t>Handbook to the NHS Constitution</w:t>
      </w:r>
      <w:r>
        <w:t xml:space="preserve"> has</w:t>
      </w:r>
      <w:r w:rsidR="00AD2A09">
        <w:t xml:space="preserve"> the previous</w:t>
      </w:r>
      <w:r w:rsidRPr="00774123">
        <w:t xml:space="preserve"> </w:t>
      </w:r>
      <w:r>
        <w:t xml:space="preserve">Ambulance response standards, </w:t>
      </w:r>
      <w:hyperlink r:id="rId1" w:history="1">
        <w:r w:rsidRPr="000B169C">
          <w:rPr>
            <w:rStyle w:val="Hyperlink"/>
          </w:rPr>
          <w:t>www.gov.uk/government/publications/supplements-to-the-nhs-constitution-for-england</w:t>
        </w:r>
      </w:hyperlink>
      <w:r>
        <w:t>.</w:t>
      </w:r>
    </w:p>
    <w:p w:rsidR="0039620F" w:rsidRPr="00E65E27" w:rsidRDefault="0039620F" w:rsidP="00E65E27">
      <w:pPr>
        <w:pStyle w:val="Footer"/>
      </w:pPr>
    </w:p>
  </w:footnote>
  <w:footnote w:id="2">
    <w:p w:rsidR="00E73CB7" w:rsidRDefault="0039620F" w:rsidP="00B23A7D">
      <w:pPr>
        <w:pStyle w:val="Footer"/>
      </w:pPr>
      <w:r>
        <w:rPr>
          <w:rStyle w:val="FootnoteReference"/>
        </w:rPr>
        <w:footnoteRef/>
      </w:r>
      <w:r>
        <w:t xml:space="preserve"> </w:t>
      </w:r>
      <w:r w:rsidR="00B23A7D">
        <w:t xml:space="preserve">Category A no longer </w:t>
      </w:r>
      <w:proofErr w:type="gramStart"/>
      <w:r w:rsidR="00B23A7D">
        <w:t>applies,</w:t>
      </w:r>
      <w:proofErr w:type="gramEnd"/>
      <w:r w:rsidR="00B23A7D">
        <w:t xml:space="preserve"> and so data are unavailable, for South Western (SWAS) and Yorkshire (YAS) from April 2016, West Midlands (WMAS) from June 2016, and East Midlands (EMAS) and North West (NWAS) </w:t>
      </w:r>
      <w:r w:rsidR="00E73CB7">
        <w:t xml:space="preserve">Ambulance Services </w:t>
      </w:r>
      <w:r w:rsidR="00B23A7D">
        <w:t xml:space="preserve">after July 2017. See section 1.3 on the </w:t>
      </w:r>
      <w:r w:rsidR="00E73CB7">
        <w:t>Clinical Coding Review</w:t>
      </w:r>
      <w:r w:rsidR="00B23A7D">
        <w:t>.</w:t>
      </w:r>
    </w:p>
    <w:p w:rsidR="0039620F" w:rsidRDefault="00B23A7D" w:rsidP="00B23A7D">
      <w:pPr>
        <w:pStyle w:val="Footer"/>
      </w:pPr>
      <w:r>
        <w:t>Also, after February 2015, changes in operational practice meant that Red 2 response data are still available but not always comparable; see section 1.2 on Dispatch on Disposition</w:t>
      </w:r>
      <w:r w:rsidR="0039620F">
        <w:t>.</w:t>
      </w:r>
    </w:p>
    <w:p w:rsidR="0039620F" w:rsidRDefault="0039620F" w:rsidP="00E65E27">
      <w:pPr>
        <w:pStyle w:val="Footer"/>
      </w:pPr>
    </w:p>
    <w:p w:rsidR="0039620F" w:rsidRDefault="0039620F" w:rsidP="00E65E27">
      <w:pPr>
        <w:pStyle w:val="Footer"/>
      </w:pPr>
      <w:r>
        <w:t xml:space="preserve">The Red 1 and Red 2 divisions of </w:t>
      </w:r>
      <w:r w:rsidRPr="00340492">
        <w:t xml:space="preserve">Category </w:t>
      </w:r>
      <w:proofErr w:type="gramStart"/>
      <w:r w:rsidRPr="00340492">
        <w:t>A</w:t>
      </w:r>
      <w:proofErr w:type="gramEnd"/>
      <w:r w:rsidRPr="00340492">
        <w:t xml:space="preserve"> (immediately life-threatening)</w:t>
      </w:r>
      <w:r>
        <w:t xml:space="preserve"> calls were created on 1 June 2012.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r>
        <w:t>.</w:t>
      </w:r>
    </w:p>
  </w:footnote>
  <w:footnote w:id="3">
    <w:p w:rsidR="003E46EC" w:rsidRDefault="003E46EC" w:rsidP="003E46EC">
      <w:pPr>
        <w:pStyle w:val="FootnoteText"/>
      </w:pPr>
      <w:r>
        <w:rPr>
          <w:rStyle w:val="FootnoteReference"/>
        </w:rPr>
        <w:footnoteRef/>
      </w:r>
      <w:r>
        <w:t xml:space="preserve"> The Isle of Wight (IOW) contains 0.3% of the resident population of England. Its data, available in the accompanying spreadsheets, </w:t>
      </w:r>
      <w:r w:rsidRPr="00A44168">
        <w:t>vary more than other trusts</w:t>
      </w:r>
      <w:r>
        <w:t xml:space="preserve"> due to its small size. In this document, i</w:t>
      </w:r>
      <w:r w:rsidRPr="00A44168">
        <w:t xml:space="preserve">f </w:t>
      </w:r>
      <w:r>
        <w:t>IOW</w:t>
      </w:r>
      <w:r w:rsidRPr="00A44168">
        <w:t xml:space="preserve"> has</w:t>
      </w:r>
      <w:r>
        <w:t xml:space="preserve"> the largest or smallest value, we report the second largest or smallest value instead.</w:t>
      </w:r>
    </w:p>
    <w:p w:rsidR="003E46EC" w:rsidRDefault="003E46EC" w:rsidP="003E46EC">
      <w:pPr>
        <w:pStyle w:val="FootnoteText"/>
      </w:pPr>
    </w:p>
  </w:footnote>
  <w:footnote w:id="4">
    <w:p w:rsidR="00B23A7D" w:rsidRDefault="00B23A7D" w:rsidP="00B23A7D">
      <w:pPr>
        <w:pStyle w:val="FootnoteText"/>
      </w:pPr>
      <w:r>
        <w:rPr>
          <w:rStyle w:val="FootnoteReference"/>
        </w:rPr>
        <w:footnoteRef/>
      </w:r>
      <w:r>
        <w:t xml:space="preserve"> Dispatch on </w:t>
      </w:r>
      <w:r w:rsidR="008E09FA">
        <w:t>Disposition</w:t>
      </w:r>
      <w:r>
        <w:t xml:space="preserve"> announcement: </w:t>
      </w:r>
      <w:hyperlink r:id="rId3" w:history="1">
        <w:r w:rsidRPr="00F31182">
          <w:rPr>
            <w:rStyle w:val="Hyperlink"/>
          </w:rPr>
          <w:t>www.parliament.uk/business/publications/written-questions-answers-statements/written-statement/Commons/2015-01-16/HCWS201</w:t>
        </w:r>
      </w:hyperlink>
      <w:r>
        <w:t xml:space="preserve"> </w:t>
      </w:r>
    </w:p>
  </w:footnote>
  <w:footnote w:id="5">
    <w:p w:rsidR="0039620F" w:rsidRDefault="0039620F">
      <w:pPr>
        <w:pStyle w:val="FootnoteText"/>
      </w:pPr>
      <w:r>
        <w:rPr>
          <w:rStyle w:val="FootnoteReference"/>
        </w:rPr>
        <w:footnoteRef/>
      </w:r>
      <w:r>
        <w:t xml:space="preserve"> </w:t>
      </w:r>
      <w:r w:rsidRPr="00C62D2F">
        <w:t xml:space="preserve">All EMAS data for July 2017 is unavailable from 19 July onwards, when they implemented CCR. Per day calculations </w:t>
      </w:r>
      <w:r>
        <w:t>in Section 1.</w:t>
      </w:r>
      <w:r w:rsidR="009D5004">
        <w:t>7</w:t>
      </w:r>
      <w:r w:rsidR="002578B4">
        <w:t xml:space="preserve">, but not </w:t>
      </w:r>
      <w:bookmarkStart w:id="0" w:name="_GoBack"/>
      <w:r w:rsidR="002578B4">
        <w:t>Figu</w:t>
      </w:r>
      <w:bookmarkEnd w:id="0"/>
      <w:r w:rsidR="002578B4">
        <w:t>re 4,</w:t>
      </w:r>
      <w:r w:rsidRPr="00C62D2F">
        <w:t xml:space="preserve"> </w:t>
      </w:r>
      <w:r w:rsidR="002578B4">
        <w:t>scale up EMAS July data by 31/18</w:t>
      </w:r>
      <w:r w:rsidRPr="00C62D2F">
        <w:t xml:space="preserve"> to </w:t>
      </w:r>
      <w:r w:rsidR="002578B4">
        <w:t>compensate</w:t>
      </w:r>
      <w:r>
        <w:t>.</w:t>
      </w:r>
    </w:p>
    <w:p w:rsidR="0039620F" w:rsidRDefault="0039620F">
      <w:pPr>
        <w:pStyle w:val="FootnoteText"/>
      </w:pPr>
    </w:p>
  </w:footnote>
  <w:footnote w:id="6">
    <w:p w:rsidR="0039620F" w:rsidRPr="00E65E27" w:rsidRDefault="0039620F" w:rsidP="00E65E27">
      <w:pPr>
        <w:pStyle w:val="Footer"/>
      </w:pPr>
      <w:r>
        <w:rPr>
          <w:rStyle w:val="FootnoteReference"/>
        </w:rPr>
        <w:footnoteRef/>
      </w:r>
      <w:r>
        <w:t xml:space="preserve"> </w:t>
      </w:r>
      <w:r w:rsidRPr="00C71776">
        <w:t>The number of</w:t>
      </w:r>
      <w:r>
        <w:t xml:space="preserve"> </w:t>
      </w:r>
      <w:r w:rsidRPr="00C71776">
        <w:t xml:space="preserve">calls presented </w:t>
      </w:r>
      <w:r>
        <w:t>to switchboard</w:t>
      </w:r>
      <w:r w:rsidRPr="00C71776">
        <w:t xml:space="preserve"> </w:t>
      </w:r>
      <w:r>
        <w:t xml:space="preserve">does not usually include </w:t>
      </w:r>
      <w:r w:rsidRPr="00C71776">
        <w:t xml:space="preserve">calls to </w:t>
      </w:r>
      <w:r>
        <w:t xml:space="preserve">NHS </w:t>
      </w:r>
      <w:r w:rsidRPr="00C71776">
        <w:t xml:space="preserve">111 </w:t>
      </w:r>
      <w:r>
        <w:t>requiring</w:t>
      </w:r>
      <w:r w:rsidRPr="00C71776">
        <w:t xml:space="preserve"> an ambulance</w:t>
      </w:r>
      <w:r w:rsidR="000871A5">
        <w:t xml:space="preserve">, which are </w:t>
      </w:r>
      <w:r>
        <w:t xml:space="preserve">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s are made between </w:t>
      </w:r>
      <w:r w:rsidRPr="00C71776">
        <w:t xml:space="preserve">111 </w:t>
      </w:r>
      <w:r>
        <w:t xml:space="preserve">and 999 </w:t>
      </w:r>
      <w:r w:rsidRPr="00C71776">
        <w:t>call handler</w:t>
      </w:r>
      <w:r>
        <w:t>s</w:t>
      </w:r>
      <w:r w:rsidR="000C4B45">
        <w:t>. S</w:t>
      </w:r>
      <w:r>
        <w:t xml:space="preserve">uch calls </w:t>
      </w:r>
      <w:r w:rsidRPr="00C71776">
        <w:t xml:space="preserve">are included in </w:t>
      </w:r>
      <w:r>
        <w:t>the numbers of emergency calls presented to switchboard.</w:t>
      </w:r>
    </w:p>
  </w:footnote>
  <w:footnote w:id="7">
    <w:p w:rsidR="00CC3F51" w:rsidRDefault="00CC3F51">
      <w:pPr>
        <w:pStyle w:val="FootnoteText"/>
      </w:pPr>
      <w:r w:rsidRPr="002557A0">
        <w:rPr>
          <w:rStyle w:val="FootnoteReference"/>
        </w:rPr>
        <w:footnoteRef/>
      </w:r>
      <w:r w:rsidRPr="002557A0">
        <w:t xml:space="preserve"> For all measures except for ‘Calls resolved without transport to Type 1 or Type 2 </w:t>
      </w:r>
      <w:proofErr w:type="gramStart"/>
      <w:r w:rsidRPr="002557A0">
        <w:t>A&amp;E</w:t>
      </w:r>
      <w:proofErr w:type="gramEnd"/>
      <w:r w:rsidRPr="002557A0">
        <w:t xml:space="preserve">’, </w:t>
      </w:r>
      <w:r w:rsidR="006354D2" w:rsidRPr="002557A0">
        <w:t>this table</w:t>
      </w:r>
      <w:r w:rsidRPr="002557A0">
        <w:t xml:space="preserve"> exclude</w:t>
      </w:r>
      <w:r w:rsidR="006354D2" w:rsidRPr="002557A0">
        <w:t>s</w:t>
      </w:r>
      <w:r w:rsidRPr="002557A0">
        <w:t xml:space="preserve"> the trusts reporting new Systems Indicators (NWAS, EMAS</w:t>
      </w:r>
      <w:r w:rsidR="00B573A2" w:rsidRPr="002557A0">
        <w:t>, WMAS, YAS</w:t>
      </w:r>
      <w:r w:rsidR="00ED2C8E" w:rsidRPr="002557A0">
        <w:t>, EastAmb</w:t>
      </w:r>
      <w:r w:rsidRPr="002557A0">
        <w:t>).</w:t>
      </w:r>
    </w:p>
  </w:footnote>
  <w:footnote w:id="8">
    <w:p w:rsidR="0039620F" w:rsidRDefault="0039620F" w:rsidP="00E65E27">
      <w:pPr>
        <w:pStyle w:val="Footer"/>
      </w:pPr>
      <w:r>
        <w:rPr>
          <w:rStyle w:val="FootnoteReference"/>
        </w:rPr>
        <w:footnoteRef/>
      </w:r>
      <w:r>
        <w:t xml:space="preserve"> NHS Digital </w:t>
      </w:r>
      <w:r w:rsidR="00223080" w:rsidRPr="001671E7">
        <w:rPr>
          <w:i/>
        </w:rPr>
        <w:t>Ambulance Services</w:t>
      </w:r>
      <w:r w:rsidR="00223080">
        <w:t>:</w:t>
      </w:r>
      <w:r w:rsidR="00223080" w:rsidRPr="002A469D">
        <w:t xml:space="preserve"> </w:t>
      </w:r>
      <w:hyperlink r:id="rId4" w:history="1">
        <w:r w:rsidR="00223080" w:rsidRPr="00F016A4">
          <w:rPr>
            <w:rStyle w:val="Hyperlink"/>
          </w:rPr>
          <w:t>https://digital.nhs.uk/search?q=ambulance</w:t>
        </w:r>
      </w:hyperlink>
      <w:r w:rsidR="00E90986">
        <w:rPr>
          <w:rStyle w:val="Hyperlink"/>
          <w:color w:val="auto"/>
          <w:u w:val="none"/>
        </w:rPr>
        <w:t>.</w:t>
      </w:r>
      <w:hyperlink w:history="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0F" w:rsidRDefault="0039620F" w:rsidP="00003FCB">
    <w:pPr>
      <w:tabs>
        <w:tab w:val="left" w:pos="3255"/>
        <w:tab w:val="right" w:pos="9923"/>
      </w:tabs>
      <w:ind w:right="-238" w:hanging="851"/>
    </w:pPr>
    <w:r>
      <w:rPr>
        <w:noProof/>
      </w:rPr>
      <w:drawing>
        <wp:anchor distT="0" distB="0" distL="114300" distR="114300" simplePos="0" relativeHeight="251658240" behindDoc="0" locked="0" layoutInCell="1" allowOverlap="1" wp14:anchorId="400EEA82" wp14:editId="17474F80">
          <wp:simplePos x="0" y="0"/>
          <wp:positionH relativeFrom="column">
            <wp:posOffset>5148580</wp:posOffset>
          </wp:positionH>
          <wp:positionV relativeFrom="paragraph">
            <wp:posOffset>0</wp:posOffset>
          </wp:positionV>
          <wp:extent cx="1155600" cy="720000"/>
          <wp:effectExtent l="0" t="0" r="6985" b="4445"/>
          <wp:wrapSquare wrapText="bothSides"/>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600" cy="72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5C1A5E9" wp14:editId="1106AF45">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9E45DBE"/>
    <w:lvl w:ilvl="0">
      <w:start w:val="1"/>
      <w:numFmt w:val="decimal"/>
      <w:lvlText w:val="%1."/>
      <w:lvlJc w:val="left"/>
      <w:pPr>
        <w:tabs>
          <w:tab w:val="num" w:pos="643"/>
        </w:tabs>
        <w:ind w:left="643" w:hanging="360"/>
      </w:pPr>
    </w:lvl>
  </w:abstractNum>
  <w:abstractNum w:abstractNumId="1">
    <w:nsid w:val="FFFFFF83"/>
    <w:multiLevelType w:val="singleLevel"/>
    <w:tmpl w:val="428C4A0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C10C4D"/>
    <w:multiLevelType w:val="multilevel"/>
    <w:tmpl w:val="31AE31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264FB3"/>
    <w:multiLevelType w:val="multilevel"/>
    <w:tmpl w:val="0ACC791A"/>
    <w:lvl w:ilvl="0">
      <w:start w:val="1"/>
      <w:numFmt w:val="decimal"/>
      <w:pStyle w:val="Heading2"/>
      <w:lvlText w:val="%1."/>
      <w:lvlJc w:val="left"/>
      <w:pPr>
        <w:ind w:left="709" w:hanging="567"/>
      </w:pPr>
      <w:rPr>
        <w:rFonts w:hint="default"/>
      </w:rPr>
    </w:lvl>
    <w:lvl w:ilvl="1">
      <w:start w:val="1"/>
      <w:numFmt w:val="decimal"/>
      <w:pStyle w:val="Heading3"/>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12"/>
  </w:num>
  <w:num w:numId="4">
    <w:abstractNumId w:val="13"/>
  </w:num>
  <w:num w:numId="5">
    <w:abstractNumId w:val="11"/>
  </w:num>
  <w:num w:numId="6">
    <w:abstractNumId w:val="15"/>
  </w:num>
  <w:num w:numId="7">
    <w:abstractNumId w:val="18"/>
  </w:num>
  <w:num w:numId="8">
    <w:abstractNumId w:val="6"/>
  </w:num>
  <w:num w:numId="9">
    <w:abstractNumId w:val="3"/>
  </w:num>
  <w:num w:numId="10">
    <w:abstractNumId w:val="1"/>
  </w:num>
  <w:num w:numId="11">
    <w:abstractNumId w:val="0"/>
  </w:num>
  <w:num w:numId="12">
    <w:abstractNumId w:val="2"/>
  </w:num>
  <w:num w:numId="13">
    <w:abstractNumId w:val="17"/>
  </w:num>
  <w:num w:numId="14">
    <w:abstractNumId w:val="8"/>
  </w:num>
  <w:num w:numId="15">
    <w:abstractNumId w:val="10"/>
  </w:num>
  <w:num w:numId="16">
    <w:abstractNumId w:val="9"/>
  </w:num>
  <w:num w:numId="17">
    <w:abstractNumId w:val="14"/>
  </w:num>
  <w:num w:numId="18">
    <w:abstractNumId w:val="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343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416"/>
    <w:rsid w:val="00002502"/>
    <w:rsid w:val="00002EFA"/>
    <w:rsid w:val="00003216"/>
    <w:rsid w:val="00003FCB"/>
    <w:rsid w:val="0000427B"/>
    <w:rsid w:val="0000477A"/>
    <w:rsid w:val="00004858"/>
    <w:rsid w:val="00006295"/>
    <w:rsid w:val="00007EAE"/>
    <w:rsid w:val="0001026F"/>
    <w:rsid w:val="00012199"/>
    <w:rsid w:val="00014432"/>
    <w:rsid w:val="00014FE0"/>
    <w:rsid w:val="000162BC"/>
    <w:rsid w:val="00017E64"/>
    <w:rsid w:val="00017EE8"/>
    <w:rsid w:val="00020F43"/>
    <w:rsid w:val="00022061"/>
    <w:rsid w:val="00022C19"/>
    <w:rsid w:val="00022C9A"/>
    <w:rsid w:val="00022DAC"/>
    <w:rsid w:val="00023720"/>
    <w:rsid w:val="000237A9"/>
    <w:rsid w:val="000245E2"/>
    <w:rsid w:val="00024821"/>
    <w:rsid w:val="00024DF5"/>
    <w:rsid w:val="000267E5"/>
    <w:rsid w:val="000274BA"/>
    <w:rsid w:val="0003046C"/>
    <w:rsid w:val="00030749"/>
    <w:rsid w:val="0003113C"/>
    <w:rsid w:val="00032244"/>
    <w:rsid w:val="00033CF1"/>
    <w:rsid w:val="00033D02"/>
    <w:rsid w:val="00035B25"/>
    <w:rsid w:val="00036949"/>
    <w:rsid w:val="00037039"/>
    <w:rsid w:val="00037F53"/>
    <w:rsid w:val="00040905"/>
    <w:rsid w:val="00040A6E"/>
    <w:rsid w:val="00041517"/>
    <w:rsid w:val="00042A5D"/>
    <w:rsid w:val="00043599"/>
    <w:rsid w:val="00043776"/>
    <w:rsid w:val="00044185"/>
    <w:rsid w:val="000442D5"/>
    <w:rsid w:val="00044823"/>
    <w:rsid w:val="00044C0E"/>
    <w:rsid w:val="000452BC"/>
    <w:rsid w:val="00045B64"/>
    <w:rsid w:val="00046485"/>
    <w:rsid w:val="000468C4"/>
    <w:rsid w:val="000506EC"/>
    <w:rsid w:val="00051663"/>
    <w:rsid w:val="000517B6"/>
    <w:rsid w:val="000534B8"/>
    <w:rsid w:val="0005385F"/>
    <w:rsid w:val="0005401E"/>
    <w:rsid w:val="000543A2"/>
    <w:rsid w:val="00054879"/>
    <w:rsid w:val="0005497C"/>
    <w:rsid w:val="000549C2"/>
    <w:rsid w:val="00054D5D"/>
    <w:rsid w:val="0005588D"/>
    <w:rsid w:val="0005599E"/>
    <w:rsid w:val="00055BFC"/>
    <w:rsid w:val="00056629"/>
    <w:rsid w:val="0006032A"/>
    <w:rsid w:val="000609DB"/>
    <w:rsid w:val="00060FA5"/>
    <w:rsid w:val="000610E8"/>
    <w:rsid w:val="000617A5"/>
    <w:rsid w:val="00061E60"/>
    <w:rsid w:val="00063229"/>
    <w:rsid w:val="00063BB2"/>
    <w:rsid w:val="00064B43"/>
    <w:rsid w:val="00064EA6"/>
    <w:rsid w:val="00065110"/>
    <w:rsid w:val="00065321"/>
    <w:rsid w:val="000655B4"/>
    <w:rsid w:val="00065771"/>
    <w:rsid w:val="000670B6"/>
    <w:rsid w:val="0007000F"/>
    <w:rsid w:val="00070143"/>
    <w:rsid w:val="0007019A"/>
    <w:rsid w:val="000726E8"/>
    <w:rsid w:val="00072DE5"/>
    <w:rsid w:val="00075A31"/>
    <w:rsid w:val="000768E8"/>
    <w:rsid w:val="000776AF"/>
    <w:rsid w:val="0007786F"/>
    <w:rsid w:val="00077876"/>
    <w:rsid w:val="000801E2"/>
    <w:rsid w:val="0008051C"/>
    <w:rsid w:val="00081437"/>
    <w:rsid w:val="00082855"/>
    <w:rsid w:val="000842F7"/>
    <w:rsid w:val="00085A95"/>
    <w:rsid w:val="00085AC3"/>
    <w:rsid w:val="00085B01"/>
    <w:rsid w:val="000871A5"/>
    <w:rsid w:val="000871A7"/>
    <w:rsid w:val="00087A96"/>
    <w:rsid w:val="0009007C"/>
    <w:rsid w:val="000908B7"/>
    <w:rsid w:val="00091724"/>
    <w:rsid w:val="00092393"/>
    <w:rsid w:val="00092785"/>
    <w:rsid w:val="00092A97"/>
    <w:rsid w:val="00093756"/>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A5F85"/>
    <w:rsid w:val="000B17F3"/>
    <w:rsid w:val="000B1B66"/>
    <w:rsid w:val="000B2219"/>
    <w:rsid w:val="000B2586"/>
    <w:rsid w:val="000B3CED"/>
    <w:rsid w:val="000B6AA0"/>
    <w:rsid w:val="000B7582"/>
    <w:rsid w:val="000C13BF"/>
    <w:rsid w:val="000C2092"/>
    <w:rsid w:val="000C3202"/>
    <w:rsid w:val="000C4B45"/>
    <w:rsid w:val="000C7FCE"/>
    <w:rsid w:val="000D0AE3"/>
    <w:rsid w:val="000D14CB"/>
    <w:rsid w:val="000D3C15"/>
    <w:rsid w:val="000D3E20"/>
    <w:rsid w:val="000D3E6B"/>
    <w:rsid w:val="000D3FB5"/>
    <w:rsid w:val="000D48F7"/>
    <w:rsid w:val="000D4CAE"/>
    <w:rsid w:val="000D52EC"/>
    <w:rsid w:val="000D6BA7"/>
    <w:rsid w:val="000D71FF"/>
    <w:rsid w:val="000D7762"/>
    <w:rsid w:val="000E01B0"/>
    <w:rsid w:val="000E0E23"/>
    <w:rsid w:val="000E11CB"/>
    <w:rsid w:val="000E166D"/>
    <w:rsid w:val="000E22AD"/>
    <w:rsid w:val="000E3164"/>
    <w:rsid w:val="000E335D"/>
    <w:rsid w:val="000E3B6E"/>
    <w:rsid w:val="000E3E4B"/>
    <w:rsid w:val="000E4408"/>
    <w:rsid w:val="000E4972"/>
    <w:rsid w:val="000E4B6E"/>
    <w:rsid w:val="000E4D36"/>
    <w:rsid w:val="000E519E"/>
    <w:rsid w:val="000E6163"/>
    <w:rsid w:val="000E66BF"/>
    <w:rsid w:val="000E6F7C"/>
    <w:rsid w:val="000E78DB"/>
    <w:rsid w:val="000F027D"/>
    <w:rsid w:val="000F0D83"/>
    <w:rsid w:val="000F0EE3"/>
    <w:rsid w:val="000F18C2"/>
    <w:rsid w:val="000F2505"/>
    <w:rsid w:val="000F2BCC"/>
    <w:rsid w:val="000F30E2"/>
    <w:rsid w:val="000F37BB"/>
    <w:rsid w:val="000F3EC8"/>
    <w:rsid w:val="000F4631"/>
    <w:rsid w:val="000F537D"/>
    <w:rsid w:val="000F5B3F"/>
    <w:rsid w:val="000F5FB4"/>
    <w:rsid w:val="000F6221"/>
    <w:rsid w:val="001000B2"/>
    <w:rsid w:val="00104812"/>
    <w:rsid w:val="00104D7F"/>
    <w:rsid w:val="0010506D"/>
    <w:rsid w:val="0010634A"/>
    <w:rsid w:val="00106538"/>
    <w:rsid w:val="00107C32"/>
    <w:rsid w:val="00110E64"/>
    <w:rsid w:val="00111B6E"/>
    <w:rsid w:val="00113395"/>
    <w:rsid w:val="0011384E"/>
    <w:rsid w:val="0011502A"/>
    <w:rsid w:val="00115FF0"/>
    <w:rsid w:val="00116208"/>
    <w:rsid w:val="001171E8"/>
    <w:rsid w:val="00120401"/>
    <w:rsid w:val="00120422"/>
    <w:rsid w:val="00120424"/>
    <w:rsid w:val="00120442"/>
    <w:rsid w:val="00121B7D"/>
    <w:rsid w:val="0012242C"/>
    <w:rsid w:val="001248DF"/>
    <w:rsid w:val="001251FA"/>
    <w:rsid w:val="00125BBB"/>
    <w:rsid w:val="00126146"/>
    <w:rsid w:val="0012724F"/>
    <w:rsid w:val="001275F2"/>
    <w:rsid w:val="00127A5B"/>
    <w:rsid w:val="00127E1D"/>
    <w:rsid w:val="00127FD0"/>
    <w:rsid w:val="00130EBD"/>
    <w:rsid w:val="001313F0"/>
    <w:rsid w:val="00131F2B"/>
    <w:rsid w:val="00132DDA"/>
    <w:rsid w:val="00133520"/>
    <w:rsid w:val="001336E8"/>
    <w:rsid w:val="00135475"/>
    <w:rsid w:val="001359EC"/>
    <w:rsid w:val="00136E8B"/>
    <w:rsid w:val="0013777A"/>
    <w:rsid w:val="001405FE"/>
    <w:rsid w:val="001407C4"/>
    <w:rsid w:val="00140B7B"/>
    <w:rsid w:val="0014147C"/>
    <w:rsid w:val="001417C4"/>
    <w:rsid w:val="00143579"/>
    <w:rsid w:val="00144A92"/>
    <w:rsid w:val="00144FE3"/>
    <w:rsid w:val="00145595"/>
    <w:rsid w:val="00145910"/>
    <w:rsid w:val="00145BE4"/>
    <w:rsid w:val="00146165"/>
    <w:rsid w:val="00146D12"/>
    <w:rsid w:val="001476C3"/>
    <w:rsid w:val="00151236"/>
    <w:rsid w:val="0015128C"/>
    <w:rsid w:val="0015148C"/>
    <w:rsid w:val="00151567"/>
    <w:rsid w:val="00151AF2"/>
    <w:rsid w:val="0015216C"/>
    <w:rsid w:val="00153FA6"/>
    <w:rsid w:val="00155E50"/>
    <w:rsid w:val="00156A47"/>
    <w:rsid w:val="001571D1"/>
    <w:rsid w:val="001577CC"/>
    <w:rsid w:val="001601F1"/>
    <w:rsid w:val="00160F31"/>
    <w:rsid w:val="00163FFB"/>
    <w:rsid w:val="00164BB4"/>
    <w:rsid w:val="0016646E"/>
    <w:rsid w:val="0016693E"/>
    <w:rsid w:val="00166DF4"/>
    <w:rsid w:val="001671E7"/>
    <w:rsid w:val="0016743F"/>
    <w:rsid w:val="00167741"/>
    <w:rsid w:val="00170786"/>
    <w:rsid w:val="001712AD"/>
    <w:rsid w:val="0017190E"/>
    <w:rsid w:val="0017232F"/>
    <w:rsid w:val="0017281D"/>
    <w:rsid w:val="001747C9"/>
    <w:rsid w:val="00174FF6"/>
    <w:rsid w:val="00175513"/>
    <w:rsid w:val="0017577C"/>
    <w:rsid w:val="00175B12"/>
    <w:rsid w:val="00175B50"/>
    <w:rsid w:val="00175E6C"/>
    <w:rsid w:val="00175F86"/>
    <w:rsid w:val="00176BAA"/>
    <w:rsid w:val="00176BC0"/>
    <w:rsid w:val="00176F43"/>
    <w:rsid w:val="0017739F"/>
    <w:rsid w:val="00177CDB"/>
    <w:rsid w:val="00181692"/>
    <w:rsid w:val="00182614"/>
    <w:rsid w:val="00182E71"/>
    <w:rsid w:val="001847B2"/>
    <w:rsid w:val="00184E60"/>
    <w:rsid w:val="0018522B"/>
    <w:rsid w:val="001857AC"/>
    <w:rsid w:val="00186446"/>
    <w:rsid w:val="001876F0"/>
    <w:rsid w:val="0019011B"/>
    <w:rsid w:val="00190332"/>
    <w:rsid w:val="00190BCC"/>
    <w:rsid w:val="001911D8"/>
    <w:rsid w:val="00191AB9"/>
    <w:rsid w:val="00191EA9"/>
    <w:rsid w:val="00193CB9"/>
    <w:rsid w:val="0019434B"/>
    <w:rsid w:val="001945C7"/>
    <w:rsid w:val="0019534B"/>
    <w:rsid w:val="001961E6"/>
    <w:rsid w:val="00196595"/>
    <w:rsid w:val="00197242"/>
    <w:rsid w:val="00197CEC"/>
    <w:rsid w:val="001A013F"/>
    <w:rsid w:val="001A03CE"/>
    <w:rsid w:val="001A0F87"/>
    <w:rsid w:val="001A2A3F"/>
    <w:rsid w:val="001A2BA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2E9"/>
    <w:rsid w:val="001D06FD"/>
    <w:rsid w:val="001D2162"/>
    <w:rsid w:val="001D2B28"/>
    <w:rsid w:val="001D3044"/>
    <w:rsid w:val="001D3157"/>
    <w:rsid w:val="001D341A"/>
    <w:rsid w:val="001D492A"/>
    <w:rsid w:val="001D4F10"/>
    <w:rsid w:val="001D5DCC"/>
    <w:rsid w:val="001D60BD"/>
    <w:rsid w:val="001D60F5"/>
    <w:rsid w:val="001D731A"/>
    <w:rsid w:val="001E0C96"/>
    <w:rsid w:val="001E1B0A"/>
    <w:rsid w:val="001E2906"/>
    <w:rsid w:val="001E30CD"/>
    <w:rsid w:val="001E3296"/>
    <w:rsid w:val="001E453D"/>
    <w:rsid w:val="001E4A7F"/>
    <w:rsid w:val="001E5191"/>
    <w:rsid w:val="001E522B"/>
    <w:rsid w:val="001E6DC6"/>
    <w:rsid w:val="001E734D"/>
    <w:rsid w:val="001E75A3"/>
    <w:rsid w:val="001E75EA"/>
    <w:rsid w:val="001E7928"/>
    <w:rsid w:val="001F1181"/>
    <w:rsid w:val="001F1305"/>
    <w:rsid w:val="001F1D24"/>
    <w:rsid w:val="001F27E7"/>
    <w:rsid w:val="001F48A8"/>
    <w:rsid w:val="001F634A"/>
    <w:rsid w:val="001F7230"/>
    <w:rsid w:val="001F7F72"/>
    <w:rsid w:val="00200942"/>
    <w:rsid w:val="00200A22"/>
    <w:rsid w:val="00201654"/>
    <w:rsid w:val="00201D5B"/>
    <w:rsid w:val="002029B2"/>
    <w:rsid w:val="00203093"/>
    <w:rsid w:val="0020340B"/>
    <w:rsid w:val="00203B4C"/>
    <w:rsid w:val="002055F7"/>
    <w:rsid w:val="002067E2"/>
    <w:rsid w:val="002108EC"/>
    <w:rsid w:val="00210E7E"/>
    <w:rsid w:val="00214510"/>
    <w:rsid w:val="00214A55"/>
    <w:rsid w:val="0021538B"/>
    <w:rsid w:val="00215414"/>
    <w:rsid w:val="002179D8"/>
    <w:rsid w:val="0022110E"/>
    <w:rsid w:val="00221702"/>
    <w:rsid w:val="002221E6"/>
    <w:rsid w:val="002226D7"/>
    <w:rsid w:val="00222A8A"/>
    <w:rsid w:val="00222B38"/>
    <w:rsid w:val="00223080"/>
    <w:rsid w:val="002247A6"/>
    <w:rsid w:val="00224998"/>
    <w:rsid w:val="00225C13"/>
    <w:rsid w:val="00226C14"/>
    <w:rsid w:val="0022733B"/>
    <w:rsid w:val="00230B2D"/>
    <w:rsid w:val="00230F4C"/>
    <w:rsid w:val="00233249"/>
    <w:rsid w:val="0023382F"/>
    <w:rsid w:val="002346FC"/>
    <w:rsid w:val="002350ED"/>
    <w:rsid w:val="002368DF"/>
    <w:rsid w:val="002406AD"/>
    <w:rsid w:val="00240F81"/>
    <w:rsid w:val="00241092"/>
    <w:rsid w:val="0024134C"/>
    <w:rsid w:val="002415BE"/>
    <w:rsid w:val="00241F79"/>
    <w:rsid w:val="002420D7"/>
    <w:rsid w:val="00243B32"/>
    <w:rsid w:val="00244F63"/>
    <w:rsid w:val="00246AFD"/>
    <w:rsid w:val="00246B80"/>
    <w:rsid w:val="00247D97"/>
    <w:rsid w:val="0025006E"/>
    <w:rsid w:val="00250AB3"/>
    <w:rsid w:val="00251383"/>
    <w:rsid w:val="00251854"/>
    <w:rsid w:val="00251C67"/>
    <w:rsid w:val="002529A4"/>
    <w:rsid w:val="00252C62"/>
    <w:rsid w:val="00253E22"/>
    <w:rsid w:val="00254237"/>
    <w:rsid w:val="0025490C"/>
    <w:rsid w:val="00254B9C"/>
    <w:rsid w:val="0025533D"/>
    <w:rsid w:val="00255659"/>
    <w:rsid w:val="00255666"/>
    <w:rsid w:val="002557A0"/>
    <w:rsid w:val="00257281"/>
    <w:rsid w:val="002574F1"/>
    <w:rsid w:val="002578B4"/>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67DCF"/>
    <w:rsid w:val="00270C17"/>
    <w:rsid w:val="002719AC"/>
    <w:rsid w:val="002720D4"/>
    <w:rsid w:val="00273695"/>
    <w:rsid w:val="00274008"/>
    <w:rsid w:val="002759F4"/>
    <w:rsid w:val="00275C0B"/>
    <w:rsid w:val="002760F7"/>
    <w:rsid w:val="00276BB6"/>
    <w:rsid w:val="00276BC5"/>
    <w:rsid w:val="00277342"/>
    <w:rsid w:val="0028035E"/>
    <w:rsid w:val="00280386"/>
    <w:rsid w:val="0028118E"/>
    <w:rsid w:val="00282930"/>
    <w:rsid w:val="00283AFF"/>
    <w:rsid w:val="002862A9"/>
    <w:rsid w:val="002869F1"/>
    <w:rsid w:val="00291297"/>
    <w:rsid w:val="00291664"/>
    <w:rsid w:val="0029257D"/>
    <w:rsid w:val="002929F3"/>
    <w:rsid w:val="0029364B"/>
    <w:rsid w:val="002941E6"/>
    <w:rsid w:val="002956C9"/>
    <w:rsid w:val="00295C36"/>
    <w:rsid w:val="00296E05"/>
    <w:rsid w:val="00297264"/>
    <w:rsid w:val="002A0119"/>
    <w:rsid w:val="002A0575"/>
    <w:rsid w:val="002A0982"/>
    <w:rsid w:val="002A0F67"/>
    <w:rsid w:val="002A2463"/>
    <w:rsid w:val="002A2AFC"/>
    <w:rsid w:val="002A2C06"/>
    <w:rsid w:val="002A2EDC"/>
    <w:rsid w:val="002A30DE"/>
    <w:rsid w:val="002A3DFB"/>
    <w:rsid w:val="002A4955"/>
    <w:rsid w:val="002A4B53"/>
    <w:rsid w:val="002A4C7B"/>
    <w:rsid w:val="002A5C8A"/>
    <w:rsid w:val="002A7621"/>
    <w:rsid w:val="002A78B1"/>
    <w:rsid w:val="002A79F0"/>
    <w:rsid w:val="002B0575"/>
    <w:rsid w:val="002B06FC"/>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0D09"/>
    <w:rsid w:val="002D10A5"/>
    <w:rsid w:val="002D195D"/>
    <w:rsid w:val="002D2035"/>
    <w:rsid w:val="002D4D8D"/>
    <w:rsid w:val="002D58CE"/>
    <w:rsid w:val="002D5AB0"/>
    <w:rsid w:val="002D5C5D"/>
    <w:rsid w:val="002D6186"/>
    <w:rsid w:val="002D7845"/>
    <w:rsid w:val="002E3688"/>
    <w:rsid w:val="002E3DEA"/>
    <w:rsid w:val="002E4181"/>
    <w:rsid w:val="002E4F29"/>
    <w:rsid w:val="002E6965"/>
    <w:rsid w:val="002E7BAC"/>
    <w:rsid w:val="002F09FA"/>
    <w:rsid w:val="002F0DF9"/>
    <w:rsid w:val="002F0FDA"/>
    <w:rsid w:val="002F1115"/>
    <w:rsid w:val="002F23C6"/>
    <w:rsid w:val="002F3C5E"/>
    <w:rsid w:val="002F5002"/>
    <w:rsid w:val="002F5385"/>
    <w:rsid w:val="002F606C"/>
    <w:rsid w:val="002F6A2B"/>
    <w:rsid w:val="002F7555"/>
    <w:rsid w:val="00300176"/>
    <w:rsid w:val="00300551"/>
    <w:rsid w:val="003005B7"/>
    <w:rsid w:val="00300B2C"/>
    <w:rsid w:val="0030111A"/>
    <w:rsid w:val="00302797"/>
    <w:rsid w:val="00305AD5"/>
    <w:rsid w:val="00305C9D"/>
    <w:rsid w:val="00305EA9"/>
    <w:rsid w:val="00305F1A"/>
    <w:rsid w:val="003076B8"/>
    <w:rsid w:val="00310203"/>
    <w:rsid w:val="0031043B"/>
    <w:rsid w:val="0031060B"/>
    <w:rsid w:val="0031228A"/>
    <w:rsid w:val="00312B69"/>
    <w:rsid w:val="0031323B"/>
    <w:rsid w:val="0031323E"/>
    <w:rsid w:val="0031339A"/>
    <w:rsid w:val="00314C64"/>
    <w:rsid w:val="0031580B"/>
    <w:rsid w:val="00315AC6"/>
    <w:rsid w:val="00317248"/>
    <w:rsid w:val="00317C23"/>
    <w:rsid w:val="00320970"/>
    <w:rsid w:val="0032185E"/>
    <w:rsid w:val="00321DF8"/>
    <w:rsid w:val="00322346"/>
    <w:rsid w:val="003224D0"/>
    <w:rsid w:val="00322BA0"/>
    <w:rsid w:val="00324709"/>
    <w:rsid w:val="00324BD2"/>
    <w:rsid w:val="0032556F"/>
    <w:rsid w:val="00325786"/>
    <w:rsid w:val="0032599C"/>
    <w:rsid w:val="003265C0"/>
    <w:rsid w:val="00326A6F"/>
    <w:rsid w:val="00326C83"/>
    <w:rsid w:val="003275B2"/>
    <w:rsid w:val="00327FB0"/>
    <w:rsid w:val="00330CA6"/>
    <w:rsid w:val="00332397"/>
    <w:rsid w:val="003336E9"/>
    <w:rsid w:val="00334BF2"/>
    <w:rsid w:val="00335210"/>
    <w:rsid w:val="00335EE6"/>
    <w:rsid w:val="00336020"/>
    <w:rsid w:val="0033606F"/>
    <w:rsid w:val="003374D2"/>
    <w:rsid w:val="0034037C"/>
    <w:rsid w:val="00340492"/>
    <w:rsid w:val="003404AA"/>
    <w:rsid w:val="00340769"/>
    <w:rsid w:val="00341729"/>
    <w:rsid w:val="003425A1"/>
    <w:rsid w:val="00342EAE"/>
    <w:rsid w:val="003448EC"/>
    <w:rsid w:val="00346087"/>
    <w:rsid w:val="00346103"/>
    <w:rsid w:val="00346392"/>
    <w:rsid w:val="00346584"/>
    <w:rsid w:val="00347494"/>
    <w:rsid w:val="003479E2"/>
    <w:rsid w:val="003507AC"/>
    <w:rsid w:val="003518B6"/>
    <w:rsid w:val="00352975"/>
    <w:rsid w:val="00353223"/>
    <w:rsid w:val="00356847"/>
    <w:rsid w:val="00356BD0"/>
    <w:rsid w:val="003602C0"/>
    <w:rsid w:val="00360AFD"/>
    <w:rsid w:val="0036294E"/>
    <w:rsid w:val="003635DF"/>
    <w:rsid w:val="00363C6A"/>
    <w:rsid w:val="00364091"/>
    <w:rsid w:val="0036445B"/>
    <w:rsid w:val="003651F5"/>
    <w:rsid w:val="00365726"/>
    <w:rsid w:val="003663E1"/>
    <w:rsid w:val="003670C9"/>
    <w:rsid w:val="0036736E"/>
    <w:rsid w:val="0036742F"/>
    <w:rsid w:val="003674CA"/>
    <w:rsid w:val="00367988"/>
    <w:rsid w:val="003708E7"/>
    <w:rsid w:val="00371D33"/>
    <w:rsid w:val="003723D5"/>
    <w:rsid w:val="0037489E"/>
    <w:rsid w:val="00376AE1"/>
    <w:rsid w:val="00377786"/>
    <w:rsid w:val="00377FF6"/>
    <w:rsid w:val="00380E72"/>
    <w:rsid w:val="0038191A"/>
    <w:rsid w:val="00381D32"/>
    <w:rsid w:val="00381D71"/>
    <w:rsid w:val="00383D0F"/>
    <w:rsid w:val="00384DC4"/>
    <w:rsid w:val="003863EC"/>
    <w:rsid w:val="00386F2D"/>
    <w:rsid w:val="0038780E"/>
    <w:rsid w:val="00387879"/>
    <w:rsid w:val="003909BA"/>
    <w:rsid w:val="00390FA3"/>
    <w:rsid w:val="0039160E"/>
    <w:rsid w:val="0039176A"/>
    <w:rsid w:val="00391832"/>
    <w:rsid w:val="0039219A"/>
    <w:rsid w:val="00393F68"/>
    <w:rsid w:val="00394711"/>
    <w:rsid w:val="003955C2"/>
    <w:rsid w:val="00395D9D"/>
    <w:rsid w:val="0039620F"/>
    <w:rsid w:val="00396552"/>
    <w:rsid w:val="00396943"/>
    <w:rsid w:val="00396DD4"/>
    <w:rsid w:val="00396E0E"/>
    <w:rsid w:val="003A0D0C"/>
    <w:rsid w:val="003A0F4C"/>
    <w:rsid w:val="003A240A"/>
    <w:rsid w:val="003A2736"/>
    <w:rsid w:val="003A398E"/>
    <w:rsid w:val="003A3994"/>
    <w:rsid w:val="003A63FB"/>
    <w:rsid w:val="003A67C6"/>
    <w:rsid w:val="003A7386"/>
    <w:rsid w:val="003A740D"/>
    <w:rsid w:val="003B0684"/>
    <w:rsid w:val="003B164C"/>
    <w:rsid w:val="003B1A32"/>
    <w:rsid w:val="003B2F18"/>
    <w:rsid w:val="003B3CC0"/>
    <w:rsid w:val="003B4AEC"/>
    <w:rsid w:val="003B59B4"/>
    <w:rsid w:val="003B60C2"/>
    <w:rsid w:val="003B628A"/>
    <w:rsid w:val="003B6BEF"/>
    <w:rsid w:val="003C007F"/>
    <w:rsid w:val="003C11F6"/>
    <w:rsid w:val="003C17A6"/>
    <w:rsid w:val="003C183D"/>
    <w:rsid w:val="003C1F17"/>
    <w:rsid w:val="003C24D1"/>
    <w:rsid w:val="003C3939"/>
    <w:rsid w:val="003C39F0"/>
    <w:rsid w:val="003C5A70"/>
    <w:rsid w:val="003C63FF"/>
    <w:rsid w:val="003D2BF2"/>
    <w:rsid w:val="003D2F4E"/>
    <w:rsid w:val="003D4452"/>
    <w:rsid w:val="003D44C8"/>
    <w:rsid w:val="003D5086"/>
    <w:rsid w:val="003D5BC6"/>
    <w:rsid w:val="003E0534"/>
    <w:rsid w:val="003E1019"/>
    <w:rsid w:val="003E185C"/>
    <w:rsid w:val="003E3082"/>
    <w:rsid w:val="003E3360"/>
    <w:rsid w:val="003E345E"/>
    <w:rsid w:val="003E38D7"/>
    <w:rsid w:val="003E3D58"/>
    <w:rsid w:val="003E411B"/>
    <w:rsid w:val="003E46EC"/>
    <w:rsid w:val="003E4789"/>
    <w:rsid w:val="003E540C"/>
    <w:rsid w:val="003E5931"/>
    <w:rsid w:val="003E59EE"/>
    <w:rsid w:val="003E6081"/>
    <w:rsid w:val="003E60C8"/>
    <w:rsid w:val="003E62E5"/>
    <w:rsid w:val="003F017B"/>
    <w:rsid w:val="003F040F"/>
    <w:rsid w:val="003F13A0"/>
    <w:rsid w:val="003F17A5"/>
    <w:rsid w:val="003F1BB3"/>
    <w:rsid w:val="003F33D6"/>
    <w:rsid w:val="003F3CB1"/>
    <w:rsid w:val="003F3CC6"/>
    <w:rsid w:val="003F3F9B"/>
    <w:rsid w:val="003F43AB"/>
    <w:rsid w:val="003F6CC7"/>
    <w:rsid w:val="0040209A"/>
    <w:rsid w:val="00402ADE"/>
    <w:rsid w:val="0040350E"/>
    <w:rsid w:val="004041D0"/>
    <w:rsid w:val="00405528"/>
    <w:rsid w:val="00405587"/>
    <w:rsid w:val="004058D7"/>
    <w:rsid w:val="00406FCF"/>
    <w:rsid w:val="004079F3"/>
    <w:rsid w:val="00407A2A"/>
    <w:rsid w:val="0041065C"/>
    <w:rsid w:val="00410783"/>
    <w:rsid w:val="00410810"/>
    <w:rsid w:val="004123F7"/>
    <w:rsid w:val="0041364F"/>
    <w:rsid w:val="00413F2F"/>
    <w:rsid w:val="004140F7"/>
    <w:rsid w:val="0041458E"/>
    <w:rsid w:val="00416B95"/>
    <w:rsid w:val="0041753D"/>
    <w:rsid w:val="00417AB4"/>
    <w:rsid w:val="004200FF"/>
    <w:rsid w:val="004217EA"/>
    <w:rsid w:val="00421AE3"/>
    <w:rsid w:val="00421E46"/>
    <w:rsid w:val="0042297F"/>
    <w:rsid w:val="0042340C"/>
    <w:rsid w:val="00423892"/>
    <w:rsid w:val="0042443A"/>
    <w:rsid w:val="004255DC"/>
    <w:rsid w:val="00426208"/>
    <w:rsid w:val="00426EE4"/>
    <w:rsid w:val="0042742C"/>
    <w:rsid w:val="00427B32"/>
    <w:rsid w:val="00430226"/>
    <w:rsid w:val="00432A29"/>
    <w:rsid w:val="00433BFD"/>
    <w:rsid w:val="00433F86"/>
    <w:rsid w:val="00435354"/>
    <w:rsid w:val="00435A7B"/>
    <w:rsid w:val="00436A36"/>
    <w:rsid w:val="004370AB"/>
    <w:rsid w:val="004379E9"/>
    <w:rsid w:val="00440EF3"/>
    <w:rsid w:val="00444612"/>
    <w:rsid w:val="004446CF"/>
    <w:rsid w:val="0044613C"/>
    <w:rsid w:val="004461C8"/>
    <w:rsid w:val="0044623C"/>
    <w:rsid w:val="00446F33"/>
    <w:rsid w:val="00447298"/>
    <w:rsid w:val="0044771F"/>
    <w:rsid w:val="00447E4F"/>
    <w:rsid w:val="004528D0"/>
    <w:rsid w:val="00453F16"/>
    <w:rsid w:val="004542A0"/>
    <w:rsid w:val="00454B3C"/>
    <w:rsid w:val="004550F1"/>
    <w:rsid w:val="00455AE3"/>
    <w:rsid w:val="00456108"/>
    <w:rsid w:val="00460B37"/>
    <w:rsid w:val="00460BAA"/>
    <w:rsid w:val="00462E4F"/>
    <w:rsid w:val="00463DA1"/>
    <w:rsid w:val="0046460A"/>
    <w:rsid w:val="004653C9"/>
    <w:rsid w:val="00465847"/>
    <w:rsid w:val="00465AA6"/>
    <w:rsid w:val="00465E3C"/>
    <w:rsid w:val="00465EBD"/>
    <w:rsid w:val="004671B5"/>
    <w:rsid w:val="00470805"/>
    <w:rsid w:val="00473BFA"/>
    <w:rsid w:val="00474314"/>
    <w:rsid w:val="00474435"/>
    <w:rsid w:val="00474526"/>
    <w:rsid w:val="004749C8"/>
    <w:rsid w:val="0047570F"/>
    <w:rsid w:val="0047575F"/>
    <w:rsid w:val="004769D3"/>
    <w:rsid w:val="00480623"/>
    <w:rsid w:val="00480A45"/>
    <w:rsid w:val="004811E5"/>
    <w:rsid w:val="00483573"/>
    <w:rsid w:val="00483782"/>
    <w:rsid w:val="00483F77"/>
    <w:rsid w:val="004849F5"/>
    <w:rsid w:val="00484BDC"/>
    <w:rsid w:val="00484CF7"/>
    <w:rsid w:val="004855AA"/>
    <w:rsid w:val="00485642"/>
    <w:rsid w:val="00486866"/>
    <w:rsid w:val="0048733F"/>
    <w:rsid w:val="00487BB5"/>
    <w:rsid w:val="00487E1C"/>
    <w:rsid w:val="00490AAA"/>
    <w:rsid w:val="00491FB8"/>
    <w:rsid w:val="00493002"/>
    <w:rsid w:val="004949CB"/>
    <w:rsid w:val="004953E1"/>
    <w:rsid w:val="004955EE"/>
    <w:rsid w:val="004958EE"/>
    <w:rsid w:val="00496F34"/>
    <w:rsid w:val="004974FD"/>
    <w:rsid w:val="004A06B6"/>
    <w:rsid w:val="004A070C"/>
    <w:rsid w:val="004A1C61"/>
    <w:rsid w:val="004A2A45"/>
    <w:rsid w:val="004A463E"/>
    <w:rsid w:val="004A4C29"/>
    <w:rsid w:val="004A5D9E"/>
    <w:rsid w:val="004A6F8B"/>
    <w:rsid w:val="004A75D3"/>
    <w:rsid w:val="004B1694"/>
    <w:rsid w:val="004B32DC"/>
    <w:rsid w:val="004B3312"/>
    <w:rsid w:val="004B34E7"/>
    <w:rsid w:val="004B3DCB"/>
    <w:rsid w:val="004B406E"/>
    <w:rsid w:val="004B46D5"/>
    <w:rsid w:val="004B489E"/>
    <w:rsid w:val="004B592C"/>
    <w:rsid w:val="004B7035"/>
    <w:rsid w:val="004B77EC"/>
    <w:rsid w:val="004C0349"/>
    <w:rsid w:val="004C0D17"/>
    <w:rsid w:val="004C11B6"/>
    <w:rsid w:val="004C1AAB"/>
    <w:rsid w:val="004C2DB8"/>
    <w:rsid w:val="004C377A"/>
    <w:rsid w:val="004C500F"/>
    <w:rsid w:val="004C5144"/>
    <w:rsid w:val="004C56A3"/>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D7BC0"/>
    <w:rsid w:val="004E170E"/>
    <w:rsid w:val="004E47A2"/>
    <w:rsid w:val="004E49AE"/>
    <w:rsid w:val="004E4B7F"/>
    <w:rsid w:val="004E7F0B"/>
    <w:rsid w:val="004F15E0"/>
    <w:rsid w:val="004F16AD"/>
    <w:rsid w:val="004F2AC4"/>
    <w:rsid w:val="004F2D5D"/>
    <w:rsid w:val="004F34AD"/>
    <w:rsid w:val="004F376A"/>
    <w:rsid w:val="004F37AE"/>
    <w:rsid w:val="004F3810"/>
    <w:rsid w:val="004F3C16"/>
    <w:rsid w:val="004F3ED3"/>
    <w:rsid w:val="004F47C7"/>
    <w:rsid w:val="004F55E8"/>
    <w:rsid w:val="004F6290"/>
    <w:rsid w:val="004F6A66"/>
    <w:rsid w:val="005005D8"/>
    <w:rsid w:val="00500BA6"/>
    <w:rsid w:val="00500D19"/>
    <w:rsid w:val="00500FB1"/>
    <w:rsid w:val="00501034"/>
    <w:rsid w:val="005012E3"/>
    <w:rsid w:val="00503D8A"/>
    <w:rsid w:val="005040C4"/>
    <w:rsid w:val="00504B11"/>
    <w:rsid w:val="00505BBA"/>
    <w:rsid w:val="00506143"/>
    <w:rsid w:val="0051070B"/>
    <w:rsid w:val="00511984"/>
    <w:rsid w:val="00511E6D"/>
    <w:rsid w:val="00513897"/>
    <w:rsid w:val="00513C73"/>
    <w:rsid w:val="005143A4"/>
    <w:rsid w:val="00514DC2"/>
    <w:rsid w:val="00514EF1"/>
    <w:rsid w:val="00515C25"/>
    <w:rsid w:val="0051617B"/>
    <w:rsid w:val="005168CD"/>
    <w:rsid w:val="00517BD3"/>
    <w:rsid w:val="0052029E"/>
    <w:rsid w:val="00520665"/>
    <w:rsid w:val="005211EE"/>
    <w:rsid w:val="0052145B"/>
    <w:rsid w:val="00522906"/>
    <w:rsid w:val="00522954"/>
    <w:rsid w:val="00523140"/>
    <w:rsid w:val="005239BD"/>
    <w:rsid w:val="00523BFF"/>
    <w:rsid w:val="00525B3E"/>
    <w:rsid w:val="00526112"/>
    <w:rsid w:val="005261D8"/>
    <w:rsid w:val="005273FA"/>
    <w:rsid w:val="005276D2"/>
    <w:rsid w:val="0053086E"/>
    <w:rsid w:val="0053124D"/>
    <w:rsid w:val="00531825"/>
    <w:rsid w:val="00531906"/>
    <w:rsid w:val="005319D2"/>
    <w:rsid w:val="00531A75"/>
    <w:rsid w:val="0053266B"/>
    <w:rsid w:val="005327EF"/>
    <w:rsid w:val="00532E21"/>
    <w:rsid w:val="0053310C"/>
    <w:rsid w:val="00533D03"/>
    <w:rsid w:val="005347A4"/>
    <w:rsid w:val="005349D1"/>
    <w:rsid w:val="00535F16"/>
    <w:rsid w:val="00536139"/>
    <w:rsid w:val="00536610"/>
    <w:rsid w:val="00536B5E"/>
    <w:rsid w:val="00536EBE"/>
    <w:rsid w:val="00537299"/>
    <w:rsid w:val="005374F6"/>
    <w:rsid w:val="0053759E"/>
    <w:rsid w:val="005376AA"/>
    <w:rsid w:val="00540689"/>
    <w:rsid w:val="00541DE2"/>
    <w:rsid w:val="0054261F"/>
    <w:rsid w:val="00543157"/>
    <w:rsid w:val="0054481A"/>
    <w:rsid w:val="0054610C"/>
    <w:rsid w:val="0054633F"/>
    <w:rsid w:val="0054766B"/>
    <w:rsid w:val="005507A2"/>
    <w:rsid w:val="00550D56"/>
    <w:rsid w:val="005513E1"/>
    <w:rsid w:val="00551D2D"/>
    <w:rsid w:val="00551DDC"/>
    <w:rsid w:val="00552E5E"/>
    <w:rsid w:val="00553616"/>
    <w:rsid w:val="005538AF"/>
    <w:rsid w:val="00553B53"/>
    <w:rsid w:val="00554203"/>
    <w:rsid w:val="0055496A"/>
    <w:rsid w:val="00555D91"/>
    <w:rsid w:val="00560F71"/>
    <w:rsid w:val="005612D9"/>
    <w:rsid w:val="005614D3"/>
    <w:rsid w:val="005619E4"/>
    <w:rsid w:val="00562BCB"/>
    <w:rsid w:val="005639DF"/>
    <w:rsid w:val="005718F6"/>
    <w:rsid w:val="005719BB"/>
    <w:rsid w:val="00572137"/>
    <w:rsid w:val="00572500"/>
    <w:rsid w:val="0057309E"/>
    <w:rsid w:val="005731CE"/>
    <w:rsid w:val="00573C65"/>
    <w:rsid w:val="00574636"/>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87D91"/>
    <w:rsid w:val="00592C3C"/>
    <w:rsid w:val="0059372A"/>
    <w:rsid w:val="00593E89"/>
    <w:rsid w:val="00594596"/>
    <w:rsid w:val="005945B8"/>
    <w:rsid w:val="005946BA"/>
    <w:rsid w:val="005950EE"/>
    <w:rsid w:val="005954D8"/>
    <w:rsid w:val="00595542"/>
    <w:rsid w:val="0059638C"/>
    <w:rsid w:val="00597ACE"/>
    <w:rsid w:val="005A176C"/>
    <w:rsid w:val="005A1F8F"/>
    <w:rsid w:val="005A314A"/>
    <w:rsid w:val="005A3958"/>
    <w:rsid w:val="005A3AC4"/>
    <w:rsid w:val="005A3FF9"/>
    <w:rsid w:val="005A491D"/>
    <w:rsid w:val="005A6A3C"/>
    <w:rsid w:val="005A79AD"/>
    <w:rsid w:val="005B08E3"/>
    <w:rsid w:val="005B0A25"/>
    <w:rsid w:val="005B18AD"/>
    <w:rsid w:val="005B2160"/>
    <w:rsid w:val="005B26C0"/>
    <w:rsid w:val="005B4A17"/>
    <w:rsid w:val="005B5438"/>
    <w:rsid w:val="005B5932"/>
    <w:rsid w:val="005B6117"/>
    <w:rsid w:val="005B65FB"/>
    <w:rsid w:val="005B6A5B"/>
    <w:rsid w:val="005B7945"/>
    <w:rsid w:val="005B7C87"/>
    <w:rsid w:val="005C1025"/>
    <w:rsid w:val="005C1BA6"/>
    <w:rsid w:val="005C1D5F"/>
    <w:rsid w:val="005C42AC"/>
    <w:rsid w:val="005C43F9"/>
    <w:rsid w:val="005C4D74"/>
    <w:rsid w:val="005C58DE"/>
    <w:rsid w:val="005C59BC"/>
    <w:rsid w:val="005C6B63"/>
    <w:rsid w:val="005C7115"/>
    <w:rsid w:val="005C72B7"/>
    <w:rsid w:val="005C7B11"/>
    <w:rsid w:val="005D0BE3"/>
    <w:rsid w:val="005D2049"/>
    <w:rsid w:val="005D2E52"/>
    <w:rsid w:val="005D348F"/>
    <w:rsid w:val="005D383B"/>
    <w:rsid w:val="005D40B0"/>
    <w:rsid w:val="005D4F68"/>
    <w:rsid w:val="005D544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5F7778"/>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0DF1"/>
    <w:rsid w:val="00613159"/>
    <w:rsid w:val="0061323C"/>
    <w:rsid w:val="00614D93"/>
    <w:rsid w:val="006154B4"/>
    <w:rsid w:val="006157C7"/>
    <w:rsid w:val="006161DE"/>
    <w:rsid w:val="006201BE"/>
    <w:rsid w:val="00620FE6"/>
    <w:rsid w:val="006211E3"/>
    <w:rsid w:val="00621A41"/>
    <w:rsid w:val="00624EB5"/>
    <w:rsid w:val="00624FF8"/>
    <w:rsid w:val="00626DA9"/>
    <w:rsid w:val="00626F4E"/>
    <w:rsid w:val="006272D8"/>
    <w:rsid w:val="006303F7"/>
    <w:rsid w:val="006306D8"/>
    <w:rsid w:val="00631E87"/>
    <w:rsid w:val="00632BC8"/>
    <w:rsid w:val="00632CBA"/>
    <w:rsid w:val="006336E6"/>
    <w:rsid w:val="00634000"/>
    <w:rsid w:val="00634088"/>
    <w:rsid w:val="00634165"/>
    <w:rsid w:val="006354D2"/>
    <w:rsid w:val="00637766"/>
    <w:rsid w:val="006417C1"/>
    <w:rsid w:val="00641D29"/>
    <w:rsid w:val="00642E05"/>
    <w:rsid w:val="00642E76"/>
    <w:rsid w:val="006431BB"/>
    <w:rsid w:val="00643677"/>
    <w:rsid w:val="00644C87"/>
    <w:rsid w:val="006463FF"/>
    <w:rsid w:val="00652737"/>
    <w:rsid w:val="00652DC1"/>
    <w:rsid w:val="00653E11"/>
    <w:rsid w:val="00653E5D"/>
    <w:rsid w:val="006541BF"/>
    <w:rsid w:val="0065426A"/>
    <w:rsid w:val="00654C29"/>
    <w:rsid w:val="00655F0D"/>
    <w:rsid w:val="006561AF"/>
    <w:rsid w:val="00656C83"/>
    <w:rsid w:val="00657C57"/>
    <w:rsid w:val="00660400"/>
    <w:rsid w:val="006606D4"/>
    <w:rsid w:val="0066320C"/>
    <w:rsid w:val="006633A4"/>
    <w:rsid w:val="006653DB"/>
    <w:rsid w:val="00665CD5"/>
    <w:rsid w:val="00667CEB"/>
    <w:rsid w:val="00667FA5"/>
    <w:rsid w:val="00670741"/>
    <w:rsid w:val="0067152F"/>
    <w:rsid w:val="00671D38"/>
    <w:rsid w:val="006722F3"/>
    <w:rsid w:val="0067269D"/>
    <w:rsid w:val="00675D24"/>
    <w:rsid w:val="00676BD5"/>
    <w:rsid w:val="006817AD"/>
    <w:rsid w:val="0068308C"/>
    <w:rsid w:val="00684097"/>
    <w:rsid w:val="006870EE"/>
    <w:rsid w:val="006875C7"/>
    <w:rsid w:val="00690C97"/>
    <w:rsid w:val="00691569"/>
    <w:rsid w:val="006918AA"/>
    <w:rsid w:val="00691D18"/>
    <w:rsid w:val="00694D98"/>
    <w:rsid w:val="00694FB2"/>
    <w:rsid w:val="00695304"/>
    <w:rsid w:val="006959C7"/>
    <w:rsid w:val="006A01CA"/>
    <w:rsid w:val="006A341E"/>
    <w:rsid w:val="006A34AB"/>
    <w:rsid w:val="006A351E"/>
    <w:rsid w:val="006A3DB1"/>
    <w:rsid w:val="006A4A06"/>
    <w:rsid w:val="006A55B4"/>
    <w:rsid w:val="006A5D4A"/>
    <w:rsid w:val="006A5F54"/>
    <w:rsid w:val="006A61BC"/>
    <w:rsid w:val="006A6856"/>
    <w:rsid w:val="006B0792"/>
    <w:rsid w:val="006B0F6A"/>
    <w:rsid w:val="006B172D"/>
    <w:rsid w:val="006B2BEA"/>
    <w:rsid w:val="006B3E8A"/>
    <w:rsid w:val="006B43DC"/>
    <w:rsid w:val="006B466E"/>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5BB"/>
    <w:rsid w:val="006E5731"/>
    <w:rsid w:val="006E58F5"/>
    <w:rsid w:val="006E69C5"/>
    <w:rsid w:val="006E6FAF"/>
    <w:rsid w:val="006E7B5C"/>
    <w:rsid w:val="006F0DF6"/>
    <w:rsid w:val="006F200A"/>
    <w:rsid w:val="006F2263"/>
    <w:rsid w:val="006F2389"/>
    <w:rsid w:val="006F26D8"/>
    <w:rsid w:val="006F3605"/>
    <w:rsid w:val="006F3AD0"/>
    <w:rsid w:val="006F4168"/>
    <w:rsid w:val="006F4482"/>
    <w:rsid w:val="006F459F"/>
    <w:rsid w:val="006F4E6D"/>
    <w:rsid w:val="006F4EA0"/>
    <w:rsid w:val="006F5FC5"/>
    <w:rsid w:val="006F6411"/>
    <w:rsid w:val="00700863"/>
    <w:rsid w:val="007012EC"/>
    <w:rsid w:val="00701404"/>
    <w:rsid w:val="007017DC"/>
    <w:rsid w:val="00701D5C"/>
    <w:rsid w:val="0070276C"/>
    <w:rsid w:val="007027B5"/>
    <w:rsid w:val="00702DCC"/>
    <w:rsid w:val="00703378"/>
    <w:rsid w:val="00704807"/>
    <w:rsid w:val="00705187"/>
    <w:rsid w:val="00705C9E"/>
    <w:rsid w:val="00705EA9"/>
    <w:rsid w:val="0070601D"/>
    <w:rsid w:val="00706C80"/>
    <w:rsid w:val="00706F94"/>
    <w:rsid w:val="00707E84"/>
    <w:rsid w:val="00710213"/>
    <w:rsid w:val="00711FE9"/>
    <w:rsid w:val="00712AAC"/>
    <w:rsid w:val="00713BE2"/>
    <w:rsid w:val="007154E1"/>
    <w:rsid w:val="007155C3"/>
    <w:rsid w:val="0071673C"/>
    <w:rsid w:val="00716CAA"/>
    <w:rsid w:val="00717328"/>
    <w:rsid w:val="007177B5"/>
    <w:rsid w:val="007177FD"/>
    <w:rsid w:val="00720377"/>
    <w:rsid w:val="00720B11"/>
    <w:rsid w:val="00721C10"/>
    <w:rsid w:val="00722CCE"/>
    <w:rsid w:val="00723160"/>
    <w:rsid w:val="007240EC"/>
    <w:rsid w:val="00724971"/>
    <w:rsid w:val="00724E90"/>
    <w:rsid w:val="007252F3"/>
    <w:rsid w:val="00725432"/>
    <w:rsid w:val="00725439"/>
    <w:rsid w:val="00727CC5"/>
    <w:rsid w:val="0073041B"/>
    <w:rsid w:val="00730D71"/>
    <w:rsid w:val="007310F1"/>
    <w:rsid w:val="00732D3C"/>
    <w:rsid w:val="00732ECD"/>
    <w:rsid w:val="00733A34"/>
    <w:rsid w:val="00735077"/>
    <w:rsid w:val="007362A5"/>
    <w:rsid w:val="007369DA"/>
    <w:rsid w:val="00737724"/>
    <w:rsid w:val="0074090B"/>
    <w:rsid w:val="00740D50"/>
    <w:rsid w:val="00741E8A"/>
    <w:rsid w:val="007427F9"/>
    <w:rsid w:val="007428A3"/>
    <w:rsid w:val="007428C3"/>
    <w:rsid w:val="00742B0B"/>
    <w:rsid w:val="007449F5"/>
    <w:rsid w:val="007463B2"/>
    <w:rsid w:val="007469AC"/>
    <w:rsid w:val="00747269"/>
    <w:rsid w:val="00752540"/>
    <w:rsid w:val="00752AAD"/>
    <w:rsid w:val="00753EA9"/>
    <w:rsid w:val="0075451F"/>
    <w:rsid w:val="00757386"/>
    <w:rsid w:val="007573D5"/>
    <w:rsid w:val="00757B05"/>
    <w:rsid w:val="00761A58"/>
    <w:rsid w:val="00761FF8"/>
    <w:rsid w:val="007639D5"/>
    <w:rsid w:val="0076596A"/>
    <w:rsid w:val="00767475"/>
    <w:rsid w:val="00767CFF"/>
    <w:rsid w:val="007700CE"/>
    <w:rsid w:val="0077014B"/>
    <w:rsid w:val="00771043"/>
    <w:rsid w:val="007731E4"/>
    <w:rsid w:val="00774123"/>
    <w:rsid w:val="007744F8"/>
    <w:rsid w:val="00775632"/>
    <w:rsid w:val="00775DE6"/>
    <w:rsid w:val="0077674C"/>
    <w:rsid w:val="007804B7"/>
    <w:rsid w:val="00780F7F"/>
    <w:rsid w:val="00781110"/>
    <w:rsid w:val="00781452"/>
    <w:rsid w:val="00784424"/>
    <w:rsid w:val="00785C0D"/>
    <w:rsid w:val="00790D02"/>
    <w:rsid w:val="007920B1"/>
    <w:rsid w:val="0079282B"/>
    <w:rsid w:val="00793175"/>
    <w:rsid w:val="00793660"/>
    <w:rsid w:val="0079446A"/>
    <w:rsid w:val="00796CBE"/>
    <w:rsid w:val="007978AF"/>
    <w:rsid w:val="00797CC8"/>
    <w:rsid w:val="007A07DD"/>
    <w:rsid w:val="007A0911"/>
    <w:rsid w:val="007A138E"/>
    <w:rsid w:val="007A2AF5"/>
    <w:rsid w:val="007A2B8C"/>
    <w:rsid w:val="007A37B3"/>
    <w:rsid w:val="007A3B5C"/>
    <w:rsid w:val="007A52C9"/>
    <w:rsid w:val="007A6C75"/>
    <w:rsid w:val="007A7785"/>
    <w:rsid w:val="007B0011"/>
    <w:rsid w:val="007B0D9A"/>
    <w:rsid w:val="007B1485"/>
    <w:rsid w:val="007B1D2B"/>
    <w:rsid w:val="007B22A7"/>
    <w:rsid w:val="007B2807"/>
    <w:rsid w:val="007B2D4E"/>
    <w:rsid w:val="007B3406"/>
    <w:rsid w:val="007B3929"/>
    <w:rsid w:val="007B3D34"/>
    <w:rsid w:val="007B42ED"/>
    <w:rsid w:val="007B5740"/>
    <w:rsid w:val="007B5B41"/>
    <w:rsid w:val="007B5BA2"/>
    <w:rsid w:val="007B5C09"/>
    <w:rsid w:val="007B5C1B"/>
    <w:rsid w:val="007B6A11"/>
    <w:rsid w:val="007B7EAE"/>
    <w:rsid w:val="007C0DA8"/>
    <w:rsid w:val="007C0F9B"/>
    <w:rsid w:val="007C0FC7"/>
    <w:rsid w:val="007C298F"/>
    <w:rsid w:val="007C301D"/>
    <w:rsid w:val="007C393E"/>
    <w:rsid w:val="007C3B46"/>
    <w:rsid w:val="007C4492"/>
    <w:rsid w:val="007C6125"/>
    <w:rsid w:val="007C6985"/>
    <w:rsid w:val="007C7FEC"/>
    <w:rsid w:val="007D189D"/>
    <w:rsid w:val="007D1A84"/>
    <w:rsid w:val="007D2560"/>
    <w:rsid w:val="007D2957"/>
    <w:rsid w:val="007D68B6"/>
    <w:rsid w:val="007D6F1C"/>
    <w:rsid w:val="007E152B"/>
    <w:rsid w:val="007E1D16"/>
    <w:rsid w:val="007E273F"/>
    <w:rsid w:val="007E28DC"/>
    <w:rsid w:val="007E350C"/>
    <w:rsid w:val="007E3671"/>
    <w:rsid w:val="007E3EBE"/>
    <w:rsid w:val="007E46DC"/>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1C1"/>
    <w:rsid w:val="00801E3F"/>
    <w:rsid w:val="008025F9"/>
    <w:rsid w:val="00806A50"/>
    <w:rsid w:val="00806B8A"/>
    <w:rsid w:val="008076E2"/>
    <w:rsid w:val="0081046A"/>
    <w:rsid w:val="008113A4"/>
    <w:rsid w:val="00811748"/>
    <w:rsid w:val="008132F5"/>
    <w:rsid w:val="00813E90"/>
    <w:rsid w:val="00814AF3"/>
    <w:rsid w:val="00814C01"/>
    <w:rsid w:val="008150FA"/>
    <w:rsid w:val="00815169"/>
    <w:rsid w:val="00816D25"/>
    <w:rsid w:val="008172FE"/>
    <w:rsid w:val="00820B72"/>
    <w:rsid w:val="00821EA9"/>
    <w:rsid w:val="008227CE"/>
    <w:rsid w:val="00822C2F"/>
    <w:rsid w:val="008231E3"/>
    <w:rsid w:val="0082415F"/>
    <w:rsid w:val="0082452F"/>
    <w:rsid w:val="00824D21"/>
    <w:rsid w:val="00826D43"/>
    <w:rsid w:val="008301F3"/>
    <w:rsid w:val="0083071A"/>
    <w:rsid w:val="00832803"/>
    <w:rsid w:val="00833D65"/>
    <w:rsid w:val="008340D3"/>
    <w:rsid w:val="0083501F"/>
    <w:rsid w:val="0083552B"/>
    <w:rsid w:val="00836AC9"/>
    <w:rsid w:val="00836E49"/>
    <w:rsid w:val="00837B74"/>
    <w:rsid w:val="008400AC"/>
    <w:rsid w:val="0084043C"/>
    <w:rsid w:val="008404D1"/>
    <w:rsid w:val="00840AFC"/>
    <w:rsid w:val="00841AAD"/>
    <w:rsid w:val="00841DFF"/>
    <w:rsid w:val="00842445"/>
    <w:rsid w:val="008426EC"/>
    <w:rsid w:val="00843ABC"/>
    <w:rsid w:val="00844712"/>
    <w:rsid w:val="00845B66"/>
    <w:rsid w:val="00845D8F"/>
    <w:rsid w:val="00846A8F"/>
    <w:rsid w:val="008470CF"/>
    <w:rsid w:val="00850F3E"/>
    <w:rsid w:val="0085191B"/>
    <w:rsid w:val="00853169"/>
    <w:rsid w:val="0085317B"/>
    <w:rsid w:val="00853643"/>
    <w:rsid w:val="0085446E"/>
    <w:rsid w:val="008571BC"/>
    <w:rsid w:val="00857428"/>
    <w:rsid w:val="008577B6"/>
    <w:rsid w:val="008602D9"/>
    <w:rsid w:val="00860631"/>
    <w:rsid w:val="00861B67"/>
    <w:rsid w:val="00862969"/>
    <w:rsid w:val="00863776"/>
    <w:rsid w:val="00863CD6"/>
    <w:rsid w:val="00864978"/>
    <w:rsid w:val="00864BBA"/>
    <w:rsid w:val="00865E6C"/>
    <w:rsid w:val="00867D59"/>
    <w:rsid w:val="00867E21"/>
    <w:rsid w:val="0087012E"/>
    <w:rsid w:val="008715F2"/>
    <w:rsid w:val="00871ADB"/>
    <w:rsid w:val="00872F26"/>
    <w:rsid w:val="008738D2"/>
    <w:rsid w:val="008739BC"/>
    <w:rsid w:val="00873A1E"/>
    <w:rsid w:val="008755AA"/>
    <w:rsid w:val="00875FD5"/>
    <w:rsid w:val="00876654"/>
    <w:rsid w:val="00876A27"/>
    <w:rsid w:val="00877024"/>
    <w:rsid w:val="0087702E"/>
    <w:rsid w:val="00877B06"/>
    <w:rsid w:val="00880163"/>
    <w:rsid w:val="0088041C"/>
    <w:rsid w:val="008805A7"/>
    <w:rsid w:val="0088067A"/>
    <w:rsid w:val="00881B17"/>
    <w:rsid w:val="00881BB4"/>
    <w:rsid w:val="00881F90"/>
    <w:rsid w:val="00882BC2"/>
    <w:rsid w:val="0088370E"/>
    <w:rsid w:val="00883AE3"/>
    <w:rsid w:val="00883B6B"/>
    <w:rsid w:val="00884B4D"/>
    <w:rsid w:val="0088528E"/>
    <w:rsid w:val="008862A6"/>
    <w:rsid w:val="008879DA"/>
    <w:rsid w:val="00887DBB"/>
    <w:rsid w:val="00887F76"/>
    <w:rsid w:val="008911F6"/>
    <w:rsid w:val="0089121D"/>
    <w:rsid w:val="00891640"/>
    <w:rsid w:val="008919A4"/>
    <w:rsid w:val="00892170"/>
    <w:rsid w:val="00892F48"/>
    <w:rsid w:val="008932A0"/>
    <w:rsid w:val="00893655"/>
    <w:rsid w:val="008961C1"/>
    <w:rsid w:val="008969B0"/>
    <w:rsid w:val="008970D7"/>
    <w:rsid w:val="008A271E"/>
    <w:rsid w:val="008A31D5"/>
    <w:rsid w:val="008A503B"/>
    <w:rsid w:val="008A5115"/>
    <w:rsid w:val="008A5185"/>
    <w:rsid w:val="008A5626"/>
    <w:rsid w:val="008A58CE"/>
    <w:rsid w:val="008A5C5D"/>
    <w:rsid w:val="008A6950"/>
    <w:rsid w:val="008A71C0"/>
    <w:rsid w:val="008A7838"/>
    <w:rsid w:val="008B2425"/>
    <w:rsid w:val="008B512A"/>
    <w:rsid w:val="008B579C"/>
    <w:rsid w:val="008B6070"/>
    <w:rsid w:val="008B72FB"/>
    <w:rsid w:val="008B7A8F"/>
    <w:rsid w:val="008C250F"/>
    <w:rsid w:val="008C3945"/>
    <w:rsid w:val="008C4A29"/>
    <w:rsid w:val="008C4B8B"/>
    <w:rsid w:val="008C5874"/>
    <w:rsid w:val="008C5A76"/>
    <w:rsid w:val="008C63D3"/>
    <w:rsid w:val="008D0611"/>
    <w:rsid w:val="008D188E"/>
    <w:rsid w:val="008D1CF1"/>
    <w:rsid w:val="008D2482"/>
    <w:rsid w:val="008D271B"/>
    <w:rsid w:val="008D2F54"/>
    <w:rsid w:val="008D50FB"/>
    <w:rsid w:val="008D522C"/>
    <w:rsid w:val="008D61DF"/>
    <w:rsid w:val="008D69BA"/>
    <w:rsid w:val="008D71A9"/>
    <w:rsid w:val="008E01BD"/>
    <w:rsid w:val="008E07CC"/>
    <w:rsid w:val="008E09FA"/>
    <w:rsid w:val="008E2FEE"/>
    <w:rsid w:val="008E3542"/>
    <w:rsid w:val="008E3FCB"/>
    <w:rsid w:val="008E41D7"/>
    <w:rsid w:val="008E44F8"/>
    <w:rsid w:val="008E4F65"/>
    <w:rsid w:val="008E5931"/>
    <w:rsid w:val="008E5DE6"/>
    <w:rsid w:val="008E63CD"/>
    <w:rsid w:val="008E6B23"/>
    <w:rsid w:val="008E7272"/>
    <w:rsid w:val="008E76CC"/>
    <w:rsid w:val="008E78E8"/>
    <w:rsid w:val="008F0771"/>
    <w:rsid w:val="008F1385"/>
    <w:rsid w:val="008F1FAB"/>
    <w:rsid w:val="008F22AB"/>
    <w:rsid w:val="008F333A"/>
    <w:rsid w:val="008F3CD2"/>
    <w:rsid w:val="008F3E74"/>
    <w:rsid w:val="008F51D9"/>
    <w:rsid w:val="008F51F0"/>
    <w:rsid w:val="008F5EE8"/>
    <w:rsid w:val="008F63D2"/>
    <w:rsid w:val="008F6482"/>
    <w:rsid w:val="008F6541"/>
    <w:rsid w:val="008F7386"/>
    <w:rsid w:val="008F7441"/>
    <w:rsid w:val="008F746E"/>
    <w:rsid w:val="008F78EA"/>
    <w:rsid w:val="008F7A33"/>
    <w:rsid w:val="0090071E"/>
    <w:rsid w:val="00900AD0"/>
    <w:rsid w:val="00903001"/>
    <w:rsid w:val="009038ED"/>
    <w:rsid w:val="0090417F"/>
    <w:rsid w:val="0090527D"/>
    <w:rsid w:val="00905F29"/>
    <w:rsid w:val="00906084"/>
    <w:rsid w:val="009062EF"/>
    <w:rsid w:val="0090652B"/>
    <w:rsid w:val="00906E39"/>
    <w:rsid w:val="00906E8E"/>
    <w:rsid w:val="00910619"/>
    <w:rsid w:val="00910BE4"/>
    <w:rsid w:val="00911958"/>
    <w:rsid w:val="00911BEB"/>
    <w:rsid w:val="00911D61"/>
    <w:rsid w:val="00912200"/>
    <w:rsid w:val="00912C9E"/>
    <w:rsid w:val="009132F3"/>
    <w:rsid w:val="0091337E"/>
    <w:rsid w:val="009141A4"/>
    <w:rsid w:val="0091495D"/>
    <w:rsid w:val="00914D7A"/>
    <w:rsid w:val="0091549B"/>
    <w:rsid w:val="00915960"/>
    <w:rsid w:val="00915F3E"/>
    <w:rsid w:val="00917404"/>
    <w:rsid w:val="009207F3"/>
    <w:rsid w:val="009214EE"/>
    <w:rsid w:val="00921797"/>
    <w:rsid w:val="00921ACE"/>
    <w:rsid w:val="00921B50"/>
    <w:rsid w:val="00921DB1"/>
    <w:rsid w:val="00922AD2"/>
    <w:rsid w:val="009234B8"/>
    <w:rsid w:val="00923C61"/>
    <w:rsid w:val="00924E3D"/>
    <w:rsid w:val="00925910"/>
    <w:rsid w:val="00927612"/>
    <w:rsid w:val="0092770A"/>
    <w:rsid w:val="009317A9"/>
    <w:rsid w:val="009332EB"/>
    <w:rsid w:val="0093457E"/>
    <w:rsid w:val="0093477A"/>
    <w:rsid w:val="00935299"/>
    <w:rsid w:val="00936DF8"/>
    <w:rsid w:val="00940957"/>
    <w:rsid w:val="00940A61"/>
    <w:rsid w:val="00940AA7"/>
    <w:rsid w:val="00940ADF"/>
    <w:rsid w:val="009416A0"/>
    <w:rsid w:val="009421E6"/>
    <w:rsid w:val="00943577"/>
    <w:rsid w:val="009455B2"/>
    <w:rsid w:val="00945D86"/>
    <w:rsid w:val="00947505"/>
    <w:rsid w:val="00947BDB"/>
    <w:rsid w:val="009506D7"/>
    <w:rsid w:val="00950A7E"/>
    <w:rsid w:val="00952F74"/>
    <w:rsid w:val="0095326B"/>
    <w:rsid w:val="00953331"/>
    <w:rsid w:val="0095462C"/>
    <w:rsid w:val="00954E2E"/>
    <w:rsid w:val="00954EA7"/>
    <w:rsid w:val="00955D7C"/>
    <w:rsid w:val="00957995"/>
    <w:rsid w:val="00957E91"/>
    <w:rsid w:val="00962052"/>
    <w:rsid w:val="0096283E"/>
    <w:rsid w:val="00962B03"/>
    <w:rsid w:val="009638D7"/>
    <w:rsid w:val="00963FDF"/>
    <w:rsid w:val="00965572"/>
    <w:rsid w:val="00966F66"/>
    <w:rsid w:val="00966FBA"/>
    <w:rsid w:val="00967662"/>
    <w:rsid w:val="009715CA"/>
    <w:rsid w:val="00971C38"/>
    <w:rsid w:val="0097213E"/>
    <w:rsid w:val="0097321C"/>
    <w:rsid w:val="00974797"/>
    <w:rsid w:val="00975403"/>
    <w:rsid w:val="00975BA9"/>
    <w:rsid w:val="00975DDD"/>
    <w:rsid w:val="00977271"/>
    <w:rsid w:val="0097746A"/>
    <w:rsid w:val="00980036"/>
    <w:rsid w:val="00980342"/>
    <w:rsid w:val="00981224"/>
    <w:rsid w:val="00983459"/>
    <w:rsid w:val="00983F79"/>
    <w:rsid w:val="00984A60"/>
    <w:rsid w:val="00984ACC"/>
    <w:rsid w:val="00985A23"/>
    <w:rsid w:val="00985E54"/>
    <w:rsid w:val="009865A5"/>
    <w:rsid w:val="0098668C"/>
    <w:rsid w:val="00987AD2"/>
    <w:rsid w:val="00987E8E"/>
    <w:rsid w:val="0099142B"/>
    <w:rsid w:val="009915A2"/>
    <w:rsid w:val="0099205E"/>
    <w:rsid w:val="00992442"/>
    <w:rsid w:val="009939D6"/>
    <w:rsid w:val="00993A2A"/>
    <w:rsid w:val="00994032"/>
    <w:rsid w:val="00994D70"/>
    <w:rsid w:val="00995362"/>
    <w:rsid w:val="00995CC1"/>
    <w:rsid w:val="009969BD"/>
    <w:rsid w:val="009977B3"/>
    <w:rsid w:val="00997E2F"/>
    <w:rsid w:val="009A4740"/>
    <w:rsid w:val="009A4919"/>
    <w:rsid w:val="009A777D"/>
    <w:rsid w:val="009B0538"/>
    <w:rsid w:val="009B05BF"/>
    <w:rsid w:val="009B166A"/>
    <w:rsid w:val="009B36B1"/>
    <w:rsid w:val="009B3C39"/>
    <w:rsid w:val="009B4A4D"/>
    <w:rsid w:val="009B5925"/>
    <w:rsid w:val="009B5D9A"/>
    <w:rsid w:val="009B65B6"/>
    <w:rsid w:val="009B72C4"/>
    <w:rsid w:val="009C067D"/>
    <w:rsid w:val="009C0C33"/>
    <w:rsid w:val="009C1908"/>
    <w:rsid w:val="009C1A30"/>
    <w:rsid w:val="009C268C"/>
    <w:rsid w:val="009C348D"/>
    <w:rsid w:val="009C3513"/>
    <w:rsid w:val="009C501B"/>
    <w:rsid w:val="009C6170"/>
    <w:rsid w:val="009C74A5"/>
    <w:rsid w:val="009D0185"/>
    <w:rsid w:val="009D0C4D"/>
    <w:rsid w:val="009D0DA1"/>
    <w:rsid w:val="009D1CEF"/>
    <w:rsid w:val="009D2C79"/>
    <w:rsid w:val="009D34C0"/>
    <w:rsid w:val="009D3CA2"/>
    <w:rsid w:val="009D46E5"/>
    <w:rsid w:val="009D5004"/>
    <w:rsid w:val="009D5946"/>
    <w:rsid w:val="009E0AC6"/>
    <w:rsid w:val="009E0B41"/>
    <w:rsid w:val="009E1EA4"/>
    <w:rsid w:val="009E23E4"/>
    <w:rsid w:val="009E31EF"/>
    <w:rsid w:val="009E4593"/>
    <w:rsid w:val="009E4E86"/>
    <w:rsid w:val="009E5CA6"/>
    <w:rsid w:val="009E6DA1"/>
    <w:rsid w:val="009E7B1E"/>
    <w:rsid w:val="009E7D07"/>
    <w:rsid w:val="009F060C"/>
    <w:rsid w:val="009F096B"/>
    <w:rsid w:val="009F0F7A"/>
    <w:rsid w:val="009F1FA7"/>
    <w:rsid w:val="009F215E"/>
    <w:rsid w:val="009F3761"/>
    <w:rsid w:val="009F3BDF"/>
    <w:rsid w:val="009F4CA7"/>
    <w:rsid w:val="009F620F"/>
    <w:rsid w:val="009F7F26"/>
    <w:rsid w:val="00A00519"/>
    <w:rsid w:val="00A01634"/>
    <w:rsid w:val="00A039C6"/>
    <w:rsid w:val="00A03F51"/>
    <w:rsid w:val="00A0462D"/>
    <w:rsid w:val="00A04992"/>
    <w:rsid w:val="00A06052"/>
    <w:rsid w:val="00A064FC"/>
    <w:rsid w:val="00A06FBD"/>
    <w:rsid w:val="00A07542"/>
    <w:rsid w:val="00A107A5"/>
    <w:rsid w:val="00A10CA9"/>
    <w:rsid w:val="00A10CE7"/>
    <w:rsid w:val="00A12A11"/>
    <w:rsid w:val="00A12CF5"/>
    <w:rsid w:val="00A13D6C"/>
    <w:rsid w:val="00A14845"/>
    <w:rsid w:val="00A15B5A"/>
    <w:rsid w:val="00A1696C"/>
    <w:rsid w:val="00A16F11"/>
    <w:rsid w:val="00A1763A"/>
    <w:rsid w:val="00A17A58"/>
    <w:rsid w:val="00A22978"/>
    <w:rsid w:val="00A244B1"/>
    <w:rsid w:val="00A249AF"/>
    <w:rsid w:val="00A256EF"/>
    <w:rsid w:val="00A2578D"/>
    <w:rsid w:val="00A26372"/>
    <w:rsid w:val="00A26CA7"/>
    <w:rsid w:val="00A27D02"/>
    <w:rsid w:val="00A30C2A"/>
    <w:rsid w:val="00A3104B"/>
    <w:rsid w:val="00A31BC8"/>
    <w:rsid w:val="00A32B3E"/>
    <w:rsid w:val="00A32CDF"/>
    <w:rsid w:val="00A33BDB"/>
    <w:rsid w:val="00A33EB4"/>
    <w:rsid w:val="00A34C09"/>
    <w:rsid w:val="00A34CB7"/>
    <w:rsid w:val="00A35491"/>
    <w:rsid w:val="00A3738B"/>
    <w:rsid w:val="00A37B33"/>
    <w:rsid w:val="00A409A4"/>
    <w:rsid w:val="00A4253D"/>
    <w:rsid w:val="00A42A6B"/>
    <w:rsid w:val="00A42A81"/>
    <w:rsid w:val="00A44168"/>
    <w:rsid w:val="00A458E0"/>
    <w:rsid w:val="00A45DDA"/>
    <w:rsid w:val="00A4662B"/>
    <w:rsid w:val="00A4673D"/>
    <w:rsid w:val="00A46C32"/>
    <w:rsid w:val="00A46CDB"/>
    <w:rsid w:val="00A520B5"/>
    <w:rsid w:val="00A527D6"/>
    <w:rsid w:val="00A53626"/>
    <w:rsid w:val="00A54078"/>
    <w:rsid w:val="00A5413F"/>
    <w:rsid w:val="00A5491C"/>
    <w:rsid w:val="00A56831"/>
    <w:rsid w:val="00A56A04"/>
    <w:rsid w:val="00A575B0"/>
    <w:rsid w:val="00A575F5"/>
    <w:rsid w:val="00A619E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50D"/>
    <w:rsid w:val="00A76C6D"/>
    <w:rsid w:val="00A778EA"/>
    <w:rsid w:val="00A81454"/>
    <w:rsid w:val="00A831DC"/>
    <w:rsid w:val="00A8471C"/>
    <w:rsid w:val="00A854AD"/>
    <w:rsid w:val="00A855BD"/>
    <w:rsid w:val="00A862EE"/>
    <w:rsid w:val="00A86E59"/>
    <w:rsid w:val="00A87AA7"/>
    <w:rsid w:val="00A90C28"/>
    <w:rsid w:val="00A914E9"/>
    <w:rsid w:val="00A91618"/>
    <w:rsid w:val="00A92F4D"/>
    <w:rsid w:val="00A9585B"/>
    <w:rsid w:val="00A95D10"/>
    <w:rsid w:val="00A967D3"/>
    <w:rsid w:val="00A9686B"/>
    <w:rsid w:val="00A977E7"/>
    <w:rsid w:val="00A979C6"/>
    <w:rsid w:val="00AA3478"/>
    <w:rsid w:val="00AA3CDD"/>
    <w:rsid w:val="00AA4FEB"/>
    <w:rsid w:val="00AA6661"/>
    <w:rsid w:val="00AA6B6B"/>
    <w:rsid w:val="00AA708E"/>
    <w:rsid w:val="00AA7926"/>
    <w:rsid w:val="00AA7AB8"/>
    <w:rsid w:val="00AA7C39"/>
    <w:rsid w:val="00AB0008"/>
    <w:rsid w:val="00AB107E"/>
    <w:rsid w:val="00AB16C3"/>
    <w:rsid w:val="00AB2141"/>
    <w:rsid w:val="00AB3F6D"/>
    <w:rsid w:val="00AB6C35"/>
    <w:rsid w:val="00AB70A4"/>
    <w:rsid w:val="00AC071F"/>
    <w:rsid w:val="00AC1379"/>
    <w:rsid w:val="00AC1EF7"/>
    <w:rsid w:val="00AC23EC"/>
    <w:rsid w:val="00AC2996"/>
    <w:rsid w:val="00AC2B2D"/>
    <w:rsid w:val="00AC2C68"/>
    <w:rsid w:val="00AC3DAD"/>
    <w:rsid w:val="00AC4F40"/>
    <w:rsid w:val="00AC53E1"/>
    <w:rsid w:val="00AC597D"/>
    <w:rsid w:val="00AC5F6B"/>
    <w:rsid w:val="00AC617A"/>
    <w:rsid w:val="00AC6F44"/>
    <w:rsid w:val="00AC730A"/>
    <w:rsid w:val="00AD0455"/>
    <w:rsid w:val="00AD051D"/>
    <w:rsid w:val="00AD056A"/>
    <w:rsid w:val="00AD0D55"/>
    <w:rsid w:val="00AD1B9C"/>
    <w:rsid w:val="00AD2938"/>
    <w:rsid w:val="00AD2980"/>
    <w:rsid w:val="00AD2A09"/>
    <w:rsid w:val="00AD5BDC"/>
    <w:rsid w:val="00AD6F90"/>
    <w:rsid w:val="00AD775B"/>
    <w:rsid w:val="00AD77D3"/>
    <w:rsid w:val="00AD7C90"/>
    <w:rsid w:val="00AE0B3F"/>
    <w:rsid w:val="00AE110A"/>
    <w:rsid w:val="00AE15EE"/>
    <w:rsid w:val="00AE2AEE"/>
    <w:rsid w:val="00AE33C1"/>
    <w:rsid w:val="00AE3B24"/>
    <w:rsid w:val="00AE3D64"/>
    <w:rsid w:val="00AE4993"/>
    <w:rsid w:val="00AE59FB"/>
    <w:rsid w:val="00AE5C17"/>
    <w:rsid w:val="00AE71D4"/>
    <w:rsid w:val="00AE7530"/>
    <w:rsid w:val="00AE7B02"/>
    <w:rsid w:val="00AF0B61"/>
    <w:rsid w:val="00AF1519"/>
    <w:rsid w:val="00AF1A19"/>
    <w:rsid w:val="00AF1AD9"/>
    <w:rsid w:val="00AF24DB"/>
    <w:rsid w:val="00AF2574"/>
    <w:rsid w:val="00AF2C09"/>
    <w:rsid w:val="00AF2CDC"/>
    <w:rsid w:val="00AF32CD"/>
    <w:rsid w:val="00AF69F0"/>
    <w:rsid w:val="00B00DDE"/>
    <w:rsid w:val="00B0176E"/>
    <w:rsid w:val="00B02388"/>
    <w:rsid w:val="00B02804"/>
    <w:rsid w:val="00B03698"/>
    <w:rsid w:val="00B04C7D"/>
    <w:rsid w:val="00B05CB0"/>
    <w:rsid w:val="00B063B7"/>
    <w:rsid w:val="00B07186"/>
    <w:rsid w:val="00B07477"/>
    <w:rsid w:val="00B0776C"/>
    <w:rsid w:val="00B105F7"/>
    <w:rsid w:val="00B10ECF"/>
    <w:rsid w:val="00B117F9"/>
    <w:rsid w:val="00B11E4B"/>
    <w:rsid w:val="00B12AC5"/>
    <w:rsid w:val="00B143DF"/>
    <w:rsid w:val="00B14409"/>
    <w:rsid w:val="00B1524C"/>
    <w:rsid w:val="00B176FE"/>
    <w:rsid w:val="00B2170B"/>
    <w:rsid w:val="00B21828"/>
    <w:rsid w:val="00B21E1C"/>
    <w:rsid w:val="00B23A7D"/>
    <w:rsid w:val="00B26298"/>
    <w:rsid w:val="00B2640B"/>
    <w:rsid w:val="00B2658E"/>
    <w:rsid w:val="00B267AF"/>
    <w:rsid w:val="00B26DEC"/>
    <w:rsid w:val="00B26EC8"/>
    <w:rsid w:val="00B27201"/>
    <w:rsid w:val="00B274C6"/>
    <w:rsid w:val="00B316A5"/>
    <w:rsid w:val="00B33B28"/>
    <w:rsid w:val="00B33BAE"/>
    <w:rsid w:val="00B370F1"/>
    <w:rsid w:val="00B376CF"/>
    <w:rsid w:val="00B406B8"/>
    <w:rsid w:val="00B4084D"/>
    <w:rsid w:val="00B40C2F"/>
    <w:rsid w:val="00B412D1"/>
    <w:rsid w:val="00B41F06"/>
    <w:rsid w:val="00B43075"/>
    <w:rsid w:val="00B430AD"/>
    <w:rsid w:val="00B43524"/>
    <w:rsid w:val="00B43FD3"/>
    <w:rsid w:val="00B441CC"/>
    <w:rsid w:val="00B4573B"/>
    <w:rsid w:val="00B45B8D"/>
    <w:rsid w:val="00B4687B"/>
    <w:rsid w:val="00B472E7"/>
    <w:rsid w:val="00B477EF"/>
    <w:rsid w:val="00B500C7"/>
    <w:rsid w:val="00B5303C"/>
    <w:rsid w:val="00B558BA"/>
    <w:rsid w:val="00B56497"/>
    <w:rsid w:val="00B573A2"/>
    <w:rsid w:val="00B61F50"/>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770F8"/>
    <w:rsid w:val="00B77F93"/>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97FF8"/>
    <w:rsid w:val="00BA07B3"/>
    <w:rsid w:val="00BA0F66"/>
    <w:rsid w:val="00BA1FDC"/>
    <w:rsid w:val="00BA2938"/>
    <w:rsid w:val="00BA3204"/>
    <w:rsid w:val="00BA36D1"/>
    <w:rsid w:val="00BA556B"/>
    <w:rsid w:val="00BA587A"/>
    <w:rsid w:val="00BA610C"/>
    <w:rsid w:val="00BB12B3"/>
    <w:rsid w:val="00BB35BC"/>
    <w:rsid w:val="00BB43BC"/>
    <w:rsid w:val="00BB5041"/>
    <w:rsid w:val="00BC03EF"/>
    <w:rsid w:val="00BC05C3"/>
    <w:rsid w:val="00BC10E3"/>
    <w:rsid w:val="00BC4356"/>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AAB"/>
    <w:rsid w:val="00BE4F41"/>
    <w:rsid w:val="00BE51CF"/>
    <w:rsid w:val="00BE6415"/>
    <w:rsid w:val="00BE693C"/>
    <w:rsid w:val="00BE72B7"/>
    <w:rsid w:val="00BE741D"/>
    <w:rsid w:val="00BE7809"/>
    <w:rsid w:val="00BE7849"/>
    <w:rsid w:val="00BE79C9"/>
    <w:rsid w:val="00BE7E30"/>
    <w:rsid w:val="00BF1103"/>
    <w:rsid w:val="00BF1134"/>
    <w:rsid w:val="00BF2054"/>
    <w:rsid w:val="00BF249B"/>
    <w:rsid w:val="00BF2C50"/>
    <w:rsid w:val="00BF3809"/>
    <w:rsid w:val="00BF3822"/>
    <w:rsid w:val="00BF4628"/>
    <w:rsid w:val="00BF574C"/>
    <w:rsid w:val="00BF5DA3"/>
    <w:rsid w:val="00BF7A8A"/>
    <w:rsid w:val="00C00BBA"/>
    <w:rsid w:val="00C0131F"/>
    <w:rsid w:val="00C0220F"/>
    <w:rsid w:val="00C03A0F"/>
    <w:rsid w:val="00C03C2F"/>
    <w:rsid w:val="00C03D2B"/>
    <w:rsid w:val="00C03E4D"/>
    <w:rsid w:val="00C04F69"/>
    <w:rsid w:val="00C053F5"/>
    <w:rsid w:val="00C061B2"/>
    <w:rsid w:val="00C06A62"/>
    <w:rsid w:val="00C10486"/>
    <w:rsid w:val="00C119AC"/>
    <w:rsid w:val="00C120C1"/>
    <w:rsid w:val="00C137F2"/>
    <w:rsid w:val="00C14E1D"/>
    <w:rsid w:val="00C16133"/>
    <w:rsid w:val="00C16F70"/>
    <w:rsid w:val="00C175CD"/>
    <w:rsid w:val="00C17733"/>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2312"/>
    <w:rsid w:val="00C445E6"/>
    <w:rsid w:val="00C44A45"/>
    <w:rsid w:val="00C44FAA"/>
    <w:rsid w:val="00C471DF"/>
    <w:rsid w:val="00C50EDE"/>
    <w:rsid w:val="00C5192F"/>
    <w:rsid w:val="00C51DF6"/>
    <w:rsid w:val="00C521D4"/>
    <w:rsid w:val="00C52730"/>
    <w:rsid w:val="00C52B33"/>
    <w:rsid w:val="00C52FEA"/>
    <w:rsid w:val="00C532C8"/>
    <w:rsid w:val="00C54B5E"/>
    <w:rsid w:val="00C54FB2"/>
    <w:rsid w:val="00C570ED"/>
    <w:rsid w:val="00C57812"/>
    <w:rsid w:val="00C57FBC"/>
    <w:rsid w:val="00C57FC5"/>
    <w:rsid w:val="00C60553"/>
    <w:rsid w:val="00C611A3"/>
    <w:rsid w:val="00C61A40"/>
    <w:rsid w:val="00C61AF0"/>
    <w:rsid w:val="00C624D8"/>
    <w:rsid w:val="00C626B1"/>
    <w:rsid w:val="00C62D2F"/>
    <w:rsid w:val="00C62E09"/>
    <w:rsid w:val="00C63DFD"/>
    <w:rsid w:val="00C64019"/>
    <w:rsid w:val="00C64DAF"/>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57AB"/>
    <w:rsid w:val="00C75B8F"/>
    <w:rsid w:val="00C75DDB"/>
    <w:rsid w:val="00C75F2E"/>
    <w:rsid w:val="00C7779C"/>
    <w:rsid w:val="00C77B03"/>
    <w:rsid w:val="00C814F1"/>
    <w:rsid w:val="00C835FB"/>
    <w:rsid w:val="00C846B1"/>
    <w:rsid w:val="00C84BD0"/>
    <w:rsid w:val="00C8550E"/>
    <w:rsid w:val="00C85A38"/>
    <w:rsid w:val="00C85B68"/>
    <w:rsid w:val="00C9049D"/>
    <w:rsid w:val="00C90D22"/>
    <w:rsid w:val="00C90FB6"/>
    <w:rsid w:val="00C9265E"/>
    <w:rsid w:val="00C92E4C"/>
    <w:rsid w:val="00C934B2"/>
    <w:rsid w:val="00C93A2D"/>
    <w:rsid w:val="00C9489C"/>
    <w:rsid w:val="00C94BBC"/>
    <w:rsid w:val="00C957A6"/>
    <w:rsid w:val="00C95B24"/>
    <w:rsid w:val="00C95F10"/>
    <w:rsid w:val="00C96A98"/>
    <w:rsid w:val="00C973AE"/>
    <w:rsid w:val="00C9746F"/>
    <w:rsid w:val="00CA0353"/>
    <w:rsid w:val="00CA1266"/>
    <w:rsid w:val="00CA1AE1"/>
    <w:rsid w:val="00CA3CDC"/>
    <w:rsid w:val="00CA3E7B"/>
    <w:rsid w:val="00CA4EFF"/>
    <w:rsid w:val="00CA53CE"/>
    <w:rsid w:val="00CA5B86"/>
    <w:rsid w:val="00CB2E00"/>
    <w:rsid w:val="00CB31D2"/>
    <w:rsid w:val="00CB4069"/>
    <w:rsid w:val="00CB5042"/>
    <w:rsid w:val="00CB545E"/>
    <w:rsid w:val="00CB58C3"/>
    <w:rsid w:val="00CB6B4A"/>
    <w:rsid w:val="00CB758D"/>
    <w:rsid w:val="00CB7A0D"/>
    <w:rsid w:val="00CC13D4"/>
    <w:rsid w:val="00CC3F51"/>
    <w:rsid w:val="00CC3F8E"/>
    <w:rsid w:val="00CC4553"/>
    <w:rsid w:val="00CC4D42"/>
    <w:rsid w:val="00CC5539"/>
    <w:rsid w:val="00CC5650"/>
    <w:rsid w:val="00CC5B89"/>
    <w:rsid w:val="00CD037E"/>
    <w:rsid w:val="00CD14DF"/>
    <w:rsid w:val="00CD22C6"/>
    <w:rsid w:val="00CD369E"/>
    <w:rsid w:val="00CD4C4C"/>
    <w:rsid w:val="00CD5263"/>
    <w:rsid w:val="00CD58BB"/>
    <w:rsid w:val="00CD5F1A"/>
    <w:rsid w:val="00CD624A"/>
    <w:rsid w:val="00CD785E"/>
    <w:rsid w:val="00CE0C83"/>
    <w:rsid w:val="00CE2692"/>
    <w:rsid w:val="00CE2AB5"/>
    <w:rsid w:val="00CE4A0B"/>
    <w:rsid w:val="00CE6D54"/>
    <w:rsid w:val="00CE6F95"/>
    <w:rsid w:val="00CF061B"/>
    <w:rsid w:val="00CF0D21"/>
    <w:rsid w:val="00CF0E9F"/>
    <w:rsid w:val="00CF0FEA"/>
    <w:rsid w:val="00CF12AE"/>
    <w:rsid w:val="00CF1DB8"/>
    <w:rsid w:val="00CF22D9"/>
    <w:rsid w:val="00CF2301"/>
    <w:rsid w:val="00CF6C2B"/>
    <w:rsid w:val="00CF71D9"/>
    <w:rsid w:val="00D01436"/>
    <w:rsid w:val="00D028C8"/>
    <w:rsid w:val="00D02FA8"/>
    <w:rsid w:val="00D02FAE"/>
    <w:rsid w:val="00D03120"/>
    <w:rsid w:val="00D03A3C"/>
    <w:rsid w:val="00D04006"/>
    <w:rsid w:val="00D04686"/>
    <w:rsid w:val="00D05B8F"/>
    <w:rsid w:val="00D064D4"/>
    <w:rsid w:val="00D10557"/>
    <w:rsid w:val="00D10647"/>
    <w:rsid w:val="00D1102E"/>
    <w:rsid w:val="00D11CB6"/>
    <w:rsid w:val="00D12038"/>
    <w:rsid w:val="00D124B3"/>
    <w:rsid w:val="00D13275"/>
    <w:rsid w:val="00D1660D"/>
    <w:rsid w:val="00D166D9"/>
    <w:rsid w:val="00D16AE3"/>
    <w:rsid w:val="00D20847"/>
    <w:rsid w:val="00D22260"/>
    <w:rsid w:val="00D24700"/>
    <w:rsid w:val="00D24A42"/>
    <w:rsid w:val="00D2535D"/>
    <w:rsid w:val="00D25C49"/>
    <w:rsid w:val="00D25CD8"/>
    <w:rsid w:val="00D26C0F"/>
    <w:rsid w:val="00D26D7A"/>
    <w:rsid w:val="00D2754C"/>
    <w:rsid w:val="00D30055"/>
    <w:rsid w:val="00D30DAF"/>
    <w:rsid w:val="00D31D0D"/>
    <w:rsid w:val="00D31F6C"/>
    <w:rsid w:val="00D3262A"/>
    <w:rsid w:val="00D33852"/>
    <w:rsid w:val="00D33D33"/>
    <w:rsid w:val="00D348E4"/>
    <w:rsid w:val="00D35203"/>
    <w:rsid w:val="00D36D46"/>
    <w:rsid w:val="00D379EC"/>
    <w:rsid w:val="00D37FEA"/>
    <w:rsid w:val="00D40138"/>
    <w:rsid w:val="00D4130A"/>
    <w:rsid w:val="00D41900"/>
    <w:rsid w:val="00D41D8A"/>
    <w:rsid w:val="00D427DF"/>
    <w:rsid w:val="00D43749"/>
    <w:rsid w:val="00D44880"/>
    <w:rsid w:val="00D44AE7"/>
    <w:rsid w:val="00D44CCD"/>
    <w:rsid w:val="00D4605E"/>
    <w:rsid w:val="00D5006E"/>
    <w:rsid w:val="00D5078A"/>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2C3A"/>
    <w:rsid w:val="00D63395"/>
    <w:rsid w:val="00D63B78"/>
    <w:rsid w:val="00D6416C"/>
    <w:rsid w:val="00D643C0"/>
    <w:rsid w:val="00D643D9"/>
    <w:rsid w:val="00D6503D"/>
    <w:rsid w:val="00D668AF"/>
    <w:rsid w:val="00D66BC0"/>
    <w:rsid w:val="00D673E4"/>
    <w:rsid w:val="00D67C11"/>
    <w:rsid w:val="00D70056"/>
    <w:rsid w:val="00D706BD"/>
    <w:rsid w:val="00D71457"/>
    <w:rsid w:val="00D7215A"/>
    <w:rsid w:val="00D721ED"/>
    <w:rsid w:val="00D727BC"/>
    <w:rsid w:val="00D72F12"/>
    <w:rsid w:val="00D73E6C"/>
    <w:rsid w:val="00D74651"/>
    <w:rsid w:val="00D75F20"/>
    <w:rsid w:val="00D76D65"/>
    <w:rsid w:val="00D80ECE"/>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5AE2"/>
    <w:rsid w:val="00D96387"/>
    <w:rsid w:val="00D965F4"/>
    <w:rsid w:val="00D96DB6"/>
    <w:rsid w:val="00D97F61"/>
    <w:rsid w:val="00DA0061"/>
    <w:rsid w:val="00DA04E0"/>
    <w:rsid w:val="00DA1C65"/>
    <w:rsid w:val="00DA2024"/>
    <w:rsid w:val="00DA2ABF"/>
    <w:rsid w:val="00DA4BA4"/>
    <w:rsid w:val="00DA4CE4"/>
    <w:rsid w:val="00DA6E95"/>
    <w:rsid w:val="00DB0296"/>
    <w:rsid w:val="00DB11F1"/>
    <w:rsid w:val="00DB3336"/>
    <w:rsid w:val="00DB3900"/>
    <w:rsid w:val="00DB41B0"/>
    <w:rsid w:val="00DB5372"/>
    <w:rsid w:val="00DB6904"/>
    <w:rsid w:val="00DC0B1E"/>
    <w:rsid w:val="00DC1E50"/>
    <w:rsid w:val="00DC41F9"/>
    <w:rsid w:val="00DC48A5"/>
    <w:rsid w:val="00DC4B4A"/>
    <w:rsid w:val="00DC4BF3"/>
    <w:rsid w:val="00DC5551"/>
    <w:rsid w:val="00DC6271"/>
    <w:rsid w:val="00DC652D"/>
    <w:rsid w:val="00DC72B2"/>
    <w:rsid w:val="00DD0661"/>
    <w:rsid w:val="00DD0D8B"/>
    <w:rsid w:val="00DD0F78"/>
    <w:rsid w:val="00DD21E6"/>
    <w:rsid w:val="00DD280D"/>
    <w:rsid w:val="00DD2A8F"/>
    <w:rsid w:val="00DD33B2"/>
    <w:rsid w:val="00DD3BB7"/>
    <w:rsid w:val="00DD473B"/>
    <w:rsid w:val="00DD604F"/>
    <w:rsid w:val="00DD640D"/>
    <w:rsid w:val="00DD791D"/>
    <w:rsid w:val="00DE0599"/>
    <w:rsid w:val="00DE194D"/>
    <w:rsid w:val="00DE2DBC"/>
    <w:rsid w:val="00DE353D"/>
    <w:rsid w:val="00DE3BE8"/>
    <w:rsid w:val="00DE3F6E"/>
    <w:rsid w:val="00DE480D"/>
    <w:rsid w:val="00DE4AEF"/>
    <w:rsid w:val="00DE5B0A"/>
    <w:rsid w:val="00DE5DC5"/>
    <w:rsid w:val="00DF0479"/>
    <w:rsid w:val="00DF0993"/>
    <w:rsid w:val="00DF0ADA"/>
    <w:rsid w:val="00DF12E5"/>
    <w:rsid w:val="00DF1F6C"/>
    <w:rsid w:val="00DF3111"/>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639"/>
    <w:rsid w:val="00E14C48"/>
    <w:rsid w:val="00E174B5"/>
    <w:rsid w:val="00E203FF"/>
    <w:rsid w:val="00E204F2"/>
    <w:rsid w:val="00E206E0"/>
    <w:rsid w:val="00E21767"/>
    <w:rsid w:val="00E21DD4"/>
    <w:rsid w:val="00E24229"/>
    <w:rsid w:val="00E24A7F"/>
    <w:rsid w:val="00E24BF5"/>
    <w:rsid w:val="00E25C7B"/>
    <w:rsid w:val="00E25E8A"/>
    <w:rsid w:val="00E26E89"/>
    <w:rsid w:val="00E274DD"/>
    <w:rsid w:val="00E30D52"/>
    <w:rsid w:val="00E3113C"/>
    <w:rsid w:val="00E31197"/>
    <w:rsid w:val="00E31736"/>
    <w:rsid w:val="00E318EF"/>
    <w:rsid w:val="00E324F3"/>
    <w:rsid w:val="00E326E7"/>
    <w:rsid w:val="00E33061"/>
    <w:rsid w:val="00E34FE9"/>
    <w:rsid w:val="00E35902"/>
    <w:rsid w:val="00E40720"/>
    <w:rsid w:val="00E409D2"/>
    <w:rsid w:val="00E41296"/>
    <w:rsid w:val="00E41830"/>
    <w:rsid w:val="00E41E8F"/>
    <w:rsid w:val="00E428FA"/>
    <w:rsid w:val="00E42CF0"/>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733"/>
    <w:rsid w:val="00E5297B"/>
    <w:rsid w:val="00E53110"/>
    <w:rsid w:val="00E53117"/>
    <w:rsid w:val="00E53EE1"/>
    <w:rsid w:val="00E55FAB"/>
    <w:rsid w:val="00E56682"/>
    <w:rsid w:val="00E568E2"/>
    <w:rsid w:val="00E57244"/>
    <w:rsid w:val="00E575C0"/>
    <w:rsid w:val="00E5787B"/>
    <w:rsid w:val="00E6125B"/>
    <w:rsid w:val="00E61830"/>
    <w:rsid w:val="00E61B94"/>
    <w:rsid w:val="00E62026"/>
    <w:rsid w:val="00E628A7"/>
    <w:rsid w:val="00E6306E"/>
    <w:rsid w:val="00E63656"/>
    <w:rsid w:val="00E639AA"/>
    <w:rsid w:val="00E65E27"/>
    <w:rsid w:val="00E73CB7"/>
    <w:rsid w:val="00E74035"/>
    <w:rsid w:val="00E74070"/>
    <w:rsid w:val="00E759ED"/>
    <w:rsid w:val="00E76C17"/>
    <w:rsid w:val="00E77913"/>
    <w:rsid w:val="00E77EB6"/>
    <w:rsid w:val="00E8050D"/>
    <w:rsid w:val="00E809A6"/>
    <w:rsid w:val="00E80B0C"/>
    <w:rsid w:val="00E825BE"/>
    <w:rsid w:val="00E853D7"/>
    <w:rsid w:val="00E853DC"/>
    <w:rsid w:val="00E8576D"/>
    <w:rsid w:val="00E859D9"/>
    <w:rsid w:val="00E8712C"/>
    <w:rsid w:val="00E908BC"/>
    <w:rsid w:val="00E90986"/>
    <w:rsid w:val="00E90E54"/>
    <w:rsid w:val="00E91079"/>
    <w:rsid w:val="00E924D4"/>
    <w:rsid w:val="00E9274F"/>
    <w:rsid w:val="00E940EF"/>
    <w:rsid w:val="00E94351"/>
    <w:rsid w:val="00E94C3C"/>
    <w:rsid w:val="00E97670"/>
    <w:rsid w:val="00E977EB"/>
    <w:rsid w:val="00EA10A9"/>
    <w:rsid w:val="00EA13DF"/>
    <w:rsid w:val="00EA1F50"/>
    <w:rsid w:val="00EA23A9"/>
    <w:rsid w:val="00EA2A84"/>
    <w:rsid w:val="00EA5D90"/>
    <w:rsid w:val="00EA655B"/>
    <w:rsid w:val="00EA7839"/>
    <w:rsid w:val="00EA7E9E"/>
    <w:rsid w:val="00EB18A7"/>
    <w:rsid w:val="00EB18A9"/>
    <w:rsid w:val="00EB25CE"/>
    <w:rsid w:val="00EB27D0"/>
    <w:rsid w:val="00EB2AC5"/>
    <w:rsid w:val="00EB2D25"/>
    <w:rsid w:val="00EB33EF"/>
    <w:rsid w:val="00EB4817"/>
    <w:rsid w:val="00EB4830"/>
    <w:rsid w:val="00EB4C29"/>
    <w:rsid w:val="00EB4DFD"/>
    <w:rsid w:val="00EB5410"/>
    <w:rsid w:val="00EB5DF3"/>
    <w:rsid w:val="00EB7483"/>
    <w:rsid w:val="00EC03AC"/>
    <w:rsid w:val="00EC0818"/>
    <w:rsid w:val="00EC15A0"/>
    <w:rsid w:val="00EC37DC"/>
    <w:rsid w:val="00EC40B1"/>
    <w:rsid w:val="00EC40BA"/>
    <w:rsid w:val="00EC587E"/>
    <w:rsid w:val="00EC590B"/>
    <w:rsid w:val="00EC60F1"/>
    <w:rsid w:val="00EC629A"/>
    <w:rsid w:val="00EC6346"/>
    <w:rsid w:val="00EC65C3"/>
    <w:rsid w:val="00ED0147"/>
    <w:rsid w:val="00ED0DBD"/>
    <w:rsid w:val="00ED0E97"/>
    <w:rsid w:val="00ED1702"/>
    <w:rsid w:val="00ED218A"/>
    <w:rsid w:val="00ED237F"/>
    <w:rsid w:val="00ED2A07"/>
    <w:rsid w:val="00ED2C8E"/>
    <w:rsid w:val="00ED2DED"/>
    <w:rsid w:val="00ED3292"/>
    <w:rsid w:val="00ED39A0"/>
    <w:rsid w:val="00ED3F78"/>
    <w:rsid w:val="00ED429A"/>
    <w:rsid w:val="00ED4AE1"/>
    <w:rsid w:val="00ED6214"/>
    <w:rsid w:val="00ED6D61"/>
    <w:rsid w:val="00ED7532"/>
    <w:rsid w:val="00EE0F1A"/>
    <w:rsid w:val="00EE146F"/>
    <w:rsid w:val="00EE3FA0"/>
    <w:rsid w:val="00EE570E"/>
    <w:rsid w:val="00EE6901"/>
    <w:rsid w:val="00EE6BE8"/>
    <w:rsid w:val="00EE7507"/>
    <w:rsid w:val="00EE7FE4"/>
    <w:rsid w:val="00EF1154"/>
    <w:rsid w:val="00EF2AAB"/>
    <w:rsid w:val="00EF2D87"/>
    <w:rsid w:val="00EF3A00"/>
    <w:rsid w:val="00EF3B4A"/>
    <w:rsid w:val="00EF3C6E"/>
    <w:rsid w:val="00EF4461"/>
    <w:rsid w:val="00EF56B7"/>
    <w:rsid w:val="00EF5ADA"/>
    <w:rsid w:val="00EF5E02"/>
    <w:rsid w:val="00EF6027"/>
    <w:rsid w:val="00EF6133"/>
    <w:rsid w:val="00F01361"/>
    <w:rsid w:val="00F01682"/>
    <w:rsid w:val="00F0288C"/>
    <w:rsid w:val="00F031F0"/>
    <w:rsid w:val="00F0321B"/>
    <w:rsid w:val="00F04282"/>
    <w:rsid w:val="00F051FD"/>
    <w:rsid w:val="00F0592D"/>
    <w:rsid w:val="00F05A44"/>
    <w:rsid w:val="00F05F18"/>
    <w:rsid w:val="00F060C4"/>
    <w:rsid w:val="00F06D35"/>
    <w:rsid w:val="00F07E5A"/>
    <w:rsid w:val="00F10AC3"/>
    <w:rsid w:val="00F11CDA"/>
    <w:rsid w:val="00F12B5D"/>
    <w:rsid w:val="00F14A46"/>
    <w:rsid w:val="00F16D7A"/>
    <w:rsid w:val="00F16EE8"/>
    <w:rsid w:val="00F20251"/>
    <w:rsid w:val="00F21945"/>
    <w:rsid w:val="00F21964"/>
    <w:rsid w:val="00F232CC"/>
    <w:rsid w:val="00F2364E"/>
    <w:rsid w:val="00F23C98"/>
    <w:rsid w:val="00F23D7E"/>
    <w:rsid w:val="00F23E6F"/>
    <w:rsid w:val="00F24177"/>
    <w:rsid w:val="00F246E8"/>
    <w:rsid w:val="00F2516A"/>
    <w:rsid w:val="00F2562E"/>
    <w:rsid w:val="00F263FC"/>
    <w:rsid w:val="00F266D4"/>
    <w:rsid w:val="00F26900"/>
    <w:rsid w:val="00F26ABE"/>
    <w:rsid w:val="00F26F2F"/>
    <w:rsid w:val="00F27645"/>
    <w:rsid w:val="00F303D8"/>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8EB"/>
    <w:rsid w:val="00F42D71"/>
    <w:rsid w:val="00F43A0A"/>
    <w:rsid w:val="00F43D58"/>
    <w:rsid w:val="00F446A1"/>
    <w:rsid w:val="00F4527C"/>
    <w:rsid w:val="00F4584A"/>
    <w:rsid w:val="00F471D3"/>
    <w:rsid w:val="00F472FD"/>
    <w:rsid w:val="00F47AF6"/>
    <w:rsid w:val="00F5098B"/>
    <w:rsid w:val="00F5150D"/>
    <w:rsid w:val="00F51851"/>
    <w:rsid w:val="00F53D9E"/>
    <w:rsid w:val="00F55DB5"/>
    <w:rsid w:val="00F55F4C"/>
    <w:rsid w:val="00F56F7A"/>
    <w:rsid w:val="00F57702"/>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061D"/>
    <w:rsid w:val="00F719EE"/>
    <w:rsid w:val="00F72AB0"/>
    <w:rsid w:val="00F735BC"/>
    <w:rsid w:val="00F74799"/>
    <w:rsid w:val="00F7505F"/>
    <w:rsid w:val="00F80743"/>
    <w:rsid w:val="00F81BC9"/>
    <w:rsid w:val="00F83563"/>
    <w:rsid w:val="00F84366"/>
    <w:rsid w:val="00F8461F"/>
    <w:rsid w:val="00F84799"/>
    <w:rsid w:val="00F86B72"/>
    <w:rsid w:val="00F912AC"/>
    <w:rsid w:val="00F91FF4"/>
    <w:rsid w:val="00F92432"/>
    <w:rsid w:val="00F924DA"/>
    <w:rsid w:val="00F92518"/>
    <w:rsid w:val="00F92A10"/>
    <w:rsid w:val="00F93756"/>
    <w:rsid w:val="00F93974"/>
    <w:rsid w:val="00F93A98"/>
    <w:rsid w:val="00F93D0C"/>
    <w:rsid w:val="00F94C99"/>
    <w:rsid w:val="00F96341"/>
    <w:rsid w:val="00F97208"/>
    <w:rsid w:val="00FA0CDA"/>
    <w:rsid w:val="00FA13CC"/>
    <w:rsid w:val="00FA2CEC"/>
    <w:rsid w:val="00FA64C9"/>
    <w:rsid w:val="00FA68E8"/>
    <w:rsid w:val="00FB225C"/>
    <w:rsid w:val="00FB353C"/>
    <w:rsid w:val="00FB3C59"/>
    <w:rsid w:val="00FB42A2"/>
    <w:rsid w:val="00FB5A5C"/>
    <w:rsid w:val="00FB6294"/>
    <w:rsid w:val="00FB6979"/>
    <w:rsid w:val="00FB6A17"/>
    <w:rsid w:val="00FB6B88"/>
    <w:rsid w:val="00FB7D9D"/>
    <w:rsid w:val="00FC33FF"/>
    <w:rsid w:val="00FC38C0"/>
    <w:rsid w:val="00FC44C3"/>
    <w:rsid w:val="00FC495B"/>
    <w:rsid w:val="00FC53E3"/>
    <w:rsid w:val="00FC6239"/>
    <w:rsid w:val="00FC70D2"/>
    <w:rsid w:val="00FD01DA"/>
    <w:rsid w:val="00FD06F7"/>
    <w:rsid w:val="00FD1B03"/>
    <w:rsid w:val="00FD1F53"/>
    <w:rsid w:val="00FD3168"/>
    <w:rsid w:val="00FD3C35"/>
    <w:rsid w:val="00FD4A85"/>
    <w:rsid w:val="00FD58E1"/>
    <w:rsid w:val="00FD5E5F"/>
    <w:rsid w:val="00FD65B4"/>
    <w:rsid w:val="00FD7DC4"/>
    <w:rsid w:val="00FE0936"/>
    <w:rsid w:val="00FE12CD"/>
    <w:rsid w:val="00FE438D"/>
    <w:rsid w:val="00FE4D88"/>
    <w:rsid w:val="00FE502E"/>
    <w:rsid w:val="00FE5BB0"/>
    <w:rsid w:val="00FE6341"/>
    <w:rsid w:val="00FE6538"/>
    <w:rsid w:val="00FE6896"/>
    <w:rsid w:val="00FE726A"/>
    <w:rsid w:val="00FF1418"/>
    <w:rsid w:val="00FF237D"/>
    <w:rsid w:val="00FF2CA0"/>
    <w:rsid w:val="00FF385A"/>
    <w:rsid w:val="00FF38FD"/>
    <w:rsid w:val="00FF3E21"/>
    <w:rsid w:val="00FF4218"/>
    <w:rsid w:val="00FF4219"/>
    <w:rsid w:val="00FF4366"/>
    <w:rsid w:val="00FF528E"/>
    <w:rsid w:val="00FF5DC5"/>
    <w:rsid w:val="00FF5E69"/>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A0F66"/>
    <w:pPr>
      <w:spacing w:after="120"/>
    </w:pPr>
    <w:rPr>
      <w:rFonts w:ascii="Arial" w:hAnsi="Arial"/>
      <w:sz w:val="24"/>
      <w:szCs w:val="24"/>
    </w:rPr>
  </w:style>
  <w:style w:type="paragraph" w:styleId="Heading1">
    <w:name w:val="heading 1"/>
    <w:basedOn w:val="Normal"/>
    <w:next w:val="Normal"/>
    <w:link w:val="Heading1Char"/>
    <w:uiPriority w:val="9"/>
    <w:qFormat/>
    <w:rsid w:val="00F7505F"/>
    <w:pPr>
      <w:keepNext/>
      <w:keepLines/>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A409A4"/>
    <w:pPr>
      <w:keepNext/>
      <w:keepLines/>
      <w:numPr>
        <w:numId w:val="19"/>
      </w:numPr>
      <w:spacing w:before="360"/>
      <w:ind w:left="567"/>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numPr>
        <w:ilvl w:val="1"/>
        <w:numId w:val="19"/>
      </w:numPr>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Heading4"/>
    <w:next w:val="Normal"/>
    <w:link w:val="Heading5Char"/>
    <w:uiPriority w:val="9"/>
    <w:qFormat/>
    <w:rsid w:val="00BA0F66"/>
    <w:pPr>
      <w:jc w:val="left"/>
      <w:outlineLvl w:val="4"/>
    </w:p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65E27"/>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E65E27"/>
    <w:pPr>
      <w:tabs>
        <w:tab w:val="center" w:pos="4513"/>
        <w:tab w:val="right" w:pos="9026"/>
      </w:tabs>
      <w:spacing w:after="0"/>
    </w:pPr>
    <w:rPr>
      <w:sz w:val="20"/>
    </w:rPr>
  </w:style>
  <w:style w:type="character" w:customStyle="1" w:styleId="FooterChar">
    <w:name w:val="Footer Char"/>
    <w:link w:val="Footer"/>
    <w:uiPriority w:val="99"/>
    <w:rsid w:val="00E65E27"/>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7505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A409A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003FCB"/>
    <w:pPr>
      <w:tabs>
        <w:tab w:val="center" w:pos="4513"/>
        <w:tab w:val="right" w:pos="9026"/>
      </w:tabs>
      <w:spacing w:after="0"/>
    </w:pPr>
  </w:style>
  <w:style w:type="character" w:customStyle="1" w:styleId="HeaderChar">
    <w:name w:val="Header Char"/>
    <w:basedOn w:val="DefaultParagraphFont"/>
    <w:link w:val="Header"/>
    <w:uiPriority w:val="99"/>
    <w:rsid w:val="00003FCB"/>
    <w:rPr>
      <w:rFonts w:ascii="Arial" w:hAnsi="Arial"/>
      <w:sz w:val="24"/>
      <w:szCs w:val="24"/>
    </w:rPr>
  </w:style>
  <w:style w:type="character" w:customStyle="1" w:styleId="FootnoteTextChar">
    <w:name w:val="Footnote Text Char"/>
    <w:basedOn w:val="DefaultParagraphFont"/>
    <w:link w:val="FootnoteText"/>
    <w:semiHidden/>
    <w:rsid w:val="00E65E27"/>
    <w:rPr>
      <w:rFonts w:ascii="Arial" w:hAnsi="Arial"/>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BA0F66"/>
    <w:rPr>
      <w:rFonts w:ascii="Arial" w:eastAsiaTheme="majorEastAsia" w:hAnsi="Arial" w:cstheme="majorBidi"/>
      <w:b/>
      <w:bCs/>
      <w:iCs/>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 w:type="paragraph" w:styleId="BodyText3">
    <w:name w:val="Body Text 3"/>
    <w:basedOn w:val="Normal"/>
    <w:link w:val="BodyText3Char"/>
    <w:uiPriority w:val="99"/>
    <w:semiHidden/>
    <w:unhideWhenUsed/>
    <w:rsid w:val="00460BAA"/>
    <w:rPr>
      <w:sz w:val="16"/>
      <w:szCs w:val="16"/>
    </w:rPr>
  </w:style>
  <w:style w:type="character" w:customStyle="1" w:styleId="BodyText3Char">
    <w:name w:val="Body Text 3 Char"/>
    <w:basedOn w:val="DefaultParagraphFont"/>
    <w:link w:val="BodyText3"/>
    <w:uiPriority w:val="99"/>
    <w:semiHidden/>
    <w:rsid w:val="00460BAA"/>
    <w:rPr>
      <w:rFonts w:ascii="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A0F66"/>
    <w:pPr>
      <w:spacing w:after="120"/>
    </w:pPr>
    <w:rPr>
      <w:rFonts w:ascii="Arial" w:hAnsi="Arial"/>
      <w:sz w:val="24"/>
      <w:szCs w:val="24"/>
    </w:rPr>
  </w:style>
  <w:style w:type="paragraph" w:styleId="Heading1">
    <w:name w:val="heading 1"/>
    <w:basedOn w:val="Normal"/>
    <w:next w:val="Normal"/>
    <w:link w:val="Heading1Char"/>
    <w:uiPriority w:val="9"/>
    <w:qFormat/>
    <w:rsid w:val="00F7505F"/>
    <w:pPr>
      <w:keepNext/>
      <w:keepLines/>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A409A4"/>
    <w:pPr>
      <w:keepNext/>
      <w:keepLines/>
      <w:numPr>
        <w:numId w:val="19"/>
      </w:numPr>
      <w:spacing w:before="360"/>
      <w:ind w:left="567"/>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numPr>
        <w:ilvl w:val="1"/>
        <w:numId w:val="19"/>
      </w:numPr>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Heading4"/>
    <w:next w:val="Normal"/>
    <w:link w:val="Heading5Char"/>
    <w:uiPriority w:val="9"/>
    <w:qFormat/>
    <w:rsid w:val="00BA0F66"/>
    <w:pPr>
      <w:jc w:val="left"/>
      <w:outlineLvl w:val="4"/>
    </w:p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65E27"/>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E65E27"/>
    <w:pPr>
      <w:tabs>
        <w:tab w:val="center" w:pos="4513"/>
        <w:tab w:val="right" w:pos="9026"/>
      </w:tabs>
      <w:spacing w:after="0"/>
    </w:pPr>
    <w:rPr>
      <w:sz w:val="20"/>
    </w:rPr>
  </w:style>
  <w:style w:type="character" w:customStyle="1" w:styleId="FooterChar">
    <w:name w:val="Footer Char"/>
    <w:link w:val="Footer"/>
    <w:uiPriority w:val="99"/>
    <w:rsid w:val="00E65E27"/>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7505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A409A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003FCB"/>
    <w:pPr>
      <w:tabs>
        <w:tab w:val="center" w:pos="4513"/>
        <w:tab w:val="right" w:pos="9026"/>
      </w:tabs>
      <w:spacing w:after="0"/>
    </w:pPr>
  </w:style>
  <w:style w:type="character" w:customStyle="1" w:styleId="HeaderChar">
    <w:name w:val="Header Char"/>
    <w:basedOn w:val="DefaultParagraphFont"/>
    <w:link w:val="Header"/>
    <w:uiPriority w:val="99"/>
    <w:rsid w:val="00003FCB"/>
    <w:rPr>
      <w:rFonts w:ascii="Arial" w:hAnsi="Arial"/>
      <w:sz w:val="24"/>
      <w:szCs w:val="24"/>
    </w:rPr>
  </w:style>
  <w:style w:type="character" w:customStyle="1" w:styleId="FootnoteTextChar">
    <w:name w:val="Footnote Text Char"/>
    <w:basedOn w:val="DefaultParagraphFont"/>
    <w:link w:val="FootnoteText"/>
    <w:semiHidden/>
    <w:rsid w:val="00E65E27"/>
    <w:rPr>
      <w:rFonts w:ascii="Arial" w:hAnsi="Arial"/>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BA0F66"/>
    <w:rPr>
      <w:rFonts w:ascii="Arial" w:eastAsiaTheme="majorEastAsia" w:hAnsi="Arial" w:cstheme="majorBidi"/>
      <w:b/>
      <w:bCs/>
      <w:iCs/>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 w:type="paragraph" w:styleId="BodyText3">
    <w:name w:val="Body Text 3"/>
    <w:basedOn w:val="Normal"/>
    <w:link w:val="BodyText3Char"/>
    <w:uiPriority w:val="99"/>
    <w:semiHidden/>
    <w:unhideWhenUsed/>
    <w:rsid w:val="00460BAA"/>
    <w:rPr>
      <w:sz w:val="16"/>
      <w:szCs w:val="16"/>
    </w:rPr>
  </w:style>
  <w:style w:type="character" w:customStyle="1" w:styleId="BodyText3Char">
    <w:name w:val="Body Text 3 Char"/>
    <w:basedOn w:val="DefaultParagraphFont"/>
    <w:link w:val="BodyText3"/>
    <w:uiPriority w:val="99"/>
    <w:semiHidden/>
    <w:rsid w:val="00460BAA"/>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gov.uk/government/statistics/announceme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cottishambulance.com/TheService/BoardPapers.aspx" TargetMode="External"/><Relationship Id="rId7" Type="http://schemas.openxmlformats.org/officeDocument/2006/relationships/footnotes" Target="footnotes.xml"/><Relationship Id="rId12" Type="http://schemas.openxmlformats.org/officeDocument/2006/relationships/hyperlink" Target="http://bit.ly/NHSAQI" TargetMode="External"/><Relationship Id="rId17" Type="http://schemas.openxmlformats.org/officeDocument/2006/relationships/hyperlink" Target="http://bit.ly/NHSAQ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ngland.nhs.uk/statistics/statistical-work-areas/ambulance-quality-indicators" TargetMode="External"/><Relationship Id="rId20" Type="http://schemas.openxmlformats.org/officeDocument/2006/relationships/hyperlink" Target="http://wales.gov.uk/statistics-and-research/ambulance-ser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hyperlink" Target="mailto:i.kay@nhs.net"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mailto:nhsengland.media@nhs.net" TargetMode="External"/><Relationship Id="rId28" Type="http://schemas.openxmlformats.org/officeDocument/2006/relationships/theme" Target="theme/theme1.xml"/><Relationship Id="rId10" Type="http://schemas.openxmlformats.org/officeDocument/2006/relationships/hyperlink" Target="http://www.england.nhs.uk/statistics/statistical-work-areas/ambulance-quality-indicators" TargetMode="External"/><Relationship Id="rId19" Type="http://schemas.openxmlformats.org/officeDocument/2006/relationships/hyperlink" Target="http://www.england.nhs.uk/statistics/statistical-work-areas/winter-daily-sitre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health-ni.gov.uk/articles/emergency-care-and-ambulance-statistic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supplements-to-the-nhs-constitution-for-england" TargetMode="External"/><Relationship Id="rId4" Type="http://schemas.openxmlformats.org/officeDocument/2006/relationships/hyperlink" Target="https://digital.nhs.uk/search?q=ambul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1E43A-B33E-4AC0-9598-4B781500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2088</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13688</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9</cp:revision>
  <cp:lastPrinted>2016-09-06T08:48:00Z</cp:lastPrinted>
  <dcterms:created xsi:type="dcterms:W3CDTF">2017-12-12T14:43:00Z</dcterms:created>
  <dcterms:modified xsi:type="dcterms:W3CDTF">2017-12-13T09:08:00Z</dcterms:modified>
</cp:coreProperties>
</file>