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92" w:rsidRPr="00F7505F" w:rsidRDefault="00C21149" w:rsidP="00CC3F51">
      <w:pPr>
        <w:pStyle w:val="Heading1"/>
      </w:pPr>
      <w:r w:rsidRPr="00F7505F">
        <w:t xml:space="preserve">Statistical </w:t>
      </w:r>
      <w:r w:rsidRPr="00CC3F51">
        <w:t>Note</w:t>
      </w:r>
      <w:r w:rsidRPr="00F7505F">
        <w:t xml:space="preserve">: </w:t>
      </w:r>
      <w:r w:rsidR="00340492" w:rsidRPr="00F7505F">
        <w:t>Ambulance Quality Indicators</w:t>
      </w:r>
      <w:r w:rsidR="002C522F" w:rsidRPr="00F7505F">
        <w:t xml:space="preserve"> (AQI</w:t>
      </w:r>
      <w:r w:rsidR="00DC4BF3" w:rsidRPr="00F7505F">
        <w:t>)</w:t>
      </w:r>
    </w:p>
    <w:p w:rsidR="00B75E75" w:rsidRDefault="00B75E75" w:rsidP="00E859D9">
      <w:r w:rsidRPr="00832D93">
        <w:t>The latest Systems In</w:t>
      </w:r>
      <w:r w:rsidR="003F1BB3" w:rsidRPr="00832D93">
        <w:t>d</w:t>
      </w:r>
      <w:r w:rsidRPr="00832D93">
        <w:t xml:space="preserve">icators for </w:t>
      </w:r>
      <w:r w:rsidR="008F09F8" w:rsidRPr="00832D93">
        <w:t>Febru</w:t>
      </w:r>
      <w:r w:rsidR="00D51346" w:rsidRPr="00832D93">
        <w:t>ary 2018</w:t>
      </w:r>
      <w:r w:rsidRPr="00832D93">
        <w:t xml:space="preserve"> for Ambulance Services in England</w:t>
      </w:r>
      <w:r w:rsidR="000E6F7C" w:rsidRPr="00832D93">
        <w:t xml:space="preserve"> </w:t>
      </w:r>
      <w:r w:rsidRPr="00832D93">
        <w:t>showed</w:t>
      </w:r>
      <w:r w:rsidR="00230F4C" w:rsidRPr="00832D93">
        <w:t xml:space="preserve"> </w:t>
      </w:r>
      <w:r w:rsidR="0055404D" w:rsidRPr="00832D93">
        <w:t xml:space="preserve">that </w:t>
      </w:r>
      <w:r w:rsidR="001064F3" w:rsidRPr="00832D93">
        <w:t xml:space="preserve">one of the six </w:t>
      </w:r>
      <w:r w:rsidRPr="00832D93">
        <w:t>standards in the Handbook</w:t>
      </w:r>
      <w:r w:rsidRPr="00832D93">
        <w:rPr>
          <w:vertAlign w:val="superscript"/>
        </w:rPr>
        <w:footnoteReference w:id="1"/>
      </w:r>
      <w:r w:rsidRPr="00832D93">
        <w:t xml:space="preserve"> to the NHS constitution </w:t>
      </w:r>
      <w:r w:rsidR="0055404D" w:rsidRPr="00832D93">
        <w:t xml:space="preserve">was </w:t>
      </w:r>
      <w:r w:rsidR="001064F3" w:rsidRPr="00832D93">
        <w:t>met.</w:t>
      </w:r>
    </w:p>
    <w:p w:rsidR="002C522F" w:rsidRPr="00F7505F" w:rsidRDefault="00C3443F" w:rsidP="00B376CF">
      <w:pPr>
        <w:pStyle w:val="Heading2"/>
      </w:pPr>
      <w:r w:rsidRPr="00F7505F">
        <w:t xml:space="preserve">Systems </w:t>
      </w:r>
      <w:r w:rsidR="00465847" w:rsidRPr="00F7505F">
        <w:t>Indicators</w:t>
      </w:r>
    </w:p>
    <w:p w:rsidR="00036272" w:rsidRDefault="003621E4" w:rsidP="00200942">
      <w:pPr>
        <w:pStyle w:val="Heading3"/>
      </w:pPr>
      <w:r>
        <w:t>R</w:t>
      </w:r>
      <w:r w:rsidR="00036272">
        <w:t>esponse times</w:t>
      </w:r>
    </w:p>
    <w:p w:rsidR="00573556" w:rsidRDefault="00064DE4" w:rsidP="00036272">
      <w:r>
        <w:t>Figure 1 shows that</w:t>
      </w:r>
      <w:r w:rsidR="00BB1DE2">
        <w:t xml:space="preserve"> </w:t>
      </w:r>
      <w:r w:rsidR="008F09F8">
        <w:t>Febru</w:t>
      </w:r>
      <w:r w:rsidR="0055404D">
        <w:t xml:space="preserve">ary 2018 was the </w:t>
      </w:r>
      <w:r w:rsidR="008F09F8">
        <w:t>third</w:t>
      </w:r>
      <w:r w:rsidR="0055404D">
        <w:t xml:space="preserve"> month when</w:t>
      </w:r>
      <w:r w:rsidR="00BB1DE2">
        <w:t xml:space="preserve"> </w:t>
      </w:r>
      <w:r w:rsidR="00A4191E">
        <w:t>all Ambulance Services in England</w:t>
      </w:r>
      <w:r w:rsidR="00EE12D7">
        <w:rPr>
          <w:rStyle w:val="FootnoteReference"/>
        </w:rPr>
        <w:footnoteReference w:id="2"/>
      </w:r>
      <w:r w:rsidR="00EE12D7">
        <w:t xml:space="preserve">, apart from Isle of Wight, </w:t>
      </w:r>
      <w:r w:rsidR="00B81004">
        <w:t>report</w:t>
      </w:r>
      <w:r w:rsidR="00EE12D7">
        <w:t>ed against the new standards</w:t>
      </w:r>
      <w:r w:rsidR="00BB1DE2">
        <w:t>.</w:t>
      </w:r>
    </w:p>
    <w:p w:rsidR="00F765B6" w:rsidRDefault="00692EF8" w:rsidP="0055404D">
      <w:r>
        <w:t>I</w:t>
      </w:r>
      <w:r w:rsidRPr="00832D93">
        <w:t>n February 2018</w:t>
      </w:r>
      <w:r>
        <w:t xml:space="preserve"> f</w:t>
      </w:r>
      <w:r w:rsidR="0055404D" w:rsidRPr="00832D93">
        <w:t>or Category</w:t>
      </w:r>
      <w:r w:rsidR="0055404D" w:rsidRPr="00832D93">
        <w:rPr>
          <w:rStyle w:val="FootnoteReference"/>
        </w:rPr>
        <w:footnoteReference w:id="3"/>
      </w:r>
      <w:r w:rsidR="0055404D" w:rsidRPr="00832D93">
        <w:t xml:space="preserve"> C1, the most life-threatening incidents, the </w:t>
      </w:r>
      <w:r w:rsidR="00EE12D7" w:rsidRPr="00832D93">
        <w:t xml:space="preserve">mean </w:t>
      </w:r>
      <w:r w:rsidR="0055404D" w:rsidRPr="00832D93">
        <w:t>average response time was 8 minutes 1</w:t>
      </w:r>
      <w:r w:rsidR="00176A1A" w:rsidRPr="00832D93">
        <w:t>6</w:t>
      </w:r>
      <w:r w:rsidR="0055404D" w:rsidRPr="00832D93">
        <w:t xml:space="preserve"> seconds, 3 seconds less than in </w:t>
      </w:r>
      <w:r w:rsidR="008F09F8" w:rsidRPr="00832D93">
        <w:t>January</w:t>
      </w:r>
      <w:r w:rsidR="0055404D" w:rsidRPr="00832D93">
        <w:t>.</w:t>
      </w:r>
    </w:p>
    <w:p w:rsidR="0055404D" w:rsidRDefault="00F765B6" w:rsidP="0055404D">
      <w:r>
        <w:t>However, o</w:t>
      </w:r>
      <w:r w:rsidR="00176A1A" w:rsidRPr="00832D93">
        <w:t>nly</w:t>
      </w:r>
      <w:r w:rsidR="0055404D" w:rsidRPr="00832D93">
        <w:t xml:space="preserve"> North East </w:t>
      </w:r>
      <w:r w:rsidR="00E85A10" w:rsidRPr="00832D93">
        <w:t xml:space="preserve">(NEAS) </w:t>
      </w:r>
      <w:r w:rsidR="0055404D" w:rsidRPr="00832D93">
        <w:t>Ambulance Service</w:t>
      </w:r>
      <w:r w:rsidR="00E85A10" w:rsidRPr="00832D93">
        <w:t>s</w:t>
      </w:r>
      <w:r w:rsidR="0055404D" w:rsidRPr="00832D93">
        <w:t xml:space="preserve"> met the mean standard of 7 minutes.</w:t>
      </w:r>
    </w:p>
    <w:p w:rsidR="00036272" w:rsidRDefault="00B72844" w:rsidP="00036272">
      <w:r>
        <w:rPr>
          <w:noProof/>
        </w:rPr>
        <w:drawing>
          <wp:inline distT="0" distB="0" distL="0" distR="0" wp14:anchorId="50A9055C">
            <wp:extent cx="5590540" cy="2536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540" cy="2536190"/>
                    </a:xfrm>
                    <a:prstGeom prst="rect">
                      <a:avLst/>
                    </a:prstGeom>
                    <a:noFill/>
                  </pic:spPr>
                </pic:pic>
              </a:graphicData>
            </a:graphic>
          </wp:inline>
        </w:drawing>
      </w:r>
    </w:p>
    <w:p w:rsidR="008B078C" w:rsidRDefault="00BE1EF1" w:rsidP="00036272">
      <w:r w:rsidRPr="003974A4">
        <w:t>The 90</w:t>
      </w:r>
      <w:r w:rsidRPr="003974A4">
        <w:rPr>
          <w:vertAlign w:val="superscript"/>
        </w:rPr>
        <w:t>th</w:t>
      </w:r>
      <w:r w:rsidRPr="003974A4">
        <w:t xml:space="preserve"> centile response time </w:t>
      </w:r>
      <w:r w:rsidR="00F765B6">
        <w:t xml:space="preserve">standard </w:t>
      </w:r>
      <w:r w:rsidR="00F765B6" w:rsidRPr="003974A4">
        <w:t xml:space="preserve">of 18 minutes </w:t>
      </w:r>
      <w:r w:rsidRPr="003974A4">
        <w:t xml:space="preserve">for Category C1 </w:t>
      </w:r>
      <w:r w:rsidR="00884080" w:rsidRPr="003974A4">
        <w:t xml:space="preserve">(Figure 2) </w:t>
      </w:r>
      <w:r w:rsidR="00362574" w:rsidRPr="003974A4">
        <w:t>was</w:t>
      </w:r>
      <w:r w:rsidR="00884080" w:rsidRPr="003974A4">
        <w:t xml:space="preserve"> the only one of the six standards met across England as a whole.</w:t>
      </w:r>
      <w:r w:rsidR="00884080">
        <w:t xml:space="preserve"> </w:t>
      </w:r>
    </w:p>
    <w:p w:rsidR="00BE1EF1" w:rsidRPr="008F09F8" w:rsidRDefault="00B72844" w:rsidP="00036272">
      <w:pPr>
        <w:rPr>
          <w:highlight w:val="yellow"/>
        </w:rPr>
      </w:pPr>
      <w:r>
        <w:rPr>
          <w:noProof/>
        </w:rPr>
        <w:lastRenderedPageBreak/>
        <w:drawing>
          <wp:inline distT="0" distB="0" distL="0" distR="0" wp14:anchorId="0F0A52E9">
            <wp:extent cx="5590540" cy="2529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542BF1" w:rsidRPr="003974A4" w:rsidRDefault="00480085" w:rsidP="00036272">
      <w:r w:rsidRPr="003974A4">
        <w:t>O</w:t>
      </w:r>
      <w:r w:rsidR="0097015B" w:rsidRPr="003974A4">
        <w:t>nly South Central (SCAS, 16:</w:t>
      </w:r>
      <w:r w:rsidR="00176A1A" w:rsidRPr="003974A4">
        <w:t>16</w:t>
      </w:r>
      <w:r w:rsidR="00884080" w:rsidRPr="003974A4">
        <w:t>),</w:t>
      </w:r>
      <w:r w:rsidR="0097015B" w:rsidRPr="003974A4">
        <w:t xml:space="preserve"> South East Coast (SECAmb, 1</w:t>
      </w:r>
      <w:r w:rsidR="00176A1A" w:rsidRPr="003974A4">
        <w:t>7</w:t>
      </w:r>
      <w:r w:rsidR="0097015B" w:rsidRPr="003974A4">
        <w:t>:</w:t>
      </w:r>
      <w:r w:rsidR="00176A1A" w:rsidRPr="003974A4">
        <w:t>04</w:t>
      </w:r>
      <w:r w:rsidR="00884080" w:rsidRPr="003974A4">
        <w:t>) and WMAS (1</w:t>
      </w:r>
      <w:r w:rsidR="00176A1A" w:rsidRPr="003974A4">
        <w:t>3</w:t>
      </w:r>
      <w:r w:rsidR="00884080" w:rsidRPr="003974A4">
        <w:t>:</w:t>
      </w:r>
      <w:r w:rsidR="00176A1A" w:rsidRPr="003974A4">
        <w:t>14</w:t>
      </w:r>
      <w:r w:rsidR="00884080" w:rsidRPr="003974A4">
        <w:t xml:space="preserve">) met the </w:t>
      </w:r>
      <w:r w:rsidRPr="003974A4">
        <w:t xml:space="preserve">Category C2 </w:t>
      </w:r>
      <w:r w:rsidR="00884080" w:rsidRPr="003974A4">
        <w:t>mean response time standard</w:t>
      </w:r>
      <w:r w:rsidR="00F765B6">
        <w:t xml:space="preserve"> (Figure 3). </w:t>
      </w:r>
      <w:r w:rsidRPr="003974A4">
        <w:t>T</w:t>
      </w:r>
      <w:r w:rsidR="00884080" w:rsidRPr="003974A4">
        <w:t>he same three Services met the 90</w:t>
      </w:r>
      <w:r w:rsidR="00884080" w:rsidRPr="003974A4">
        <w:rPr>
          <w:vertAlign w:val="superscript"/>
        </w:rPr>
        <w:t>th</w:t>
      </w:r>
      <w:r w:rsidR="00884080" w:rsidRPr="003974A4">
        <w:t xml:space="preserve"> centile </w:t>
      </w:r>
      <w:r w:rsidR="00F765B6">
        <w:t>standard of 40 minutes for C2 (Figure 4).</w:t>
      </w:r>
    </w:p>
    <w:p w:rsidR="00573556" w:rsidRPr="008F09F8" w:rsidRDefault="00B72844" w:rsidP="00036272">
      <w:pPr>
        <w:rPr>
          <w:highlight w:val="yellow"/>
        </w:rPr>
      </w:pPr>
      <w:r>
        <w:rPr>
          <w:noProof/>
        </w:rPr>
        <w:drawing>
          <wp:inline distT="0" distB="0" distL="0" distR="0" wp14:anchorId="7FFBA024">
            <wp:extent cx="5590540" cy="2529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621E4" w:rsidRDefault="00B72844" w:rsidP="00036272">
      <w:r>
        <w:rPr>
          <w:noProof/>
        </w:rPr>
        <w:drawing>
          <wp:inline distT="0" distB="0" distL="0" distR="0" wp14:anchorId="76C90BCC">
            <wp:extent cx="5590540" cy="25298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974A4" w:rsidRPr="003974A4" w:rsidRDefault="003974A4" w:rsidP="00480085">
      <w:r w:rsidRPr="003974A4">
        <w:lastRenderedPageBreak/>
        <w:t>For England as a whole, the mean and 90</w:t>
      </w:r>
      <w:r w:rsidRPr="003974A4">
        <w:rPr>
          <w:vertAlign w:val="superscript"/>
        </w:rPr>
        <w:t>th</w:t>
      </w:r>
      <w:r w:rsidRPr="003974A4">
        <w:t xml:space="preserve"> centile measures</w:t>
      </w:r>
      <w:r w:rsidR="00F765B6">
        <w:t>,</w:t>
      </w:r>
      <w:r w:rsidRPr="003974A4">
        <w:t xml:space="preserve"> </w:t>
      </w:r>
      <w:r w:rsidR="00F765B6" w:rsidRPr="003974A4">
        <w:t>both for C1 and C2</w:t>
      </w:r>
      <w:r w:rsidR="00F765B6">
        <w:t xml:space="preserve">, </w:t>
      </w:r>
      <w:r w:rsidRPr="003974A4">
        <w:t>decreased between January and February 2018. However, for C3 and C4, the 90</w:t>
      </w:r>
      <w:r w:rsidRPr="003974A4">
        <w:rPr>
          <w:vertAlign w:val="superscript"/>
        </w:rPr>
        <w:t>th</w:t>
      </w:r>
      <w:r w:rsidRPr="003974A4">
        <w:t xml:space="preserve"> centile measures both increased.</w:t>
      </w:r>
    </w:p>
    <w:p w:rsidR="00480085" w:rsidRDefault="003974A4" w:rsidP="00480085">
      <w:r w:rsidRPr="003974A4">
        <w:t xml:space="preserve">As in January, in February </w:t>
      </w:r>
      <w:r w:rsidR="00480085" w:rsidRPr="003974A4">
        <w:t>only WMAS</w:t>
      </w:r>
      <w:r w:rsidRPr="003974A4">
        <w:t xml:space="preserve"> met the C3 standard of 2 hours</w:t>
      </w:r>
      <w:r w:rsidR="00062D9E">
        <w:t>,</w:t>
      </w:r>
      <w:r w:rsidRPr="003974A4">
        <w:t xml:space="preserve"> and only </w:t>
      </w:r>
      <w:r w:rsidR="00480085" w:rsidRPr="003974A4">
        <w:t xml:space="preserve">East Midlands (EMAS), London (LAS) and WMAS met the </w:t>
      </w:r>
      <w:r w:rsidRPr="003974A4">
        <w:t xml:space="preserve">C4 standard of </w:t>
      </w:r>
      <w:r w:rsidR="00480085" w:rsidRPr="003974A4">
        <w:t>3 hour</w:t>
      </w:r>
      <w:r w:rsidRPr="003974A4">
        <w:t>s</w:t>
      </w:r>
      <w:r w:rsidR="00CE273A" w:rsidRPr="003974A4">
        <w:t>.</w:t>
      </w:r>
    </w:p>
    <w:p w:rsidR="00480085" w:rsidRDefault="00B72844" w:rsidP="00036272">
      <w:pPr>
        <w:rPr>
          <w:noProof/>
        </w:rPr>
      </w:pPr>
      <w:r>
        <w:rPr>
          <w:noProof/>
        </w:rPr>
        <w:drawing>
          <wp:inline distT="0" distB="0" distL="0" distR="0" wp14:anchorId="61A6DE3A">
            <wp:extent cx="5590540" cy="25298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621E4" w:rsidRPr="00036272" w:rsidRDefault="00B72844" w:rsidP="00036272">
      <w:r>
        <w:rPr>
          <w:noProof/>
        </w:rPr>
        <w:drawing>
          <wp:inline distT="0" distB="0" distL="0" distR="0" wp14:anchorId="63D628F2">
            <wp:extent cx="5590540" cy="2529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0540" cy="2529840"/>
                    </a:xfrm>
                    <a:prstGeom prst="rect">
                      <a:avLst/>
                    </a:prstGeom>
                    <a:noFill/>
                  </pic:spPr>
                </pic:pic>
              </a:graphicData>
            </a:graphic>
          </wp:inline>
        </w:drawing>
      </w:r>
    </w:p>
    <w:p w:rsidR="003A0D0C" w:rsidRDefault="00BB1DE2" w:rsidP="003A0D0C">
      <w:pPr>
        <w:pStyle w:val="Heading3"/>
      </w:pPr>
      <w:r>
        <w:t xml:space="preserve">Other </w:t>
      </w:r>
      <w:r w:rsidR="00D97D95">
        <w:t xml:space="preserve">new </w:t>
      </w:r>
      <w:r w:rsidR="003A0D0C" w:rsidRPr="00F7505F">
        <w:t>Systems Indicators</w:t>
      </w:r>
    </w:p>
    <w:p w:rsidR="00692EF8" w:rsidRDefault="00671B13" w:rsidP="00692EF8">
      <w:r w:rsidRPr="00F53B1C">
        <w:t xml:space="preserve">In </w:t>
      </w:r>
      <w:r w:rsidR="008F09F8" w:rsidRPr="00F53B1C">
        <w:t>Febru</w:t>
      </w:r>
      <w:r w:rsidRPr="00F53B1C">
        <w:t>ary 2018 t</w:t>
      </w:r>
      <w:r w:rsidR="00E47C90" w:rsidRPr="00F53B1C">
        <w:t xml:space="preserve">here were </w:t>
      </w:r>
      <w:r w:rsidR="00176A1A" w:rsidRPr="00F53B1C">
        <w:t>24.0</w:t>
      </w:r>
      <w:r w:rsidR="00E47C90" w:rsidRPr="00F53B1C">
        <w:t xml:space="preserve"> thousand calls to 999 answered per day</w:t>
      </w:r>
      <w:r w:rsidR="008F09F8" w:rsidRPr="00F53B1C">
        <w:t xml:space="preserve">, </w:t>
      </w:r>
      <w:r w:rsidR="00E47C90" w:rsidRPr="00F53B1C">
        <w:t>a</w:t>
      </w:r>
      <w:r w:rsidR="00176A1A" w:rsidRPr="00F53B1C">
        <w:t>n</w:t>
      </w:r>
      <w:r w:rsidR="00E47C90" w:rsidRPr="00F53B1C">
        <w:t xml:space="preserve"> </w:t>
      </w:r>
      <w:r w:rsidR="00176A1A" w:rsidRPr="00F53B1C">
        <w:t>in</w:t>
      </w:r>
      <w:r w:rsidR="00E47C90" w:rsidRPr="00F53B1C">
        <w:t xml:space="preserve">crease of </w:t>
      </w:r>
      <w:r w:rsidR="00176A1A" w:rsidRPr="00F53B1C">
        <w:t>2</w:t>
      </w:r>
      <w:r w:rsidR="00E47C90" w:rsidRPr="00F53B1C">
        <w:t>%</w:t>
      </w:r>
      <w:r w:rsidRPr="00F53B1C">
        <w:t xml:space="preserve"> on </w:t>
      </w:r>
      <w:r w:rsidR="008F09F8" w:rsidRPr="00F53B1C">
        <w:t>January</w:t>
      </w:r>
      <w:r w:rsidR="00E47C90" w:rsidRPr="00F53B1C">
        <w:t>.</w:t>
      </w:r>
      <w:r w:rsidR="00692EF8" w:rsidRPr="00692EF8">
        <w:t xml:space="preserve"> </w:t>
      </w:r>
      <w:r w:rsidR="00692EF8" w:rsidRPr="00885E34">
        <w:t xml:space="preserve">The mean average call answer time increased </w:t>
      </w:r>
      <w:r w:rsidR="00062D9E" w:rsidRPr="00885E34">
        <w:t xml:space="preserve">to 13 seconds </w:t>
      </w:r>
      <w:r w:rsidR="00692EF8" w:rsidRPr="00885E34">
        <w:t xml:space="preserve">from 11 seconds </w:t>
      </w:r>
      <w:r w:rsidR="00062D9E">
        <w:t xml:space="preserve">in </w:t>
      </w:r>
      <w:r w:rsidR="00692EF8" w:rsidRPr="00885E34">
        <w:t>January.</w:t>
      </w:r>
    </w:p>
    <w:p w:rsidR="00E47C90" w:rsidRDefault="00671B13" w:rsidP="00671B13">
      <w:r w:rsidRPr="00F53B1C">
        <w:t xml:space="preserve">In </w:t>
      </w:r>
      <w:r w:rsidR="008F09F8" w:rsidRPr="00F53B1C">
        <w:t>Febru</w:t>
      </w:r>
      <w:r w:rsidRPr="00F53B1C">
        <w:t>ary th</w:t>
      </w:r>
      <w:r w:rsidR="00E47C90" w:rsidRPr="00F53B1C">
        <w:t>ere were 2</w:t>
      </w:r>
      <w:r w:rsidR="00176A1A" w:rsidRPr="00F53B1C">
        <w:t xml:space="preserve">2.5 </w:t>
      </w:r>
      <w:r w:rsidR="00E47C90" w:rsidRPr="00F53B1C">
        <w:t xml:space="preserve">thousand incidents </w:t>
      </w:r>
      <w:r w:rsidRPr="00F53B1C">
        <w:t xml:space="preserve">per day receiving a response from an Ambulance Service, </w:t>
      </w:r>
      <w:r w:rsidR="00692EF8">
        <w:t xml:space="preserve">including </w:t>
      </w:r>
      <w:r w:rsidRPr="000E7202">
        <w:t xml:space="preserve">13.5 thousand per day </w:t>
      </w:r>
      <w:r w:rsidR="00E47C90" w:rsidRPr="000E7202">
        <w:t>where a patient was transpo</w:t>
      </w:r>
      <w:r w:rsidRPr="000E7202">
        <w:t>rted to an Emergency Department</w:t>
      </w:r>
      <w:r w:rsidR="00692EF8">
        <w:t xml:space="preserve">. These were </w:t>
      </w:r>
      <w:r w:rsidRPr="000E7202">
        <w:t>decrease</w:t>
      </w:r>
      <w:r w:rsidR="00692EF8">
        <w:t>s of 2% and</w:t>
      </w:r>
      <w:r w:rsidRPr="000E7202">
        <w:t xml:space="preserve"> </w:t>
      </w:r>
      <w:r w:rsidR="00E47C90" w:rsidRPr="000E7202">
        <w:t>1%</w:t>
      </w:r>
      <w:r w:rsidRPr="000E7202">
        <w:t xml:space="preserve"> </w:t>
      </w:r>
      <w:r w:rsidR="00692EF8">
        <w:t xml:space="preserve">respectively </w:t>
      </w:r>
      <w:r w:rsidRPr="000E7202">
        <w:t xml:space="preserve">on </w:t>
      </w:r>
      <w:r w:rsidR="008F09F8">
        <w:t>January</w:t>
      </w:r>
      <w:r w:rsidRPr="000E7202">
        <w:t>.</w:t>
      </w:r>
    </w:p>
    <w:p w:rsidR="00573781" w:rsidRPr="000E7202" w:rsidRDefault="00F53B1C" w:rsidP="00671B13">
      <w:r w:rsidRPr="00885E34">
        <w:t>T</w:t>
      </w:r>
      <w:r w:rsidR="00671B13" w:rsidRPr="00885E34">
        <w:t xml:space="preserve">he proportion of incidents where a patient was transported to an Emergency Department </w:t>
      </w:r>
      <w:r w:rsidRPr="00885E34">
        <w:t xml:space="preserve">was </w:t>
      </w:r>
      <w:r w:rsidR="00692EF8">
        <w:t xml:space="preserve">therefore </w:t>
      </w:r>
      <w:r w:rsidRPr="00885E34">
        <w:t xml:space="preserve">59% in </w:t>
      </w:r>
      <w:r w:rsidR="00176A1A" w:rsidRPr="00885E34">
        <w:t>February</w:t>
      </w:r>
      <w:r w:rsidR="00671B13" w:rsidRPr="00885E34">
        <w:t xml:space="preserve">. </w:t>
      </w:r>
      <w:r w:rsidR="00017014" w:rsidRPr="00885E34">
        <w:t xml:space="preserve">Other incidents comprised 6% where a </w:t>
      </w:r>
      <w:r w:rsidR="00D97D95" w:rsidRPr="00885E34">
        <w:t xml:space="preserve">patient was </w:t>
      </w:r>
      <w:r w:rsidR="00D769FC" w:rsidRPr="00885E34">
        <w:t>transport</w:t>
      </w:r>
      <w:r w:rsidR="00573781" w:rsidRPr="00885E34">
        <w:t>ed</w:t>
      </w:r>
      <w:r w:rsidR="00D769FC" w:rsidRPr="00885E34">
        <w:t xml:space="preserve"> </w:t>
      </w:r>
      <w:r w:rsidR="00D97D95" w:rsidRPr="00885E34">
        <w:t>elsewhere</w:t>
      </w:r>
      <w:r w:rsidR="00017014" w:rsidRPr="00885E34">
        <w:t xml:space="preserve">, 30% where </w:t>
      </w:r>
      <w:r w:rsidR="00D97D95" w:rsidRPr="00885E34">
        <w:t xml:space="preserve">patients were </w:t>
      </w:r>
      <w:r w:rsidR="00671B13" w:rsidRPr="00885E34">
        <w:t xml:space="preserve">attended but not </w:t>
      </w:r>
      <w:r w:rsidR="00D97D95" w:rsidRPr="00885E34">
        <w:lastRenderedPageBreak/>
        <w:t>transported</w:t>
      </w:r>
      <w:r w:rsidR="00017014" w:rsidRPr="00885E34">
        <w:t xml:space="preserve">, </w:t>
      </w:r>
      <w:r w:rsidR="00671B13" w:rsidRPr="00885E34">
        <w:t xml:space="preserve">and </w:t>
      </w:r>
      <w:r w:rsidR="00176A1A" w:rsidRPr="00885E34">
        <w:t>5</w:t>
      </w:r>
      <w:r w:rsidR="00573781" w:rsidRPr="00885E34">
        <w:t>% resolved on the telephone.</w:t>
      </w:r>
      <w:r w:rsidR="00885E34">
        <w:t xml:space="preserve"> </w:t>
      </w:r>
      <w:r w:rsidR="00692EF8">
        <w:t>These</w:t>
      </w:r>
      <w:r w:rsidR="00885E34">
        <w:t xml:space="preserve"> </w:t>
      </w:r>
      <w:r w:rsidR="00692EF8">
        <w:t xml:space="preserve">four proportions each </w:t>
      </w:r>
      <w:r w:rsidR="00885E34">
        <w:t xml:space="preserve">changed </w:t>
      </w:r>
      <w:r w:rsidR="00692EF8">
        <w:t>less than 0.5 percentage points</w:t>
      </w:r>
      <w:r w:rsidR="00885E34">
        <w:t xml:space="preserve"> from January.</w:t>
      </w:r>
    </w:p>
    <w:p w:rsidR="00313B3F" w:rsidRDefault="00313B3F" w:rsidP="00962B03">
      <w:pPr>
        <w:pStyle w:val="Heading2"/>
      </w:pPr>
      <w:r>
        <w:t>Clinical Outcomes</w:t>
      </w:r>
    </w:p>
    <w:p w:rsidR="00571F44" w:rsidRDefault="00A763AE" w:rsidP="00571F44">
      <w:r>
        <w:t>W</w:t>
      </w:r>
      <w:r w:rsidR="00075FC3">
        <w:t xml:space="preserve">e continue to publish new Clinical Outcomes data in spreadsheets each month, but </w:t>
      </w:r>
      <w:r w:rsidR="003A4788">
        <w:t xml:space="preserve">now </w:t>
      </w:r>
      <w:r w:rsidR="00075FC3">
        <w:t xml:space="preserve">only describe them in this </w:t>
      </w:r>
      <w:r>
        <w:t>Statistical Note once a quarter, as we did on 9 November 2017 and 8 February 2018.</w:t>
      </w:r>
    </w:p>
    <w:p w:rsidR="00A763AE" w:rsidRDefault="00A763AE" w:rsidP="00571F44">
      <w:r>
        <w:t>However, this month is our scheduled six-monthly release of revisions, for Clinical Outcomes between April and September 2017.</w:t>
      </w:r>
      <w:r w:rsidR="00A440AB">
        <w:t xml:space="preserve"> NWAS, WMAS and </w:t>
      </w:r>
      <w:r w:rsidR="00F765B6">
        <w:t>South Western Ambulance Service (</w:t>
      </w:r>
      <w:r w:rsidR="00A440AB">
        <w:t>SWAS</w:t>
      </w:r>
      <w:r w:rsidR="00F765B6">
        <w:t>)</w:t>
      </w:r>
      <w:r w:rsidR="00A440AB">
        <w:t xml:space="preserve"> revised most of their indicators.</w:t>
      </w:r>
      <w:r w:rsidR="00D12CCA">
        <w:t xml:space="preserve"> </w:t>
      </w:r>
      <w:r w:rsidR="00A440AB">
        <w:t>EMAS</w:t>
      </w:r>
      <w:r w:rsidR="00D12CCA">
        <w:t xml:space="preserve"> revised survival to discharge and STEMI data, and LAS revised survival to discharge data.</w:t>
      </w:r>
      <w:r w:rsidR="0066756D">
        <w:t xml:space="preserve"> The largest revisions are listed in section 2.4.</w:t>
      </w:r>
    </w:p>
    <w:p w:rsidR="00D12CCA" w:rsidRDefault="00D12CCA" w:rsidP="00D12CCA">
      <w:pPr>
        <w:pStyle w:val="Heading3"/>
      </w:pPr>
      <w:r>
        <w:t>Cardiac arrest</w:t>
      </w:r>
    </w:p>
    <w:p w:rsidR="00D12CCA" w:rsidRDefault="00D12CCA" w:rsidP="00D12CCA">
      <w:r w:rsidRPr="000C06B8">
        <w:t>Patients in cardiac arrest will typically have no pulse and will not be breathing</w:t>
      </w:r>
      <w:r>
        <w:t xml:space="preserve">. Figure 7 shows, of </w:t>
      </w:r>
      <w:bookmarkStart w:id="0" w:name="_Hlk505528525"/>
      <w:r>
        <w:t>patients for whom resuscitation was commenced or continued by ambulance staff out-of-hospital, how many had return of spontaneous circulation (ROSC), with a pulse, on arrival at hospital</w:t>
      </w:r>
      <w:r w:rsidR="00742808">
        <w:t>; and that t</w:t>
      </w:r>
      <w:r w:rsidR="00C17217">
        <w:t>he r</w:t>
      </w:r>
      <w:r w:rsidR="00F54930">
        <w:t xml:space="preserve">evisions </w:t>
      </w:r>
      <w:r w:rsidR="0054555E">
        <w:t xml:space="preserve">to this data were </w:t>
      </w:r>
      <w:r w:rsidR="00742808">
        <w:t>very small</w:t>
      </w:r>
      <w:r w:rsidR="00F54930">
        <w:t>.</w:t>
      </w:r>
    </w:p>
    <w:bookmarkEnd w:id="0"/>
    <w:p w:rsidR="00742808" w:rsidRDefault="00D12CCA" w:rsidP="00D12CCA">
      <w:pPr>
        <w:rPr>
          <w:rFonts w:cs="Arial"/>
        </w:rPr>
      </w:pPr>
      <w:r w:rsidRPr="00F7505F">
        <w:t>The Utstein</w:t>
      </w:r>
      <w:r>
        <w:t xml:space="preserve"> comparator</w:t>
      </w:r>
      <w:r w:rsidRPr="00F7505F">
        <w:t xml:space="preserve"> group</w:t>
      </w:r>
      <w:r w:rsidRPr="00F7505F">
        <w:rPr>
          <w:rStyle w:val="FootnoteReference"/>
        </w:rPr>
        <w:footnoteReference w:id="4"/>
      </w:r>
      <w:r>
        <w:t xml:space="preserve"> </w:t>
      </w:r>
      <w:r w:rsidRPr="00F7505F">
        <w:t xml:space="preserve">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 xml:space="preserve">Ventricular Fibrillation or Ventricular Tachycardia. </w:t>
      </w:r>
      <w:r w:rsidR="00742808">
        <w:rPr>
          <w:rFonts w:cs="Arial"/>
        </w:rPr>
        <w:t>This group</w:t>
      </w:r>
      <w:r>
        <w:rPr>
          <w:rFonts w:cs="Arial"/>
        </w:rPr>
        <w:t xml:space="preserve"> </w:t>
      </w:r>
      <w:r w:rsidRPr="00F7505F">
        <w:rPr>
          <w:rFonts w:cs="Arial"/>
        </w:rPr>
        <w:t>therefore have a better chance of survival.</w:t>
      </w:r>
    </w:p>
    <w:p w:rsidR="00D12CCA" w:rsidRDefault="00742808" w:rsidP="00D12CCA">
      <w:pPr>
        <w:rPr>
          <w:rFonts w:cs="Arial"/>
        </w:rPr>
      </w:pPr>
      <w:r>
        <w:rPr>
          <w:rFonts w:cs="Arial"/>
        </w:rPr>
        <w:t>Figure 8 shows these r</w:t>
      </w:r>
      <w:r w:rsidR="00F54930">
        <w:rPr>
          <w:rFonts w:cs="Arial"/>
        </w:rPr>
        <w:t xml:space="preserve">evisions </w:t>
      </w:r>
      <w:r>
        <w:rPr>
          <w:rFonts w:cs="Arial"/>
        </w:rPr>
        <w:t xml:space="preserve">were less than </w:t>
      </w:r>
      <w:r w:rsidR="00F54930">
        <w:rPr>
          <w:rFonts w:cs="Arial"/>
        </w:rPr>
        <w:t>1 percentage point at England level.</w:t>
      </w:r>
    </w:p>
    <w:p w:rsidR="008F09F8" w:rsidRDefault="008F09F8" w:rsidP="008F09F8">
      <w:pPr>
        <w:pStyle w:val="Heading5"/>
      </w:pPr>
      <w:r>
        <w:t xml:space="preserve">Figure </w:t>
      </w:r>
      <w:r w:rsidR="00A440AB">
        <w:t>7</w:t>
      </w:r>
      <w:r>
        <w:t xml:space="preserve">: ROSC after cardiac arrest, </w:t>
      </w:r>
      <w:r w:rsidR="00D12CCA">
        <w:t>2017/18</w:t>
      </w:r>
      <w:r>
        <w:t xml:space="preserve"> (all)</w:t>
      </w:r>
    </w:p>
    <w:p w:rsidR="008F09F8" w:rsidRDefault="008F09F8" w:rsidP="008F09F8">
      <w:pPr>
        <w:pStyle w:val="Heading5"/>
      </w:pPr>
      <w:r>
        <w:t xml:space="preserve">Figure </w:t>
      </w:r>
      <w:r w:rsidR="00A440AB">
        <w:t>8</w:t>
      </w:r>
      <w:r>
        <w:t xml:space="preserve">: ROSC after cardiac arrest, </w:t>
      </w:r>
      <w:r w:rsidR="00D12CCA">
        <w:t>2017/18</w:t>
      </w:r>
      <w:r>
        <w:t xml:space="preserve"> (Utstein comparator group)</w:t>
      </w:r>
    </w:p>
    <w:p w:rsidR="008F09F8" w:rsidRDefault="0083163E" w:rsidP="00571F44">
      <w:r>
        <w:rPr>
          <w:noProof/>
        </w:rPr>
        <w:drawing>
          <wp:inline distT="0" distB="0" distL="0" distR="0" wp14:anchorId="3639577F">
            <wp:extent cx="5590540" cy="21704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0540" cy="2170430"/>
                    </a:xfrm>
                    <a:prstGeom prst="rect">
                      <a:avLst/>
                    </a:prstGeom>
                    <a:noFill/>
                  </pic:spPr>
                </pic:pic>
              </a:graphicData>
            </a:graphic>
          </wp:inline>
        </w:drawing>
      </w:r>
    </w:p>
    <w:p w:rsidR="003644BB" w:rsidRDefault="003644BB" w:rsidP="003644BB">
      <w:pPr>
        <w:rPr>
          <w:rFonts w:cs="Arial"/>
        </w:rPr>
      </w:pPr>
    </w:p>
    <w:p w:rsidR="003644BB" w:rsidRDefault="003644BB" w:rsidP="003644BB">
      <w:pPr>
        <w:rPr>
          <w:rFonts w:cs="Arial"/>
        </w:rPr>
      </w:pPr>
      <w:r>
        <w:rPr>
          <w:rFonts w:cs="Arial"/>
        </w:rPr>
        <w:lastRenderedPageBreak/>
        <w:t>Survival to discharge data are shown in Figure 9, for all patients, and in Figure 10, for the Utstein sub-group. The revisions in Figure 10 for May, June and July are the only revisions at England level to any Clinical Outcomes in today’s publication that are more than one percentage point.</w:t>
      </w:r>
    </w:p>
    <w:p w:rsidR="008F09F8" w:rsidRDefault="008F09F8" w:rsidP="008F09F8">
      <w:pPr>
        <w:pStyle w:val="Heading5"/>
      </w:pPr>
      <w:r>
        <w:t xml:space="preserve">Figure </w:t>
      </w:r>
      <w:r w:rsidR="00A440AB">
        <w:t>9</w:t>
      </w:r>
      <w:r>
        <w:t xml:space="preserve">: Survival to discharge after cardiac arrest, </w:t>
      </w:r>
      <w:r w:rsidR="00D12CCA">
        <w:t>2017/18</w:t>
      </w:r>
      <w:r>
        <w:t xml:space="preserve"> (all)</w:t>
      </w:r>
    </w:p>
    <w:p w:rsidR="008F09F8" w:rsidRDefault="008F09F8" w:rsidP="008F09F8">
      <w:pPr>
        <w:pStyle w:val="Heading5"/>
      </w:pPr>
      <w:r>
        <w:t xml:space="preserve">Figure </w:t>
      </w:r>
      <w:r w:rsidR="00A440AB">
        <w:t>10</w:t>
      </w:r>
      <w:r>
        <w:t xml:space="preserve">: Survival to discharge after cardiac arrest, </w:t>
      </w:r>
      <w:r w:rsidR="00D12CCA">
        <w:t>2017/18</w:t>
      </w:r>
      <w:r>
        <w:t xml:space="preserve"> (Utstein)</w:t>
      </w:r>
    </w:p>
    <w:p w:rsidR="008F09F8" w:rsidRDefault="0083163E" w:rsidP="00075FC3">
      <w:pPr>
        <w:rPr>
          <w:rFonts w:cs="Arial"/>
        </w:rPr>
      </w:pPr>
      <w:r>
        <w:rPr>
          <w:rFonts w:cs="Arial"/>
          <w:noProof/>
        </w:rPr>
        <w:drawing>
          <wp:inline distT="0" distB="0" distL="0" distR="0" wp14:anchorId="2830CAC7">
            <wp:extent cx="5590540" cy="21824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0540" cy="2182495"/>
                    </a:xfrm>
                    <a:prstGeom prst="rect">
                      <a:avLst/>
                    </a:prstGeom>
                    <a:noFill/>
                  </pic:spPr>
                </pic:pic>
              </a:graphicData>
            </a:graphic>
          </wp:inline>
        </w:drawing>
      </w:r>
    </w:p>
    <w:p w:rsidR="00D12CCA" w:rsidRDefault="00D12CCA" w:rsidP="00D12CCA">
      <w:pPr>
        <w:pStyle w:val="Heading3"/>
      </w:pPr>
      <w:r>
        <w:t>ST-segment elevation myocardial infarction</w:t>
      </w:r>
    </w:p>
    <w:p w:rsidR="00D12CCA" w:rsidRDefault="00D12CCA" w:rsidP="00D12CCA">
      <w:r w:rsidRPr="00AB3BB4">
        <w:t>ST-segment elevation myocardial infarction (STEMI) 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D12CCA" w:rsidRDefault="00D12CCA" w:rsidP="00D12CCA">
      <w:r>
        <w:t>Of all patients receiving primary angioplasty, the proportions that received primary angioplasty within 150 minutes are in Figure 11. Figure 12 shows the proportion of patients with acute STEMI that received an appropriate care bundle.</w:t>
      </w:r>
      <w:r w:rsidR="00B63C0F">
        <w:t xml:space="preserve"> At England level, all revisions to these are 0.2 percentage points or less.</w:t>
      </w:r>
    </w:p>
    <w:p w:rsidR="008F09F8" w:rsidRDefault="008F09F8" w:rsidP="008F09F8">
      <w:pPr>
        <w:pStyle w:val="Heading5"/>
      </w:pPr>
      <w:r w:rsidRPr="004D487C">
        <w:t xml:space="preserve">Figure </w:t>
      </w:r>
      <w:r w:rsidR="00A440AB">
        <w:t>11</w:t>
      </w:r>
      <w:r w:rsidRPr="004D487C">
        <w:t xml:space="preserve">: </w:t>
      </w:r>
      <w:r>
        <w:t>A</w:t>
      </w:r>
      <w:r w:rsidRPr="004D487C">
        <w:t xml:space="preserve">ngioplasty </w:t>
      </w:r>
      <w:r>
        <w:t xml:space="preserve">within </w:t>
      </w:r>
      <w:r w:rsidRPr="004D487C">
        <w:t xml:space="preserve">150 minutes of </w:t>
      </w:r>
      <w:r>
        <w:t xml:space="preserve">STEMI, </w:t>
      </w:r>
      <w:r w:rsidR="00D12CCA">
        <w:t>2017/18</w:t>
      </w:r>
    </w:p>
    <w:p w:rsidR="008F09F8" w:rsidRDefault="008F09F8" w:rsidP="008F09F8">
      <w:pPr>
        <w:pStyle w:val="Heading5"/>
      </w:pPr>
      <w:r>
        <w:t xml:space="preserve">Figure </w:t>
      </w:r>
      <w:r w:rsidR="00A440AB">
        <w:t>12</w:t>
      </w:r>
      <w:r w:rsidRPr="004D487C">
        <w:t xml:space="preserve">: </w:t>
      </w:r>
      <w:r>
        <w:t xml:space="preserve">STEMI patients receiving </w:t>
      </w:r>
      <w:r w:rsidRPr="004D487C">
        <w:t>appropriate care bundle</w:t>
      </w:r>
      <w:r>
        <w:t xml:space="preserve">, </w:t>
      </w:r>
      <w:r w:rsidR="00D12CCA">
        <w:t>2017/18</w:t>
      </w:r>
    </w:p>
    <w:p w:rsidR="00A440AB" w:rsidRDefault="0083163E" w:rsidP="00A440AB">
      <w:r>
        <w:rPr>
          <w:noProof/>
        </w:rPr>
        <w:drawing>
          <wp:inline distT="0" distB="0" distL="0" distR="0" wp14:anchorId="47E7954D">
            <wp:extent cx="5590540" cy="21824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182495"/>
                    </a:xfrm>
                    <a:prstGeom prst="rect">
                      <a:avLst/>
                    </a:prstGeom>
                    <a:noFill/>
                  </pic:spPr>
                </pic:pic>
              </a:graphicData>
            </a:graphic>
          </wp:inline>
        </w:drawing>
      </w:r>
    </w:p>
    <w:p w:rsidR="0066756D" w:rsidRDefault="0066756D" w:rsidP="00A440AB"/>
    <w:p w:rsidR="00C86A19" w:rsidRDefault="00C86A19" w:rsidP="00C86A19">
      <w:pPr>
        <w:pStyle w:val="Heading3"/>
      </w:pPr>
      <w:r>
        <w:lastRenderedPageBreak/>
        <w:t>Stroke</w:t>
      </w:r>
    </w:p>
    <w:p w:rsidR="00C86A19" w:rsidRPr="00F7505F" w:rsidRDefault="00C86A19" w:rsidP="00C86A19">
      <w:pPr>
        <w:pStyle w:val="NoSpacing"/>
      </w:pPr>
      <w:r w:rsidRPr="00F7505F">
        <w:t>The FAST procedure helps assess whether someone has suffered a stroke:</w:t>
      </w:r>
    </w:p>
    <w:p w:rsidR="00C86A19" w:rsidRPr="00F7505F" w:rsidRDefault="00C86A19" w:rsidP="00C86A19">
      <w:pPr>
        <w:pStyle w:val="ListBullet"/>
      </w:pPr>
      <w:r w:rsidRPr="00F7505F">
        <w:rPr>
          <w:b/>
        </w:rPr>
        <w:t>F</w:t>
      </w:r>
      <w:r w:rsidRPr="00F7505F">
        <w:t>acial weakness: can the person smile? Has their mouth or eye drooped?</w:t>
      </w:r>
    </w:p>
    <w:p w:rsidR="00C86A19" w:rsidRPr="00F7505F" w:rsidRDefault="00C86A19" w:rsidP="00C86A19">
      <w:pPr>
        <w:pStyle w:val="ListBullet"/>
      </w:pPr>
      <w:r w:rsidRPr="00F7505F">
        <w:rPr>
          <w:b/>
        </w:rPr>
        <w:t>A</w:t>
      </w:r>
      <w:r w:rsidRPr="00F7505F">
        <w:t>rm weakness: can the person raise both arms?</w:t>
      </w:r>
    </w:p>
    <w:p w:rsidR="00C86A19" w:rsidRPr="00F7505F" w:rsidRDefault="00C86A19" w:rsidP="00C86A19">
      <w:pPr>
        <w:pStyle w:val="ListBullet"/>
      </w:pPr>
      <w:r w:rsidRPr="00F7505F">
        <w:rPr>
          <w:b/>
        </w:rPr>
        <w:t>S</w:t>
      </w:r>
      <w:r w:rsidRPr="00F7505F">
        <w:t>peech problems: can the person speak clearly and understand what you say?</w:t>
      </w:r>
    </w:p>
    <w:p w:rsidR="00C86A19" w:rsidRDefault="00C86A19" w:rsidP="00C86A19">
      <w:pPr>
        <w:pStyle w:val="ListBullet"/>
      </w:pPr>
      <w:r w:rsidRPr="00F7505F">
        <w:rPr>
          <w:b/>
        </w:rPr>
        <w:t>T</w:t>
      </w:r>
      <w:r w:rsidRPr="00F7505F">
        <w:t>ime to call 999 for an ambulance if you spot any one of these signs.</w:t>
      </w:r>
    </w:p>
    <w:p w:rsidR="00D12CCA" w:rsidRDefault="00A440AB" w:rsidP="00A440AB">
      <w:r>
        <w:t xml:space="preserve">Of </w:t>
      </w:r>
      <w:r w:rsidRPr="00C82FE8">
        <w:t>FAST positive patients in England, assessed face to face, and potentially eligible for stroke thrombolysis within agreed local guidelines</w:t>
      </w:r>
      <w:r>
        <w:t>, the proportion</w:t>
      </w:r>
      <w:r w:rsidR="00D12CCA">
        <w:t>s</w:t>
      </w:r>
      <w:r>
        <w:t xml:space="preserve"> of those patients that </w:t>
      </w:r>
      <w:r w:rsidRPr="00C82FE8">
        <w:t>arrived at hospitals with a hyperacute stroke unit within 60 minutes of an emergency call connecting to the ambulance service</w:t>
      </w:r>
      <w:r>
        <w:t xml:space="preserve"> </w:t>
      </w:r>
      <w:r w:rsidR="00D12CCA">
        <w:t>are</w:t>
      </w:r>
      <w:r>
        <w:t xml:space="preserve"> in Figure 13.</w:t>
      </w:r>
      <w:r w:rsidR="0066756D">
        <w:t xml:space="preserve"> Revisions are all less than 0.2 percentage points.</w:t>
      </w:r>
    </w:p>
    <w:p w:rsidR="00A440AB" w:rsidRDefault="00D12CCA" w:rsidP="00A440AB">
      <w:r>
        <w:t>Figure 14 shows, o</w:t>
      </w:r>
      <w:r w:rsidR="00A440AB">
        <w:t>f stroke patients assessed face-to-face, the proportion that recei</w:t>
      </w:r>
      <w:r>
        <w:t>ved an appropriate care bundle.</w:t>
      </w:r>
      <w:r w:rsidR="0066756D">
        <w:t xml:space="preserve"> These revisions are even smaller.</w:t>
      </w:r>
    </w:p>
    <w:p w:rsidR="008F09F8" w:rsidRDefault="008F09F8" w:rsidP="008F09F8">
      <w:pPr>
        <w:pStyle w:val="Heading5"/>
      </w:pPr>
      <w:r w:rsidRPr="0066756D">
        <w:t xml:space="preserve">Figure </w:t>
      </w:r>
      <w:r w:rsidR="00A440AB" w:rsidRPr="0066756D">
        <w:t>13</w:t>
      </w:r>
      <w:r w:rsidRPr="0066756D">
        <w:t xml:space="preserve">: Thrombolysis within 60 minutes of stroke, </w:t>
      </w:r>
      <w:r w:rsidR="00D12CCA" w:rsidRPr="0066756D">
        <w:t>2017/18</w:t>
      </w:r>
    </w:p>
    <w:p w:rsidR="008F09F8" w:rsidRDefault="008F09F8" w:rsidP="008F09F8">
      <w:pPr>
        <w:pStyle w:val="Heading5"/>
      </w:pPr>
      <w:r>
        <w:t xml:space="preserve">Figure </w:t>
      </w:r>
      <w:r w:rsidR="00A440AB">
        <w:t>14</w:t>
      </w:r>
      <w:r>
        <w:t xml:space="preserve">: Stroke patients receiving </w:t>
      </w:r>
      <w:r w:rsidRPr="00C44FAA">
        <w:t>appropriate care bundle</w:t>
      </w:r>
      <w:r>
        <w:t xml:space="preserve">, </w:t>
      </w:r>
      <w:r w:rsidR="00D12CCA">
        <w:t>2017/18</w:t>
      </w:r>
    </w:p>
    <w:p w:rsidR="00A440AB" w:rsidRDefault="0083163E" w:rsidP="00A440AB">
      <w:r>
        <w:rPr>
          <w:noProof/>
        </w:rPr>
        <w:drawing>
          <wp:inline distT="0" distB="0" distL="0" distR="0" wp14:anchorId="1B31CE08">
            <wp:extent cx="5590540" cy="21704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0540" cy="2170430"/>
                    </a:xfrm>
                    <a:prstGeom prst="rect">
                      <a:avLst/>
                    </a:prstGeom>
                    <a:noFill/>
                  </pic:spPr>
                </pic:pic>
              </a:graphicData>
            </a:graphic>
          </wp:inline>
        </w:drawing>
      </w:r>
    </w:p>
    <w:p w:rsidR="00A440AB" w:rsidRDefault="00B63C0F" w:rsidP="0066756D">
      <w:pPr>
        <w:pStyle w:val="Heading3"/>
      </w:pPr>
      <w:r>
        <w:t>Revisions of more than 5</w:t>
      </w:r>
      <w:r w:rsidRPr="00B63C0F">
        <w:t xml:space="preserve"> percentage </w:t>
      </w:r>
      <w:r w:rsidR="00A440AB">
        <w:t>points to Trust-level data</w:t>
      </w:r>
    </w:p>
    <w:p w:rsidR="00CA4488" w:rsidRPr="00CA4488" w:rsidRDefault="0079548B" w:rsidP="00CA4488">
      <w:pPr>
        <w:pStyle w:val="Heading5"/>
      </w:pPr>
      <w:r w:rsidRPr="00742808">
        <w:t xml:space="preserve">Figure </w:t>
      </w:r>
      <w:r>
        <w:t xml:space="preserve">23: </w:t>
      </w:r>
      <w:r w:rsidRPr="00CA4488">
        <w:t>Revisions</w:t>
      </w:r>
      <w:r>
        <w:t xml:space="preserve"> of at least one % </w:t>
      </w:r>
      <w:r w:rsidRPr="00742808">
        <w:t>point to England monthly data</w:t>
      </w:r>
    </w:p>
    <w:tbl>
      <w:tblPr>
        <w:tblW w:w="9138" w:type="dxa"/>
        <w:tblLayout w:type="fixed"/>
        <w:tblLook w:val="04A0" w:firstRow="1" w:lastRow="0" w:firstColumn="1" w:lastColumn="0" w:noHBand="0" w:noVBand="1"/>
      </w:tblPr>
      <w:tblGrid>
        <w:gridCol w:w="5953"/>
        <w:gridCol w:w="1134"/>
        <w:gridCol w:w="10"/>
        <w:gridCol w:w="1124"/>
        <w:gridCol w:w="10"/>
        <w:gridCol w:w="897"/>
        <w:gridCol w:w="10"/>
      </w:tblGrid>
      <w:tr w:rsidR="00D15B74" w:rsidRPr="00742808" w:rsidTr="00F765B6">
        <w:trPr>
          <w:trHeight w:val="205"/>
        </w:trPr>
        <w:tc>
          <w:tcPr>
            <w:tcW w:w="5953" w:type="dxa"/>
            <w:tcBorders>
              <w:top w:val="nil"/>
              <w:left w:val="nil"/>
              <w:bottom w:val="single" w:sz="8" w:space="0" w:color="auto"/>
              <w:right w:val="nil"/>
            </w:tcBorders>
            <w:shd w:val="clear" w:color="auto" w:fill="auto"/>
            <w:vAlign w:val="center"/>
            <w:hideMark/>
          </w:tcPr>
          <w:p w:rsidR="00CA4488" w:rsidRPr="00742808" w:rsidRDefault="00CA4488" w:rsidP="00692EF8">
            <w:pPr>
              <w:pStyle w:val="NoSpacing"/>
              <w:rPr>
                <w:rFonts w:ascii="Calibri" w:hAnsi="Calibri"/>
                <w:sz w:val="22"/>
                <w:szCs w:val="22"/>
              </w:rPr>
            </w:pPr>
            <w:r w:rsidRPr="00742808">
              <w:t>Indicator</w:t>
            </w:r>
          </w:p>
        </w:tc>
        <w:tc>
          <w:tcPr>
            <w:tcW w:w="1144" w:type="dxa"/>
            <w:gridSpan w:val="2"/>
            <w:tcBorders>
              <w:top w:val="nil"/>
              <w:left w:val="nil"/>
              <w:bottom w:val="single" w:sz="8" w:space="0" w:color="auto"/>
              <w:right w:val="nil"/>
            </w:tcBorders>
            <w:shd w:val="clear" w:color="auto" w:fill="auto"/>
            <w:vAlign w:val="center"/>
            <w:hideMark/>
          </w:tcPr>
          <w:p w:rsidR="00CA4488" w:rsidRPr="00742808" w:rsidRDefault="00CA4488" w:rsidP="00DF007F">
            <w:pPr>
              <w:pStyle w:val="NoSpacing"/>
            </w:pPr>
            <w:r w:rsidRPr="00742808">
              <w:t>Month</w:t>
            </w:r>
          </w:p>
        </w:tc>
        <w:tc>
          <w:tcPr>
            <w:tcW w:w="1134" w:type="dxa"/>
            <w:gridSpan w:val="2"/>
            <w:tcBorders>
              <w:top w:val="nil"/>
              <w:left w:val="nil"/>
              <w:bottom w:val="single" w:sz="8" w:space="0" w:color="auto"/>
              <w:right w:val="nil"/>
            </w:tcBorders>
            <w:shd w:val="clear" w:color="auto" w:fill="auto"/>
            <w:vAlign w:val="center"/>
            <w:hideMark/>
          </w:tcPr>
          <w:p w:rsidR="00CA4488" w:rsidRPr="00742808" w:rsidRDefault="00CA4488" w:rsidP="00DF007F">
            <w:pPr>
              <w:pStyle w:val="NoSpacing"/>
            </w:pPr>
            <w:r w:rsidRPr="00742808">
              <w:t>From</w:t>
            </w:r>
          </w:p>
        </w:tc>
        <w:tc>
          <w:tcPr>
            <w:tcW w:w="907" w:type="dxa"/>
            <w:gridSpan w:val="2"/>
            <w:tcBorders>
              <w:top w:val="nil"/>
              <w:left w:val="nil"/>
              <w:bottom w:val="single" w:sz="8" w:space="0" w:color="auto"/>
              <w:right w:val="nil"/>
            </w:tcBorders>
            <w:shd w:val="clear" w:color="auto" w:fill="auto"/>
            <w:vAlign w:val="center"/>
            <w:hideMark/>
          </w:tcPr>
          <w:p w:rsidR="00CA4488" w:rsidRPr="00742808" w:rsidRDefault="00CA4488" w:rsidP="00DF007F">
            <w:pPr>
              <w:pStyle w:val="NoSpacing"/>
            </w:pPr>
            <w:r w:rsidRPr="00742808">
              <w:t>To</w:t>
            </w:r>
          </w:p>
        </w:tc>
      </w:tr>
      <w:tr w:rsidR="0079548B" w:rsidRPr="00742808" w:rsidTr="00F765B6">
        <w:trPr>
          <w:trHeight w:val="315"/>
        </w:trPr>
        <w:tc>
          <w:tcPr>
            <w:tcW w:w="5953" w:type="dxa"/>
            <w:vMerge w:val="restart"/>
            <w:tcBorders>
              <w:top w:val="single" w:sz="8" w:space="0" w:color="auto"/>
              <w:left w:val="nil"/>
              <w:right w:val="nil"/>
            </w:tcBorders>
            <w:shd w:val="clear" w:color="auto" w:fill="auto"/>
            <w:vAlign w:val="center"/>
            <w:hideMark/>
          </w:tcPr>
          <w:p w:rsidR="0079548B" w:rsidRPr="00742808" w:rsidRDefault="0079548B" w:rsidP="0079548B">
            <w:pPr>
              <w:pStyle w:val="NoSpacing"/>
            </w:pPr>
            <w:r w:rsidRPr="00742808">
              <w:t>Survival following cardiac arrest (Utstein) </w:t>
            </w:r>
          </w:p>
        </w:tc>
        <w:tc>
          <w:tcPr>
            <w:tcW w:w="1144" w:type="dxa"/>
            <w:gridSpan w:val="2"/>
            <w:tcBorders>
              <w:top w:val="single" w:sz="8" w:space="0" w:color="auto"/>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May</w:t>
            </w:r>
          </w:p>
        </w:tc>
        <w:tc>
          <w:tcPr>
            <w:tcW w:w="1134" w:type="dxa"/>
            <w:gridSpan w:val="2"/>
            <w:tcBorders>
              <w:top w:val="single" w:sz="8" w:space="0" w:color="auto"/>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22.6%</w:t>
            </w:r>
          </w:p>
        </w:tc>
        <w:tc>
          <w:tcPr>
            <w:tcW w:w="907" w:type="dxa"/>
            <w:gridSpan w:val="2"/>
            <w:tcBorders>
              <w:top w:val="single" w:sz="8" w:space="0" w:color="auto"/>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24.5%</w:t>
            </w:r>
          </w:p>
        </w:tc>
      </w:tr>
      <w:tr w:rsidR="0079548B" w:rsidRPr="00742808" w:rsidTr="00F765B6">
        <w:trPr>
          <w:gridAfter w:val="1"/>
          <w:wAfter w:w="10" w:type="dxa"/>
          <w:trHeight w:val="315"/>
        </w:trPr>
        <w:tc>
          <w:tcPr>
            <w:tcW w:w="5953" w:type="dxa"/>
            <w:vMerge/>
            <w:tcBorders>
              <w:left w:val="nil"/>
              <w:right w:val="nil"/>
            </w:tcBorders>
            <w:shd w:val="clear" w:color="auto" w:fill="auto"/>
            <w:vAlign w:val="center"/>
            <w:hideMark/>
          </w:tcPr>
          <w:p w:rsidR="0079548B" w:rsidRPr="00742808" w:rsidRDefault="0079548B" w:rsidP="00DF007F">
            <w:pPr>
              <w:pStyle w:val="NoSpacing"/>
              <w:rPr>
                <w:rFonts w:ascii="Times New Roman" w:hAnsi="Times New Roman"/>
                <w:sz w:val="20"/>
                <w:szCs w:val="20"/>
              </w:rPr>
            </w:pP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June</w:t>
            </w:r>
          </w:p>
        </w:tc>
        <w:tc>
          <w:tcPr>
            <w:tcW w:w="1134" w:type="dxa"/>
            <w:gridSpan w:val="2"/>
            <w:tcBorders>
              <w:top w:val="nil"/>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28.4%</w:t>
            </w:r>
          </w:p>
        </w:tc>
        <w:tc>
          <w:tcPr>
            <w:tcW w:w="907" w:type="dxa"/>
            <w:gridSpan w:val="2"/>
            <w:tcBorders>
              <w:top w:val="nil"/>
              <w:left w:val="nil"/>
              <w:bottom w:val="single" w:sz="8" w:space="0" w:color="auto"/>
              <w:right w:val="nil"/>
            </w:tcBorders>
            <w:shd w:val="clear" w:color="auto" w:fill="auto"/>
            <w:vAlign w:val="center"/>
            <w:hideMark/>
          </w:tcPr>
          <w:p w:rsidR="0079548B" w:rsidRPr="00742808" w:rsidRDefault="0079548B" w:rsidP="00DF007F">
            <w:pPr>
              <w:pStyle w:val="NoSpacing"/>
            </w:pPr>
            <w:r w:rsidRPr="00742808">
              <w:t>29.6%</w:t>
            </w:r>
          </w:p>
        </w:tc>
      </w:tr>
      <w:tr w:rsidR="0079548B" w:rsidRPr="00742808" w:rsidTr="00F765B6">
        <w:trPr>
          <w:gridAfter w:val="1"/>
          <w:wAfter w:w="10" w:type="dxa"/>
          <w:trHeight w:val="315"/>
        </w:trPr>
        <w:tc>
          <w:tcPr>
            <w:tcW w:w="5953" w:type="dxa"/>
            <w:vMerge/>
            <w:tcBorders>
              <w:left w:val="nil"/>
              <w:bottom w:val="single" w:sz="4" w:space="0" w:color="auto"/>
              <w:right w:val="nil"/>
            </w:tcBorders>
            <w:shd w:val="clear" w:color="auto" w:fill="auto"/>
            <w:vAlign w:val="center"/>
            <w:hideMark/>
          </w:tcPr>
          <w:p w:rsidR="0079548B" w:rsidRPr="00742808" w:rsidRDefault="0079548B" w:rsidP="00DF007F">
            <w:pPr>
              <w:pStyle w:val="NoSpacing"/>
            </w:pPr>
          </w:p>
        </w:tc>
        <w:tc>
          <w:tcPr>
            <w:tcW w:w="1134" w:type="dxa"/>
            <w:tcBorders>
              <w:top w:val="single" w:sz="8" w:space="0" w:color="auto"/>
              <w:left w:val="nil"/>
              <w:bottom w:val="single" w:sz="4" w:space="0" w:color="auto"/>
              <w:right w:val="nil"/>
            </w:tcBorders>
            <w:shd w:val="clear" w:color="auto" w:fill="auto"/>
            <w:vAlign w:val="center"/>
            <w:hideMark/>
          </w:tcPr>
          <w:p w:rsidR="0079548B" w:rsidRPr="00742808" w:rsidRDefault="0079548B" w:rsidP="00DF007F">
            <w:pPr>
              <w:pStyle w:val="NoSpacing"/>
              <w:rPr>
                <w:rFonts w:cs="Arial"/>
              </w:rPr>
            </w:pPr>
            <w:r w:rsidRPr="00742808">
              <w:rPr>
                <w:rFonts w:cs="Arial"/>
              </w:rPr>
              <w:t>July</w:t>
            </w:r>
          </w:p>
        </w:tc>
        <w:tc>
          <w:tcPr>
            <w:tcW w:w="1134" w:type="dxa"/>
            <w:gridSpan w:val="2"/>
            <w:tcBorders>
              <w:top w:val="single" w:sz="8" w:space="0" w:color="auto"/>
              <w:left w:val="nil"/>
              <w:bottom w:val="single" w:sz="4" w:space="0" w:color="auto"/>
              <w:right w:val="nil"/>
            </w:tcBorders>
            <w:shd w:val="clear" w:color="auto" w:fill="auto"/>
            <w:vAlign w:val="center"/>
            <w:hideMark/>
          </w:tcPr>
          <w:p w:rsidR="0079548B" w:rsidRPr="00742808" w:rsidRDefault="0079548B" w:rsidP="00DF007F">
            <w:pPr>
              <w:pStyle w:val="NoSpacing"/>
            </w:pPr>
            <w:r w:rsidRPr="00742808">
              <w:t>28.7%</w:t>
            </w:r>
          </w:p>
        </w:tc>
        <w:tc>
          <w:tcPr>
            <w:tcW w:w="907" w:type="dxa"/>
            <w:gridSpan w:val="2"/>
            <w:tcBorders>
              <w:top w:val="single" w:sz="8" w:space="0" w:color="auto"/>
              <w:left w:val="nil"/>
              <w:bottom w:val="single" w:sz="4" w:space="0" w:color="auto"/>
              <w:right w:val="nil"/>
            </w:tcBorders>
            <w:shd w:val="clear" w:color="auto" w:fill="auto"/>
            <w:vAlign w:val="center"/>
            <w:hideMark/>
          </w:tcPr>
          <w:p w:rsidR="0079548B" w:rsidRPr="00742808" w:rsidRDefault="0079548B" w:rsidP="00DF007F">
            <w:pPr>
              <w:pStyle w:val="NoSpacing"/>
            </w:pPr>
            <w:r w:rsidRPr="00742808">
              <w:t>30.5%</w:t>
            </w:r>
          </w:p>
        </w:tc>
      </w:tr>
      <w:tr w:rsidR="00F765B6" w:rsidRPr="00742808" w:rsidTr="00F765B6">
        <w:trPr>
          <w:gridAfter w:val="1"/>
          <w:wAfter w:w="10" w:type="dxa"/>
          <w:trHeight w:val="315"/>
        </w:trPr>
        <w:tc>
          <w:tcPr>
            <w:tcW w:w="5953" w:type="dxa"/>
            <w:tcBorders>
              <w:top w:val="single" w:sz="4" w:space="0" w:color="auto"/>
              <w:left w:val="nil"/>
              <w:right w:val="nil"/>
            </w:tcBorders>
            <w:shd w:val="clear" w:color="auto" w:fill="auto"/>
            <w:vAlign w:val="center"/>
          </w:tcPr>
          <w:p w:rsidR="00F765B6" w:rsidRPr="00742808" w:rsidRDefault="00F765B6" w:rsidP="00DF007F">
            <w:pPr>
              <w:pStyle w:val="NoSpacing"/>
            </w:pPr>
          </w:p>
        </w:tc>
        <w:tc>
          <w:tcPr>
            <w:tcW w:w="1134" w:type="dxa"/>
            <w:tcBorders>
              <w:top w:val="single" w:sz="4" w:space="0" w:color="auto"/>
              <w:left w:val="nil"/>
              <w:right w:val="nil"/>
            </w:tcBorders>
            <w:shd w:val="clear" w:color="auto" w:fill="auto"/>
            <w:vAlign w:val="center"/>
          </w:tcPr>
          <w:p w:rsidR="00F765B6" w:rsidRPr="00742808" w:rsidRDefault="00F765B6" w:rsidP="00DF007F">
            <w:pPr>
              <w:pStyle w:val="NoSpacing"/>
              <w:rPr>
                <w:rFonts w:cs="Arial"/>
              </w:rPr>
            </w:pPr>
          </w:p>
        </w:tc>
        <w:tc>
          <w:tcPr>
            <w:tcW w:w="1134" w:type="dxa"/>
            <w:gridSpan w:val="2"/>
            <w:tcBorders>
              <w:top w:val="single" w:sz="4" w:space="0" w:color="auto"/>
              <w:left w:val="nil"/>
              <w:right w:val="nil"/>
            </w:tcBorders>
            <w:shd w:val="clear" w:color="auto" w:fill="auto"/>
            <w:vAlign w:val="center"/>
          </w:tcPr>
          <w:p w:rsidR="00F765B6" w:rsidRPr="00742808" w:rsidRDefault="00F765B6" w:rsidP="00DF007F">
            <w:pPr>
              <w:pStyle w:val="NoSpacing"/>
            </w:pPr>
          </w:p>
        </w:tc>
        <w:tc>
          <w:tcPr>
            <w:tcW w:w="907" w:type="dxa"/>
            <w:gridSpan w:val="2"/>
            <w:tcBorders>
              <w:top w:val="single" w:sz="4" w:space="0" w:color="auto"/>
              <w:left w:val="nil"/>
              <w:right w:val="nil"/>
            </w:tcBorders>
            <w:shd w:val="clear" w:color="auto" w:fill="auto"/>
            <w:vAlign w:val="center"/>
          </w:tcPr>
          <w:p w:rsidR="00F765B6" w:rsidRPr="00742808" w:rsidRDefault="00F765B6" w:rsidP="00DF007F">
            <w:pPr>
              <w:pStyle w:val="NoSpacing"/>
            </w:pPr>
          </w:p>
        </w:tc>
      </w:tr>
    </w:tbl>
    <w:p w:rsidR="00CA4488" w:rsidRPr="00CA4488" w:rsidRDefault="0079548B" w:rsidP="00CA4488">
      <w:pPr>
        <w:pStyle w:val="Heading5"/>
      </w:pPr>
      <w:r w:rsidRPr="00742808">
        <w:t>Figure 2</w:t>
      </w:r>
      <w:r>
        <w:t>4</w:t>
      </w:r>
      <w:r w:rsidRPr="00742808">
        <w:t xml:space="preserve">: Revisions of </w:t>
      </w:r>
      <w:r>
        <w:t>at least</w:t>
      </w:r>
      <w:r w:rsidRPr="00742808">
        <w:t xml:space="preserve"> </w:t>
      </w:r>
      <w:r>
        <w:t>five %</w:t>
      </w:r>
      <w:r w:rsidRPr="00742808">
        <w:t xml:space="preserve"> points to Trust-level monthly data</w:t>
      </w:r>
    </w:p>
    <w:tbl>
      <w:tblPr>
        <w:tblW w:w="9128" w:type="dxa"/>
        <w:tblLayout w:type="fixed"/>
        <w:tblLook w:val="04A0" w:firstRow="1" w:lastRow="0" w:firstColumn="1" w:lastColumn="0" w:noHBand="0" w:noVBand="1"/>
      </w:tblPr>
      <w:tblGrid>
        <w:gridCol w:w="1134"/>
        <w:gridCol w:w="4819"/>
        <w:gridCol w:w="1134"/>
        <w:gridCol w:w="1134"/>
        <w:gridCol w:w="907"/>
      </w:tblGrid>
      <w:tr w:rsidR="00742808" w:rsidRPr="00742808" w:rsidTr="00F765B6">
        <w:trPr>
          <w:trHeight w:val="330"/>
        </w:trPr>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Trust</w:t>
            </w:r>
          </w:p>
        </w:tc>
        <w:tc>
          <w:tcPr>
            <w:tcW w:w="4819" w:type="dxa"/>
            <w:tcBorders>
              <w:top w:val="nil"/>
              <w:left w:val="nil"/>
              <w:bottom w:val="single" w:sz="8" w:space="0" w:color="auto"/>
              <w:right w:val="nil"/>
            </w:tcBorders>
            <w:shd w:val="clear" w:color="auto" w:fill="auto"/>
            <w:vAlign w:val="center"/>
            <w:hideMark/>
          </w:tcPr>
          <w:p w:rsidR="00742808" w:rsidRPr="00742808" w:rsidRDefault="00742808" w:rsidP="00692EF8">
            <w:pPr>
              <w:pStyle w:val="NoSpacing"/>
            </w:pPr>
            <w:r w:rsidRPr="00742808">
              <w:t>Indicator</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Month</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From</w:t>
            </w:r>
          </w:p>
        </w:tc>
        <w:tc>
          <w:tcPr>
            <w:tcW w:w="907"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To</w:t>
            </w:r>
          </w:p>
        </w:tc>
      </w:tr>
      <w:tr w:rsidR="00742808" w:rsidRPr="00742808" w:rsidTr="00F765B6">
        <w:trPr>
          <w:trHeight w:val="315"/>
        </w:trPr>
        <w:tc>
          <w:tcPr>
            <w:tcW w:w="1134" w:type="dxa"/>
            <w:tcBorders>
              <w:top w:val="nil"/>
              <w:left w:val="nil"/>
              <w:bottom w:val="single" w:sz="8" w:space="0" w:color="auto"/>
              <w:right w:val="nil"/>
            </w:tcBorders>
            <w:shd w:val="clear" w:color="auto" w:fill="auto"/>
            <w:vAlign w:val="center"/>
            <w:hideMark/>
          </w:tcPr>
          <w:p w:rsidR="00742808" w:rsidRPr="00742808" w:rsidRDefault="00F765B6" w:rsidP="00742808">
            <w:pPr>
              <w:pStyle w:val="NoSpacing"/>
            </w:pPr>
            <w:r>
              <w:t>LAS</w:t>
            </w:r>
          </w:p>
        </w:tc>
        <w:tc>
          <w:tcPr>
            <w:tcW w:w="4819"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Survival following cardiac arrest (Utstein)</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May</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20.0%</w:t>
            </w:r>
          </w:p>
        </w:tc>
        <w:tc>
          <w:tcPr>
            <w:tcW w:w="907"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25.0%</w:t>
            </w:r>
          </w:p>
        </w:tc>
      </w:tr>
      <w:tr w:rsidR="0079548B" w:rsidRPr="00742808" w:rsidTr="00F765B6">
        <w:trPr>
          <w:trHeight w:val="111"/>
        </w:trPr>
        <w:tc>
          <w:tcPr>
            <w:tcW w:w="1134" w:type="dxa"/>
            <w:vMerge w:val="restart"/>
            <w:tcBorders>
              <w:top w:val="nil"/>
              <w:left w:val="nil"/>
              <w:right w:val="nil"/>
            </w:tcBorders>
            <w:shd w:val="clear" w:color="auto" w:fill="auto"/>
            <w:vAlign w:val="center"/>
            <w:hideMark/>
          </w:tcPr>
          <w:p w:rsidR="0079548B" w:rsidRPr="00742808" w:rsidRDefault="00F765B6" w:rsidP="0079548B">
            <w:pPr>
              <w:pStyle w:val="NoSpacing"/>
            </w:pPr>
            <w:r>
              <w:t>NWAS</w:t>
            </w:r>
            <w:r w:rsidR="0079548B" w:rsidRPr="00742808">
              <w:t> </w:t>
            </w:r>
          </w:p>
        </w:tc>
        <w:tc>
          <w:tcPr>
            <w:tcW w:w="4819"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Angioplasty within 150 minutes of STEMI</w:t>
            </w: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Apr</w:t>
            </w: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76.5%</w:t>
            </w:r>
          </w:p>
        </w:tc>
        <w:tc>
          <w:tcPr>
            <w:tcW w:w="907"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84.3%</w:t>
            </w:r>
          </w:p>
        </w:tc>
      </w:tr>
      <w:tr w:rsidR="0079548B" w:rsidRPr="00742808" w:rsidTr="00F765B6">
        <w:trPr>
          <w:trHeight w:val="315"/>
        </w:trPr>
        <w:tc>
          <w:tcPr>
            <w:tcW w:w="1134" w:type="dxa"/>
            <w:vMerge/>
            <w:tcBorders>
              <w:left w:val="nil"/>
              <w:right w:val="nil"/>
            </w:tcBorders>
            <w:shd w:val="clear" w:color="auto" w:fill="auto"/>
            <w:vAlign w:val="center"/>
            <w:hideMark/>
          </w:tcPr>
          <w:p w:rsidR="0079548B" w:rsidRPr="00742808" w:rsidRDefault="0079548B" w:rsidP="00742808">
            <w:pPr>
              <w:pStyle w:val="NoSpacing"/>
            </w:pPr>
          </w:p>
        </w:tc>
        <w:tc>
          <w:tcPr>
            <w:tcW w:w="4819" w:type="dxa"/>
            <w:vMerge w:val="restart"/>
            <w:tcBorders>
              <w:top w:val="nil"/>
              <w:left w:val="nil"/>
              <w:right w:val="nil"/>
            </w:tcBorders>
            <w:shd w:val="clear" w:color="auto" w:fill="auto"/>
            <w:vAlign w:val="center"/>
            <w:hideMark/>
          </w:tcPr>
          <w:p w:rsidR="0079548B" w:rsidRPr="00742808" w:rsidRDefault="0079548B" w:rsidP="0079548B">
            <w:pPr>
              <w:pStyle w:val="NoSpacing"/>
            </w:pPr>
            <w:r w:rsidRPr="00742808">
              <w:t>Survival following cardiac arrest (Utstein) </w:t>
            </w: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Jun</w:t>
            </w: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15.0%</w:t>
            </w:r>
          </w:p>
        </w:tc>
        <w:tc>
          <w:tcPr>
            <w:tcW w:w="907"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20.0%</w:t>
            </w:r>
          </w:p>
        </w:tc>
      </w:tr>
      <w:tr w:rsidR="0079548B" w:rsidRPr="00742808" w:rsidTr="00F765B6">
        <w:trPr>
          <w:trHeight w:val="315"/>
        </w:trPr>
        <w:tc>
          <w:tcPr>
            <w:tcW w:w="1134" w:type="dxa"/>
            <w:vMerge/>
            <w:tcBorders>
              <w:left w:val="nil"/>
              <w:bottom w:val="single" w:sz="8" w:space="0" w:color="auto"/>
              <w:right w:val="nil"/>
            </w:tcBorders>
            <w:shd w:val="clear" w:color="auto" w:fill="auto"/>
            <w:vAlign w:val="center"/>
            <w:hideMark/>
          </w:tcPr>
          <w:p w:rsidR="0079548B" w:rsidRPr="00742808" w:rsidRDefault="0079548B" w:rsidP="00742808">
            <w:pPr>
              <w:pStyle w:val="NoSpacing"/>
            </w:pPr>
          </w:p>
        </w:tc>
        <w:tc>
          <w:tcPr>
            <w:tcW w:w="4819" w:type="dxa"/>
            <w:vMerge/>
            <w:tcBorders>
              <w:left w:val="nil"/>
              <w:bottom w:val="single" w:sz="8" w:space="0" w:color="auto"/>
              <w:right w:val="nil"/>
            </w:tcBorders>
            <w:shd w:val="clear" w:color="auto" w:fill="auto"/>
            <w:vAlign w:val="center"/>
            <w:hideMark/>
          </w:tcPr>
          <w:p w:rsidR="0079548B" w:rsidRPr="00742808" w:rsidRDefault="0079548B" w:rsidP="00742808">
            <w:pPr>
              <w:pStyle w:val="NoSpacing"/>
            </w:pP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Jul</w:t>
            </w:r>
          </w:p>
        </w:tc>
        <w:tc>
          <w:tcPr>
            <w:tcW w:w="1134"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11.1%</w:t>
            </w:r>
          </w:p>
        </w:tc>
        <w:tc>
          <w:tcPr>
            <w:tcW w:w="907" w:type="dxa"/>
            <w:tcBorders>
              <w:top w:val="nil"/>
              <w:left w:val="nil"/>
              <w:bottom w:val="single" w:sz="8" w:space="0" w:color="auto"/>
              <w:right w:val="nil"/>
            </w:tcBorders>
            <w:shd w:val="clear" w:color="auto" w:fill="auto"/>
            <w:vAlign w:val="center"/>
            <w:hideMark/>
          </w:tcPr>
          <w:p w:rsidR="0079548B" w:rsidRPr="00742808" w:rsidRDefault="0079548B" w:rsidP="00742808">
            <w:pPr>
              <w:pStyle w:val="NoSpacing"/>
            </w:pPr>
            <w:r w:rsidRPr="00742808">
              <w:t>21.2%</w:t>
            </w:r>
          </w:p>
        </w:tc>
      </w:tr>
      <w:tr w:rsidR="00742808" w:rsidRPr="00742808" w:rsidTr="00F765B6">
        <w:trPr>
          <w:trHeight w:val="315"/>
        </w:trPr>
        <w:tc>
          <w:tcPr>
            <w:tcW w:w="1134" w:type="dxa"/>
            <w:tcBorders>
              <w:top w:val="nil"/>
              <w:left w:val="nil"/>
              <w:bottom w:val="single" w:sz="8" w:space="0" w:color="auto"/>
              <w:right w:val="nil"/>
            </w:tcBorders>
            <w:shd w:val="clear" w:color="auto" w:fill="auto"/>
            <w:vAlign w:val="center"/>
            <w:hideMark/>
          </w:tcPr>
          <w:p w:rsidR="00742808" w:rsidRPr="00742808" w:rsidRDefault="00F765B6" w:rsidP="00742808">
            <w:pPr>
              <w:pStyle w:val="NoSpacing"/>
            </w:pPr>
            <w:r>
              <w:t>SWAS</w:t>
            </w:r>
          </w:p>
        </w:tc>
        <w:tc>
          <w:tcPr>
            <w:tcW w:w="4819"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Survival following cardiac arrest (Utstein)</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May</w:t>
            </w:r>
          </w:p>
        </w:tc>
        <w:tc>
          <w:tcPr>
            <w:tcW w:w="1134"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12.8%</w:t>
            </w:r>
          </w:p>
        </w:tc>
        <w:tc>
          <w:tcPr>
            <w:tcW w:w="907" w:type="dxa"/>
            <w:tcBorders>
              <w:top w:val="nil"/>
              <w:left w:val="nil"/>
              <w:bottom w:val="single" w:sz="8" w:space="0" w:color="auto"/>
              <w:right w:val="nil"/>
            </w:tcBorders>
            <w:shd w:val="clear" w:color="auto" w:fill="auto"/>
            <w:vAlign w:val="center"/>
            <w:hideMark/>
          </w:tcPr>
          <w:p w:rsidR="00742808" w:rsidRPr="00742808" w:rsidRDefault="00742808" w:rsidP="00742808">
            <w:pPr>
              <w:pStyle w:val="NoSpacing"/>
            </w:pPr>
            <w:r w:rsidRPr="00742808">
              <w:t>20.5%</w:t>
            </w:r>
          </w:p>
        </w:tc>
      </w:tr>
    </w:tbl>
    <w:p w:rsidR="003A0D0C" w:rsidRPr="00F7505F" w:rsidRDefault="003A0D0C" w:rsidP="00962B03">
      <w:pPr>
        <w:pStyle w:val="Heading2"/>
      </w:pPr>
      <w:r w:rsidRPr="00F7505F">
        <w:lastRenderedPageBreak/>
        <w:t>Further information on AQI</w:t>
      </w:r>
    </w:p>
    <w:p w:rsidR="003A0D0C" w:rsidRPr="00F7505F" w:rsidRDefault="003A0D0C" w:rsidP="003A0D0C">
      <w:pPr>
        <w:pStyle w:val="Heading3"/>
      </w:pPr>
      <w:r w:rsidRPr="00F7505F">
        <w:t>The AQI landing page and Quality Statement</w:t>
      </w:r>
    </w:p>
    <w:p w:rsidR="003A0D0C" w:rsidRPr="00F7505F" w:rsidRDefault="00E51C71" w:rsidP="003A0D0C">
      <w:pPr>
        <w:rPr>
          <w:rFonts w:cs="Arial"/>
        </w:rPr>
      </w:pPr>
      <w:hyperlink r:id="rId18"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19"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r>
        <w:t xml:space="preserve">contact details for the responsible statistician (also in </w:t>
      </w:r>
      <w:r w:rsidR="00AB3BB4">
        <w:t>3</w:t>
      </w:r>
      <w:r w:rsidR="00E24BF5">
        <w:t>.6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r w:rsidRPr="00F7505F">
        <w:t>the list of people with pre-release access to the data.</w:t>
      </w:r>
    </w:p>
    <w:p w:rsidR="00E6125B" w:rsidRPr="00F7505F" w:rsidRDefault="0036736E" w:rsidP="00A66D79">
      <w:r w:rsidRPr="00F7505F">
        <w:t xml:space="preserve">Publication dates are also at </w:t>
      </w:r>
      <w:hyperlink r:id="rId20"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p>
    <w:p w:rsidR="003A0D0C" w:rsidRDefault="001A79D1" w:rsidP="003A0D0C">
      <w:r>
        <w:t>For Systems Indicators, we published r</w:t>
      </w:r>
      <w:r w:rsidR="003A0D0C" w:rsidRPr="00F7505F">
        <w:t xml:space="preserve">evisions </w:t>
      </w:r>
      <w:r>
        <w:t xml:space="preserve">according to </w:t>
      </w:r>
      <w:r w:rsidR="003A0D0C" w:rsidRPr="00F7505F">
        <w:t>a six-monthly cycle</w:t>
      </w:r>
      <w:r w:rsidR="00D64ADB">
        <w:t xml:space="preserve"> until </w:t>
      </w:r>
      <w:r w:rsidR="00276BC5">
        <w:t xml:space="preserve">the </w:t>
      </w:r>
      <w:r>
        <w:t>Ambulance Response Programme (</w:t>
      </w:r>
      <w:r w:rsidR="00276BC5">
        <w:t>ARP</w:t>
      </w:r>
      <w:r>
        <w:t>)</w:t>
      </w:r>
      <w:r w:rsidR="00276BC5">
        <w:t xml:space="preserve"> review of indicators</w:t>
      </w:r>
      <w:r w:rsidR="00B07A72">
        <w:t xml:space="preserve"> in 2017</w:t>
      </w:r>
      <w:r w:rsidR="009D0222">
        <w:t xml:space="preserve">, when </w:t>
      </w:r>
      <w:r>
        <w:t xml:space="preserve">we </w:t>
      </w:r>
      <w:r w:rsidR="009D0222">
        <w:t xml:space="preserve">delayed </w:t>
      </w:r>
      <w:r>
        <w:t xml:space="preserve">revisions </w:t>
      </w:r>
      <w:r w:rsidR="009D0222">
        <w:t>while Ambulance Services amended their systems to produce the new Indicators</w:t>
      </w:r>
      <w:r w:rsidR="00B07A72">
        <w:t>. The new indicator set allows Ambulance Services to report data more quickly, but only by reducing the validation checks before data supply. We will work with Ambulance Services to assess the quality of the subsequent data</w:t>
      </w:r>
      <w:r>
        <w:t>, and plan to publish revisions in April 2018.</w:t>
      </w:r>
    </w:p>
    <w:p w:rsidR="008F09F8" w:rsidRPr="00F7505F" w:rsidRDefault="008F09F8" w:rsidP="003A0D0C">
      <w:r>
        <w:t>A full history of AQI revisions was in the 14 December 2017 Statistical Note.</w:t>
      </w:r>
    </w:p>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BA11BB">
        <w:t>3</w:t>
      </w:r>
      <w:r w:rsidR="00056629">
        <w:t>.</w:t>
      </w:r>
      <w:r w:rsidR="00E446B4" w:rsidRPr="00F7505F">
        <w:t>1</w:t>
      </w:r>
      <w:r w:rsidRPr="00F7505F">
        <w:t xml:space="preserve">, calls made to NHS 111 are included </w:t>
      </w:r>
      <w:r w:rsidR="00B07A72">
        <w:t>in all Systems Indicators except data on contacts and calls, items A0 to A6</w:t>
      </w:r>
      <w:r w:rsidR="00B870E5" w:rsidRPr="00F7505F">
        <w:t>.</w:t>
      </w:r>
    </w:p>
    <w:p w:rsidR="003A0D0C" w:rsidRPr="00F7505F" w:rsidRDefault="003A0D0C" w:rsidP="003A0D0C">
      <w:pPr>
        <w:pStyle w:val="Heading3"/>
      </w:pPr>
      <w:r w:rsidRPr="00F7505F">
        <w:t>Related statistics in England</w:t>
      </w:r>
    </w:p>
    <w:p w:rsidR="00784424"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w:t>
      </w:r>
      <w:r w:rsidR="00B07A72">
        <w:t xml:space="preserve"> (see the 14 December 2017 AQI Statistical Note)</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F765B6" w:rsidRPr="00F7505F" w:rsidRDefault="00F765B6" w:rsidP="00784424"/>
    <w:p w:rsidR="003A0D0C" w:rsidRPr="00F7505F" w:rsidRDefault="00784424" w:rsidP="003A0D0C">
      <w:r w:rsidRPr="00F7505F">
        <w:lastRenderedPageBreak/>
        <w:t>The AQI were also used in the “Ambulance Services” publications</w:t>
      </w:r>
      <w:r w:rsidR="001671E7" w:rsidRPr="00F7505F">
        <w:rPr>
          <w:rStyle w:val="FootnoteReference"/>
        </w:rPr>
        <w:footnoteReference w:id="5"/>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BA11BB">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published by NHS England </w:t>
      </w:r>
      <w:r w:rsidR="0068308C">
        <w:t xml:space="preserve">for </w:t>
      </w:r>
      <w:r w:rsidRPr="00F7505F">
        <w:t xml:space="preserve">winter </w:t>
      </w:r>
      <w:r w:rsidR="00B07A72">
        <w:t xml:space="preserve">2012-13, 2013-14, </w:t>
      </w:r>
      <w:r w:rsidRPr="00F7505F">
        <w:t>2014-15</w:t>
      </w:r>
      <w:r w:rsidR="00B07A72">
        <w:t xml:space="preserve"> and 2017-18</w:t>
      </w:r>
      <w:r w:rsidRPr="00F7505F">
        <w:t xml:space="preserve">: </w:t>
      </w:r>
      <w:hyperlink r:id="rId21"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BA11BB">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E51C71" w:rsidP="00A06052">
            <w:pPr>
              <w:pStyle w:val="NoSpacing"/>
            </w:pPr>
            <w:hyperlink r:id="rId22"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3"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E51C71" w:rsidP="008C5874">
            <w:pPr>
              <w:pStyle w:val="NoSpacing"/>
              <w:rPr>
                <w:lang w:eastAsia="en-US"/>
              </w:rPr>
            </w:pPr>
            <w:hyperlink r:id="rId24"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t>Contact information</w:t>
      </w:r>
    </w:p>
    <w:p w:rsidR="00E11703" w:rsidRPr="00F7505F" w:rsidRDefault="003644BB" w:rsidP="00E11703">
      <w:pPr>
        <w:autoSpaceDE w:val="0"/>
        <w:autoSpaceDN w:val="0"/>
        <w:adjustRightInd w:val="0"/>
        <w:rPr>
          <w:rFonts w:cs="Arial"/>
        </w:rPr>
      </w:pPr>
      <w:r>
        <w:rPr>
          <w:rFonts w:cs="Arial"/>
        </w:rPr>
        <w:t>Media</w:t>
      </w:r>
      <w:r w:rsidR="0068308C">
        <w:rPr>
          <w:rFonts w:cs="Arial"/>
        </w:rPr>
        <w:t>:</w:t>
      </w:r>
      <w:r w:rsidR="00E51C71">
        <w:rPr>
          <w:rFonts w:cs="Arial"/>
        </w:rPr>
        <w:t xml:space="preserve"> NHS England Media Relations,</w:t>
      </w:r>
      <w:bookmarkStart w:id="1" w:name="_GoBack"/>
      <w:bookmarkEnd w:id="1"/>
      <w:r w:rsidR="00E11703" w:rsidRPr="00F7505F">
        <w:rPr>
          <w:rFonts w:cs="Arial"/>
        </w:rPr>
        <w:t xml:space="preserve"> </w:t>
      </w:r>
      <w:hyperlink r:id="rId25" w:history="1">
        <w:r w:rsidR="00E11703" w:rsidRPr="00F7505F">
          <w:rPr>
            <w:rStyle w:val="Hyperlink"/>
            <w:rFonts w:cs="Arial"/>
          </w:rPr>
          <w:t>nhsengland.media@nhs.net</w:t>
        </w:r>
      </w:hyperlink>
      <w:r w:rsidR="0068308C">
        <w:rPr>
          <w:rStyle w:val="Hyperlink"/>
          <w:rFonts w:cs="Arial"/>
        </w:rPr>
        <w:t>,</w:t>
      </w:r>
      <w:r w:rsidR="0068308C" w:rsidRPr="0068308C">
        <w:rPr>
          <w:rFonts w:cs="Arial"/>
        </w:rPr>
        <w:t xml:space="preserve"> </w:t>
      </w:r>
      <w:r w:rsidR="0068308C" w:rsidRPr="00F7505F">
        <w:rPr>
          <w:rFonts w:cs="Arial"/>
        </w:rPr>
        <w:t>0113 825 0958</w:t>
      </w:r>
      <w:r w:rsidR="0068308C">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26"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r w:rsidRPr="00F7505F">
        <w:t>are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27"/>
      <w:footerReference w:type="default" r:id="rId2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20F" w:rsidRDefault="0039620F" w:rsidP="00E924D4">
    <w:pPr>
      <w:pStyle w:val="Footer"/>
      <w:tabs>
        <w:tab w:val="clear" w:pos="9026"/>
        <w:tab w:val="left" w:pos="5025"/>
        <w:tab w:val="right" w:pos="8364"/>
      </w:tabs>
    </w:pPr>
    <w:r>
      <w:t xml:space="preserve">NHS England AQI Statistical Note, </w:t>
    </w:r>
    <w:r w:rsidR="00433C24">
      <w:t xml:space="preserve">8 </w:t>
    </w:r>
    <w:r w:rsidR="008F09F8">
      <w:t>March</w:t>
    </w:r>
    <w:r w:rsidR="00B07A72">
      <w:t xml:space="preserve"> 2018</w:t>
    </w:r>
    <w:r>
      <w:t>.</w:t>
    </w:r>
    <w:r>
      <w:tab/>
    </w:r>
    <w:r>
      <w:tab/>
    </w:r>
    <w:r w:rsidR="008F09F8">
      <w:tab/>
    </w:r>
    <w:r>
      <w:t xml:space="preserve">Page </w:t>
    </w:r>
    <w:r>
      <w:fldChar w:fldCharType="begin"/>
    </w:r>
    <w:r>
      <w:instrText xml:space="preserve"> PAGE   \* MERGEFORMAT </w:instrText>
    </w:r>
    <w:r>
      <w:fldChar w:fldCharType="separate"/>
    </w:r>
    <w:r w:rsidR="00E51C71">
      <w:rPr>
        <w:noProof/>
      </w:rPr>
      <w:t>8</w:t>
    </w:r>
    <w:r>
      <w:rPr>
        <w:noProof/>
      </w:rPr>
      <w:fldChar w:fldCharType="end"/>
    </w:r>
    <w:r>
      <w:rPr>
        <w:noProof/>
      </w:rPr>
      <w:t xml:space="preserve"> of </w:t>
    </w:r>
    <w:fldSimple w:instr=" NUMPAGES   \* MERGEFORMAT ">
      <w:r w:rsidR="00E51C71">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w:t>
      </w:r>
      <w:r w:rsidR="0055404D">
        <w:t>Ambulance standards are in t</w:t>
      </w:r>
      <w:r w:rsidR="008B078C">
        <w:t>he September 2017 addendum</w:t>
      </w:r>
      <w:r>
        <w:t xml:space="preserve"> </w:t>
      </w:r>
      <w:r w:rsidR="008B078C">
        <w:t>to the Hand</w:t>
      </w:r>
      <w:r w:rsidRPr="000F3EC8">
        <w:t>book to the NHS Constitution</w:t>
      </w:r>
      <w:r w:rsidR="008B078C">
        <w:t xml:space="preserve">: </w:t>
      </w:r>
      <w:hyperlink r:id="rId1" w:history="1">
        <w:r w:rsidRPr="000B169C">
          <w:rPr>
            <w:rStyle w:val="Hyperlink"/>
          </w:rPr>
          <w:t>www.gov.uk/government/publications/supplements-to-the-nhs-constitution-for-england</w:t>
        </w:r>
      </w:hyperlink>
      <w:r>
        <w:t>.</w:t>
      </w:r>
    </w:p>
    <w:p w:rsidR="0039620F" w:rsidRPr="00F56C67" w:rsidRDefault="0039620F" w:rsidP="00F56C67">
      <w:pPr>
        <w:pStyle w:val="Footer"/>
      </w:pPr>
    </w:p>
  </w:footnote>
  <w:footnote w:id="2">
    <w:p w:rsidR="00EE12D7" w:rsidRDefault="00EE12D7" w:rsidP="00F56C67">
      <w:pPr>
        <w:pStyle w:val="Footer"/>
      </w:pPr>
      <w:r>
        <w:rPr>
          <w:rStyle w:val="FootnoteReference"/>
        </w:rPr>
        <w:footnoteRef/>
      </w:r>
      <w:r>
        <w:t xml:space="preserve"> Throughout this </w:t>
      </w:r>
      <w:r w:rsidR="00864AAF">
        <w:t>publication</w:t>
      </w:r>
      <w:r>
        <w:t xml:space="preserve">, for the following Services and months, Systems Indicators are only available for part of the month: North West </w:t>
      </w:r>
      <w:r w:rsidRPr="001064F3">
        <w:t>7-31 August; West Midlands 9-30 September; South Western 23-30 November</w:t>
      </w:r>
      <w:r w:rsidRPr="00E30B9F">
        <w:t xml:space="preserve"> </w:t>
      </w:r>
      <w:r w:rsidRPr="001064F3">
        <w:t>inclusive</w:t>
      </w:r>
      <w:r>
        <w:t xml:space="preserve">. Isle of Wight continues to use Categories A and C and is </w:t>
      </w:r>
      <w:r w:rsidR="003974A4">
        <w:t>excluded</w:t>
      </w:r>
      <w:r>
        <w:t xml:space="preserve"> from all data in Section 1</w:t>
      </w:r>
      <w:r w:rsidR="00864AAF">
        <w:t xml:space="preserve"> of this document</w:t>
      </w:r>
      <w:r>
        <w:t>.</w:t>
      </w:r>
    </w:p>
    <w:p w:rsidR="00EE12D7" w:rsidRDefault="00EE12D7" w:rsidP="00F56C67">
      <w:pPr>
        <w:pStyle w:val="Footer"/>
      </w:pPr>
    </w:p>
  </w:footnote>
  <w:footnote w:id="3">
    <w:p w:rsidR="0055404D" w:rsidRDefault="0055404D" w:rsidP="00F56C67">
      <w:pPr>
        <w:pStyle w:val="Footer"/>
        <w:rPr>
          <w:rStyle w:val="Hyperlink"/>
        </w:rPr>
      </w:pPr>
      <w:r>
        <w:rPr>
          <w:rStyle w:val="FootnoteReference"/>
        </w:rPr>
        <w:footnoteRef/>
      </w:r>
      <w:r>
        <w:t xml:space="preserve"> Categories introduced nationwide in 2017: </w:t>
      </w:r>
      <w:hyperlink r:id="rId2" w:history="1">
        <w:r w:rsidRPr="00BD134B">
          <w:rPr>
            <w:rStyle w:val="Hyperlink"/>
          </w:rPr>
          <w:t>www.england.nhs.uk/urgent-emergency-care/arp</w:t>
        </w:r>
      </w:hyperlink>
    </w:p>
    <w:p w:rsidR="0055404D" w:rsidRDefault="0055404D" w:rsidP="0055404D">
      <w:pPr>
        <w:pStyle w:val="FootnoteText"/>
      </w:pPr>
    </w:p>
  </w:footnote>
  <w:footnote w:id="4">
    <w:p w:rsidR="00D12CCA" w:rsidRDefault="00D12CCA" w:rsidP="00D12CCA">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3" w:history="1">
        <w:r w:rsidRPr="000B169C">
          <w:rPr>
            <w:rStyle w:val="Hyperlink"/>
          </w:rPr>
          <w:t>http://circ.ahajournals.org/content/110/21/3385</w:t>
        </w:r>
      </w:hyperlink>
    </w:p>
  </w:footnote>
  <w:footnote w:id="5">
    <w:p w:rsidR="0039620F" w:rsidRDefault="0039620F" w:rsidP="00E65E27">
      <w:pPr>
        <w:pStyle w:val="Footer"/>
      </w:pPr>
      <w:r>
        <w:rPr>
          <w:rStyle w:val="FootnoteReference"/>
        </w:rPr>
        <w:footnoteRef/>
      </w:r>
      <w:r>
        <w:t xml:space="preserve"> NHS Digital </w:t>
      </w:r>
      <w:r w:rsidRPr="001671E7">
        <w:rPr>
          <w:i/>
        </w:rPr>
        <w:t>Ambulance Services</w:t>
      </w:r>
      <w:r>
        <w:t xml:space="preserve">: </w:t>
      </w:r>
      <w:hyperlink r:id="rId4" w:history="1">
        <w:r w:rsidR="00B07A72" w:rsidRPr="00D57F10">
          <w:rPr>
            <w:rStyle w:val="Hyperlink"/>
          </w:rPr>
          <w:t>https://digital.nhs.uk/search?q=ka34&amp;s=r</w:t>
        </w:r>
      </w:hyperlink>
      <w:hyperlink r:id="rId5" w:history="1"/>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49AADA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266DE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64FB3"/>
    <w:multiLevelType w:val="multilevel"/>
    <w:tmpl w:val="0ACC791A"/>
    <w:lvl w:ilvl="0">
      <w:start w:val="1"/>
      <w:numFmt w:val="decimal"/>
      <w:pStyle w:val="Heading2"/>
      <w:lvlText w:val="%1."/>
      <w:lvlJc w:val="left"/>
      <w:pPr>
        <w:ind w:left="709"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62E8"/>
    <w:rsid w:val="00017014"/>
    <w:rsid w:val="00017E64"/>
    <w:rsid w:val="00017EE8"/>
    <w:rsid w:val="00020F43"/>
    <w:rsid w:val="00022061"/>
    <w:rsid w:val="00022C19"/>
    <w:rsid w:val="00022C9A"/>
    <w:rsid w:val="00022DAC"/>
    <w:rsid w:val="00023720"/>
    <w:rsid w:val="000237A9"/>
    <w:rsid w:val="000245E2"/>
    <w:rsid w:val="00024821"/>
    <w:rsid w:val="00024DF5"/>
    <w:rsid w:val="000267E5"/>
    <w:rsid w:val="000274BA"/>
    <w:rsid w:val="0003046C"/>
    <w:rsid w:val="00030749"/>
    <w:rsid w:val="0003113C"/>
    <w:rsid w:val="00032244"/>
    <w:rsid w:val="00033CF1"/>
    <w:rsid w:val="00033D02"/>
    <w:rsid w:val="00035B25"/>
    <w:rsid w:val="00036272"/>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2D9E"/>
    <w:rsid w:val="00063229"/>
    <w:rsid w:val="00063BB2"/>
    <w:rsid w:val="00064B43"/>
    <w:rsid w:val="00064DE4"/>
    <w:rsid w:val="00064EA6"/>
    <w:rsid w:val="00065110"/>
    <w:rsid w:val="00065321"/>
    <w:rsid w:val="000655B4"/>
    <w:rsid w:val="00065771"/>
    <w:rsid w:val="000670B6"/>
    <w:rsid w:val="0007000F"/>
    <w:rsid w:val="00070143"/>
    <w:rsid w:val="0007019A"/>
    <w:rsid w:val="000726E8"/>
    <w:rsid w:val="00072DE5"/>
    <w:rsid w:val="00075A31"/>
    <w:rsid w:val="00075FC3"/>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5711"/>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202"/>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4F3"/>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1F2B"/>
    <w:rsid w:val="00132DDA"/>
    <w:rsid w:val="00133520"/>
    <w:rsid w:val="001336E8"/>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48C"/>
    <w:rsid w:val="00151567"/>
    <w:rsid w:val="00151AF2"/>
    <w:rsid w:val="0015216C"/>
    <w:rsid w:val="00153FA6"/>
    <w:rsid w:val="00155E50"/>
    <w:rsid w:val="00156A47"/>
    <w:rsid w:val="001571D1"/>
    <w:rsid w:val="001577CC"/>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A1A"/>
    <w:rsid w:val="00176BAA"/>
    <w:rsid w:val="00176BC0"/>
    <w:rsid w:val="00176F43"/>
    <w:rsid w:val="0017739F"/>
    <w:rsid w:val="00177CDB"/>
    <w:rsid w:val="00181692"/>
    <w:rsid w:val="00182614"/>
    <w:rsid w:val="00182E71"/>
    <w:rsid w:val="00182F91"/>
    <w:rsid w:val="001847B2"/>
    <w:rsid w:val="00184E60"/>
    <w:rsid w:val="0018522B"/>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9D1"/>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53D"/>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094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47A6"/>
    <w:rsid w:val="00224998"/>
    <w:rsid w:val="00225C13"/>
    <w:rsid w:val="00226C14"/>
    <w:rsid w:val="0022733B"/>
    <w:rsid w:val="00230B2D"/>
    <w:rsid w:val="00230F4C"/>
    <w:rsid w:val="00233206"/>
    <w:rsid w:val="00233249"/>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6BC5"/>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605E"/>
    <w:rsid w:val="002C704E"/>
    <w:rsid w:val="002D0D09"/>
    <w:rsid w:val="002D10A5"/>
    <w:rsid w:val="002D195D"/>
    <w:rsid w:val="002D2035"/>
    <w:rsid w:val="002D4D8D"/>
    <w:rsid w:val="002D58CE"/>
    <w:rsid w:val="002D5AB0"/>
    <w:rsid w:val="002D5C5D"/>
    <w:rsid w:val="002D6186"/>
    <w:rsid w:val="002D7845"/>
    <w:rsid w:val="002E3688"/>
    <w:rsid w:val="002E3DEA"/>
    <w:rsid w:val="002E4181"/>
    <w:rsid w:val="002E4F29"/>
    <w:rsid w:val="002E6965"/>
    <w:rsid w:val="002E7BAC"/>
    <w:rsid w:val="002F09FA"/>
    <w:rsid w:val="002F0DF9"/>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3B3F"/>
    <w:rsid w:val="00314C64"/>
    <w:rsid w:val="0031580B"/>
    <w:rsid w:val="00315AC6"/>
    <w:rsid w:val="00317248"/>
    <w:rsid w:val="00317C23"/>
    <w:rsid w:val="00320970"/>
    <w:rsid w:val="003217C6"/>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3223"/>
    <w:rsid w:val="00356847"/>
    <w:rsid w:val="00356BD0"/>
    <w:rsid w:val="003602C0"/>
    <w:rsid w:val="00360AFD"/>
    <w:rsid w:val="003621E4"/>
    <w:rsid w:val="00362574"/>
    <w:rsid w:val="0036294E"/>
    <w:rsid w:val="003635DF"/>
    <w:rsid w:val="00363C6A"/>
    <w:rsid w:val="00364091"/>
    <w:rsid w:val="0036445B"/>
    <w:rsid w:val="003644B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45B"/>
    <w:rsid w:val="00383D0F"/>
    <w:rsid w:val="00384DC4"/>
    <w:rsid w:val="003863EC"/>
    <w:rsid w:val="00386F2D"/>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974A4"/>
    <w:rsid w:val="003A0D0C"/>
    <w:rsid w:val="003A0F4C"/>
    <w:rsid w:val="003A240A"/>
    <w:rsid w:val="003A2736"/>
    <w:rsid w:val="003A398E"/>
    <w:rsid w:val="003A3994"/>
    <w:rsid w:val="003A4788"/>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5A7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09A"/>
    <w:rsid w:val="00402ADE"/>
    <w:rsid w:val="0040350E"/>
    <w:rsid w:val="004041D0"/>
    <w:rsid w:val="00405528"/>
    <w:rsid w:val="00405587"/>
    <w:rsid w:val="004058D7"/>
    <w:rsid w:val="00406FCF"/>
    <w:rsid w:val="004079F3"/>
    <w:rsid w:val="00407A2A"/>
    <w:rsid w:val="0041065C"/>
    <w:rsid w:val="00410783"/>
    <w:rsid w:val="00410810"/>
    <w:rsid w:val="004123F7"/>
    <w:rsid w:val="0041364F"/>
    <w:rsid w:val="00413F2F"/>
    <w:rsid w:val="004140F7"/>
    <w:rsid w:val="0041458E"/>
    <w:rsid w:val="00416B95"/>
    <w:rsid w:val="0041753D"/>
    <w:rsid w:val="00417AB4"/>
    <w:rsid w:val="004200FF"/>
    <w:rsid w:val="004217EA"/>
    <w:rsid w:val="00421AE3"/>
    <w:rsid w:val="00421E46"/>
    <w:rsid w:val="0042297F"/>
    <w:rsid w:val="0042340C"/>
    <w:rsid w:val="00423892"/>
    <w:rsid w:val="0042443A"/>
    <w:rsid w:val="004255DC"/>
    <w:rsid w:val="00426208"/>
    <w:rsid w:val="00426EE4"/>
    <w:rsid w:val="0042742C"/>
    <w:rsid w:val="00427B32"/>
    <w:rsid w:val="00430226"/>
    <w:rsid w:val="00432A29"/>
    <w:rsid w:val="00433BFD"/>
    <w:rsid w:val="00433C24"/>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2A0"/>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526"/>
    <w:rsid w:val="004749C8"/>
    <w:rsid w:val="0047570F"/>
    <w:rsid w:val="0047575F"/>
    <w:rsid w:val="004769D3"/>
    <w:rsid w:val="00480085"/>
    <w:rsid w:val="00480623"/>
    <w:rsid w:val="00480A45"/>
    <w:rsid w:val="004811E5"/>
    <w:rsid w:val="00483573"/>
    <w:rsid w:val="00483782"/>
    <w:rsid w:val="00483F77"/>
    <w:rsid w:val="004849F5"/>
    <w:rsid w:val="00484BDC"/>
    <w:rsid w:val="00484CF7"/>
    <w:rsid w:val="004855AA"/>
    <w:rsid w:val="00485642"/>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A7F0D"/>
    <w:rsid w:val="004B1694"/>
    <w:rsid w:val="004B32DC"/>
    <w:rsid w:val="004B3312"/>
    <w:rsid w:val="004B34E7"/>
    <w:rsid w:val="004B3DCB"/>
    <w:rsid w:val="004B406E"/>
    <w:rsid w:val="004B46D5"/>
    <w:rsid w:val="004B489E"/>
    <w:rsid w:val="004B592C"/>
    <w:rsid w:val="004B7035"/>
    <w:rsid w:val="004B77EC"/>
    <w:rsid w:val="004C0349"/>
    <w:rsid w:val="004C0D17"/>
    <w:rsid w:val="004C11B6"/>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057"/>
    <w:rsid w:val="004D7992"/>
    <w:rsid w:val="004D7BC0"/>
    <w:rsid w:val="004E170E"/>
    <w:rsid w:val="004E47A2"/>
    <w:rsid w:val="004E49AE"/>
    <w:rsid w:val="004E4B7F"/>
    <w:rsid w:val="004E7F0B"/>
    <w:rsid w:val="004F15E0"/>
    <w:rsid w:val="004F16AD"/>
    <w:rsid w:val="004F2347"/>
    <w:rsid w:val="004F2AC4"/>
    <w:rsid w:val="004F2D5D"/>
    <w:rsid w:val="004F34AD"/>
    <w:rsid w:val="004F376A"/>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17B"/>
    <w:rsid w:val="005168CD"/>
    <w:rsid w:val="00517BD3"/>
    <w:rsid w:val="0052029E"/>
    <w:rsid w:val="00520665"/>
    <w:rsid w:val="005211EE"/>
    <w:rsid w:val="0052145B"/>
    <w:rsid w:val="00522906"/>
    <w:rsid w:val="00522954"/>
    <w:rsid w:val="00523140"/>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2BF1"/>
    <w:rsid w:val="00543157"/>
    <w:rsid w:val="0054481A"/>
    <w:rsid w:val="0054555E"/>
    <w:rsid w:val="0054610C"/>
    <w:rsid w:val="0054633F"/>
    <w:rsid w:val="0054766B"/>
    <w:rsid w:val="00550033"/>
    <w:rsid w:val="005507A2"/>
    <w:rsid w:val="00550D56"/>
    <w:rsid w:val="005513E1"/>
    <w:rsid w:val="00551D2D"/>
    <w:rsid w:val="00551DDC"/>
    <w:rsid w:val="00552E5E"/>
    <w:rsid w:val="00553616"/>
    <w:rsid w:val="005538AF"/>
    <w:rsid w:val="00553B53"/>
    <w:rsid w:val="0055404D"/>
    <w:rsid w:val="00554203"/>
    <w:rsid w:val="0055496A"/>
    <w:rsid w:val="00555D91"/>
    <w:rsid w:val="00560F71"/>
    <w:rsid w:val="005612D9"/>
    <w:rsid w:val="005614D3"/>
    <w:rsid w:val="00562BCB"/>
    <w:rsid w:val="005639DF"/>
    <w:rsid w:val="005718F6"/>
    <w:rsid w:val="005719BB"/>
    <w:rsid w:val="00571F44"/>
    <w:rsid w:val="00572137"/>
    <w:rsid w:val="00572500"/>
    <w:rsid w:val="0057309E"/>
    <w:rsid w:val="005731CE"/>
    <w:rsid w:val="00573556"/>
    <w:rsid w:val="00573781"/>
    <w:rsid w:val="00573C65"/>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8E3"/>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544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53C"/>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54B4"/>
    <w:rsid w:val="006157C7"/>
    <w:rsid w:val="006161DE"/>
    <w:rsid w:val="006201BE"/>
    <w:rsid w:val="00620FE6"/>
    <w:rsid w:val="006211E3"/>
    <w:rsid w:val="00621A41"/>
    <w:rsid w:val="006243F5"/>
    <w:rsid w:val="00624EB5"/>
    <w:rsid w:val="00624FF8"/>
    <w:rsid w:val="00626DA9"/>
    <w:rsid w:val="00626F4E"/>
    <w:rsid w:val="006272D8"/>
    <w:rsid w:val="006303F7"/>
    <w:rsid w:val="006306D8"/>
    <w:rsid w:val="00631E87"/>
    <w:rsid w:val="00632BC8"/>
    <w:rsid w:val="00632CBA"/>
    <w:rsid w:val="006336E6"/>
    <w:rsid w:val="00634000"/>
    <w:rsid w:val="00634088"/>
    <w:rsid w:val="00634165"/>
    <w:rsid w:val="006354D2"/>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56D"/>
    <w:rsid w:val="00667CEB"/>
    <w:rsid w:val="00667FA5"/>
    <w:rsid w:val="00670741"/>
    <w:rsid w:val="0067152F"/>
    <w:rsid w:val="00671B13"/>
    <w:rsid w:val="00671D38"/>
    <w:rsid w:val="006722F3"/>
    <w:rsid w:val="0067269D"/>
    <w:rsid w:val="00675D24"/>
    <w:rsid w:val="00676BD5"/>
    <w:rsid w:val="006817AD"/>
    <w:rsid w:val="0068308C"/>
    <w:rsid w:val="00684097"/>
    <w:rsid w:val="006870EE"/>
    <w:rsid w:val="006875C7"/>
    <w:rsid w:val="00690C97"/>
    <w:rsid w:val="00691569"/>
    <w:rsid w:val="006918AA"/>
    <w:rsid w:val="00691D18"/>
    <w:rsid w:val="00692EF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0F6A"/>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731"/>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4EA0"/>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6CAA"/>
    <w:rsid w:val="00717328"/>
    <w:rsid w:val="007177B5"/>
    <w:rsid w:val="007177FD"/>
    <w:rsid w:val="00720377"/>
    <w:rsid w:val="00720B11"/>
    <w:rsid w:val="00721C10"/>
    <w:rsid w:val="00722CCE"/>
    <w:rsid w:val="00723160"/>
    <w:rsid w:val="007240EC"/>
    <w:rsid w:val="007243C9"/>
    <w:rsid w:val="00724971"/>
    <w:rsid w:val="00724E90"/>
    <w:rsid w:val="007252F3"/>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08"/>
    <w:rsid w:val="007428A3"/>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77205"/>
    <w:rsid w:val="007804B7"/>
    <w:rsid w:val="00780F7F"/>
    <w:rsid w:val="00781110"/>
    <w:rsid w:val="00781452"/>
    <w:rsid w:val="00784424"/>
    <w:rsid w:val="00785C0D"/>
    <w:rsid w:val="00785EE1"/>
    <w:rsid w:val="00790D02"/>
    <w:rsid w:val="007920B1"/>
    <w:rsid w:val="0079282B"/>
    <w:rsid w:val="00793175"/>
    <w:rsid w:val="00793660"/>
    <w:rsid w:val="0079446A"/>
    <w:rsid w:val="0079548B"/>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929"/>
    <w:rsid w:val="007B3D34"/>
    <w:rsid w:val="007B42ED"/>
    <w:rsid w:val="007B5740"/>
    <w:rsid w:val="007B5B41"/>
    <w:rsid w:val="007B5BA2"/>
    <w:rsid w:val="007B5C09"/>
    <w:rsid w:val="007B5C1B"/>
    <w:rsid w:val="007B6A11"/>
    <w:rsid w:val="007B7355"/>
    <w:rsid w:val="007B7EAE"/>
    <w:rsid w:val="007C0DA8"/>
    <w:rsid w:val="007C0F9B"/>
    <w:rsid w:val="007C0FC7"/>
    <w:rsid w:val="007C298F"/>
    <w:rsid w:val="007C301D"/>
    <w:rsid w:val="007C393E"/>
    <w:rsid w:val="007C3B46"/>
    <w:rsid w:val="007C4492"/>
    <w:rsid w:val="007C6125"/>
    <w:rsid w:val="007C6985"/>
    <w:rsid w:val="007C7FEC"/>
    <w:rsid w:val="007D189D"/>
    <w:rsid w:val="007D1A84"/>
    <w:rsid w:val="007D2560"/>
    <w:rsid w:val="007D2957"/>
    <w:rsid w:val="007D68B6"/>
    <w:rsid w:val="007D6F1C"/>
    <w:rsid w:val="007E152B"/>
    <w:rsid w:val="007E1D16"/>
    <w:rsid w:val="007E273F"/>
    <w:rsid w:val="007E28DC"/>
    <w:rsid w:val="007E350C"/>
    <w:rsid w:val="007E3671"/>
    <w:rsid w:val="007E3EBE"/>
    <w:rsid w:val="007E46DC"/>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3E44"/>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163E"/>
    <w:rsid w:val="00832803"/>
    <w:rsid w:val="00832D93"/>
    <w:rsid w:val="00833D65"/>
    <w:rsid w:val="008340D3"/>
    <w:rsid w:val="0083501F"/>
    <w:rsid w:val="0083552B"/>
    <w:rsid w:val="00836AC9"/>
    <w:rsid w:val="00836E49"/>
    <w:rsid w:val="00837B74"/>
    <w:rsid w:val="008400AC"/>
    <w:rsid w:val="0084043C"/>
    <w:rsid w:val="008404D1"/>
    <w:rsid w:val="00840AFC"/>
    <w:rsid w:val="00841AAD"/>
    <w:rsid w:val="00841DFF"/>
    <w:rsid w:val="00842445"/>
    <w:rsid w:val="008426EC"/>
    <w:rsid w:val="00843ABC"/>
    <w:rsid w:val="00844712"/>
    <w:rsid w:val="00845B66"/>
    <w:rsid w:val="00845D8F"/>
    <w:rsid w:val="00846A8F"/>
    <w:rsid w:val="00850F3E"/>
    <w:rsid w:val="0085191B"/>
    <w:rsid w:val="00852C05"/>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AAF"/>
    <w:rsid w:val="00864BBA"/>
    <w:rsid w:val="00865E6C"/>
    <w:rsid w:val="00867D59"/>
    <w:rsid w:val="00867E21"/>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AE3"/>
    <w:rsid w:val="00883B6B"/>
    <w:rsid w:val="00884080"/>
    <w:rsid w:val="00884B4D"/>
    <w:rsid w:val="0088528E"/>
    <w:rsid w:val="00885E34"/>
    <w:rsid w:val="008862A6"/>
    <w:rsid w:val="00887937"/>
    <w:rsid w:val="008879DA"/>
    <w:rsid w:val="00887DBB"/>
    <w:rsid w:val="00887F76"/>
    <w:rsid w:val="008900CE"/>
    <w:rsid w:val="008911F6"/>
    <w:rsid w:val="0089121D"/>
    <w:rsid w:val="00891640"/>
    <w:rsid w:val="008919A4"/>
    <w:rsid w:val="00892170"/>
    <w:rsid w:val="00892F48"/>
    <w:rsid w:val="008932A0"/>
    <w:rsid w:val="00893655"/>
    <w:rsid w:val="008961C1"/>
    <w:rsid w:val="008969B0"/>
    <w:rsid w:val="008970D7"/>
    <w:rsid w:val="008A271E"/>
    <w:rsid w:val="008A31D5"/>
    <w:rsid w:val="008A503B"/>
    <w:rsid w:val="008A5115"/>
    <w:rsid w:val="008A5185"/>
    <w:rsid w:val="008A5626"/>
    <w:rsid w:val="008A58CE"/>
    <w:rsid w:val="008A6950"/>
    <w:rsid w:val="008A71C0"/>
    <w:rsid w:val="008A7838"/>
    <w:rsid w:val="008B078C"/>
    <w:rsid w:val="008B2425"/>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09FA"/>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09F8"/>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1DCB"/>
    <w:rsid w:val="00912200"/>
    <w:rsid w:val="00912C9E"/>
    <w:rsid w:val="009132F3"/>
    <w:rsid w:val="0091337E"/>
    <w:rsid w:val="00913AC6"/>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A7"/>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2B03"/>
    <w:rsid w:val="009638D7"/>
    <w:rsid w:val="00963FDF"/>
    <w:rsid w:val="00965572"/>
    <w:rsid w:val="00966F66"/>
    <w:rsid w:val="00966FBA"/>
    <w:rsid w:val="00967662"/>
    <w:rsid w:val="0097015B"/>
    <w:rsid w:val="009715CA"/>
    <w:rsid w:val="00971C38"/>
    <w:rsid w:val="0097213E"/>
    <w:rsid w:val="0097321C"/>
    <w:rsid w:val="00974797"/>
    <w:rsid w:val="00975403"/>
    <w:rsid w:val="00975BA9"/>
    <w:rsid w:val="00975DDD"/>
    <w:rsid w:val="00977271"/>
    <w:rsid w:val="0097746A"/>
    <w:rsid w:val="00980036"/>
    <w:rsid w:val="00980342"/>
    <w:rsid w:val="00981224"/>
    <w:rsid w:val="00983459"/>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65B6"/>
    <w:rsid w:val="009B72C4"/>
    <w:rsid w:val="009C067D"/>
    <w:rsid w:val="009C0C33"/>
    <w:rsid w:val="009C1908"/>
    <w:rsid w:val="009C1A30"/>
    <w:rsid w:val="009C268C"/>
    <w:rsid w:val="009C348D"/>
    <w:rsid w:val="009C3513"/>
    <w:rsid w:val="009C501B"/>
    <w:rsid w:val="009C6170"/>
    <w:rsid w:val="009C74A5"/>
    <w:rsid w:val="009D0185"/>
    <w:rsid w:val="009D0222"/>
    <w:rsid w:val="009D0C4D"/>
    <w:rsid w:val="009D0DA1"/>
    <w:rsid w:val="009D1CEF"/>
    <w:rsid w:val="009D2C79"/>
    <w:rsid w:val="009D34C0"/>
    <w:rsid w:val="009D3CA2"/>
    <w:rsid w:val="009D46E5"/>
    <w:rsid w:val="009D5946"/>
    <w:rsid w:val="009E0AC6"/>
    <w:rsid w:val="009E0B41"/>
    <w:rsid w:val="009E1EA4"/>
    <w:rsid w:val="009E23E4"/>
    <w:rsid w:val="009E31EF"/>
    <w:rsid w:val="009E4593"/>
    <w:rsid w:val="009E4E86"/>
    <w:rsid w:val="009E5CA6"/>
    <w:rsid w:val="009E6DA1"/>
    <w:rsid w:val="009E7B1E"/>
    <w:rsid w:val="009E7D07"/>
    <w:rsid w:val="009F060C"/>
    <w:rsid w:val="009F096B"/>
    <w:rsid w:val="009F0F7A"/>
    <w:rsid w:val="009F1FA7"/>
    <w:rsid w:val="009F215E"/>
    <w:rsid w:val="009F3761"/>
    <w:rsid w:val="009F3BDF"/>
    <w:rsid w:val="009F4CA7"/>
    <w:rsid w:val="009F620F"/>
    <w:rsid w:val="009F7F26"/>
    <w:rsid w:val="00A00519"/>
    <w:rsid w:val="00A01634"/>
    <w:rsid w:val="00A039C6"/>
    <w:rsid w:val="00A03F51"/>
    <w:rsid w:val="00A04419"/>
    <w:rsid w:val="00A0462D"/>
    <w:rsid w:val="00A04992"/>
    <w:rsid w:val="00A06052"/>
    <w:rsid w:val="00A064FC"/>
    <w:rsid w:val="00A06FBD"/>
    <w:rsid w:val="00A07542"/>
    <w:rsid w:val="00A107A5"/>
    <w:rsid w:val="00A10CA9"/>
    <w:rsid w:val="00A10CE7"/>
    <w:rsid w:val="00A12A11"/>
    <w:rsid w:val="00A12CF5"/>
    <w:rsid w:val="00A13D6C"/>
    <w:rsid w:val="00A14845"/>
    <w:rsid w:val="00A15B5A"/>
    <w:rsid w:val="00A1696C"/>
    <w:rsid w:val="00A16F11"/>
    <w:rsid w:val="00A1763A"/>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38B"/>
    <w:rsid w:val="00A37B33"/>
    <w:rsid w:val="00A409A4"/>
    <w:rsid w:val="00A4191E"/>
    <w:rsid w:val="00A4253D"/>
    <w:rsid w:val="00A42A6B"/>
    <w:rsid w:val="00A42A81"/>
    <w:rsid w:val="00A440AB"/>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36EB"/>
    <w:rsid w:val="00A642A6"/>
    <w:rsid w:val="00A64EB2"/>
    <w:rsid w:val="00A65D0F"/>
    <w:rsid w:val="00A65D7A"/>
    <w:rsid w:val="00A66836"/>
    <w:rsid w:val="00A66D79"/>
    <w:rsid w:val="00A718FA"/>
    <w:rsid w:val="00A7265B"/>
    <w:rsid w:val="00A72E13"/>
    <w:rsid w:val="00A733D7"/>
    <w:rsid w:val="00A755DE"/>
    <w:rsid w:val="00A75E1A"/>
    <w:rsid w:val="00A763AE"/>
    <w:rsid w:val="00A7650D"/>
    <w:rsid w:val="00A76C6D"/>
    <w:rsid w:val="00A778EA"/>
    <w:rsid w:val="00A81454"/>
    <w:rsid w:val="00A831D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BB4"/>
    <w:rsid w:val="00AB3F6D"/>
    <w:rsid w:val="00AB6C35"/>
    <w:rsid w:val="00AB70A4"/>
    <w:rsid w:val="00AC071F"/>
    <w:rsid w:val="00AC1379"/>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38"/>
    <w:rsid w:val="00AD2980"/>
    <w:rsid w:val="00AD2A09"/>
    <w:rsid w:val="00AD5BDC"/>
    <w:rsid w:val="00AD6F90"/>
    <w:rsid w:val="00AD775B"/>
    <w:rsid w:val="00AD77D3"/>
    <w:rsid w:val="00AD7C90"/>
    <w:rsid w:val="00AE0B3F"/>
    <w:rsid w:val="00AE110A"/>
    <w:rsid w:val="00AE15EE"/>
    <w:rsid w:val="00AE2AEE"/>
    <w:rsid w:val="00AE33C1"/>
    <w:rsid w:val="00AE3B24"/>
    <w:rsid w:val="00AE3D64"/>
    <w:rsid w:val="00AE4993"/>
    <w:rsid w:val="00AE59FB"/>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07A72"/>
    <w:rsid w:val="00B105F7"/>
    <w:rsid w:val="00B10ECF"/>
    <w:rsid w:val="00B117F9"/>
    <w:rsid w:val="00B11E4B"/>
    <w:rsid w:val="00B12AC5"/>
    <w:rsid w:val="00B143DF"/>
    <w:rsid w:val="00B14409"/>
    <w:rsid w:val="00B1524C"/>
    <w:rsid w:val="00B176FE"/>
    <w:rsid w:val="00B2170B"/>
    <w:rsid w:val="00B21828"/>
    <w:rsid w:val="00B21E1C"/>
    <w:rsid w:val="00B23A7D"/>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75"/>
    <w:rsid w:val="00B430AD"/>
    <w:rsid w:val="00B43524"/>
    <w:rsid w:val="00B43FD3"/>
    <w:rsid w:val="00B441CC"/>
    <w:rsid w:val="00B45B8D"/>
    <w:rsid w:val="00B4687B"/>
    <w:rsid w:val="00B472E7"/>
    <w:rsid w:val="00B477EF"/>
    <w:rsid w:val="00B500C7"/>
    <w:rsid w:val="00B5303C"/>
    <w:rsid w:val="00B558BA"/>
    <w:rsid w:val="00B56497"/>
    <w:rsid w:val="00B573A2"/>
    <w:rsid w:val="00B61F50"/>
    <w:rsid w:val="00B62376"/>
    <w:rsid w:val="00B63C0F"/>
    <w:rsid w:val="00B63CE9"/>
    <w:rsid w:val="00B66383"/>
    <w:rsid w:val="00B66678"/>
    <w:rsid w:val="00B66D55"/>
    <w:rsid w:val="00B66ED0"/>
    <w:rsid w:val="00B703E2"/>
    <w:rsid w:val="00B71432"/>
    <w:rsid w:val="00B719EE"/>
    <w:rsid w:val="00B72844"/>
    <w:rsid w:val="00B72900"/>
    <w:rsid w:val="00B72C29"/>
    <w:rsid w:val="00B730BB"/>
    <w:rsid w:val="00B75E75"/>
    <w:rsid w:val="00B76F37"/>
    <w:rsid w:val="00B770F8"/>
    <w:rsid w:val="00B77F93"/>
    <w:rsid w:val="00B81004"/>
    <w:rsid w:val="00B8244E"/>
    <w:rsid w:val="00B82858"/>
    <w:rsid w:val="00B828B6"/>
    <w:rsid w:val="00B855BA"/>
    <w:rsid w:val="00B85756"/>
    <w:rsid w:val="00B86C3B"/>
    <w:rsid w:val="00B86E93"/>
    <w:rsid w:val="00B870E5"/>
    <w:rsid w:val="00B91122"/>
    <w:rsid w:val="00B91476"/>
    <w:rsid w:val="00B9347E"/>
    <w:rsid w:val="00B93837"/>
    <w:rsid w:val="00B93FB3"/>
    <w:rsid w:val="00B947D5"/>
    <w:rsid w:val="00B96C65"/>
    <w:rsid w:val="00B976BE"/>
    <w:rsid w:val="00B97FF8"/>
    <w:rsid w:val="00BA07B3"/>
    <w:rsid w:val="00BA0F66"/>
    <w:rsid w:val="00BA11BB"/>
    <w:rsid w:val="00BA1FDC"/>
    <w:rsid w:val="00BA2938"/>
    <w:rsid w:val="00BA3204"/>
    <w:rsid w:val="00BA36D1"/>
    <w:rsid w:val="00BA556B"/>
    <w:rsid w:val="00BA587A"/>
    <w:rsid w:val="00BA610C"/>
    <w:rsid w:val="00BB12B3"/>
    <w:rsid w:val="00BB1DE2"/>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B10"/>
    <w:rsid w:val="00BD4D0C"/>
    <w:rsid w:val="00BD563F"/>
    <w:rsid w:val="00BD6116"/>
    <w:rsid w:val="00BE0BD9"/>
    <w:rsid w:val="00BE1CE7"/>
    <w:rsid w:val="00BE1EF1"/>
    <w:rsid w:val="00BE2594"/>
    <w:rsid w:val="00BE26F1"/>
    <w:rsid w:val="00BE4AAB"/>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3809"/>
    <w:rsid w:val="00BF3822"/>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19AC"/>
    <w:rsid w:val="00C11D3D"/>
    <w:rsid w:val="00C120C1"/>
    <w:rsid w:val="00C137F2"/>
    <w:rsid w:val="00C14E1D"/>
    <w:rsid w:val="00C16133"/>
    <w:rsid w:val="00C16F70"/>
    <w:rsid w:val="00C17217"/>
    <w:rsid w:val="00C175CD"/>
    <w:rsid w:val="00C17733"/>
    <w:rsid w:val="00C21149"/>
    <w:rsid w:val="00C221BD"/>
    <w:rsid w:val="00C2229F"/>
    <w:rsid w:val="00C2359B"/>
    <w:rsid w:val="00C23C9C"/>
    <w:rsid w:val="00C24395"/>
    <w:rsid w:val="00C24F1D"/>
    <w:rsid w:val="00C259E7"/>
    <w:rsid w:val="00C25A42"/>
    <w:rsid w:val="00C26738"/>
    <w:rsid w:val="00C2676B"/>
    <w:rsid w:val="00C26810"/>
    <w:rsid w:val="00C307CE"/>
    <w:rsid w:val="00C3190D"/>
    <w:rsid w:val="00C3298F"/>
    <w:rsid w:val="00C3404F"/>
    <w:rsid w:val="00C34075"/>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1D4A"/>
    <w:rsid w:val="00C624D8"/>
    <w:rsid w:val="00C626B1"/>
    <w:rsid w:val="00C62D2F"/>
    <w:rsid w:val="00C62E09"/>
    <w:rsid w:val="00C63193"/>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35FB"/>
    <w:rsid w:val="00C846B1"/>
    <w:rsid w:val="00C84BD0"/>
    <w:rsid w:val="00C8550E"/>
    <w:rsid w:val="00C85A38"/>
    <w:rsid w:val="00C85B68"/>
    <w:rsid w:val="00C86A19"/>
    <w:rsid w:val="00C9049D"/>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488"/>
    <w:rsid w:val="00CA4EFF"/>
    <w:rsid w:val="00CA53CE"/>
    <w:rsid w:val="00CA5B86"/>
    <w:rsid w:val="00CB2E00"/>
    <w:rsid w:val="00CB31D2"/>
    <w:rsid w:val="00CB4069"/>
    <w:rsid w:val="00CB5042"/>
    <w:rsid w:val="00CB545E"/>
    <w:rsid w:val="00CB58C3"/>
    <w:rsid w:val="00CB6B4A"/>
    <w:rsid w:val="00CB758D"/>
    <w:rsid w:val="00CB7A0D"/>
    <w:rsid w:val="00CC13D4"/>
    <w:rsid w:val="00CC3F51"/>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73A"/>
    <w:rsid w:val="00CE2AB5"/>
    <w:rsid w:val="00CE471D"/>
    <w:rsid w:val="00CE4A0B"/>
    <w:rsid w:val="00CE6D54"/>
    <w:rsid w:val="00CE6F95"/>
    <w:rsid w:val="00CF061B"/>
    <w:rsid w:val="00CF0D21"/>
    <w:rsid w:val="00CF0E9F"/>
    <w:rsid w:val="00CF0FEA"/>
    <w:rsid w:val="00CF12AE"/>
    <w:rsid w:val="00CF1DB8"/>
    <w:rsid w:val="00CF22D9"/>
    <w:rsid w:val="00CF2301"/>
    <w:rsid w:val="00CF6C2B"/>
    <w:rsid w:val="00CF71D9"/>
    <w:rsid w:val="00D00601"/>
    <w:rsid w:val="00D01436"/>
    <w:rsid w:val="00D028C8"/>
    <w:rsid w:val="00D02FA8"/>
    <w:rsid w:val="00D02FAE"/>
    <w:rsid w:val="00D03120"/>
    <w:rsid w:val="00D03A3C"/>
    <w:rsid w:val="00D04006"/>
    <w:rsid w:val="00D04686"/>
    <w:rsid w:val="00D05B8F"/>
    <w:rsid w:val="00D064D4"/>
    <w:rsid w:val="00D10557"/>
    <w:rsid w:val="00D10647"/>
    <w:rsid w:val="00D1102E"/>
    <w:rsid w:val="00D11CB6"/>
    <w:rsid w:val="00D12038"/>
    <w:rsid w:val="00D124B3"/>
    <w:rsid w:val="00D12CCA"/>
    <w:rsid w:val="00D13275"/>
    <w:rsid w:val="00D15B74"/>
    <w:rsid w:val="00D1660D"/>
    <w:rsid w:val="00D166D9"/>
    <w:rsid w:val="00D16AE3"/>
    <w:rsid w:val="00D20847"/>
    <w:rsid w:val="00D22260"/>
    <w:rsid w:val="00D24700"/>
    <w:rsid w:val="00D247FD"/>
    <w:rsid w:val="00D24A42"/>
    <w:rsid w:val="00D2535D"/>
    <w:rsid w:val="00D25C49"/>
    <w:rsid w:val="00D25CD8"/>
    <w:rsid w:val="00D26C0F"/>
    <w:rsid w:val="00D26D7A"/>
    <w:rsid w:val="00D2754C"/>
    <w:rsid w:val="00D30055"/>
    <w:rsid w:val="00D30DAF"/>
    <w:rsid w:val="00D31D0D"/>
    <w:rsid w:val="00D31F6C"/>
    <w:rsid w:val="00D3262A"/>
    <w:rsid w:val="00D33852"/>
    <w:rsid w:val="00D339D1"/>
    <w:rsid w:val="00D33D33"/>
    <w:rsid w:val="00D348E4"/>
    <w:rsid w:val="00D35203"/>
    <w:rsid w:val="00D36D46"/>
    <w:rsid w:val="00D379EC"/>
    <w:rsid w:val="00D37FEA"/>
    <w:rsid w:val="00D40138"/>
    <w:rsid w:val="00D4130A"/>
    <w:rsid w:val="00D41900"/>
    <w:rsid w:val="00D41D8A"/>
    <w:rsid w:val="00D427DF"/>
    <w:rsid w:val="00D43749"/>
    <w:rsid w:val="00D44880"/>
    <w:rsid w:val="00D44AE7"/>
    <w:rsid w:val="00D44CCD"/>
    <w:rsid w:val="00D4605E"/>
    <w:rsid w:val="00D5006E"/>
    <w:rsid w:val="00D5078A"/>
    <w:rsid w:val="00D50962"/>
    <w:rsid w:val="00D51346"/>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3C0"/>
    <w:rsid w:val="00D643D9"/>
    <w:rsid w:val="00D64ADB"/>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9FC"/>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D95"/>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E7617"/>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B9F"/>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47C90"/>
    <w:rsid w:val="00E51A9F"/>
    <w:rsid w:val="00E51C71"/>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78F"/>
    <w:rsid w:val="00E61830"/>
    <w:rsid w:val="00E61B94"/>
    <w:rsid w:val="00E62026"/>
    <w:rsid w:val="00E628A7"/>
    <w:rsid w:val="00E6306E"/>
    <w:rsid w:val="00E63656"/>
    <w:rsid w:val="00E639AA"/>
    <w:rsid w:val="00E65E27"/>
    <w:rsid w:val="00E73CB7"/>
    <w:rsid w:val="00E74035"/>
    <w:rsid w:val="00E74070"/>
    <w:rsid w:val="00E759ED"/>
    <w:rsid w:val="00E76C17"/>
    <w:rsid w:val="00E77913"/>
    <w:rsid w:val="00E77EB6"/>
    <w:rsid w:val="00E8050D"/>
    <w:rsid w:val="00E809A6"/>
    <w:rsid w:val="00E80B0C"/>
    <w:rsid w:val="00E825BE"/>
    <w:rsid w:val="00E83156"/>
    <w:rsid w:val="00E853D7"/>
    <w:rsid w:val="00E853DC"/>
    <w:rsid w:val="00E8576D"/>
    <w:rsid w:val="00E859D9"/>
    <w:rsid w:val="00E85A10"/>
    <w:rsid w:val="00E8712C"/>
    <w:rsid w:val="00E908BC"/>
    <w:rsid w:val="00E90986"/>
    <w:rsid w:val="00E90E54"/>
    <w:rsid w:val="00E91079"/>
    <w:rsid w:val="00E914B0"/>
    <w:rsid w:val="00E924D4"/>
    <w:rsid w:val="00E9274F"/>
    <w:rsid w:val="00E940EF"/>
    <w:rsid w:val="00E94351"/>
    <w:rsid w:val="00E94C3C"/>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15A0"/>
    <w:rsid w:val="00EC37DC"/>
    <w:rsid w:val="00EC40B1"/>
    <w:rsid w:val="00EC40BA"/>
    <w:rsid w:val="00EC587E"/>
    <w:rsid w:val="00EC590B"/>
    <w:rsid w:val="00EC60F1"/>
    <w:rsid w:val="00EC629A"/>
    <w:rsid w:val="00EC6346"/>
    <w:rsid w:val="00EC639E"/>
    <w:rsid w:val="00EC65C3"/>
    <w:rsid w:val="00ED0147"/>
    <w:rsid w:val="00ED0DBD"/>
    <w:rsid w:val="00ED0E97"/>
    <w:rsid w:val="00ED1702"/>
    <w:rsid w:val="00ED218A"/>
    <w:rsid w:val="00ED237F"/>
    <w:rsid w:val="00ED2A07"/>
    <w:rsid w:val="00ED2C8E"/>
    <w:rsid w:val="00ED2DED"/>
    <w:rsid w:val="00ED3292"/>
    <w:rsid w:val="00ED39A0"/>
    <w:rsid w:val="00ED3F78"/>
    <w:rsid w:val="00ED429A"/>
    <w:rsid w:val="00ED4AE1"/>
    <w:rsid w:val="00ED6214"/>
    <w:rsid w:val="00ED6D61"/>
    <w:rsid w:val="00ED7532"/>
    <w:rsid w:val="00EE0F1A"/>
    <w:rsid w:val="00EE12D7"/>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0C4"/>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8EB"/>
    <w:rsid w:val="00F42D71"/>
    <w:rsid w:val="00F43A0A"/>
    <w:rsid w:val="00F43D58"/>
    <w:rsid w:val="00F4527C"/>
    <w:rsid w:val="00F45533"/>
    <w:rsid w:val="00F4584A"/>
    <w:rsid w:val="00F471D3"/>
    <w:rsid w:val="00F472FD"/>
    <w:rsid w:val="00F47AF6"/>
    <w:rsid w:val="00F5098B"/>
    <w:rsid w:val="00F5150D"/>
    <w:rsid w:val="00F51851"/>
    <w:rsid w:val="00F53B1C"/>
    <w:rsid w:val="00F53D9E"/>
    <w:rsid w:val="00F54930"/>
    <w:rsid w:val="00F55DB5"/>
    <w:rsid w:val="00F55F4C"/>
    <w:rsid w:val="00F56C67"/>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765B6"/>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1A0"/>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65B4"/>
    <w:rsid w:val="00FD7DC4"/>
    <w:rsid w:val="00FE0936"/>
    <w:rsid w:val="00FE12CD"/>
    <w:rsid w:val="00FE438D"/>
    <w:rsid w:val="00FE4D88"/>
    <w:rsid w:val="00FE502E"/>
    <w:rsid w:val="00FE5BB0"/>
    <w:rsid w:val="00FE6341"/>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o:shapelayout v:ext="edit">
      <o:idmap v:ext="edit" data="1"/>
    </o:shapelayout>
  </w:shapeDefaults>
  <w:decimalSymbol w:val="."/>
  <w:listSeparator w:val=","/>
  <w14:docId w14:val="47868BEF"/>
  <w15:docId w15:val="{F38C3BE3-7810-4C39-B6B7-A5990194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08"/>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692EF8"/>
    <w:pPr>
      <w:spacing w:after="120"/>
      <w:contextualSpacing/>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56C67"/>
    <w:pPr>
      <w:tabs>
        <w:tab w:val="center" w:pos="4513"/>
        <w:tab w:val="right" w:pos="9026"/>
      </w:tabs>
      <w:spacing w:after="0" w:line="264" w:lineRule="auto"/>
    </w:pPr>
    <w:rPr>
      <w:sz w:val="20"/>
    </w:rPr>
  </w:style>
  <w:style w:type="character" w:customStyle="1" w:styleId="FooterChar">
    <w:name w:val="Footer Char"/>
    <w:link w:val="Footer"/>
    <w:uiPriority w:val="99"/>
    <w:rsid w:val="00F56C6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692EF8"/>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77270434">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880898032">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england.nhs.uk/statistics/statistical-work-areas/winter-daily-sitrep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gov.uk/government/statistics/announ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ealth-ni.gov.uk/articles/emergency-care-and-ambulance-statistic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bit.ly/NHSAQ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ales.gov.uk/statistics-and-research/ambulance-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irc.ahajournals.org/content/110/21/3385" TargetMode="External"/><Relationship Id="rId2" Type="http://schemas.openxmlformats.org/officeDocument/2006/relationships/hyperlink" Target="http://www.england.nhs.uk/urgent-emergency-care/arp" TargetMode="External"/><Relationship Id="rId1" Type="http://schemas.openxmlformats.org/officeDocument/2006/relationships/hyperlink" Target="http://www.gov.uk/government/publications/supplements-to-the-nhs-constitution-for-england" TargetMode="External"/><Relationship Id="rId5" Type="http://schemas.openxmlformats.org/officeDocument/2006/relationships/hyperlink" Target="https://digital.nhs.uk/" TargetMode="External"/><Relationship Id="rId4" Type="http://schemas.openxmlformats.org/officeDocument/2006/relationships/hyperlink" Target="https://digital.nhs.uk/search?q=ka34&amp;s=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12CB-93D4-4B3A-B3F8-BFD99776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1640</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11521</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Ian Kay</cp:lastModifiedBy>
  <cp:revision>5</cp:revision>
  <cp:lastPrinted>2016-09-06T08:48:00Z</cp:lastPrinted>
  <dcterms:created xsi:type="dcterms:W3CDTF">2018-03-06T13:21:00Z</dcterms:created>
  <dcterms:modified xsi:type="dcterms:W3CDTF">2018-03-07T08:23:00Z</dcterms:modified>
</cp:coreProperties>
</file>