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1E" w:rsidRPr="005800B3" w:rsidRDefault="00B6221E" w:rsidP="00B6221E">
      <w:pPr>
        <w:pStyle w:val="NoSpacing"/>
        <w:jc w:val="center"/>
        <w:rPr>
          <w:sz w:val="24"/>
          <w:szCs w:val="24"/>
          <w:u w:val="single"/>
        </w:rPr>
      </w:pPr>
      <w:r w:rsidRPr="005800B3">
        <w:rPr>
          <w:sz w:val="24"/>
          <w:szCs w:val="24"/>
          <w:u w:val="single"/>
        </w:rPr>
        <w:t>Changes to Reporting Delayed Tr</w:t>
      </w:r>
      <w:r w:rsidR="005800B3" w:rsidRPr="005800B3">
        <w:rPr>
          <w:sz w:val="24"/>
          <w:szCs w:val="24"/>
          <w:u w:val="single"/>
        </w:rPr>
        <w:t xml:space="preserve">ansfers of Care in Unify and Mental </w:t>
      </w:r>
      <w:r w:rsidR="005800B3" w:rsidRPr="00BD0AE4">
        <w:rPr>
          <w:sz w:val="24"/>
          <w:szCs w:val="24"/>
          <w:u w:val="single"/>
        </w:rPr>
        <w:t xml:space="preserve">Health Services Data </w:t>
      </w:r>
      <w:r w:rsidR="005800B3" w:rsidRPr="005800B3">
        <w:rPr>
          <w:sz w:val="24"/>
          <w:szCs w:val="24"/>
          <w:u w:val="single"/>
        </w:rPr>
        <w:t>Set</w:t>
      </w:r>
    </w:p>
    <w:p w:rsidR="005800B3" w:rsidRDefault="005800B3" w:rsidP="00B6221E">
      <w:pPr>
        <w:pStyle w:val="NoSpacing"/>
        <w:jc w:val="center"/>
        <w:rPr>
          <w:sz w:val="24"/>
          <w:szCs w:val="24"/>
          <w:u w:val="single"/>
        </w:rPr>
      </w:pPr>
    </w:p>
    <w:p w:rsidR="00FF1BF2" w:rsidRPr="005800B3" w:rsidRDefault="00B6221E" w:rsidP="00B6221E">
      <w:pPr>
        <w:pStyle w:val="NoSpacing"/>
        <w:jc w:val="center"/>
        <w:rPr>
          <w:sz w:val="24"/>
          <w:szCs w:val="24"/>
          <w:u w:val="single"/>
        </w:rPr>
      </w:pPr>
      <w:r w:rsidRPr="005800B3">
        <w:rPr>
          <w:sz w:val="24"/>
          <w:szCs w:val="24"/>
          <w:u w:val="single"/>
        </w:rPr>
        <w:t>Guidance to Providers</w:t>
      </w:r>
    </w:p>
    <w:p w:rsidR="00B6221E" w:rsidRDefault="00B6221E" w:rsidP="00B6221E">
      <w:pPr>
        <w:pStyle w:val="NoSpacing"/>
        <w:jc w:val="center"/>
        <w:rPr>
          <w:sz w:val="28"/>
          <w:szCs w:val="28"/>
          <w:u w:val="single"/>
        </w:rPr>
      </w:pPr>
    </w:p>
    <w:p w:rsidR="00B6221E" w:rsidRDefault="00DC7AF5" w:rsidP="00B6221E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Overview</w:t>
      </w:r>
    </w:p>
    <w:p w:rsidR="00FE5551" w:rsidRPr="00B6221E" w:rsidRDefault="00FE5551" w:rsidP="00B6221E">
      <w:pPr>
        <w:pStyle w:val="NoSpacing"/>
        <w:rPr>
          <w:sz w:val="20"/>
          <w:szCs w:val="20"/>
          <w:u w:val="single"/>
        </w:rPr>
      </w:pPr>
    </w:p>
    <w:p w:rsidR="00A713C3" w:rsidRDefault="00B6221E" w:rsidP="00B6221E">
      <w:pPr>
        <w:pStyle w:val="NoSpacing"/>
        <w:rPr>
          <w:sz w:val="20"/>
          <w:szCs w:val="20"/>
        </w:rPr>
      </w:pPr>
      <w:r w:rsidRPr="00B6221E">
        <w:rPr>
          <w:sz w:val="20"/>
          <w:szCs w:val="20"/>
        </w:rPr>
        <w:t>Delayed transfers of care (DTOCs) for mental health beds should currently be submitted by pro</w:t>
      </w:r>
      <w:r w:rsidR="00F86F69">
        <w:rPr>
          <w:sz w:val="20"/>
          <w:szCs w:val="20"/>
        </w:rPr>
        <w:t xml:space="preserve">viders to both the Unify </w:t>
      </w:r>
      <w:r w:rsidR="008E742C">
        <w:rPr>
          <w:sz w:val="20"/>
          <w:szCs w:val="20"/>
        </w:rPr>
        <w:t xml:space="preserve">collection (run by NHS England) </w:t>
      </w:r>
      <w:r w:rsidR="00F86F69">
        <w:rPr>
          <w:sz w:val="20"/>
          <w:szCs w:val="20"/>
        </w:rPr>
        <w:t>and</w:t>
      </w:r>
      <w:r w:rsidR="00F713AE">
        <w:rPr>
          <w:sz w:val="20"/>
          <w:szCs w:val="20"/>
        </w:rPr>
        <w:t xml:space="preserve"> </w:t>
      </w:r>
      <w:r w:rsidR="008E742C">
        <w:rPr>
          <w:sz w:val="20"/>
          <w:szCs w:val="20"/>
        </w:rPr>
        <w:t xml:space="preserve">the </w:t>
      </w:r>
      <w:r w:rsidR="00F713AE">
        <w:rPr>
          <w:sz w:val="20"/>
          <w:szCs w:val="20"/>
        </w:rPr>
        <w:t xml:space="preserve">Mental </w:t>
      </w:r>
      <w:r w:rsidR="00F713AE" w:rsidRPr="00BD0AE4">
        <w:rPr>
          <w:sz w:val="20"/>
          <w:szCs w:val="20"/>
        </w:rPr>
        <w:t xml:space="preserve">Health Services Data </w:t>
      </w:r>
      <w:r w:rsidR="00F713AE">
        <w:rPr>
          <w:sz w:val="20"/>
          <w:szCs w:val="20"/>
        </w:rPr>
        <w:t>Set</w:t>
      </w:r>
      <w:r w:rsidR="00F86F69">
        <w:rPr>
          <w:sz w:val="20"/>
          <w:szCs w:val="20"/>
        </w:rPr>
        <w:t xml:space="preserve"> </w:t>
      </w:r>
      <w:r w:rsidR="00F713AE">
        <w:rPr>
          <w:sz w:val="20"/>
          <w:szCs w:val="20"/>
        </w:rPr>
        <w:t>(</w:t>
      </w:r>
      <w:r w:rsidR="00F86F69">
        <w:rPr>
          <w:sz w:val="20"/>
          <w:szCs w:val="20"/>
        </w:rPr>
        <w:t>MHS</w:t>
      </w:r>
      <w:r w:rsidRPr="00B6221E">
        <w:rPr>
          <w:sz w:val="20"/>
          <w:szCs w:val="20"/>
        </w:rPr>
        <w:t>DS</w:t>
      </w:r>
      <w:r w:rsidR="00F713AE">
        <w:rPr>
          <w:sz w:val="20"/>
          <w:szCs w:val="20"/>
        </w:rPr>
        <w:t>)</w:t>
      </w:r>
      <w:r w:rsidRPr="00B6221E">
        <w:rPr>
          <w:sz w:val="20"/>
          <w:szCs w:val="20"/>
        </w:rPr>
        <w:t xml:space="preserve"> collection</w:t>
      </w:r>
      <w:r w:rsidR="008E742C">
        <w:rPr>
          <w:sz w:val="20"/>
          <w:szCs w:val="20"/>
        </w:rPr>
        <w:t xml:space="preserve"> (run by NHS Digital)</w:t>
      </w:r>
      <w:r w:rsidRPr="00B6221E">
        <w:rPr>
          <w:sz w:val="20"/>
          <w:szCs w:val="20"/>
        </w:rPr>
        <w:t>.</w:t>
      </w:r>
      <w:r w:rsidR="00DC7AF5">
        <w:rPr>
          <w:sz w:val="20"/>
          <w:szCs w:val="20"/>
        </w:rPr>
        <w:t xml:space="preserve"> </w:t>
      </w:r>
      <w:r w:rsidR="001071A2">
        <w:rPr>
          <w:sz w:val="20"/>
          <w:szCs w:val="20"/>
        </w:rPr>
        <w:t>O</w:t>
      </w:r>
      <w:r w:rsidR="005800B3">
        <w:rPr>
          <w:sz w:val="20"/>
          <w:szCs w:val="20"/>
        </w:rPr>
        <w:t xml:space="preserve">n </w:t>
      </w:r>
      <w:r w:rsidR="001071A2">
        <w:rPr>
          <w:sz w:val="20"/>
          <w:szCs w:val="20"/>
        </w:rPr>
        <w:t>1</w:t>
      </w:r>
      <w:r w:rsidR="001071A2" w:rsidRPr="001071A2">
        <w:rPr>
          <w:sz w:val="20"/>
          <w:szCs w:val="20"/>
          <w:vertAlign w:val="superscript"/>
        </w:rPr>
        <w:t>st</w:t>
      </w:r>
      <w:r w:rsidR="001071A2">
        <w:rPr>
          <w:sz w:val="20"/>
          <w:szCs w:val="20"/>
        </w:rPr>
        <w:t xml:space="preserve"> </w:t>
      </w:r>
      <w:r w:rsidR="005800B3">
        <w:rPr>
          <w:sz w:val="20"/>
          <w:szCs w:val="20"/>
        </w:rPr>
        <w:t>April 2017 MHSDS</w:t>
      </w:r>
      <w:r w:rsidR="00DC7AF5">
        <w:rPr>
          <w:sz w:val="20"/>
          <w:szCs w:val="20"/>
        </w:rPr>
        <w:t xml:space="preserve"> version 2</w:t>
      </w:r>
      <w:r w:rsidR="005800B3">
        <w:rPr>
          <w:sz w:val="20"/>
          <w:szCs w:val="20"/>
        </w:rPr>
        <w:t xml:space="preserve"> goes live which co</w:t>
      </w:r>
      <w:r w:rsidR="00695ADA">
        <w:rPr>
          <w:sz w:val="20"/>
          <w:szCs w:val="20"/>
        </w:rPr>
        <w:t>ntains new reason codes for delay</w:t>
      </w:r>
      <w:r w:rsidR="005800B3">
        <w:rPr>
          <w:sz w:val="20"/>
          <w:szCs w:val="20"/>
        </w:rPr>
        <w:t xml:space="preserve">s and </w:t>
      </w:r>
      <w:r w:rsidR="000455D3">
        <w:rPr>
          <w:sz w:val="20"/>
          <w:szCs w:val="20"/>
        </w:rPr>
        <w:t xml:space="preserve">a new attribution </w:t>
      </w:r>
      <w:r w:rsidR="0013668F">
        <w:rPr>
          <w:sz w:val="20"/>
          <w:szCs w:val="20"/>
        </w:rPr>
        <w:t xml:space="preserve">code for </w:t>
      </w:r>
      <w:r w:rsidR="000455D3">
        <w:rPr>
          <w:sz w:val="20"/>
          <w:szCs w:val="20"/>
        </w:rPr>
        <w:t>‘</w:t>
      </w:r>
      <w:r w:rsidR="0013668F">
        <w:rPr>
          <w:sz w:val="20"/>
          <w:szCs w:val="20"/>
        </w:rPr>
        <w:t>Housing’. This</w:t>
      </w:r>
      <w:r w:rsidR="00E8710D">
        <w:rPr>
          <w:sz w:val="20"/>
          <w:szCs w:val="20"/>
        </w:rPr>
        <w:t xml:space="preserve"> w</w:t>
      </w:r>
      <w:r w:rsidR="00543B70">
        <w:rPr>
          <w:sz w:val="20"/>
          <w:szCs w:val="20"/>
        </w:rPr>
        <w:t xml:space="preserve">ill affect </w:t>
      </w:r>
      <w:r w:rsidR="00695ADA">
        <w:rPr>
          <w:sz w:val="20"/>
          <w:szCs w:val="20"/>
        </w:rPr>
        <w:t xml:space="preserve">providers’ </w:t>
      </w:r>
      <w:r w:rsidR="00543B70">
        <w:rPr>
          <w:sz w:val="20"/>
          <w:szCs w:val="20"/>
        </w:rPr>
        <w:t>data submissions for</w:t>
      </w:r>
      <w:r w:rsidR="00E8710D">
        <w:rPr>
          <w:sz w:val="20"/>
          <w:szCs w:val="20"/>
        </w:rPr>
        <w:t xml:space="preserve"> April’</w:t>
      </w:r>
      <w:r w:rsidR="00543B70">
        <w:rPr>
          <w:sz w:val="20"/>
          <w:szCs w:val="20"/>
        </w:rPr>
        <w:t xml:space="preserve">s data onwards. </w:t>
      </w:r>
      <w:r w:rsidR="005800B3">
        <w:rPr>
          <w:sz w:val="20"/>
          <w:szCs w:val="20"/>
        </w:rPr>
        <w:t xml:space="preserve">The long-term plan is that eventually mental health delays can stop being submitted to Unify and will only </w:t>
      </w:r>
      <w:r w:rsidR="000455D3">
        <w:rPr>
          <w:sz w:val="20"/>
          <w:szCs w:val="20"/>
        </w:rPr>
        <w:t>need to be submitted to the</w:t>
      </w:r>
      <w:r w:rsidR="001071A2">
        <w:rPr>
          <w:sz w:val="20"/>
          <w:szCs w:val="20"/>
        </w:rPr>
        <w:t xml:space="preserve"> </w:t>
      </w:r>
      <w:r w:rsidR="005800B3">
        <w:rPr>
          <w:sz w:val="20"/>
          <w:szCs w:val="20"/>
        </w:rPr>
        <w:t xml:space="preserve">MHSDS. </w:t>
      </w:r>
      <w:r w:rsidR="00543B70">
        <w:rPr>
          <w:sz w:val="20"/>
          <w:szCs w:val="20"/>
        </w:rPr>
        <w:t xml:space="preserve">This will result in at least a 20% reduction in the </w:t>
      </w:r>
      <w:r w:rsidR="008E742C">
        <w:rPr>
          <w:sz w:val="20"/>
          <w:szCs w:val="20"/>
        </w:rPr>
        <w:t xml:space="preserve">overall level of </w:t>
      </w:r>
      <w:r w:rsidR="00543B70">
        <w:rPr>
          <w:sz w:val="20"/>
          <w:szCs w:val="20"/>
        </w:rPr>
        <w:t>delays recorded in Unify</w:t>
      </w:r>
      <w:r w:rsidR="008E742C">
        <w:rPr>
          <w:sz w:val="20"/>
          <w:szCs w:val="20"/>
        </w:rPr>
        <w:t>, as this collection currently includes physical as well as mental health</w:t>
      </w:r>
      <w:r w:rsidR="00543B70">
        <w:rPr>
          <w:sz w:val="20"/>
          <w:szCs w:val="20"/>
        </w:rPr>
        <w:t>.</w:t>
      </w:r>
      <w:r w:rsidR="008472DE">
        <w:rPr>
          <w:sz w:val="20"/>
          <w:szCs w:val="20"/>
        </w:rPr>
        <w:t xml:space="preserve"> </w:t>
      </w:r>
    </w:p>
    <w:p w:rsidR="00A713C3" w:rsidRDefault="00A713C3" w:rsidP="00B6221E">
      <w:pPr>
        <w:pStyle w:val="NoSpacing"/>
        <w:rPr>
          <w:sz w:val="20"/>
          <w:szCs w:val="20"/>
        </w:rPr>
      </w:pPr>
    </w:p>
    <w:p w:rsidR="00DE2490" w:rsidRDefault="008472DE" w:rsidP="00B6221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reason for moving mental health delays</w:t>
      </w:r>
      <w:r w:rsidR="000455D3">
        <w:rPr>
          <w:sz w:val="20"/>
          <w:szCs w:val="20"/>
        </w:rPr>
        <w:t xml:space="preserve"> from the scope of the Unify collection and solely to the MHSDS for official </w:t>
      </w:r>
      <w:r w:rsidR="0013668F">
        <w:rPr>
          <w:sz w:val="20"/>
          <w:szCs w:val="20"/>
        </w:rPr>
        <w:t xml:space="preserve">reporting </w:t>
      </w:r>
      <w:r w:rsidR="00A713C3">
        <w:rPr>
          <w:sz w:val="20"/>
          <w:szCs w:val="20"/>
        </w:rPr>
        <w:t>is to en</w:t>
      </w:r>
      <w:r>
        <w:rPr>
          <w:sz w:val="20"/>
          <w:szCs w:val="20"/>
        </w:rPr>
        <w:t xml:space="preserve">sure the data collected </w:t>
      </w:r>
      <w:r w:rsidR="008E742C">
        <w:rPr>
          <w:sz w:val="20"/>
          <w:szCs w:val="20"/>
        </w:rPr>
        <w:t xml:space="preserve">is </w:t>
      </w:r>
      <w:r>
        <w:rPr>
          <w:sz w:val="20"/>
          <w:szCs w:val="20"/>
        </w:rPr>
        <w:t>more specific</w:t>
      </w:r>
      <w:r w:rsidR="008E742C">
        <w:rPr>
          <w:sz w:val="20"/>
          <w:szCs w:val="20"/>
        </w:rPr>
        <w:t xml:space="preserve"> t</w:t>
      </w:r>
      <w:r w:rsidR="00366C3A">
        <w:rPr>
          <w:sz w:val="20"/>
          <w:szCs w:val="20"/>
        </w:rPr>
        <w:t>o</w:t>
      </w:r>
      <w:r>
        <w:rPr>
          <w:sz w:val="20"/>
          <w:szCs w:val="20"/>
        </w:rPr>
        <w:t xml:space="preserve"> mental health</w:t>
      </w:r>
      <w:r w:rsidR="008E742C">
        <w:rPr>
          <w:sz w:val="20"/>
          <w:szCs w:val="20"/>
        </w:rPr>
        <w:t>, with the</w:t>
      </w:r>
      <w:r>
        <w:rPr>
          <w:sz w:val="20"/>
          <w:szCs w:val="20"/>
        </w:rPr>
        <w:t xml:space="preserve"> reason codes allowing a better insight into why delays are </w:t>
      </w:r>
      <w:r w:rsidR="00695ADA">
        <w:rPr>
          <w:sz w:val="20"/>
          <w:szCs w:val="20"/>
        </w:rPr>
        <w:t>occurring. The burden on providers will also be reduced once mental health delays no longer need to be submitted to two collections. However, b</w:t>
      </w:r>
      <w:r>
        <w:rPr>
          <w:sz w:val="20"/>
          <w:szCs w:val="20"/>
        </w:rPr>
        <w:t>efore mental health delays can stop being recorded in Unify</w:t>
      </w:r>
      <w:r w:rsidR="005800B3">
        <w:rPr>
          <w:sz w:val="20"/>
          <w:szCs w:val="20"/>
        </w:rPr>
        <w:t xml:space="preserve"> a period of dual running will take place, in which time providers should carry on submitting DTOCs for </w:t>
      </w:r>
      <w:r w:rsidR="008E742C">
        <w:rPr>
          <w:sz w:val="20"/>
          <w:szCs w:val="20"/>
        </w:rPr>
        <w:t xml:space="preserve">patients in </w:t>
      </w:r>
      <w:r w:rsidR="005800B3">
        <w:rPr>
          <w:sz w:val="20"/>
          <w:szCs w:val="20"/>
        </w:rPr>
        <w:t>mental health beds to both Unify and MHSDS</w:t>
      </w:r>
      <w:r w:rsidR="00DC7AF5">
        <w:rPr>
          <w:sz w:val="20"/>
          <w:szCs w:val="20"/>
        </w:rPr>
        <w:t xml:space="preserve">. </w:t>
      </w:r>
      <w:r w:rsidR="00A618AA" w:rsidRPr="00A618AA">
        <w:rPr>
          <w:sz w:val="20"/>
          <w:szCs w:val="20"/>
        </w:rPr>
        <w:t>Although the majority of NHS trusts that provide mental health and learning disability inpatient services are submit</w:t>
      </w:r>
      <w:r w:rsidR="00A618AA">
        <w:rPr>
          <w:sz w:val="20"/>
          <w:szCs w:val="20"/>
        </w:rPr>
        <w:t>ting to</w:t>
      </w:r>
      <w:r w:rsidR="00A618AA" w:rsidRPr="00A618AA">
        <w:rPr>
          <w:sz w:val="20"/>
          <w:szCs w:val="20"/>
        </w:rPr>
        <w:t xml:space="preserve"> MHSDS, approximately 30% of these are not submitting information about DTOCs, so submission rates and coverage will </w:t>
      </w:r>
      <w:r w:rsidR="00DE2490">
        <w:rPr>
          <w:sz w:val="20"/>
          <w:szCs w:val="20"/>
        </w:rPr>
        <w:t>need to increase before mental health delays can stop being submitted to Unify.</w:t>
      </w:r>
    </w:p>
    <w:p w:rsidR="00DE2490" w:rsidRDefault="00DE2490" w:rsidP="00B6221E">
      <w:pPr>
        <w:pStyle w:val="NoSpacing"/>
        <w:rPr>
          <w:sz w:val="20"/>
          <w:szCs w:val="20"/>
        </w:rPr>
      </w:pPr>
    </w:p>
    <w:p w:rsidR="00B6221E" w:rsidRPr="00543B70" w:rsidRDefault="00DC7AF5" w:rsidP="00B6221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This document provides guidance for providers with mental health beds to assist the continued submissions to both Unify and MHSDS once MHSDS v2 goes live</w:t>
      </w:r>
      <w:r w:rsidR="001071A2">
        <w:rPr>
          <w:sz w:val="20"/>
          <w:szCs w:val="20"/>
        </w:rPr>
        <w:t xml:space="preserve"> on 1</w:t>
      </w:r>
      <w:r w:rsidR="001071A2" w:rsidRPr="001071A2">
        <w:rPr>
          <w:sz w:val="20"/>
          <w:szCs w:val="20"/>
          <w:vertAlign w:val="superscript"/>
        </w:rPr>
        <w:t>st</w:t>
      </w:r>
      <w:r w:rsidR="001071A2">
        <w:rPr>
          <w:sz w:val="20"/>
          <w:szCs w:val="20"/>
        </w:rPr>
        <w:t xml:space="preserve"> April 2017</w:t>
      </w:r>
      <w:r>
        <w:rPr>
          <w:sz w:val="20"/>
          <w:szCs w:val="20"/>
        </w:rPr>
        <w:t xml:space="preserve"> </w:t>
      </w:r>
      <w:r w:rsidR="008E742C">
        <w:rPr>
          <w:sz w:val="20"/>
          <w:szCs w:val="20"/>
        </w:rPr>
        <w:t>(</w:t>
      </w:r>
      <w:r>
        <w:rPr>
          <w:sz w:val="20"/>
          <w:szCs w:val="20"/>
        </w:rPr>
        <w:t>and there are changes to reason codes</w:t>
      </w:r>
      <w:r w:rsidR="008E742C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DE2490" w:rsidRPr="00B6221E" w:rsidRDefault="00DE2490" w:rsidP="00B6221E">
      <w:pPr>
        <w:pStyle w:val="NoSpacing"/>
        <w:rPr>
          <w:sz w:val="20"/>
          <w:szCs w:val="20"/>
          <w:u w:val="single"/>
        </w:rPr>
      </w:pPr>
    </w:p>
    <w:p w:rsidR="00B6221E" w:rsidRPr="00B6221E" w:rsidRDefault="00B6221E" w:rsidP="00B6221E">
      <w:pPr>
        <w:pStyle w:val="NoSpacing"/>
        <w:rPr>
          <w:sz w:val="20"/>
          <w:szCs w:val="20"/>
        </w:rPr>
      </w:pPr>
    </w:p>
    <w:p w:rsidR="00B6221E" w:rsidRPr="00F713AE" w:rsidRDefault="00F713AE" w:rsidP="00B6221E">
      <w:pPr>
        <w:pStyle w:val="NoSpacing"/>
        <w:rPr>
          <w:sz w:val="20"/>
          <w:szCs w:val="20"/>
          <w:u w:val="single"/>
        </w:rPr>
      </w:pPr>
      <w:r w:rsidRPr="00F713AE">
        <w:rPr>
          <w:sz w:val="20"/>
          <w:szCs w:val="20"/>
          <w:u w:val="single"/>
        </w:rPr>
        <w:t>Timeline</w:t>
      </w:r>
    </w:p>
    <w:p w:rsidR="00F713AE" w:rsidRDefault="00F713AE" w:rsidP="00B6221E">
      <w:pPr>
        <w:pStyle w:val="NoSpacing"/>
        <w:rPr>
          <w:sz w:val="20"/>
          <w:szCs w:val="20"/>
        </w:rPr>
      </w:pPr>
    </w:p>
    <w:p w:rsidR="004811FD" w:rsidRDefault="004811FD" w:rsidP="00B6221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Currently – </w:t>
      </w:r>
      <w:r w:rsidR="00DE2490">
        <w:rPr>
          <w:sz w:val="20"/>
          <w:szCs w:val="20"/>
        </w:rPr>
        <w:tab/>
      </w:r>
      <w:r>
        <w:rPr>
          <w:sz w:val="20"/>
          <w:szCs w:val="20"/>
        </w:rPr>
        <w:t>Providers submit mental health</w:t>
      </w:r>
      <w:r w:rsidR="00327462">
        <w:rPr>
          <w:sz w:val="20"/>
          <w:szCs w:val="20"/>
        </w:rPr>
        <w:t xml:space="preserve"> delays to both the Unify and MH</w:t>
      </w:r>
      <w:r>
        <w:rPr>
          <w:sz w:val="20"/>
          <w:szCs w:val="20"/>
        </w:rPr>
        <w:t>SDS (v1</w:t>
      </w:r>
      <w:r w:rsidR="00327462">
        <w:rPr>
          <w:sz w:val="20"/>
          <w:szCs w:val="20"/>
        </w:rPr>
        <w:t>.1</w:t>
      </w:r>
      <w:r>
        <w:rPr>
          <w:sz w:val="20"/>
          <w:szCs w:val="20"/>
        </w:rPr>
        <w:t>) collections.</w:t>
      </w:r>
    </w:p>
    <w:p w:rsidR="000455D3" w:rsidRDefault="000455D3" w:rsidP="00B6221E">
      <w:pPr>
        <w:pStyle w:val="NoSpacing"/>
        <w:rPr>
          <w:sz w:val="20"/>
          <w:szCs w:val="20"/>
        </w:rPr>
      </w:pPr>
    </w:p>
    <w:p w:rsidR="004811FD" w:rsidRDefault="004811FD" w:rsidP="00DE2490">
      <w:pPr>
        <w:pStyle w:val="NoSpacing"/>
        <w:ind w:left="1440" w:hanging="1440"/>
        <w:rPr>
          <w:sz w:val="20"/>
          <w:szCs w:val="20"/>
        </w:rPr>
      </w:pPr>
      <w:r>
        <w:rPr>
          <w:sz w:val="20"/>
          <w:szCs w:val="20"/>
        </w:rPr>
        <w:t xml:space="preserve">April 2017 – </w:t>
      </w:r>
      <w:r w:rsidR="00DE2490">
        <w:rPr>
          <w:sz w:val="20"/>
          <w:szCs w:val="20"/>
        </w:rPr>
        <w:tab/>
      </w:r>
      <w:r>
        <w:rPr>
          <w:sz w:val="20"/>
          <w:szCs w:val="20"/>
        </w:rPr>
        <w:t>MHSDS v2 goes live</w:t>
      </w:r>
      <w:r w:rsidR="00327462">
        <w:rPr>
          <w:sz w:val="20"/>
          <w:szCs w:val="20"/>
        </w:rPr>
        <w:t xml:space="preserve"> for data collection</w:t>
      </w:r>
      <w:r>
        <w:rPr>
          <w:sz w:val="20"/>
          <w:szCs w:val="20"/>
        </w:rPr>
        <w:t xml:space="preserve">. Providers continue to submit April 2017 data onwards to both Unify and </w:t>
      </w:r>
      <w:r w:rsidR="00543B70">
        <w:rPr>
          <w:sz w:val="20"/>
          <w:szCs w:val="20"/>
        </w:rPr>
        <w:t xml:space="preserve">MHSDS. A period of monitoring </w:t>
      </w:r>
      <w:r w:rsidR="008E742C">
        <w:rPr>
          <w:sz w:val="20"/>
          <w:szCs w:val="20"/>
        </w:rPr>
        <w:t xml:space="preserve">(by NHS England and NHS Digital analysts) of </w:t>
      </w:r>
      <w:r w:rsidR="0086401E">
        <w:rPr>
          <w:sz w:val="20"/>
          <w:szCs w:val="20"/>
        </w:rPr>
        <w:t>data quality and coverage of MHS</w:t>
      </w:r>
      <w:r w:rsidR="008E742C">
        <w:rPr>
          <w:sz w:val="20"/>
          <w:szCs w:val="20"/>
        </w:rPr>
        <w:t xml:space="preserve">DS v2 data </w:t>
      </w:r>
      <w:r w:rsidR="00543B70">
        <w:rPr>
          <w:sz w:val="20"/>
          <w:szCs w:val="20"/>
        </w:rPr>
        <w:t>commences</w:t>
      </w:r>
      <w:r w:rsidR="008E742C">
        <w:rPr>
          <w:sz w:val="20"/>
          <w:szCs w:val="20"/>
        </w:rPr>
        <w:t>.</w:t>
      </w:r>
    </w:p>
    <w:p w:rsidR="000455D3" w:rsidRDefault="000455D3" w:rsidP="00DE2490">
      <w:pPr>
        <w:pStyle w:val="NoSpacing"/>
        <w:ind w:left="1440" w:hanging="1440"/>
        <w:rPr>
          <w:sz w:val="20"/>
          <w:szCs w:val="20"/>
        </w:rPr>
      </w:pPr>
    </w:p>
    <w:p w:rsidR="00DE2490" w:rsidRDefault="00DE2490" w:rsidP="00DE2490">
      <w:pPr>
        <w:pStyle w:val="NoSpacing"/>
        <w:ind w:left="1440" w:hanging="1440"/>
        <w:rPr>
          <w:sz w:val="20"/>
          <w:szCs w:val="20"/>
        </w:rPr>
      </w:pPr>
      <w:r>
        <w:rPr>
          <w:sz w:val="20"/>
          <w:szCs w:val="20"/>
        </w:rPr>
        <w:t xml:space="preserve">April 2018 - </w:t>
      </w:r>
      <w:r>
        <w:rPr>
          <w:sz w:val="20"/>
          <w:szCs w:val="20"/>
        </w:rPr>
        <w:tab/>
        <w:t>MHSDS v3 due to go live with further improvements</w:t>
      </w:r>
      <w:r w:rsidR="00327462">
        <w:rPr>
          <w:sz w:val="20"/>
          <w:szCs w:val="20"/>
        </w:rPr>
        <w:t xml:space="preserve"> – details to be confirmed</w:t>
      </w:r>
      <w:r w:rsidR="0054337F">
        <w:rPr>
          <w:sz w:val="20"/>
          <w:szCs w:val="20"/>
        </w:rPr>
        <w:t>.</w:t>
      </w:r>
    </w:p>
    <w:p w:rsidR="000455D3" w:rsidRDefault="000455D3" w:rsidP="00DE2490">
      <w:pPr>
        <w:pStyle w:val="NoSpacing"/>
        <w:ind w:left="1440" w:hanging="1440"/>
        <w:rPr>
          <w:sz w:val="20"/>
          <w:szCs w:val="20"/>
        </w:rPr>
      </w:pPr>
    </w:p>
    <w:p w:rsidR="00F713AE" w:rsidRDefault="00DE2490" w:rsidP="00A40E5B">
      <w:pPr>
        <w:pStyle w:val="NoSpacing"/>
        <w:ind w:left="1440" w:hanging="1440"/>
        <w:rPr>
          <w:sz w:val="20"/>
          <w:szCs w:val="20"/>
        </w:rPr>
      </w:pPr>
      <w:r>
        <w:rPr>
          <w:sz w:val="20"/>
          <w:szCs w:val="20"/>
        </w:rPr>
        <w:t>Future -</w:t>
      </w:r>
      <w:r>
        <w:rPr>
          <w:sz w:val="20"/>
          <w:szCs w:val="20"/>
        </w:rPr>
        <w:tab/>
        <w:t>Providers can stop submitting mental health delays to Unify once data quality at desired level.</w:t>
      </w:r>
      <w:r w:rsidR="00E70979">
        <w:rPr>
          <w:sz w:val="20"/>
          <w:szCs w:val="20"/>
        </w:rPr>
        <w:t xml:space="preserve"> Official statistics for mental health delays should then be sourced from MHSDS.</w:t>
      </w:r>
    </w:p>
    <w:p w:rsidR="005800B3" w:rsidRPr="00B6221E" w:rsidRDefault="005800B3" w:rsidP="00B6221E">
      <w:pPr>
        <w:pStyle w:val="NoSpacing"/>
        <w:rPr>
          <w:sz w:val="20"/>
          <w:szCs w:val="20"/>
        </w:rPr>
      </w:pPr>
    </w:p>
    <w:p w:rsidR="00B6221E" w:rsidRPr="00B6221E" w:rsidRDefault="00B6221E" w:rsidP="00B6221E">
      <w:pPr>
        <w:pStyle w:val="NoSpacing"/>
        <w:rPr>
          <w:sz w:val="20"/>
          <w:szCs w:val="20"/>
        </w:rPr>
      </w:pPr>
    </w:p>
    <w:p w:rsidR="00B6221E" w:rsidRPr="00FF244E" w:rsidRDefault="00B6221E" w:rsidP="00B6221E">
      <w:pPr>
        <w:pStyle w:val="NoSpacing"/>
        <w:rPr>
          <w:sz w:val="20"/>
          <w:szCs w:val="20"/>
          <w:u w:val="single"/>
        </w:rPr>
      </w:pPr>
      <w:r w:rsidRPr="00FF244E">
        <w:rPr>
          <w:sz w:val="20"/>
          <w:szCs w:val="20"/>
          <w:u w:val="single"/>
        </w:rPr>
        <w:t>Specific Guidance</w:t>
      </w:r>
      <w:r w:rsidR="00090EAF">
        <w:rPr>
          <w:sz w:val="20"/>
          <w:szCs w:val="20"/>
          <w:u w:val="single"/>
        </w:rPr>
        <w:t xml:space="preserve"> and Mapping</w:t>
      </w:r>
    </w:p>
    <w:p w:rsidR="00E8710D" w:rsidRDefault="00E8710D" w:rsidP="00B6221E">
      <w:pPr>
        <w:pStyle w:val="NoSpacing"/>
        <w:rPr>
          <w:sz w:val="20"/>
          <w:szCs w:val="20"/>
        </w:rPr>
      </w:pPr>
    </w:p>
    <w:p w:rsidR="00D23A69" w:rsidRPr="00FC0D06" w:rsidRDefault="00D23A69" w:rsidP="00B6221E">
      <w:pPr>
        <w:pStyle w:val="NoSpacing"/>
        <w:rPr>
          <w:sz w:val="18"/>
          <w:szCs w:val="20"/>
        </w:rPr>
      </w:pPr>
      <w:r>
        <w:rPr>
          <w:sz w:val="20"/>
          <w:szCs w:val="20"/>
        </w:rPr>
        <w:t>Some providers have raised issues with submitting delays to two different collections with different sets of reason codes. The following table provides a direct mapping from the MHSDS v2 reason codes to the Unify reason codes</w:t>
      </w:r>
      <w:r w:rsidR="00A84575">
        <w:rPr>
          <w:sz w:val="20"/>
          <w:szCs w:val="20"/>
        </w:rPr>
        <w:t>,</w:t>
      </w:r>
      <w:r>
        <w:rPr>
          <w:sz w:val="20"/>
          <w:szCs w:val="20"/>
        </w:rPr>
        <w:t xml:space="preserve"> to assist providers reallocating these delays without the need for </w:t>
      </w:r>
      <w:r w:rsidR="00A40E5B">
        <w:rPr>
          <w:sz w:val="20"/>
          <w:szCs w:val="20"/>
        </w:rPr>
        <w:t xml:space="preserve">further clinical input or </w:t>
      </w:r>
      <w:r>
        <w:rPr>
          <w:sz w:val="20"/>
          <w:szCs w:val="20"/>
        </w:rPr>
        <w:t xml:space="preserve">changes to </w:t>
      </w:r>
      <w:r w:rsidR="00A84575">
        <w:rPr>
          <w:sz w:val="20"/>
          <w:szCs w:val="20"/>
        </w:rPr>
        <w:t xml:space="preserve">source </w:t>
      </w:r>
      <w:r>
        <w:rPr>
          <w:sz w:val="20"/>
          <w:szCs w:val="20"/>
        </w:rPr>
        <w:t xml:space="preserve">data collection </w:t>
      </w:r>
      <w:r w:rsidR="00A40E5B">
        <w:rPr>
          <w:sz w:val="20"/>
          <w:szCs w:val="20"/>
        </w:rPr>
        <w:t>systems</w:t>
      </w:r>
      <w:r>
        <w:rPr>
          <w:sz w:val="20"/>
          <w:szCs w:val="20"/>
        </w:rPr>
        <w:t>.</w:t>
      </w:r>
      <w:r w:rsidR="00901BED">
        <w:rPr>
          <w:sz w:val="20"/>
          <w:szCs w:val="20"/>
        </w:rPr>
        <w:t xml:space="preserve"> </w:t>
      </w:r>
      <w:r w:rsidR="00901BED" w:rsidRPr="00901BED">
        <w:rPr>
          <w:sz w:val="20"/>
          <w:szCs w:val="20"/>
        </w:rPr>
        <w:t>For guidance on using the new categories within MHSDS submissions, please see the MHSDS v2.0 User Guidance available at</w:t>
      </w:r>
      <w:r w:rsidR="00901BED">
        <w:rPr>
          <w:i/>
          <w:iCs/>
          <w:color w:val="1F497D"/>
        </w:rPr>
        <w:t xml:space="preserve"> </w:t>
      </w:r>
      <w:hyperlink r:id="rId5" w:history="1">
        <w:r w:rsidR="00FC0D06" w:rsidRPr="00FC0D06">
          <w:rPr>
            <w:rStyle w:val="Hyperlink"/>
            <w:i/>
            <w:iCs/>
            <w:sz w:val="20"/>
          </w:rPr>
          <w:t>https://digital.nhs.uk/data-and-information/data-collections-and-data-sets/data-sets/mental-health-services-data-set/mental-health-services-data-set-specifications-and-guidance</w:t>
        </w:r>
      </w:hyperlink>
      <w:r w:rsidR="00FC0D06" w:rsidRPr="00FC0D06">
        <w:rPr>
          <w:i/>
          <w:iCs/>
          <w:color w:val="1F497D"/>
          <w:sz w:val="20"/>
        </w:rPr>
        <w:t xml:space="preserve">. </w:t>
      </w:r>
    </w:p>
    <w:p w:rsidR="00D23A69" w:rsidRDefault="00D23A69" w:rsidP="00B6221E">
      <w:pPr>
        <w:pStyle w:val="NoSpacing"/>
        <w:rPr>
          <w:sz w:val="20"/>
          <w:szCs w:val="20"/>
        </w:rPr>
      </w:pPr>
      <w:bookmarkStart w:id="0" w:name="_GoBack"/>
      <w:bookmarkEnd w:id="0"/>
    </w:p>
    <w:p w:rsidR="00FE5551" w:rsidRDefault="00FE5551" w:rsidP="00B6221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Since the long-term view is for mental health delays to only be recorded in MHSDS, the advice to providers is to assign delays to reason codes in </w:t>
      </w:r>
      <w:r w:rsidR="00D23A69">
        <w:rPr>
          <w:sz w:val="20"/>
          <w:szCs w:val="20"/>
        </w:rPr>
        <w:t>MHSDS and then use the</w:t>
      </w:r>
      <w:r>
        <w:rPr>
          <w:sz w:val="20"/>
          <w:szCs w:val="20"/>
        </w:rPr>
        <w:t xml:space="preserve"> table to map them to a reason code in Unify.</w:t>
      </w:r>
      <w:r w:rsidR="00D23A69">
        <w:rPr>
          <w:sz w:val="20"/>
          <w:szCs w:val="20"/>
        </w:rPr>
        <w:t xml:space="preserve"> The table also contains a</w:t>
      </w:r>
      <w:r w:rsidR="00A40E5B">
        <w:rPr>
          <w:sz w:val="20"/>
          <w:szCs w:val="20"/>
        </w:rPr>
        <w:t xml:space="preserve">n attribution column which shows to which organisation </w:t>
      </w:r>
      <w:r w:rsidR="00090EAF">
        <w:rPr>
          <w:sz w:val="20"/>
          <w:szCs w:val="20"/>
        </w:rPr>
        <w:t xml:space="preserve">(NHS, social care or both) </w:t>
      </w:r>
      <w:r w:rsidR="00A40E5B">
        <w:rPr>
          <w:sz w:val="20"/>
          <w:szCs w:val="20"/>
        </w:rPr>
        <w:t>a delay may be attributed to for each reason code.</w:t>
      </w:r>
      <w:r w:rsidR="0013668F">
        <w:rPr>
          <w:sz w:val="20"/>
          <w:szCs w:val="20"/>
        </w:rPr>
        <w:t xml:space="preserve"> Where providers are using the new attribution of ‘Housing’</w:t>
      </w:r>
      <w:r w:rsidR="00BA7170">
        <w:rPr>
          <w:sz w:val="20"/>
          <w:szCs w:val="20"/>
        </w:rPr>
        <w:t xml:space="preserve"> in </w:t>
      </w:r>
      <w:r w:rsidR="0013668F">
        <w:rPr>
          <w:sz w:val="20"/>
          <w:szCs w:val="20"/>
        </w:rPr>
        <w:t>MHSDS</w:t>
      </w:r>
      <w:r w:rsidR="00BA7170">
        <w:rPr>
          <w:sz w:val="20"/>
          <w:szCs w:val="20"/>
        </w:rPr>
        <w:t xml:space="preserve"> v2</w:t>
      </w:r>
      <w:r w:rsidR="0013668F">
        <w:rPr>
          <w:sz w:val="20"/>
          <w:szCs w:val="20"/>
        </w:rPr>
        <w:t>, please use the NHS attribution code in the Unify collect as a default, this is so no delays are lost in the mapping process.</w:t>
      </w:r>
      <w:r w:rsidR="003339FD">
        <w:rPr>
          <w:sz w:val="20"/>
          <w:szCs w:val="20"/>
        </w:rPr>
        <w:t xml:space="preserve"> </w:t>
      </w:r>
    </w:p>
    <w:p w:rsidR="00A40E5B" w:rsidRPr="00F55DAF" w:rsidRDefault="00A40E5B" w:rsidP="00B6221E">
      <w:pPr>
        <w:pStyle w:val="NoSpacing"/>
        <w:rPr>
          <w:sz w:val="20"/>
          <w:szCs w:val="20"/>
        </w:rPr>
      </w:pPr>
    </w:p>
    <w:p w:rsidR="00A40E5B" w:rsidRDefault="00A40E5B" w:rsidP="00B6221E">
      <w:pPr>
        <w:pStyle w:val="NoSpacing"/>
        <w:rPr>
          <w:sz w:val="20"/>
          <w:szCs w:val="20"/>
        </w:rPr>
      </w:pPr>
      <w:r w:rsidRPr="00F55DAF">
        <w:rPr>
          <w:sz w:val="20"/>
          <w:szCs w:val="20"/>
        </w:rPr>
        <w:t>A new ‘Other’ reason code will be added to the Unify system for April’s collection onwards</w:t>
      </w:r>
      <w:r w:rsidR="00A84575">
        <w:rPr>
          <w:sz w:val="20"/>
          <w:szCs w:val="20"/>
        </w:rPr>
        <w:t xml:space="preserve">. This is because </w:t>
      </w:r>
      <w:r w:rsidR="000D013F" w:rsidRPr="00F55DAF">
        <w:rPr>
          <w:sz w:val="20"/>
          <w:szCs w:val="20"/>
        </w:rPr>
        <w:t xml:space="preserve">there are some reason codes in MHSDS v2 that </w:t>
      </w:r>
      <w:r w:rsidR="0013668F">
        <w:rPr>
          <w:sz w:val="20"/>
          <w:szCs w:val="20"/>
        </w:rPr>
        <w:t>do</w:t>
      </w:r>
      <w:r w:rsidR="001071A2">
        <w:rPr>
          <w:sz w:val="20"/>
          <w:szCs w:val="20"/>
        </w:rPr>
        <w:t xml:space="preserve"> </w:t>
      </w:r>
      <w:r w:rsidR="000D013F" w:rsidRPr="00F55DAF">
        <w:rPr>
          <w:sz w:val="20"/>
          <w:szCs w:val="20"/>
        </w:rPr>
        <w:t xml:space="preserve">not easily map </w:t>
      </w:r>
      <w:r w:rsidR="00A84575">
        <w:rPr>
          <w:sz w:val="20"/>
          <w:szCs w:val="20"/>
        </w:rPr>
        <w:t>to any of the current</w:t>
      </w:r>
      <w:r w:rsidR="000D013F" w:rsidRPr="00F55DAF">
        <w:rPr>
          <w:sz w:val="20"/>
          <w:szCs w:val="20"/>
        </w:rPr>
        <w:t xml:space="preserve"> Unify collection</w:t>
      </w:r>
      <w:r w:rsidR="00A84575">
        <w:rPr>
          <w:sz w:val="20"/>
          <w:szCs w:val="20"/>
        </w:rPr>
        <w:t xml:space="preserve"> codes</w:t>
      </w:r>
      <w:r w:rsidR="000D013F" w:rsidRPr="00F55DAF">
        <w:rPr>
          <w:sz w:val="20"/>
          <w:szCs w:val="20"/>
        </w:rPr>
        <w:t xml:space="preserve">. The ‘Other’ code </w:t>
      </w:r>
      <w:r w:rsidR="000D013F">
        <w:rPr>
          <w:sz w:val="20"/>
          <w:szCs w:val="20"/>
        </w:rPr>
        <w:t>is being added so that no delays are lost in the mapping process. It is important that the overall time series for number of delays is consisten</w:t>
      </w:r>
      <w:r w:rsidR="000D013F" w:rsidRPr="00FB7366">
        <w:rPr>
          <w:sz w:val="20"/>
          <w:szCs w:val="20"/>
        </w:rPr>
        <w:t>t.</w:t>
      </w:r>
      <w:r w:rsidR="005563ED" w:rsidRPr="00FB7366">
        <w:rPr>
          <w:b/>
          <w:sz w:val="20"/>
          <w:szCs w:val="20"/>
        </w:rPr>
        <w:t xml:space="preserve"> </w:t>
      </w:r>
      <w:r w:rsidR="005563ED" w:rsidRPr="00FB7366">
        <w:rPr>
          <w:sz w:val="20"/>
          <w:szCs w:val="20"/>
        </w:rPr>
        <w:t>This</w:t>
      </w:r>
      <w:r w:rsidR="00FB7366">
        <w:rPr>
          <w:sz w:val="20"/>
          <w:szCs w:val="20"/>
        </w:rPr>
        <w:t xml:space="preserve"> new</w:t>
      </w:r>
      <w:r w:rsidR="005563ED" w:rsidRPr="00FB7366">
        <w:rPr>
          <w:sz w:val="20"/>
          <w:szCs w:val="20"/>
        </w:rPr>
        <w:t xml:space="preserve"> category is </w:t>
      </w:r>
      <w:r w:rsidR="00FB7366">
        <w:rPr>
          <w:sz w:val="20"/>
          <w:szCs w:val="20"/>
        </w:rPr>
        <w:t xml:space="preserve">strictly </w:t>
      </w:r>
      <w:r w:rsidR="005563ED" w:rsidRPr="00FB7366">
        <w:rPr>
          <w:sz w:val="20"/>
          <w:szCs w:val="20"/>
        </w:rPr>
        <w:t>only to be used for delays</w:t>
      </w:r>
      <w:r w:rsidR="00FB7366" w:rsidRPr="00FB7366">
        <w:rPr>
          <w:sz w:val="20"/>
          <w:szCs w:val="20"/>
        </w:rPr>
        <w:t xml:space="preserve"> as</w:t>
      </w:r>
      <w:r w:rsidR="005563ED" w:rsidRPr="00FB7366">
        <w:rPr>
          <w:sz w:val="20"/>
          <w:szCs w:val="20"/>
        </w:rPr>
        <w:t xml:space="preserve"> </w:t>
      </w:r>
      <w:r w:rsidR="00FB7366" w:rsidRPr="00FB7366">
        <w:rPr>
          <w:sz w:val="20"/>
          <w:szCs w:val="20"/>
        </w:rPr>
        <w:t>specified in the table.</w:t>
      </w:r>
    </w:p>
    <w:p w:rsidR="00090EAF" w:rsidRDefault="00090EAF" w:rsidP="00B6221E">
      <w:pPr>
        <w:pStyle w:val="NoSpacing"/>
        <w:rPr>
          <w:sz w:val="20"/>
          <w:szCs w:val="20"/>
        </w:rPr>
      </w:pPr>
    </w:p>
    <w:p w:rsidR="00A40E5B" w:rsidRPr="0024654C" w:rsidRDefault="00090EAF" w:rsidP="00B6221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same process will still apply for providers to decide with the relevant local authority which organisation the delay should be attributable to, and </w:t>
      </w:r>
      <w:r w:rsidRPr="00F27C96">
        <w:rPr>
          <w:sz w:val="20"/>
          <w:szCs w:val="20"/>
        </w:rPr>
        <w:t xml:space="preserve">provider/local authority combinations should </w:t>
      </w:r>
      <w:r>
        <w:rPr>
          <w:sz w:val="20"/>
          <w:szCs w:val="20"/>
        </w:rPr>
        <w:t xml:space="preserve">continue to be submitted to the Unify collection as usual. </w:t>
      </w:r>
      <w:r w:rsidR="009A3C7D">
        <w:rPr>
          <w:sz w:val="20"/>
          <w:szCs w:val="20"/>
        </w:rPr>
        <w:t xml:space="preserve">MHSDS v2 still will not have the functionality to attribute a social care delay to a specific local </w:t>
      </w:r>
      <w:r w:rsidR="009A3C7D" w:rsidRPr="00F27C96">
        <w:rPr>
          <w:sz w:val="20"/>
          <w:szCs w:val="20"/>
        </w:rPr>
        <w:t xml:space="preserve">authority, but this </w:t>
      </w:r>
      <w:r w:rsidR="009A3C7D">
        <w:rPr>
          <w:sz w:val="20"/>
          <w:szCs w:val="20"/>
        </w:rPr>
        <w:t>requirement has been raised for consideration in</w:t>
      </w:r>
      <w:r w:rsidR="009A3C7D" w:rsidRPr="00F27C96">
        <w:rPr>
          <w:sz w:val="20"/>
          <w:szCs w:val="20"/>
        </w:rPr>
        <w:t xml:space="preserve"> MHSDS v3</w:t>
      </w:r>
      <w:r w:rsidR="009A3C7D">
        <w:rPr>
          <w:sz w:val="20"/>
          <w:szCs w:val="20"/>
        </w:rPr>
        <w:t>, due</w:t>
      </w:r>
      <w:r w:rsidR="009A3C7D" w:rsidRPr="00F27C96">
        <w:rPr>
          <w:sz w:val="20"/>
          <w:szCs w:val="20"/>
        </w:rPr>
        <w:t xml:space="preserve"> April 2018</w:t>
      </w:r>
      <w:r w:rsidR="009A3C7D">
        <w:rPr>
          <w:sz w:val="20"/>
          <w:szCs w:val="20"/>
        </w:rPr>
        <w:t>,</w:t>
      </w:r>
      <w:r w:rsidR="009A3C7D" w:rsidRPr="00F27C96">
        <w:rPr>
          <w:sz w:val="20"/>
          <w:szCs w:val="20"/>
        </w:rPr>
        <w:t xml:space="preserve"> and </w:t>
      </w:r>
      <w:r w:rsidR="00A713C3">
        <w:rPr>
          <w:sz w:val="20"/>
          <w:szCs w:val="20"/>
        </w:rPr>
        <w:t>would require implementation</w:t>
      </w:r>
      <w:r w:rsidR="009A3C7D">
        <w:rPr>
          <w:sz w:val="20"/>
          <w:szCs w:val="20"/>
        </w:rPr>
        <w:t xml:space="preserve"> before mental health delays can stop being collected in Unify. MHSDS v2 can still record a delay as being attributable to social care without a specific local authority.</w:t>
      </w:r>
    </w:p>
    <w:p w:rsidR="00FE5551" w:rsidRDefault="00FE5551" w:rsidP="00B6221E">
      <w:pPr>
        <w:pStyle w:val="NoSpacing"/>
        <w:rPr>
          <w:sz w:val="20"/>
          <w:szCs w:val="20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3969"/>
        <w:gridCol w:w="426"/>
        <w:gridCol w:w="2551"/>
        <w:gridCol w:w="2268"/>
      </w:tblGrid>
      <w:tr w:rsidR="00982262" w:rsidRPr="00982262" w:rsidTr="002D759D">
        <w:trPr>
          <w:trHeight w:val="169"/>
        </w:trPr>
        <w:tc>
          <w:tcPr>
            <w:tcW w:w="4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262" w:rsidRPr="00982262" w:rsidRDefault="00982262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82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MHSDS v2 Reason Code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262" w:rsidRPr="00982262" w:rsidRDefault="00982262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2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Unify Reason Code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262" w:rsidRPr="00982262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822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Possible Attributions</w:t>
            </w:r>
            <w:r w:rsidR="001071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in Unify collection</w:t>
            </w:r>
          </w:p>
        </w:tc>
      </w:tr>
      <w:tr w:rsidR="00982262" w:rsidRPr="00982262" w:rsidTr="002D759D">
        <w:trPr>
          <w:trHeight w:val="30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Awaiting care coordinator allocation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262" w:rsidRPr="000552D9" w:rsidRDefault="00E94261" w:rsidP="00E94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262" w:rsidRPr="003339FD" w:rsidRDefault="00E94261" w:rsidP="00A845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262" w:rsidRPr="001071A2" w:rsidRDefault="00E94261" w:rsidP="009822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NHS</w:t>
            </w:r>
          </w:p>
        </w:tc>
      </w:tr>
      <w:tr w:rsidR="00982262" w:rsidRPr="00982262" w:rsidTr="002D759D">
        <w:trPr>
          <w:trHeight w:val="2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Awaiting public funding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Public funding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262" w:rsidRPr="003339FD" w:rsidRDefault="00982262" w:rsidP="00E9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NHS/ social care/ both</w:t>
            </w:r>
          </w:p>
        </w:tc>
      </w:tr>
      <w:tr w:rsidR="00982262" w:rsidRPr="00982262" w:rsidTr="002D759D">
        <w:trPr>
          <w:trHeight w:val="5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Awaiting further non-acute (including community and mental health) NHS care (including intermediate care, rehabilitation services etc</w:t>
            </w:r>
            <w:r w:rsidR="001071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</w:t>
            </w: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Further non acute NHS care (including intermediate care, rehabilitation etc</w:t>
            </w:r>
            <w:r w:rsidR="001071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.</w:t>
            </w: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262" w:rsidRPr="003339FD" w:rsidRDefault="00982262" w:rsidP="00E9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NHS</w:t>
            </w:r>
          </w:p>
        </w:tc>
      </w:tr>
      <w:tr w:rsidR="00982262" w:rsidRPr="00982262" w:rsidTr="002D759D">
        <w:trPr>
          <w:trHeight w:val="35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Awaiting Care Home Without Nursing placement or availability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Care home placement - residential home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262" w:rsidRPr="003339FD" w:rsidRDefault="00982262" w:rsidP="00E9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NHS/ social care</w:t>
            </w:r>
          </w:p>
        </w:tc>
      </w:tr>
      <w:tr w:rsidR="00982262" w:rsidRPr="00982262" w:rsidTr="002D759D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Awaiting Care Home With Nursing placement or availability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Care home placement - nursing home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262" w:rsidRPr="003339FD" w:rsidRDefault="00982262" w:rsidP="00E9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NHS/ social care/ both</w:t>
            </w:r>
          </w:p>
        </w:tc>
      </w:tr>
      <w:tr w:rsidR="00982262" w:rsidRPr="00982262" w:rsidTr="002D759D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Awaiting care package in own home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Care package in own home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262" w:rsidRPr="003339FD" w:rsidRDefault="00982262" w:rsidP="00E9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NHS/ social care/ both</w:t>
            </w:r>
          </w:p>
        </w:tc>
      </w:tr>
      <w:tr w:rsidR="00982262" w:rsidRPr="00982262" w:rsidTr="002D759D">
        <w:trPr>
          <w:trHeight w:val="3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Awaiting community equipment, telecare and/or adaptations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Community equipment/adaptions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262" w:rsidRPr="003339FD" w:rsidRDefault="00982262" w:rsidP="00E9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NHS/ social care/ both</w:t>
            </w:r>
          </w:p>
        </w:tc>
      </w:tr>
      <w:tr w:rsidR="00982262" w:rsidRPr="00982262" w:rsidTr="002D759D">
        <w:trPr>
          <w:trHeight w:val="43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62" w:rsidRPr="003339FD" w:rsidRDefault="00982262" w:rsidP="002D7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Patient or Family choice (reason not stated by patient or family)</w:t>
            </w:r>
          </w:p>
          <w:p w:rsidR="0024654C" w:rsidRPr="000552D9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Patient or Family Choice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NHS/ social care</w:t>
            </w:r>
          </w:p>
        </w:tc>
      </w:tr>
      <w:tr w:rsidR="00982262" w:rsidRPr="00982262" w:rsidTr="002D759D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62" w:rsidRPr="003339FD" w:rsidRDefault="00982262" w:rsidP="002D7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Patient or Family choice - Non-acute (including community and mental health) NHS care (including intermediate care, rehabilitation services etc.)</w:t>
            </w:r>
          </w:p>
          <w:p w:rsidR="0024654C" w:rsidRPr="003339FD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982262" w:rsidRPr="00982262" w:rsidTr="002D759D">
        <w:trPr>
          <w:trHeight w:val="331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62" w:rsidRPr="003339FD" w:rsidRDefault="00982262" w:rsidP="002D7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Patient or Family choice - Care Home Without Nursing placement</w:t>
            </w:r>
          </w:p>
          <w:p w:rsidR="0024654C" w:rsidRPr="000552D9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982262" w:rsidRPr="00982262" w:rsidTr="002D759D">
        <w:trPr>
          <w:trHeight w:val="296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62" w:rsidRPr="003339FD" w:rsidRDefault="00982262" w:rsidP="002D7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Patient or Family choice - Care Home With Nursing placement</w:t>
            </w:r>
          </w:p>
          <w:p w:rsidR="0024654C" w:rsidRPr="000552D9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982262" w:rsidRPr="00982262" w:rsidTr="002D759D">
        <w:trPr>
          <w:trHeight w:val="296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62" w:rsidRPr="003339FD" w:rsidRDefault="00982262" w:rsidP="002D7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Patient or Family choice - Care package in own home</w:t>
            </w:r>
          </w:p>
          <w:p w:rsidR="0024654C" w:rsidRPr="000552D9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982262" w:rsidRPr="00982262" w:rsidTr="002D759D">
        <w:trPr>
          <w:trHeight w:val="296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62" w:rsidRPr="003339FD" w:rsidRDefault="00982262" w:rsidP="002D7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Patient or Family choice - Community equipment, telecare and/or adaptations</w:t>
            </w:r>
          </w:p>
          <w:p w:rsidR="0024654C" w:rsidRPr="000552D9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982262" w:rsidRPr="00982262" w:rsidTr="002D759D">
        <w:trPr>
          <w:trHeight w:val="59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62" w:rsidRPr="003339FD" w:rsidRDefault="00982262" w:rsidP="002D7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Patient or Family Choice - general needs housing/private landlord acceptance as patient NOT covered by Housing Act/Care Act</w:t>
            </w:r>
          </w:p>
          <w:p w:rsidR="0024654C" w:rsidRPr="000552D9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982262" w:rsidRPr="00982262" w:rsidTr="002D759D">
        <w:trPr>
          <w:trHeight w:val="3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62" w:rsidRPr="003339FD" w:rsidRDefault="00982262" w:rsidP="002D7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Patient or Family choice - Supported accommodation</w:t>
            </w:r>
          </w:p>
          <w:p w:rsidR="0024654C" w:rsidRPr="000552D9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982262" w:rsidRPr="00982262" w:rsidTr="002D759D">
        <w:trPr>
          <w:trHeight w:val="43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62" w:rsidRPr="003339FD" w:rsidRDefault="00982262" w:rsidP="002D7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Patient or Family choice - Emergency accommodation from the Local Authority under the Housing Act</w:t>
            </w:r>
          </w:p>
          <w:p w:rsidR="0024654C" w:rsidRPr="000552D9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982262" w:rsidRPr="00982262" w:rsidTr="002D759D">
        <w:trPr>
          <w:trHeight w:val="13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62" w:rsidRPr="003339FD" w:rsidRDefault="00982262" w:rsidP="002D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262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Patient or Family choice - Child or young person awaiting social care or family placement</w:t>
            </w:r>
          </w:p>
          <w:p w:rsidR="002D759D" w:rsidRPr="000552D9" w:rsidRDefault="002D759D" w:rsidP="009822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982262" w:rsidRPr="00982262" w:rsidTr="002D759D">
        <w:trPr>
          <w:trHeight w:val="27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G12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Patient or Family choice - Ministry of Justice agreement/permission of proposed placement</w:t>
            </w: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982262" w:rsidRPr="00982262" w:rsidTr="002D759D">
        <w:trPr>
          <w:trHeight w:val="3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Disputes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262" w:rsidRPr="000552D9" w:rsidRDefault="00982262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262" w:rsidRPr="003339FD" w:rsidRDefault="00982262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Disputes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262" w:rsidRPr="003339FD" w:rsidRDefault="00982262" w:rsidP="00E9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NHS/ social care</w:t>
            </w:r>
          </w:p>
        </w:tc>
      </w:tr>
      <w:tr w:rsidR="0024654C" w:rsidRPr="00982262" w:rsidTr="002D759D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4C" w:rsidRPr="003339FD" w:rsidRDefault="0024654C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4C" w:rsidRPr="000552D9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Housing - Awaiting availability of general needs housing/private landlord accommodation acceptance as patient NOT covered by Housing Act and/or Care Act</w:t>
            </w:r>
          </w:p>
          <w:p w:rsidR="0024654C" w:rsidRPr="003339FD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654C" w:rsidRPr="003339FD" w:rsidRDefault="0024654C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4C" w:rsidRPr="003339FD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Housing - patients not covered by Care Act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59D" w:rsidRDefault="002D759D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24654C" w:rsidRPr="003339FD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NHS/ social care</w:t>
            </w:r>
          </w:p>
          <w:p w:rsidR="0024654C" w:rsidRPr="003339FD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2D759D" w:rsidRDefault="002D759D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2D759D" w:rsidRPr="003339FD" w:rsidRDefault="002D759D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24654C" w:rsidRPr="003339FD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NHS</w:t>
            </w:r>
          </w:p>
          <w:p w:rsidR="0024654C" w:rsidRPr="003339FD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2D759D" w:rsidRDefault="002D759D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24654C" w:rsidRPr="003339FD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NHS/ social care</w:t>
            </w:r>
          </w:p>
          <w:p w:rsidR="0024654C" w:rsidRPr="003339FD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24654C" w:rsidRPr="003339FD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24654C" w:rsidRPr="003339FD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Social care</w:t>
            </w:r>
          </w:p>
        </w:tc>
      </w:tr>
      <w:tr w:rsidR="0024654C" w:rsidRPr="00982262" w:rsidTr="002D759D">
        <w:trPr>
          <w:trHeight w:val="387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4C" w:rsidRPr="003339FD" w:rsidRDefault="0024654C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4C" w:rsidRPr="000552D9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Housing - Single homeless patients or asylum seekers NOT covered by Care Act</w:t>
            </w:r>
          </w:p>
          <w:p w:rsidR="0024654C" w:rsidRPr="000552D9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654C" w:rsidRPr="003339FD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654C" w:rsidRPr="003339FD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4C" w:rsidRPr="003339FD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24654C" w:rsidRPr="00982262" w:rsidTr="002D759D">
        <w:trPr>
          <w:trHeight w:val="296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4C" w:rsidRPr="003339FD" w:rsidRDefault="0024654C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54C" w:rsidRPr="000552D9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Housing - Awaiting supported accommodation</w:t>
            </w: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654C" w:rsidRPr="003339FD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654C" w:rsidRPr="003339FD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4C" w:rsidRPr="003339FD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24654C" w:rsidRPr="00982262" w:rsidTr="002D759D">
        <w:trPr>
          <w:trHeight w:val="8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54C" w:rsidRPr="003339FD" w:rsidRDefault="0024654C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654C" w:rsidRPr="000552D9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Housing - Awaiting emergency accommodation from the Local Authority under the Housing Act</w:t>
            </w: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654C" w:rsidRPr="003339FD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654C" w:rsidRPr="003339FD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54C" w:rsidRPr="003339FD" w:rsidRDefault="0024654C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E94261" w:rsidRPr="00982262" w:rsidTr="002D759D">
        <w:trPr>
          <w:trHeight w:val="5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261" w:rsidRPr="003339FD" w:rsidRDefault="00E94261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261" w:rsidRPr="000552D9" w:rsidRDefault="00E94261" w:rsidP="009822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Child or young person awaiting social care or family placement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4261" w:rsidRPr="000552D9" w:rsidRDefault="00E94261" w:rsidP="009E47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261" w:rsidRPr="003339FD" w:rsidRDefault="00E94261" w:rsidP="009E47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261" w:rsidRPr="001071A2" w:rsidRDefault="00E94261" w:rsidP="009822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NHS/ social care</w:t>
            </w:r>
          </w:p>
        </w:tc>
      </w:tr>
      <w:tr w:rsidR="00E94261" w:rsidRPr="00982262" w:rsidTr="002D759D">
        <w:trPr>
          <w:trHeight w:val="44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261" w:rsidRPr="003339FD" w:rsidRDefault="00E94261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261" w:rsidRPr="000552D9" w:rsidRDefault="00E94261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Awaiting Ministry of Justice </w:t>
            </w:r>
            <w:r w:rsidRPr="000552D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agreement/permission of proposed placement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4261" w:rsidRPr="000552D9" w:rsidRDefault="00E94261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261" w:rsidRPr="003339FD" w:rsidRDefault="00E94261" w:rsidP="009822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261" w:rsidRPr="001071A2" w:rsidRDefault="00E94261" w:rsidP="009822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NHS</w:t>
            </w:r>
          </w:p>
        </w:tc>
      </w:tr>
      <w:tr w:rsidR="00E94261" w:rsidRPr="00982262" w:rsidTr="002D759D">
        <w:trPr>
          <w:trHeight w:val="4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4261" w:rsidRPr="003339FD" w:rsidRDefault="00E94261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4261" w:rsidRPr="000552D9" w:rsidRDefault="00E94261" w:rsidP="00982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Awaiting outcome of legal requirements (mental capacity/mental health legislation)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4261" w:rsidRPr="000552D9" w:rsidRDefault="00E94261" w:rsidP="009822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552D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261" w:rsidRPr="003339FD" w:rsidRDefault="00E94261" w:rsidP="009822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261" w:rsidRPr="001071A2" w:rsidRDefault="00E94261" w:rsidP="009822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en-GB"/>
              </w:rPr>
            </w:pPr>
            <w:r w:rsidRPr="003339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NHS/ social care</w:t>
            </w:r>
          </w:p>
        </w:tc>
      </w:tr>
    </w:tbl>
    <w:p w:rsidR="00F713AE" w:rsidRDefault="00F713AE" w:rsidP="00B6221E">
      <w:pPr>
        <w:pStyle w:val="NoSpacing"/>
        <w:rPr>
          <w:sz w:val="20"/>
          <w:szCs w:val="20"/>
        </w:rPr>
      </w:pPr>
    </w:p>
    <w:p w:rsidR="00F713AE" w:rsidRDefault="003339FD" w:rsidP="00B6221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Note: Please use ‘NHS’ as the default attribution category in Unify </w:t>
      </w:r>
      <w:r w:rsidR="00E14993">
        <w:rPr>
          <w:sz w:val="20"/>
          <w:szCs w:val="20"/>
        </w:rPr>
        <w:t>when mapping</w:t>
      </w:r>
      <w:r>
        <w:rPr>
          <w:sz w:val="20"/>
          <w:szCs w:val="20"/>
        </w:rPr>
        <w:t xml:space="preserve"> the new ‘Housing’ attribution category </w:t>
      </w:r>
      <w:r w:rsidR="00E14993">
        <w:rPr>
          <w:sz w:val="20"/>
          <w:szCs w:val="20"/>
        </w:rPr>
        <w:t>from</w:t>
      </w:r>
      <w:r>
        <w:rPr>
          <w:sz w:val="20"/>
          <w:szCs w:val="20"/>
        </w:rPr>
        <w:t xml:space="preserve"> MHSDS v2.</w:t>
      </w:r>
    </w:p>
    <w:p w:rsidR="003339FD" w:rsidRDefault="003339FD" w:rsidP="00B6221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Note: Please use ‘NHS’ as the </w:t>
      </w:r>
      <w:r w:rsidR="00B93042">
        <w:rPr>
          <w:sz w:val="20"/>
          <w:szCs w:val="20"/>
        </w:rPr>
        <w:t>default attribution category when mapping the</w:t>
      </w:r>
      <w:r>
        <w:rPr>
          <w:sz w:val="20"/>
          <w:szCs w:val="20"/>
        </w:rPr>
        <w:t xml:space="preserve"> MHSDS v2delay M1 (MoJ delay)</w:t>
      </w:r>
      <w:r w:rsidR="000552D9">
        <w:rPr>
          <w:sz w:val="20"/>
          <w:szCs w:val="20"/>
        </w:rPr>
        <w:t xml:space="preserve"> to the Unify collect</w:t>
      </w:r>
      <w:r w:rsidR="00D340AD">
        <w:rPr>
          <w:sz w:val="20"/>
          <w:szCs w:val="20"/>
        </w:rPr>
        <w:t>ion</w:t>
      </w:r>
      <w:r w:rsidR="000552D9">
        <w:rPr>
          <w:sz w:val="20"/>
          <w:szCs w:val="20"/>
        </w:rPr>
        <w:t>. In MHSDS v2 please follow guidance to not attribute this delay.</w:t>
      </w:r>
      <w:r w:rsidR="00B93042">
        <w:rPr>
          <w:sz w:val="20"/>
          <w:szCs w:val="20"/>
        </w:rPr>
        <w:t xml:space="preserve"> </w:t>
      </w:r>
    </w:p>
    <w:p w:rsidR="00F713AE" w:rsidRPr="00B6221E" w:rsidRDefault="00F713AE" w:rsidP="00B6221E">
      <w:pPr>
        <w:pStyle w:val="NoSpacing"/>
        <w:rPr>
          <w:sz w:val="20"/>
          <w:szCs w:val="20"/>
        </w:rPr>
      </w:pPr>
    </w:p>
    <w:sectPr w:rsidR="00F713AE" w:rsidRPr="00B6221E" w:rsidSect="002D759D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1E"/>
    <w:rsid w:val="000455D3"/>
    <w:rsid w:val="000552D9"/>
    <w:rsid w:val="00090EAF"/>
    <w:rsid w:val="000D013F"/>
    <w:rsid w:val="001071A2"/>
    <w:rsid w:val="0013668F"/>
    <w:rsid w:val="00216ED0"/>
    <w:rsid w:val="0024654C"/>
    <w:rsid w:val="002D759D"/>
    <w:rsid w:val="00327462"/>
    <w:rsid w:val="003339FD"/>
    <w:rsid w:val="00366C3A"/>
    <w:rsid w:val="00425FE8"/>
    <w:rsid w:val="004811FD"/>
    <w:rsid w:val="0054337F"/>
    <w:rsid w:val="00543B70"/>
    <w:rsid w:val="005563ED"/>
    <w:rsid w:val="005800B3"/>
    <w:rsid w:val="005A6E4E"/>
    <w:rsid w:val="00657870"/>
    <w:rsid w:val="00695ADA"/>
    <w:rsid w:val="00741B4A"/>
    <w:rsid w:val="00765A56"/>
    <w:rsid w:val="008472DE"/>
    <w:rsid w:val="0086401E"/>
    <w:rsid w:val="008E742C"/>
    <w:rsid w:val="00901BED"/>
    <w:rsid w:val="00982262"/>
    <w:rsid w:val="009A3C7D"/>
    <w:rsid w:val="00A40E5B"/>
    <w:rsid w:val="00A618AA"/>
    <w:rsid w:val="00A713C3"/>
    <w:rsid w:val="00A84575"/>
    <w:rsid w:val="00B6221E"/>
    <w:rsid w:val="00B93042"/>
    <w:rsid w:val="00BA7170"/>
    <w:rsid w:val="00BD0AE4"/>
    <w:rsid w:val="00D23A69"/>
    <w:rsid w:val="00D340AD"/>
    <w:rsid w:val="00DC7AF5"/>
    <w:rsid w:val="00DE2490"/>
    <w:rsid w:val="00E13BEF"/>
    <w:rsid w:val="00E14993"/>
    <w:rsid w:val="00E70979"/>
    <w:rsid w:val="00E8710D"/>
    <w:rsid w:val="00E94261"/>
    <w:rsid w:val="00EC5106"/>
    <w:rsid w:val="00F27C96"/>
    <w:rsid w:val="00F518B3"/>
    <w:rsid w:val="00F55DAF"/>
    <w:rsid w:val="00F713AE"/>
    <w:rsid w:val="00F86F69"/>
    <w:rsid w:val="00FB7366"/>
    <w:rsid w:val="00FC0D06"/>
    <w:rsid w:val="00FE5551"/>
    <w:rsid w:val="00FF1BF2"/>
    <w:rsid w:val="00F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2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4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57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1B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2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4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57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1B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0D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gital.nhs.uk/data-and-information/data-collections-and-data-sets/data-sets/mental-health-services-data-set/mental-health-services-data-set-specifications-and-guid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7095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Bedingfield, Joanna</dc:creator>
  <cp:lastModifiedBy>Heard, Helen</cp:lastModifiedBy>
  <cp:revision>2</cp:revision>
  <cp:lastPrinted>2017-03-23T10:53:00Z</cp:lastPrinted>
  <dcterms:created xsi:type="dcterms:W3CDTF">2018-06-14T11:17:00Z</dcterms:created>
  <dcterms:modified xsi:type="dcterms:W3CDTF">2018-06-14T11:17:00Z</dcterms:modified>
</cp:coreProperties>
</file>