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A3F68" w14:textId="3889C66E" w:rsidR="0046107A" w:rsidRPr="00186832" w:rsidRDefault="00BF33EB" w:rsidP="008F0129">
      <w:pPr>
        <w:pStyle w:val="paragraph"/>
        <w:shd w:val="clear" w:color="auto" w:fill="FFFFFF"/>
        <w:spacing w:before="0" w:beforeAutospacing="0" w:after="0" w:afterAutospacing="0"/>
        <w:textAlignment w:val="baseline"/>
        <w:rPr>
          <w:rFonts w:ascii="Segoe UI" w:hAnsi="Segoe UI" w:cs="Segoe UI"/>
          <w:sz w:val="27"/>
          <w:szCs w:val="27"/>
        </w:rPr>
      </w:pPr>
      <w:r>
        <w:rPr>
          <w:rStyle w:val="normaltextrun"/>
          <w:rFonts w:ascii="Segoe UI" w:hAnsi="Segoe UI" w:cs="Segoe UI"/>
          <w:b/>
          <w:bCs/>
          <w:color w:val="003087"/>
          <w:sz w:val="27"/>
          <w:szCs w:val="27"/>
        </w:rPr>
        <w:t xml:space="preserve">Denominators for </w:t>
      </w:r>
      <w:r w:rsidR="0025089C">
        <w:rPr>
          <w:rStyle w:val="normaltextrun"/>
          <w:rFonts w:ascii="Segoe UI" w:hAnsi="Segoe UI" w:cs="Segoe UI"/>
          <w:b/>
          <w:bCs/>
          <w:color w:val="003087"/>
          <w:sz w:val="27"/>
          <w:szCs w:val="27"/>
        </w:rPr>
        <w:t xml:space="preserve">COVID-19 </w:t>
      </w:r>
      <w:r>
        <w:rPr>
          <w:rStyle w:val="normaltextrun"/>
          <w:rFonts w:ascii="Segoe UI" w:hAnsi="Segoe UI" w:cs="Segoe UI"/>
          <w:b/>
          <w:bCs/>
          <w:color w:val="003087"/>
          <w:sz w:val="27"/>
          <w:szCs w:val="27"/>
        </w:rPr>
        <w:t>vaccination statistics</w:t>
      </w:r>
    </w:p>
    <w:p w14:paraId="2C4D9EDF" w14:textId="17FD1EB7" w:rsidR="0025089C" w:rsidRDefault="0025089C"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To allow vaccine uptake percentages to be calculated, </w:t>
      </w:r>
      <w:r w:rsidR="0098362D">
        <w:rPr>
          <w:rFonts w:ascii="Segoe UI" w:hAnsi="Segoe UI" w:cs="Segoe UI"/>
          <w:color w:val="000000" w:themeColor="text1"/>
          <w:sz w:val="27"/>
          <w:szCs w:val="27"/>
        </w:rPr>
        <w:t>data on the</w:t>
      </w:r>
      <w:r>
        <w:rPr>
          <w:rFonts w:ascii="Segoe UI" w:hAnsi="Segoe UI" w:cs="Segoe UI"/>
          <w:color w:val="000000" w:themeColor="text1"/>
          <w:sz w:val="27"/>
          <w:szCs w:val="27"/>
        </w:rPr>
        <w:t xml:space="preserve"> size of the population is needed</w:t>
      </w:r>
      <w:r w:rsidR="00DE1361">
        <w:rPr>
          <w:rFonts w:ascii="Segoe UI" w:hAnsi="Segoe UI" w:cs="Segoe UI"/>
          <w:color w:val="000000" w:themeColor="text1"/>
          <w:sz w:val="27"/>
          <w:szCs w:val="27"/>
        </w:rPr>
        <w:t xml:space="preserve"> </w:t>
      </w:r>
      <w:r w:rsidR="004217F3">
        <w:rPr>
          <w:rFonts w:ascii="Segoe UI" w:hAnsi="Segoe UI" w:cs="Segoe UI"/>
          <w:color w:val="000000" w:themeColor="text1"/>
          <w:sz w:val="27"/>
          <w:szCs w:val="27"/>
        </w:rPr>
        <w:t xml:space="preserve">for </w:t>
      </w:r>
      <w:r w:rsidR="00DE1361">
        <w:rPr>
          <w:rFonts w:ascii="Segoe UI" w:hAnsi="Segoe UI" w:cs="Segoe UI"/>
          <w:color w:val="000000" w:themeColor="text1"/>
          <w:sz w:val="27"/>
          <w:szCs w:val="27"/>
        </w:rPr>
        <w:t>the denominator in the calculation</w:t>
      </w:r>
      <w:r>
        <w:rPr>
          <w:rFonts w:ascii="Segoe UI" w:hAnsi="Segoe UI" w:cs="Segoe UI"/>
          <w:color w:val="000000" w:themeColor="text1"/>
          <w:sz w:val="27"/>
          <w:szCs w:val="27"/>
        </w:rPr>
        <w:t>. This paper explains the different denominators that are used in the COVID-19 vaccinations publications</w:t>
      </w:r>
      <w:r w:rsidR="00DE1361">
        <w:rPr>
          <w:rFonts w:ascii="Segoe UI" w:hAnsi="Segoe UI" w:cs="Segoe UI"/>
          <w:color w:val="000000" w:themeColor="text1"/>
          <w:sz w:val="27"/>
          <w:szCs w:val="27"/>
        </w:rPr>
        <w:t>,</w:t>
      </w:r>
      <w:r>
        <w:rPr>
          <w:rFonts w:ascii="Segoe UI" w:hAnsi="Segoe UI" w:cs="Segoe UI"/>
          <w:color w:val="000000" w:themeColor="text1"/>
          <w:sz w:val="27"/>
          <w:szCs w:val="27"/>
        </w:rPr>
        <w:t xml:space="preserve"> </w:t>
      </w:r>
      <w:r w:rsidR="00DE1361">
        <w:rPr>
          <w:rFonts w:ascii="Segoe UI" w:hAnsi="Segoe UI" w:cs="Segoe UI"/>
          <w:color w:val="000000" w:themeColor="text1"/>
          <w:sz w:val="27"/>
          <w:szCs w:val="27"/>
        </w:rPr>
        <w:t>including</w:t>
      </w:r>
      <w:r>
        <w:rPr>
          <w:rFonts w:ascii="Segoe UI" w:hAnsi="Segoe UI" w:cs="Segoe UI"/>
          <w:color w:val="000000" w:themeColor="text1"/>
          <w:sz w:val="27"/>
          <w:szCs w:val="27"/>
        </w:rPr>
        <w:t xml:space="preserve"> the strengths and weaknesses of each and implications for the quality of </w:t>
      </w:r>
      <w:r w:rsidR="0098362D">
        <w:rPr>
          <w:rFonts w:ascii="Segoe UI" w:hAnsi="Segoe UI" w:cs="Segoe UI"/>
          <w:color w:val="000000" w:themeColor="text1"/>
          <w:sz w:val="27"/>
          <w:szCs w:val="27"/>
        </w:rPr>
        <w:t xml:space="preserve">percentage uptake figures calculated using these denominators. </w:t>
      </w:r>
    </w:p>
    <w:p w14:paraId="3D9D6CDD" w14:textId="7B565FA7" w:rsidR="0025089C" w:rsidRPr="00186832" w:rsidRDefault="0025089C" w:rsidP="0025089C">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Denominators for demographic characteristics and geographic areas</w:t>
      </w:r>
    </w:p>
    <w:p w14:paraId="37713182" w14:textId="0A103F00" w:rsidR="00BF33EB" w:rsidRDefault="00BF33E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The weekly and monthly</w:t>
      </w:r>
      <w:r w:rsidRPr="00BF33EB">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COVID-19 vaccinations </w:t>
      </w:r>
      <w:r w:rsidRPr="00BF33EB">
        <w:rPr>
          <w:rFonts w:ascii="Segoe UI" w:hAnsi="Segoe UI" w:cs="Segoe UI"/>
          <w:color w:val="000000" w:themeColor="text1"/>
          <w:sz w:val="27"/>
          <w:szCs w:val="27"/>
        </w:rPr>
        <w:t>publication</w:t>
      </w:r>
      <w:r>
        <w:rPr>
          <w:rFonts w:ascii="Segoe UI" w:hAnsi="Segoe UI" w:cs="Segoe UI"/>
          <w:color w:val="000000" w:themeColor="text1"/>
          <w:sz w:val="27"/>
          <w:szCs w:val="27"/>
        </w:rPr>
        <w:t>s</w:t>
      </w:r>
      <w:r w:rsidRPr="00BF33EB">
        <w:rPr>
          <w:rFonts w:ascii="Segoe UI" w:hAnsi="Segoe UI" w:cs="Segoe UI"/>
          <w:color w:val="000000" w:themeColor="text1"/>
          <w:sz w:val="27"/>
          <w:szCs w:val="27"/>
        </w:rPr>
        <w:t xml:space="preserve"> include estimates of population sizes</w:t>
      </w:r>
      <w:r w:rsidR="00A415FC">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by certain demographic characteristics and at different geographical levels. </w:t>
      </w:r>
      <w:r w:rsidR="00A415FC">
        <w:rPr>
          <w:rFonts w:ascii="Segoe UI" w:hAnsi="Segoe UI" w:cs="Segoe UI"/>
          <w:color w:val="000000" w:themeColor="text1"/>
          <w:sz w:val="27"/>
          <w:szCs w:val="27"/>
        </w:rPr>
        <w:t>These estimates</w:t>
      </w:r>
      <w:r w:rsidRPr="00BF33EB">
        <w:rPr>
          <w:rFonts w:ascii="Segoe UI" w:hAnsi="Segoe UI" w:cs="Segoe UI"/>
          <w:color w:val="000000" w:themeColor="text1"/>
          <w:sz w:val="27"/>
          <w:szCs w:val="27"/>
        </w:rPr>
        <w:t xml:space="preserve"> can be used as denominators to calculate approximate vaccin</w:t>
      </w:r>
      <w:r w:rsidR="004E2CC6">
        <w:rPr>
          <w:rFonts w:ascii="Segoe UI" w:hAnsi="Segoe UI" w:cs="Segoe UI"/>
          <w:color w:val="000000" w:themeColor="text1"/>
          <w:sz w:val="27"/>
          <w:szCs w:val="27"/>
        </w:rPr>
        <w:t>e</w:t>
      </w:r>
      <w:r w:rsidRPr="00BF33EB">
        <w:rPr>
          <w:rFonts w:ascii="Segoe UI" w:hAnsi="Segoe UI" w:cs="Segoe UI"/>
          <w:color w:val="000000" w:themeColor="text1"/>
          <w:sz w:val="27"/>
          <w:szCs w:val="27"/>
        </w:rPr>
        <w:t xml:space="preserve"> uptake percentages. Two different sources of denominators are used</w:t>
      </w:r>
      <w:r w:rsidR="004E2CC6">
        <w:rPr>
          <w:rFonts w:ascii="Segoe UI" w:hAnsi="Segoe UI" w:cs="Segoe UI"/>
          <w:color w:val="000000" w:themeColor="text1"/>
          <w:sz w:val="27"/>
          <w:szCs w:val="27"/>
        </w:rPr>
        <w:t xml:space="preserve">, </w:t>
      </w:r>
      <w:r w:rsidR="000373A0">
        <w:rPr>
          <w:rFonts w:ascii="Segoe UI" w:hAnsi="Segoe UI" w:cs="Segoe UI"/>
          <w:color w:val="000000" w:themeColor="text1"/>
          <w:sz w:val="27"/>
          <w:szCs w:val="27"/>
        </w:rPr>
        <w:t xml:space="preserve">and </w:t>
      </w:r>
      <w:r w:rsidR="00D466D3">
        <w:rPr>
          <w:rFonts w:ascii="Segoe UI" w:hAnsi="Segoe UI" w:cs="Segoe UI"/>
          <w:color w:val="000000" w:themeColor="text1"/>
          <w:sz w:val="27"/>
          <w:szCs w:val="27"/>
        </w:rPr>
        <w:t>t</w:t>
      </w:r>
      <w:r w:rsidR="000373A0">
        <w:rPr>
          <w:rFonts w:ascii="Segoe UI" w:hAnsi="Segoe UI" w:cs="Segoe UI"/>
          <w:color w:val="000000" w:themeColor="text1"/>
          <w:sz w:val="27"/>
          <w:szCs w:val="27"/>
        </w:rPr>
        <w:t>he publications provide</w:t>
      </w:r>
      <w:r w:rsidR="004E2CC6">
        <w:rPr>
          <w:rFonts w:ascii="Segoe UI" w:hAnsi="Segoe UI" w:cs="Segoe UI"/>
          <w:color w:val="000000" w:themeColor="text1"/>
          <w:sz w:val="27"/>
          <w:szCs w:val="27"/>
        </w:rPr>
        <w:t xml:space="preserve"> </w:t>
      </w:r>
      <w:r w:rsidRPr="00BF33EB">
        <w:rPr>
          <w:rFonts w:ascii="Segoe UI" w:hAnsi="Segoe UI" w:cs="Segoe UI"/>
          <w:color w:val="000000" w:themeColor="text1"/>
          <w:sz w:val="27"/>
          <w:szCs w:val="27"/>
        </w:rPr>
        <w:t xml:space="preserve">the best available source for each breakdown </w:t>
      </w:r>
      <w:r w:rsidR="004E2CC6">
        <w:rPr>
          <w:rFonts w:ascii="Segoe UI" w:hAnsi="Segoe UI" w:cs="Segoe UI"/>
          <w:color w:val="000000" w:themeColor="text1"/>
          <w:sz w:val="27"/>
          <w:szCs w:val="27"/>
        </w:rPr>
        <w:t>as management information.</w:t>
      </w:r>
      <w:r w:rsidRPr="00BF33EB">
        <w:rPr>
          <w:rFonts w:ascii="Segoe UI" w:hAnsi="Segoe UI" w:cs="Segoe UI"/>
          <w:color w:val="000000" w:themeColor="text1"/>
          <w:sz w:val="27"/>
          <w:szCs w:val="27"/>
        </w:rPr>
        <w:t xml:space="preserve"> </w:t>
      </w:r>
      <w:r w:rsidR="00D466D3">
        <w:rPr>
          <w:rFonts w:ascii="Segoe UI" w:hAnsi="Segoe UI" w:cs="Segoe UI"/>
          <w:color w:val="000000" w:themeColor="text1"/>
          <w:sz w:val="27"/>
          <w:szCs w:val="27"/>
        </w:rPr>
        <w:t>Vaccine uptake rates should be calculated using the most appropriate denominator provided</w:t>
      </w:r>
      <w:r w:rsidR="00BA72A8">
        <w:rPr>
          <w:rFonts w:ascii="Segoe UI" w:hAnsi="Segoe UI" w:cs="Segoe UI"/>
          <w:color w:val="000000" w:themeColor="text1"/>
          <w:sz w:val="27"/>
          <w:szCs w:val="27"/>
        </w:rPr>
        <w:t xml:space="preserve"> as described below</w:t>
      </w:r>
      <w:r w:rsidR="00D466D3">
        <w:rPr>
          <w:rFonts w:ascii="Segoe UI" w:hAnsi="Segoe UI" w:cs="Segoe UI"/>
          <w:color w:val="000000" w:themeColor="text1"/>
          <w:sz w:val="27"/>
          <w:szCs w:val="27"/>
        </w:rPr>
        <w:t xml:space="preserve">, as the two sources will provide different results. </w:t>
      </w:r>
      <w:r w:rsidRPr="00BF33EB">
        <w:rPr>
          <w:rFonts w:ascii="Segoe UI" w:hAnsi="Segoe UI" w:cs="Segoe UI"/>
          <w:color w:val="000000" w:themeColor="text1"/>
          <w:sz w:val="27"/>
          <w:szCs w:val="27"/>
        </w:rPr>
        <w:t>Vaccin</w:t>
      </w:r>
      <w:r w:rsidR="004E2CC6">
        <w:rPr>
          <w:rFonts w:ascii="Segoe UI" w:hAnsi="Segoe UI" w:cs="Segoe UI"/>
          <w:color w:val="000000" w:themeColor="text1"/>
          <w:sz w:val="27"/>
          <w:szCs w:val="27"/>
        </w:rPr>
        <w:t>e</w:t>
      </w:r>
      <w:r w:rsidRPr="00BF33EB">
        <w:rPr>
          <w:rFonts w:ascii="Segoe UI" w:hAnsi="Segoe UI" w:cs="Segoe UI"/>
          <w:color w:val="000000" w:themeColor="text1"/>
          <w:sz w:val="27"/>
          <w:szCs w:val="27"/>
        </w:rPr>
        <w:t xml:space="preserve"> uptake percentages calculated using these denominators should be considered as estimates only, as there are known issues with both sources:</w:t>
      </w:r>
    </w:p>
    <w:p w14:paraId="304D7CA8" w14:textId="0F22EABF" w:rsidR="00BF33EB" w:rsidRPr="00BF33EB" w:rsidRDefault="00BF33EB" w:rsidP="00BF33EB">
      <w:pPr>
        <w:pStyle w:val="paragraph"/>
        <w:shd w:val="clear" w:color="auto" w:fill="FFFFFF"/>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1.  Office for National Statistics (ONS) 2019 mid-year population estimates</w:t>
      </w:r>
    </w:p>
    <w:p w14:paraId="287E1E6D" w14:textId="1B764291" w:rsidR="00BF33EB" w:rsidRDefault="00BF33E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The </w:t>
      </w:r>
      <w:r w:rsidRPr="00BF33EB">
        <w:rPr>
          <w:rFonts w:ascii="Segoe UI" w:hAnsi="Segoe UI" w:cs="Segoe UI"/>
          <w:color w:val="000000" w:themeColor="text1"/>
          <w:sz w:val="27"/>
          <w:szCs w:val="27"/>
        </w:rPr>
        <w:t xml:space="preserve">ONS 2019 mid-year population estimates </w:t>
      </w:r>
      <w:r w:rsidR="00C4462B">
        <w:rPr>
          <w:rFonts w:ascii="Segoe UI" w:hAnsi="Segoe UI" w:cs="Segoe UI"/>
          <w:color w:val="000000" w:themeColor="text1"/>
          <w:sz w:val="27"/>
          <w:szCs w:val="27"/>
        </w:rPr>
        <w:t>were</w:t>
      </w:r>
      <w:r w:rsidRPr="00BF33EB">
        <w:rPr>
          <w:rFonts w:ascii="Segoe UI" w:hAnsi="Segoe UI" w:cs="Segoe UI"/>
          <w:color w:val="000000" w:themeColor="text1"/>
          <w:sz w:val="27"/>
          <w:szCs w:val="27"/>
        </w:rPr>
        <w:t xml:space="preserve"> the most recent </w:t>
      </w:r>
      <w:r w:rsidR="004E2CC6">
        <w:rPr>
          <w:rFonts w:ascii="Segoe UI" w:hAnsi="Segoe UI" w:cs="Segoe UI"/>
          <w:color w:val="000000" w:themeColor="text1"/>
          <w:sz w:val="27"/>
          <w:szCs w:val="27"/>
        </w:rPr>
        <w:t>O</w:t>
      </w:r>
      <w:r w:rsidRPr="00BF33EB">
        <w:rPr>
          <w:rFonts w:ascii="Segoe UI" w:hAnsi="Segoe UI" w:cs="Segoe UI"/>
          <w:color w:val="000000" w:themeColor="text1"/>
          <w:sz w:val="27"/>
          <w:szCs w:val="27"/>
        </w:rPr>
        <w:t xml:space="preserve">fficial </w:t>
      </w:r>
      <w:r w:rsidR="004E2CC6">
        <w:rPr>
          <w:rFonts w:ascii="Segoe UI" w:hAnsi="Segoe UI" w:cs="Segoe UI"/>
          <w:color w:val="000000" w:themeColor="text1"/>
          <w:sz w:val="27"/>
          <w:szCs w:val="27"/>
        </w:rPr>
        <w:t>S</w:t>
      </w:r>
      <w:r w:rsidRPr="00BF33EB">
        <w:rPr>
          <w:rFonts w:ascii="Segoe UI" w:hAnsi="Segoe UI" w:cs="Segoe UI"/>
          <w:color w:val="000000" w:themeColor="text1"/>
          <w:sz w:val="27"/>
          <w:szCs w:val="27"/>
        </w:rPr>
        <w:t>tatistics on population size</w:t>
      </w:r>
      <w:r w:rsidR="00C4462B">
        <w:rPr>
          <w:rFonts w:ascii="Segoe UI" w:hAnsi="Segoe UI" w:cs="Segoe UI"/>
          <w:color w:val="000000" w:themeColor="text1"/>
          <w:sz w:val="27"/>
          <w:szCs w:val="27"/>
        </w:rPr>
        <w:t>,</w:t>
      </w:r>
      <w:r w:rsidRPr="00BF33EB">
        <w:rPr>
          <w:rFonts w:ascii="Segoe UI" w:hAnsi="Segoe UI" w:cs="Segoe UI"/>
          <w:color w:val="000000" w:themeColor="text1"/>
          <w:sz w:val="27"/>
          <w:szCs w:val="27"/>
        </w:rPr>
        <w:t xml:space="preserve"> and the best publicly available population estimates</w:t>
      </w:r>
      <w:r w:rsidR="00C4462B">
        <w:rPr>
          <w:rFonts w:ascii="Segoe UI" w:hAnsi="Segoe UI" w:cs="Segoe UI"/>
          <w:color w:val="000000" w:themeColor="text1"/>
          <w:sz w:val="27"/>
          <w:szCs w:val="27"/>
        </w:rPr>
        <w:t>, when the vaccination programme began</w:t>
      </w:r>
      <w:r w:rsidRPr="00BF33EB">
        <w:rPr>
          <w:rFonts w:ascii="Segoe UI" w:hAnsi="Segoe UI" w:cs="Segoe UI"/>
          <w:color w:val="000000" w:themeColor="text1"/>
          <w:sz w:val="27"/>
          <w:szCs w:val="27"/>
        </w:rPr>
        <w:t>. These estimates are consistent with those used in the UK COVID-19 vaccines deployment plan and therefore provide a reference point on progress</w:t>
      </w:r>
      <w:r w:rsidR="004E2CC6">
        <w:rPr>
          <w:rFonts w:ascii="Segoe UI" w:hAnsi="Segoe UI" w:cs="Segoe UI"/>
          <w:color w:val="000000" w:themeColor="text1"/>
          <w:sz w:val="27"/>
          <w:szCs w:val="27"/>
        </w:rPr>
        <w:t xml:space="preserve"> for management information</w:t>
      </w:r>
      <w:r w:rsidRPr="00BF33EB">
        <w:rPr>
          <w:rFonts w:ascii="Segoe UI" w:hAnsi="Segoe UI" w:cs="Segoe UI"/>
          <w:color w:val="000000" w:themeColor="text1"/>
          <w:sz w:val="27"/>
          <w:szCs w:val="27"/>
        </w:rPr>
        <w:t xml:space="preserve">. </w:t>
      </w:r>
    </w:p>
    <w:p w14:paraId="0C852C2F" w14:textId="3E1E1F71" w:rsidR="00BF33EB" w:rsidRPr="00BF33EB" w:rsidRDefault="00DB061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As the ONS population estimates are based on the 2011 Census, they are subject to a degree of uncertainty</w:t>
      </w:r>
      <w:r w:rsidR="00097ACB">
        <w:rPr>
          <w:rFonts w:ascii="Segoe UI" w:hAnsi="Segoe UI" w:cs="Segoe UI"/>
          <w:color w:val="000000" w:themeColor="text1"/>
          <w:sz w:val="27"/>
          <w:szCs w:val="27"/>
        </w:rPr>
        <w:t>,</w:t>
      </w:r>
      <w:r w:rsidR="00BF33EB" w:rsidRPr="00BF33EB">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and do not reflect changes to the population since 2019. </w:t>
      </w:r>
      <w:r w:rsidR="000373A0">
        <w:rPr>
          <w:rFonts w:ascii="Segoe UI" w:hAnsi="Segoe UI" w:cs="Segoe UI"/>
          <w:color w:val="000000" w:themeColor="text1"/>
          <w:sz w:val="27"/>
          <w:szCs w:val="27"/>
        </w:rPr>
        <w:t xml:space="preserve">The ONS 2019 mid-year population estimates are likely to </w:t>
      </w:r>
      <w:r w:rsidR="00097ACB">
        <w:rPr>
          <w:rFonts w:ascii="Segoe UI" w:hAnsi="Segoe UI" w:cs="Segoe UI"/>
          <w:color w:val="000000" w:themeColor="text1"/>
          <w:sz w:val="27"/>
          <w:szCs w:val="27"/>
        </w:rPr>
        <w:t xml:space="preserve">be an </w:t>
      </w:r>
      <w:r w:rsidR="000373A0">
        <w:rPr>
          <w:rFonts w:ascii="Segoe UI" w:hAnsi="Segoe UI" w:cs="Segoe UI"/>
          <w:color w:val="000000" w:themeColor="text1"/>
          <w:sz w:val="27"/>
          <w:szCs w:val="27"/>
        </w:rPr>
        <w:t>underestimate</w:t>
      </w:r>
      <w:r w:rsidR="00097ACB">
        <w:rPr>
          <w:rFonts w:ascii="Segoe UI" w:hAnsi="Segoe UI" w:cs="Segoe UI"/>
          <w:color w:val="000000" w:themeColor="text1"/>
          <w:sz w:val="27"/>
          <w:szCs w:val="27"/>
        </w:rPr>
        <w:t>.</w:t>
      </w:r>
    </w:p>
    <w:p w14:paraId="64A2D751" w14:textId="1020A8A3" w:rsidR="00DB061B" w:rsidRDefault="00BF33EB" w:rsidP="00BF33EB">
      <w:pPr>
        <w:pStyle w:val="paragraph"/>
        <w:shd w:val="clear" w:color="auto" w:fill="FFFFFF"/>
        <w:textAlignment w:val="baseline"/>
        <w:rPr>
          <w:rFonts w:ascii="Segoe UI" w:hAnsi="Segoe UI" w:cs="Segoe UI"/>
          <w:color w:val="000000" w:themeColor="text1"/>
          <w:sz w:val="27"/>
          <w:szCs w:val="27"/>
        </w:rPr>
      </w:pPr>
      <w:r w:rsidRPr="00BF33EB">
        <w:rPr>
          <w:rFonts w:ascii="Segoe UI" w:hAnsi="Segoe UI" w:cs="Segoe UI"/>
          <w:color w:val="000000" w:themeColor="text1"/>
          <w:sz w:val="27"/>
          <w:szCs w:val="27"/>
        </w:rPr>
        <w:t xml:space="preserve">The </w:t>
      </w:r>
      <w:r w:rsidR="00564F86">
        <w:rPr>
          <w:rFonts w:ascii="Segoe UI" w:hAnsi="Segoe UI" w:cs="Segoe UI"/>
          <w:color w:val="000000" w:themeColor="text1"/>
          <w:sz w:val="27"/>
          <w:szCs w:val="27"/>
        </w:rPr>
        <w:t xml:space="preserve">ONS </w:t>
      </w:r>
      <w:r w:rsidRPr="00BF33EB">
        <w:rPr>
          <w:rFonts w:ascii="Segoe UI" w:hAnsi="Segoe UI" w:cs="Segoe UI"/>
          <w:color w:val="000000" w:themeColor="text1"/>
          <w:sz w:val="27"/>
          <w:szCs w:val="27"/>
        </w:rPr>
        <w:t>estimates are used as denominators for national, regional, Integrated Care System (ICS) / Sustainability Transformation Partnership (STP) and Clinical Commissioning Group (CCG) geographies only</w:t>
      </w:r>
      <w:r w:rsidR="00564F86">
        <w:rPr>
          <w:rFonts w:ascii="Segoe UI" w:hAnsi="Segoe UI" w:cs="Segoe UI"/>
          <w:color w:val="000000" w:themeColor="text1"/>
          <w:sz w:val="27"/>
          <w:szCs w:val="27"/>
        </w:rPr>
        <w:t>,</w:t>
      </w:r>
      <w:r w:rsidRPr="00BF33EB">
        <w:rPr>
          <w:rFonts w:ascii="Segoe UI" w:hAnsi="Segoe UI" w:cs="Segoe UI"/>
          <w:color w:val="000000" w:themeColor="text1"/>
          <w:sz w:val="27"/>
          <w:szCs w:val="27"/>
        </w:rPr>
        <w:t xml:space="preserve"> as they are less robust at smaller areas. They are also used as denominators for age </w:t>
      </w:r>
      <w:r w:rsidRPr="00BF33EB">
        <w:rPr>
          <w:rFonts w:ascii="Segoe UI" w:hAnsi="Segoe UI" w:cs="Segoe UI"/>
          <w:color w:val="000000" w:themeColor="text1"/>
          <w:sz w:val="27"/>
          <w:szCs w:val="27"/>
        </w:rPr>
        <w:lastRenderedPageBreak/>
        <w:t>and gender breakdowns</w:t>
      </w:r>
      <w:r>
        <w:rPr>
          <w:rFonts w:ascii="Segoe UI" w:hAnsi="Segoe UI" w:cs="Segoe UI"/>
          <w:color w:val="000000" w:themeColor="text1"/>
          <w:sz w:val="27"/>
          <w:szCs w:val="27"/>
        </w:rPr>
        <w:t>, and the breakdown by Index of Multiple Deprivation (IMD) decile</w:t>
      </w:r>
      <w:r w:rsidRPr="00BF33EB">
        <w:rPr>
          <w:rFonts w:ascii="Segoe UI" w:hAnsi="Segoe UI" w:cs="Segoe UI"/>
          <w:color w:val="000000" w:themeColor="text1"/>
          <w:sz w:val="27"/>
          <w:szCs w:val="27"/>
        </w:rPr>
        <w:t>. </w:t>
      </w:r>
    </w:p>
    <w:p w14:paraId="4FF23DE5" w14:textId="130C9BAC" w:rsidR="00C4462B" w:rsidRDefault="00C4462B"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Although 2020 mid-year estimates have been available since the end of June 2021, vaccine uptake percentages in the COVID-19 vaccinations publications are still calculated using the 2019 mid-year estimates as the denominators. This is to maintain consistency throughout the publications, because the 2020 mid-year estimates are not yet available for all of the breakdowns where the 2019 mid-year estimates are used as denominators. However, the 2020 mid-year estimates are provided as information for the breakdowns for which they are available.  </w:t>
      </w:r>
    </w:p>
    <w:p w14:paraId="2C65335F" w14:textId="0BFC9509" w:rsidR="003E2A08" w:rsidRDefault="003E2A08"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Some of the uptake rates calculated using the </w:t>
      </w:r>
      <w:r w:rsidR="00C4462B">
        <w:rPr>
          <w:rFonts w:ascii="Segoe UI" w:hAnsi="Segoe UI" w:cs="Segoe UI"/>
          <w:color w:val="000000" w:themeColor="text1"/>
          <w:sz w:val="27"/>
          <w:szCs w:val="27"/>
        </w:rPr>
        <w:t xml:space="preserve">mid-2019 </w:t>
      </w:r>
      <w:r>
        <w:rPr>
          <w:rFonts w:ascii="Segoe UI" w:hAnsi="Segoe UI" w:cs="Segoe UI"/>
          <w:color w:val="000000" w:themeColor="text1"/>
          <w:sz w:val="27"/>
          <w:szCs w:val="27"/>
        </w:rPr>
        <w:t xml:space="preserve">ONS denominators </w:t>
      </w:r>
      <w:r w:rsidR="00451CE9">
        <w:rPr>
          <w:rFonts w:ascii="Segoe UI" w:hAnsi="Segoe UI" w:cs="Segoe UI"/>
          <w:color w:val="000000" w:themeColor="text1"/>
          <w:sz w:val="27"/>
          <w:szCs w:val="27"/>
        </w:rPr>
        <w:t xml:space="preserve">are reported as 100%* in the publications. In these instances, the number of people who have been vaccinated exceeds the ONS population estimate for that group. </w:t>
      </w:r>
      <w:r w:rsidR="00112325">
        <w:rPr>
          <w:rFonts w:ascii="Segoe UI" w:hAnsi="Segoe UI" w:cs="Segoe UI"/>
          <w:color w:val="000000" w:themeColor="text1"/>
          <w:sz w:val="27"/>
          <w:szCs w:val="27"/>
        </w:rPr>
        <w:t>This predominately happens in the 75-79 age group,</w:t>
      </w:r>
      <w:r w:rsidR="00F65074">
        <w:rPr>
          <w:rFonts w:ascii="Segoe UI" w:hAnsi="Segoe UI" w:cs="Segoe UI"/>
          <w:color w:val="000000" w:themeColor="text1"/>
          <w:sz w:val="27"/>
          <w:szCs w:val="27"/>
        </w:rPr>
        <w:t xml:space="preserve"> although there are also other instances of uptake rates exceeding</w:t>
      </w:r>
      <w:r w:rsidR="00112325">
        <w:rPr>
          <w:rFonts w:ascii="Segoe UI" w:hAnsi="Segoe UI" w:cs="Segoe UI"/>
          <w:color w:val="000000" w:themeColor="text1"/>
          <w:sz w:val="27"/>
          <w:szCs w:val="27"/>
        </w:rPr>
        <w:t xml:space="preserve"> </w:t>
      </w:r>
      <w:r w:rsidR="00F65074">
        <w:rPr>
          <w:rFonts w:ascii="Segoe UI" w:hAnsi="Segoe UI" w:cs="Segoe UI"/>
          <w:color w:val="000000" w:themeColor="text1"/>
          <w:sz w:val="27"/>
          <w:szCs w:val="27"/>
        </w:rPr>
        <w:t xml:space="preserve">100%. The impact is largest in the 75-79 age group </w:t>
      </w:r>
      <w:r w:rsidR="00112325">
        <w:rPr>
          <w:rFonts w:ascii="Segoe UI" w:hAnsi="Segoe UI" w:cs="Segoe UI"/>
          <w:color w:val="000000" w:themeColor="text1"/>
          <w:sz w:val="27"/>
          <w:szCs w:val="27"/>
        </w:rPr>
        <w:t xml:space="preserve">because of </w:t>
      </w:r>
      <w:proofErr w:type="gramStart"/>
      <w:r w:rsidR="00112325">
        <w:rPr>
          <w:rFonts w:ascii="Segoe UI" w:hAnsi="Segoe UI" w:cs="Segoe UI"/>
          <w:color w:val="000000" w:themeColor="text1"/>
          <w:sz w:val="27"/>
          <w:szCs w:val="27"/>
        </w:rPr>
        <w:t>a large number of</w:t>
      </w:r>
      <w:proofErr w:type="gramEnd"/>
      <w:r w:rsidR="00112325">
        <w:rPr>
          <w:rFonts w:ascii="Segoe UI" w:hAnsi="Segoe UI" w:cs="Segoe UI"/>
          <w:color w:val="000000" w:themeColor="text1"/>
          <w:sz w:val="27"/>
          <w:szCs w:val="27"/>
        </w:rPr>
        <w:t xml:space="preserve"> people born soon after the second world war</w:t>
      </w:r>
      <w:r w:rsidR="001266CE">
        <w:rPr>
          <w:rFonts w:ascii="Segoe UI" w:hAnsi="Segoe UI" w:cs="Segoe UI"/>
          <w:color w:val="000000" w:themeColor="text1"/>
          <w:sz w:val="27"/>
          <w:szCs w:val="27"/>
        </w:rPr>
        <w:t xml:space="preserve"> </w:t>
      </w:r>
      <w:r w:rsidR="00112325">
        <w:rPr>
          <w:rFonts w:ascii="Segoe UI" w:hAnsi="Segoe UI" w:cs="Segoe UI"/>
          <w:color w:val="000000" w:themeColor="text1"/>
          <w:sz w:val="27"/>
          <w:szCs w:val="27"/>
        </w:rPr>
        <w:t>who were in the 70-74 age group in mid-</w:t>
      </w:r>
      <w:r w:rsidR="009535BC">
        <w:rPr>
          <w:rFonts w:ascii="Segoe UI" w:hAnsi="Segoe UI" w:cs="Segoe UI"/>
          <w:color w:val="000000" w:themeColor="text1"/>
          <w:sz w:val="27"/>
          <w:szCs w:val="27"/>
        </w:rPr>
        <w:t>2019 but</w:t>
      </w:r>
      <w:r w:rsidR="00112325">
        <w:rPr>
          <w:rFonts w:ascii="Segoe UI" w:hAnsi="Segoe UI" w:cs="Segoe UI"/>
          <w:color w:val="000000" w:themeColor="text1"/>
          <w:sz w:val="27"/>
          <w:szCs w:val="27"/>
        </w:rPr>
        <w:t xml:space="preserve"> are now in the 75-79 age group. These people are counted in the number of people vaccinated for age 75-79, but in the denominator for age 70-74, resulting in an apparent vaccine uptake rate of more than 100%. </w:t>
      </w:r>
      <w:r w:rsidR="001266CE">
        <w:rPr>
          <w:rFonts w:ascii="Segoe UI" w:hAnsi="Segoe UI" w:cs="Segoe UI"/>
          <w:color w:val="000000" w:themeColor="text1"/>
          <w:sz w:val="27"/>
          <w:szCs w:val="27"/>
        </w:rPr>
        <w:t xml:space="preserve">Conversely, uptake rates for the 70-74 age group will appear lower as a result. </w:t>
      </w:r>
    </w:p>
    <w:p w14:paraId="40129192" w14:textId="23B43595" w:rsidR="00BF33EB" w:rsidRPr="00BF33EB" w:rsidRDefault="00BF33EB" w:rsidP="00BF33EB">
      <w:pPr>
        <w:pStyle w:val="paragraph"/>
        <w:shd w:val="clear" w:color="auto" w:fill="FFFFFF"/>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2.  National Immunisation Management System denominators</w:t>
      </w:r>
    </w:p>
    <w:p w14:paraId="29FE934C" w14:textId="4DC7D387" w:rsidR="00097ACB" w:rsidRDefault="004A68C4"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National Immunisation Management System (</w:t>
      </w:r>
      <w:r w:rsidR="00BF33EB" w:rsidRPr="00BF33EB">
        <w:rPr>
          <w:rFonts w:ascii="Segoe UI" w:hAnsi="Segoe UI" w:cs="Segoe UI"/>
          <w:color w:val="000000" w:themeColor="text1"/>
          <w:sz w:val="27"/>
          <w:szCs w:val="27"/>
        </w:rPr>
        <w:t>NIMS</w:t>
      </w:r>
      <w:r>
        <w:rPr>
          <w:rFonts w:ascii="Segoe UI" w:hAnsi="Segoe UI" w:cs="Segoe UI"/>
          <w:color w:val="000000" w:themeColor="text1"/>
          <w:sz w:val="27"/>
          <w:szCs w:val="27"/>
        </w:rPr>
        <w:t>)</w:t>
      </w:r>
      <w:r w:rsidR="00BF33EB" w:rsidRPr="00BF33EB">
        <w:rPr>
          <w:rFonts w:ascii="Segoe UI" w:hAnsi="Segoe UI" w:cs="Segoe UI"/>
          <w:color w:val="000000" w:themeColor="text1"/>
          <w:sz w:val="27"/>
          <w:szCs w:val="27"/>
        </w:rPr>
        <w:t xml:space="preserve"> denominators are the numbers of individuals registered with the NHS who are currently alive in the resident population.</w:t>
      </w:r>
      <w:r w:rsidR="00097ACB">
        <w:rPr>
          <w:rFonts w:ascii="Segoe UI" w:hAnsi="Segoe UI" w:cs="Segoe UI"/>
          <w:color w:val="000000" w:themeColor="text1"/>
          <w:sz w:val="27"/>
          <w:szCs w:val="27"/>
        </w:rPr>
        <w:t xml:space="preserve"> Overall they likely overestimate the population and so underestimate </w:t>
      </w:r>
      <w:r w:rsidR="00F67687">
        <w:rPr>
          <w:rFonts w:ascii="Segoe UI" w:hAnsi="Segoe UI" w:cs="Segoe UI"/>
          <w:color w:val="000000" w:themeColor="text1"/>
          <w:sz w:val="27"/>
          <w:szCs w:val="27"/>
        </w:rPr>
        <w:t>vaccine</w:t>
      </w:r>
      <w:r w:rsidR="00097ACB">
        <w:rPr>
          <w:rFonts w:ascii="Segoe UI" w:hAnsi="Segoe UI" w:cs="Segoe UI"/>
          <w:color w:val="000000" w:themeColor="text1"/>
          <w:sz w:val="27"/>
          <w:szCs w:val="27"/>
        </w:rPr>
        <w:t xml:space="preserve"> uptake</w:t>
      </w:r>
      <w:r w:rsidR="00F67687">
        <w:rPr>
          <w:rFonts w:ascii="Segoe UI" w:hAnsi="Segoe UI" w:cs="Segoe UI"/>
          <w:color w:val="000000" w:themeColor="text1"/>
          <w:sz w:val="27"/>
          <w:szCs w:val="27"/>
        </w:rPr>
        <w:t xml:space="preserve"> percentages, a</w:t>
      </w:r>
      <w:r w:rsidR="00097ACB">
        <w:rPr>
          <w:rFonts w:ascii="Segoe UI" w:hAnsi="Segoe UI" w:cs="Segoe UI"/>
          <w:color w:val="000000" w:themeColor="text1"/>
          <w:sz w:val="27"/>
          <w:szCs w:val="27"/>
        </w:rPr>
        <w:t xml:space="preserve">s death registration data is subject to a reporting lag (more information on this can be found on the </w:t>
      </w:r>
      <w:hyperlink r:id="rId9" w:history="1">
        <w:r w:rsidR="00097ACB" w:rsidRPr="00564F86">
          <w:rPr>
            <w:rStyle w:val="Hyperlink"/>
            <w:rFonts w:ascii="Segoe UI" w:hAnsi="Segoe UI" w:cs="Segoe UI"/>
            <w:sz w:val="27"/>
            <w:szCs w:val="27"/>
          </w:rPr>
          <w:t>NHS Digital website</w:t>
        </w:r>
      </w:hyperlink>
      <w:r w:rsidR="00097ACB">
        <w:rPr>
          <w:rFonts w:ascii="Segoe UI" w:hAnsi="Segoe UI" w:cs="Segoe UI"/>
          <w:color w:val="000000" w:themeColor="text1"/>
          <w:sz w:val="27"/>
          <w:szCs w:val="27"/>
        </w:rPr>
        <w:t>) and there are also concerns about people who are no longer resident in England still being counted in NIMS. C</w:t>
      </w:r>
      <w:r w:rsidR="00097ACB" w:rsidRPr="00BF33EB">
        <w:rPr>
          <w:rFonts w:ascii="Segoe UI" w:hAnsi="Segoe UI" w:cs="Segoe UI"/>
          <w:color w:val="000000" w:themeColor="text1"/>
          <w:sz w:val="27"/>
          <w:szCs w:val="27"/>
        </w:rPr>
        <w:t xml:space="preserve">overage can </w:t>
      </w:r>
      <w:r w:rsidR="00097ACB">
        <w:rPr>
          <w:rFonts w:ascii="Segoe UI" w:hAnsi="Segoe UI" w:cs="Segoe UI"/>
          <w:color w:val="000000" w:themeColor="text1"/>
          <w:sz w:val="27"/>
          <w:szCs w:val="27"/>
        </w:rPr>
        <w:t xml:space="preserve">therefore </w:t>
      </w:r>
      <w:r w:rsidR="00097ACB" w:rsidRPr="00BF33EB">
        <w:rPr>
          <w:rFonts w:ascii="Segoe UI" w:hAnsi="Segoe UI" w:cs="Segoe UI"/>
          <w:color w:val="000000" w:themeColor="text1"/>
          <w:sz w:val="27"/>
          <w:szCs w:val="27"/>
        </w:rPr>
        <w:t>be viewed as being ‘at least’ the figures calculated using the NIMS denominators.</w:t>
      </w:r>
    </w:p>
    <w:p w14:paraId="0BB4DEEC" w14:textId="060AC09B" w:rsidR="001266CE" w:rsidRDefault="00BF33EB" w:rsidP="00BF33EB">
      <w:pPr>
        <w:pStyle w:val="paragraph"/>
        <w:shd w:val="clear" w:color="auto" w:fill="FFFFFF"/>
        <w:textAlignment w:val="baseline"/>
        <w:rPr>
          <w:rFonts w:ascii="Segoe UI" w:hAnsi="Segoe UI" w:cs="Segoe UI"/>
          <w:color w:val="000000" w:themeColor="text1"/>
          <w:sz w:val="27"/>
          <w:szCs w:val="27"/>
        </w:rPr>
      </w:pPr>
      <w:r w:rsidRPr="00BF33EB">
        <w:rPr>
          <w:rFonts w:ascii="Segoe UI" w:hAnsi="Segoe UI" w:cs="Segoe UI"/>
          <w:color w:val="000000" w:themeColor="text1"/>
          <w:sz w:val="27"/>
          <w:szCs w:val="27"/>
        </w:rPr>
        <w:t xml:space="preserve">Unlike the ONS denominators which are fixed, the NIMS denominators are updated in each weekly </w:t>
      </w:r>
      <w:r>
        <w:rPr>
          <w:rFonts w:ascii="Segoe UI" w:hAnsi="Segoe UI" w:cs="Segoe UI"/>
          <w:color w:val="000000" w:themeColor="text1"/>
          <w:sz w:val="27"/>
          <w:szCs w:val="27"/>
        </w:rPr>
        <w:t xml:space="preserve">and monthly </w:t>
      </w:r>
      <w:r w:rsidRPr="00BF33EB">
        <w:rPr>
          <w:rFonts w:ascii="Segoe UI" w:hAnsi="Segoe UI" w:cs="Segoe UI"/>
          <w:color w:val="000000" w:themeColor="text1"/>
          <w:sz w:val="27"/>
          <w:szCs w:val="27"/>
        </w:rPr>
        <w:t>publication, to reflect</w:t>
      </w:r>
      <w:r w:rsidR="00097ACB">
        <w:rPr>
          <w:rFonts w:ascii="Segoe UI" w:hAnsi="Segoe UI" w:cs="Segoe UI"/>
          <w:color w:val="000000" w:themeColor="text1"/>
          <w:sz w:val="27"/>
          <w:szCs w:val="27"/>
        </w:rPr>
        <w:t xml:space="preserve"> known</w:t>
      </w:r>
      <w:r w:rsidRPr="00BF33EB">
        <w:rPr>
          <w:rFonts w:ascii="Segoe UI" w:hAnsi="Segoe UI" w:cs="Segoe UI"/>
          <w:color w:val="000000" w:themeColor="text1"/>
          <w:sz w:val="27"/>
          <w:szCs w:val="27"/>
        </w:rPr>
        <w:t xml:space="preserve"> changes to the current resident population. </w:t>
      </w:r>
    </w:p>
    <w:p w14:paraId="24004BD3" w14:textId="6DA100E4" w:rsidR="00D466D3" w:rsidRDefault="00D466D3"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lastRenderedPageBreak/>
        <w:t xml:space="preserve">The NIMS denominators do not include those without an NHS number and so do not cover the whole population. However, this aligns with the numbers of people vaccinated reported in the weekly and monthly publications. </w:t>
      </w:r>
    </w:p>
    <w:p w14:paraId="15F8C27E" w14:textId="11679D5F" w:rsidR="0085367C" w:rsidRDefault="00CC64FD"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 xml:space="preserve">NIMS </w:t>
      </w:r>
      <w:r w:rsidRPr="00DD3C38">
        <w:rPr>
          <w:rFonts w:ascii="Segoe UI" w:hAnsi="Segoe UI" w:cs="Segoe UI"/>
          <w:color w:val="000000" w:themeColor="text1"/>
          <w:sz w:val="27"/>
          <w:szCs w:val="27"/>
        </w:rPr>
        <w:t>d</w:t>
      </w:r>
      <w:r w:rsidR="0085367C">
        <w:rPr>
          <w:rFonts w:ascii="Segoe UI" w:hAnsi="Segoe UI" w:cs="Segoe UI"/>
          <w:color w:val="000000" w:themeColor="text1"/>
          <w:sz w:val="27"/>
          <w:szCs w:val="27"/>
        </w:rPr>
        <w:t>enominators</w:t>
      </w:r>
      <w:r w:rsidRPr="00DD3C38">
        <w:rPr>
          <w:rFonts w:ascii="Segoe UI" w:hAnsi="Segoe UI" w:cs="Segoe UI"/>
          <w:color w:val="000000" w:themeColor="text1"/>
          <w:sz w:val="27"/>
          <w:szCs w:val="27"/>
        </w:rPr>
        <w:t xml:space="preserve"> at different geographies are derived from an individual’s postcode as recorded on their electronic health record and </w:t>
      </w:r>
      <w:r w:rsidR="0085367C">
        <w:rPr>
          <w:rFonts w:ascii="Segoe UI" w:hAnsi="Segoe UI" w:cs="Segoe UI"/>
          <w:color w:val="000000" w:themeColor="text1"/>
          <w:sz w:val="27"/>
          <w:szCs w:val="27"/>
        </w:rPr>
        <w:t>are</w:t>
      </w:r>
      <w:r w:rsidRPr="00DD3C38">
        <w:rPr>
          <w:rFonts w:ascii="Segoe UI" w:hAnsi="Segoe UI" w:cs="Segoe UI"/>
          <w:color w:val="000000" w:themeColor="text1"/>
          <w:sz w:val="27"/>
          <w:szCs w:val="27"/>
        </w:rPr>
        <w:t xml:space="preserve"> therefore based on </w:t>
      </w:r>
      <w:r>
        <w:rPr>
          <w:rFonts w:ascii="Segoe UI" w:hAnsi="Segoe UI" w:cs="Segoe UI"/>
          <w:color w:val="000000" w:themeColor="text1"/>
          <w:sz w:val="27"/>
          <w:szCs w:val="27"/>
        </w:rPr>
        <w:t xml:space="preserve">the </w:t>
      </w:r>
      <w:r w:rsidRPr="00DD3C38">
        <w:rPr>
          <w:rFonts w:ascii="Segoe UI" w:hAnsi="Segoe UI" w:cs="Segoe UI"/>
          <w:color w:val="000000" w:themeColor="text1"/>
          <w:sz w:val="27"/>
          <w:szCs w:val="27"/>
        </w:rPr>
        <w:t>resident population.</w:t>
      </w:r>
      <w:r w:rsidR="0085367C">
        <w:rPr>
          <w:rFonts w:ascii="Segoe UI" w:hAnsi="Segoe UI" w:cs="Segoe UI"/>
          <w:color w:val="000000" w:themeColor="text1"/>
          <w:sz w:val="27"/>
          <w:szCs w:val="27"/>
        </w:rPr>
        <w:t xml:space="preserve"> </w:t>
      </w:r>
      <w:r w:rsidR="00BF33EB" w:rsidRPr="00BF33EB">
        <w:rPr>
          <w:rFonts w:ascii="Segoe UI" w:hAnsi="Segoe UI" w:cs="Segoe UI"/>
          <w:color w:val="000000" w:themeColor="text1"/>
          <w:sz w:val="27"/>
          <w:szCs w:val="27"/>
        </w:rPr>
        <w:t>They are used to facilitate management of the vaccination programme at more granular levels and are provided for Lower Tier Local Authority (LTLA), Middle Layer Super Output Area (MSOA), and Constituency geographies</w:t>
      </w:r>
      <w:r w:rsidR="0085367C">
        <w:rPr>
          <w:rFonts w:ascii="Segoe UI" w:hAnsi="Segoe UI" w:cs="Segoe UI"/>
          <w:color w:val="000000" w:themeColor="text1"/>
          <w:sz w:val="27"/>
          <w:szCs w:val="27"/>
        </w:rPr>
        <w:t xml:space="preserve"> as they are considered more accurate than the ONS estimates at these levels</w:t>
      </w:r>
      <w:r w:rsidR="00BF33EB" w:rsidRPr="00BF33EB">
        <w:rPr>
          <w:rFonts w:ascii="Segoe UI" w:hAnsi="Segoe UI" w:cs="Segoe UI"/>
          <w:color w:val="000000" w:themeColor="text1"/>
          <w:sz w:val="27"/>
          <w:szCs w:val="27"/>
        </w:rPr>
        <w:t xml:space="preserve">. </w:t>
      </w:r>
      <w:r w:rsidR="00843A3F">
        <w:rPr>
          <w:rFonts w:ascii="Segoe UI" w:hAnsi="Segoe UI" w:cs="Segoe UI"/>
          <w:color w:val="000000" w:themeColor="text1"/>
          <w:sz w:val="27"/>
          <w:szCs w:val="27"/>
        </w:rPr>
        <w:t xml:space="preserve">Other sources of data on COVID-19 vaccinations use NIMS denominators at other levels of geography. More information on this can be found in our summary of </w:t>
      </w:r>
      <w:hyperlink r:id="rId10" w:history="1">
        <w:r w:rsidR="00843A3F" w:rsidRPr="00C4462B">
          <w:rPr>
            <w:rStyle w:val="Hyperlink"/>
            <w:rFonts w:ascii="Segoe UI" w:hAnsi="Segoe UI" w:cs="Segoe UI"/>
            <w:sz w:val="27"/>
            <w:szCs w:val="27"/>
          </w:rPr>
          <w:t>related data sources</w:t>
        </w:r>
      </w:hyperlink>
      <w:r w:rsidR="00843A3F">
        <w:rPr>
          <w:rFonts w:ascii="Segoe UI" w:hAnsi="Segoe UI" w:cs="Segoe UI"/>
          <w:color w:val="000000" w:themeColor="text1"/>
          <w:sz w:val="27"/>
          <w:szCs w:val="27"/>
        </w:rPr>
        <w:t xml:space="preserve">. </w:t>
      </w:r>
    </w:p>
    <w:p w14:paraId="34A5794F" w14:textId="0511C45F" w:rsidR="00BF33EB" w:rsidRPr="00BF33EB" w:rsidRDefault="00FB433D"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NIMS denominators</w:t>
      </w:r>
      <w:r w:rsidR="00BF33EB">
        <w:rPr>
          <w:rFonts w:ascii="Segoe UI" w:hAnsi="Segoe UI" w:cs="Segoe UI"/>
          <w:color w:val="000000" w:themeColor="text1"/>
          <w:sz w:val="27"/>
          <w:szCs w:val="27"/>
        </w:rPr>
        <w:t xml:space="preserve"> are also used for breakdowns by ethnicity as the ONS 2019 mid-year population estimates are not available by ethnic group. </w:t>
      </w:r>
      <w:r w:rsidR="00CC64FD" w:rsidRPr="00201E30">
        <w:rPr>
          <w:rFonts w:ascii="Segoe UI" w:hAnsi="Segoe UI" w:cs="Segoe UI"/>
          <w:color w:val="000000" w:themeColor="text1"/>
          <w:sz w:val="27"/>
          <w:szCs w:val="27"/>
        </w:rPr>
        <w:t xml:space="preserve">Ethnicity </w:t>
      </w:r>
      <w:r w:rsidR="0085367C">
        <w:rPr>
          <w:rFonts w:ascii="Segoe UI" w:hAnsi="Segoe UI" w:cs="Segoe UI"/>
          <w:color w:val="000000" w:themeColor="text1"/>
          <w:sz w:val="27"/>
          <w:szCs w:val="27"/>
        </w:rPr>
        <w:t xml:space="preserve">for the NIMS denominators </w:t>
      </w:r>
      <w:r w:rsidR="00CC64FD" w:rsidRPr="00201E30">
        <w:rPr>
          <w:rFonts w:ascii="Segoe UI" w:hAnsi="Segoe UI" w:cs="Segoe UI"/>
          <w:color w:val="000000" w:themeColor="text1"/>
          <w:sz w:val="27"/>
          <w:szCs w:val="27"/>
        </w:rPr>
        <w:t>is derived from data extracted by NHS Digital as part of their</w:t>
      </w:r>
      <w:r w:rsidR="00CC64FD">
        <w:rPr>
          <w:rFonts w:ascii="Segoe UI" w:hAnsi="Segoe UI" w:cs="Segoe UI"/>
          <w:color w:val="000000" w:themeColor="text1"/>
          <w:sz w:val="27"/>
          <w:szCs w:val="27"/>
        </w:rPr>
        <w:t xml:space="preserve"> </w:t>
      </w:r>
      <w:r w:rsidR="00CC64FD" w:rsidRPr="00201E30">
        <w:rPr>
          <w:rFonts w:ascii="Segoe UI" w:hAnsi="Segoe UI" w:cs="Segoe UI"/>
          <w:color w:val="000000" w:themeColor="text1"/>
          <w:sz w:val="27"/>
          <w:szCs w:val="27"/>
        </w:rPr>
        <w:t xml:space="preserve">GP </w:t>
      </w:r>
      <w:r w:rsidR="00CC64FD">
        <w:rPr>
          <w:rFonts w:ascii="Segoe UI" w:hAnsi="Segoe UI" w:cs="Segoe UI"/>
          <w:color w:val="000000" w:themeColor="text1"/>
          <w:sz w:val="27"/>
          <w:szCs w:val="27"/>
        </w:rPr>
        <w:t>E</w:t>
      </w:r>
      <w:r w:rsidR="00CC64FD" w:rsidRPr="00201E30">
        <w:rPr>
          <w:rFonts w:ascii="Segoe UI" w:hAnsi="Segoe UI" w:cs="Segoe UI"/>
          <w:color w:val="000000" w:themeColor="text1"/>
          <w:sz w:val="27"/>
          <w:szCs w:val="27"/>
        </w:rPr>
        <w:t xml:space="preserve">xtraction </w:t>
      </w:r>
      <w:r w:rsidR="00CC64FD">
        <w:rPr>
          <w:rFonts w:ascii="Segoe UI" w:hAnsi="Segoe UI" w:cs="Segoe UI"/>
          <w:color w:val="000000" w:themeColor="text1"/>
          <w:sz w:val="27"/>
          <w:szCs w:val="27"/>
        </w:rPr>
        <w:t>S</w:t>
      </w:r>
      <w:r w:rsidR="00CC64FD" w:rsidRPr="00201E30">
        <w:rPr>
          <w:rFonts w:ascii="Segoe UI" w:hAnsi="Segoe UI" w:cs="Segoe UI"/>
          <w:color w:val="000000" w:themeColor="text1"/>
          <w:sz w:val="27"/>
          <w:szCs w:val="27"/>
        </w:rPr>
        <w:t>ervice Data for Pandemic Planning and Research (GDPPR) and Hospital Episodes Statistics (HES) datasets. For more information</w:t>
      </w:r>
      <w:r w:rsidR="001266CE">
        <w:rPr>
          <w:rFonts w:ascii="Segoe UI" w:hAnsi="Segoe UI" w:cs="Segoe UI"/>
          <w:color w:val="000000" w:themeColor="text1"/>
          <w:sz w:val="27"/>
          <w:szCs w:val="27"/>
        </w:rPr>
        <w:t xml:space="preserve"> on this</w:t>
      </w:r>
      <w:r w:rsidR="00CC64FD" w:rsidRPr="00201E30">
        <w:rPr>
          <w:rFonts w:ascii="Segoe UI" w:hAnsi="Segoe UI" w:cs="Segoe UI"/>
          <w:color w:val="000000" w:themeColor="text1"/>
          <w:sz w:val="27"/>
          <w:szCs w:val="27"/>
        </w:rPr>
        <w:t xml:space="preserve">, please see the </w:t>
      </w:r>
      <w:hyperlink r:id="rId11" w:history="1">
        <w:r w:rsidR="00CC64FD" w:rsidRPr="00CC64FD">
          <w:rPr>
            <w:rStyle w:val="Hyperlink"/>
            <w:rFonts w:ascii="Segoe UI" w:hAnsi="Segoe UI" w:cs="Segoe UI"/>
            <w:sz w:val="27"/>
            <w:szCs w:val="27"/>
          </w:rPr>
          <w:t>NHS Digital website</w:t>
        </w:r>
      </w:hyperlink>
      <w:r w:rsidR="00CC64FD">
        <w:rPr>
          <w:rFonts w:ascii="Segoe UI" w:hAnsi="Segoe UI" w:cs="Segoe UI"/>
          <w:color w:val="000000" w:themeColor="text1"/>
          <w:sz w:val="27"/>
          <w:szCs w:val="27"/>
        </w:rPr>
        <w:t>.</w:t>
      </w:r>
    </w:p>
    <w:p w14:paraId="601C431C" w14:textId="07B13FD9" w:rsidR="00BF33EB" w:rsidRPr="00BF33EB" w:rsidRDefault="0085367C" w:rsidP="00BF33EB">
      <w:pPr>
        <w:pStyle w:val="paragraph"/>
        <w:shd w:val="clear" w:color="auto" w:fill="FFFFFF"/>
        <w:textAlignment w:val="baseline"/>
        <w:rPr>
          <w:rFonts w:ascii="Segoe UI" w:hAnsi="Segoe UI" w:cs="Segoe UI"/>
          <w:color w:val="000000" w:themeColor="text1"/>
          <w:sz w:val="27"/>
          <w:szCs w:val="27"/>
        </w:rPr>
      </w:pPr>
      <w:r>
        <w:rPr>
          <w:rFonts w:ascii="Segoe UI" w:hAnsi="Segoe UI" w:cs="Segoe UI"/>
          <w:color w:val="000000" w:themeColor="text1"/>
          <w:sz w:val="27"/>
          <w:szCs w:val="27"/>
        </w:rPr>
        <w:t>As t</w:t>
      </w:r>
      <w:r w:rsidR="00BF33EB" w:rsidRPr="00BF33EB">
        <w:rPr>
          <w:rFonts w:ascii="Segoe UI" w:hAnsi="Segoe UI" w:cs="Segoe UI"/>
          <w:color w:val="000000" w:themeColor="text1"/>
          <w:sz w:val="27"/>
          <w:szCs w:val="27"/>
        </w:rPr>
        <w:t>he NIMS denominators are based on the resident population</w:t>
      </w:r>
      <w:r>
        <w:rPr>
          <w:rFonts w:ascii="Segoe UI" w:hAnsi="Segoe UI" w:cs="Segoe UI"/>
          <w:color w:val="000000" w:themeColor="text1"/>
          <w:sz w:val="27"/>
          <w:szCs w:val="27"/>
        </w:rPr>
        <w:t xml:space="preserve">, </w:t>
      </w:r>
      <w:r w:rsidR="00BF33EB" w:rsidRPr="00BF33EB">
        <w:rPr>
          <w:rFonts w:ascii="Segoe UI" w:hAnsi="Segoe UI" w:cs="Segoe UI"/>
          <w:color w:val="000000" w:themeColor="text1"/>
          <w:sz w:val="27"/>
          <w:szCs w:val="27"/>
        </w:rPr>
        <w:t>people will be counted in the denominators if they live in Englan</w:t>
      </w:r>
      <w:r>
        <w:rPr>
          <w:rFonts w:ascii="Segoe UI" w:hAnsi="Segoe UI" w:cs="Segoe UI"/>
          <w:color w:val="000000" w:themeColor="text1"/>
          <w:sz w:val="27"/>
          <w:szCs w:val="27"/>
        </w:rPr>
        <w:t>d</w:t>
      </w:r>
      <w:r w:rsidR="00BF33EB" w:rsidRPr="00BF33EB">
        <w:rPr>
          <w:rFonts w:ascii="Segoe UI" w:hAnsi="Segoe UI" w:cs="Segoe UI"/>
          <w:color w:val="000000" w:themeColor="text1"/>
          <w:sz w:val="27"/>
          <w:szCs w:val="27"/>
        </w:rPr>
        <w:t xml:space="preserve"> and they receive their vaccin</w:t>
      </w:r>
      <w:r>
        <w:rPr>
          <w:rFonts w:ascii="Segoe UI" w:hAnsi="Segoe UI" w:cs="Segoe UI"/>
          <w:color w:val="000000" w:themeColor="text1"/>
          <w:sz w:val="27"/>
          <w:szCs w:val="27"/>
        </w:rPr>
        <w:t>e</w:t>
      </w:r>
      <w:r w:rsidR="00BF33EB" w:rsidRPr="00BF33EB">
        <w:rPr>
          <w:rFonts w:ascii="Segoe UI" w:hAnsi="Segoe UI" w:cs="Segoe UI"/>
          <w:color w:val="000000" w:themeColor="text1"/>
          <w:sz w:val="27"/>
          <w:szCs w:val="27"/>
        </w:rPr>
        <w:t xml:space="preserve"> outside of England. Therefore, when looking at lower levels of geography, </w:t>
      </w:r>
      <w:r>
        <w:rPr>
          <w:rFonts w:ascii="Segoe UI" w:hAnsi="Segoe UI" w:cs="Segoe UI"/>
          <w:color w:val="000000" w:themeColor="text1"/>
          <w:sz w:val="27"/>
          <w:szCs w:val="27"/>
        </w:rPr>
        <w:t xml:space="preserve">some </w:t>
      </w:r>
      <w:r w:rsidR="00BF33EB" w:rsidRPr="00BF33EB">
        <w:rPr>
          <w:rFonts w:ascii="Segoe UI" w:hAnsi="Segoe UI" w:cs="Segoe UI"/>
          <w:color w:val="000000" w:themeColor="text1"/>
          <w:sz w:val="27"/>
          <w:szCs w:val="27"/>
        </w:rPr>
        <w:t xml:space="preserve">areas near the borders may appear to have lower vaccine uptake rates than other areas of England. </w:t>
      </w:r>
    </w:p>
    <w:p w14:paraId="1E011727" w14:textId="77777777" w:rsidR="0025089C" w:rsidRDefault="0025089C" w:rsidP="0025089C">
      <w:pPr>
        <w:pStyle w:val="paragraph"/>
        <w:shd w:val="clear" w:color="auto" w:fill="FFFFFF"/>
        <w:spacing w:before="0" w:beforeAutospacing="0" w:after="0" w:afterAutospacing="0"/>
        <w:textAlignment w:val="baseline"/>
        <w:rPr>
          <w:rStyle w:val="normaltextrun"/>
          <w:rFonts w:ascii="Segoe UI" w:hAnsi="Segoe UI" w:cs="Segoe UI"/>
          <w:b/>
          <w:bCs/>
          <w:color w:val="000000" w:themeColor="text1"/>
          <w:sz w:val="27"/>
          <w:szCs w:val="27"/>
        </w:rPr>
      </w:pPr>
    </w:p>
    <w:p w14:paraId="172F74B3" w14:textId="00C41EFD" w:rsidR="0025089C" w:rsidRPr="00186832" w:rsidRDefault="0025089C" w:rsidP="0025089C">
      <w:pPr>
        <w:pStyle w:val="paragraph"/>
        <w:shd w:val="clear" w:color="auto" w:fill="FFFFFF"/>
        <w:spacing w:before="0" w:beforeAutospacing="0" w:after="0" w:afterAutospacing="0"/>
        <w:textAlignment w:val="baseline"/>
        <w:rPr>
          <w:rFonts w:ascii="Segoe UI" w:hAnsi="Segoe UI" w:cs="Segoe UI"/>
          <w:color w:val="000000" w:themeColor="text1"/>
          <w:sz w:val="27"/>
          <w:szCs w:val="27"/>
        </w:rPr>
      </w:pPr>
      <w:r>
        <w:rPr>
          <w:rStyle w:val="normaltextrun"/>
          <w:rFonts w:ascii="Segoe UI" w:hAnsi="Segoe UI" w:cs="Segoe UI"/>
          <w:b/>
          <w:bCs/>
          <w:color w:val="000000" w:themeColor="text1"/>
          <w:sz w:val="27"/>
          <w:szCs w:val="27"/>
        </w:rPr>
        <w:t>Denominators for sub-groups of the population</w:t>
      </w:r>
    </w:p>
    <w:p w14:paraId="027851FB" w14:textId="27FDCEDC" w:rsidR="00015881" w:rsidRDefault="00015881" w:rsidP="00186832">
      <w:pPr>
        <w:spacing w:after="0" w:line="240" w:lineRule="auto"/>
        <w:rPr>
          <w:rFonts w:ascii="Segoe UI" w:hAnsi="Segoe UI" w:cs="Segoe UI"/>
          <w:sz w:val="27"/>
          <w:szCs w:val="27"/>
        </w:rPr>
      </w:pPr>
    </w:p>
    <w:p w14:paraId="1FF78BB2" w14:textId="090CC935" w:rsidR="00500693" w:rsidRDefault="00500693" w:rsidP="00186832">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As well as reporting on vaccinations by demographic characteristics and at different geographical levels, t</w:t>
      </w:r>
      <w:r w:rsidR="0025089C">
        <w:rPr>
          <w:rFonts w:ascii="Segoe UI" w:hAnsi="Segoe UI" w:cs="Segoe UI"/>
          <w:color w:val="000000" w:themeColor="text1"/>
          <w:sz w:val="27"/>
          <w:szCs w:val="27"/>
        </w:rPr>
        <w:t>he weekly and monthly</w:t>
      </w:r>
      <w:r w:rsidR="0025089C" w:rsidRPr="00BF33EB">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COVID-19 vaccinations </w:t>
      </w:r>
      <w:r w:rsidR="0025089C" w:rsidRPr="00BF33EB">
        <w:rPr>
          <w:rFonts w:ascii="Segoe UI" w:hAnsi="Segoe UI" w:cs="Segoe UI"/>
          <w:color w:val="000000" w:themeColor="text1"/>
          <w:sz w:val="27"/>
          <w:szCs w:val="27"/>
        </w:rPr>
        <w:t>publication</w:t>
      </w:r>
      <w:r w:rsidR="0025089C">
        <w:rPr>
          <w:rFonts w:ascii="Segoe UI" w:hAnsi="Segoe UI" w:cs="Segoe UI"/>
          <w:color w:val="000000" w:themeColor="text1"/>
          <w:sz w:val="27"/>
          <w:szCs w:val="27"/>
        </w:rPr>
        <w:t>s</w:t>
      </w:r>
      <w:r w:rsidR="0025089C" w:rsidRPr="00BF33EB">
        <w:rPr>
          <w:rFonts w:ascii="Segoe UI" w:hAnsi="Segoe UI" w:cs="Segoe UI"/>
          <w:color w:val="000000" w:themeColor="text1"/>
          <w:sz w:val="27"/>
          <w:szCs w:val="27"/>
        </w:rPr>
        <w:t xml:space="preserve"> </w:t>
      </w:r>
      <w:r w:rsidR="0025089C">
        <w:rPr>
          <w:rFonts w:ascii="Segoe UI" w:hAnsi="Segoe UI" w:cs="Segoe UI"/>
          <w:color w:val="000000" w:themeColor="text1"/>
          <w:sz w:val="27"/>
          <w:szCs w:val="27"/>
        </w:rPr>
        <w:t xml:space="preserve">also </w:t>
      </w:r>
      <w:r>
        <w:rPr>
          <w:rFonts w:ascii="Segoe UI" w:hAnsi="Segoe UI" w:cs="Segoe UI"/>
          <w:color w:val="000000" w:themeColor="text1"/>
          <w:sz w:val="27"/>
          <w:szCs w:val="27"/>
        </w:rPr>
        <w:t xml:space="preserve">report on </w:t>
      </w:r>
      <w:r w:rsidR="0099606F">
        <w:rPr>
          <w:rFonts w:ascii="Segoe UI" w:hAnsi="Segoe UI" w:cs="Segoe UI"/>
          <w:color w:val="000000" w:themeColor="text1"/>
          <w:sz w:val="27"/>
          <w:szCs w:val="27"/>
        </w:rPr>
        <w:t xml:space="preserve">some </w:t>
      </w:r>
      <w:r>
        <w:rPr>
          <w:rFonts w:ascii="Segoe UI" w:hAnsi="Segoe UI" w:cs="Segoe UI"/>
          <w:color w:val="000000" w:themeColor="text1"/>
          <w:sz w:val="27"/>
          <w:szCs w:val="27"/>
        </w:rPr>
        <w:t>sub-groups of the population:</w:t>
      </w:r>
    </w:p>
    <w:p w14:paraId="28C85D50" w14:textId="04DBE992"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Care home staff and residents</w:t>
      </w:r>
    </w:p>
    <w:p w14:paraId="039C42BD" w14:textId="0196B767"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Social care staff</w:t>
      </w:r>
    </w:p>
    <w:p w14:paraId="0E0698A7" w14:textId="4DB522F9"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NHS Trust Healthcare workers</w:t>
      </w:r>
    </w:p>
    <w:p w14:paraId="390B8D10" w14:textId="12292A5A"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Primary Care Healthcare workers</w:t>
      </w:r>
    </w:p>
    <w:p w14:paraId="21141DAC" w14:textId="55AB29E8"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Clinically Extremely Vulnerable</w:t>
      </w:r>
      <w:r w:rsidR="0099606F">
        <w:rPr>
          <w:rFonts w:ascii="Segoe UI" w:hAnsi="Segoe UI" w:cs="Segoe UI"/>
          <w:color w:val="000000" w:themeColor="text1"/>
          <w:sz w:val="27"/>
          <w:szCs w:val="27"/>
        </w:rPr>
        <w:t xml:space="preserve"> individuals</w:t>
      </w:r>
    </w:p>
    <w:p w14:paraId="7AE8C2CB" w14:textId="5BE896EA" w:rsidR="00500693" w:rsidRDefault="00500693" w:rsidP="00500693">
      <w:pPr>
        <w:pStyle w:val="ListParagraph"/>
        <w:numPr>
          <w:ilvl w:val="0"/>
          <w:numId w:val="4"/>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lastRenderedPageBreak/>
        <w:t>Individuals aged 16-64 identified as at risk or a carer</w:t>
      </w:r>
    </w:p>
    <w:p w14:paraId="44E46926" w14:textId="77777777" w:rsidR="0099606F" w:rsidRDefault="0099606F" w:rsidP="00186832">
      <w:pPr>
        <w:spacing w:after="0" w:line="240" w:lineRule="auto"/>
        <w:rPr>
          <w:rFonts w:ascii="Segoe UI" w:hAnsi="Segoe UI" w:cs="Segoe UI"/>
          <w:color w:val="000000" w:themeColor="text1"/>
          <w:sz w:val="27"/>
          <w:szCs w:val="27"/>
        </w:rPr>
      </w:pPr>
    </w:p>
    <w:p w14:paraId="0716C6A9" w14:textId="227385E5" w:rsidR="004A68C4" w:rsidRDefault="004A68C4" w:rsidP="00186832">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Denominators for these sub-groups are not taken from the ONS mid-year population estimates or from NIMS</w:t>
      </w:r>
      <w:r w:rsidR="00784B9C">
        <w:rPr>
          <w:rFonts w:ascii="Segoe UI" w:hAnsi="Segoe UI" w:cs="Segoe UI"/>
          <w:color w:val="000000" w:themeColor="text1"/>
          <w:sz w:val="27"/>
          <w:szCs w:val="27"/>
        </w:rPr>
        <w:t>, instead the denominators are taken from the sources used to derive the data:</w:t>
      </w:r>
    </w:p>
    <w:p w14:paraId="27B891B9" w14:textId="77777777" w:rsidR="00784B9C" w:rsidRDefault="00784B9C" w:rsidP="00186832">
      <w:pPr>
        <w:spacing w:after="0" w:line="240" w:lineRule="auto"/>
        <w:rPr>
          <w:rFonts w:ascii="Segoe UI" w:hAnsi="Segoe UI" w:cs="Segoe UI"/>
          <w:color w:val="000000" w:themeColor="text1"/>
          <w:sz w:val="27"/>
          <w:szCs w:val="27"/>
        </w:rPr>
      </w:pPr>
    </w:p>
    <w:p w14:paraId="5079E9A6" w14:textId="2D034C49" w:rsidR="00784B9C" w:rsidRPr="00784B9C" w:rsidRDefault="00784B9C" w:rsidP="00784B9C">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Care home staff/residents and social care staff - </w:t>
      </w:r>
      <w:r w:rsidRPr="00784B9C">
        <w:rPr>
          <w:rFonts w:ascii="Segoe UI" w:hAnsi="Segoe UI" w:cs="Segoe UI"/>
          <w:color w:val="000000" w:themeColor="text1"/>
          <w:sz w:val="27"/>
          <w:szCs w:val="27"/>
        </w:rPr>
        <w:t xml:space="preserve">the </w:t>
      </w:r>
      <w:r>
        <w:rPr>
          <w:rFonts w:ascii="Segoe UI" w:hAnsi="Segoe UI" w:cs="Segoe UI"/>
          <w:color w:val="000000" w:themeColor="text1"/>
          <w:sz w:val="27"/>
          <w:szCs w:val="27"/>
        </w:rPr>
        <w:t xml:space="preserve">denominators for </w:t>
      </w:r>
      <w:r w:rsidR="00D01172">
        <w:rPr>
          <w:rFonts w:ascii="Segoe UI" w:hAnsi="Segoe UI" w:cs="Segoe UI"/>
          <w:color w:val="000000" w:themeColor="text1"/>
          <w:sz w:val="27"/>
          <w:szCs w:val="27"/>
        </w:rPr>
        <w:t>th</w:t>
      </w:r>
      <w:r w:rsidR="0099606F">
        <w:rPr>
          <w:rFonts w:ascii="Segoe UI" w:hAnsi="Segoe UI" w:cs="Segoe UI"/>
          <w:color w:val="000000" w:themeColor="text1"/>
          <w:sz w:val="27"/>
          <w:szCs w:val="27"/>
        </w:rPr>
        <w:t>ese</w:t>
      </w:r>
      <w:r w:rsidR="00D01172">
        <w:rPr>
          <w:rFonts w:ascii="Segoe UI" w:hAnsi="Segoe UI" w:cs="Segoe UI"/>
          <w:color w:val="000000" w:themeColor="text1"/>
          <w:sz w:val="27"/>
          <w:szCs w:val="27"/>
        </w:rPr>
        <w:t xml:space="preserve"> sub-group</w:t>
      </w:r>
      <w:r w:rsidR="0099606F">
        <w:rPr>
          <w:rFonts w:ascii="Segoe UI" w:hAnsi="Segoe UI" w:cs="Segoe UI"/>
          <w:color w:val="000000" w:themeColor="text1"/>
          <w:sz w:val="27"/>
          <w:szCs w:val="27"/>
        </w:rPr>
        <w:t>s</w:t>
      </w:r>
      <w:r>
        <w:rPr>
          <w:rFonts w:ascii="Segoe UI" w:hAnsi="Segoe UI" w:cs="Segoe UI"/>
          <w:color w:val="000000" w:themeColor="text1"/>
          <w:sz w:val="27"/>
          <w:szCs w:val="27"/>
        </w:rPr>
        <w:t xml:space="preserve"> are the numbers of staff and residents reported in </w:t>
      </w:r>
      <w:r w:rsidRPr="00784B9C">
        <w:rPr>
          <w:rFonts w:ascii="Segoe UI" w:hAnsi="Segoe UI" w:cs="Segoe UI"/>
          <w:color w:val="000000" w:themeColor="text1"/>
          <w:sz w:val="27"/>
          <w:szCs w:val="27"/>
        </w:rPr>
        <w:t>Capacity Tracker. This is a live system for Care Quality Commission (CQC) registered care providers to enter data and a manual system collated by Local Authorities for non-CQC registered providers. Numbers of residents and staff will fluctuate as individuals enter or leave the social care system and workforce</w:t>
      </w:r>
      <w:r w:rsidR="00066586">
        <w:rPr>
          <w:rFonts w:ascii="Segoe UI" w:hAnsi="Segoe UI" w:cs="Segoe UI"/>
          <w:color w:val="000000" w:themeColor="text1"/>
          <w:sz w:val="27"/>
          <w:szCs w:val="27"/>
        </w:rPr>
        <w:t xml:space="preserve"> and depending on the response rate for this information in Capacity Tracker.</w:t>
      </w:r>
    </w:p>
    <w:p w14:paraId="34C884DE" w14:textId="5AC71801" w:rsidR="00784B9C" w:rsidRDefault="00784B9C" w:rsidP="00784B9C">
      <w:pPr>
        <w:spacing w:after="0" w:line="240" w:lineRule="auto"/>
        <w:rPr>
          <w:rFonts w:ascii="Segoe UI" w:hAnsi="Segoe UI" w:cs="Segoe UI"/>
          <w:color w:val="000000" w:themeColor="text1"/>
          <w:sz w:val="27"/>
          <w:szCs w:val="27"/>
        </w:rPr>
      </w:pPr>
    </w:p>
    <w:p w14:paraId="4EF58BD0" w14:textId="64900CC6" w:rsidR="0025089C" w:rsidRPr="00784B9C" w:rsidRDefault="00784B9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NHS Trust Healthcare workers – the </w:t>
      </w:r>
      <w:r w:rsidR="00D01172">
        <w:rPr>
          <w:rFonts w:ascii="Segoe UI" w:hAnsi="Segoe UI" w:cs="Segoe UI"/>
          <w:color w:val="000000" w:themeColor="text1"/>
          <w:sz w:val="27"/>
          <w:szCs w:val="27"/>
        </w:rPr>
        <w:t>denominators for this sub-group are the numbers of NHS Trust Healthcare workers</w:t>
      </w:r>
      <w:r>
        <w:rPr>
          <w:rFonts w:ascii="Segoe UI" w:hAnsi="Segoe UI" w:cs="Segoe UI"/>
          <w:color w:val="000000" w:themeColor="text1"/>
          <w:sz w:val="27"/>
          <w:szCs w:val="27"/>
        </w:rPr>
        <w:t xml:space="preserve"> taken from the NHS Electronic Staff Record (ESR). This covers all directly employed staff in NHS Trusts,</w:t>
      </w:r>
      <w:r w:rsidRPr="00784B9C">
        <w:rPr>
          <w:rFonts w:ascii="Segoe UI" w:hAnsi="Segoe UI" w:cs="Segoe UI"/>
          <w:sz w:val="27"/>
          <w:szCs w:val="27"/>
        </w:rPr>
        <w:t xml:space="preserve"> </w:t>
      </w:r>
      <w:proofErr w:type="gramStart"/>
      <w:r w:rsidRPr="00784B9C">
        <w:rPr>
          <w:rFonts w:ascii="Segoe UI" w:hAnsi="Segoe UI" w:cs="Segoe UI"/>
          <w:sz w:val="27"/>
          <w:szCs w:val="27"/>
        </w:rPr>
        <w:t>with the exception of</w:t>
      </w:r>
      <w:proofErr w:type="gramEnd"/>
      <w:r w:rsidRPr="00784B9C">
        <w:rPr>
          <w:rFonts w:ascii="Segoe UI" w:hAnsi="Segoe UI" w:cs="Segoe UI"/>
          <w:sz w:val="27"/>
          <w:szCs w:val="27"/>
        </w:rPr>
        <w:t xml:space="preserve"> Chesterfield Royal NHS Foundation Trust. It does not include</w:t>
      </w:r>
      <w:r>
        <w:rPr>
          <w:rFonts w:ascii="Segoe UI" w:hAnsi="Segoe UI" w:cs="Segoe UI"/>
          <w:sz w:val="27"/>
          <w:szCs w:val="27"/>
        </w:rPr>
        <w:t xml:space="preserve"> </w:t>
      </w:r>
      <w:r w:rsidRPr="00784B9C">
        <w:rPr>
          <w:rFonts w:ascii="Segoe UI" w:hAnsi="Segoe UI" w:cs="Segoe UI"/>
          <w:sz w:val="27"/>
          <w:szCs w:val="27"/>
        </w:rPr>
        <w:t xml:space="preserve">agency staff and NHS Bank staff </w:t>
      </w:r>
      <w:r w:rsidR="004217F3">
        <w:rPr>
          <w:rFonts w:ascii="Segoe UI" w:hAnsi="Segoe UI" w:cs="Segoe UI"/>
          <w:sz w:val="27"/>
          <w:szCs w:val="27"/>
        </w:rPr>
        <w:t>who</w:t>
      </w:r>
      <w:r w:rsidR="004217F3" w:rsidRPr="00784B9C">
        <w:rPr>
          <w:rFonts w:ascii="Segoe UI" w:hAnsi="Segoe UI" w:cs="Segoe UI"/>
          <w:sz w:val="27"/>
          <w:szCs w:val="27"/>
        </w:rPr>
        <w:t xml:space="preserve"> </w:t>
      </w:r>
      <w:r w:rsidRPr="00784B9C">
        <w:rPr>
          <w:rFonts w:ascii="Segoe UI" w:hAnsi="Segoe UI" w:cs="Segoe UI"/>
          <w:sz w:val="27"/>
          <w:szCs w:val="27"/>
        </w:rPr>
        <w:t>are not paid through ESR.</w:t>
      </w:r>
      <w:r w:rsidR="00220B3C">
        <w:rPr>
          <w:rFonts w:ascii="Segoe UI" w:hAnsi="Segoe UI" w:cs="Segoe UI"/>
          <w:sz w:val="27"/>
          <w:szCs w:val="27"/>
        </w:rPr>
        <w:t xml:space="preserve"> Numbers of NHS Trust Healthcare workers will fluctuate as individuals enter or leave the workforce. </w:t>
      </w:r>
    </w:p>
    <w:p w14:paraId="745CF828" w14:textId="77777777" w:rsidR="00784B9C" w:rsidRPr="00784B9C" w:rsidRDefault="00784B9C" w:rsidP="00784B9C">
      <w:pPr>
        <w:pStyle w:val="ListParagraph"/>
        <w:rPr>
          <w:rFonts w:ascii="Segoe UI" w:hAnsi="Segoe UI" w:cs="Segoe UI"/>
          <w:color w:val="000000" w:themeColor="text1"/>
          <w:sz w:val="27"/>
          <w:szCs w:val="27"/>
        </w:rPr>
      </w:pPr>
    </w:p>
    <w:p w14:paraId="125C2751" w14:textId="7CA1F2BA" w:rsidR="00784B9C" w:rsidRDefault="00784B9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Primary Care Healthcare workers </w:t>
      </w:r>
      <w:r w:rsidR="00220B3C">
        <w:rPr>
          <w:rFonts w:ascii="Segoe UI" w:hAnsi="Segoe UI" w:cs="Segoe UI"/>
          <w:color w:val="000000" w:themeColor="text1"/>
          <w:sz w:val="27"/>
          <w:szCs w:val="27"/>
        </w:rPr>
        <w:t>–</w:t>
      </w:r>
      <w:r>
        <w:rPr>
          <w:rFonts w:ascii="Segoe UI" w:hAnsi="Segoe UI" w:cs="Segoe UI"/>
          <w:color w:val="000000" w:themeColor="text1"/>
          <w:sz w:val="27"/>
          <w:szCs w:val="27"/>
        </w:rPr>
        <w:t xml:space="preserve"> </w:t>
      </w:r>
      <w:r w:rsidR="00220B3C">
        <w:rPr>
          <w:rFonts w:ascii="Segoe UI" w:hAnsi="Segoe UI" w:cs="Segoe UI"/>
          <w:color w:val="000000" w:themeColor="text1"/>
          <w:sz w:val="27"/>
          <w:szCs w:val="27"/>
        </w:rPr>
        <w:t xml:space="preserve">the </w:t>
      </w:r>
      <w:r w:rsidR="00D01172">
        <w:rPr>
          <w:rFonts w:ascii="Segoe UI" w:hAnsi="Segoe UI" w:cs="Segoe UI"/>
          <w:color w:val="000000" w:themeColor="text1"/>
          <w:sz w:val="27"/>
          <w:szCs w:val="27"/>
        </w:rPr>
        <w:t xml:space="preserve">denominators for this sub-group are the </w:t>
      </w:r>
      <w:r w:rsidR="00220B3C">
        <w:rPr>
          <w:rFonts w:ascii="Segoe UI" w:hAnsi="Segoe UI" w:cs="Segoe UI"/>
          <w:color w:val="000000" w:themeColor="text1"/>
          <w:sz w:val="27"/>
          <w:szCs w:val="27"/>
        </w:rPr>
        <w:t xml:space="preserve">number of Primary Care Healthcare workers taken from a monthly NHS Clinical Commissioning Group Situation Report. </w:t>
      </w:r>
      <w:r w:rsidR="00066586">
        <w:rPr>
          <w:rFonts w:ascii="Segoe UI" w:hAnsi="Segoe UI" w:cs="Segoe UI"/>
          <w:color w:val="000000" w:themeColor="text1"/>
          <w:sz w:val="27"/>
          <w:szCs w:val="27"/>
        </w:rPr>
        <w:t>The denominator</w:t>
      </w:r>
      <w:r w:rsidR="00220B3C">
        <w:rPr>
          <w:rFonts w:ascii="Segoe UI" w:hAnsi="Segoe UI" w:cs="Segoe UI"/>
          <w:color w:val="000000" w:themeColor="text1"/>
          <w:sz w:val="27"/>
          <w:szCs w:val="27"/>
        </w:rPr>
        <w:t xml:space="preserve"> will fluctuate as individuals enter or leave the workforce and depending on the response rate for the Situation Report. </w:t>
      </w:r>
    </w:p>
    <w:p w14:paraId="7C9151FB" w14:textId="77777777" w:rsidR="00220B3C" w:rsidRPr="00220B3C" w:rsidRDefault="00220B3C" w:rsidP="00220B3C">
      <w:pPr>
        <w:pStyle w:val="ListParagraph"/>
        <w:rPr>
          <w:rFonts w:ascii="Segoe UI" w:hAnsi="Segoe UI" w:cs="Segoe UI"/>
          <w:color w:val="000000" w:themeColor="text1"/>
          <w:sz w:val="27"/>
          <w:szCs w:val="27"/>
        </w:rPr>
      </w:pPr>
    </w:p>
    <w:p w14:paraId="413A81C6" w14:textId="20725710" w:rsidR="00220B3C" w:rsidRDefault="00220B3C" w:rsidP="00186832">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Clinically Extremely Vulnerable – the </w:t>
      </w:r>
      <w:r w:rsidR="00D01172">
        <w:rPr>
          <w:rFonts w:ascii="Segoe UI" w:hAnsi="Segoe UI" w:cs="Segoe UI"/>
          <w:color w:val="000000" w:themeColor="text1"/>
          <w:sz w:val="27"/>
          <w:szCs w:val="27"/>
        </w:rPr>
        <w:t xml:space="preserve">denominators for this sub-group are the </w:t>
      </w:r>
      <w:r>
        <w:rPr>
          <w:rFonts w:ascii="Segoe UI" w:hAnsi="Segoe UI" w:cs="Segoe UI"/>
          <w:color w:val="000000" w:themeColor="text1"/>
          <w:sz w:val="27"/>
          <w:szCs w:val="27"/>
        </w:rPr>
        <w:t>number</w:t>
      </w:r>
      <w:r w:rsidR="00D01172">
        <w:rPr>
          <w:rFonts w:ascii="Segoe UI" w:hAnsi="Segoe UI" w:cs="Segoe UI"/>
          <w:color w:val="000000" w:themeColor="text1"/>
          <w:sz w:val="27"/>
          <w:szCs w:val="27"/>
        </w:rPr>
        <w:t>s</w:t>
      </w:r>
      <w:r>
        <w:rPr>
          <w:rFonts w:ascii="Segoe UI" w:hAnsi="Segoe UI" w:cs="Segoe UI"/>
          <w:color w:val="000000" w:themeColor="text1"/>
          <w:sz w:val="27"/>
          <w:szCs w:val="27"/>
        </w:rPr>
        <w:t xml:space="preserve"> of Clinically Extremely Vulnerable (CEV) individuals</w:t>
      </w:r>
      <w:r w:rsidR="00D01172">
        <w:rPr>
          <w:rFonts w:ascii="Segoe UI" w:hAnsi="Segoe UI" w:cs="Segoe UI"/>
          <w:color w:val="000000" w:themeColor="text1"/>
          <w:sz w:val="27"/>
          <w:szCs w:val="27"/>
        </w:rPr>
        <w:t xml:space="preserve"> </w:t>
      </w:r>
      <w:r>
        <w:rPr>
          <w:rFonts w:ascii="Segoe UI" w:hAnsi="Segoe UI" w:cs="Segoe UI"/>
          <w:color w:val="000000" w:themeColor="text1"/>
          <w:sz w:val="27"/>
          <w:szCs w:val="27"/>
        </w:rPr>
        <w:t xml:space="preserve">taken from the Shielded Patient List, which is a record of vulnerable individuals thought to be at high risk of complications from COVID-19. The number of CEV individuals </w:t>
      </w:r>
      <w:r w:rsidRPr="00220B3C">
        <w:rPr>
          <w:rFonts w:ascii="Segoe UI" w:hAnsi="Segoe UI" w:cs="Segoe UI"/>
          <w:color w:val="000000" w:themeColor="text1"/>
          <w:sz w:val="27"/>
          <w:szCs w:val="27"/>
        </w:rPr>
        <w:t>exclud</w:t>
      </w:r>
      <w:r>
        <w:rPr>
          <w:rFonts w:ascii="Segoe UI" w:hAnsi="Segoe UI" w:cs="Segoe UI"/>
          <w:color w:val="000000" w:themeColor="text1"/>
          <w:sz w:val="27"/>
          <w:szCs w:val="27"/>
        </w:rPr>
        <w:t>es</w:t>
      </w:r>
      <w:r w:rsidRPr="00220B3C">
        <w:rPr>
          <w:rFonts w:ascii="Segoe UI" w:hAnsi="Segoe UI" w:cs="Segoe UI"/>
          <w:color w:val="000000" w:themeColor="text1"/>
          <w:sz w:val="27"/>
          <w:szCs w:val="27"/>
        </w:rPr>
        <w:t xml:space="preserve"> additional patients identified by the </w:t>
      </w:r>
      <w:proofErr w:type="spellStart"/>
      <w:r w:rsidRPr="00220B3C">
        <w:rPr>
          <w:rFonts w:ascii="Segoe UI" w:hAnsi="Segoe UI" w:cs="Segoe UI"/>
          <w:color w:val="000000" w:themeColor="text1"/>
          <w:sz w:val="27"/>
          <w:szCs w:val="27"/>
        </w:rPr>
        <w:t>QCovid</w:t>
      </w:r>
      <w:proofErr w:type="spellEnd"/>
      <w:r w:rsidRPr="00220B3C">
        <w:rPr>
          <w:rFonts w:ascii="Segoe UI" w:hAnsi="Segoe UI" w:cs="Segoe UI"/>
          <w:color w:val="000000" w:themeColor="text1"/>
          <w:sz w:val="27"/>
          <w:szCs w:val="27"/>
        </w:rPr>
        <w:t xml:space="preserve"> risk assessment tool</w:t>
      </w:r>
      <w:r>
        <w:rPr>
          <w:rFonts w:ascii="Segoe UI" w:hAnsi="Segoe UI" w:cs="Segoe UI"/>
          <w:color w:val="000000" w:themeColor="text1"/>
          <w:sz w:val="27"/>
          <w:szCs w:val="27"/>
        </w:rPr>
        <w:t xml:space="preserve"> and </w:t>
      </w:r>
      <w:r w:rsidRPr="00220B3C">
        <w:rPr>
          <w:rFonts w:ascii="Segoe UI" w:hAnsi="Segoe UI" w:cs="Segoe UI"/>
          <w:color w:val="000000" w:themeColor="text1"/>
          <w:sz w:val="27"/>
          <w:szCs w:val="27"/>
        </w:rPr>
        <w:t>a small number of patients who have been flagged as being deceased, who are under 16 years of age or who have not been matched to a GP in England (including those with no GP practice record).</w:t>
      </w:r>
    </w:p>
    <w:p w14:paraId="56D5C26D" w14:textId="77777777" w:rsidR="00220B3C" w:rsidRPr="00220B3C" w:rsidRDefault="00220B3C" w:rsidP="00220B3C">
      <w:pPr>
        <w:pStyle w:val="ListParagraph"/>
        <w:rPr>
          <w:rFonts w:ascii="Segoe UI" w:hAnsi="Segoe UI" w:cs="Segoe UI"/>
          <w:color w:val="000000" w:themeColor="text1"/>
          <w:sz w:val="27"/>
          <w:szCs w:val="27"/>
        </w:rPr>
      </w:pPr>
    </w:p>
    <w:p w14:paraId="7B7813D8" w14:textId="7A14BB8E" w:rsidR="00220B3C" w:rsidRPr="00220B3C" w:rsidRDefault="00220B3C" w:rsidP="00220B3C">
      <w:pPr>
        <w:pStyle w:val="ListParagraph"/>
        <w:numPr>
          <w:ilvl w:val="0"/>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lastRenderedPageBreak/>
        <w:t xml:space="preserve">Individuals aged 16-64 identified as at risk or a </w:t>
      </w:r>
      <w:proofErr w:type="spellStart"/>
      <w:r>
        <w:rPr>
          <w:rFonts w:ascii="Segoe UI" w:hAnsi="Segoe UI" w:cs="Segoe UI"/>
          <w:color w:val="000000" w:themeColor="text1"/>
          <w:sz w:val="27"/>
          <w:szCs w:val="27"/>
        </w:rPr>
        <w:t>carer</w:t>
      </w:r>
      <w:proofErr w:type="spellEnd"/>
      <w:r>
        <w:rPr>
          <w:rFonts w:ascii="Segoe UI" w:hAnsi="Segoe UI" w:cs="Segoe UI"/>
          <w:color w:val="000000" w:themeColor="text1"/>
          <w:sz w:val="27"/>
          <w:szCs w:val="27"/>
        </w:rPr>
        <w:t xml:space="preserve"> – the </w:t>
      </w:r>
      <w:r w:rsidR="00D01172">
        <w:rPr>
          <w:rFonts w:ascii="Segoe UI" w:hAnsi="Segoe UI" w:cs="Segoe UI"/>
          <w:color w:val="000000" w:themeColor="text1"/>
          <w:sz w:val="27"/>
          <w:szCs w:val="27"/>
        </w:rPr>
        <w:t xml:space="preserve">denominators for this sub-group are </w:t>
      </w:r>
      <w:r>
        <w:rPr>
          <w:rFonts w:ascii="Segoe UI" w:hAnsi="Segoe UI" w:cs="Segoe UI"/>
          <w:color w:val="000000" w:themeColor="text1"/>
          <w:sz w:val="27"/>
          <w:szCs w:val="27"/>
        </w:rPr>
        <w:t>derived from five different data sources:</w:t>
      </w:r>
    </w:p>
    <w:p w14:paraId="0FB1738E"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 xml:space="preserve">Those identified as </w:t>
      </w:r>
      <w:r w:rsidRPr="00220B3C">
        <w:rPr>
          <w:rFonts w:ascii="Segoe UI" w:hAnsi="Segoe UI" w:cs="Segoe UI"/>
          <w:color w:val="000000" w:themeColor="text1"/>
          <w:sz w:val="27"/>
          <w:szCs w:val="27"/>
        </w:rPr>
        <w:t>At Risk or a Carer in GP records</w:t>
      </w:r>
    </w:p>
    <w:p w14:paraId="26994D03"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 xml:space="preserve">hose identified </w:t>
      </w:r>
      <w:r>
        <w:rPr>
          <w:rFonts w:ascii="Segoe UI" w:hAnsi="Segoe UI" w:cs="Segoe UI"/>
          <w:color w:val="000000" w:themeColor="text1"/>
          <w:sz w:val="27"/>
          <w:szCs w:val="27"/>
        </w:rPr>
        <w:t xml:space="preserve">as </w:t>
      </w:r>
      <w:r w:rsidRPr="00220B3C">
        <w:rPr>
          <w:rFonts w:ascii="Segoe UI" w:hAnsi="Segoe UI" w:cs="Segoe UI"/>
          <w:color w:val="000000" w:themeColor="text1"/>
          <w:sz w:val="27"/>
          <w:szCs w:val="27"/>
        </w:rPr>
        <w:t>at risk by the QCOVID assessment tool</w:t>
      </w:r>
    </w:p>
    <w:p w14:paraId="41483BE2"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hose in receipt of a carer's Allowance</w:t>
      </w:r>
    </w:p>
    <w:p w14:paraId="6D313555"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hose on the GP Learning Disability Register</w:t>
      </w:r>
    </w:p>
    <w:p w14:paraId="4714989C" w14:textId="77777777" w:rsidR="00220B3C" w:rsidRDefault="00220B3C" w:rsidP="00220B3C">
      <w:pPr>
        <w:pStyle w:val="ListParagraph"/>
        <w:numPr>
          <w:ilvl w:val="1"/>
          <w:numId w:val="6"/>
        </w:num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T</w:t>
      </w:r>
      <w:r w:rsidRPr="00220B3C">
        <w:rPr>
          <w:rFonts w:ascii="Segoe UI" w:hAnsi="Segoe UI" w:cs="Segoe UI"/>
          <w:color w:val="000000" w:themeColor="text1"/>
          <w:sz w:val="27"/>
          <w:szCs w:val="27"/>
        </w:rPr>
        <w:t xml:space="preserve">hose identified as unpaid carers by Local Authorities. </w:t>
      </w:r>
    </w:p>
    <w:p w14:paraId="47F36FCC" w14:textId="44B184B0" w:rsidR="00220B3C" w:rsidRDefault="00220B3C" w:rsidP="00220B3C">
      <w:pPr>
        <w:spacing w:after="0" w:line="240" w:lineRule="auto"/>
        <w:rPr>
          <w:rFonts w:ascii="Segoe UI" w:hAnsi="Segoe UI" w:cs="Segoe UI"/>
          <w:color w:val="000000" w:themeColor="text1"/>
          <w:sz w:val="27"/>
          <w:szCs w:val="27"/>
        </w:rPr>
      </w:pPr>
    </w:p>
    <w:p w14:paraId="693C3C9C" w14:textId="3DC4E6D0" w:rsidR="00220B3C" w:rsidRPr="00220B3C" w:rsidRDefault="009A694A" w:rsidP="00220B3C">
      <w:pPr>
        <w:spacing w:after="0" w:line="240" w:lineRule="auto"/>
        <w:rPr>
          <w:rFonts w:ascii="Segoe UI" w:hAnsi="Segoe UI" w:cs="Segoe UI"/>
          <w:color w:val="000000" w:themeColor="text1"/>
          <w:sz w:val="27"/>
          <w:szCs w:val="27"/>
        </w:rPr>
      </w:pPr>
      <w:r>
        <w:rPr>
          <w:rFonts w:ascii="Segoe UI" w:hAnsi="Segoe UI" w:cs="Segoe UI"/>
          <w:color w:val="000000" w:themeColor="text1"/>
          <w:sz w:val="27"/>
          <w:szCs w:val="27"/>
        </w:rPr>
        <w:t>As t</w:t>
      </w:r>
      <w:r w:rsidR="00220B3C">
        <w:rPr>
          <w:rFonts w:ascii="Segoe UI" w:hAnsi="Segoe UI" w:cs="Segoe UI"/>
          <w:color w:val="000000" w:themeColor="text1"/>
          <w:sz w:val="27"/>
          <w:szCs w:val="27"/>
        </w:rPr>
        <w:t>he denominators for the sub-groups described above a</w:t>
      </w:r>
      <w:r>
        <w:rPr>
          <w:rFonts w:ascii="Segoe UI" w:hAnsi="Segoe UI" w:cs="Segoe UI"/>
          <w:color w:val="000000" w:themeColor="text1"/>
          <w:sz w:val="27"/>
          <w:szCs w:val="27"/>
        </w:rPr>
        <w:t>re</w:t>
      </w:r>
      <w:r w:rsidR="00220B3C">
        <w:rPr>
          <w:rFonts w:ascii="Segoe UI" w:hAnsi="Segoe UI" w:cs="Segoe UI"/>
          <w:color w:val="000000" w:themeColor="text1"/>
          <w:sz w:val="27"/>
          <w:szCs w:val="27"/>
        </w:rPr>
        <w:t xml:space="preserve"> taken from </w:t>
      </w:r>
      <w:r w:rsidR="004217F3">
        <w:rPr>
          <w:rFonts w:ascii="Segoe UI" w:hAnsi="Segoe UI" w:cs="Segoe UI"/>
          <w:color w:val="000000" w:themeColor="text1"/>
          <w:sz w:val="27"/>
          <w:szCs w:val="27"/>
        </w:rPr>
        <w:t xml:space="preserve">GP records </w:t>
      </w:r>
      <w:r w:rsidR="005E4EE0">
        <w:rPr>
          <w:rFonts w:ascii="Segoe UI" w:hAnsi="Segoe UI" w:cs="Segoe UI"/>
          <w:color w:val="000000" w:themeColor="text1"/>
          <w:sz w:val="27"/>
          <w:szCs w:val="27"/>
        </w:rPr>
        <w:t>or</w:t>
      </w:r>
      <w:r w:rsidR="00D0520D">
        <w:rPr>
          <w:rFonts w:ascii="Segoe UI" w:hAnsi="Segoe UI" w:cs="Segoe UI"/>
          <w:color w:val="000000" w:themeColor="text1"/>
          <w:sz w:val="27"/>
          <w:szCs w:val="27"/>
        </w:rPr>
        <w:t xml:space="preserve"> other </w:t>
      </w:r>
      <w:r w:rsidR="004217F3">
        <w:rPr>
          <w:rFonts w:ascii="Segoe UI" w:hAnsi="Segoe UI" w:cs="Segoe UI"/>
          <w:color w:val="000000" w:themeColor="text1"/>
          <w:sz w:val="27"/>
          <w:szCs w:val="27"/>
        </w:rPr>
        <w:t xml:space="preserve">administrative data </w:t>
      </w:r>
      <w:r w:rsidR="00D0520D">
        <w:rPr>
          <w:rFonts w:ascii="Segoe UI" w:hAnsi="Segoe UI" w:cs="Segoe UI"/>
          <w:color w:val="000000" w:themeColor="text1"/>
          <w:sz w:val="27"/>
          <w:szCs w:val="27"/>
        </w:rPr>
        <w:t>sources</w:t>
      </w:r>
      <w:r w:rsidR="004217F3">
        <w:rPr>
          <w:rFonts w:ascii="Segoe UI" w:hAnsi="Segoe UI" w:cs="Segoe UI"/>
          <w:color w:val="000000" w:themeColor="text1"/>
          <w:sz w:val="27"/>
          <w:szCs w:val="27"/>
        </w:rPr>
        <w:t xml:space="preserve">, </w:t>
      </w:r>
      <w:r w:rsidR="00175470">
        <w:rPr>
          <w:rFonts w:ascii="Segoe UI" w:hAnsi="Segoe UI" w:cs="Segoe UI"/>
          <w:color w:val="000000" w:themeColor="text1"/>
          <w:sz w:val="27"/>
          <w:szCs w:val="27"/>
        </w:rPr>
        <w:t>data quality is dependent on the accuracy of these records. But as these data sources are specific to these sub-groups,</w:t>
      </w:r>
      <w:r>
        <w:rPr>
          <w:rFonts w:ascii="Segoe UI" w:hAnsi="Segoe UI" w:cs="Segoe UI"/>
          <w:color w:val="000000" w:themeColor="text1"/>
          <w:sz w:val="27"/>
          <w:szCs w:val="27"/>
        </w:rPr>
        <w:t xml:space="preserve"> they are </w:t>
      </w:r>
      <w:r w:rsidR="00175470">
        <w:rPr>
          <w:rFonts w:ascii="Segoe UI" w:hAnsi="Segoe UI" w:cs="Segoe UI"/>
          <w:color w:val="000000" w:themeColor="text1"/>
          <w:sz w:val="27"/>
          <w:szCs w:val="27"/>
        </w:rPr>
        <w:t xml:space="preserve">considered </w:t>
      </w:r>
      <w:r>
        <w:rPr>
          <w:rFonts w:ascii="Segoe UI" w:hAnsi="Segoe UI" w:cs="Segoe UI"/>
          <w:color w:val="000000" w:themeColor="text1"/>
          <w:sz w:val="27"/>
          <w:szCs w:val="27"/>
        </w:rPr>
        <w:t xml:space="preserve">more accurate than the ONS and NIMS denominators and therefore </w:t>
      </w:r>
      <w:r w:rsidR="00D01172">
        <w:rPr>
          <w:rFonts w:ascii="Segoe UI" w:hAnsi="Segoe UI" w:cs="Segoe UI"/>
          <w:color w:val="000000" w:themeColor="text1"/>
          <w:sz w:val="27"/>
          <w:szCs w:val="27"/>
        </w:rPr>
        <w:t xml:space="preserve">the vaccine uptake percentages can be considered more accurate than those calculated using ONS or NIMS denominators. </w:t>
      </w:r>
    </w:p>
    <w:sectPr w:rsidR="00220B3C" w:rsidRPr="00220B3C" w:rsidSect="00E86EB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F94628"/>
    <w:multiLevelType w:val="hybridMultilevel"/>
    <w:tmpl w:val="60F04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8884797"/>
    <w:multiLevelType w:val="hybridMultilevel"/>
    <w:tmpl w:val="720833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DF32FC3"/>
    <w:multiLevelType w:val="multilevel"/>
    <w:tmpl w:val="F234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36A87"/>
    <w:multiLevelType w:val="hybridMultilevel"/>
    <w:tmpl w:val="28746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737AC"/>
    <w:multiLevelType w:val="hybridMultilevel"/>
    <w:tmpl w:val="DD98BF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7F5FF1"/>
    <w:multiLevelType w:val="hybridMultilevel"/>
    <w:tmpl w:val="E7E85A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A15"/>
    <w:rsid w:val="00012E86"/>
    <w:rsid w:val="00014AB7"/>
    <w:rsid w:val="00015881"/>
    <w:rsid w:val="00017ADA"/>
    <w:rsid w:val="000203D1"/>
    <w:rsid w:val="00026527"/>
    <w:rsid w:val="000326D8"/>
    <w:rsid w:val="000348EF"/>
    <w:rsid w:val="000373A0"/>
    <w:rsid w:val="00041F4E"/>
    <w:rsid w:val="000435A3"/>
    <w:rsid w:val="00046A39"/>
    <w:rsid w:val="000555D8"/>
    <w:rsid w:val="00066586"/>
    <w:rsid w:val="00071737"/>
    <w:rsid w:val="000744EF"/>
    <w:rsid w:val="00097ACB"/>
    <w:rsid w:val="000B5FC2"/>
    <w:rsid w:val="000B727B"/>
    <w:rsid w:val="000C7081"/>
    <w:rsid w:val="000D1751"/>
    <w:rsid w:val="000D445F"/>
    <w:rsid w:val="000F0965"/>
    <w:rsid w:val="000F69F7"/>
    <w:rsid w:val="00112325"/>
    <w:rsid w:val="001266CE"/>
    <w:rsid w:val="00142D48"/>
    <w:rsid w:val="00143B38"/>
    <w:rsid w:val="00144A12"/>
    <w:rsid w:val="001457E9"/>
    <w:rsid w:val="00147B4A"/>
    <w:rsid w:val="001600E2"/>
    <w:rsid w:val="00175470"/>
    <w:rsid w:val="00180048"/>
    <w:rsid w:val="00181916"/>
    <w:rsid w:val="00186832"/>
    <w:rsid w:val="001A4E57"/>
    <w:rsid w:val="001A50EE"/>
    <w:rsid w:val="001B620F"/>
    <w:rsid w:val="001C7B97"/>
    <w:rsid w:val="001D27A1"/>
    <w:rsid w:val="001D7AFD"/>
    <w:rsid w:val="001E51BE"/>
    <w:rsid w:val="001F643F"/>
    <w:rsid w:val="00220B3C"/>
    <w:rsid w:val="0022403C"/>
    <w:rsid w:val="00231902"/>
    <w:rsid w:val="0025089C"/>
    <w:rsid w:val="002616D5"/>
    <w:rsid w:val="00266DE2"/>
    <w:rsid w:val="00270299"/>
    <w:rsid w:val="00280C7F"/>
    <w:rsid w:val="002B54DB"/>
    <w:rsid w:val="002D1F57"/>
    <w:rsid w:val="002E304E"/>
    <w:rsid w:val="002E5748"/>
    <w:rsid w:val="002F0A61"/>
    <w:rsid w:val="00322F26"/>
    <w:rsid w:val="0032418B"/>
    <w:rsid w:val="003244EA"/>
    <w:rsid w:val="00332DD1"/>
    <w:rsid w:val="00334F2C"/>
    <w:rsid w:val="003641EC"/>
    <w:rsid w:val="00371B51"/>
    <w:rsid w:val="0037473A"/>
    <w:rsid w:val="00384B53"/>
    <w:rsid w:val="003A6E9F"/>
    <w:rsid w:val="003B14D4"/>
    <w:rsid w:val="003B34DF"/>
    <w:rsid w:val="003C20C2"/>
    <w:rsid w:val="003E2A08"/>
    <w:rsid w:val="004118A5"/>
    <w:rsid w:val="004130DC"/>
    <w:rsid w:val="004217F3"/>
    <w:rsid w:val="004263CD"/>
    <w:rsid w:val="00446099"/>
    <w:rsid w:val="004504A7"/>
    <w:rsid w:val="00451CE9"/>
    <w:rsid w:val="0046107A"/>
    <w:rsid w:val="0049781A"/>
    <w:rsid w:val="004A30FD"/>
    <w:rsid w:val="004A492A"/>
    <w:rsid w:val="004A68C4"/>
    <w:rsid w:val="004D36E0"/>
    <w:rsid w:val="004D4C90"/>
    <w:rsid w:val="004E2CC6"/>
    <w:rsid w:val="004E3BE8"/>
    <w:rsid w:val="004E4EFE"/>
    <w:rsid w:val="004F7FB4"/>
    <w:rsid w:val="00500693"/>
    <w:rsid w:val="005031DC"/>
    <w:rsid w:val="00505B88"/>
    <w:rsid w:val="005136E5"/>
    <w:rsid w:val="00522F44"/>
    <w:rsid w:val="00531E6B"/>
    <w:rsid w:val="00540B31"/>
    <w:rsid w:val="00551982"/>
    <w:rsid w:val="00560E80"/>
    <w:rsid w:val="00564F86"/>
    <w:rsid w:val="0056765F"/>
    <w:rsid w:val="00571D0F"/>
    <w:rsid w:val="005A4D3E"/>
    <w:rsid w:val="005C7389"/>
    <w:rsid w:val="005D1732"/>
    <w:rsid w:val="005E4EE0"/>
    <w:rsid w:val="005F6BDE"/>
    <w:rsid w:val="00621E58"/>
    <w:rsid w:val="00640853"/>
    <w:rsid w:val="006419ED"/>
    <w:rsid w:val="00642E7E"/>
    <w:rsid w:val="00662A47"/>
    <w:rsid w:val="006717B4"/>
    <w:rsid w:val="00690D37"/>
    <w:rsid w:val="006C6315"/>
    <w:rsid w:val="006D57EF"/>
    <w:rsid w:val="00714FC2"/>
    <w:rsid w:val="007168ED"/>
    <w:rsid w:val="007439A2"/>
    <w:rsid w:val="00745FD5"/>
    <w:rsid w:val="00784B9C"/>
    <w:rsid w:val="00786A15"/>
    <w:rsid w:val="007B21C9"/>
    <w:rsid w:val="007D77AB"/>
    <w:rsid w:val="00800697"/>
    <w:rsid w:val="00820FCD"/>
    <w:rsid w:val="00831976"/>
    <w:rsid w:val="0083536D"/>
    <w:rsid w:val="00843A3F"/>
    <w:rsid w:val="0085367C"/>
    <w:rsid w:val="008C2FBB"/>
    <w:rsid w:val="008D1018"/>
    <w:rsid w:val="008E7576"/>
    <w:rsid w:val="008F0129"/>
    <w:rsid w:val="009535BC"/>
    <w:rsid w:val="0097088F"/>
    <w:rsid w:val="0098362D"/>
    <w:rsid w:val="00987D73"/>
    <w:rsid w:val="0099606F"/>
    <w:rsid w:val="00996748"/>
    <w:rsid w:val="009A694A"/>
    <w:rsid w:val="009A7C46"/>
    <w:rsid w:val="009C3822"/>
    <w:rsid w:val="009D1E80"/>
    <w:rsid w:val="009E6043"/>
    <w:rsid w:val="00A00B7E"/>
    <w:rsid w:val="00A40D71"/>
    <w:rsid w:val="00A415FC"/>
    <w:rsid w:val="00A522FB"/>
    <w:rsid w:val="00A531F0"/>
    <w:rsid w:val="00A56FDB"/>
    <w:rsid w:val="00A66301"/>
    <w:rsid w:val="00A817D8"/>
    <w:rsid w:val="00AD2C33"/>
    <w:rsid w:val="00AF0FD0"/>
    <w:rsid w:val="00B04BB9"/>
    <w:rsid w:val="00B1053D"/>
    <w:rsid w:val="00B12C78"/>
    <w:rsid w:val="00B1496C"/>
    <w:rsid w:val="00B16C34"/>
    <w:rsid w:val="00B17FB8"/>
    <w:rsid w:val="00B27526"/>
    <w:rsid w:val="00B4084C"/>
    <w:rsid w:val="00B4162C"/>
    <w:rsid w:val="00B6184C"/>
    <w:rsid w:val="00B6323B"/>
    <w:rsid w:val="00B730D0"/>
    <w:rsid w:val="00B74607"/>
    <w:rsid w:val="00B8190B"/>
    <w:rsid w:val="00BA72A8"/>
    <w:rsid w:val="00BC48AA"/>
    <w:rsid w:val="00BC6A65"/>
    <w:rsid w:val="00BF33EB"/>
    <w:rsid w:val="00BF7AF6"/>
    <w:rsid w:val="00BF7B43"/>
    <w:rsid w:val="00C25EF8"/>
    <w:rsid w:val="00C30384"/>
    <w:rsid w:val="00C4462B"/>
    <w:rsid w:val="00C63846"/>
    <w:rsid w:val="00C73347"/>
    <w:rsid w:val="00C77477"/>
    <w:rsid w:val="00C81347"/>
    <w:rsid w:val="00C82645"/>
    <w:rsid w:val="00C85800"/>
    <w:rsid w:val="00CB0900"/>
    <w:rsid w:val="00CB54C9"/>
    <w:rsid w:val="00CC64FD"/>
    <w:rsid w:val="00CE5D1B"/>
    <w:rsid w:val="00D00F27"/>
    <w:rsid w:val="00D01172"/>
    <w:rsid w:val="00D0520D"/>
    <w:rsid w:val="00D1156E"/>
    <w:rsid w:val="00D3411F"/>
    <w:rsid w:val="00D34D23"/>
    <w:rsid w:val="00D36AFA"/>
    <w:rsid w:val="00D45492"/>
    <w:rsid w:val="00D466D3"/>
    <w:rsid w:val="00D4677D"/>
    <w:rsid w:val="00D75779"/>
    <w:rsid w:val="00DA6B3C"/>
    <w:rsid w:val="00DB061B"/>
    <w:rsid w:val="00DB18D8"/>
    <w:rsid w:val="00DB3CE5"/>
    <w:rsid w:val="00DB6B16"/>
    <w:rsid w:val="00DB72D9"/>
    <w:rsid w:val="00DC00E6"/>
    <w:rsid w:val="00DE1361"/>
    <w:rsid w:val="00DF34CC"/>
    <w:rsid w:val="00E0372C"/>
    <w:rsid w:val="00E2282B"/>
    <w:rsid w:val="00E264EE"/>
    <w:rsid w:val="00E46CE1"/>
    <w:rsid w:val="00E47BBE"/>
    <w:rsid w:val="00E50238"/>
    <w:rsid w:val="00E560C3"/>
    <w:rsid w:val="00E73E5A"/>
    <w:rsid w:val="00E81911"/>
    <w:rsid w:val="00E86EBE"/>
    <w:rsid w:val="00EB26DC"/>
    <w:rsid w:val="00ED5164"/>
    <w:rsid w:val="00EF15BF"/>
    <w:rsid w:val="00EF5C53"/>
    <w:rsid w:val="00F1272D"/>
    <w:rsid w:val="00F31178"/>
    <w:rsid w:val="00F65074"/>
    <w:rsid w:val="00F67687"/>
    <w:rsid w:val="00F80042"/>
    <w:rsid w:val="00FA0FAD"/>
    <w:rsid w:val="00FB433D"/>
    <w:rsid w:val="00FD2662"/>
    <w:rsid w:val="00FD6AE8"/>
    <w:rsid w:val="00FD7E4A"/>
    <w:rsid w:val="00FF3A76"/>
    <w:rsid w:val="00FF49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D2832"/>
  <w15:chartTrackingRefBased/>
  <w15:docId w15:val="{7BB72B82-2D80-43A7-9FCB-422A7874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6A1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A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86A15"/>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86A15"/>
    <w:rPr>
      <w:b/>
      <w:bCs/>
    </w:rPr>
  </w:style>
  <w:style w:type="character" w:styleId="Hyperlink">
    <w:name w:val="Hyperlink"/>
    <w:basedOn w:val="DefaultParagraphFont"/>
    <w:uiPriority w:val="99"/>
    <w:unhideWhenUsed/>
    <w:rsid w:val="00786A15"/>
    <w:rPr>
      <w:color w:val="0000FF"/>
      <w:u w:val="single"/>
    </w:rPr>
  </w:style>
  <w:style w:type="paragraph" w:styleId="BalloonText">
    <w:name w:val="Balloon Text"/>
    <w:basedOn w:val="Normal"/>
    <w:link w:val="BalloonTextChar"/>
    <w:uiPriority w:val="99"/>
    <w:semiHidden/>
    <w:unhideWhenUsed/>
    <w:rsid w:val="00E46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CE1"/>
    <w:rPr>
      <w:rFonts w:ascii="Segoe UI" w:hAnsi="Segoe UI" w:cs="Segoe UI"/>
      <w:sz w:val="18"/>
      <w:szCs w:val="18"/>
    </w:rPr>
  </w:style>
  <w:style w:type="paragraph" w:customStyle="1" w:styleId="paragraph">
    <w:name w:val="paragraph"/>
    <w:basedOn w:val="Normal"/>
    <w:rsid w:val="004610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6107A"/>
  </w:style>
  <w:style w:type="character" w:customStyle="1" w:styleId="eop">
    <w:name w:val="eop"/>
    <w:basedOn w:val="DefaultParagraphFont"/>
    <w:rsid w:val="0046107A"/>
  </w:style>
  <w:style w:type="character" w:styleId="UnresolvedMention">
    <w:name w:val="Unresolved Mention"/>
    <w:basedOn w:val="DefaultParagraphFont"/>
    <w:uiPriority w:val="99"/>
    <w:semiHidden/>
    <w:unhideWhenUsed/>
    <w:rsid w:val="00AF0FD0"/>
    <w:rPr>
      <w:color w:val="605E5C"/>
      <w:shd w:val="clear" w:color="auto" w:fill="E1DFDD"/>
    </w:rPr>
  </w:style>
  <w:style w:type="character" w:styleId="FollowedHyperlink">
    <w:name w:val="FollowedHyperlink"/>
    <w:basedOn w:val="DefaultParagraphFont"/>
    <w:uiPriority w:val="99"/>
    <w:semiHidden/>
    <w:unhideWhenUsed/>
    <w:rsid w:val="00DA6B3C"/>
    <w:rPr>
      <w:color w:val="954F72" w:themeColor="followedHyperlink"/>
      <w:u w:val="single"/>
    </w:rPr>
  </w:style>
  <w:style w:type="paragraph" w:styleId="ListParagraph">
    <w:name w:val="List Paragraph"/>
    <w:basedOn w:val="Normal"/>
    <w:uiPriority w:val="34"/>
    <w:qFormat/>
    <w:rsid w:val="00500693"/>
    <w:pPr>
      <w:ind w:left="720"/>
      <w:contextualSpacing/>
    </w:pPr>
  </w:style>
  <w:style w:type="character" w:styleId="CommentReference">
    <w:name w:val="annotation reference"/>
    <w:basedOn w:val="DefaultParagraphFont"/>
    <w:uiPriority w:val="99"/>
    <w:semiHidden/>
    <w:unhideWhenUsed/>
    <w:rsid w:val="00843A3F"/>
    <w:rPr>
      <w:sz w:val="16"/>
      <w:szCs w:val="16"/>
    </w:rPr>
  </w:style>
  <w:style w:type="paragraph" w:styleId="CommentText">
    <w:name w:val="annotation text"/>
    <w:basedOn w:val="Normal"/>
    <w:link w:val="CommentTextChar"/>
    <w:uiPriority w:val="99"/>
    <w:semiHidden/>
    <w:unhideWhenUsed/>
    <w:rsid w:val="00843A3F"/>
    <w:pPr>
      <w:spacing w:line="240" w:lineRule="auto"/>
    </w:pPr>
    <w:rPr>
      <w:sz w:val="20"/>
      <w:szCs w:val="20"/>
    </w:rPr>
  </w:style>
  <w:style w:type="character" w:customStyle="1" w:styleId="CommentTextChar">
    <w:name w:val="Comment Text Char"/>
    <w:basedOn w:val="DefaultParagraphFont"/>
    <w:link w:val="CommentText"/>
    <w:uiPriority w:val="99"/>
    <w:semiHidden/>
    <w:rsid w:val="00843A3F"/>
    <w:rPr>
      <w:sz w:val="20"/>
      <w:szCs w:val="20"/>
    </w:rPr>
  </w:style>
  <w:style w:type="paragraph" w:styleId="CommentSubject">
    <w:name w:val="annotation subject"/>
    <w:basedOn w:val="CommentText"/>
    <w:next w:val="CommentText"/>
    <w:link w:val="CommentSubjectChar"/>
    <w:uiPriority w:val="99"/>
    <w:semiHidden/>
    <w:unhideWhenUsed/>
    <w:rsid w:val="00843A3F"/>
    <w:rPr>
      <w:b/>
      <w:bCs/>
    </w:rPr>
  </w:style>
  <w:style w:type="character" w:customStyle="1" w:styleId="CommentSubjectChar">
    <w:name w:val="Comment Subject Char"/>
    <w:basedOn w:val="CommentTextChar"/>
    <w:link w:val="CommentSubject"/>
    <w:uiPriority w:val="99"/>
    <w:semiHidden/>
    <w:rsid w:val="00843A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92110">
      <w:bodyDiv w:val="1"/>
      <w:marLeft w:val="0"/>
      <w:marRight w:val="0"/>
      <w:marTop w:val="0"/>
      <w:marBottom w:val="0"/>
      <w:divBdr>
        <w:top w:val="none" w:sz="0" w:space="0" w:color="auto"/>
        <w:left w:val="none" w:sz="0" w:space="0" w:color="auto"/>
        <w:bottom w:val="none" w:sz="0" w:space="0" w:color="auto"/>
        <w:right w:val="none" w:sz="0" w:space="0" w:color="auto"/>
      </w:divBdr>
    </w:div>
    <w:div w:id="425149099">
      <w:bodyDiv w:val="1"/>
      <w:marLeft w:val="0"/>
      <w:marRight w:val="0"/>
      <w:marTop w:val="0"/>
      <w:marBottom w:val="0"/>
      <w:divBdr>
        <w:top w:val="none" w:sz="0" w:space="0" w:color="auto"/>
        <w:left w:val="none" w:sz="0" w:space="0" w:color="auto"/>
        <w:bottom w:val="none" w:sz="0" w:space="0" w:color="auto"/>
        <w:right w:val="none" w:sz="0" w:space="0" w:color="auto"/>
      </w:divBdr>
      <w:divsChild>
        <w:div w:id="205534921">
          <w:marLeft w:val="0"/>
          <w:marRight w:val="0"/>
          <w:marTop w:val="0"/>
          <w:marBottom w:val="0"/>
          <w:divBdr>
            <w:top w:val="none" w:sz="0" w:space="0" w:color="auto"/>
            <w:left w:val="none" w:sz="0" w:space="0" w:color="auto"/>
            <w:bottom w:val="none" w:sz="0" w:space="0" w:color="auto"/>
            <w:right w:val="none" w:sz="0" w:space="0" w:color="auto"/>
          </w:divBdr>
        </w:div>
        <w:div w:id="1384788165">
          <w:marLeft w:val="0"/>
          <w:marRight w:val="0"/>
          <w:marTop w:val="0"/>
          <w:marBottom w:val="0"/>
          <w:divBdr>
            <w:top w:val="none" w:sz="0" w:space="0" w:color="auto"/>
            <w:left w:val="none" w:sz="0" w:space="0" w:color="auto"/>
            <w:bottom w:val="none" w:sz="0" w:space="0" w:color="auto"/>
            <w:right w:val="none" w:sz="0" w:space="0" w:color="auto"/>
          </w:divBdr>
        </w:div>
        <w:div w:id="2130931247">
          <w:marLeft w:val="0"/>
          <w:marRight w:val="0"/>
          <w:marTop w:val="0"/>
          <w:marBottom w:val="0"/>
          <w:divBdr>
            <w:top w:val="none" w:sz="0" w:space="0" w:color="auto"/>
            <w:left w:val="none" w:sz="0" w:space="0" w:color="auto"/>
            <w:bottom w:val="none" w:sz="0" w:space="0" w:color="auto"/>
            <w:right w:val="none" w:sz="0" w:space="0" w:color="auto"/>
          </w:divBdr>
        </w:div>
      </w:divsChild>
    </w:div>
    <w:div w:id="1063603500">
      <w:bodyDiv w:val="1"/>
      <w:marLeft w:val="0"/>
      <w:marRight w:val="0"/>
      <w:marTop w:val="0"/>
      <w:marBottom w:val="0"/>
      <w:divBdr>
        <w:top w:val="none" w:sz="0" w:space="0" w:color="auto"/>
        <w:left w:val="none" w:sz="0" w:space="0" w:color="auto"/>
        <w:bottom w:val="none" w:sz="0" w:space="0" w:color="auto"/>
        <w:right w:val="none" w:sz="0" w:space="0" w:color="auto"/>
      </w:divBdr>
    </w:div>
    <w:div w:id="1280793038">
      <w:bodyDiv w:val="1"/>
      <w:marLeft w:val="0"/>
      <w:marRight w:val="0"/>
      <w:marTop w:val="0"/>
      <w:marBottom w:val="0"/>
      <w:divBdr>
        <w:top w:val="none" w:sz="0" w:space="0" w:color="auto"/>
        <w:left w:val="none" w:sz="0" w:space="0" w:color="auto"/>
        <w:bottom w:val="none" w:sz="0" w:space="0" w:color="auto"/>
        <w:right w:val="none" w:sz="0" w:space="0" w:color="auto"/>
      </w:divBdr>
    </w:div>
    <w:div w:id="1624729674">
      <w:bodyDiv w:val="1"/>
      <w:marLeft w:val="0"/>
      <w:marRight w:val="0"/>
      <w:marTop w:val="0"/>
      <w:marBottom w:val="0"/>
      <w:divBdr>
        <w:top w:val="none" w:sz="0" w:space="0" w:color="auto"/>
        <w:left w:val="none" w:sz="0" w:space="0" w:color="auto"/>
        <w:bottom w:val="none" w:sz="0" w:space="0" w:color="auto"/>
        <w:right w:val="none" w:sz="0" w:space="0" w:color="auto"/>
      </w:divBdr>
    </w:div>
    <w:div w:id="1651052646">
      <w:bodyDiv w:val="1"/>
      <w:marLeft w:val="0"/>
      <w:marRight w:val="0"/>
      <w:marTop w:val="0"/>
      <w:marBottom w:val="0"/>
      <w:divBdr>
        <w:top w:val="none" w:sz="0" w:space="0" w:color="auto"/>
        <w:left w:val="none" w:sz="0" w:space="0" w:color="auto"/>
        <w:bottom w:val="none" w:sz="0" w:space="0" w:color="auto"/>
        <w:right w:val="none" w:sz="0" w:space="0" w:color="auto"/>
      </w:divBdr>
      <w:divsChild>
        <w:div w:id="254636291">
          <w:marLeft w:val="0"/>
          <w:marRight w:val="0"/>
          <w:marTop w:val="0"/>
          <w:marBottom w:val="0"/>
          <w:divBdr>
            <w:top w:val="none" w:sz="0" w:space="0" w:color="auto"/>
            <w:left w:val="none" w:sz="0" w:space="0" w:color="auto"/>
            <w:bottom w:val="none" w:sz="0" w:space="0" w:color="auto"/>
            <w:right w:val="none" w:sz="0" w:space="0" w:color="auto"/>
          </w:divBdr>
        </w:div>
        <w:div w:id="596330335">
          <w:marLeft w:val="0"/>
          <w:marRight w:val="0"/>
          <w:marTop w:val="0"/>
          <w:marBottom w:val="0"/>
          <w:divBdr>
            <w:top w:val="none" w:sz="0" w:space="0" w:color="auto"/>
            <w:left w:val="none" w:sz="0" w:space="0" w:color="auto"/>
            <w:bottom w:val="none" w:sz="0" w:space="0" w:color="auto"/>
            <w:right w:val="none" w:sz="0" w:space="0" w:color="auto"/>
          </w:divBdr>
        </w:div>
        <w:div w:id="592980448">
          <w:marLeft w:val="0"/>
          <w:marRight w:val="0"/>
          <w:marTop w:val="0"/>
          <w:marBottom w:val="0"/>
          <w:divBdr>
            <w:top w:val="none" w:sz="0" w:space="0" w:color="auto"/>
            <w:left w:val="none" w:sz="0" w:space="0" w:color="auto"/>
            <w:bottom w:val="none" w:sz="0" w:space="0" w:color="auto"/>
            <w:right w:val="none" w:sz="0" w:space="0" w:color="auto"/>
          </w:divBdr>
        </w:div>
        <w:div w:id="450439484">
          <w:marLeft w:val="0"/>
          <w:marRight w:val="0"/>
          <w:marTop w:val="0"/>
          <w:marBottom w:val="0"/>
          <w:divBdr>
            <w:top w:val="none" w:sz="0" w:space="0" w:color="auto"/>
            <w:left w:val="none" w:sz="0" w:space="0" w:color="auto"/>
            <w:bottom w:val="none" w:sz="0" w:space="0" w:color="auto"/>
            <w:right w:val="none" w:sz="0" w:space="0" w:color="auto"/>
          </w:divBdr>
        </w:div>
        <w:div w:id="2006127352">
          <w:marLeft w:val="0"/>
          <w:marRight w:val="0"/>
          <w:marTop w:val="0"/>
          <w:marBottom w:val="0"/>
          <w:divBdr>
            <w:top w:val="none" w:sz="0" w:space="0" w:color="auto"/>
            <w:left w:val="none" w:sz="0" w:space="0" w:color="auto"/>
            <w:bottom w:val="none" w:sz="0" w:space="0" w:color="auto"/>
            <w:right w:val="none" w:sz="0" w:space="0" w:color="auto"/>
          </w:divBdr>
        </w:div>
        <w:div w:id="863594829">
          <w:marLeft w:val="0"/>
          <w:marRight w:val="0"/>
          <w:marTop w:val="0"/>
          <w:marBottom w:val="0"/>
          <w:divBdr>
            <w:top w:val="none" w:sz="0" w:space="0" w:color="auto"/>
            <w:left w:val="none" w:sz="0" w:space="0" w:color="auto"/>
            <w:bottom w:val="none" w:sz="0" w:space="0" w:color="auto"/>
            <w:right w:val="none" w:sz="0" w:space="0" w:color="auto"/>
          </w:divBdr>
        </w:div>
      </w:divsChild>
    </w:div>
    <w:div w:id="1777871206">
      <w:bodyDiv w:val="1"/>
      <w:marLeft w:val="0"/>
      <w:marRight w:val="0"/>
      <w:marTop w:val="0"/>
      <w:marBottom w:val="0"/>
      <w:divBdr>
        <w:top w:val="none" w:sz="0" w:space="0" w:color="auto"/>
        <w:left w:val="none" w:sz="0" w:space="0" w:color="auto"/>
        <w:bottom w:val="none" w:sz="0" w:space="0" w:color="auto"/>
        <w:right w:val="none" w:sz="0" w:space="0" w:color="auto"/>
      </w:divBdr>
    </w:div>
    <w:div w:id="1928150617">
      <w:bodyDiv w:val="1"/>
      <w:marLeft w:val="0"/>
      <w:marRight w:val="0"/>
      <w:marTop w:val="0"/>
      <w:marBottom w:val="0"/>
      <w:divBdr>
        <w:top w:val="none" w:sz="0" w:space="0" w:color="auto"/>
        <w:left w:val="none" w:sz="0" w:space="0" w:color="auto"/>
        <w:bottom w:val="none" w:sz="0" w:space="0" w:color="auto"/>
        <w:right w:val="none" w:sz="0" w:space="0" w:color="auto"/>
      </w:divBdr>
    </w:div>
    <w:div w:id="20739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news-and-events/latest-news/nhs-digital-publishes-information-on-ethnicity-recording-in-the-nhs-to-aid-planning-and-research-for-covid-19" TargetMode="External"/><Relationship Id="rId5" Type="http://schemas.openxmlformats.org/officeDocument/2006/relationships/numbering" Target="numbering.xml"/><Relationship Id="rId10" Type="http://schemas.openxmlformats.org/officeDocument/2006/relationships/hyperlink" Target="https://www.england.nhs.uk/statistics/wp-content/uploads/sites/2/2021/06/Related-data.docx" TargetMode="External"/><Relationship Id="rId4" Type="http://schemas.openxmlformats.org/officeDocument/2006/relationships/customXml" Target="../customXml/item4.xml"/><Relationship Id="rId9" Type="http://schemas.openxmlformats.org/officeDocument/2006/relationships/hyperlink" Target="https://digital.nhs.uk/coronavirus/coronavirus-data-services-updates/mortality-data-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525B449F5E084F898C91D78A752B7E" ma:contentTypeVersion="8" ma:contentTypeDescription="Create a new document." ma:contentTypeScope="" ma:versionID="76a15ca46bfb8403ed773b6602bc1c47">
  <xsd:schema xmlns:xsd="http://www.w3.org/2001/XMLSchema" xmlns:xs="http://www.w3.org/2001/XMLSchema" xmlns:p="http://schemas.microsoft.com/office/2006/metadata/properties" xmlns:ns1="http://schemas.microsoft.com/sharepoint/v3" xmlns:ns2="32663d0a-beb2-4d24-84c5-6158848c9f75" xmlns:ns3="10e4d7e2-0df6-45e5-a5bf-b0c95c3215e9" targetNamespace="http://schemas.microsoft.com/office/2006/metadata/properties" ma:root="true" ma:fieldsID="e7225fe2a77f45009ba9e37564f46e28" ns1:_="" ns2:_="" ns3:_="">
    <xsd:import namespace="http://schemas.microsoft.com/sharepoint/v3"/>
    <xsd:import namespace="32663d0a-beb2-4d24-84c5-6158848c9f75"/>
    <xsd:import namespace="10e4d7e2-0df6-45e5-a5bf-b0c95c321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63d0a-beb2-4d24-84c5-6158848c9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e4d7e2-0df6-45e5-a5bf-b0c95c3215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E2EA6-F9A1-438A-AB6D-7A4FD431D65E}">
  <ds:schemaRefs>
    <ds:schemaRef ds:uri="http://schemas.openxmlformats.org/officeDocument/2006/bibliography"/>
  </ds:schemaRefs>
</ds:datastoreItem>
</file>

<file path=customXml/itemProps2.xml><?xml version="1.0" encoding="utf-8"?>
<ds:datastoreItem xmlns:ds="http://schemas.openxmlformats.org/officeDocument/2006/customXml" ds:itemID="{B89D5DE4-70E8-4FB7-833A-20E2CDEBF5F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D330923-DE0A-47C5-A977-A20295687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663d0a-beb2-4d24-84c5-6158848c9f75"/>
    <ds:schemaRef ds:uri="10e4d7e2-0df6-45e5-a5bf-b0c95c321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B7FA5-959D-44E3-8C61-67D24EC2CA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Hoult</dc:creator>
  <cp:keywords/>
  <dc:description/>
  <cp:lastModifiedBy>BRADLEY, Alexa (NHS ENGLAND &amp; NHS IMPROVEMENT - X24)</cp:lastModifiedBy>
  <cp:revision>2</cp:revision>
  <cp:lastPrinted>2021-04-22T09:40:00Z</cp:lastPrinted>
  <dcterms:created xsi:type="dcterms:W3CDTF">2021-07-08T12:07:00Z</dcterms:created>
  <dcterms:modified xsi:type="dcterms:W3CDTF">2021-07-08T12:07:00Z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0x01010033525B449F5E084F898C91D78A752B7E</vt:lpwstr>
  </property>
</Properties>
</file>